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0E38" w14:textId="77777777" w:rsidR="00860EDA" w:rsidRPr="003E23EC" w:rsidRDefault="00860EDA" w:rsidP="00860EDA">
      <w:r w:rsidRPr="003E23EC">
        <w:t xml:space="preserve">Na temelju članka </w:t>
      </w:r>
      <w:r>
        <w:t>76. do 80</w:t>
      </w:r>
      <w:r w:rsidRPr="003E23EC">
        <w:t>.</w:t>
      </w:r>
      <w:r>
        <w:t>, članka 89.</w:t>
      </w:r>
      <w:r w:rsidRPr="003E23EC">
        <w:t xml:space="preserve"> </w:t>
      </w:r>
      <w:r>
        <w:t xml:space="preserve">i članka 163. točka 5. </w:t>
      </w:r>
      <w:r w:rsidRPr="003E23EC">
        <w:t xml:space="preserve">Zakona o proračunu („Narodne novine“, broj </w:t>
      </w:r>
      <w:r>
        <w:t>144/21</w:t>
      </w:r>
      <w:r w:rsidRPr="003E23EC">
        <w:t>)</w:t>
      </w:r>
      <w:r>
        <w:t xml:space="preserve">, </w:t>
      </w:r>
      <w:r w:rsidRPr="003E23EC">
        <w:t>članka 1</w:t>
      </w:r>
      <w:r>
        <w:t>6</w:t>
      </w:r>
      <w:r w:rsidRPr="003E23EC">
        <w:t>. Pravilnika o polugodišnjem i godišnjem izvještaju o izvršenju proračuna („Narodne novine“ broj 24/13</w:t>
      </w:r>
      <w:r>
        <w:t>,</w:t>
      </w:r>
      <w:r w:rsidRPr="003E23EC">
        <w:t xml:space="preserve"> 102/17</w:t>
      </w:r>
      <w:r>
        <w:t>, 1/20 i 147/20</w:t>
      </w:r>
      <w:r w:rsidRPr="003E23EC">
        <w:t xml:space="preserve">) i članka 50. Statuta Grada Buja („Službene novine Grada Buja“, broj 11/09, 05/11, 11/11, 03/13 i 5/18) Gradsko vijeće Grada Buja na sjednici </w:t>
      </w:r>
      <w:r>
        <w:t xml:space="preserve">31.05.2023. </w:t>
      </w:r>
      <w:r w:rsidRPr="003E23EC">
        <w:t xml:space="preserve">godine, donijelo je  </w:t>
      </w:r>
    </w:p>
    <w:p w14:paraId="745D2487" w14:textId="77777777" w:rsidR="00860EDA" w:rsidRPr="003E23EC" w:rsidRDefault="00860EDA" w:rsidP="00860EDA"/>
    <w:p w14:paraId="344F3300" w14:textId="77777777" w:rsidR="00860EDA" w:rsidRPr="003E23EC" w:rsidRDefault="00860EDA" w:rsidP="00860EDA">
      <w:pPr>
        <w:jc w:val="center"/>
        <w:rPr>
          <w:b/>
        </w:rPr>
      </w:pPr>
      <w:r w:rsidRPr="003E23EC">
        <w:rPr>
          <w:b/>
        </w:rPr>
        <w:t xml:space="preserve">GODIŠNJI IZVJEŠTAJ O IZVRŠENJU </w:t>
      </w:r>
    </w:p>
    <w:p w14:paraId="5D645D64" w14:textId="77777777" w:rsidR="00860EDA" w:rsidRPr="003E23EC" w:rsidRDefault="00860EDA" w:rsidP="00860EDA">
      <w:pPr>
        <w:jc w:val="center"/>
        <w:rPr>
          <w:b/>
        </w:rPr>
      </w:pPr>
      <w:r w:rsidRPr="003E23EC">
        <w:rPr>
          <w:b/>
        </w:rPr>
        <w:t>PRORAČUNA GRADA BUJA - BUIE ZA 20</w:t>
      </w:r>
      <w:r>
        <w:rPr>
          <w:b/>
        </w:rPr>
        <w:t>22</w:t>
      </w:r>
      <w:r w:rsidRPr="003E23EC">
        <w:rPr>
          <w:b/>
        </w:rPr>
        <w:t>. GODINU</w:t>
      </w:r>
    </w:p>
    <w:p w14:paraId="6E5FAFB9" w14:textId="77777777" w:rsidR="00860EDA" w:rsidRPr="003E23EC" w:rsidRDefault="00860EDA" w:rsidP="00860EDA">
      <w:pPr>
        <w:jc w:val="center"/>
        <w:rPr>
          <w:b/>
        </w:rPr>
      </w:pPr>
    </w:p>
    <w:p w14:paraId="67E549B6" w14:textId="77777777" w:rsidR="00860EDA" w:rsidRPr="003E23EC" w:rsidRDefault="00860EDA" w:rsidP="00860EDA">
      <w:pPr>
        <w:jc w:val="center"/>
      </w:pPr>
      <w:r w:rsidRPr="003E23EC">
        <w:t>Članak 1.</w:t>
      </w:r>
    </w:p>
    <w:p w14:paraId="6249AE8C" w14:textId="77777777" w:rsidR="00860EDA" w:rsidRPr="003E23EC" w:rsidRDefault="00860EDA" w:rsidP="00860EDA">
      <w:pPr>
        <w:jc w:val="center"/>
      </w:pPr>
    </w:p>
    <w:p w14:paraId="3FBA0C1F" w14:textId="77777777" w:rsidR="00860EDA" w:rsidRDefault="00860EDA" w:rsidP="00860EDA">
      <w:r w:rsidRPr="003E23EC">
        <w:t>Utvrđuje se izvršenje Proračuna Grada Buja - Buie u 20</w:t>
      </w:r>
      <w:r>
        <w:t>22</w:t>
      </w:r>
      <w:r w:rsidRPr="003E23EC">
        <w:t>. godin</w:t>
      </w:r>
      <w:r>
        <w:t>i</w:t>
      </w:r>
      <w:r w:rsidRPr="003E23EC">
        <w:t xml:space="preserve"> kako slijedi:</w:t>
      </w:r>
    </w:p>
    <w:p w14:paraId="5F6FE43E" w14:textId="77777777" w:rsidR="00860EDA" w:rsidRDefault="00860EDA" w:rsidP="00860EDA"/>
    <w:tbl>
      <w:tblPr>
        <w:tblW w:w="9209" w:type="dxa"/>
        <w:tblLook w:val="04A0" w:firstRow="1" w:lastRow="0" w:firstColumn="1" w:lastColumn="0" w:noHBand="0" w:noVBand="1"/>
      </w:tblPr>
      <w:tblGrid>
        <w:gridCol w:w="306"/>
        <w:gridCol w:w="3238"/>
        <w:gridCol w:w="1300"/>
        <w:gridCol w:w="1300"/>
        <w:gridCol w:w="1251"/>
        <w:gridCol w:w="907"/>
        <w:gridCol w:w="907"/>
      </w:tblGrid>
      <w:tr w:rsidR="00860EDA" w:rsidRPr="006522C8" w14:paraId="1D78FF0D" w14:textId="77777777" w:rsidTr="00787F8D">
        <w:trPr>
          <w:trHeight w:val="240"/>
        </w:trPr>
        <w:tc>
          <w:tcPr>
            <w:tcW w:w="3544" w:type="dxa"/>
            <w:gridSpan w:val="2"/>
            <w:tcBorders>
              <w:top w:val="nil"/>
              <w:left w:val="nil"/>
              <w:bottom w:val="nil"/>
              <w:right w:val="nil"/>
            </w:tcBorders>
            <w:shd w:val="clear" w:color="auto" w:fill="auto"/>
            <w:noWrap/>
            <w:vAlign w:val="bottom"/>
            <w:hideMark/>
          </w:tcPr>
          <w:p w14:paraId="6293F656" w14:textId="77777777" w:rsidR="00860EDA" w:rsidRPr="006522C8" w:rsidRDefault="00860EDA" w:rsidP="00787F8D">
            <w:pPr>
              <w:rPr>
                <w:sz w:val="18"/>
                <w:szCs w:val="18"/>
              </w:rPr>
            </w:pPr>
            <w:r w:rsidRPr="006522C8">
              <w:rPr>
                <w:sz w:val="18"/>
                <w:szCs w:val="18"/>
              </w:rPr>
              <w:t>A. RAČUN PRIHODA I RASHODA</w:t>
            </w:r>
          </w:p>
        </w:tc>
        <w:tc>
          <w:tcPr>
            <w:tcW w:w="1300" w:type="dxa"/>
            <w:tcBorders>
              <w:top w:val="nil"/>
              <w:left w:val="nil"/>
              <w:bottom w:val="nil"/>
              <w:right w:val="nil"/>
            </w:tcBorders>
            <w:shd w:val="clear" w:color="auto" w:fill="auto"/>
            <w:noWrap/>
            <w:vAlign w:val="bottom"/>
            <w:hideMark/>
          </w:tcPr>
          <w:p w14:paraId="615E3CF2" w14:textId="77777777" w:rsidR="00860EDA" w:rsidRPr="006522C8" w:rsidRDefault="00860EDA" w:rsidP="00787F8D">
            <w:pPr>
              <w:rPr>
                <w:sz w:val="18"/>
                <w:szCs w:val="18"/>
              </w:rPr>
            </w:pPr>
          </w:p>
        </w:tc>
        <w:tc>
          <w:tcPr>
            <w:tcW w:w="1300" w:type="dxa"/>
            <w:tcBorders>
              <w:top w:val="nil"/>
              <w:left w:val="nil"/>
              <w:bottom w:val="nil"/>
              <w:right w:val="nil"/>
            </w:tcBorders>
            <w:shd w:val="clear" w:color="auto" w:fill="auto"/>
            <w:noWrap/>
            <w:vAlign w:val="bottom"/>
            <w:hideMark/>
          </w:tcPr>
          <w:p w14:paraId="77550BD8" w14:textId="77777777" w:rsidR="00860EDA" w:rsidRPr="006522C8" w:rsidRDefault="00860EDA" w:rsidP="00787F8D">
            <w:pPr>
              <w:rPr>
                <w:sz w:val="20"/>
                <w:szCs w:val="20"/>
              </w:rPr>
            </w:pPr>
          </w:p>
        </w:tc>
        <w:tc>
          <w:tcPr>
            <w:tcW w:w="1251" w:type="dxa"/>
            <w:tcBorders>
              <w:top w:val="nil"/>
              <w:left w:val="nil"/>
              <w:bottom w:val="nil"/>
              <w:right w:val="nil"/>
            </w:tcBorders>
            <w:shd w:val="clear" w:color="auto" w:fill="auto"/>
            <w:noWrap/>
            <w:vAlign w:val="bottom"/>
            <w:hideMark/>
          </w:tcPr>
          <w:p w14:paraId="14B447F2" w14:textId="77777777" w:rsidR="00860EDA" w:rsidRPr="006522C8" w:rsidRDefault="00860EDA" w:rsidP="00787F8D">
            <w:pPr>
              <w:rPr>
                <w:sz w:val="20"/>
                <w:szCs w:val="20"/>
              </w:rPr>
            </w:pPr>
          </w:p>
        </w:tc>
        <w:tc>
          <w:tcPr>
            <w:tcW w:w="907" w:type="dxa"/>
            <w:tcBorders>
              <w:top w:val="nil"/>
              <w:left w:val="nil"/>
              <w:bottom w:val="nil"/>
              <w:right w:val="nil"/>
            </w:tcBorders>
            <w:shd w:val="clear" w:color="auto" w:fill="auto"/>
            <w:noWrap/>
            <w:vAlign w:val="bottom"/>
            <w:hideMark/>
          </w:tcPr>
          <w:p w14:paraId="6338C6BC" w14:textId="77777777" w:rsidR="00860EDA" w:rsidRPr="006522C8" w:rsidRDefault="00860EDA" w:rsidP="00787F8D">
            <w:pPr>
              <w:rPr>
                <w:sz w:val="20"/>
                <w:szCs w:val="20"/>
              </w:rPr>
            </w:pPr>
          </w:p>
        </w:tc>
        <w:tc>
          <w:tcPr>
            <w:tcW w:w="907" w:type="dxa"/>
            <w:tcBorders>
              <w:top w:val="nil"/>
              <w:left w:val="nil"/>
              <w:bottom w:val="nil"/>
              <w:right w:val="nil"/>
            </w:tcBorders>
            <w:shd w:val="clear" w:color="auto" w:fill="auto"/>
            <w:noWrap/>
            <w:vAlign w:val="bottom"/>
            <w:hideMark/>
          </w:tcPr>
          <w:p w14:paraId="142D0081" w14:textId="77777777" w:rsidR="00860EDA" w:rsidRPr="006522C8" w:rsidRDefault="00860EDA" w:rsidP="00787F8D">
            <w:pPr>
              <w:rPr>
                <w:sz w:val="20"/>
                <w:szCs w:val="20"/>
              </w:rPr>
            </w:pPr>
          </w:p>
        </w:tc>
      </w:tr>
      <w:tr w:rsidR="00860EDA" w:rsidRPr="006522C8" w14:paraId="38721C36" w14:textId="77777777" w:rsidTr="00787F8D">
        <w:trPr>
          <w:trHeight w:val="240"/>
        </w:trPr>
        <w:tc>
          <w:tcPr>
            <w:tcW w:w="306" w:type="dxa"/>
            <w:tcBorders>
              <w:top w:val="nil"/>
              <w:left w:val="nil"/>
              <w:bottom w:val="nil"/>
              <w:right w:val="nil"/>
            </w:tcBorders>
            <w:shd w:val="clear" w:color="auto" w:fill="auto"/>
            <w:noWrap/>
            <w:vAlign w:val="bottom"/>
            <w:hideMark/>
          </w:tcPr>
          <w:p w14:paraId="45DD5350" w14:textId="77777777" w:rsidR="00860EDA" w:rsidRPr="006522C8" w:rsidRDefault="00860EDA" w:rsidP="00787F8D">
            <w:pPr>
              <w:rPr>
                <w:sz w:val="20"/>
                <w:szCs w:val="20"/>
              </w:rPr>
            </w:pPr>
          </w:p>
        </w:tc>
        <w:tc>
          <w:tcPr>
            <w:tcW w:w="3238" w:type="dxa"/>
            <w:tcBorders>
              <w:top w:val="nil"/>
              <w:left w:val="nil"/>
              <w:bottom w:val="nil"/>
              <w:right w:val="nil"/>
            </w:tcBorders>
            <w:shd w:val="clear" w:color="auto" w:fill="auto"/>
            <w:noWrap/>
            <w:vAlign w:val="bottom"/>
            <w:hideMark/>
          </w:tcPr>
          <w:p w14:paraId="56D209BD" w14:textId="77777777" w:rsidR="00860EDA" w:rsidRPr="006522C8" w:rsidRDefault="00860EDA" w:rsidP="00787F8D">
            <w:pPr>
              <w:rPr>
                <w:sz w:val="20"/>
                <w:szCs w:val="20"/>
              </w:rPr>
            </w:pPr>
          </w:p>
        </w:tc>
        <w:tc>
          <w:tcPr>
            <w:tcW w:w="1300" w:type="dxa"/>
            <w:tcBorders>
              <w:top w:val="nil"/>
              <w:left w:val="nil"/>
              <w:bottom w:val="nil"/>
              <w:right w:val="nil"/>
            </w:tcBorders>
            <w:shd w:val="clear" w:color="auto" w:fill="auto"/>
            <w:noWrap/>
            <w:vAlign w:val="bottom"/>
            <w:hideMark/>
          </w:tcPr>
          <w:p w14:paraId="52CC8428" w14:textId="77777777" w:rsidR="00860EDA" w:rsidRPr="006522C8" w:rsidRDefault="00860EDA" w:rsidP="00787F8D">
            <w:pPr>
              <w:rPr>
                <w:sz w:val="20"/>
                <w:szCs w:val="20"/>
              </w:rPr>
            </w:pPr>
          </w:p>
        </w:tc>
        <w:tc>
          <w:tcPr>
            <w:tcW w:w="1300" w:type="dxa"/>
            <w:tcBorders>
              <w:top w:val="nil"/>
              <w:left w:val="nil"/>
              <w:bottom w:val="nil"/>
              <w:right w:val="nil"/>
            </w:tcBorders>
            <w:shd w:val="clear" w:color="auto" w:fill="auto"/>
            <w:noWrap/>
            <w:vAlign w:val="bottom"/>
            <w:hideMark/>
          </w:tcPr>
          <w:p w14:paraId="0AF6CCF9" w14:textId="77777777" w:rsidR="00860EDA" w:rsidRPr="006522C8" w:rsidRDefault="00860EDA" w:rsidP="00787F8D">
            <w:pPr>
              <w:rPr>
                <w:sz w:val="20"/>
                <w:szCs w:val="20"/>
              </w:rPr>
            </w:pPr>
          </w:p>
        </w:tc>
        <w:tc>
          <w:tcPr>
            <w:tcW w:w="1251" w:type="dxa"/>
            <w:tcBorders>
              <w:top w:val="nil"/>
              <w:left w:val="nil"/>
              <w:bottom w:val="nil"/>
              <w:right w:val="nil"/>
            </w:tcBorders>
            <w:shd w:val="clear" w:color="auto" w:fill="auto"/>
            <w:noWrap/>
            <w:vAlign w:val="bottom"/>
            <w:hideMark/>
          </w:tcPr>
          <w:p w14:paraId="39222926" w14:textId="77777777" w:rsidR="00860EDA" w:rsidRPr="006522C8" w:rsidRDefault="00860EDA" w:rsidP="00787F8D">
            <w:pPr>
              <w:rPr>
                <w:sz w:val="20"/>
                <w:szCs w:val="20"/>
              </w:rPr>
            </w:pPr>
          </w:p>
        </w:tc>
        <w:tc>
          <w:tcPr>
            <w:tcW w:w="907" w:type="dxa"/>
            <w:tcBorders>
              <w:top w:val="nil"/>
              <w:left w:val="nil"/>
              <w:bottom w:val="nil"/>
              <w:right w:val="nil"/>
            </w:tcBorders>
            <w:shd w:val="clear" w:color="auto" w:fill="auto"/>
            <w:noWrap/>
            <w:vAlign w:val="bottom"/>
            <w:hideMark/>
          </w:tcPr>
          <w:p w14:paraId="6E917596" w14:textId="77777777" w:rsidR="00860EDA" w:rsidRPr="006522C8" w:rsidRDefault="00860EDA" w:rsidP="00787F8D">
            <w:pPr>
              <w:rPr>
                <w:sz w:val="20"/>
                <w:szCs w:val="20"/>
              </w:rPr>
            </w:pPr>
          </w:p>
        </w:tc>
        <w:tc>
          <w:tcPr>
            <w:tcW w:w="907" w:type="dxa"/>
            <w:tcBorders>
              <w:top w:val="nil"/>
              <w:left w:val="nil"/>
              <w:bottom w:val="nil"/>
              <w:right w:val="nil"/>
            </w:tcBorders>
            <w:shd w:val="clear" w:color="auto" w:fill="auto"/>
            <w:noWrap/>
            <w:vAlign w:val="bottom"/>
            <w:hideMark/>
          </w:tcPr>
          <w:p w14:paraId="5D58F314" w14:textId="77777777" w:rsidR="00860EDA" w:rsidRPr="006522C8" w:rsidRDefault="00860EDA" w:rsidP="00787F8D">
            <w:pPr>
              <w:rPr>
                <w:sz w:val="20"/>
                <w:szCs w:val="20"/>
              </w:rPr>
            </w:pPr>
          </w:p>
        </w:tc>
      </w:tr>
      <w:tr w:rsidR="00860EDA" w:rsidRPr="006522C8" w14:paraId="5486049E" w14:textId="77777777" w:rsidTr="00787F8D">
        <w:trPr>
          <w:trHeight w:val="240"/>
        </w:trPr>
        <w:tc>
          <w:tcPr>
            <w:tcW w:w="3544" w:type="dxa"/>
            <w:gridSpan w:val="2"/>
            <w:tcBorders>
              <w:top w:val="single" w:sz="4" w:space="0" w:color="auto"/>
              <w:left w:val="nil"/>
              <w:bottom w:val="nil"/>
              <w:right w:val="nil"/>
            </w:tcBorders>
            <w:shd w:val="clear" w:color="auto" w:fill="auto"/>
            <w:noWrap/>
            <w:vAlign w:val="bottom"/>
            <w:hideMark/>
          </w:tcPr>
          <w:p w14:paraId="0CB10435" w14:textId="77777777" w:rsidR="00860EDA" w:rsidRPr="006522C8" w:rsidRDefault="00860EDA" w:rsidP="00787F8D">
            <w:pPr>
              <w:rPr>
                <w:sz w:val="18"/>
                <w:szCs w:val="18"/>
              </w:rPr>
            </w:pPr>
            <w:r w:rsidRPr="006522C8">
              <w:rPr>
                <w:sz w:val="18"/>
                <w:szCs w:val="18"/>
              </w:rPr>
              <w:t xml:space="preserve">BROJČANA OZNAKA I NAZIV </w:t>
            </w:r>
          </w:p>
        </w:tc>
        <w:tc>
          <w:tcPr>
            <w:tcW w:w="1300" w:type="dxa"/>
            <w:tcBorders>
              <w:top w:val="single" w:sz="4" w:space="0" w:color="auto"/>
              <w:left w:val="nil"/>
              <w:bottom w:val="nil"/>
              <w:right w:val="nil"/>
            </w:tcBorders>
            <w:shd w:val="clear" w:color="auto" w:fill="auto"/>
            <w:noWrap/>
            <w:vAlign w:val="bottom"/>
            <w:hideMark/>
          </w:tcPr>
          <w:p w14:paraId="7DFB2EC1" w14:textId="77777777" w:rsidR="00860EDA" w:rsidRPr="006522C8" w:rsidRDefault="00860EDA" w:rsidP="00787F8D">
            <w:pPr>
              <w:jc w:val="center"/>
              <w:rPr>
                <w:sz w:val="18"/>
                <w:szCs w:val="18"/>
              </w:rPr>
            </w:pPr>
            <w:r w:rsidRPr="006522C8">
              <w:rPr>
                <w:sz w:val="18"/>
                <w:szCs w:val="18"/>
              </w:rPr>
              <w:t xml:space="preserve">IZVRŠENJE </w:t>
            </w:r>
          </w:p>
        </w:tc>
        <w:tc>
          <w:tcPr>
            <w:tcW w:w="1300" w:type="dxa"/>
            <w:tcBorders>
              <w:top w:val="single" w:sz="4" w:space="0" w:color="auto"/>
              <w:left w:val="nil"/>
              <w:bottom w:val="nil"/>
              <w:right w:val="nil"/>
            </w:tcBorders>
            <w:shd w:val="clear" w:color="auto" w:fill="auto"/>
            <w:noWrap/>
            <w:vAlign w:val="bottom"/>
            <w:hideMark/>
          </w:tcPr>
          <w:p w14:paraId="283DA996" w14:textId="77777777" w:rsidR="00860EDA" w:rsidRPr="006522C8" w:rsidRDefault="00860EDA" w:rsidP="00787F8D">
            <w:pPr>
              <w:jc w:val="center"/>
              <w:rPr>
                <w:sz w:val="18"/>
                <w:szCs w:val="18"/>
              </w:rPr>
            </w:pPr>
            <w:r w:rsidRPr="006522C8">
              <w:rPr>
                <w:sz w:val="18"/>
                <w:szCs w:val="18"/>
              </w:rPr>
              <w:t>IZVORNI PLAN</w:t>
            </w:r>
          </w:p>
        </w:tc>
        <w:tc>
          <w:tcPr>
            <w:tcW w:w="1251" w:type="dxa"/>
            <w:tcBorders>
              <w:top w:val="single" w:sz="4" w:space="0" w:color="auto"/>
              <w:left w:val="nil"/>
              <w:bottom w:val="nil"/>
              <w:right w:val="nil"/>
            </w:tcBorders>
            <w:shd w:val="clear" w:color="auto" w:fill="auto"/>
            <w:noWrap/>
            <w:vAlign w:val="bottom"/>
            <w:hideMark/>
          </w:tcPr>
          <w:p w14:paraId="609FA28D" w14:textId="77777777" w:rsidR="00860EDA" w:rsidRPr="006522C8" w:rsidRDefault="00860EDA" w:rsidP="00787F8D">
            <w:pPr>
              <w:jc w:val="center"/>
              <w:rPr>
                <w:sz w:val="18"/>
                <w:szCs w:val="18"/>
              </w:rPr>
            </w:pPr>
            <w:r w:rsidRPr="006522C8">
              <w:rPr>
                <w:sz w:val="18"/>
                <w:szCs w:val="18"/>
              </w:rPr>
              <w:t xml:space="preserve">IZVRŠENJE </w:t>
            </w:r>
          </w:p>
        </w:tc>
        <w:tc>
          <w:tcPr>
            <w:tcW w:w="907" w:type="dxa"/>
            <w:tcBorders>
              <w:top w:val="single" w:sz="4" w:space="0" w:color="auto"/>
              <w:left w:val="nil"/>
              <w:bottom w:val="nil"/>
              <w:right w:val="nil"/>
            </w:tcBorders>
            <w:shd w:val="clear" w:color="auto" w:fill="auto"/>
            <w:noWrap/>
            <w:vAlign w:val="bottom"/>
            <w:hideMark/>
          </w:tcPr>
          <w:p w14:paraId="672BEADD" w14:textId="77777777" w:rsidR="00860EDA" w:rsidRPr="006522C8" w:rsidRDefault="00860EDA" w:rsidP="00787F8D">
            <w:pPr>
              <w:jc w:val="center"/>
              <w:rPr>
                <w:sz w:val="18"/>
                <w:szCs w:val="18"/>
              </w:rPr>
            </w:pPr>
            <w:r w:rsidRPr="006522C8">
              <w:rPr>
                <w:sz w:val="18"/>
                <w:szCs w:val="18"/>
              </w:rPr>
              <w:t>INDEKS</w:t>
            </w:r>
          </w:p>
        </w:tc>
        <w:tc>
          <w:tcPr>
            <w:tcW w:w="907" w:type="dxa"/>
            <w:tcBorders>
              <w:top w:val="single" w:sz="4" w:space="0" w:color="auto"/>
              <w:left w:val="nil"/>
              <w:bottom w:val="nil"/>
              <w:right w:val="nil"/>
            </w:tcBorders>
            <w:shd w:val="clear" w:color="auto" w:fill="auto"/>
            <w:noWrap/>
            <w:vAlign w:val="bottom"/>
            <w:hideMark/>
          </w:tcPr>
          <w:p w14:paraId="1ADE12DA" w14:textId="77777777" w:rsidR="00860EDA" w:rsidRPr="006522C8" w:rsidRDefault="00860EDA" w:rsidP="00787F8D">
            <w:pPr>
              <w:jc w:val="center"/>
              <w:rPr>
                <w:sz w:val="18"/>
                <w:szCs w:val="18"/>
              </w:rPr>
            </w:pPr>
            <w:r w:rsidRPr="006522C8">
              <w:rPr>
                <w:sz w:val="18"/>
                <w:szCs w:val="18"/>
              </w:rPr>
              <w:t>INDEKS</w:t>
            </w:r>
          </w:p>
        </w:tc>
      </w:tr>
      <w:tr w:rsidR="00860EDA" w:rsidRPr="006522C8" w14:paraId="49BA0B30" w14:textId="77777777" w:rsidTr="00787F8D">
        <w:trPr>
          <w:trHeight w:val="240"/>
        </w:trPr>
        <w:tc>
          <w:tcPr>
            <w:tcW w:w="306" w:type="dxa"/>
            <w:tcBorders>
              <w:top w:val="nil"/>
              <w:left w:val="nil"/>
              <w:bottom w:val="single" w:sz="4" w:space="0" w:color="auto"/>
              <w:right w:val="nil"/>
            </w:tcBorders>
            <w:shd w:val="clear" w:color="auto" w:fill="auto"/>
            <w:noWrap/>
            <w:vAlign w:val="bottom"/>
            <w:hideMark/>
          </w:tcPr>
          <w:p w14:paraId="346C0FEB" w14:textId="77777777" w:rsidR="00860EDA" w:rsidRPr="006522C8" w:rsidRDefault="00860EDA" w:rsidP="00787F8D">
            <w:pPr>
              <w:rPr>
                <w:sz w:val="18"/>
                <w:szCs w:val="18"/>
              </w:rPr>
            </w:pPr>
            <w:r w:rsidRPr="006522C8">
              <w:rPr>
                <w:sz w:val="18"/>
                <w:szCs w:val="18"/>
              </w:rPr>
              <w:t> </w:t>
            </w:r>
          </w:p>
        </w:tc>
        <w:tc>
          <w:tcPr>
            <w:tcW w:w="3238" w:type="dxa"/>
            <w:tcBorders>
              <w:top w:val="nil"/>
              <w:left w:val="nil"/>
              <w:bottom w:val="single" w:sz="4" w:space="0" w:color="auto"/>
              <w:right w:val="nil"/>
            </w:tcBorders>
            <w:shd w:val="clear" w:color="auto" w:fill="auto"/>
            <w:noWrap/>
            <w:vAlign w:val="bottom"/>
            <w:hideMark/>
          </w:tcPr>
          <w:p w14:paraId="30AB8124" w14:textId="77777777" w:rsidR="00860EDA" w:rsidRPr="006522C8" w:rsidRDefault="00860EDA" w:rsidP="00787F8D">
            <w:pPr>
              <w:rPr>
                <w:sz w:val="18"/>
                <w:szCs w:val="18"/>
              </w:rPr>
            </w:pPr>
            <w:r w:rsidRPr="006522C8">
              <w:rPr>
                <w:sz w:val="18"/>
                <w:szCs w:val="18"/>
              </w:rPr>
              <w:t> </w:t>
            </w:r>
          </w:p>
        </w:tc>
        <w:tc>
          <w:tcPr>
            <w:tcW w:w="1300" w:type="dxa"/>
            <w:tcBorders>
              <w:top w:val="nil"/>
              <w:left w:val="nil"/>
              <w:bottom w:val="single" w:sz="4" w:space="0" w:color="auto"/>
              <w:right w:val="nil"/>
            </w:tcBorders>
            <w:shd w:val="clear" w:color="auto" w:fill="auto"/>
            <w:noWrap/>
            <w:vAlign w:val="bottom"/>
            <w:hideMark/>
          </w:tcPr>
          <w:p w14:paraId="3E860298" w14:textId="77777777" w:rsidR="00860EDA" w:rsidRPr="006522C8" w:rsidRDefault="00860EDA" w:rsidP="00787F8D">
            <w:pPr>
              <w:jc w:val="center"/>
              <w:rPr>
                <w:sz w:val="18"/>
                <w:szCs w:val="18"/>
              </w:rPr>
            </w:pPr>
            <w:r w:rsidRPr="006522C8">
              <w:rPr>
                <w:sz w:val="18"/>
                <w:szCs w:val="18"/>
              </w:rPr>
              <w:t>2021.</w:t>
            </w:r>
          </w:p>
        </w:tc>
        <w:tc>
          <w:tcPr>
            <w:tcW w:w="1300" w:type="dxa"/>
            <w:tcBorders>
              <w:top w:val="nil"/>
              <w:left w:val="nil"/>
              <w:bottom w:val="single" w:sz="4" w:space="0" w:color="auto"/>
              <w:right w:val="nil"/>
            </w:tcBorders>
            <w:shd w:val="clear" w:color="auto" w:fill="auto"/>
            <w:noWrap/>
            <w:vAlign w:val="bottom"/>
            <w:hideMark/>
          </w:tcPr>
          <w:p w14:paraId="361E43C2" w14:textId="77777777" w:rsidR="00860EDA" w:rsidRPr="006522C8" w:rsidRDefault="00860EDA" w:rsidP="00787F8D">
            <w:pPr>
              <w:jc w:val="center"/>
              <w:rPr>
                <w:sz w:val="18"/>
                <w:szCs w:val="18"/>
              </w:rPr>
            </w:pPr>
            <w:r w:rsidRPr="006522C8">
              <w:rPr>
                <w:sz w:val="18"/>
                <w:szCs w:val="18"/>
              </w:rPr>
              <w:t>2022.</w:t>
            </w:r>
          </w:p>
        </w:tc>
        <w:tc>
          <w:tcPr>
            <w:tcW w:w="1251" w:type="dxa"/>
            <w:tcBorders>
              <w:top w:val="nil"/>
              <w:left w:val="nil"/>
              <w:bottom w:val="single" w:sz="4" w:space="0" w:color="auto"/>
              <w:right w:val="nil"/>
            </w:tcBorders>
            <w:shd w:val="clear" w:color="auto" w:fill="auto"/>
            <w:noWrap/>
            <w:vAlign w:val="bottom"/>
            <w:hideMark/>
          </w:tcPr>
          <w:p w14:paraId="421A2857" w14:textId="77777777" w:rsidR="00860EDA" w:rsidRPr="006522C8" w:rsidRDefault="00860EDA" w:rsidP="00787F8D">
            <w:pPr>
              <w:jc w:val="center"/>
              <w:rPr>
                <w:sz w:val="18"/>
                <w:szCs w:val="18"/>
              </w:rPr>
            </w:pPr>
            <w:r w:rsidRPr="006522C8">
              <w:rPr>
                <w:sz w:val="18"/>
                <w:szCs w:val="18"/>
              </w:rPr>
              <w:t>2022.</w:t>
            </w:r>
          </w:p>
        </w:tc>
        <w:tc>
          <w:tcPr>
            <w:tcW w:w="907" w:type="dxa"/>
            <w:tcBorders>
              <w:top w:val="nil"/>
              <w:left w:val="nil"/>
              <w:bottom w:val="single" w:sz="4" w:space="0" w:color="auto"/>
              <w:right w:val="nil"/>
            </w:tcBorders>
            <w:shd w:val="clear" w:color="auto" w:fill="auto"/>
            <w:noWrap/>
            <w:vAlign w:val="bottom"/>
            <w:hideMark/>
          </w:tcPr>
          <w:p w14:paraId="008A7AA9" w14:textId="77777777" w:rsidR="00860EDA" w:rsidRPr="006522C8" w:rsidRDefault="00860EDA" w:rsidP="00787F8D">
            <w:pPr>
              <w:jc w:val="center"/>
              <w:rPr>
                <w:sz w:val="18"/>
                <w:szCs w:val="18"/>
              </w:rPr>
            </w:pPr>
            <w:r w:rsidRPr="006522C8">
              <w:rPr>
                <w:sz w:val="18"/>
                <w:szCs w:val="18"/>
              </w:rPr>
              <w:t>4/2*100</w:t>
            </w:r>
          </w:p>
        </w:tc>
        <w:tc>
          <w:tcPr>
            <w:tcW w:w="907" w:type="dxa"/>
            <w:tcBorders>
              <w:top w:val="nil"/>
              <w:left w:val="nil"/>
              <w:bottom w:val="single" w:sz="4" w:space="0" w:color="auto"/>
              <w:right w:val="nil"/>
            </w:tcBorders>
            <w:shd w:val="clear" w:color="auto" w:fill="auto"/>
            <w:noWrap/>
            <w:vAlign w:val="bottom"/>
            <w:hideMark/>
          </w:tcPr>
          <w:p w14:paraId="5B904BD5" w14:textId="77777777" w:rsidR="00860EDA" w:rsidRPr="006522C8" w:rsidRDefault="00860EDA" w:rsidP="00787F8D">
            <w:pPr>
              <w:jc w:val="center"/>
              <w:rPr>
                <w:sz w:val="18"/>
                <w:szCs w:val="18"/>
              </w:rPr>
            </w:pPr>
            <w:r w:rsidRPr="006522C8">
              <w:rPr>
                <w:sz w:val="18"/>
                <w:szCs w:val="18"/>
              </w:rPr>
              <w:t>4/3*100</w:t>
            </w:r>
          </w:p>
        </w:tc>
      </w:tr>
      <w:tr w:rsidR="00860EDA" w:rsidRPr="006522C8" w14:paraId="2E374660" w14:textId="77777777" w:rsidTr="00787F8D">
        <w:trPr>
          <w:trHeight w:val="240"/>
        </w:trPr>
        <w:tc>
          <w:tcPr>
            <w:tcW w:w="3544" w:type="dxa"/>
            <w:gridSpan w:val="2"/>
            <w:tcBorders>
              <w:top w:val="single" w:sz="4" w:space="0" w:color="auto"/>
              <w:left w:val="nil"/>
              <w:bottom w:val="single" w:sz="4" w:space="0" w:color="auto"/>
              <w:right w:val="nil"/>
            </w:tcBorders>
            <w:shd w:val="clear" w:color="auto" w:fill="auto"/>
            <w:noWrap/>
            <w:vAlign w:val="bottom"/>
            <w:hideMark/>
          </w:tcPr>
          <w:p w14:paraId="014C0975" w14:textId="77777777" w:rsidR="00860EDA" w:rsidRPr="006522C8" w:rsidRDefault="00860EDA" w:rsidP="00787F8D">
            <w:pPr>
              <w:jc w:val="center"/>
              <w:rPr>
                <w:sz w:val="18"/>
                <w:szCs w:val="18"/>
              </w:rPr>
            </w:pPr>
            <w:r w:rsidRPr="006522C8">
              <w:rPr>
                <w:sz w:val="18"/>
                <w:szCs w:val="18"/>
              </w:rPr>
              <w:t>1</w:t>
            </w:r>
          </w:p>
        </w:tc>
        <w:tc>
          <w:tcPr>
            <w:tcW w:w="1300" w:type="dxa"/>
            <w:tcBorders>
              <w:top w:val="nil"/>
              <w:left w:val="nil"/>
              <w:bottom w:val="single" w:sz="4" w:space="0" w:color="auto"/>
              <w:right w:val="nil"/>
            </w:tcBorders>
            <w:shd w:val="clear" w:color="auto" w:fill="auto"/>
            <w:noWrap/>
            <w:vAlign w:val="bottom"/>
            <w:hideMark/>
          </w:tcPr>
          <w:p w14:paraId="5D1378E3" w14:textId="77777777" w:rsidR="00860EDA" w:rsidRPr="006522C8" w:rsidRDefault="00860EDA" w:rsidP="00787F8D">
            <w:pPr>
              <w:jc w:val="center"/>
              <w:rPr>
                <w:sz w:val="18"/>
                <w:szCs w:val="18"/>
              </w:rPr>
            </w:pPr>
            <w:r w:rsidRPr="006522C8">
              <w:rPr>
                <w:sz w:val="18"/>
                <w:szCs w:val="18"/>
              </w:rPr>
              <w:t>2</w:t>
            </w:r>
          </w:p>
        </w:tc>
        <w:tc>
          <w:tcPr>
            <w:tcW w:w="1300" w:type="dxa"/>
            <w:tcBorders>
              <w:top w:val="nil"/>
              <w:left w:val="nil"/>
              <w:bottom w:val="single" w:sz="4" w:space="0" w:color="auto"/>
              <w:right w:val="nil"/>
            </w:tcBorders>
            <w:shd w:val="clear" w:color="auto" w:fill="auto"/>
            <w:noWrap/>
            <w:vAlign w:val="bottom"/>
            <w:hideMark/>
          </w:tcPr>
          <w:p w14:paraId="4F117CD3" w14:textId="77777777" w:rsidR="00860EDA" w:rsidRPr="006522C8" w:rsidRDefault="00860EDA" w:rsidP="00787F8D">
            <w:pPr>
              <w:jc w:val="center"/>
              <w:rPr>
                <w:sz w:val="18"/>
                <w:szCs w:val="18"/>
              </w:rPr>
            </w:pPr>
            <w:r w:rsidRPr="006522C8">
              <w:rPr>
                <w:sz w:val="18"/>
                <w:szCs w:val="18"/>
              </w:rPr>
              <w:t>3</w:t>
            </w:r>
          </w:p>
        </w:tc>
        <w:tc>
          <w:tcPr>
            <w:tcW w:w="1251" w:type="dxa"/>
            <w:tcBorders>
              <w:top w:val="nil"/>
              <w:left w:val="nil"/>
              <w:bottom w:val="single" w:sz="4" w:space="0" w:color="auto"/>
              <w:right w:val="nil"/>
            </w:tcBorders>
            <w:shd w:val="clear" w:color="auto" w:fill="auto"/>
            <w:noWrap/>
            <w:vAlign w:val="bottom"/>
            <w:hideMark/>
          </w:tcPr>
          <w:p w14:paraId="6CEE8038" w14:textId="77777777" w:rsidR="00860EDA" w:rsidRPr="006522C8" w:rsidRDefault="00860EDA" w:rsidP="00787F8D">
            <w:pPr>
              <w:jc w:val="center"/>
              <w:rPr>
                <w:sz w:val="18"/>
                <w:szCs w:val="18"/>
              </w:rPr>
            </w:pPr>
            <w:r w:rsidRPr="006522C8">
              <w:rPr>
                <w:sz w:val="18"/>
                <w:szCs w:val="18"/>
              </w:rPr>
              <w:t>4</w:t>
            </w:r>
          </w:p>
        </w:tc>
        <w:tc>
          <w:tcPr>
            <w:tcW w:w="907" w:type="dxa"/>
            <w:tcBorders>
              <w:top w:val="nil"/>
              <w:left w:val="nil"/>
              <w:bottom w:val="single" w:sz="4" w:space="0" w:color="auto"/>
              <w:right w:val="nil"/>
            </w:tcBorders>
            <w:shd w:val="clear" w:color="auto" w:fill="auto"/>
            <w:noWrap/>
            <w:vAlign w:val="bottom"/>
            <w:hideMark/>
          </w:tcPr>
          <w:p w14:paraId="14B9CED2" w14:textId="77777777" w:rsidR="00860EDA" w:rsidRPr="006522C8" w:rsidRDefault="00860EDA" w:rsidP="00787F8D">
            <w:pPr>
              <w:jc w:val="center"/>
              <w:rPr>
                <w:sz w:val="18"/>
                <w:szCs w:val="18"/>
              </w:rPr>
            </w:pPr>
            <w:r w:rsidRPr="006522C8">
              <w:rPr>
                <w:sz w:val="18"/>
                <w:szCs w:val="18"/>
              </w:rPr>
              <w:t>5</w:t>
            </w:r>
          </w:p>
        </w:tc>
        <w:tc>
          <w:tcPr>
            <w:tcW w:w="907" w:type="dxa"/>
            <w:tcBorders>
              <w:top w:val="nil"/>
              <w:left w:val="nil"/>
              <w:bottom w:val="single" w:sz="4" w:space="0" w:color="auto"/>
              <w:right w:val="nil"/>
            </w:tcBorders>
            <w:shd w:val="clear" w:color="auto" w:fill="auto"/>
            <w:noWrap/>
            <w:vAlign w:val="bottom"/>
            <w:hideMark/>
          </w:tcPr>
          <w:p w14:paraId="3740061D" w14:textId="77777777" w:rsidR="00860EDA" w:rsidRPr="006522C8" w:rsidRDefault="00860EDA" w:rsidP="00787F8D">
            <w:pPr>
              <w:jc w:val="center"/>
              <w:rPr>
                <w:sz w:val="18"/>
                <w:szCs w:val="18"/>
              </w:rPr>
            </w:pPr>
            <w:r w:rsidRPr="006522C8">
              <w:rPr>
                <w:sz w:val="18"/>
                <w:szCs w:val="18"/>
              </w:rPr>
              <w:t>6</w:t>
            </w:r>
          </w:p>
        </w:tc>
      </w:tr>
      <w:tr w:rsidR="00860EDA" w:rsidRPr="006522C8" w14:paraId="53A3E4F4" w14:textId="77777777" w:rsidTr="00787F8D">
        <w:trPr>
          <w:trHeight w:val="240"/>
        </w:trPr>
        <w:tc>
          <w:tcPr>
            <w:tcW w:w="306" w:type="dxa"/>
            <w:tcBorders>
              <w:top w:val="nil"/>
              <w:left w:val="nil"/>
              <w:bottom w:val="nil"/>
              <w:right w:val="nil"/>
            </w:tcBorders>
            <w:shd w:val="clear" w:color="auto" w:fill="auto"/>
            <w:noWrap/>
            <w:vAlign w:val="bottom"/>
            <w:hideMark/>
          </w:tcPr>
          <w:p w14:paraId="1993A16D" w14:textId="77777777" w:rsidR="00860EDA" w:rsidRPr="006522C8" w:rsidRDefault="00860EDA" w:rsidP="00787F8D">
            <w:pPr>
              <w:jc w:val="right"/>
              <w:rPr>
                <w:sz w:val="18"/>
                <w:szCs w:val="18"/>
              </w:rPr>
            </w:pPr>
            <w:r w:rsidRPr="006522C8">
              <w:rPr>
                <w:sz w:val="18"/>
                <w:szCs w:val="18"/>
              </w:rPr>
              <w:t>6</w:t>
            </w:r>
          </w:p>
        </w:tc>
        <w:tc>
          <w:tcPr>
            <w:tcW w:w="3238" w:type="dxa"/>
            <w:tcBorders>
              <w:top w:val="nil"/>
              <w:left w:val="nil"/>
              <w:bottom w:val="nil"/>
              <w:right w:val="nil"/>
            </w:tcBorders>
            <w:shd w:val="clear" w:color="auto" w:fill="auto"/>
            <w:noWrap/>
            <w:vAlign w:val="bottom"/>
            <w:hideMark/>
          </w:tcPr>
          <w:p w14:paraId="4FA49030" w14:textId="77777777" w:rsidR="00860EDA" w:rsidRPr="006522C8" w:rsidRDefault="00860EDA" w:rsidP="00787F8D">
            <w:pPr>
              <w:rPr>
                <w:sz w:val="18"/>
                <w:szCs w:val="18"/>
              </w:rPr>
            </w:pPr>
            <w:r w:rsidRPr="006522C8">
              <w:rPr>
                <w:sz w:val="18"/>
                <w:szCs w:val="18"/>
              </w:rPr>
              <w:t>Prihodi poslovanja</w:t>
            </w:r>
          </w:p>
        </w:tc>
        <w:tc>
          <w:tcPr>
            <w:tcW w:w="1300" w:type="dxa"/>
            <w:tcBorders>
              <w:top w:val="nil"/>
              <w:left w:val="nil"/>
              <w:bottom w:val="nil"/>
              <w:right w:val="nil"/>
            </w:tcBorders>
            <w:shd w:val="clear" w:color="auto" w:fill="auto"/>
            <w:noWrap/>
            <w:vAlign w:val="bottom"/>
            <w:hideMark/>
          </w:tcPr>
          <w:p w14:paraId="773C671D" w14:textId="77777777" w:rsidR="00860EDA" w:rsidRPr="006522C8" w:rsidRDefault="00860EDA" w:rsidP="00787F8D">
            <w:pPr>
              <w:jc w:val="right"/>
              <w:rPr>
                <w:sz w:val="18"/>
                <w:szCs w:val="18"/>
              </w:rPr>
            </w:pPr>
            <w:r w:rsidRPr="006522C8">
              <w:rPr>
                <w:sz w:val="18"/>
                <w:szCs w:val="18"/>
              </w:rPr>
              <w:t>32.174.692,70</w:t>
            </w:r>
          </w:p>
        </w:tc>
        <w:tc>
          <w:tcPr>
            <w:tcW w:w="1300" w:type="dxa"/>
            <w:tcBorders>
              <w:top w:val="nil"/>
              <w:left w:val="nil"/>
              <w:bottom w:val="nil"/>
              <w:right w:val="nil"/>
            </w:tcBorders>
            <w:shd w:val="clear" w:color="auto" w:fill="auto"/>
            <w:noWrap/>
            <w:vAlign w:val="bottom"/>
            <w:hideMark/>
          </w:tcPr>
          <w:p w14:paraId="634CB008" w14:textId="77777777" w:rsidR="00860EDA" w:rsidRPr="006522C8" w:rsidRDefault="00860EDA" w:rsidP="00787F8D">
            <w:pPr>
              <w:jc w:val="right"/>
              <w:rPr>
                <w:sz w:val="18"/>
                <w:szCs w:val="18"/>
              </w:rPr>
            </w:pPr>
            <w:r w:rsidRPr="006522C8">
              <w:rPr>
                <w:sz w:val="18"/>
                <w:szCs w:val="18"/>
              </w:rPr>
              <w:t>34.475.056,19</w:t>
            </w:r>
          </w:p>
        </w:tc>
        <w:tc>
          <w:tcPr>
            <w:tcW w:w="1251" w:type="dxa"/>
            <w:tcBorders>
              <w:top w:val="nil"/>
              <w:left w:val="nil"/>
              <w:bottom w:val="nil"/>
              <w:right w:val="nil"/>
            </w:tcBorders>
            <w:shd w:val="clear" w:color="auto" w:fill="auto"/>
            <w:noWrap/>
            <w:vAlign w:val="bottom"/>
            <w:hideMark/>
          </w:tcPr>
          <w:p w14:paraId="1009FD59" w14:textId="77777777" w:rsidR="00860EDA" w:rsidRPr="006522C8" w:rsidRDefault="00860EDA" w:rsidP="00787F8D">
            <w:pPr>
              <w:jc w:val="right"/>
              <w:rPr>
                <w:sz w:val="18"/>
                <w:szCs w:val="18"/>
              </w:rPr>
            </w:pPr>
            <w:r w:rsidRPr="006522C8">
              <w:rPr>
                <w:sz w:val="18"/>
                <w:szCs w:val="18"/>
              </w:rPr>
              <w:t>33.918.466,04</w:t>
            </w:r>
          </w:p>
        </w:tc>
        <w:tc>
          <w:tcPr>
            <w:tcW w:w="907" w:type="dxa"/>
            <w:tcBorders>
              <w:top w:val="nil"/>
              <w:left w:val="nil"/>
              <w:bottom w:val="nil"/>
              <w:right w:val="nil"/>
            </w:tcBorders>
            <w:shd w:val="clear" w:color="auto" w:fill="auto"/>
            <w:noWrap/>
            <w:vAlign w:val="bottom"/>
            <w:hideMark/>
          </w:tcPr>
          <w:p w14:paraId="6A48FC06" w14:textId="77777777" w:rsidR="00860EDA" w:rsidRPr="006522C8" w:rsidRDefault="00860EDA" w:rsidP="00787F8D">
            <w:pPr>
              <w:jc w:val="right"/>
              <w:rPr>
                <w:sz w:val="18"/>
                <w:szCs w:val="18"/>
              </w:rPr>
            </w:pPr>
            <w:r w:rsidRPr="006522C8">
              <w:rPr>
                <w:sz w:val="18"/>
                <w:szCs w:val="18"/>
              </w:rPr>
              <w:t>105,42</w:t>
            </w:r>
          </w:p>
        </w:tc>
        <w:tc>
          <w:tcPr>
            <w:tcW w:w="907" w:type="dxa"/>
            <w:tcBorders>
              <w:top w:val="nil"/>
              <w:left w:val="nil"/>
              <w:bottom w:val="nil"/>
              <w:right w:val="nil"/>
            </w:tcBorders>
            <w:shd w:val="clear" w:color="auto" w:fill="auto"/>
            <w:noWrap/>
            <w:vAlign w:val="bottom"/>
            <w:hideMark/>
          </w:tcPr>
          <w:p w14:paraId="0CF950F8" w14:textId="77777777" w:rsidR="00860EDA" w:rsidRPr="006522C8" w:rsidRDefault="00860EDA" w:rsidP="00787F8D">
            <w:pPr>
              <w:jc w:val="right"/>
              <w:rPr>
                <w:sz w:val="18"/>
                <w:szCs w:val="18"/>
              </w:rPr>
            </w:pPr>
            <w:r w:rsidRPr="006522C8">
              <w:rPr>
                <w:sz w:val="18"/>
                <w:szCs w:val="18"/>
              </w:rPr>
              <w:t>98,39</w:t>
            </w:r>
          </w:p>
        </w:tc>
      </w:tr>
      <w:tr w:rsidR="00860EDA" w:rsidRPr="006522C8" w14:paraId="2C9D2280" w14:textId="77777777" w:rsidTr="00787F8D">
        <w:trPr>
          <w:trHeight w:val="240"/>
        </w:trPr>
        <w:tc>
          <w:tcPr>
            <w:tcW w:w="306" w:type="dxa"/>
            <w:tcBorders>
              <w:top w:val="nil"/>
              <w:left w:val="nil"/>
              <w:bottom w:val="nil"/>
              <w:right w:val="nil"/>
            </w:tcBorders>
            <w:shd w:val="clear" w:color="auto" w:fill="auto"/>
            <w:noWrap/>
            <w:vAlign w:val="bottom"/>
            <w:hideMark/>
          </w:tcPr>
          <w:p w14:paraId="51933A95" w14:textId="77777777" w:rsidR="00860EDA" w:rsidRPr="006522C8" w:rsidRDefault="00860EDA" w:rsidP="00787F8D">
            <w:pPr>
              <w:jc w:val="right"/>
              <w:rPr>
                <w:sz w:val="18"/>
                <w:szCs w:val="18"/>
              </w:rPr>
            </w:pPr>
            <w:r w:rsidRPr="006522C8">
              <w:rPr>
                <w:sz w:val="18"/>
                <w:szCs w:val="18"/>
              </w:rPr>
              <w:t>7</w:t>
            </w:r>
          </w:p>
        </w:tc>
        <w:tc>
          <w:tcPr>
            <w:tcW w:w="3238" w:type="dxa"/>
            <w:tcBorders>
              <w:top w:val="nil"/>
              <w:left w:val="nil"/>
              <w:bottom w:val="nil"/>
              <w:right w:val="nil"/>
            </w:tcBorders>
            <w:shd w:val="clear" w:color="auto" w:fill="auto"/>
            <w:noWrap/>
            <w:vAlign w:val="bottom"/>
            <w:hideMark/>
          </w:tcPr>
          <w:p w14:paraId="183B4D15" w14:textId="77777777" w:rsidR="00860EDA" w:rsidRPr="006522C8" w:rsidRDefault="00860EDA" w:rsidP="00787F8D">
            <w:pPr>
              <w:rPr>
                <w:sz w:val="18"/>
                <w:szCs w:val="18"/>
              </w:rPr>
            </w:pPr>
            <w:r w:rsidRPr="006522C8">
              <w:rPr>
                <w:sz w:val="18"/>
                <w:szCs w:val="18"/>
              </w:rPr>
              <w:t>Prihodi od prodaje nefinancijske imovine</w:t>
            </w:r>
          </w:p>
        </w:tc>
        <w:tc>
          <w:tcPr>
            <w:tcW w:w="1300" w:type="dxa"/>
            <w:tcBorders>
              <w:top w:val="nil"/>
              <w:left w:val="nil"/>
              <w:bottom w:val="nil"/>
              <w:right w:val="nil"/>
            </w:tcBorders>
            <w:shd w:val="clear" w:color="auto" w:fill="auto"/>
            <w:noWrap/>
            <w:vAlign w:val="bottom"/>
            <w:hideMark/>
          </w:tcPr>
          <w:p w14:paraId="3608E822" w14:textId="77777777" w:rsidR="00860EDA" w:rsidRPr="006522C8" w:rsidRDefault="00860EDA" w:rsidP="00787F8D">
            <w:pPr>
              <w:jc w:val="right"/>
              <w:rPr>
                <w:sz w:val="18"/>
                <w:szCs w:val="18"/>
              </w:rPr>
            </w:pPr>
            <w:r w:rsidRPr="006522C8">
              <w:rPr>
                <w:sz w:val="18"/>
                <w:szCs w:val="18"/>
              </w:rPr>
              <w:t>4.580.232,11</w:t>
            </w:r>
          </w:p>
        </w:tc>
        <w:tc>
          <w:tcPr>
            <w:tcW w:w="1300" w:type="dxa"/>
            <w:tcBorders>
              <w:top w:val="nil"/>
              <w:left w:val="nil"/>
              <w:bottom w:val="nil"/>
              <w:right w:val="nil"/>
            </w:tcBorders>
            <w:shd w:val="clear" w:color="auto" w:fill="auto"/>
            <w:noWrap/>
            <w:vAlign w:val="bottom"/>
            <w:hideMark/>
          </w:tcPr>
          <w:p w14:paraId="0EBE4176" w14:textId="77777777" w:rsidR="00860EDA" w:rsidRPr="006522C8" w:rsidRDefault="00860EDA" w:rsidP="00787F8D">
            <w:pPr>
              <w:jc w:val="right"/>
              <w:rPr>
                <w:sz w:val="18"/>
                <w:szCs w:val="18"/>
              </w:rPr>
            </w:pPr>
            <w:r w:rsidRPr="006522C8">
              <w:rPr>
                <w:sz w:val="18"/>
                <w:szCs w:val="18"/>
              </w:rPr>
              <w:t>6.100.000,00</w:t>
            </w:r>
          </w:p>
        </w:tc>
        <w:tc>
          <w:tcPr>
            <w:tcW w:w="1251" w:type="dxa"/>
            <w:tcBorders>
              <w:top w:val="nil"/>
              <w:left w:val="nil"/>
              <w:bottom w:val="nil"/>
              <w:right w:val="nil"/>
            </w:tcBorders>
            <w:shd w:val="clear" w:color="auto" w:fill="auto"/>
            <w:noWrap/>
            <w:vAlign w:val="bottom"/>
            <w:hideMark/>
          </w:tcPr>
          <w:p w14:paraId="33E20EEE" w14:textId="77777777" w:rsidR="00860EDA" w:rsidRPr="006522C8" w:rsidRDefault="00860EDA" w:rsidP="00787F8D">
            <w:pPr>
              <w:jc w:val="right"/>
              <w:rPr>
                <w:sz w:val="18"/>
                <w:szCs w:val="18"/>
              </w:rPr>
            </w:pPr>
            <w:r w:rsidRPr="006522C8">
              <w:rPr>
                <w:sz w:val="18"/>
                <w:szCs w:val="18"/>
              </w:rPr>
              <w:t>3.996.473,16</w:t>
            </w:r>
          </w:p>
        </w:tc>
        <w:tc>
          <w:tcPr>
            <w:tcW w:w="907" w:type="dxa"/>
            <w:tcBorders>
              <w:top w:val="nil"/>
              <w:left w:val="nil"/>
              <w:bottom w:val="nil"/>
              <w:right w:val="nil"/>
            </w:tcBorders>
            <w:shd w:val="clear" w:color="auto" w:fill="auto"/>
            <w:noWrap/>
            <w:vAlign w:val="bottom"/>
            <w:hideMark/>
          </w:tcPr>
          <w:p w14:paraId="026389BF" w14:textId="77777777" w:rsidR="00860EDA" w:rsidRPr="006522C8" w:rsidRDefault="00860EDA" w:rsidP="00787F8D">
            <w:pPr>
              <w:jc w:val="right"/>
              <w:rPr>
                <w:sz w:val="18"/>
                <w:szCs w:val="18"/>
              </w:rPr>
            </w:pPr>
            <w:r w:rsidRPr="006522C8">
              <w:rPr>
                <w:sz w:val="18"/>
                <w:szCs w:val="18"/>
              </w:rPr>
              <w:t>87,25</w:t>
            </w:r>
          </w:p>
        </w:tc>
        <w:tc>
          <w:tcPr>
            <w:tcW w:w="907" w:type="dxa"/>
            <w:tcBorders>
              <w:top w:val="nil"/>
              <w:left w:val="nil"/>
              <w:bottom w:val="nil"/>
              <w:right w:val="nil"/>
            </w:tcBorders>
            <w:shd w:val="clear" w:color="auto" w:fill="auto"/>
            <w:noWrap/>
            <w:vAlign w:val="bottom"/>
            <w:hideMark/>
          </w:tcPr>
          <w:p w14:paraId="3FA80A3A" w14:textId="77777777" w:rsidR="00860EDA" w:rsidRPr="006522C8" w:rsidRDefault="00860EDA" w:rsidP="00787F8D">
            <w:pPr>
              <w:jc w:val="right"/>
              <w:rPr>
                <w:sz w:val="18"/>
                <w:szCs w:val="18"/>
              </w:rPr>
            </w:pPr>
            <w:r w:rsidRPr="006522C8">
              <w:rPr>
                <w:sz w:val="18"/>
                <w:szCs w:val="18"/>
              </w:rPr>
              <w:t>65,52</w:t>
            </w:r>
          </w:p>
        </w:tc>
      </w:tr>
      <w:tr w:rsidR="00860EDA" w:rsidRPr="006522C8" w14:paraId="38253474" w14:textId="77777777" w:rsidTr="00787F8D">
        <w:trPr>
          <w:trHeight w:val="240"/>
        </w:trPr>
        <w:tc>
          <w:tcPr>
            <w:tcW w:w="306" w:type="dxa"/>
            <w:tcBorders>
              <w:top w:val="single" w:sz="4" w:space="0" w:color="auto"/>
              <w:left w:val="nil"/>
              <w:bottom w:val="single" w:sz="4" w:space="0" w:color="auto"/>
              <w:right w:val="nil"/>
            </w:tcBorders>
            <w:shd w:val="clear" w:color="auto" w:fill="auto"/>
            <w:noWrap/>
            <w:vAlign w:val="bottom"/>
            <w:hideMark/>
          </w:tcPr>
          <w:p w14:paraId="2341414C" w14:textId="77777777" w:rsidR="00860EDA" w:rsidRPr="006522C8" w:rsidRDefault="00860EDA" w:rsidP="00787F8D">
            <w:pPr>
              <w:rPr>
                <w:sz w:val="18"/>
                <w:szCs w:val="18"/>
              </w:rPr>
            </w:pPr>
            <w:r w:rsidRPr="006522C8">
              <w:rPr>
                <w:sz w:val="18"/>
                <w:szCs w:val="18"/>
              </w:rPr>
              <w:t> </w:t>
            </w:r>
          </w:p>
        </w:tc>
        <w:tc>
          <w:tcPr>
            <w:tcW w:w="3238" w:type="dxa"/>
            <w:tcBorders>
              <w:top w:val="single" w:sz="4" w:space="0" w:color="auto"/>
              <w:left w:val="nil"/>
              <w:bottom w:val="single" w:sz="4" w:space="0" w:color="auto"/>
              <w:right w:val="nil"/>
            </w:tcBorders>
            <w:shd w:val="clear" w:color="auto" w:fill="auto"/>
            <w:noWrap/>
            <w:vAlign w:val="bottom"/>
            <w:hideMark/>
          </w:tcPr>
          <w:p w14:paraId="1972CE50" w14:textId="77777777" w:rsidR="00860EDA" w:rsidRPr="006522C8" w:rsidRDefault="00860EDA" w:rsidP="00787F8D">
            <w:pPr>
              <w:rPr>
                <w:sz w:val="18"/>
                <w:szCs w:val="18"/>
              </w:rPr>
            </w:pPr>
            <w:r w:rsidRPr="006522C8">
              <w:rPr>
                <w:sz w:val="18"/>
                <w:szCs w:val="18"/>
              </w:rPr>
              <w:t>UKUPNI PRIHODI</w:t>
            </w:r>
          </w:p>
        </w:tc>
        <w:tc>
          <w:tcPr>
            <w:tcW w:w="1300" w:type="dxa"/>
            <w:tcBorders>
              <w:top w:val="single" w:sz="4" w:space="0" w:color="auto"/>
              <w:left w:val="nil"/>
              <w:bottom w:val="single" w:sz="4" w:space="0" w:color="auto"/>
              <w:right w:val="nil"/>
            </w:tcBorders>
            <w:shd w:val="clear" w:color="auto" w:fill="auto"/>
            <w:noWrap/>
            <w:vAlign w:val="bottom"/>
            <w:hideMark/>
          </w:tcPr>
          <w:p w14:paraId="64619466" w14:textId="77777777" w:rsidR="00860EDA" w:rsidRPr="006522C8" w:rsidRDefault="00860EDA" w:rsidP="00787F8D">
            <w:pPr>
              <w:jc w:val="right"/>
              <w:rPr>
                <w:sz w:val="18"/>
                <w:szCs w:val="18"/>
              </w:rPr>
            </w:pPr>
            <w:r w:rsidRPr="006522C8">
              <w:rPr>
                <w:sz w:val="18"/>
                <w:szCs w:val="18"/>
              </w:rPr>
              <w:t>36.754.924,81</w:t>
            </w:r>
          </w:p>
        </w:tc>
        <w:tc>
          <w:tcPr>
            <w:tcW w:w="1300" w:type="dxa"/>
            <w:tcBorders>
              <w:top w:val="single" w:sz="4" w:space="0" w:color="auto"/>
              <w:left w:val="nil"/>
              <w:bottom w:val="single" w:sz="4" w:space="0" w:color="auto"/>
              <w:right w:val="nil"/>
            </w:tcBorders>
            <w:shd w:val="clear" w:color="auto" w:fill="auto"/>
            <w:noWrap/>
            <w:vAlign w:val="bottom"/>
            <w:hideMark/>
          </w:tcPr>
          <w:p w14:paraId="0E86F5E2" w14:textId="77777777" w:rsidR="00860EDA" w:rsidRPr="006522C8" w:rsidRDefault="00860EDA" w:rsidP="00787F8D">
            <w:pPr>
              <w:jc w:val="right"/>
              <w:rPr>
                <w:sz w:val="18"/>
                <w:szCs w:val="18"/>
              </w:rPr>
            </w:pPr>
            <w:r w:rsidRPr="006522C8">
              <w:rPr>
                <w:sz w:val="18"/>
                <w:szCs w:val="18"/>
              </w:rPr>
              <w:t>40.575.056,19</w:t>
            </w:r>
          </w:p>
        </w:tc>
        <w:tc>
          <w:tcPr>
            <w:tcW w:w="1251" w:type="dxa"/>
            <w:tcBorders>
              <w:top w:val="single" w:sz="4" w:space="0" w:color="auto"/>
              <w:left w:val="nil"/>
              <w:bottom w:val="single" w:sz="4" w:space="0" w:color="auto"/>
              <w:right w:val="nil"/>
            </w:tcBorders>
            <w:shd w:val="clear" w:color="auto" w:fill="auto"/>
            <w:noWrap/>
            <w:vAlign w:val="bottom"/>
            <w:hideMark/>
          </w:tcPr>
          <w:p w14:paraId="6A9396FF" w14:textId="77777777" w:rsidR="00860EDA" w:rsidRPr="006522C8" w:rsidRDefault="00860EDA" w:rsidP="00787F8D">
            <w:pPr>
              <w:jc w:val="right"/>
              <w:rPr>
                <w:sz w:val="18"/>
                <w:szCs w:val="18"/>
              </w:rPr>
            </w:pPr>
            <w:r w:rsidRPr="006522C8">
              <w:rPr>
                <w:sz w:val="18"/>
                <w:szCs w:val="18"/>
              </w:rPr>
              <w:t>37.914.939,20</w:t>
            </w:r>
          </w:p>
        </w:tc>
        <w:tc>
          <w:tcPr>
            <w:tcW w:w="907" w:type="dxa"/>
            <w:tcBorders>
              <w:top w:val="single" w:sz="4" w:space="0" w:color="auto"/>
              <w:left w:val="nil"/>
              <w:bottom w:val="single" w:sz="4" w:space="0" w:color="auto"/>
              <w:right w:val="nil"/>
            </w:tcBorders>
            <w:shd w:val="clear" w:color="auto" w:fill="auto"/>
            <w:noWrap/>
            <w:vAlign w:val="bottom"/>
            <w:hideMark/>
          </w:tcPr>
          <w:p w14:paraId="3B14A1CF" w14:textId="77777777" w:rsidR="00860EDA" w:rsidRPr="006522C8" w:rsidRDefault="00860EDA" w:rsidP="00787F8D">
            <w:pPr>
              <w:jc w:val="right"/>
              <w:rPr>
                <w:sz w:val="18"/>
                <w:szCs w:val="18"/>
              </w:rPr>
            </w:pPr>
            <w:r w:rsidRPr="006522C8">
              <w:rPr>
                <w:sz w:val="18"/>
                <w:szCs w:val="18"/>
              </w:rPr>
              <w:t>103,16</w:t>
            </w:r>
          </w:p>
        </w:tc>
        <w:tc>
          <w:tcPr>
            <w:tcW w:w="907" w:type="dxa"/>
            <w:tcBorders>
              <w:top w:val="single" w:sz="4" w:space="0" w:color="auto"/>
              <w:left w:val="nil"/>
              <w:bottom w:val="single" w:sz="4" w:space="0" w:color="auto"/>
              <w:right w:val="nil"/>
            </w:tcBorders>
            <w:shd w:val="clear" w:color="auto" w:fill="auto"/>
            <w:noWrap/>
            <w:vAlign w:val="bottom"/>
            <w:hideMark/>
          </w:tcPr>
          <w:p w14:paraId="21904EA1" w14:textId="77777777" w:rsidR="00860EDA" w:rsidRPr="006522C8" w:rsidRDefault="00860EDA" w:rsidP="00787F8D">
            <w:pPr>
              <w:jc w:val="right"/>
              <w:rPr>
                <w:sz w:val="18"/>
                <w:szCs w:val="18"/>
              </w:rPr>
            </w:pPr>
            <w:r w:rsidRPr="006522C8">
              <w:rPr>
                <w:sz w:val="18"/>
                <w:szCs w:val="18"/>
              </w:rPr>
              <w:t>93,44</w:t>
            </w:r>
          </w:p>
        </w:tc>
      </w:tr>
      <w:tr w:rsidR="00860EDA" w:rsidRPr="006522C8" w14:paraId="5D14D66C" w14:textId="77777777" w:rsidTr="00787F8D">
        <w:trPr>
          <w:trHeight w:val="240"/>
        </w:trPr>
        <w:tc>
          <w:tcPr>
            <w:tcW w:w="306" w:type="dxa"/>
            <w:tcBorders>
              <w:top w:val="nil"/>
              <w:left w:val="nil"/>
              <w:bottom w:val="nil"/>
              <w:right w:val="nil"/>
            </w:tcBorders>
            <w:shd w:val="clear" w:color="auto" w:fill="auto"/>
            <w:noWrap/>
            <w:vAlign w:val="bottom"/>
            <w:hideMark/>
          </w:tcPr>
          <w:p w14:paraId="065A284D" w14:textId="77777777" w:rsidR="00860EDA" w:rsidRPr="006522C8" w:rsidRDefault="00860EDA" w:rsidP="00787F8D">
            <w:pPr>
              <w:jc w:val="right"/>
              <w:rPr>
                <w:sz w:val="18"/>
                <w:szCs w:val="18"/>
              </w:rPr>
            </w:pPr>
            <w:r w:rsidRPr="006522C8">
              <w:rPr>
                <w:sz w:val="18"/>
                <w:szCs w:val="18"/>
              </w:rPr>
              <w:t>3</w:t>
            </w:r>
          </w:p>
        </w:tc>
        <w:tc>
          <w:tcPr>
            <w:tcW w:w="3238" w:type="dxa"/>
            <w:tcBorders>
              <w:top w:val="nil"/>
              <w:left w:val="nil"/>
              <w:bottom w:val="nil"/>
              <w:right w:val="nil"/>
            </w:tcBorders>
            <w:shd w:val="clear" w:color="auto" w:fill="auto"/>
            <w:noWrap/>
            <w:vAlign w:val="bottom"/>
            <w:hideMark/>
          </w:tcPr>
          <w:p w14:paraId="4BC8C380" w14:textId="77777777" w:rsidR="00860EDA" w:rsidRPr="006522C8" w:rsidRDefault="00860EDA" w:rsidP="00787F8D">
            <w:pPr>
              <w:rPr>
                <w:sz w:val="18"/>
                <w:szCs w:val="18"/>
              </w:rPr>
            </w:pPr>
            <w:r w:rsidRPr="006522C8">
              <w:rPr>
                <w:sz w:val="18"/>
                <w:szCs w:val="18"/>
              </w:rPr>
              <w:t>Rashodi poslovanja</w:t>
            </w:r>
          </w:p>
        </w:tc>
        <w:tc>
          <w:tcPr>
            <w:tcW w:w="1300" w:type="dxa"/>
            <w:tcBorders>
              <w:top w:val="nil"/>
              <w:left w:val="nil"/>
              <w:bottom w:val="nil"/>
              <w:right w:val="nil"/>
            </w:tcBorders>
            <w:shd w:val="clear" w:color="auto" w:fill="auto"/>
            <w:noWrap/>
            <w:vAlign w:val="bottom"/>
            <w:hideMark/>
          </w:tcPr>
          <w:p w14:paraId="7000E1CF" w14:textId="77777777" w:rsidR="00860EDA" w:rsidRPr="006522C8" w:rsidRDefault="00860EDA" w:rsidP="00787F8D">
            <w:pPr>
              <w:jc w:val="right"/>
              <w:rPr>
                <w:sz w:val="18"/>
                <w:szCs w:val="18"/>
              </w:rPr>
            </w:pPr>
            <w:r w:rsidRPr="006522C8">
              <w:rPr>
                <w:sz w:val="18"/>
                <w:szCs w:val="18"/>
              </w:rPr>
              <w:t>26.175.139,99</w:t>
            </w:r>
          </w:p>
        </w:tc>
        <w:tc>
          <w:tcPr>
            <w:tcW w:w="1300" w:type="dxa"/>
            <w:tcBorders>
              <w:top w:val="nil"/>
              <w:left w:val="nil"/>
              <w:bottom w:val="nil"/>
              <w:right w:val="nil"/>
            </w:tcBorders>
            <w:shd w:val="clear" w:color="auto" w:fill="auto"/>
            <w:noWrap/>
            <w:vAlign w:val="bottom"/>
            <w:hideMark/>
          </w:tcPr>
          <w:p w14:paraId="6CE3BA02" w14:textId="77777777" w:rsidR="00860EDA" w:rsidRPr="006522C8" w:rsidRDefault="00860EDA" w:rsidP="00787F8D">
            <w:pPr>
              <w:jc w:val="right"/>
              <w:rPr>
                <w:sz w:val="18"/>
                <w:szCs w:val="18"/>
              </w:rPr>
            </w:pPr>
            <w:r w:rsidRPr="006522C8">
              <w:rPr>
                <w:sz w:val="18"/>
                <w:szCs w:val="18"/>
              </w:rPr>
              <w:t>32.617.351,15</w:t>
            </w:r>
          </w:p>
        </w:tc>
        <w:tc>
          <w:tcPr>
            <w:tcW w:w="1251" w:type="dxa"/>
            <w:tcBorders>
              <w:top w:val="nil"/>
              <w:left w:val="nil"/>
              <w:bottom w:val="nil"/>
              <w:right w:val="nil"/>
            </w:tcBorders>
            <w:shd w:val="clear" w:color="auto" w:fill="auto"/>
            <w:noWrap/>
            <w:vAlign w:val="bottom"/>
            <w:hideMark/>
          </w:tcPr>
          <w:p w14:paraId="7763C9A5" w14:textId="77777777" w:rsidR="00860EDA" w:rsidRPr="006522C8" w:rsidRDefault="00860EDA" w:rsidP="00787F8D">
            <w:pPr>
              <w:jc w:val="right"/>
              <w:rPr>
                <w:sz w:val="18"/>
                <w:szCs w:val="18"/>
              </w:rPr>
            </w:pPr>
            <w:r w:rsidRPr="006522C8">
              <w:rPr>
                <w:sz w:val="18"/>
                <w:szCs w:val="18"/>
              </w:rPr>
              <w:t>30.046.726,27</w:t>
            </w:r>
          </w:p>
        </w:tc>
        <w:tc>
          <w:tcPr>
            <w:tcW w:w="907" w:type="dxa"/>
            <w:tcBorders>
              <w:top w:val="nil"/>
              <w:left w:val="nil"/>
              <w:bottom w:val="nil"/>
              <w:right w:val="nil"/>
            </w:tcBorders>
            <w:shd w:val="clear" w:color="auto" w:fill="auto"/>
            <w:noWrap/>
            <w:vAlign w:val="bottom"/>
            <w:hideMark/>
          </w:tcPr>
          <w:p w14:paraId="4A3BC6F0" w14:textId="77777777" w:rsidR="00860EDA" w:rsidRPr="006522C8" w:rsidRDefault="00860EDA" w:rsidP="00787F8D">
            <w:pPr>
              <w:jc w:val="right"/>
              <w:rPr>
                <w:sz w:val="18"/>
                <w:szCs w:val="18"/>
              </w:rPr>
            </w:pPr>
            <w:r w:rsidRPr="006522C8">
              <w:rPr>
                <w:sz w:val="18"/>
                <w:szCs w:val="18"/>
              </w:rPr>
              <w:t>114,79</w:t>
            </w:r>
          </w:p>
        </w:tc>
        <w:tc>
          <w:tcPr>
            <w:tcW w:w="907" w:type="dxa"/>
            <w:tcBorders>
              <w:top w:val="nil"/>
              <w:left w:val="nil"/>
              <w:bottom w:val="nil"/>
              <w:right w:val="nil"/>
            </w:tcBorders>
            <w:shd w:val="clear" w:color="auto" w:fill="auto"/>
            <w:noWrap/>
            <w:vAlign w:val="bottom"/>
            <w:hideMark/>
          </w:tcPr>
          <w:p w14:paraId="724BB2BC" w14:textId="77777777" w:rsidR="00860EDA" w:rsidRPr="006522C8" w:rsidRDefault="00860EDA" w:rsidP="00787F8D">
            <w:pPr>
              <w:jc w:val="right"/>
              <w:rPr>
                <w:sz w:val="18"/>
                <w:szCs w:val="18"/>
              </w:rPr>
            </w:pPr>
            <w:r w:rsidRPr="006522C8">
              <w:rPr>
                <w:sz w:val="18"/>
                <w:szCs w:val="18"/>
              </w:rPr>
              <w:t>92,12</w:t>
            </w:r>
          </w:p>
        </w:tc>
      </w:tr>
      <w:tr w:rsidR="00860EDA" w:rsidRPr="006522C8" w14:paraId="1D641EFA" w14:textId="77777777" w:rsidTr="00787F8D">
        <w:trPr>
          <w:trHeight w:val="240"/>
        </w:trPr>
        <w:tc>
          <w:tcPr>
            <w:tcW w:w="306" w:type="dxa"/>
            <w:tcBorders>
              <w:top w:val="nil"/>
              <w:left w:val="nil"/>
              <w:bottom w:val="nil"/>
              <w:right w:val="nil"/>
            </w:tcBorders>
            <w:shd w:val="clear" w:color="auto" w:fill="auto"/>
            <w:noWrap/>
            <w:vAlign w:val="bottom"/>
            <w:hideMark/>
          </w:tcPr>
          <w:p w14:paraId="0372DE74" w14:textId="77777777" w:rsidR="00860EDA" w:rsidRPr="006522C8" w:rsidRDefault="00860EDA" w:rsidP="00787F8D">
            <w:pPr>
              <w:jc w:val="right"/>
              <w:rPr>
                <w:sz w:val="18"/>
                <w:szCs w:val="18"/>
              </w:rPr>
            </w:pPr>
            <w:r w:rsidRPr="006522C8">
              <w:rPr>
                <w:sz w:val="18"/>
                <w:szCs w:val="18"/>
              </w:rPr>
              <w:t>4</w:t>
            </w:r>
          </w:p>
        </w:tc>
        <w:tc>
          <w:tcPr>
            <w:tcW w:w="3238" w:type="dxa"/>
            <w:tcBorders>
              <w:top w:val="nil"/>
              <w:left w:val="nil"/>
              <w:bottom w:val="nil"/>
              <w:right w:val="nil"/>
            </w:tcBorders>
            <w:shd w:val="clear" w:color="auto" w:fill="auto"/>
            <w:noWrap/>
            <w:vAlign w:val="bottom"/>
            <w:hideMark/>
          </w:tcPr>
          <w:p w14:paraId="68CCCD39" w14:textId="77777777" w:rsidR="00860EDA" w:rsidRPr="006522C8" w:rsidRDefault="00860EDA" w:rsidP="00787F8D">
            <w:pPr>
              <w:rPr>
                <w:sz w:val="18"/>
                <w:szCs w:val="18"/>
              </w:rPr>
            </w:pPr>
            <w:r w:rsidRPr="006522C8">
              <w:rPr>
                <w:sz w:val="18"/>
                <w:szCs w:val="18"/>
              </w:rPr>
              <w:t>Rashodi za nabavu nefinancijske imovine</w:t>
            </w:r>
          </w:p>
        </w:tc>
        <w:tc>
          <w:tcPr>
            <w:tcW w:w="1300" w:type="dxa"/>
            <w:tcBorders>
              <w:top w:val="nil"/>
              <w:left w:val="nil"/>
              <w:bottom w:val="nil"/>
              <w:right w:val="nil"/>
            </w:tcBorders>
            <w:shd w:val="clear" w:color="auto" w:fill="auto"/>
            <w:noWrap/>
            <w:vAlign w:val="bottom"/>
            <w:hideMark/>
          </w:tcPr>
          <w:p w14:paraId="13E9EFAF" w14:textId="77777777" w:rsidR="00860EDA" w:rsidRPr="006522C8" w:rsidRDefault="00860EDA" w:rsidP="00787F8D">
            <w:pPr>
              <w:jc w:val="right"/>
              <w:rPr>
                <w:sz w:val="18"/>
                <w:szCs w:val="18"/>
              </w:rPr>
            </w:pPr>
            <w:r w:rsidRPr="006522C8">
              <w:rPr>
                <w:sz w:val="18"/>
                <w:szCs w:val="18"/>
              </w:rPr>
              <w:t>9.739.905,39</w:t>
            </w:r>
          </w:p>
        </w:tc>
        <w:tc>
          <w:tcPr>
            <w:tcW w:w="1300" w:type="dxa"/>
            <w:tcBorders>
              <w:top w:val="nil"/>
              <w:left w:val="nil"/>
              <w:bottom w:val="nil"/>
              <w:right w:val="nil"/>
            </w:tcBorders>
            <w:shd w:val="clear" w:color="auto" w:fill="auto"/>
            <w:noWrap/>
            <w:vAlign w:val="bottom"/>
            <w:hideMark/>
          </w:tcPr>
          <w:p w14:paraId="109CB63D" w14:textId="77777777" w:rsidR="00860EDA" w:rsidRPr="006522C8" w:rsidRDefault="00860EDA" w:rsidP="00787F8D">
            <w:pPr>
              <w:jc w:val="right"/>
              <w:rPr>
                <w:sz w:val="18"/>
                <w:szCs w:val="18"/>
              </w:rPr>
            </w:pPr>
            <w:r w:rsidRPr="006522C8">
              <w:rPr>
                <w:sz w:val="18"/>
                <w:szCs w:val="18"/>
              </w:rPr>
              <w:t>7.299.636,10</w:t>
            </w:r>
          </w:p>
        </w:tc>
        <w:tc>
          <w:tcPr>
            <w:tcW w:w="1251" w:type="dxa"/>
            <w:tcBorders>
              <w:top w:val="nil"/>
              <w:left w:val="nil"/>
              <w:bottom w:val="nil"/>
              <w:right w:val="nil"/>
            </w:tcBorders>
            <w:shd w:val="clear" w:color="auto" w:fill="auto"/>
            <w:noWrap/>
            <w:vAlign w:val="bottom"/>
            <w:hideMark/>
          </w:tcPr>
          <w:p w14:paraId="6707F556" w14:textId="77777777" w:rsidR="00860EDA" w:rsidRPr="006522C8" w:rsidRDefault="00860EDA" w:rsidP="00787F8D">
            <w:pPr>
              <w:jc w:val="right"/>
              <w:rPr>
                <w:sz w:val="18"/>
                <w:szCs w:val="18"/>
              </w:rPr>
            </w:pPr>
            <w:r w:rsidRPr="006522C8">
              <w:rPr>
                <w:sz w:val="18"/>
                <w:szCs w:val="18"/>
              </w:rPr>
              <w:t>6.915.985,03</w:t>
            </w:r>
          </w:p>
        </w:tc>
        <w:tc>
          <w:tcPr>
            <w:tcW w:w="907" w:type="dxa"/>
            <w:tcBorders>
              <w:top w:val="nil"/>
              <w:left w:val="nil"/>
              <w:bottom w:val="nil"/>
              <w:right w:val="nil"/>
            </w:tcBorders>
            <w:shd w:val="clear" w:color="auto" w:fill="auto"/>
            <w:noWrap/>
            <w:vAlign w:val="bottom"/>
            <w:hideMark/>
          </w:tcPr>
          <w:p w14:paraId="375BC068" w14:textId="77777777" w:rsidR="00860EDA" w:rsidRPr="006522C8" w:rsidRDefault="00860EDA" w:rsidP="00787F8D">
            <w:pPr>
              <w:jc w:val="right"/>
              <w:rPr>
                <w:sz w:val="18"/>
                <w:szCs w:val="18"/>
              </w:rPr>
            </w:pPr>
            <w:r w:rsidRPr="006522C8">
              <w:rPr>
                <w:sz w:val="18"/>
                <w:szCs w:val="18"/>
              </w:rPr>
              <w:t>71,01</w:t>
            </w:r>
          </w:p>
        </w:tc>
        <w:tc>
          <w:tcPr>
            <w:tcW w:w="907" w:type="dxa"/>
            <w:tcBorders>
              <w:top w:val="nil"/>
              <w:left w:val="nil"/>
              <w:bottom w:val="nil"/>
              <w:right w:val="nil"/>
            </w:tcBorders>
            <w:shd w:val="clear" w:color="auto" w:fill="auto"/>
            <w:noWrap/>
            <w:vAlign w:val="bottom"/>
            <w:hideMark/>
          </w:tcPr>
          <w:p w14:paraId="55F1194A" w14:textId="77777777" w:rsidR="00860EDA" w:rsidRPr="006522C8" w:rsidRDefault="00860EDA" w:rsidP="00787F8D">
            <w:pPr>
              <w:jc w:val="right"/>
              <w:rPr>
                <w:sz w:val="18"/>
                <w:szCs w:val="18"/>
              </w:rPr>
            </w:pPr>
            <w:r w:rsidRPr="006522C8">
              <w:rPr>
                <w:sz w:val="18"/>
                <w:szCs w:val="18"/>
              </w:rPr>
              <w:t>94,74</w:t>
            </w:r>
          </w:p>
        </w:tc>
      </w:tr>
      <w:tr w:rsidR="00860EDA" w:rsidRPr="006522C8" w14:paraId="48D46FF0" w14:textId="77777777" w:rsidTr="00787F8D">
        <w:trPr>
          <w:trHeight w:val="240"/>
        </w:trPr>
        <w:tc>
          <w:tcPr>
            <w:tcW w:w="306" w:type="dxa"/>
            <w:tcBorders>
              <w:top w:val="single" w:sz="4" w:space="0" w:color="auto"/>
              <w:left w:val="nil"/>
              <w:bottom w:val="single" w:sz="4" w:space="0" w:color="auto"/>
              <w:right w:val="nil"/>
            </w:tcBorders>
            <w:shd w:val="clear" w:color="auto" w:fill="auto"/>
            <w:noWrap/>
            <w:vAlign w:val="bottom"/>
            <w:hideMark/>
          </w:tcPr>
          <w:p w14:paraId="2505104C" w14:textId="77777777" w:rsidR="00860EDA" w:rsidRPr="006522C8" w:rsidRDefault="00860EDA" w:rsidP="00787F8D">
            <w:pPr>
              <w:rPr>
                <w:sz w:val="18"/>
                <w:szCs w:val="18"/>
              </w:rPr>
            </w:pPr>
            <w:r w:rsidRPr="006522C8">
              <w:rPr>
                <w:sz w:val="18"/>
                <w:szCs w:val="18"/>
              </w:rPr>
              <w:t> </w:t>
            </w:r>
          </w:p>
        </w:tc>
        <w:tc>
          <w:tcPr>
            <w:tcW w:w="3238" w:type="dxa"/>
            <w:tcBorders>
              <w:top w:val="single" w:sz="4" w:space="0" w:color="auto"/>
              <w:left w:val="nil"/>
              <w:bottom w:val="single" w:sz="4" w:space="0" w:color="auto"/>
              <w:right w:val="nil"/>
            </w:tcBorders>
            <w:shd w:val="clear" w:color="auto" w:fill="auto"/>
            <w:noWrap/>
            <w:vAlign w:val="bottom"/>
            <w:hideMark/>
          </w:tcPr>
          <w:p w14:paraId="4E4F0548" w14:textId="77777777" w:rsidR="00860EDA" w:rsidRPr="006522C8" w:rsidRDefault="00860EDA" w:rsidP="00787F8D">
            <w:pPr>
              <w:rPr>
                <w:sz w:val="18"/>
                <w:szCs w:val="18"/>
              </w:rPr>
            </w:pPr>
            <w:r w:rsidRPr="006522C8">
              <w:rPr>
                <w:sz w:val="18"/>
                <w:szCs w:val="18"/>
              </w:rPr>
              <w:t>UKUPNI RASHODI</w:t>
            </w:r>
          </w:p>
        </w:tc>
        <w:tc>
          <w:tcPr>
            <w:tcW w:w="1300" w:type="dxa"/>
            <w:tcBorders>
              <w:top w:val="single" w:sz="4" w:space="0" w:color="auto"/>
              <w:left w:val="nil"/>
              <w:bottom w:val="single" w:sz="4" w:space="0" w:color="auto"/>
              <w:right w:val="nil"/>
            </w:tcBorders>
            <w:shd w:val="clear" w:color="auto" w:fill="auto"/>
            <w:noWrap/>
            <w:vAlign w:val="bottom"/>
            <w:hideMark/>
          </w:tcPr>
          <w:p w14:paraId="488A748C" w14:textId="77777777" w:rsidR="00860EDA" w:rsidRPr="006522C8" w:rsidRDefault="00860EDA" w:rsidP="00787F8D">
            <w:pPr>
              <w:jc w:val="right"/>
              <w:rPr>
                <w:sz w:val="18"/>
                <w:szCs w:val="18"/>
              </w:rPr>
            </w:pPr>
            <w:r w:rsidRPr="006522C8">
              <w:rPr>
                <w:sz w:val="18"/>
                <w:szCs w:val="18"/>
              </w:rPr>
              <w:t>35.915.045,38</w:t>
            </w:r>
          </w:p>
        </w:tc>
        <w:tc>
          <w:tcPr>
            <w:tcW w:w="1300" w:type="dxa"/>
            <w:tcBorders>
              <w:top w:val="single" w:sz="4" w:space="0" w:color="auto"/>
              <w:left w:val="nil"/>
              <w:bottom w:val="single" w:sz="4" w:space="0" w:color="auto"/>
              <w:right w:val="nil"/>
            </w:tcBorders>
            <w:shd w:val="clear" w:color="auto" w:fill="auto"/>
            <w:noWrap/>
            <w:vAlign w:val="bottom"/>
            <w:hideMark/>
          </w:tcPr>
          <w:p w14:paraId="02A5ED17" w14:textId="77777777" w:rsidR="00860EDA" w:rsidRPr="006522C8" w:rsidRDefault="00860EDA" w:rsidP="00787F8D">
            <w:pPr>
              <w:jc w:val="right"/>
              <w:rPr>
                <w:sz w:val="18"/>
                <w:szCs w:val="18"/>
              </w:rPr>
            </w:pPr>
            <w:r w:rsidRPr="006522C8">
              <w:rPr>
                <w:sz w:val="18"/>
                <w:szCs w:val="18"/>
              </w:rPr>
              <w:t>39.916.987,25</w:t>
            </w:r>
          </w:p>
        </w:tc>
        <w:tc>
          <w:tcPr>
            <w:tcW w:w="1251" w:type="dxa"/>
            <w:tcBorders>
              <w:top w:val="single" w:sz="4" w:space="0" w:color="auto"/>
              <w:left w:val="nil"/>
              <w:bottom w:val="single" w:sz="4" w:space="0" w:color="auto"/>
              <w:right w:val="nil"/>
            </w:tcBorders>
            <w:shd w:val="clear" w:color="auto" w:fill="auto"/>
            <w:noWrap/>
            <w:vAlign w:val="bottom"/>
            <w:hideMark/>
          </w:tcPr>
          <w:p w14:paraId="328530BF" w14:textId="77777777" w:rsidR="00860EDA" w:rsidRPr="006522C8" w:rsidRDefault="00860EDA" w:rsidP="00787F8D">
            <w:pPr>
              <w:jc w:val="right"/>
              <w:rPr>
                <w:sz w:val="18"/>
                <w:szCs w:val="18"/>
              </w:rPr>
            </w:pPr>
            <w:r w:rsidRPr="006522C8">
              <w:rPr>
                <w:sz w:val="18"/>
                <w:szCs w:val="18"/>
              </w:rPr>
              <w:t>36.962.711,30</w:t>
            </w:r>
          </w:p>
        </w:tc>
        <w:tc>
          <w:tcPr>
            <w:tcW w:w="907" w:type="dxa"/>
            <w:tcBorders>
              <w:top w:val="single" w:sz="4" w:space="0" w:color="auto"/>
              <w:left w:val="nil"/>
              <w:bottom w:val="single" w:sz="4" w:space="0" w:color="auto"/>
              <w:right w:val="nil"/>
            </w:tcBorders>
            <w:shd w:val="clear" w:color="auto" w:fill="auto"/>
            <w:noWrap/>
            <w:vAlign w:val="bottom"/>
            <w:hideMark/>
          </w:tcPr>
          <w:p w14:paraId="3AABDB5E" w14:textId="77777777" w:rsidR="00860EDA" w:rsidRPr="006522C8" w:rsidRDefault="00860EDA" w:rsidP="00787F8D">
            <w:pPr>
              <w:jc w:val="right"/>
              <w:rPr>
                <w:sz w:val="18"/>
                <w:szCs w:val="18"/>
              </w:rPr>
            </w:pPr>
            <w:r w:rsidRPr="006522C8">
              <w:rPr>
                <w:sz w:val="18"/>
                <w:szCs w:val="18"/>
              </w:rPr>
              <w:t>102,92</w:t>
            </w:r>
          </w:p>
        </w:tc>
        <w:tc>
          <w:tcPr>
            <w:tcW w:w="907" w:type="dxa"/>
            <w:tcBorders>
              <w:top w:val="single" w:sz="4" w:space="0" w:color="auto"/>
              <w:left w:val="nil"/>
              <w:bottom w:val="single" w:sz="4" w:space="0" w:color="auto"/>
              <w:right w:val="nil"/>
            </w:tcBorders>
            <w:shd w:val="clear" w:color="auto" w:fill="auto"/>
            <w:noWrap/>
            <w:vAlign w:val="bottom"/>
            <w:hideMark/>
          </w:tcPr>
          <w:p w14:paraId="6E0B76AB" w14:textId="77777777" w:rsidR="00860EDA" w:rsidRPr="006522C8" w:rsidRDefault="00860EDA" w:rsidP="00787F8D">
            <w:pPr>
              <w:jc w:val="right"/>
              <w:rPr>
                <w:sz w:val="18"/>
                <w:szCs w:val="18"/>
              </w:rPr>
            </w:pPr>
            <w:r w:rsidRPr="006522C8">
              <w:rPr>
                <w:sz w:val="18"/>
                <w:szCs w:val="18"/>
              </w:rPr>
              <w:t>92,60</w:t>
            </w:r>
          </w:p>
        </w:tc>
      </w:tr>
      <w:tr w:rsidR="00860EDA" w:rsidRPr="006522C8" w14:paraId="0382A0C1" w14:textId="77777777" w:rsidTr="00787F8D">
        <w:trPr>
          <w:trHeight w:val="240"/>
        </w:trPr>
        <w:tc>
          <w:tcPr>
            <w:tcW w:w="306" w:type="dxa"/>
            <w:tcBorders>
              <w:top w:val="nil"/>
              <w:left w:val="nil"/>
              <w:bottom w:val="single" w:sz="4" w:space="0" w:color="auto"/>
              <w:right w:val="nil"/>
            </w:tcBorders>
            <w:shd w:val="clear" w:color="auto" w:fill="auto"/>
            <w:noWrap/>
            <w:vAlign w:val="bottom"/>
            <w:hideMark/>
          </w:tcPr>
          <w:p w14:paraId="18D720BB" w14:textId="77777777" w:rsidR="00860EDA" w:rsidRPr="006522C8" w:rsidRDefault="00860EDA" w:rsidP="00787F8D">
            <w:pPr>
              <w:rPr>
                <w:sz w:val="18"/>
                <w:szCs w:val="18"/>
              </w:rPr>
            </w:pPr>
            <w:r w:rsidRPr="006522C8">
              <w:rPr>
                <w:sz w:val="18"/>
                <w:szCs w:val="18"/>
              </w:rPr>
              <w:t> </w:t>
            </w:r>
          </w:p>
        </w:tc>
        <w:tc>
          <w:tcPr>
            <w:tcW w:w="3238" w:type="dxa"/>
            <w:tcBorders>
              <w:top w:val="nil"/>
              <w:left w:val="nil"/>
              <w:bottom w:val="single" w:sz="4" w:space="0" w:color="auto"/>
              <w:right w:val="nil"/>
            </w:tcBorders>
            <w:shd w:val="clear" w:color="auto" w:fill="auto"/>
            <w:noWrap/>
            <w:vAlign w:val="bottom"/>
            <w:hideMark/>
          </w:tcPr>
          <w:p w14:paraId="100F77E9" w14:textId="77777777" w:rsidR="00860EDA" w:rsidRPr="006522C8" w:rsidRDefault="00860EDA" w:rsidP="00787F8D">
            <w:pPr>
              <w:rPr>
                <w:sz w:val="18"/>
                <w:szCs w:val="18"/>
              </w:rPr>
            </w:pPr>
            <w:r w:rsidRPr="006522C8">
              <w:rPr>
                <w:sz w:val="18"/>
                <w:szCs w:val="18"/>
              </w:rPr>
              <w:t>RAZLIKA - VIŠAK / MANJAK</w:t>
            </w:r>
          </w:p>
        </w:tc>
        <w:tc>
          <w:tcPr>
            <w:tcW w:w="1300" w:type="dxa"/>
            <w:tcBorders>
              <w:top w:val="nil"/>
              <w:left w:val="nil"/>
              <w:bottom w:val="single" w:sz="4" w:space="0" w:color="auto"/>
              <w:right w:val="nil"/>
            </w:tcBorders>
            <w:shd w:val="clear" w:color="auto" w:fill="auto"/>
            <w:noWrap/>
            <w:vAlign w:val="bottom"/>
            <w:hideMark/>
          </w:tcPr>
          <w:p w14:paraId="3C77CE2E" w14:textId="77777777" w:rsidR="00860EDA" w:rsidRPr="006522C8" w:rsidRDefault="00860EDA" w:rsidP="00787F8D">
            <w:pPr>
              <w:jc w:val="right"/>
              <w:rPr>
                <w:sz w:val="18"/>
                <w:szCs w:val="18"/>
              </w:rPr>
            </w:pPr>
            <w:r w:rsidRPr="006522C8">
              <w:rPr>
                <w:sz w:val="18"/>
                <w:szCs w:val="18"/>
              </w:rPr>
              <w:t>839.879,43</w:t>
            </w:r>
          </w:p>
        </w:tc>
        <w:tc>
          <w:tcPr>
            <w:tcW w:w="1300" w:type="dxa"/>
            <w:tcBorders>
              <w:top w:val="nil"/>
              <w:left w:val="nil"/>
              <w:bottom w:val="single" w:sz="4" w:space="0" w:color="auto"/>
              <w:right w:val="nil"/>
            </w:tcBorders>
            <w:shd w:val="clear" w:color="auto" w:fill="auto"/>
            <w:noWrap/>
            <w:vAlign w:val="bottom"/>
            <w:hideMark/>
          </w:tcPr>
          <w:p w14:paraId="5B2D9ED0" w14:textId="77777777" w:rsidR="00860EDA" w:rsidRPr="006522C8" w:rsidRDefault="00860EDA" w:rsidP="00787F8D">
            <w:pPr>
              <w:jc w:val="right"/>
              <w:rPr>
                <w:sz w:val="18"/>
                <w:szCs w:val="18"/>
              </w:rPr>
            </w:pPr>
            <w:r w:rsidRPr="006522C8">
              <w:rPr>
                <w:sz w:val="18"/>
                <w:szCs w:val="18"/>
              </w:rPr>
              <w:t>658.068,94</w:t>
            </w:r>
          </w:p>
        </w:tc>
        <w:tc>
          <w:tcPr>
            <w:tcW w:w="1251" w:type="dxa"/>
            <w:tcBorders>
              <w:top w:val="nil"/>
              <w:left w:val="nil"/>
              <w:bottom w:val="single" w:sz="4" w:space="0" w:color="auto"/>
              <w:right w:val="nil"/>
            </w:tcBorders>
            <w:shd w:val="clear" w:color="auto" w:fill="auto"/>
            <w:noWrap/>
            <w:vAlign w:val="bottom"/>
            <w:hideMark/>
          </w:tcPr>
          <w:p w14:paraId="0032852E" w14:textId="77777777" w:rsidR="00860EDA" w:rsidRPr="006522C8" w:rsidRDefault="00860EDA" w:rsidP="00787F8D">
            <w:pPr>
              <w:jc w:val="right"/>
              <w:rPr>
                <w:sz w:val="18"/>
                <w:szCs w:val="18"/>
              </w:rPr>
            </w:pPr>
            <w:r w:rsidRPr="006522C8">
              <w:rPr>
                <w:sz w:val="18"/>
                <w:szCs w:val="18"/>
              </w:rPr>
              <w:t>952.227,90</w:t>
            </w:r>
          </w:p>
        </w:tc>
        <w:tc>
          <w:tcPr>
            <w:tcW w:w="907" w:type="dxa"/>
            <w:tcBorders>
              <w:top w:val="nil"/>
              <w:left w:val="nil"/>
              <w:bottom w:val="single" w:sz="4" w:space="0" w:color="auto"/>
              <w:right w:val="nil"/>
            </w:tcBorders>
            <w:shd w:val="clear" w:color="auto" w:fill="auto"/>
            <w:noWrap/>
            <w:vAlign w:val="bottom"/>
            <w:hideMark/>
          </w:tcPr>
          <w:p w14:paraId="2D2BF39A" w14:textId="77777777" w:rsidR="00860EDA" w:rsidRPr="006522C8" w:rsidRDefault="00860EDA" w:rsidP="00787F8D">
            <w:pPr>
              <w:jc w:val="right"/>
              <w:rPr>
                <w:sz w:val="18"/>
                <w:szCs w:val="18"/>
              </w:rPr>
            </w:pPr>
            <w:r w:rsidRPr="006522C8">
              <w:rPr>
                <w:sz w:val="18"/>
                <w:szCs w:val="18"/>
              </w:rPr>
              <w:t>113,38</w:t>
            </w:r>
          </w:p>
        </w:tc>
        <w:tc>
          <w:tcPr>
            <w:tcW w:w="907" w:type="dxa"/>
            <w:tcBorders>
              <w:top w:val="nil"/>
              <w:left w:val="nil"/>
              <w:bottom w:val="single" w:sz="4" w:space="0" w:color="auto"/>
              <w:right w:val="nil"/>
            </w:tcBorders>
            <w:shd w:val="clear" w:color="auto" w:fill="auto"/>
            <w:noWrap/>
            <w:vAlign w:val="bottom"/>
            <w:hideMark/>
          </w:tcPr>
          <w:p w14:paraId="0A2D3623" w14:textId="77777777" w:rsidR="00860EDA" w:rsidRPr="006522C8" w:rsidRDefault="00860EDA" w:rsidP="00787F8D">
            <w:pPr>
              <w:jc w:val="right"/>
              <w:rPr>
                <w:sz w:val="18"/>
                <w:szCs w:val="18"/>
              </w:rPr>
            </w:pPr>
            <w:r w:rsidRPr="006522C8">
              <w:rPr>
                <w:sz w:val="18"/>
                <w:szCs w:val="18"/>
              </w:rPr>
              <w:t>144,70</w:t>
            </w:r>
          </w:p>
        </w:tc>
      </w:tr>
      <w:tr w:rsidR="00860EDA" w:rsidRPr="006522C8" w14:paraId="53557652" w14:textId="77777777" w:rsidTr="00787F8D">
        <w:trPr>
          <w:trHeight w:val="240"/>
        </w:trPr>
        <w:tc>
          <w:tcPr>
            <w:tcW w:w="306" w:type="dxa"/>
            <w:tcBorders>
              <w:top w:val="nil"/>
              <w:left w:val="nil"/>
              <w:bottom w:val="nil"/>
              <w:right w:val="nil"/>
            </w:tcBorders>
            <w:shd w:val="clear" w:color="auto" w:fill="auto"/>
            <w:noWrap/>
            <w:vAlign w:val="bottom"/>
            <w:hideMark/>
          </w:tcPr>
          <w:p w14:paraId="455DBCE4" w14:textId="77777777" w:rsidR="00860EDA" w:rsidRPr="006522C8" w:rsidRDefault="00860EDA" w:rsidP="00787F8D">
            <w:pPr>
              <w:jc w:val="right"/>
              <w:rPr>
                <w:sz w:val="18"/>
                <w:szCs w:val="18"/>
              </w:rPr>
            </w:pPr>
          </w:p>
        </w:tc>
        <w:tc>
          <w:tcPr>
            <w:tcW w:w="3238" w:type="dxa"/>
            <w:tcBorders>
              <w:top w:val="nil"/>
              <w:left w:val="nil"/>
              <w:bottom w:val="nil"/>
              <w:right w:val="nil"/>
            </w:tcBorders>
            <w:shd w:val="clear" w:color="auto" w:fill="auto"/>
            <w:noWrap/>
            <w:vAlign w:val="bottom"/>
            <w:hideMark/>
          </w:tcPr>
          <w:p w14:paraId="38245A2F" w14:textId="77777777" w:rsidR="00860EDA" w:rsidRPr="006522C8" w:rsidRDefault="00860EDA" w:rsidP="00787F8D">
            <w:pPr>
              <w:rPr>
                <w:sz w:val="20"/>
                <w:szCs w:val="20"/>
              </w:rPr>
            </w:pPr>
          </w:p>
        </w:tc>
        <w:tc>
          <w:tcPr>
            <w:tcW w:w="1300" w:type="dxa"/>
            <w:tcBorders>
              <w:top w:val="nil"/>
              <w:left w:val="nil"/>
              <w:bottom w:val="nil"/>
              <w:right w:val="nil"/>
            </w:tcBorders>
            <w:shd w:val="clear" w:color="auto" w:fill="auto"/>
            <w:noWrap/>
            <w:vAlign w:val="bottom"/>
            <w:hideMark/>
          </w:tcPr>
          <w:p w14:paraId="65A4915E" w14:textId="77777777" w:rsidR="00860EDA" w:rsidRPr="006522C8" w:rsidRDefault="00860EDA" w:rsidP="00787F8D">
            <w:pPr>
              <w:rPr>
                <w:sz w:val="20"/>
                <w:szCs w:val="20"/>
              </w:rPr>
            </w:pPr>
          </w:p>
        </w:tc>
        <w:tc>
          <w:tcPr>
            <w:tcW w:w="1300" w:type="dxa"/>
            <w:tcBorders>
              <w:top w:val="nil"/>
              <w:left w:val="nil"/>
              <w:bottom w:val="nil"/>
              <w:right w:val="nil"/>
            </w:tcBorders>
            <w:shd w:val="clear" w:color="auto" w:fill="auto"/>
            <w:noWrap/>
            <w:vAlign w:val="bottom"/>
            <w:hideMark/>
          </w:tcPr>
          <w:p w14:paraId="7569AA3F" w14:textId="77777777" w:rsidR="00860EDA" w:rsidRPr="006522C8" w:rsidRDefault="00860EDA" w:rsidP="00787F8D">
            <w:pPr>
              <w:rPr>
                <w:sz w:val="20"/>
                <w:szCs w:val="20"/>
              </w:rPr>
            </w:pPr>
          </w:p>
        </w:tc>
        <w:tc>
          <w:tcPr>
            <w:tcW w:w="1251" w:type="dxa"/>
            <w:tcBorders>
              <w:top w:val="nil"/>
              <w:left w:val="nil"/>
              <w:bottom w:val="nil"/>
              <w:right w:val="nil"/>
            </w:tcBorders>
            <w:shd w:val="clear" w:color="auto" w:fill="auto"/>
            <w:noWrap/>
            <w:vAlign w:val="bottom"/>
            <w:hideMark/>
          </w:tcPr>
          <w:p w14:paraId="71B530B0" w14:textId="77777777" w:rsidR="00860EDA" w:rsidRPr="006522C8" w:rsidRDefault="00860EDA" w:rsidP="00787F8D">
            <w:pPr>
              <w:rPr>
                <w:sz w:val="20"/>
                <w:szCs w:val="20"/>
              </w:rPr>
            </w:pPr>
          </w:p>
        </w:tc>
        <w:tc>
          <w:tcPr>
            <w:tcW w:w="907" w:type="dxa"/>
            <w:tcBorders>
              <w:top w:val="nil"/>
              <w:left w:val="nil"/>
              <w:bottom w:val="nil"/>
              <w:right w:val="nil"/>
            </w:tcBorders>
            <w:shd w:val="clear" w:color="auto" w:fill="auto"/>
            <w:noWrap/>
            <w:vAlign w:val="bottom"/>
            <w:hideMark/>
          </w:tcPr>
          <w:p w14:paraId="4F19CF3D" w14:textId="77777777" w:rsidR="00860EDA" w:rsidRPr="006522C8" w:rsidRDefault="00860EDA" w:rsidP="00787F8D">
            <w:pPr>
              <w:rPr>
                <w:sz w:val="20"/>
                <w:szCs w:val="20"/>
              </w:rPr>
            </w:pPr>
          </w:p>
        </w:tc>
        <w:tc>
          <w:tcPr>
            <w:tcW w:w="907" w:type="dxa"/>
            <w:tcBorders>
              <w:top w:val="nil"/>
              <w:left w:val="nil"/>
              <w:bottom w:val="nil"/>
              <w:right w:val="nil"/>
            </w:tcBorders>
            <w:shd w:val="clear" w:color="auto" w:fill="auto"/>
            <w:noWrap/>
            <w:vAlign w:val="bottom"/>
            <w:hideMark/>
          </w:tcPr>
          <w:p w14:paraId="2C304861" w14:textId="77777777" w:rsidR="00860EDA" w:rsidRPr="006522C8" w:rsidRDefault="00860EDA" w:rsidP="00787F8D">
            <w:pPr>
              <w:rPr>
                <w:sz w:val="20"/>
                <w:szCs w:val="20"/>
              </w:rPr>
            </w:pPr>
          </w:p>
        </w:tc>
      </w:tr>
      <w:tr w:rsidR="00860EDA" w:rsidRPr="006522C8" w14:paraId="4167EFDD" w14:textId="77777777" w:rsidTr="00787F8D">
        <w:trPr>
          <w:trHeight w:val="240"/>
        </w:trPr>
        <w:tc>
          <w:tcPr>
            <w:tcW w:w="9209" w:type="dxa"/>
            <w:gridSpan w:val="7"/>
            <w:tcBorders>
              <w:top w:val="nil"/>
              <w:left w:val="nil"/>
              <w:bottom w:val="nil"/>
              <w:right w:val="nil"/>
            </w:tcBorders>
            <w:shd w:val="clear" w:color="auto" w:fill="auto"/>
            <w:noWrap/>
            <w:vAlign w:val="bottom"/>
            <w:hideMark/>
          </w:tcPr>
          <w:p w14:paraId="10A913C4" w14:textId="77777777" w:rsidR="00860EDA" w:rsidRPr="006522C8" w:rsidRDefault="00860EDA" w:rsidP="00787F8D">
            <w:pPr>
              <w:rPr>
                <w:sz w:val="20"/>
                <w:szCs w:val="20"/>
              </w:rPr>
            </w:pPr>
            <w:r w:rsidRPr="006522C8">
              <w:rPr>
                <w:sz w:val="18"/>
                <w:szCs w:val="18"/>
              </w:rPr>
              <w:t>B. RAČUN ZADUŽIVANJA/FINANCIRANJA</w:t>
            </w:r>
          </w:p>
        </w:tc>
      </w:tr>
      <w:tr w:rsidR="00860EDA" w:rsidRPr="006522C8" w14:paraId="330E036A" w14:textId="77777777" w:rsidTr="00787F8D">
        <w:trPr>
          <w:trHeight w:val="240"/>
        </w:trPr>
        <w:tc>
          <w:tcPr>
            <w:tcW w:w="306" w:type="dxa"/>
            <w:tcBorders>
              <w:top w:val="nil"/>
              <w:left w:val="nil"/>
              <w:bottom w:val="nil"/>
              <w:right w:val="nil"/>
            </w:tcBorders>
            <w:shd w:val="clear" w:color="auto" w:fill="auto"/>
            <w:noWrap/>
            <w:vAlign w:val="bottom"/>
            <w:hideMark/>
          </w:tcPr>
          <w:p w14:paraId="4B69CAD3" w14:textId="77777777" w:rsidR="00860EDA" w:rsidRPr="006522C8" w:rsidRDefault="00860EDA" w:rsidP="00787F8D">
            <w:pPr>
              <w:rPr>
                <w:sz w:val="20"/>
                <w:szCs w:val="20"/>
              </w:rPr>
            </w:pPr>
          </w:p>
        </w:tc>
        <w:tc>
          <w:tcPr>
            <w:tcW w:w="3238" w:type="dxa"/>
            <w:tcBorders>
              <w:top w:val="nil"/>
              <w:left w:val="nil"/>
              <w:bottom w:val="nil"/>
              <w:right w:val="nil"/>
            </w:tcBorders>
            <w:shd w:val="clear" w:color="auto" w:fill="auto"/>
            <w:noWrap/>
            <w:vAlign w:val="bottom"/>
            <w:hideMark/>
          </w:tcPr>
          <w:p w14:paraId="3496DCD1" w14:textId="77777777" w:rsidR="00860EDA" w:rsidRPr="006522C8" w:rsidRDefault="00860EDA" w:rsidP="00787F8D">
            <w:pPr>
              <w:rPr>
                <w:sz w:val="20"/>
                <w:szCs w:val="20"/>
              </w:rPr>
            </w:pPr>
          </w:p>
        </w:tc>
        <w:tc>
          <w:tcPr>
            <w:tcW w:w="1300" w:type="dxa"/>
            <w:tcBorders>
              <w:top w:val="nil"/>
              <w:left w:val="nil"/>
              <w:bottom w:val="nil"/>
              <w:right w:val="nil"/>
            </w:tcBorders>
            <w:shd w:val="clear" w:color="auto" w:fill="auto"/>
            <w:noWrap/>
            <w:vAlign w:val="bottom"/>
            <w:hideMark/>
          </w:tcPr>
          <w:p w14:paraId="1AA20170" w14:textId="77777777" w:rsidR="00860EDA" w:rsidRPr="006522C8" w:rsidRDefault="00860EDA" w:rsidP="00787F8D">
            <w:pPr>
              <w:rPr>
                <w:sz w:val="20"/>
                <w:szCs w:val="20"/>
              </w:rPr>
            </w:pPr>
          </w:p>
        </w:tc>
        <w:tc>
          <w:tcPr>
            <w:tcW w:w="1300" w:type="dxa"/>
            <w:tcBorders>
              <w:top w:val="nil"/>
              <w:left w:val="nil"/>
              <w:bottom w:val="nil"/>
              <w:right w:val="nil"/>
            </w:tcBorders>
            <w:shd w:val="clear" w:color="auto" w:fill="auto"/>
            <w:noWrap/>
            <w:vAlign w:val="bottom"/>
            <w:hideMark/>
          </w:tcPr>
          <w:p w14:paraId="541DF26A" w14:textId="77777777" w:rsidR="00860EDA" w:rsidRPr="006522C8" w:rsidRDefault="00860EDA" w:rsidP="00787F8D">
            <w:pPr>
              <w:rPr>
                <w:sz w:val="20"/>
                <w:szCs w:val="20"/>
              </w:rPr>
            </w:pPr>
          </w:p>
        </w:tc>
        <w:tc>
          <w:tcPr>
            <w:tcW w:w="1251" w:type="dxa"/>
            <w:tcBorders>
              <w:top w:val="nil"/>
              <w:left w:val="nil"/>
              <w:bottom w:val="nil"/>
              <w:right w:val="nil"/>
            </w:tcBorders>
            <w:shd w:val="clear" w:color="auto" w:fill="auto"/>
            <w:noWrap/>
            <w:vAlign w:val="bottom"/>
            <w:hideMark/>
          </w:tcPr>
          <w:p w14:paraId="1BE9A659" w14:textId="77777777" w:rsidR="00860EDA" w:rsidRPr="006522C8" w:rsidRDefault="00860EDA" w:rsidP="00787F8D">
            <w:pPr>
              <w:rPr>
                <w:sz w:val="20"/>
                <w:szCs w:val="20"/>
              </w:rPr>
            </w:pPr>
          </w:p>
        </w:tc>
        <w:tc>
          <w:tcPr>
            <w:tcW w:w="907" w:type="dxa"/>
            <w:tcBorders>
              <w:top w:val="nil"/>
              <w:left w:val="nil"/>
              <w:bottom w:val="nil"/>
              <w:right w:val="nil"/>
            </w:tcBorders>
            <w:shd w:val="clear" w:color="auto" w:fill="auto"/>
            <w:noWrap/>
            <w:vAlign w:val="bottom"/>
            <w:hideMark/>
          </w:tcPr>
          <w:p w14:paraId="6D9F7600" w14:textId="77777777" w:rsidR="00860EDA" w:rsidRPr="006522C8" w:rsidRDefault="00860EDA" w:rsidP="00787F8D">
            <w:pPr>
              <w:rPr>
                <w:sz w:val="20"/>
                <w:szCs w:val="20"/>
              </w:rPr>
            </w:pPr>
          </w:p>
        </w:tc>
        <w:tc>
          <w:tcPr>
            <w:tcW w:w="907" w:type="dxa"/>
            <w:tcBorders>
              <w:top w:val="nil"/>
              <w:left w:val="nil"/>
              <w:bottom w:val="nil"/>
              <w:right w:val="nil"/>
            </w:tcBorders>
            <w:shd w:val="clear" w:color="auto" w:fill="auto"/>
            <w:noWrap/>
            <w:vAlign w:val="bottom"/>
            <w:hideMark/>
          </w:tcPr>
          <w:p w14:paraId="197EDDC1" w14:textId="77777777" w:rsidR="00860EDA" w:rsidRPr="006522C8" w:rsidRDefault="00860EDA" w:rsidP="00787F8D">
            <w:pPr>
              <w:rPr>
                <w:sz w:val="20"/>
                <w:szCs w:val="20"/>
              </w:rPr>
            </w:pPr>
          </w:p>
        </w:tc>
      </w:tr>
      <w:tr w:rsidR="00860EDA" w:rsidRPr="006522C8" w14:paraId="4746AD43" w14:textId="77777777" w:rsidTr="00787F8D">
        <w:trPr>
          <w:trHeight w:val="240"/>
        </w:trPr>
        <w:tc>
          <w:tcPr>
            <w:tcW w:w="3544" w:type="dxa"/>
            <w:gridSpan w:val="2"/>
            <w:tcBorders>
              <w:top w:val="single" w:sz="4" w:space="0" w:color="auto"/>
              <w:left w:val="nil"/>
              <w:bottom w:val="nil"/>
              <w:right w:val="nil"/>
            </w:tcBorders>
            <w:shd w:val="clear" w:color="auto" w:fill="auto"/>
            <w:noWrap/>
            <w:vAlign w:val="bottom"/>
            <w:hideMark/>
          </w:tcPr>
          <w:p w14:paraId="3BA5CC3B" w14:textId="77777777" w:rsidR="00860EDA" w:rsidRPr="006522C8" w:rsidRDefault="00860EDA" w:rsidP="00787F8D">
            <w:pPr>
              <w:rPr>
                <w:sz w:val="18"/>
                <w:szCs w:val="18"/>
              </w:rPr>
            </w:pPr>
            <w:r w:rsidRPr="006522C8">
              <w:rPr>
                <w:sz w:val="18"/>
                <w:szCs w:val="18"/>
              </w:rPr>
              <w:t xml:space="preserve">BROJČANA OZNAKA I NAZIV </w:t>
            </w:r>
          </w:p>
        </w:tc>
        <w:tc>
          <w:tcPr>
            <w:tcW w:w="1300" w:type="dxa"/>
            <w:tcBorders>
              <w:top w:val="single" w:sz="4" w:space="0" w:color="auto"/>
              <w:left w:val="nil"/>
              <w:bottom w:val="nil"/>
              <w:right w:val="nil"/>
            </w:tcBorders>
            <w:shd w:val="clear" w:color="auto" w:fill="auto"/>
            <w:noWrap/>
            <w:vAlign w:val="bottom"/>
            <w:hideMark/>
          </w:tcPr>
          <w:p w14:paraId="6298BB4A" w14:textId="77777777" w:rsidR="00860EDA" w:rsidRPr="006522C8" w:rsidRDefault="00860EDA" w:rsidP="00787F8D">
            <w:pPr>
              <w:jc w:val="center"/>
              <w:rPr>
                <w:sz w:val="18"/>
                <w:szCs w:val="18"/>
              </w:rPr>
            </w:pPr>
            <w:r w:rsidRPr="006522C8">
              <w:rPr>
                <w:sz w:val="18"/>
                <w:szCs w:val="18"/>
              </w:rPr>
              <w:t xml:space="preserve">IZVRŠENJE </w:t>
            </w:r>
          </w:p>
        </w:tc>
        <w:tc>
          <w:tcPr>
            <w:tcW w:w="1300" w:type="dxa"/>
            <w:tcBorders>
              <w:top w:val="single" w:sz="4" w:space="0" w:color="auto"/>
              <w:left w:val="nil"/>
              <w:bottom w:val="nil"/>
              <w:right w:val="nil"/>
            </w:tcBorders>
            <w:shd w:val="clear" w:color="auto" w:fill="auto"/>
            <w:noWrap/>
            <w:vAlign w:val="bottom"/>
            <w:hideMark/>
          </w:tcPr>
          <w:p w14:paraId="1855E724" w14:textId="77777777" w:rsidR="00860EDA" w:rsidRPr="006522C8" w:rsidRDefault="00860EDA" w:rsidP="00787F8D">
            <w:pPr>
              <w:jc w:val="center"/>
              <w:rPr>
                <w:sz w:val="18"/>
                <w:szCs w:val="18"/>
              </w:rPr>
            </w:pPr>
            <w:r w:rsidRPr="006522C8">
              <w:rPr>
                <w:sz w:val="18"/>
                <w:szCs w:val="18"/>
              </w:rPr>
              <w:t>IZVORNI PLAN</w:t>
            </w:r>
          </w:p>
        </w:tc>
        <w:tc>
          <w:tcPr>
            <w:tcW w:w="1251" w:type="dxa"/>
            <w:tcBorders>
              <w:top w:val="single" w:sz="4" w:space="0" w:color="auto"/>
              <w:left w:val="nil"/>
              <w:bottom w:val="nil"/>
              <w:right w:val="nil"/>
            </w:tcBorders>
            <w:shd w:val="clear" w:color="auto" w:fill="auto"/>
            <w:noWrap/>
            <w:vAlign w:val="bottom"/>
            <w:hideMark/>
          </w:tcPr>
          <w:p w14:paraId="32912114" w14:textId="77777777" w:rsidR="00860EDA" w:rsidRPr="006522C8" w:rsidRDefault="00860EDA" w:rsidP="00787F8D">
            <w:pPr>
              <w:jc w:val="center"/>
              <w:rPr>
                <w:sz w:val="18"/>
                <w:szCs w:val="18"/>
              </w:rPr>
            </w:pPr>
            <w:r w:rsidRPr="006522C8">
              <w:rPr>
                <w:sz w:val="18"/>
                <w:szCs w:val="18"/>
              </w:rPr>
              <w:t xml:space="preserve">IZVRŠENJE </w:t>
            </w:r>
          </w:p>
        </w:tc>
        <w:tc>
          <w:tcPr>
            <w:tcW w:w="907" w:type="dxa"/>
            <w:tcBorders>
              <w:top w:val="single" w:sz="4" w:space="0" w:color="auto"/>
              <w:left w:val="nil"/>
              <w:bottom w:val="nil"/>
              <w:right w:val="nil"/>
            </w:tcBorders>
            <w:shd w:val="clear" w:color="auto" w:fill="auto"/>
            <w:noWrap/>
            <w:vAlign w:val="bottom"/>
            <w:hideMark/>
          </w:tcPr>
          <w:p w14:paraId="04AEBD4F" w14:textId="77777777" w:rsidR="00860EDA" w:rsidRPr="006522C8" w:rsidRDefault="00860EDA" w:rsidP="00787F8D">
            <w:pPr>
              <w:jc w:val="center"/>
              <w:rPr>
                <w:sz w:val="18"/>
                <w:szCs w:val="18"/>
              </w:rPr>
            </w:pPr>
            <w:r w:rsidRPr="006522C8">
              <w:rPr>
                <w:sz w:val="18"/>
                <w:szCs w:val="18"/>
              </w:rPr>
              <w:t>INDEKS</w:t>
            </w:r>
          </w:p>
        </w:tc>
        <w:tc>
          <w:tcPr>
            <w:tcW w:w="907" w:type="dxa"/>
            <w:tcBorders>
              <w:top w:val="single" w:sz="4" w:space="0" w:color="auto"/>
              <w:left w:val="nil"/>
              <w:bottom w:val="nil"/>
              <w:right w:val="nil"/>
            </w:tcBorders>
            <w:shd w:val="clear" w:color="auto" w:fill="auto"/>
            <w:noWrap/>
            <w:vAlign w:val="bottom"/>
            <w:hideMark/>
          </w:tcPr>
          <w:p w14:paraId="3EA1264A" w14:textId="77777777" w:rsidR="00860EDA" w:rsidRPr="006522C8" w:rsidRDefault="00860EDA" w:rsidP="00787F8D">
            <w:pPr>
              <w:jc w:val="center"/>
              <w:rPr>
                <w:sz w:val="18"/>
                <w:szCs w:val="18"/>
              </w:rPr>
            </w:pPr>
            <w:r w:rsidRPr="006522C8">
              <w:rPr>
                <w:sz w:val="18"/>
                <w:szCs w:val="18"/>
              </w:rPr>
              <w:t>INDEKS</w:t>
            </w:r>
          </w:p>
        </w:tc>
      </w:tr>
      <w:tr w:rsidR="00860EDA" w:rsidRPr="006522C8" w14:paraId="7B38A7E0" w14:textId="77777777" w:rsidTr="00787F8D">
        <w:trPr>
          <w:trHeight w:val="240"/>
        </w:trPr>
        <w:tc>
          <w:tcPr>
            <w:tcW w:w="306" w:type="dxa"/>
            <w:tcBorders>
              <w:top w:val="nil"/>
              <w:left w:val="nil"/>
              <w:bottom w:val="single" w:sz="4" w:space="0" w:color="auto"/>
              <w:right w:val="nil"/>
            </w:tcBorders>
            <w:shd w:val="clear" w:color="auto" w:fill="auto"/>
            <w:noWrap/>
            <w:vAlign w:val="bottom"/>
            <w:hideMark/>
          </w:tcPr>
          <w:p w14:paraId="7D71CF02" w14:textId="77777777" w:rsidR="00860EDA" w:rsidRPr="006522C8" w:rsidRDefault="00860EDA" w:rsidP="00787F8D">
            <w:pPr>
              <w:rPr>
                <w:sz w:val="18"/>
                <w:szCs w:val="18"/>
              </w:rPr>
            </w:pPr>
            <w:r w:rsidRPr="006522C8">
              <w:rPr>
                <w:sz w:val="18"/>
                <w:szCs w:val="18"/>
              </w:rPr>
              <w:t> </w:t>
            </w:r>
          </w:p>
        </w:tc>
        <w:tc>
          <w:tcPr>
            <w:tcW w:w="3238" w:type="dxa"/>
            <w:tcBorders>
              <w:top w:val="nil"/>
              <w:left w:val="nil"/>
              <w:bottom w:val="single" w:sz="4" w:space="0" w:color="auto"/>
              <w:right w:val="nil"/>
            </w:tcBorders>
            <w:shd w:val="clear" w:color="auto" w:fill="auto"/>
            <w:noWrap/>
            <w:vAlign w:val="bottom"/>
            <w:hideMark/>
          </w:tcPr>
          <w:p w14:paraId="121F809B" w14:textId="77777777" w:rsidR="00860EDA" w:rsidRPr="006522C8" w:rsidRDefault="00860EDA" w:rsidP="00787F8D">
            <w:pPr>
              <w:rPr>
                <w:sz w:val="18"/>
                <w:szCs w:val="18"/>
              </w:rPr>
            </w:pPr>
            <w:r w:rsidRPr="006522C8">
              <w:rPr>
                <w:sz w:val="18"/>
                <w:szCs w:val="18"/>
              </w:rPr>
              <w:t> </w:t>
            </w:r>
          </w:p>
        </w:tc>
        <w:tc>
          <w:tcPr>
            <w:tcW w:w="1300" w:type="dxa"/>
            <w:tcBorders>
              <w:top w:val="nil"/>
              <w:left w:val="nil"/>
              <w:bottom w:val="single" w:sz="4" w:space="0" w:color="auto"/>
              <w:right w:val="nil"/>
            </w:tcBorders>
            <w:shd w:val="clear" w:color="auto" w:fill="auto"/>
            <w:noWrap/>
            <w:vAlign w:val="bottom"/>
            <w:hideMark/>
          </w:tcPr>
          <w:p w14:paraId="5D957DF8" w14:textId="77777777" w:rsidR="00860EDA" w:rsidRPr="006522C8" w:rsidRDefault="00860EDA" w:rsidP="00787F8D">
            <w:pPr>
              <w:jc w:val="center"/>
              <w:rPr>
                <w:sz w:val="18"/>
                <w:szCs w:val="18"/>
              </w:rPr>
            </w:pPr>
            <w:r w:rsidRPr="006522C8">
              <w:rPr>
                <w:sz w:val="18"/>
                <w:szCs w:val="18"/>
              </w:rPr>
              <w:t>2021.</w:t>
            </w:r>
          </w:p>
        </w:tc>
        <w:tc>
          <w:tcPr>
            <w:tcW w:w="1300" w:type="dxa"/>
            <w:tcBorders>
              <w:top w:val="nil"/>
              <w:left w:val="nil"/>
              <w:bottom w:val="single" w:sz="4" w:space="0" w:color="auto"/>
              <w:right w:val="nil"/>
            </w:tcBorders>
            <w:shd w:val="clear" w:color="auto" w:fill="auto"/>
            <w:noWrap/>
            <w:vAlign w:val="bottom"/>
            <w:hideMark/>
          </w:tcPr>
          <w:p w14:paraId="4B0E6DC2" w14:textId="77777777" w:rsidR="00860EDA" w:rsidRPr="006522C8" w:rsidRDefault="00860EDA" w:rsidP="00787F8D">
            <w:pPr>
              <w:jc w:val="center"/>
              <w:rPr>
                <w:sz w:val="18"/>
                <w:szCs w:val="18"/>
              </w:rPr>
            </w:pPr>
            <w:r w:rsidRPr="006522C8">
              <w:rPr>
                <w:sz w:val="18"/>
                <w:szCs w:val="18"/>
              </w:rPr>
              <w:t>2022.</w:t>
            </w:r>
          </w:p>
        </w:tc>
        <w:tc>
          <w:tcPr>
            <w:tcW w:w="1251" w:type="dxa"/>
            <w:tcBorders>
              <w:top w:val="nil"/>
              <w:left w:val="nil"/>
              <w:bottom w:val="single" w:sz="4" w:space="0" w:color="auto"/>
              <w:right w:val="nil"/>
            </w:tcBorders>
            <w:shd w:val="clear" w:color="auto" w:fill="auto"/>
            <w:noWrap/>
            <w:vAlign w:val="bottom"/>
            <w:hideMark/>
          </w:tcPr>
          <w:p w14:paraId="03957D14" w14:textId="77777777" w:rsidR="00860EDA" w:rsidRPr="006522C8" w:rsidRDefault="00860EDA" w:rsidP="00787F8D">
            <w:pPr>
              <w:jc w:val="center"/>
              <w:rPr>
                <w:sz w:val="18"/>
                <w:szCs w:val="18"/>
              </w:rPr>
            </w:pPr>
            <w:r w:rsidRPr="006522C8">
              <w:rPr>
                <w:sz w:val="18"/>
                <w:szCs w:val="18"/>
              </w:rPr>
              <w:t>2022.</w:t>
            </w:r>
          </w:p>
        </w:tc>
        <w:tc>
          <w:tcPr>
            <w:tcW w:w="907" w:type="dxa"/>
            <w:tcBorders>
              <w:top w:val="nil"/>
              <w:left w:val="nil"/>
              <w:bottom w:val="single" w:sz="4" w:space="0" w:color="auto"/>
              <w:right w:val="nil"/>
            </w:tcBorders>
            <w:shd w:val="clear" w:color="auto" w:fill="auto"/>
            <w:noWrap/>
            <w:vAlign w:val="bottom"/>
            <w:hideMark/>
          </w:tcPr>
          <w:p w14:paraId="18EC1454" w14:textId="77777777" w:rsidR="00860EDA" w:rsidRPr="006522C8" w:rsidRDefault="00860EDA" w:rsidP="00787F8D">
            <w:pPr>
              <w:jc w:val="center"/>
              <w:rPr>
                <w:sz w:val="18"/>
                <w:szCs w:val="18"/>
              </w:rPr>
            </w:pPr>
            <w:r w:rsidRPr="006522C8">
              <w:rPr>
                <w:sz w:val="18"/>
                <w:szCs w:val="18"/>
              </w:rPr>
              <w:t>4/2*100</w:t>
            </w:r>
          </w:p>
        </w:tc>
        <w:tc>
          <w:tcPr>
            <w:tcW w:w="907" w:type="dxa"/>
            <w:tcBorders>
              <w:top w:val="nil"/>
              <w:left w:val="nil"/>
              <w:bottom w:val="single" w:sz="4" w:space="0" w:color="auto"/>
              <w:right w:val="nil"/>
            </w:tcBorders>
            <w:shd w:val="clear" w:color="auto" w:fill="auto"/>
            <w:noWrap/>
            <w:vAlign w:val="bottom"/>
            <w:hideMark/>
          </w:tcPr>
          <w:p w14:paraId="33D48680" w14:textId="77777777" w:rsidR="00860EDA" w:rsidRPr="006522C8" w:rsidRDefault="00860EDA" w:rsidP="00787F8D">
            <w:pPr>
              <w:jc w:val="center"/>
              <w:rPr>
                <w:sz w:val="18"/>
                <w:szCs w:val="18"/>
              </w:rPr>
            </w:pPr>
            <w:r w:rsidRPr="006522C8">
              <w:rPr>
                <w:sz w:val="18"/>
                <w:szCs w:val="18"/>
              </w:rPr>
              <w:t>4/3*100</w:t>
            </w:r>
          </w:p>
        </w:tc>
      </w:tr>
      <w:tr w:rsidR="00860EDA" w:rsidRPr="006522C8" w14:paraId="30374A2F" w14:textId="77777777" w:rsidTr="00787F8D">
        <w:trPr>
          <w:trHeight w:val="240"/>
        </w:trPr>
        <w:tc>
          <w:tcPr>
            <w:tcW w:w="3544" w:type="dxa"/>
            <w:gridSpan w:val="2"/>
            <w:tcBorders>
              <w:top w:val="single" w:sz="4" w:space="0" w:color="auto"/>
              <w:left w:val="nil"/>
              <w:bottom w:val="single" w:sz="4" w:space="0" w:color="auto"/>
              <w:right w:val="nil"/>
            </w:tcBorders>
            <w:shd w:val="clear" w:color="auto" w:fill="auto"/>
            <w:noWrap/>
            <w:vAlign w:val="bottom"/>
            <w:hideMark/>
          </w:tcPr>
          <w:p w14:paraId="478D323D" w14:textId="77777777" w:rsidR="00860EDA" w:rsidRPr="006522C8" w:rsidRDefault="00860EDA" w:rsidP="00787F8D">
            <w:pPr>
              <w:jc w:val="center"/>
              <w:rPr>
                <w:sz w:val="18"/>
                <w:szCs w:val="18"/>
              </w:rPr>
            </w:pPr>
            <w:r w:rsidRPr="006522C8">
              <w:rPr>
                <w:sz w:val="18"/>
                <w:szCs w:val="18"/>
              </w:rPr>
              <w:t>1</w:t>
            </w:r>
          </w:p>
        </w:tc>
        <w:tc>
          <w:tcPr>
            <w:tcW w:w="1300" w:type="dxa"/>
            <w:tcBorders>
              <w:top w:val="nil"/>
              <w:left w:val="nil"/>
              <w:bottom w:val="single" w:sz="4" w:space="0" w:color="auto"/>
              <w:right w:val="nil"/>
            </w:tcBorders>
            <w:shd w:val="clear" w:color="auto" w:fill="auto"/>
            <w:noWrap/>
            <w:vAlign w:val="bottom"/>
            <w:hideMark/>
          </w:tcPr>
          <w:p w14:paraId="0ECD1D5D" w14:textId="77777777" w:rsidR="00860EDA" w:rsidRPr="006522C8" w:rsidRDefault="00860EDA" w:rsidP="00787F8D">
            <w:pPr>
              <w:jc w:val="center"/>
              <w:rPr>
                <w:sz w:val="18"/>
                <w:szCs w:val="18"/>
              </w:rPr>
            </w:pPr>
            <w:r w:rsidRPr="006522C8">
              <w:rPr>
                <w:sz w:val="18"/>
                <w:szCs w:val="18"/>
              </w:rPr>
              <w:t>2</w:t>
            </w:r>
          </w:p>
        </w:tc>
        <w:tc>
          <w:tcPr>
            <w:tcW w:w="1300" w:type="dxa"/>
            <w:tcBorders>
              <w:top w:val="nil"/>
              <w:left w:val="nil"/>
              <w:bottom w:val="single" w:sz="4" w:space="0" w:color="auto"/>
              <w:right w:val="nil"/>
            </w:tcBorders>
            <w:shd w:val="clear" w:color="auto" w:fill="auto"/>
            <w:noWrap/>
            <w:vAlign w:val="bottom"/>
            <w:hideMark/>
          </w:tcPr>
          <w:p w14:paraId="6DEC2C09" w14:textId="77777777" w:rsidR="00860EDA" w:rsidRPr="006522C8" w:rsidRDefault="00860EDA" w:rsidP="00787F8D">
            <w:pPr>
              <w:jc w:val="center"/>
              <w:rPr>
                <w:sz w:val="18"/>
                <w:szCs w:val="18"/>
              </w:rPr>
            </w:pPr>
            <w:r w:rsidRPr="006522C8">
              <w:rPr>
                <w:sz w:val="18"/>
                <w:szCs w:val="18"/>
              </w:rPr>
              <w:t>3</w:t>
            </w:r>
          </w:p>
        </w:tc>
        <w:tc>
          <w:tcPr>
            <w:tcW w:w="1251" w:type="dxa"/>
            <w:tcBorders>
              <w:top w:val="nil"/>
              <w:left w:val="nil"/>
              <w:bottom w:val="single" w:sz="4" w:space="0" w:color="auto"/>
              <w:right w:val="nil"/>
            </w:tcBorders>
            <w:shd w:val="clear" w:color="auto" w:fill="auto"/>
            <w:noWrap/>
            <w:vAlign w:val="bottom"/>
            <w:hideMark/>
          </w:tcPr>
          <w:p w14:paraId="18623867" w14:textId="77777777" w:rsidR="00860EDA" w:rsidRPr="006522C8" w:rsidRDefault="00860EDA" w:rsidP="00787F8D">
            <w:pPr>
              <w:jc w:val="center"/>
              <w:rPr>
                <w:sz w:val="18"/>
                <w:szCs w:val="18"/>
              </w:rPr>
            </w:pPr>
            <w:r w:rsidRPr="006522C8">
              <w:rPr>
                <w:sz w:val="18"/>
                <w:szCs w:val="18"/>
              </w:rPr>
              <w:t>4</w:t>
            </w:r>
          </w:p>
        </w:tc>
        <w:tc>
          <w:tcPr>
            <w:tcW w:w="907" w:type="dxa"/>
            <w:tcBorders>
              <w:top w:val="nil"/>
              <w:left w:val="nil"/>
              <w:bottom w:val="single" w:sz="4" w:space="0" w:color="auto"/>
              <w:right w:val="nil"/>
            </w:tcBorders>
            <w:shd w:val="clear" w:color="auto" w:fill="auto"/>
            <w:noWrap/>
            <w:vAlign w:val="bottom"/>
            <w:hideMark/>
          </w:tcPr>
          <w:p w14:paraId="0B1A86E3" w14:textId="77777777" w:rsidR="00860EDA" w:rsidRPr="006522C8" w:rsidRDefault="00860EDA" w:rsidP="00787F8D">
            <w:pPr>
              <w:jc w:val="center"/>
              <w:rPr>
                <w:sz w:val="18"/>
                <w:szCs w:val="18"/>
              </w:rPr>
            </w:pPr>
            <w:r w:rsidRPr="006522C8">
              <w:rPr>
                <w:sz w:val="18"/>
                <w:szCs w:val="18"/>
              </w:rPr>
              <w:t>5</w:t>
            </w:r>
          </w:p>
        </w:tc>
        <w:tc>
          <w:tcPr>
            <w:tcW w:w="907" w:type="dxa"/>
            <w:tcBorders>
              <w:top w:val="nil"/>
              <w:left w:val="nil"/>
              <w:bottom w:val="single" w:sz="4" w:space="0" w:color="auto"/>
              <w:right w:val="nil"/>
            </w:tcBorders>
            <w:shd w:val="clear" w:color="auto" w:fill="auto"/>
            <w:noWrap/>
            <w:vAlign w:val="bottom"/>
            <w:hideMark/>
          </w:tcPr>
          <w:p w14:paraId="13B5602D" w14:textId="77777777" w:rsidR="00860EDA" w:rsidRPr="006522C8" w:rsidRDefault="00860EDA" w:rsidP="00787F8D">
            <w:pPr>
              <w:jc w:val="center"/>
              <w:rPr>
                <w:sz w:val="18"/>
                <w:szCs w:val="18"/>
              </w:rPr>
            </w:pPr>
            <w:r w:rsidRPr="006522C8">
              <w:rPr>
                <w:sz w:val="18"/>
                <w:szCs w:val="18"/>
              </w:rPr>
              <w:t>6</w:t>
            </w:r>
          </w:p>
        </w:tc>
      </w:tr>
      <w:tr w:rsidR="00860EDA" w:rsidRPr="006522C8" w14:paraId="383992B1" w14:textId="77777777" w:rsidTr="00787F8D">
        <w:trPr>
          <w:trHeight w:val="240"/>
        </w:trPr>
        <w:tc>
          <w:tcPr>
            <w:tcW w:w="306" w:type="dxa"/>
            <w:tcBorders>
              <w:top w:val="nil"/>
              <w:left w:val="nil"/>
              <w:bottom w:val="nil"/>
              <w:right w:val="nil"/>
            </w:tcBorders>
            <w:shd w:val="clear" w:color="auto" w:fill="auto"/>
            <w:noWrap/>
            <w:vAlign w:val="bottom"/>
            <w:hideMark/>
          </w:tcPr>
          <w:p w14:paraId="5425AA84" w14:textId="77777777" w:rsidR="00860EDA" w:rsidRPr="006522C8" w:rsidRDefault="00860EDA" w:rsidP="00787F8D">
            <w:pPr>
              <w:jc w:val="right"/>
              <w:rPr>
                <w:sz w:val="18"/>
                <w:szCs w:val="18"/>
              </w:rPr>
            </w:pPr>
            <w:r w:rsidRPr="006522C8">
              <w:rPr>
                <w:sz w:val="18"/>
                <w:szCs w:val="18"/>
              </w:rPr>
              <w:t>8</w:t>
            </w:r>
          </w:p>
        </w:tc>
        <w:tc>
          <w:tcPr>
            <w:tcW w:w="3238" w:type="dxa"/>
            <w:tcBorders>
              <w:top w:val="nil"/>
              <w:left w:val="nil"/>
              <w:bottom w:val="nil"/>
              <w:right w:val="nil"/>
            </w:tcBorders>
            <w:shd w:val="clear" w:color="auto" w:fill="auto"/>
            <w:noWrap/>
            <w:vAlign w:val="bottom"/>
            <w:hideMark/>
          </w:tcPr>
          <w:p w14:paraId="440B61B2" w14:textId="77777777" w:rsidR="00860EDA" w:rsidRPr="006522C8" w:rsidRDefault="00860EDA" w:rsidP="00787F8D">
            <w:pPr>
              <w:rPr>
                <w:sz w:val="18"/>
                <w:szCs w:val="18"/>
              </w:rPr>
            </w:pPr>
            <w:r w:rsidRPr="006522C8">
              <w:rPr>
                <w:sz w:val="18"/>
                <w:szCs w:val="18"/>
              </w:rPr>
              <w:t>Primici od financijske imovine i zaduživanja</w:t>
            </w:r>
          </w:p>
        </w:tc>
        <w:tc>
          <w:tcPr>
            <w:tcW w:w="1300" w:type="dxa"/>
            <w:tcBorders>
              <w:top w:val="nil"/>
              <w:left w:val="nil"/>
              <w:bottom w:val="nil"/>
              <w:right w:val="nil"/>
            </w:tcBorders>
            <w:shd w:val="clear" w:color="auto" w:fill="auto"/>
            <w:noWrap/>
            <w:vAlign w:val="bottom"/>
            <w:hideMark/>
          </w:tcPr>
          <w:p w14:paraId="03AFB80B" w14:textId="77777777" w:rsidR="00860EDA" w:rsidRPr="006522C8" w:rsidRDefault="00860EDA" w:rsidP="00787F8D">
            <w:pPr>
              <w:jc w:val="right"/>
              <w:rPr>
                <w:sz w:val="18"/>
                <w:szCs w:val="18"/>
              </w:rPr>
            </w:pPr>
            <w:r w:rsidRPr="006522C8">
              <w:rPr>
                <w:sz w:val="18"/>
                <w:szCs w:val="18"/>
              </w:rPr>
              <w:t>2.514.605,44</w:t>
            </w:r>
          </w:p>
        </w:tc>
        <w:tc>
          <w:tcPr>
            <w:tcW w:w="1300" w:type="dxa"/>
            <w:tcBorders>
              <w:top w:val="nil"/>
              <w:left w:val="nil"/>
              <w:bottom w:val="nil"/>
              <w:right w:val="nil"/>
            </w:tcBorders>
            <w:shd w:val="clear" w:color="auto" w:fill="auto"/>
            <w:noWrap/>
            <w:vAlign w:val="bottom"/>
            <w:hideMark/>
          </w:tcPr>
          <w:p w14:paraId="07343153" w14:textId="77777777" w:rsidR="00860EDA" w:rsidRPr="006522C8" w:rsidRDefault="00860EDA" w:rsidP="00787F8D">
            <w:pPr>
              <w:jc w:val="right"/>
              <w:rPr>
                <w:sz w:val="18"/>
                <w:szCs w:val="18"/>
              </w:rPr>
            </w:pPr>
            <w:r w:rsidRPr="006522C8">
              <w:rPr>
                <w:sz w:val="18"/>
                <w:szCs w:val="18"/>
              </w:rPr>
              <w:t>0,00</w:t>
            </w:r>
          </w:p>
        </w:tc>
        <w:tc>
          <w:tcPr>
            <w:tcW w:w="1251" w:type="dxa"/>
            <w:tcBorders>
              <w:top w:val="nil"/>
              <w:left w:val="nil"/>
              <w:bottom w:val="nil"/>
              <w:right w:val="nil"/>
            </w:tcBorders>
            <w:shd w:val="clear" w:color="auto" w:fill="auto"/>
            <w:noWrap/>
            <w:vAlign w:val="bottom"/>
            <w:hideMark/>
          </w:tcPr>
          <w:p w14:paraId="785500E2" w14:textId="77777777" w:rsidR="00860EDA" w:rsidRPr="006522C8" w:rsidRDefault="00860EDA" w:rsidP="00787F8D">
            <w:pPr>
              <w:jc w:val="right"/>
              <w:rPr>
                <w:sz w:val="18"/>
                <w:szCs w:val="18"/>
              </w:rPr>
            </w:pPr>
            <w:r w:rsidRPr="006522C8">
              <w:rPr>
                <w:sz w:val="18"/>
                <w:szCs w:val="18"/>
              </w:rPr>
              <w:t>0,00</w:t>
            </w:r>
          </w:p>
        </w:tc>
        <w:tc>
          <w:tcPr>
            <w:tcW w:w="907" w:type="dxa"/>
            <w:tcBorders>
              <w:top w:val="nil"/>
              <w:left w:val="nil"/>
              <w:bottom w:val="nil"/>
              <w:right w:val="nil"/>
            </w:tcBorders>
            <w:shd w:val="clear" w:color="auto" w:fill="auto"/>
            <w:noWrap/>
            <w:vAlign w:val="bottom"/>
            <w:hideMark/>
          </w:tcPr>
          <w:p w14:paraId="700FE618" w14:textId="77777777" w:rsidR="00860EDA" w:rsidRPr="006522C8" w:rsidRDefault="00860EDA" w:rsidP="00787F8D">
            <w:pPr>
              <w:jc w:val="right"/>
              <w:rPr>
                <w:sz w:val="18"/>
                <w:szCs w:val="18"/>
              </w:rPr>
            </w:pPr>
            <w:r w:rsidRPr="006522C8">
              <w:rPr>
                <w:sz w:val="18"/>
                <w:szCs w:val="18"/>
              </w:rPr>
              <w:t>0,00</w:t>
            </w:r>
          </w:p>
        </w:tc>
        <w:tc>
          <w:tcPr>
            <w:tcW w:w="907" w:type="dxa"/>
            <w:tcBorders>
              <w:top w:val="nil"/>
              <w:left w:val="nil"/>
              <w:bottom w:val="nil"/>
              <w:right w:val="nil"/>
            </w:tcBorders>
            <w:shd w:val="clear" w:color="auto" w:fill="auto"/>
            <w:noWrap/>
            <w:vAlign w:val="bottom"/>
            <w:hideMark/>
          </w:tcPr>
          <w:p w14:paraId="2CFB1AA2" w14:textId="77777777" w:rsidR="00860EDA" w:rsidRPr="006522C8" w:rsidRDefault="00860EDA" w:rsidP="00787F8D">
            <w:pPr>
              <w:jc w:val="right"/>
              <w:rPr>
                <w:sz w:val="18"/>
                <w:szCs w:val="18"/>
              </w:rPr>
            </w:pPr>
            <w:r w:rsidRPr="006522C8">
              <w:rPr>
                <w:sz w:val="18"/>
                <w:szCs w:val="18"/>
              </w:rPr>
              <w:t>0,00</w:t>
            </w:r>
          </w:p>
        </w:tc>
      </w:tr>
      <w:tr w:rsidR="00860EDA" w:rsidRPr="006522C8" w14:paraId="291B3186" w14:textId="77777777" w:rsidTr="00787F8D">
        <w:trPr>
          <w:trHeight w:val="240"/>
        </w:trPr>
        <w:tc>
          <w:tcPr>
            <w:tcW w:w="306" w:type="dxa"/>
            <w:tcBorders>
              <w:top w:val="nil"/>
              <w:left w:val="nil"/>
              <w:bottom w:val="nil"/>
              <w:right w:val="nil"/>
            </w:tcBorders>
            <w:shd w:val="clear" w:color="auto" w:fill="auto"/>
            <w:noWrap/>
            <w:vAlign w:val="bottom"/>
            <w:hideMark/>
          </w:tcPr>
          <w:p w14:paraId="13BD61FA" w14:textId="77777777" w:rsidR="00860EDA" w:rsidRPr="006522C8" w:rsidRDefault="00860EDA" w:rsidP="00787F8D">
            <w:pPr>
              <w:jc w:val="right"/>
              <w:rPr>
                <w:sz w:val="18"/>
                <w:szCs w:val="18"/>
              </w:rPr>
            </w:pPr>
            <w:r w:rsidRPr="006522C8">
              <w:rPr>
                <w:sz w:val="18"/>
                <w:szCs w:val="18"/>
              </w:rPr>
              <w:t>5</w:t>
            </w:r>
          </w:p>
        </w:tc>
        <w:tc>
          <w:tcPr>
            <w:tcW w:w="3238" w:type="dxa"/>
            <w:tcBorders>
              <w:top w:val="nil"/>
              <w:left w:val="nil"/>
              <w:bottom w:val="nil"/>
              <w:right w:val="nil"/>
            </w:tcBorders>
            <w:shd w:val="clear" w:color="auto" w:fill="auto"/>
            <w:noWrap/>
            <w:vAlign w:val="bottom"/>
            <w:hideMark/>
          </w:tcPr>
          <w:p w14:paraId="636466D8" w14:textId="77777777" w:rsidR="00860EDA" w:rsidRPr="006522C8" w:rsidRDefault="00860EDA" w:rsidP="00787F8D">
            <w:pPr>
              <w:rPr>
                <w:sz w:val="18"/>
                <w:szCs w:val="18"/>
              </w:rPr>
            </w:pPr>
            <w:r w:rsidRPr="006522C8">
              <w:rPr>
                <w:sz w:val="18"/>
                <w:szCs w:val="18"/>
              </w:rPr>
              <w:t>Izdaci za financijsku imovinu i otplate zajmova</w:t>
            </w:r>
          </w:p>
        </w:tc>
        <w:tc>
          <w:tcPr>
            <w:tcW w:w="1300" w:type="dxa"/>
            <w:tcBorders>
              <w:top w:val="nil"/>
              <w:left w:val="nil"/>
              <w:bottom w:val="nil"/>
              <w:right w:val="nil"/>
            </w:tcBorders>
            <w:shd w:val="clear" w:color="auto" w:fill="auto"/>
            <w:noWrap/>
            <w:vAlign w:val="bottom"/>
            <w:hideMark/>
          </w:tcPr>
          <w:p w14:paraId="1DCA610F" w14:textId="77777777" w:rsidR="00860EDA" w:rsidRPr="006522C8" w:rsidRDefault="00860EDA" w:rsidP="00787F8D">
            <w:pPr>
              <w:jc w:val="right"/>
              <w:rPr>
                <w:sz w:val="18"/>
                <w:szCs w:val="18"/>
              </w:rPr>
            </w:pPr>
            <w:r w:rsidRPr="006522C8">
              <w:rPr>
                <w:sz w:val="18"/>
                <w:szCs w:val="18"/>
              </w:rPr>
              <w:t>2.186.397,02</w:t>
            </w:r>
          </w:p>
        </w:tc>
        <w:tc>
          <w:tcPr>
            <w:tcW w:w="1300" w:type="dxa"/>
            <w:tcBorders>
              <w:top w:val="nil"/>
              <w:left w:val="nil"/>
              <w:bottom w:val="nil"/>
              <w:right w:val="nil"/>
            </w:tcBorders>
            <w:shd w:val="clear" w:color="auto" w:fill="auto"/>
            <w:noWrap/>
            <w:vAlign w:val="bottom"/>
            <w:hideMark/>
          </w:tcPr>
          <w:p w14:paraId="77FA4833" w14:textId="77777777" w:rsidR="00860EDA" w:rsidRPr="006522C8" w:rsidRDefault="00860EDA" w:rsidP="00787F8D">
            <w:pPr>
              <w:jc w:val="right"/>
              <w:rPr>
                <w:sz w:val="18"/>
                <w:szCs w:val="18"/>
              </w:rPr>
            </w:pPr>
            <w:r w:rsidRPr="006522C8">
              <w:rPr>
                <w:sz w:val="18"/>
                <w:szCs w:val="18"/>
              </w:rPr>
              <w:t>1.219.000,00</w:t>
            </w:r>
          </w:p>
        </w:tc>
        <w:tc>
          <w:tcPr>
            <w:tcW w:w="1251" w:type="dxa"/>
            <w:tcBorders>
              <w:top w:val="nil"/>
              <w:left w:val="nil"/>
              <w:bottom w:val="nil"/>
              <w:right w:val="nil"/>
            </w:tcBorders>
            <w:shd w:val="clear" w:color="auto" w:fill="auto"/>
            <w:noWrap/>
            <w:vAlign w:val="bottom"/>
            <w:hideMark/>
          </w:tcPr>
          <w:p w14:paraId="57B0BEDE" w14:textId="77777777" w:rsidR="00860EDA" w:rsidRPr="006522C8" w:rsidRDefault="00860EDA" w:rsidP="00787F8D">
            <w:pPr>
              <w:jc w:val="right"/>
              <w:rPr>
                <w:sz w:val="18"/>
                <w:szCs w:val="18"/>
              </w:rPr>
            </w:pPr>
            <w:r w:rsidRPr="006522C8">
              <w:rPr>
                <w:sz w:val="18"/>
                <w:szCs w:val="18"/>
              </w:rPr>
              <w:t>1.216.116,80</w:t>
            </w:r>
          </w:p>
        </w:tc>
        <w:tc>
          <w:tcPr>
            <w:tcW w:w="907" w:type="dxa"/>
            <w:tcBorders>
              <w:top w:val="nil"/>
              <w:left w:val="nil"/>
              <w:bottom w:val="nil"/>
              <w:right w:val="nil"/>
            </w:tcBorders>
            <w:shd w:val="clear" w:color="auto" w:fill="auto"/>
            <w:noWrap/>
            <w:vAlign w:val="bottom"/>
            <w:hideMark/>
          </w:tcPr>
          <w:p w14:paraId="32972BAF" w14:textId="77777777" w:rsidR="00860EDA" w:rsidRPr="006522C8" w:rsidRDefault="00860EDA" w:rsidP="00787F8D">
            <w:pPr>
              <w:jc w:val="right"/>
              <w:rPr>
                <w:sz w:val="18"/>
                <w:szCs w:val="18"/>
              </w:rPr>
            </w:pPr>
            <w:r w:rsidRPr="006522C8">
              <w:rPr>
                <w:sz w:val="18"/>
                <w:szCs w:val="18"/>
              </w:rPr>
              <w:t>55,62</w:t>
            </w:r>
          </w:p>
        </w:tc>
        <w:tc>
          <w:tcPr>
            <w:tcW w:w="907" w:type="dxa"/>
            <w:tcBorders>
              <w:top w:val="nil"/>
              <w:left w:val="nil"/>
              <w:bottom w:val="nil"/>
              <w:right w:val="nil"/>
            </w:tcBorders>
            <w:shd w:val="clear" w:color="auto" w:fill="auto"/>
            <w:noWrap/>
            <w:vAlign w:val="bottom"/>
            <w:hideMark/>
          </w:tcPr>
          <w:p w14:paraId="6C7394AA" w14:textId="77777777" w:rsidR="00860EDA" w:rsidRPr="006522C8" w:rsidRDefault="00860EDA" w:rsidP="00787F8D">
            <w:pPr>
              <w:jc w:val="right"/>
              <w:rPr>
                <w:sz w:val="18"/>
                <w:szCs w:val="18"/>
              </w:rPr>
            </w:pPr>
            <w:r w:rsidRPr="006522C8">
              <w:rPr>
                <w:sz w:val="18"/>
                <w:szCs w:val="18"/>
              </w:rPr>
              <w:t>99,76</w:t>
            </w:r>
          </w:p>
        </w:tc>
      </w:tr>
      <w:tr w:rsidR="00860EDA" w:rsidRPr="006522C8" w14:paraId="17CCF69F" w14:textId="77777777" w:rsidTr="00787F8D">
        <w:trPr>
          <w:trHeight w:val="240"/>
        </w:trPr>
        <w:tc>
          <w:tcPr>
            <w:tcW w:w="306" w:type="dxa"/>
            <w:tcBorders>
              <w:top w:val="single" w:sz="4" w:space="0" w:color="auto"/>
              <w:left w:val="nil"/>
              <w:bottom w:val="single" w:sz="4" w:space="0" w:color="auto"/>
              <w:right w:val="nil"/>
            </w:tcBorders>
            <w:shd w:val="clear" w:color="auto" w:fill="auto"/>
            <w:noWrap/>
            <w:vAlign w:val="bottom"/>
            <w:hideMark/>
          </w:tcPr>
          <w:p w14:paraId="1347AD96" w14:textId="77777777" w:rsidR="00860EDA" w:rsidRPr="006522C8" w:rsidRDefault="00860EDA" w:rsidP="00787F8D">
            <w:pPr>
              <w:rPr>
                <w:sz w:val="18"/>
                <w:szCs w:val="18"/>
              </w:rPr>
            </w:pPr>
            <w:r w:rsidRPr="006522C8">
              <w:rPr>
                <w:sz w:val="18"/>
                <w:szCs w:val="18"/>
              </w:rPr>
              <w:t> </w:t>
            </w:r>
          </w:p>
        </w:tc>
        <w:tc>
          <w:tcPr>
            <w:tcW w:w="3238" w:type="dxa"/>
            <w:tcBorders>
              <w:top w:val="single" w:sz="4" w:space="0" w:color="auto"/>
              <w:left w:val="nil"/>
              <w:bottom w:val="single" w:sz="4" w:space="0" w:color="auto"/>
              <w:right w:val="nil"/>
            </w:tcBorders>
            <w:shd w:val="clear" w:color="auto" w:fill="auto"/>
            <w:noWrap/>
            <w:vAlign w:val="bottom"/>
            <w:hideMark/>
          </w:tcPr>
          <w:p w14:paraId="3FDB070B" w14:textId="77777777" w:rsidR="00860EDA" w:rsidRPr="006522C8" w:rsidRDefault="00860EDA" w:rsidP="00787F8D">
            <w:pPr>
              <w:rPr>
                <w:sz w:val="18"/>
                <w:szCs w:val="18"/>
              </w:rPr>
            </w:pPr>
            <w:r w:rsidRPr="006522C8">
              <w:rPr>
                <w:sz w:val="18"/>
                <w:szCs w:val="18"/>
              </w:rPr>
              <w:t>NETO ZADUŽIVANJE/FINANCIRANJE</w:t>
            </w:r>
          </w:p>
        </w:tc>
        <w:tc>
          <w:tcPr>
            <w:tcW w:w="1300" w:type="dxa"/>
            <w:tcBorders>
              <w:top w:val="single" w:sz="4" w:space="0" w:color="auto"/>
              <w:left w:val="nil"/>
              <w:bottom w:val="single" w:sz="4" w:space="0" w:color="auto"/>
              <w:right w:val="nil"/>
            </w:tcBorders>
            <w:shd w:val="clear" w:color="auto" w:fill="auto"/>
            <w:noWrap/>
            <w:vAlign w:val="bottom"/>
            <w:hideMark/>
          </w:tcPr>
          <w:p w14:paraId="50AA09A3" w14:textId="77777777" w:rsidR="00860EDA" w:rsidRPr="006522C8" w:rsidRDefault="00860EDA" w:rsidP="00787F8D">
            <w:pPr>
              <w:jc w:val="right"/>
              <w:rPr>
                <w:sz w:val="18"/>
                <w:szCs w:val="18"/>
              </w:rPr>
            </w:pPr>
            <w:r w:rsidRPr="006522C8">
              <w:rPr>
                <w:sz w:val="18"/>
                <w:szCs w:val="18"/>
              </w:rPr>
              <w:t>328.208,42</w:t>
            </w:r>
          </w:p>
        </w:tc>
        <w:tc>
          <w:tcPr>
            <w:tcW w:w="1300" w:type="dxa"/>
            <w:tcBorders>
              <w:top w:val="single" w:sz="4" w:space="0" w:color="auto"/>
              <w:left w:val="nil"/>
              <w:bottom w:val="single" w:sz="4" w:space="0" w:color="auto"/>
              <w:right w:val="nil"/>
            </w:tcBorders>
            <w:shd w:val="clear" w:color="auto" w:fill="auto"/>
            <w:noWrap/>
            <w:vAlign w:val="bottom"/>
            <w:hideMark/>
          </w:tcPr>
          <w:p w14:paraId="2640877C" w14:textId="77777777" w:rsidR="00860EDA" w:rsidRPr="006522C8" w:rsidRDefault="00860EDA" w:rsidP="00787F8D">
            <w:pPr>
              <w:jc w:val="right"/>
              <w:rPr>
                <w:sz w:val="18"/>
                <w:szCs w:val="18"/>
              </w:rPr>
            </w:pPr>
            <w:r w:rsidRPr="006522C8">
              <w:rPr>
                <w:sz w:val="18"/>
                <w:szCs w:val="18"/>
              </w:rPr>
              <w:t>-1.219.000,00</w:t>
            </w:r>
          </w:p>
        </w:tc>
        <w:tc>
          <w:tcPr>
            <w:tcW w:w="1251" w:type="dxa"/>
            <w:tcBorders>
              <w:top w:val="single" w:sz="4" w:space="0" w:color="auto"/>
              <w:left w:val="nil"/>
              <w:bottom w:val="single" w:sz="4" w:space="0" w:color="auto"/>
              <w:right w:val="nil"/>
            </w:tcBorders>
            <w:shd w:val="clear" w:color="auto" w:fill="auto"/>
            <w:noWrap/>
            <w:vAlign w:val="bottom"/>
            <w:hideMark/>
          </w:tcPr>
          <w:p w14:paraId="149A6EA6" w14:textId="77777777" w:rsidR="00860EDA" w:rsidRPr="006522C8" w:rsidRDefault="00860EDA" w:rsidP="00787F8D">
            <w:pPr>
              <w:jc w:val="right"/>
              <w:rPr>
                <w:sz w:val="18"/>
                <w:szCs w:val="18"/>
              </w:rPr>
            </w:pPr>
            <w:r w:rsidRPr="006522C8">
              <w:rPr>
                <w:sz w:val="18"/>
                <w:szCs w:val="18"/>
              </w:rPr>
              <w:t>-1.216.116,80</w:t>
            </w:r>
          </w:p>
        </w:tc>
        <w:tc>
          <w:tcPr>
            <w:tcW w:w="907" w:type="dxa"/>
            <w:tcBorders>
              <w:top w:val="single" w:sz="4" w:space="0" w:color="auto"/>
              <w:left w:val="nil"/>
              <w:bottom w:val="single" w:sz="4" w:space="0" w:color="auto"/>
              <w:right w:val="nil"/>
            </w:tcBorders>
            <w:shd w:val="clear" w:color="auto" w:fill="auto"/>
            <w:noWrap/>
            <w:vAlign w:val="bottom"/>
            <w:hideMark/>
          </w:tcPr>
          <w:p w14:paraId="03939E8A" w14:textId="77777777" w:rsidR="00860EDA" w:rsidRPr="006522C8" w:rsidRDefault="00860EDA" w:rsidP="00787F8D">
            <w:pPr>
              <w:jc w:val="right"/>
              <w:rPr>
                <w:sz w:val="18"/>
                <w:szCs w:val="18"/>
              </w:rPr>
            </w:pPr>
            <w:r w:rsidRPr="006522C8">
              <w:rPr>
                <w:sz w:val="18"/>
                <w:szCs w:val="18"/>
              </w:rPr>
              <w:t>-371,41</w:t>
            </w:r>
          </w:p>
        </w:tc>
        <w:tc>
          <w:tcPr>
            <w:tcW w:w="907" w:type="dxa"/>
            <w:tcBorders>
              <w:top w:val="single" w:sz="4" w:space="0" w:color="auto"/>
              <w:left w:val="nil"/>
              <w:bottom w:val="single" w:sz="4" w:space="0" w:color="auto"/>
              <w:right w:val="nil"/>
            </w:tcBorders>
            <w:shd w:val="clear" w:color="auto" w:fill="auto"/>
            <w:noWrap/>
            <w:vAlign w:val="bottom"/>
            <w:hideMark/>
          </w:tcPr>
          <w:p w14:paraId="5135CB81" w14:textId="77777777" w:rsidR="00860EDA" w:rsidRPr="006522C8" w:rsidRDefault="00860EDA" w:rsidP="00787F8D">
            <w:pPr>
              <w:jc w:val="right"/>
              <w:rPr>
                <w:sz w:val="18"/>
                <w:szCs w:val="18"/>
              </w:rPr>
            </w:pPr>
            <w:r w:rsidRPr="006522C8">
              <w:rPr>
                <w:sz w:val="18"/>
                <w:szCs w:val="18"/>
              </w:rPr>
              <w:t>99,76</w:t>
            </w:r>
          </w:p>
        </w:tc>
      </w:tr>
      <w:tr w:rsidR="00860EDA" w:rsidRPr="006522C8" w14:paraId="17DFCBF1" w14:textId="77777777" w:rsidTr="00787F8D">
        <w:trPr>
          <w:trHeight w:val="240"/>
        </w:trPr>
        <w:tc>
          <w:tcPr>
            <w:tcW w:w="306" w:type="dxa"/>
            <w:tcBorders>
              <w:top w:val="nil"/>
              <w:left w:val="nil"/>
              <w:bottom w:val="nil"/>
              <w:right w:val="nil"/>
            </w:tcBorders>
            <w:shd w:val="clear" w:color="auto" w:fill="auto"/>
            <w:noWrap/>
            <w:vAlign w:val="bottom"/>
            <w:hideMark/>
          </w:tcPr>
          <w:p w14:paraId="2D1DF4AD" w14:textId="77777777" w:rsidR="00860EDA" w:rsidRPr="006522C8" w:rsidRDefault="00860EDA" w:rsidP="00787F8D">
            <w:pPr>
              <w:jc w:val="right"/>
              <w:rPr>
                <w:sz w:val="18"/>
                <w:szCs w:val="18"/>
              </w:rPr>
            </w:pPr>
          </w:p>
        </w:tc>
        <w:tc>
          <w:tcPr>
            <w:tcW w:w="3238" w:type="dxa"/>
            <w:tcBorders>
              <w:top w:val="nil"/>
              <w:left w:val="nil"/>
              <w:bottom w:val="nil"/>
              <w:right w:val="nil"/>
            </w:tcBorders>
            <w:shd w:val="clear" w:color="auto" w:fill="auto"/>
            <w:noWrap/>
            <w:vAlign w:val="bottom"/>
            <w:hideMark/>
          </w:tcPr>
          <w:p w14:paraId="71404C30" w14:textId="77777777" w:rsidR="00860EDA" w:rsidRPr="006522C8" w:rsidRDefault="00860EDA" w:rsidP="00787F8D">
            <w:pPr>
              <w:rPr>
                <w:sz w:val="20"/>
                <w:szCs w:val="20"/>
              </w:rPr>
            </w:pPr>
          </w:p>
        </w:tc>
        <w:tc>
          <w:tcPr>
            <w:tcW w:w="1300" w:type="dxa"/>
            <w:tcBorders>
              <w:top w:val="nil"/>
              <w:left w:val="nil"/>
              <w:bottom w:val="nil"/>
              <w:right w:val="nil"/>
            </w:tcBorders>
            <w:shd w:val="clear" w:color="auto" w:fill="auto"/>
            <w:noWrap/>
            <w:vAlign w:val="bottom"/>
            <w:hideMark/>
          </w:tcPr>
          <w:p w14:paraId="4AB7C83F" w14:textId="77777777" w:rsidR="00860EDA" w:rsidRPr="006522C8" w:rsidRDefault="00860EDA" w:rsidP="00787F8D">
            <w:pPr>
              <w:rPr>
                <w:sz w:val="20"/>
                <w:szCs w:val="20"/>
              </w:rPr>
            </w:pPr>
          </w:p>
        </w:tc>
        <w:tc>
          <w:tcPr>
            <w:tcW w:w="1300" w:type="dxa"/>
            <w:tcBorders>
              <w:top w:val="nil"/>
              <w:left w:val="nil"/>
              <w:bottom w:val="nil"/>
              <w:right w:val="nil"/>
            </w:tcBorders>
            <w:shd w:val="clear" w:color="auto" w:fill="auto"/>
            <w:noWrap/>
            <w:vAlign w:val="bottom"/>
            <w:hideMark/>
          </w:tcPr>
          <w:p w14:paraId="0789E7A4" w14:textId="77777777" w:rsidR="00860EDA" w:rsidRPr="006522C8" w:rsidRDefault="00860EDA" w:rsidP="00787F8D">
            <w:pPr>
              <w:rPr>
                <w:sz w:val="20"/>
                <w:szCs w:val="20"/>
              </w:rPr>
            </w:pPr>
          </w:p>
        </w:tc>
        <w:tc>
          <w:tcPr>
            <w:tcW w:w="1251" w:type="dxa"/>
            <w:tcBorders>
              <w:top w:val="nil"/>
              <w:left w:val="nil"/>
              <w:bottom w:val="nil"/>
              <w:right w:val="nil"/>
            </w:tcBorders>
            <w:shd w:val="clear" w:color="auto" w:fill="auto"/>
            <w:noWrap/>
            <w:vAlign w:val="bottom"/>
            <w:hideMark/>
          </w:tcPr>
          <w:p w14:paraId="50882E62" w14:textId="77777777" w:rsidR="00860EDA" w:rsidRPr="006522C8" w:rsidRDefault="00860EDA" w:rsidP="00787F8D">
            <w:pPr>
              <w:rPr>
                <w:sz w:val="20"/>
                <w:szCs w:val="20"/>
              </w:rPr>
            </w:pPr>
          </w:p>
        </w:tc>
        <w:tc>
          <w:tcPr>
            <w:tcW w:w="907" w:type="dxa"/>
            <w:tcBorders>
              <w:top w:val="nil"/>
              <w:left w:val="nil"/>
              <w:bottom w:val="nil"/>
              <w:right w:val="nil"/>
            </w:tcBorders>
            <w:shd w:val="clear" w:color="auto" w:fill="auto"/>
            <w:noWrap/>
            <w:vAlign w:val="bottom"/>
            <w:hideMark/>
          </w:tcPr>
          <w:p w14:paraId="13683B19" w14:textId="77777777" w:rsidR="00860EDA" w:rsidRPr="006522C8" w:rsidRDefault="00860EDA" w:rsidP="00787F8D">
            <w:pPr>
              <w:rPr>
                <w:sz w:val="20"/>
                <w:szCs w:val="20"/>
              </w:rPr>
            </w:pPr>
          </w:p>
        </w:tc>
        <w:tc>
          <w:tcPr>
            <w:tcW w:w="907" w:type="dxa"/>
            <w:tcBorders>
              <w:top w:val="nil"/>
              <w:left w:val="nil"/>
              <w:bottom w:val="nil"/>
              <w:right w:val="nil"/>
            </w:tcBorders>
            <w:shd w:val="clear" w:color="auto" w:fill="auto"/>
            <w:noWrap/>
            <w:vAlign w:val="bottom"/>
            <w:hideMark/>
          </w:tcPr>
          <w:p w14:paraId="20AFEB3A" w14:textId="77777777" w:rsidR="00860EDA" w:rsidRPr="006522C8" w:rsidRDefault="00860EDA" w:rsidP="00787F8D">
            <w:pPr>
              <w:rPr>
                <w:sz w:val="20"/>
                <w:szCs w:val="20"/>
              </w:rPr>
            </w:pPr>
          </w:p>
        </w:tc>
      </w:tr>
      <w:tr w:rsidR="00860EDA" w:rsidRPr="006522C8" w14:paraId="1F79ABBD" w14:textId="77777777" w:rsidTr="00787F8D">
        <w:trPr>
          <w:trHeight w:val="240"/>
        </w:trPr>
        <w:tc>
          <w:tcPr>
            <w:tcW w:w="306" w:type="dxa"/>
            <w:tcBorders>
              <w:top w:val="single" w:sz="4" w:space="0" w:color="auto"/>
              <w:left w:val="nil"/>
              <w:bottom w:val="single" w:sz="4" w:space="0" w:color="auto"/>
              <w:right w:val="nil"/>
            </w:tcBorders>
            <w:shd w:val="clear" w:color="auto" w:fill="auto"/>
            <w:noWrap/>
            <w:vAlign w:val="bottom"/>
            <w:hideMark/>
          </w:tcPr>
          <w:p w14:paraId="7F9F950B" w14:textId="77777777" w:rsidR="00860EDA" w:rsidRPr="006522C8" w:rsidRDefault="00860EDA" w:rsidP="00787F8D">
            <w:pPr>
              <w:rPr>
                <w:sz w:val="18"/>
                <w:szCs w:val="18"/>
              </w:rPr>
            </w:pPr>
            <w:r w:rsidRPr="006522C8">
              <w:rPr>
                <w:sz w:val="18"/>
                <w:szCs w:val="18"/>
              </w:rPr>
              <w:t> </w:t>
            </w:r>
          </w:p>
        </w:tc>
        <w:tc>
          <w:tcPr>
            <w:tcW w:w="3238" w:type="dxa"/>
            <w:tcBorders>
              <w:top w:val="single" w:sz="4" w:space="0" w:color="auto"/>
              <w:left w:val="nil"/>
              <w:bottom w:val="single" w:sz="4" w:space="0" w:color="auto"/>
              <w:right w:val="nil"/>
            </w:tcBorders>
            <w:shd w:val="clear" w:color="auto" w:fill="auto"/>
            <w:noWrap/>
            <w:vAlign w:val="bottom"/>
            <w:hideMark/>
          </w:tcPr>
          <w:p w14:paraId="2825C58D" w14:textId="77777777" w:rsidR="00860EDA" w:rsidRPr="006522C8" w:rsidRDefault="00860EDA" w:rsidP="00787F8D">
            <w:pPr>
              <w:rPr>
                <w:sz w:val="18"/>
                <w:szCs w:val="18"/>
              </w:rPr>
            </w:pPr>
            <w:r w:rsidRPr="006522C8">
              <w:rPr>
                <w:sz w:val="18"/>
                <w:szCs w:val="18"/>
              </w:rPr>
              <w:t>VIŠAK/MANJAK + NETO ZADUŽIVANJA/FINANCIRANJA</w:t>
            </w:r>
          </w:p>
        </w:tc>
        <w:tc>
          <w:tcPr>
            <w:tcW w:w="1300" w:type="dxa"/>
            <w:tcBorders>
              <w:top w:val="single" w:sz="4" w:space="0" w:color="auto"/>
              <w:left w:val="nil"/>
              <w:bottom w:val="single" w:sz="4" w:space="0" w:color="auto"/>
              <w:right w:val="nil"/>
            </w:tcBorders>
            <w:shd w:val="clear" w:color="auto" w:fill="auto"/>
            <w:noWrap/>
            <w:vAlign w:val="bottom"/>
            <w:hideMark/>
          </w:tcPr>
          <w:p w14:paraId="4C18841E" w14:textId="77777777" w:rsidR="00860EDA" w:rsidRPr="006522C8" w:rsidRDefault="00860EDA" w:rsidP="00787F8D">
            <w:pPr>
              <w:jc w:val="right"/>
              <w:rPr>
                <w:sz w:val="18"/>
                <w:szCs w:val="18"/>
              </w:rPr>
            </w:pPr>
            <w:r w:rsidRPr="006522C8">
              <w:rPr>
                <w:sz w:val="18"/>
                <w:szCs w:val="18"/>
              </w:rPr>
              <w:t>1.168.087,85</w:t>
            </w:r>
          </w:p>
        </w:tc>
        <w:tc>
          <w:tcPr>
            <w:tcW w:w="1300" w:type="dxa"/>
            <w:tcBorders>
              <w:top w:val="single" w:sz="4" w:space="0" w:color="auto"/>
              <w:left w:val="nil"/>
              <w:bottom w:val="single" w:sz="4" w:space="0" w:color="auto"/>
              <w:right w:val="nil"/>
            </w:tcBorders>
            <w:shd w:val="clear" w:color="auto" w:fill="auto"/>
            <w:noWrap/>
            <w:vAlign w:val="bottom"/>
            <w:hideMark/>
          </w:tcPr>
          <w:p w14:paraId="63916131" w14:textId="77777777" w:rsidR="00860EDA" w:rsidRPr="006522C8" w:rsidRDefault="00860EDA" w:rsidP="00787F8D">
            <w:pPr>
              <w:jc w:val="right"/>
              <w:rPr>
                <w:sz w:val="18"/>
                <w:szCs w:val="18"/>
              </w:rPr>
            </w:pPr>
            <w:r w:rsidRPr="006522C8">
              <w:rPr>
                <w:sz w:val="18"/>
                <w:szCs w:val="18"/>
              </w:rPr>
              <w:t>-560.931,06</w:t>
            </w:r>
          </w:p>
        </w:tc>
        <w:tc>
          <w:tcPr>
            <w:tcW w:w="1251" w:type="dxa"/>
            <w:tcBorders>
              <w:top w:val="single" w:sz="4" w:space="0" w:color="auto"/>
              <w:left w:val="nil"/>
              <w:bottom w:val="single" w:sz="4" w:space="0" w:color="auto"/>
              <w:right w:val="nil"/>
            </w:tcBorders>
            <w:shd w:val="clear" w:color="auto" w:fill="auto"/>
            <w:noWrap/>
            <w:vAlign w:val="bottom"/>
            <w:hideMark/>
          </w:tcPr>
          <w:p w14:paraId="5B4A7D06" w14:textId="77777777" w:rsidR="00860EDA" w:rsidRPr="006522C8" w:rsidRDefault="00860EDA" w:rsidP="00787F8D">
            <w:pPr>
              <w:jc w:val="right"/>
              <w:rPr>
                <w:sz w:val="18"/>
                <w:szCs w:val="18"/>
              </w:rPr>
            </w:pPr>
            <w:r w:rsidRPr="006522C8">
              <w:rPr>
                <w:sz w:val="18"/>
                <w:szCs w:val="18"/>
              </w:rPr>
              <w:t>-263.888,90</w:t>
            </w:r>
          </w:p>
        </w:tc>
        <w:tc>
          <w:tcPr>
            <w:tcW w:w="907" w:type="dxa"/>
            <w:tcBorders>
              <w:top w:val="single" w:sz="4" w:space="0" w:color="auto"/>
              <w:left w:val="nil"/>
              <w:bottom w:val="single" w:sz="4" w:space="0" w:color="auto"/>
              <w:right w:val="nil"/>
            </w:tcBorders>
            <w:shd w:val="clear" w:color="auto" w:fill="auto"/>
            <w:noWrap/>
            <w:vAlign w:val="bottom"/>
            <w:hideMark/>
          </w:tcPr>
          <w:p w14:paraId="53AB426B" w14:textId="77777777" w:rsidR="00860EDA" w:rsidRPr="006522C8" w:rsidRDefault="00860EDA" w:rsidP="00787F8D">
            <w:pPr>
              <w:jc w:val="right"/>
              <w:rPr>
                <w:sz w:val="18"/>
                <w:szCs w:val="18"/>
              </w:rPr>
            </w:pPr>
            <w:r w:rsidRPr="006522C8">
              <w:rPr>
                <w:sz w:val="18"/>
                <w:szCs w:val="18"/>
              </w:rPr>
              <w:t>-22,59</w:t>
            </w:r>
          </w:p>
        </w:tc>
        <w:tc>
          <w:tcPr>
            <w:tcW w:w="907" w:type="dxa"/>
            <w:tcBorders>
              <w:top w:val="single" w:sz="4" w:space="0" w:color="auto"/>
              <w:left w:val="nil"/>
              <w:bottom w:val="single" w:sz="4" w:space="0" w:color="auto"/>
              <w:right w:val="nil"/>
            </w:tcBorders>
            <w:shd w:val="clear" w:color="auto" w:fill="auto"/>
            <w:noWrap/>
            <w:vAlign w:val="bottom"/>
            <w:hideMark/>
          </w:tcPr>
          <w:p w14:paraId="6C1FEAA5" w14:textId="77777777" w:rsidR="00860EDA" w:rsidRPr="006522C8" w:rsidRDefault="00860EDA" w:rsidP="00787F8D">
            <w:pPr>
              <w:jc w:val="right"/>
              <w:rPr>
                <w:sz w:val="18"/>
                <w:szCs w:val="18"/>
              </w:rPr>
            </w:pPr>
            <w:r w:rsidRPr="006522C8">
              <w:rPr>
                <w:sz w:val="18"/>
                <w:szCs w:val="18"/>
              </w:rPr>
              <w:t>47,04</w:t>
            </w:r>
          </w:p>
        </w:tc>
      </w:tr>
      <w:tr w:rsidR="00860EDA" w:rsidRPr="006522C8" w14:paraId="7CBDB9F7" w14:textId="77777777" w:rsidTr="00787F8D">
        <w:trPr>
          <w:trHeight w:val="240"/>
        </w:trPr>
        <w:tc>
          <w:tcPr>
            <w:tcW w:w="306" w:type="dxa"/>
            <w:tcBorders>
              <w:top w:val="nil"/>
              <w:left w:val="nil"/>
              <w:bottom w:val="nil"/>
              <w:right w:val="nil"/>
            </w:tcBorders>
            <w:shd w:val="clear" w:color="auto" w:fill="auto"/>
            <w:noWrap/>
            <w:vAlign w:val="bottom"/>
            <w:hideMark/>
          </w:tcPr>
          <w:p w14:paraId="19BE2570" w14:textId="77777777" w:rsidR="00860EDA" w:rsidRPr="006522C8" w:rsidRDefault="00860EDA" w:rsidP="00787F8D">
            <w:pPr>
              <w:jc w:val="right"/>
              <w:rPr>
                <w:sz w:val="18"/>
                <w:szCs w:val="18"/>
              </w:rPr>
            </w:pPr>
          </w:p>
        </w:tc>
        <w:tc>
          <w:tcPr>
            <w:tcW w:w="3238" w:type="dxa"/>
            <w:tcBorders>
              <w:top w:val="nil"/>
              <w:left w:val="nil"/>
              <w:bottom w:val="nil"/>
              <w:right w:val="nil"/>
            </w:tcBorders>
            <w:shd w:val="clear" w:color="auto" w:fill="auto"/>
            <w:noWrap/>
            <w:vAlign w:val="bottom"/>
            <w:hideMark/>
          </w:tcPr>
          <w:p w14:paraId="2EAF00DF" w14:textId="77777777" w:rsidR="00860EDA" w:rsidRPr="006522C8" w:rsidRDefault="00860EDA" w:rsidP="00787F8D">
            <w:pPr>
              <w:rPr>
                <w:sz w:val="20"/>
                <w:szCs w:val="20"/>
              </w:rPr>
            </w:pPr>
          </w:p>
        </w:tc>
        <w:tc>
          <w:tcPr>
            <w:tcW w:w="1300" w:type="dxa"/>
            <w:tcBorders>
              <w:top w:val="nil"/>
              <w:left w:val="nil"/>
              <w:bottom w:val="nil"/>
              <w:right w:val="nil"/>
            </w:tcBorders>
            <w:shd w:val="clear" w:color="auto" w:fill="auto"/>
            <w:noWrap/>
            <w:vAlign w:val="bottom"/>
            <w:hideMark/>
          </w:tcPr>
          <w:p w14:paraId="0AC133EC" w14:textId="77777777" w:rsidR="00860EDA" w:rsidRPr="006522C8" w:rsidRDefault="00860EDA" w:rsidP="00787F8D">
            <w:pPr>
              <w:rPr>
                <w:sz w:val="20"/>
                <w:szCs w:val="20"/>
              </w:rPr>
            </w:pPr>
          </w:p>
        </w:tc>
        <w:tc>
          <w:tcPr>
            <w:tcW w:w="1300" w:type="dxa"/>
            <w:tcBorders>
              <w:top w:val="nil"/>
              <w:left w:val="nil"/>
              <w:bottom w:val="nil"/>
              <w:right w:val="nil"/>
            </w:tcBorders>
            <w:shd w:val="clear" w:color="auto" w:fill="auto"/>
            <w:noWrap/>
            <w:vAlign w:val="bottom"/>
            <w:hideMark/>
          </w:tcPr>
          <w:p w14:paraId="30F18E19" w14:textId="77777777" w:rsidR="00860EDA" w:rsidRPr="006522C8" w:rsidRDefault="00860EDA" w:rsidP="00787F8D">
            <w:pPr>
              <w:rPr>
                <w:sz w:val="20"/>
                <w:szCs w:val="20"/>
              </w:rPr>
            </w:pPr>
          </w:p>
        </w:tc>
        <w:tc>
          <w:tcPr>
            <w:tcW w:w="1251" w:type="dxa"/>
            <w:tcBorders>
              <w:top w:val="nil"/>
              <w:left w:val="nil"/>
              <w:bottom w:val="nil"/>
              <w:right w:val="nil"/>
            </w:tcBorders>
            <w:shd w:val="clear" w:color="auto" w:fill="auto"/>
            <w:noWrap/>
            <w:vAlign w:val="bottom"/>
            <w:hideMark/>
          </w:tcPr>
          <w:p w14:paraId="3DE512C0" w14:textId="77777777" w:rsidR="00860EDA" w:rsidRPr="006522C8" w:rsidRDefault="00860EDA" w:rsidP="00787F8D">
            <w:pPr>
              <w:rPr>
                <w:sz w:val="20"/>
                <w:szCs w:val="20"/>
              </w:rPr>
            </w:pPr>
          </w:p>
        </w:tc>
        <w:tc>
          <w:tcPr>
            <w:tcW w:w="907" w:type="dxa"/>
            <w:tcBorders>
              <w:top w:val="nil"/>
              <w:left w:val="nil"/>
              <w:bottom w:val="nil"/>
              <w:right w:val="nil"/>
            </w:tcBorders>
            <w:shd w:val="clear" w:color="auto" w:fill="auto"/>
            <w:noWrap/>
            <w:vAlign w:val="bottom"/>
            <w:hideMark/>
          </w:tcPr>
          <w:p w14:paraId="180D1609" w14:textId="77777777" w:rsidR="00860EDA" w:rsidRPr="006522C8" w:rsidRDefault="00860EDA" w:rsidP="00787F8D">
            <w:pPr>
              <w:rPr>
                <w:sz w:val="20"/>
                <w:szCs w:val="20"/>
              </w:rPr>
            </w:pPr>
          </w:p>
        </w:tc>
        <w:tc>
          <w:tcPr>
            <w:tcW w:w="907" w:type="dxa"/>
            <w:tcBorders>
              <w:top w:val="nil"/>
              <w:left w:val="nil"/>
              <w:bottom w:val="nil"/>
              <w:right w:val="nil"/>
            </w:tcBorders>
            <w:shd w:val="clear" w:color="auto" w:fill="auto"/>
            <w:noWrap/>
            <w:vAlign w:val="bottom"/>
            <w:hideMark/>
          </w:tcPr>
          <w:p w14:paraId="49131948" w14:textId="77777777" w:rsidR="00860EDA" w:rsidRPr="006522C8" w:rsidRDefault="00860EDA" w:rsidP="00787F8D">
            <w:pPr>
              <w:rPr>
                <w:sz w:val="20"/>
                <w:szCs w:val="20"/>
              </w:rPr>
            </w:pPr>
          </w:p>
        </w:tc>
      </w:tr>
      <w:tr w:rsidR="00860EDA" w:rsidRPr="006522C8" w14:paraId="6C285F0F" w14:textId="77777777" w:rsidTr="00787F8D">
        <w:trPr>
          <w:trHeight w:val="240"/>
        </w:trPr>
        <w:tc>
          <w:tcPr>
            <w:tcW w:w="306" w:type="dxa"/>
            <w:tcBorders>
              <w:top w:val="single" w:sz="4" w:space="0" w:color="auto"/>
              <w:left w:val="nil"/>
              <w:bottom w:val="single" w:sz="4" w:space="0" w:color="auto"/>
              <w:right w:val="nil"/>
            </w:tcBorders>
            <w:shd w:val="clear" w:color="auto" w:fill="auto"/>
            <w:noWrap/>
            <w:vAlign w:val="bottom"/>
            <w:hideMark/>
          </w:tcPr>
          <w:p w14:paraId="15943EA1" w14:textId="77777777" w:rsidR="00860EDA" w:rsidRPr="006522C8" w:rsidRDefault="00860EDA" w:rsidP="00787F8D">
            <w:pPr>
              <w:rPr>
                <w:sz w:val="18"/>
                <w:szCs w:val="18"/>
              </w:rPr>
            </w:pPr>
            <w:r w:rsidRPr="006522C8">
              <w:rPr>
                <w:sz w:val="18"/>
                <w:szCs w:val="18"/>
              </w:rPr>
              <w:t> </w:t>
            </w:r>
          </w:p>
        </w:tc>
        <w:tc>
          <w:tcPr>
            <w:tcW w:w="3238" w:type="dxa"/>
            <w:tcBorders>
              <w:top w:val="single" w:sz="4" w:space="0" w:color="auto"/>
              <w:left w:val="nil"/>
              <w:bottom w:val="single" w:sz="4" w:space="0" w:color="auto"/>
              <w:right w:val="nil"/>
            </w:tcBorders>
            <w:shd w:val="clear" w:color="auto" w:fill="auto"/>
            <w:noWrap/>
            <w:vAlign w:val="bottom"/>
            <w:hideMark/>
          </w:tcPr>
          <w:p w14:paraId="733370BD" w14:textId="77777777" w:rsidR="00860EDA" w:rsidRPr="006522C8" w:rsidRDefault="00860EDA" w:rsidP="00787F8D">
            <w:pPr>
              <w:rPr>
                <w:sz w:val="18"/>
                <w:szCs w:val="18"/>
              </w:rPr>
            </w:pPr>
            <w:r w:rsidRPr="006522C8">
              <w:rPr>
                <w:sz w:val="18"/>
                <w:szCs w:val="18"/>
              </w:rPr>
              <w:t>RASPOLOŽIVA SREDSTVA IZ PRETHODNIH GODINA</w:t>
            </w:r>
          </w:p>
        </w:tc>
        <w:tc>
          <w:tcPr>
            <w:tcW w:w="1300" w:type="dxa"/>
            <w:tcBorders>
              <w:top w:val="single" w:sz="4" w:space="0" w:color="auto"/>
              <w:left w:val="nil"/>
              <w:bottom w:val="single" w:sz="4" w:space="0" w:color="auto"/>
              <w:right w:val="nil"/>
            </w:tcBorders>
            <w:shd w:val="clear" w:color="auto" w:fill="auto"/>
            <w:noWrap/>
            <w:vAlign w:val="bottom"/>
            <w:hideMark/>
          </w:tcPr>
          <w:p w14:paraId="17790317" w14:textId="77777777" w:rsidR="00860EDA" w:rsidRPr="006522C8" w:rsidRDefault="00860EDA" w:rsidP="00787F8D">
            <w:pPr>
              <w:jc w:val="right"/>
              <w:rPr>
                <w:sz w:val="18"/>
                <w:szCs w:val="18"/>
              </w:rPr>
            </w:pPr>
            <w:r w:rsidRPr="006522C8">
              <w:rPr>
                <w:sz w:val="18"/>
                <w:szCs w:val="18"/>
              </w:rPr>
              <w:t>-607.156,79</w:t>
            </w:r>
          </w:p>
        </w:tc>
        <w:tc>
          <w:tcPr>
            <w:tcW w:w="1300" w:type="dxa"/>
            <w:tcBorders>
              <w:top w:val="single" w:sz="4" w:space="0" w:color="auto"/>
              <w:left w:val="nil"/>
              <w:bottom w:val="single" w:sz="4" w:space="0" w:color="auto"/>
              <w:right w:val="nil"/>
            </w:tcBorders>
            <w:shd w:val="clear" w:color="auto" w:fill="auto"/>
            <w:noWrap/>
            <w:vAlign w:val="bottom"/>
            <w:hideMark/>
          </w:tcPr>
          <w:p w14:paraId="187849B9" w14:textId="77777777" w:rsidR="00860EDA" w:rsidRPr="006522C8" w:rsidRDefault="00860EDA" w:rsidP="00787F8D">
            <w:pPr>
              <w:jc w:val="right"/>
              <w:rPr>
                <w:sz w:val="18"/>
                <w:szCs w:val="18"/>
              </w:rPr>
            </w:pPr>
            <w:r w:rsidRPr="006522C8">
              <w:rPr>
                <w:sz w:val="18"/>
                <w:szCs w:val="18"/>
              </w:rPr>
              <w:t>560.931,06</w:t>
            </w:r>
          </w:p>
        </w:tc>
        <w:tc>
          <w:tcPr>
            <w:tcW w:w="1251" w:type="dxa"/>
            <w:tcBorders>
              <w:top w:val="single" w:sz="4" w:space="0" w:color="auto"/>
              <w:left w:val="nil"/>
              <w:bottom w:val="single" w:sz="4" w:space="0" w:color="auto"/>
              <w:right w:val="nil"/>
            </w:tcBorders>
            <w:shd w:val="clear" w:color="auto" w:fill="auto"/>
            <w:noWrap/>
            <w:vAlign w:val="bottom"/>
            <w:hideMark/>
          </w:tcPr>
          <w:p w14:paraId="59B0F2CE" w14:textId="77777777" w:rsidR="00860EDA" w:rsidRPr="006522C8" w:rsidRDefault="00860EDA" w:rsidP="00787F8D">
            <w:pPr>
              <w:jc w:val="right"/>
              <w:rPr>
                <w:sz w:val="18"/>
                <w:szCs w:val="18"/>
              </w:rPr>
            </w:pPr>
            <w:r w:rsidRPr="006522C8">
              <w:rPr>
                <w:sz w:val="18"/>
                <w:szCs w:val="18"/>
              </w:rPr>
              <w:t>560.931,06</w:t>
            </w:r>
          </w:p>
        </w:tc>
        <w:tc>
          <w:tcPr>
            <w:tcW w:w="907" w:type="dxa"/>
            <w:tcBorders>
              <w:top w:val="single" w:sz="4" w:space="0" w:color="auto"/>
              <w:left w:val="nil"/>
              <w:bottom w:val="single" w:sz="4" w:space="0" w:color="auto"/>
              <w:right w:val="nil"/>
            </w:tcBorders>
            <w:shd w:val="clear" w:color="auto" w:fill="auto"/>
            <w:noWrap/>
            <w:vAlign w:val="bottom"/>
            <w:hideMark/>
          </w:tcPr>
          <w:p w14:paraId="745FB64E" w14:textId="77777777" w:rsidR="00860EDA" w:rsidRPr="006522C8" w:rsidRDefault="00860EDA" w:rsidP="00787F8D">
            <w:pPr>
              <w:jc w:val="right"/>
              <w:rPr>
                <w:sz w:val="18"/>
                <w:szCs w:val="18"/>
              </w:rPr>
            </w:pPr>
            <w:r w:rsidRPr="006522C8">
              <w:rPr>
                <w:sz w:val="18"/>
                <w:szCs w:val="18"/>
              </w:rPr>
              <w:t>-92,39</w:t>
            </w:r>
          </w:p>
        </w:tc>
        <w:tc>
          <w:tcPr>
            <w:tcW w:w="907" w:type="dxa"/>
            <w:tcBorders>
              <w:top w:val="single" w:sz="4" w:space="0" w:color="auto"/>
              <w:left w:val="nil"/>
              <w:bottom w:val="single" w:sz="4" w:space="0" w:color="auto"/>
              <w:right w:val="nil"/>
            </w:tcBorders>
            <w:shd w:val="clear" w:color="auto" w:fill="auto"/>
            <w:noWrap/>
            <w:vAlign w:val="bottom"/>
            <w:hideMark/>
          </w:tcPr>
          <w:p w14:paraId="16E1B6A4" w14:textId="77777777" w:rsidR="00860EDA" w:rsidRPr="006522C8" w:rsidRDefault="00860EDA" w:rsidP="00787F8D">
            <w:pPr>
              <w:jc w:val="right"/>
              <w:rPr>
                <w:sz w:val="18"/>
                <w:szCs w:val="18"/>
              </w:rPr>
            </w:pPr>
            <w:r w:rsidRPr="006522C8">
              <w:rPr>
                <w:sz w:val="18"/>
                <w:szCs w:val="18"/>
              </w:rPr>
              <w:t>100,00</w:t>
            </w:r>
          </w:p>
        </w:tc>
      </w:tr>
      <w:tr w:rsidR="00860EDA" w:rsidRPr="006522C8" w14:paraId="27488CCF" w14:textId="77777777" w:rsidTr="00787F8D">
        <w:trPr>
          <w:trHeight w:val="240"/>
        </w:trPr>
        <w:tc>
          <w:tcPr>
            <w:tcW w:w="306" w:type="dxa"/>
            <w:tcBorders>
              <w:top w:val="nil"/>
              <w:left w:val="nil"/>
              <w:bottom w:val="nil"/>
              <w:right w:val="nil"/>
            </w:tcBorders>
            <w:shd w:val="clear" w:color="auto" w:fill="auto"/>
            <w:noWrap/>
            <w:vAlign w:val="bottom"/>
            <w:hideMark/>
          </w:tcPr>
          <w:p w14:paraId="63D3A61A" w14:textId="77777777" w:rsidR="00860EDA" w:rsidRPr="006522C8" w:rsidRDefault="00860EDA" w:rsidP="00787F8D">
            <w:pPr>
              <w:jc w:val="right"/>
              <w:rPr>
                <w:sz w:val="18"/>
                <w:szCs w:val="18"/>
              </w:rPr>
            </w:pPr>
          </w:p>
        </w:tc>
        <w:tc>
          <w:tcPr>
            <w:tcW w:w="3238" w:type="dxa"/>
            <w:tcBorders>
              <w:top w:val="nil"/>
              <w:left w:val="nil"/>
              <w:bottom w:val="nil"/>
              <w:right w:val="nil"/>
            </w:tcBorders>
            <w:shd w:val="clear" w:color="auto" w:fill="auto"/>
            <w:noWrap/>
            <w:vAlign w:val="bottom"/>
            <w:hideMark/>
          </w:tcPr>
          <w:p w14:paraId="499823C3" w14:textId="77777777" w:rsidR="00860EDA" w:rsidRPr="006522C8" w:rsidRDefault="00860EDA" w:rsidP="00787F8D">
            <w:pPr>
              <w:rPr>
                <w:sz w:val="20"/>
                <w:szCs w:val="20"/>
              </w:rPr>
            </w:pPr>
          </w:p>
        </w:tc>
        <w:tc>
          <w:tcPr>
            <w:tcW w:w="1300" w:type="dxa"/>
            <w:tcBorders>
              <w:top w:val="nil"/>
              <w:left w:val="nil"/>
              <w:bottom w:val="nil"/>
              <w:right w:val="nil"/>
            </w:tcBorders>
            <w:shd w:val="clear" w:color="auto" w:fill="auto"/>
            <w:noWrap/>
            <w:vAlign w:val="bottom"/>
            <w:hideMark/>
          </w:tcPr>
          <w:p w14:paraId="6CA0D464" w14:textId="77777777" w:rsidR="00860EDA" w:rsidRPr="006522C8" w:rsidRDefault="00860EDA" w:rsidP="00787F8D">
            <w:pPr>
              <w:rPr>
                <w:sz w:val="20"/>
                <w:szCs w:val="20"/>
              </w:rPr>
            </w:pPr>
          </w:p>
        </w:tc>
        <w:tc>
          <w:tcPr>
            <w:tcW w:w="1300" w:type="dxa"/>
            <w:tcBorders>
              <w:top w:val="nil"/>
              <w:left w:val="nil"/>
              <w:bottom w:val="nil"/>
              <w:right w:val="nil"/>
            </w:tcBorders>
            <w:shd w:val="clear" w:color="auto" w:fill="auto"/>
            <w:noWrap/>
            <w:vAlign w:val="bottom"/>
            <w:hideMark/>
          </w:tcPr>
          <w:p w14:paraId="7100F763" w14:textId="77777777" w:rsidR="00860EDA" w:rsidRPr="006522C8" w:rsidRDefault="00860EDA" w:rsidP="00787F8D">
            <w:pPr>
              <w:rPr>
                <w:sz w:val="20"/>
                <w:szCs w:val="20"/>
              </w:rPr>
            </w:pPr>
          </w:p>
        </w:tc>
        <w:tc>
          <w:tcPr>
            <w:tcW w:w="1251" w:type="dxa"/>
            <w:tcBorders>
              <w:top w:val="nil"/>
              <w:left w:val="nil"/>
              <w:bottom w:val="nil"/>
              <w:right w:val="nil"/>
            </w:tcBorders>
            <w:shd w:val="clear" w:color="auto" w:fill="auto"/>
            <w:noWrap/>
            <w:vAlign w:val="bottom"/>
            <w:hideMark/>
          </w:tcPr>
          <w:p w14:paraId="4D1F82EE" w14:textId="77777777" w:rsidR="00860EDA" w:rsidRPr="006522C8" w:rsidRDefault="00860EDA" w:rsidP="00787F8D">
            <w:pPr>
              <w:rPr>
                <w:sz w:val="20"/>
                <w:szCs w:val="20"/>
              </w:rPr>
            </w:pPr>
          </w:p>
        </w:tc>
        <w:tc>
          <w:tcPr>
            <w:tcW w:w="907" w:type="dxa"/>
            <w:tcBorders>
              <w:top w:val="nil"/>
              <w:left w:val="nil"/>
              <w:bottom w:val="nil"/>
              <w:right w:val="nil"/>
            </w:tcBorders>
            <w:shd w:val="clear" w:color="auto" w:fill="auto"/>
            <w:noWrap/>
            <w:vAlign w:val="bottom"/>
            <w:hideMark/>
          </w:tcPr>
          <w:p w14:paraId="4CEEC8F0" w14:textId="77777777" w:rsidR="00860EDA" w:rsidRPr="006522C8" w:rsidRDefault="00860EDA" w:rsidP="00787F8D">
            <w:pPr>
              <w:rPr>
                <w:sz w:val="20"/>
                <w:szCs w:val="20"/>
              </w:rPr>
            </w:pPr>
          </w:p>
        </w:tc>
        <w:tc>
          <w:tcPr>
            <w:tcW w:w="907" w:type="dxa"/>
            <w:tcBorders>
              <w:top w:val="nil"/>
              <w:left w:val="nil"/>
              <w:bottom w:val="nil"/>
              <w:right w:val="nil"/>
            </w:tcBorders>
            <w:shd w:val="clear" w:color="auto" w:fill="auto"/>
            <w:noWrap/>
            <w:vAlign w:val="bottom"/>
            <w:hideMark/>
          </w:tcPr>
          <w:p w14:paraId="7F9F8F47" w14:textId="77777777" w:rsidR="00860EDA" w:rsidRPr="006522C8" w:rsidRDefault="00860EDA" w:rsidP="00787F8D">
            <w:pPr>
              <w:rPr>
                <w:sz w:val="20"/>
                <w:szCs w:val="20"/>
              </w:rPr>
            </w:pPr>
          </w:p>
        </w:tc>
      </w:tr>
      <w:tr w:rsidR="00860EDA" w:rsidRPr="006522C8" w14:paraId="1B7B3AF5" w14:textId="77777777" w:rsidTr="00787F8D">
        <w:trPr>
          <w:trHeight w:val="480"/>
        </w:trPr>
        <w:tc>
          <w:tcPr>
            <w:tcW w:w="306" w:type="dxa"/>
            <w:tcBorders>
              <w:top w:val="single" w:sz="4" w:space="0" w:color="auto"/>
              <w:left w:val="nil"/>
              <w:bottom w:val="single" w:sz="4" w:space="0" w:color="auto"/>
              <w:right w:val="nil"/>
            </w:tcBorders>
            <w:shd w:val="clear" w:color="auto" w:fill="auto"/>
            <w:noWrap/>
            <w:vAlign w:val="bottom"/>
            <w:hideMark/>
          </w:tcPr>
          <w:p w14:paraId="254E97F9" w14:textId="77777777" w:rsidR="00860EDA" w:rsidRPr="006522C8" w:rsidRDefault="00860EDA" w:rsidP="00787F8D">
            <w:pPr>
              <w:rPr>
                <w:sz w:val="18"/>
                <w:szCs w:val="18"/>
              </w:rPr>
            </w:pPr>
            <w:r w:rsidRPr="006522C8">
              <w:rPr>
                <w:sz w:val="18"/>
                <w:szCs w:val="18"/>
              </w:rPr>
              <w:t> </w:t>
            </w:r>
          </w:p>
        </w:tc>
        <w:tc>
          <w:tcPr>
            <w:tcW w:w="3238" w:type="dxa"/>
            <w:tcBorders>
              <w:top w:val="single" w:sz="4" w:space="0" w:color="auto"/>
              <w:left w:val="nil"/>
              <w:bottom w:val="single" w:sz="4" w:space="0" w:color="auto"/>
              <w:right w:val="nil"/>
            </w:tcBorders>
            <w:shd w:val="clear" w:color="auto" w:fill="auto"/>
            <w:vAlign w:val="bottom"/>
            <w:hideMark/>
          </w:tcPr>
          <w:p w14:paraId="5328FCD4" w14:textId="77777777" w:rsidR="00860EDA" w:rsidRPr="006522C8" w:rsidRDefault="00860EDA" w:rsidP="00787F8D">
            <w:pPr>
              <w:rPr>
                <w:sz w:val="18"/>
                <w:szCs w:val="18"/>
              </w:rPr>
            </w:pPr>
            <w:r w:rsidRPr="006522C8">
              <w:rPr>
                <w:sz w:val="18"/>
                <w:szCs w:val="18"/>
              </w:rPr>
              <w:t>VIŠAK/MANJAK RASPOLOŽIV/ZA POKRIĆE U SLJEDEĆEM RAZDOBLJU</w:t>
            </w:r>
          </w:p>
        </w:tc>
        <w:tc>
          <w:tcPr>
            <w:tcW w:w="1300" w:type="dxa"/>
            <w:tcBorders>
              <w:top w:val="single" w:sz="4" w:space="0" w:color="auto"/>
              <w:left w:val="nil"/>
              <w:bottom w:val="single" w:sz="4" w:space="0" w:color="auto"/>
              <w:right w:val="nil"/>
            </w:tcBorders>
            <w:shd w:val="clear" w:color="auto" w:fill="auto"/>
            <w:noWrap/>
            <w:vAlign w:val="bottom"/>
            <w:hideMark/>
          </w:tcPr>
          <w:p w14:paraId="667834E5" w14:textId="77777777" w:rsidR="00860EDA" w:rsidRPr="006522C8" w:rsidRDefault="00860EDA" w:rsidP="00787F8D">
            <w:pPr>
              <w:jc w:val="right"/>
              <w:rPr>
                <w:sz w:val="18"/>
                <w:szCs w:val="18"/>
              </w:rPr>
            </w:pPr>
            <w:r w:rsidRPr="006522C8">
              <w:rPr>
                <w:sz w:val="18"/>
                <w:szCs w:val="18"/>
              </w:rPr>
              <w:t>560.931,06</w:t>
            </w:r>
          </w:p>
        </w:tc>
        <w:tc>
          <w:tcPr>
            <w:tcW w:w="1300" w:type="dxa"/>
            <w:tcBorders>
              <w:top w:val="single" w:sz="4" w:space="0" w:color="auto"/>
              <w:left w:val="nil"/>
              <w:bottom w:val="single" w:sz="4" w:space="0" w:color="auto"/>
              <w:right w:val="nil"/>
            </w:tcBorders>
            <w:shd w:val="clear" w:color="auto" w:fill="auto"/>
            <w:noWrap/>
            <w:vAlign w:val="bottom"/>
            <w:hideMark/>
          </w:tcPr>
          <w:p w14:paraId="2C9213E7" w14:textId="77777777" w:rsidR="00860EDA" w:rsidRPr="006522C8" w:rsidRDefault="00860EDA" w:rsidP="00787F8D">
            <w:pPr>
              <w:jc w:val="right"/>
              <w:rPr>
                <w:sz w:val="18"/>
                <w:szCs w:val="18"/>
              </w:rPr>
            </w:pPr>
            <w:r w:rsidRPr="006522C8">
              <w:rPr>
                <w:sz w:val="18"/>
                <w:szCs w:val="18"/>
              </w:rPr>
              <w:t>0,00</w:t>
            </w:r>
          </w:p>
        </w:tc>
        <w:tc>
          <w:tcPr>
            <w:tcW w:w="1251" w:type="dxa"/>
            <w:tcBorders>
              <w:top w:val="single" w:sz="4" w:space="0" w:color="auto"/>
              <w:left w:val="nil"/>
              <w:bottom w:val="single" w:sz="4" w:space="0" w:color="auto"/>
              <w:right w:val="nil"/>
            </w:tcBorders>
            <w:shd w:val="clear" w:color="auto" w:fill="auto"/>
            <w:noWrap/>
            <w:vAlign w:val="bottom"/>
            <w:hideMark/>
          </w:tcPr>
          <w:p w14:paraId="7B124F2B" w14:textId="77777777" w:rsidR="00860EDA" w:rsidRPr="006522C8" w:rsidRDefault="00860EDA" w:rsidP="00787F8D">
            <w:pPr>
              <w:jc w:val="right"/>
              <w:rPr>
                <w:sz w:val="18"/>
                <w:szCs w:val="18"/>
              </w:rPr>
            </w:pPr>
            <w:r w:rsidRPr="006522C8">
              <w:rPr>
                <w:sz w:val="18"/>
                <w:szCs w:val="18"/>
              </w:rPr>
              <w:t>297.042,16</w:t>
            </w:r>
          </w:p>
        </w:tc>
        <w:tc>
          <w:tcPr>
            <w:tcW w:w="907" w:type="dxa"/>
            <w:tcBorders>
              <w:top w:val="single" w:sz="4" w:space="0" w:color="auto"/>
              <w:left w:val="nil"/>
              <w:bottom w:val="single" w:sz="4" w:space="0" w:color="auto"/>
              <w:right w:val="nil"/>
            </w:tcBorders>
            <w:shd w:val="clear" w:color="auto" w:fill="auto"/>
            <w:noWrap/>
            <w:vAlign w:val="bottom"/>
            <w:hideMark/>
          </w:tcPr>
          <w:p w14:paraId="0874250D" w14:textId="77777777" w:rsidR="00860EDA" w:rsidRPr="006522C8" w:rsidRDefault="00860EDA" w:rsidP="00787F8D">
            <w:pPr>
              <w:jc w:val="right"/>
              <w:rPr>
                <w:sz w:val="18"/>
                <w:szCs w:val="18"/>
              </w:rPr>
            </w:pPr>
            <w:r w:rsidRPr="006522C8">
              <w:rPr>
                <w:sz w:val="18"/>
                <w:szCs w:val="18"/>
              </w:rPr>
              <w:t>52,96</w:t>
            </w:r>
          </w:p>
        </w:tc>
        <w:tc>
          <w:tcPr>
            <w:tcW w:w="907" w:type="dxa"/>
            <w:tcBorders>
              <w:top w:val="single" w:sz="4" w:space="0" w:color="auto"/>
              <w:left w:val="nil"/>
              <w:bottom w:val="single" w:sz="4" w:space="0" w:color="auto"/>
              <w:right w:val="nil"/>
            </w:tcBorders>
            <w:shd w:val="clear" w:color="auto" w:fill="auto"/>
            <w:noWrap/>
            <w:vAlign w:val="bottom"/>
            <w:hideMark/>
          </w:tcPr>
          <w:p w14:paraId="6ABE2415" w14:textId="77777777" w:rsidR="00860EDA" w:rsidRPr="006522C8" w:rsidRDefault="00860EDA" w:rsidP="00787F8D">
            <w:pPr>
              <w:jc w:val="right"/>
              <w:rPr>
                <w:sz w:val="18"/>
                <w:szCs w:val="18"/>
              </w:rPr>
            </w:pPr>
            <w:r w:rsidRPr="006522C8">
              <w:rPr>
                <w:sz w:val="18"/>
                <w:szCs w:val="18"/>
              </w:rPr>
              <w:t>0,00</w:t>
            </w:r>
          </w:p>
        </w:tc>
      </w:tr>
    </w:tbl>
    <w:p w14:paraId="6191901C" w14:textId="77777777" w:rsidR="00860EDA" w:rsidRDefault="00860EDA" w:rsidP="00860EDA"/>
    <w:p w14:paraId="28526A79" w14:textId="77777777" w:rsidR="00860EDA" w:rsidRDefault="00860EDA" w:rsidP="00860EDA"/>
    <w:p w14:paraId="7CCB77CC" w14:textId="77777777" w:rsidR="00860EDA" w:rsidRPr="003E23EC" w:rsidRDefault="00860EDA" w:rsidP="00860EDA">
      <w:pPr>
        <w:jc w:val="center"/>
      </w:pPr>
      <w:r w:rsidRPr="003E23EC">
        <w:t>Članak 2.</w:t>
      </w:r>
    </w:p>
    <w:p w14:paraId="24BFD721" w14:textId="77777777" w:rsidR="00860EDA" w:rsidRPr="003E23EC" w:rsidRDefault="00860EDA" w:rsidP="00860EDA">
      <w:pPr>
        <w:jc w:val="center"/>
      </w:pPr>
    </w:p>
    <w:p w14:paraId="6EACD6F1" w14:textId="77777777" w:rsidR="00860EDA" w:rsidRDefault="00860EDA" w:rsidP="00860EDA">
      <w:r w:rsidRPr="003E23EC">
        <w:t>Utvrđuje se da je u 20</w:t>
      </w:r>
      <w:r>
        <w:t>22</w:t>
      </w:r>
      <w:r w:rsidRPr="003E23EC">
        <w:t xml:space="preserve">. godini ostvaren ukupan </w:t>
      </w:r>
      <w:r>
        <w:t>manjak</w:t>
      </w:r>
      <w:r w:rsidRPr="003E23EC">
        <w:t xml:space="preserve"> prihoda i primitaka u iznosu od </w:t>
      </w:r>
      <w:r>
        <w:t>263.888,90</w:t>
      </w:r>
      <w:r w:rsidRPr="003E23EC">
        <w:t xml:space="preserve"> kuna. </w:t>
      </w:r>
    </w:p>
    <w:p w14:paraId="77BEC01A" w14:textId="77777777" w:rsidR="00860EDA" w:rsidRDefault="00860EDA" w:rsidP="00860EDA"/>
    <w:tbl>
      <w:tblPr>
        <w:tblStyle w:val="Reetkatablic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2150"/>
      </w:tblGrid>
      <w:tr w:rsidR="00860EDA" w:rsidRPr="00E43B38" w14:paraId="10396747" w14:textId="77777777" w:rsidTr="00787F8D">
        <w:tc>
          <w:tcPr>
            <w:tcW w:w="4508" w:type="dxa"/>
          </w:tcPr>
          <w:p w14:paraId="6BDC9CA7" w14:textId="77777777" w:rsidR="00860EDA" w:rsidRPr="00E43B38" w:rsidRDefault="00860EDA" w:rsidP="00787F8D">
            <w:pPr>
              <w:rPr>
                <w:rFonts w:ascii="Times New Roman" w:hAnsi="Times New Roman"/>
              </w:rPr>
            </w:pPr>
            <w:r w:rsidRPr="00E43B38">
              <w:rPr>
                <w:rFonts w:ascii="Times New Roman" w:hAnsi="Times New Roman"/>
              </w:rPr>
              <w:lastRenderedPageBreak/>
              <w:t>Grad Buje – Buie (manjak)</w:t>
            </w:r>
          </w:p>
        </w:tc>
        <w:tc>
          <w:tcPr>
            <w:tcW w:w="2150" w:type="dxa"/>
          </w:tcPr>
          <w:p w14:paraId="0972B293" w14:textId="77777777" w:rsidR="00860EDA" w:rsidRPr="00E43B38" w:rsidRDefault="00860EDA" w:rsidP="00787F8D">
            <w:pPr>
              <w:jc w:val="right"/>
              <w:rPr>
                <w:rFonts w:ascii="Times New Roman" w:hAnsi="Times New Roman"/>
              </w:rPr>
            </w:pPr>
            <w:r w:rsidRPr="00E43B38">
              <w:rPr>
                <w:rFonts w:ascii="Times New Roman" w:hAnsi="Times New Roman"/>
              </w:rPr>
              <w:t>-109.280,43</w:t>
            </w:r>
          </w:p>
        </w:tc>
      </w:tr>
      <w:tr w:rsidR="00860EDA" w:rsidRPr="00E43B38" w14:paraId="1919027C" w14:textId="77777777" w:rsidTr="00787F8D">
        <w:tc>
          <w:tcPr>
            <w:tcW w:w="4508" w:type="dxa"/>
          </w:tcPr>
          <w:p w14:paraId="053BD947" w14:textId="77777777" w:rsidR="00860EDA" w:rsidRPr="00E43B38" w:rsidRDefault="00860EDA" w:rsidP="00787F8D">
            <w:pPr>
              <w:rPr>
                <w:rFonts w:ascii="Times New Roman" w:hAnsi="Times New Roman"/>
              </w:rPr>
            </w:pPr>
            <w:r w:rsidRPr="00E43B38">
              <w:rPr>
                <w:rFonts w:ascii="Times New Roman" w:hAnsi="Times New Roman"/>
              </w:rPr>
              <w:t>Dječji vrtić Buje (manjak)</w:t>
            </w:r>
          </w:p>
        </w:tc>
        <w:tc>
          <w:tcPr>
            <w:tcW w:w="2150" w:type="dxa"/>
          </w:tcPr>
          <w:p w14:paraId="640B1B09" w14:textId="77777777" w:rsidR="00860EDA" w:rsidRPr="00E43B38" w:rsidRDefault="00860EDA" w:rsidP="00787F8D">
            <w:pPr>
              <w:jc w:val="right"/>
              <w:rPr>
                <w:rFonts w:ascii="Times New Roman" w:hAnsi="Times New Roman"/>
              </w:rPr>
            </w:pPr>
            <w:r w:rsidRPr="00E43B38">
              <w:rPr>
                <w:rFonts w:ascii="Times New Roman" w:hAnsi="Times New Roman"/>
              </w:rPr>
              <w:t>-180.187,99</w:t>
            </w:r>
          </w:p>
        </w:tc>
      </w:tr>
      <w:tr w:rsidR="00860EDA" w:rsidRPr="00E43B38" w14:paraId="7AE1B74F" w14:textId="77777777" w:rsidTr="00787F8D">
        <w:tc>
          <w:tcPr>
            <w:tcW w:w="4508" w:type="dxa"/>
          </w:tcPr>
          <w:p w14:paraId="6F811D32" w14:textId="77777777" w:rsidR="00860EDA" w:rsidRPr="00E43B38" w:rsidRDefault="00860EDA" w:rsidP="00787F8D">
            <w:pPr>
              <w:rPr>
                <w:rFonts w:ascii="Times New Roman" w:hAnsi="Times New Roman"/>
              </w:rPr>
            </w:pPr>
            <w:r w:rsidRPr="00E43B38">
              <w:rPr>
                <w:rFonts w:ascii="Times New Roman" w:hAnsi="Times New Roman"/>
              </w:rPr>
              <w:t>Talijanski dječji vrtić Mrvica (manjak)</w:t>
            </w:r>
          </w:p>
        </w:tc>
        <w:tc>
          <w:tcPr>
            <w:tcW w:w="2150" w:type="dxa"/>
          </w:tcPr>
          <w:p w14:paraId="4749F250" w14:textId="77777777" w:rsidR="00860EDA" w:rsidRPr="00E43B38" w:rsidRDefault="00860EDA" w:rsidP="00787F8D">
            <w:pPr>
              <w:jc w:val="right"/>
              <w:rPr>
                <w:rFonts w:ascii="Times New Roman" w:hAnsi="Times New Roman"/>
              </w:rPr>
            </w:pPr>
            <w:r w:rsidRPr="00E43B38">
              <w:rPr>
                <w:rFonts w:ascii="Times New Roman" w:hAnsi="Times New Roman"/>
              </w:rPr>
              <w:t>-73.738,78</w:t>
            </w:r>
          </w:p>
        </w:tc>
      </w:tr>
      <w:tr w:rsidR="00860EDA" w:rsidRPr="00E43B38" w14:paraId="478D1DE6" w14:textId="77777777" w:rsidTr="00787F8D">
        <w:tc>
          <w:tcPr>
            <w:tcW w:w="4508" w:type="dxa"/>
            <w:tcBorders>
              <w:bottom w:val="single" w:sz="4" w:space="0" w:color="auto"/>
            </w:tcBorders>
          </w:tcPr>
          <w:p w14:paraId="40424025" w14:textId="77777777" w:rsidR="00860EDA" w:rsidRPr="00E43B38" w:rsidRDefault="00860EDA" w:rsidP="00787F8D">
            <w:pPr>
              <w:rPr>
                <w:rFonts w:ascii="Times New Roman" w:hAnsi="Times New Roman"/>
              </w:rPr>
            </w:pPr>
            <w:r w:rsidRPr="00E43B38">
              <w:rPr>
                <w:rFonts w:ascii="Times New Roman" w:hAnsi="Times New Roman"/>
              </w:rPr>
              <w:t>Pučko otvoreno učilište Buje (višak)</w:t>
            </w:r>
          </w:p>
        </w:tc>
        <w:tc>
          <w:tcPr>
            <w:tcW w:w="2150" w:type="dxa"/>
            <w:tcBorders>
              <w:bottom w:val="single" w:sz="4" w:space="0" w:color="auto"/>
            </w:tcBorders>
          </w:tcPr>
          <w:p w14:paraId="48A39B64" w14:textId="77777777" w:rsidR="00860EDA" w:rsidRPr="00E43B38" w:rsidRDefault="00860EDA" w:rsidP="00787F8D">
            <w:pPr>
              <w:jc w:val="right"/>
              <w:rPr>
                <w:rFonts w:ascii="Times New Roman" w:hAnsi="Times New Roman"/>
              </w:rPr>
            </w:pPr>
            <w:r w:rsidRPr="00E43B38">
              <w:rPr>
                <w:rFonts w:ascii="Times New Roman" w:hAnsi="Times New Roman"/>
              </w:rPr>
              <w:t>99.318,30</w:t>
            </w:r>
          </w:p>
        </w:tc>
      </w:tr>
      <w:tr w:rsidR="00860EDA" w:rsidRPr="00E43B38" w14:paraId="677F29C5" w14:textId="77777777" w:rsidTr="00787F8D">
        <w:tc>
          <w:tcPr>
            <w:tcW w:w="4508" w:type="dxa"/>
            <w:tcBorders>
              <w:top w:val="single" w:sz="4" w:space="0" w:color="auto"/>
            </w:tcBorders>
          </w:tcPr>
          <w:p w14:paraId="0BC0E0D7" w14:textId="77777777" w:rsidR="00860EDA" w:rsidRPr="00E43B38" w:rsidRDefault="00860EDA" w:rsidP="00787F8D">
            <w:pPr>
              <w:rPr>
                <w:rFonts w:ascii="Times New Roman" w:hAnsi="Times New Roman"/>
              </w:rPr>
            </w:pPr>
            <w:r w:rsidRPr="00E43B38">
              <w:rPr>
                <w:rFonts w:ascii="Times New Roman" w:hAnsi="Times New Roman"/>
              </w:rPr>
              <w:t>Ukupni manjak</w:t>
            </w:r>
          </w:p>
        </w:tc>
        <w:tc>
          <w:tcPr>
            <w:tcW w:w="2150" w:type="dxa"/>
            <w:tcBorders>
              <w:top w:val="single" w:sz="4" w:space="0" w:color="auto"/>
            </w:tcBorders>
          </w:tcPr>
          <w:p w14:paraId="017E5B3F" w14:textId="77777777" w:rsidR="00860EDA" w:rsidRPr="00E43B38" w:rsidRDefault="00860EDA" w:rsidP="00787F8D">
            <w:pPr>
              <w:jc w:val="right"/>
              <w:rPr>
                <w:rFonts w:ascii="Times New Roman" w:hAnsi="Times New Roman"/>
              </w:rPr>
            </w:pPr>
            <w:r w:rsidRPr="00E43B38">
              <w:rPr>
                <w:rFonts w:ascii="Times New Roman" w:hAnsi="Times New Roman"/>
              </w:rPr>
              <w:t>-263.888,90</w:t>
            </w:r>
          </w:p>
        </w:tc>
      </w:tr>
    </w:tbl>
    <w:p w14:paraId="14725904" w14:textId="77777777" w:rsidR="00860EDA" w:rsidRPr="003E23EC" w:rsidRDefault="00860EDA" w:rsidP="00860EDA"/>
    <w:p w14:paraId="01CDA35B" w14:textId="77777777" w:rsidR="00860EDA" w:rsidRPr="003E23EC" w:rsidRDefault="00860EDA" w:rsidP="00860EDA">
      <w:r w:rsidRPr="003E23EC">
        <w:t xml:space="preserve">Preneseni višak iz </w:t>
      </w:r>
      <w:r>
        <w:t xml:space="preserve">prethodnog razdoblja </w:t>
      </w:r>
      <w:r w:rsidRPr="003E23EC">
        <w:t xml:space="preserve">iznosi </w:t>
      </w:r>
      <w:r>
        <w:t>560.931,06</w:t>
      </w:r>
      <w:r w:rsidRPr="003E23EC">
        <w:t xml:space="preserve"> kuna. </w:t>
      </w:r>
      <w:r>
        <w:t>Sveukupni v</w:t>
      </w:r>
      <w:r w:rsidRPr="003E23EC">
        <w:t xml:space="preserve">išak prihoda i primitaka raspoloživ u sljedećem razdoblju iznosi </w:t>
      </w:r>
      <w:r>
        <w:t>297.042,16</w:t>
      </w:r>
      <w:r w:rsidRPr="003E23EC">
        <w:t xml:space="preserve"> kuna.</w:t>
      </w:r>
    </w:p>
    <w:p w14:paraId="490096AD" w14:textId="77777777" w:rsidR="00860EDA" w:rsidRPr="003E23EC" w:rsidRDefault="00860EDA" w:rsidP="00860EDA">
      <w:pPr>
        <w:ind w:left="360"/>
      </w:pPr>
    </w:p>
    <w:p w14:paraId="36A142AB" w14:textId="77777777" w:rsidR="00860EDA" w:rsidRPr="003E23EC" w:rsidRDefault="00860EDA" w:rsidP="00860EDA">
      <w:pPr>
        <w:jc w:val="center"/>
      </w:pPr>
      <w:r w:rsidRPr="003E23EC">
        <w:t>Članak 3.</w:t>
      </w:r>
    </w:p>
    <w:p w14:paraId="6387601A" w14:textId="77777777" w:rsidR="00860EDA" w:rsidRPr="003E23EC" w:rsidRDefault="00860EDA" w:rsidP="00860EDA"/>
    <w:p w14:paraId="5B7EB84F" w14:textId="77777777" w:rsidR="00860EDA" w:rsidRDefault="00860EDA" w:rsidP="00860EDA">
      <w:r>
        <w:t>G</w:t>
      </w:r>
      <w:r w:rsidRPr="003E23EC">
        <w:t>odišnji izvještaj o izvršenju Proračuna Grada Buja – Buie za 20</w:t>
      </w:r>
      <w:r>
        <w:t>22</w:t>
      </w:r>
      <w:r w:rsidRPr="003E23EC">
        <w:t>. godinu sadrži:</w:t>
      </w:r>
    </w:p>
    <w:p w14:paraId="27719A00" w14:textId="77777777" w:rsidR="00860EDA" w:rsidRPr="003E23EC" w:rsidRDefault="00860EDA" w:rsidP="00860EDA">
      <w:pPr>
        <w:numPr>
          <w:ilvl w:val="0"/>
          <w:numId w:val="6"/>
        </w:numPr>
      </w:pPr>
      <w:r>
        <w:t>O</w:t>
      </w:r>
      <w:r w:rsidRPr="003E23EC">
        <w:t xml:space="preserve">pći dio proračuna </w:t>
      </w:r>
      <w:r>
        <w:t>koji čini Račun prihoda i rashoda i Račun financiranja na razini odjeljka ekonomske klasifikacije</w:t>
      </w:r>
    </w:p>
    <w:p w14:paraId="4C2DA9AC" w14:textId="77777777" w:rsidR="00860EDA" w:rsidRPr="003E23EC" w:rsidRDefault="00860EDA" w:rsidP="00860EDA">
      <w:pPr>
        <w:numPr>
          <w:ilvl w:val="0"/>
          <w:numId w:val="6"/>
        </w:numPr>
      </w:pPr>
      <w:r>
        <w:t>P</w:t>
      </w:r>
      <w:r w:rsidRPr="003E23EC">
        <w:t xml:space="preserve">osebni dio proračuna </w:t>
      </w:r>
      <w:r>
        <w:t xml:space="preserve">po </w:t>
      </w:r>
      <w:r w:rsidRPr="003E23EC">
        <w:t>organizacijskoj i programskoj klasifikaciji</w:t>
      </w:r>
      <w:r>
        <w:t xml:space="preserve"> te razini odjeljka ekonomske klasifikacije</w:t>
      </w:r>
    </w:p>
    <w:p w14:paraId="0ED303C1" w14:textId="77777777" w:rsidR="00860EDA" w:rsidRPr="003E23EC" w:rsidRDefault="00860EDA" w:rsidP="00860EDA">
      <w:pPr>
        <w:numPr>
          <w:ilvl w:val="0"/>
          <w:numId w:val="6"/>
        </w:numPr>
      </w:pPr>
      <w:r>
        <w:t>I</w:t>
      </w:r>
      <w:r w:rsidRPr="003E23EC">
        <w:t>zvještaj o zaduživanju na domaćem i stranom tržištu novca i kapitala</w:t>
      </w:r>
    </w:p>
    <w:p w14:paraId="5043B58A" w14:textId="77777777" w:rsidR="00860EDA" w:rsidRPr="003E23EC" w:rsidRDefault="00860EDA" w:rsidP="00860EDA">
      <w:pPr>
        <w:numPr>
          <w:ilvl w:val="0"/>
          <w:numId w:val="6"/>
        </w:numPr>
      </w:pPr>
      <w:r>
        <w:t>I</w:t>
      </w:r>
      <w:r w:rsidRPr="003E23EC">
        <w:t>zvještaj o korištenju proračunske zalihe</w:t>
      </w:r>
    </w:p>
    <w:p w14:paraId="50985256" w14:textId="77777777" w:rsidR="00860EDA" w:rsidRPr="003E23EC" w:rsidRDefault="00860EDA" w:rsidP="00860EDA">
      <w:pPr>
        <w:numPr>
          <w:ilvl w:val="0"/>
          <w:numId w:val="6"/>
        </w:numPr>
      </w:pPr>
      <w:r>
        <w:t>I</w:t>
      </w:r>
      <w:r w:rsidRPr="003E23EC">
        <w:t>zvještaj o danim jamstvima i izdacima po jamstvima</w:t>
      </w:r>
    </w:p>
    <w:p w14:paraId="7E9B99F6" w14:textId="77777777" w:rsidR="00860EDA" w:rsidRPr="003E23EC" w:rsidRDefault="00860EDA" w:rsidP="00860EDA">
      <w:pPr>
        <w:numPr>
          <w:ilvl w:val="0"/>
          <w:numId w:val="6"/>
        </w:numPr>
      </w:pPr>
      <w:r>
        <w:t>O</w:t>
      </w:r>
      <w:r w:rsidRPr="003E23EC">
        <w:t>brazloženje ostvarenja prihoda i primitaka, rashoda i izdataka</w:t>
      </w:r>
    </w:p>
    <w:p w14:paraId="326E61B6" w14:textId="77777777" w:rsidR="00860EDA" w:rsidRPr="003E23EC" w:rsidRDefault="00860EDA" w:rsidP="00860EDA"/>
    <w:p w14:paraId="4FA759F5" w14:textId="77777777" w:rsidR="00860EDA" w:rsidRPr="003E23EC" w:rsidRDefault="00860EDA" w:rsidP="00860EDA">
      <w:pPr>
        <w:jc w:val="center"/>
      </w:pPr>
      <w:r w:rsidRPr="003E23EC">
        <w:t>Članak 4.</w:t>
      </w:r>
    </w:p>
    <w:p w14:paraId="6232F9D9" w14:textId="77777777" w:rsidR="00860EDA" w:rsidRPr="003E23EC" w:rsidRDefault="00860EDA" w:rsidP="00860EDA"/>
    <w:p w14:paraId="58A7DE9C" w14:textId="77777777" w:rsidR="00860EDA" w:rsidRPr="003E23EC" w:rsidRDefault="00860EDA" w:rsidP="00860EDA">
      <w:r w:rsidRPr="003E23EC">
        <w:t>Prema odredbama članka 19. Pravilnika o polugodišnjem i godišnjem izvještaju o izvršenju proračuna („Narodne novine“ broj 24/13</w:t>
      </w:r>
      <w:r>
        <w:t xml:space="preserve">, </w:t>
      </w:r>
      <w:r w:rsidRPr="003E23EC">
        <w:t>102/17</w:t>
      </w:r>
      <w:r>
        <w:t>, 1/20 i 147/20</w:t>
      </w:r>
      <w:r w:rsidRPr="003E23EC">
        <w:t xml:space="preserve">) </w:t>
      </w:r>
      <w:r>
        <w:t>G</w:t>
      </w:r>
      <w:r w:rsidRPr="003E23EC">
        <w:t>odišnji izvještaj o izvršenju proračuna Grada Buja – Buie za 20</w:t>
      </w:r>
      <w:r>
        <w:t>22</w:t>
      </w:r>
      <w:r w:rsidRPr="003E23EC">
        <w:t xml:space="preserve">. godinu objavit će se na internetskim stranicama Grada Buja - Buie, a opći i posebni dio </w:t>
      </w:r>
      <w:r>
        <w:t>Go</w:t>
      </w:r>
      <w:r w:rsidRPr="003E23EC">
        <w:t>dišnjeg izvještaja o izvršenju proračuna objavit će se u „Službenim novinama Grada Buja“.</w:t>
      </w:r>
    </w:p>
    <w:p w14:paraId="3B13EC46" w14:textId="77777777" w:rsidR="00860EDA" w:rsidRDefault="00860EDA" w:rsidP="00860EDA"/>
    <w:p w14:paraId="065C1EF6" w14:textId="77777777" w:rsidR="00860EDA" w:rsidRDefault="00860EDA" w:rsidP="00860EDA">
      <w:pPr>
        <w:rPr>
          <w:sz w:val="20"/>
          <w:szCs w:val="20"/>
          <w:lang w:val="pl-PL"/>
        </w:rPr>
      </w:pPr>
    </w:p>
    <w:p w14:paraId="171C7B91" w14:textId="77777777" w:rsidR="00860EDA" w:rsidRPr="00F56E83" w:rsidRDefault="00860EDA" w:rsidP="00860EDA">
      <w:pPr>
        <w:rPr>
          <w:sz w:val="20"/>
          <w:szCs w:val="20"/>
          <w:lang w:val="pl-PL"/>
        </w:rPr>
      </w:pPr>
      <w:r w:rsidRPr="00F56E83">
        <w:rPr>
          <w:sz w:val="20"/>
          <w:szCs w:val="20"/>
          <w:lang w:val="pl-PL"/>
        </w:rPr>
        <w:t>KLASA/CLASSE: 400-0</w:t>
      </w:r>
      <w:r>
        <w:rPr>
          <w:sz w:val="20"/>
          <w:szCs w:val="20"/>
          <w:lang w:val="pl-PL"/>
        </w:rPr>
        <w:t>1</w:t>
      </w:r>
      <w:r w:rsidRPr="00F56E83">
        <w:rPr>
          <w:sz w:val="20"/>
          <w:szCs w:val="20"/>
          <w:lang w:val="pl-PL"/>
        </w:rPr>
        <w:t>/2</w:t>
      </w:r>
      <w:r>
        <w:rPr>
          <w:sz w:val="20"/>
          <w:szCs w:val="20"/>
          <w:lang w:val="pl-PL"/>
        </w:rPr>
        <w:t>3</w:t>
      </w:r>
      <w:r w:rsidRPr="00F56E83">
        <w:rPr>
          <w:sz w:val="20"/>
          <w:szCs w:val="20"/>
          <w:lang w:val="pl-PL"/>
        </w:rPr>
        <w:t>-01/0</w:t>
      </w:r>
      <w:r>
        <w:rPr>
          <w:sz w:val="20"/>
          <w:szCs w:val="20"/>
          <w:lang w:val="pl-PL"/>
        </w:rPr>
        <w:t>1</w:t>
      </w:r>
    </w:p>
    <w:p w14:paraId="3ABD25FE" w14:textId="24B1DDA7" w:rsidR="00860EDA" w:rsidRPr="00F56E83" w:rsidRDefault="00860EDA" w:rsidP="00860EDA">
      <w:pPr>
        <w:rPr>
          <w:sz w:val="20"/>
          <w:szCs w:val="20"/>
          <w:lang w:val="pl-PL"/>
        </w:rPr>
      </w:pPr>
      <w:r w:rsidRPr="00F56E83">
        <w:rPr>
          <w:sz w:val="20"/>
          <w:szCs w:val="20"/>
          <w:lang w:val="pl-PL"/>
        </w:rPr>
        <w:t>URBROJ/NUM.PROT.: 2163-2-0</w:t>
      </w:r>
      <w:r>
        <w:rPr>
          <w:sz w:val="20"/>
          <w:szCs w:val="20"/>
          <w:lang w:val="pl-PL"/>
        </w:rPr>
        <w:t>2</w:t>
      </w:r>
      <w:r w:rsidR="009022BD">
        <w:rPr>
          <w:sz w:val="20"/>
          <w:szCs w:val="20"/>
          <w:lang w:val="pl-PL"/>
        </w:rPr>
        <w:t>/1</w:t>
      </w:r>
      <w:r w:rsidRPr="00F56E83">
        <w:rPr>
          <w:sz w:val="20"/>
          <w:szCs w:val="20"/>
          <w:lang w:val="pl-PL"/>
        </w:rPr>
        <w:t>-2</w:t>
      </w:r>
      <w:r>
        <w:rPr>
          <w:sz w:val="20"/>
          <w:szCs w:val="20"/>
          <w:lang w:val="pl-PL"/>
        </w:rPr>
        <w:t>3</w:t>
      </w:r>
      <w:r w:rsidRPr="00F56E83">
        <w:rPr>
          <w:sz w:val="20"/>
          <w:szCs w:val="20"/>
          <w:lang w:val="pl-PL"/>
        </w:rPr>
        <w:t>-</w:t>
      </w:r>
      <w:r w:rsidR="009022BD">
        <w:rPr>
          <w:sz w:val="20"/>
          <w:szCs w:val="20"/>
          <w:lang w:val="pl-PL"/>
        </w:rPr>
        <w:t>5</w:t>
      </w:r>
      <w:r w:rsidRPr="00F56E83">
        <w:rPr>
          <w:sz w:val="20"/>
          <w:szCs w:val="20"/>
          <w:lang w:val="pl-PL"/>
        </w:rPr>
        <w:t xml:space="preserve">                                                                    </w:t>
      </w:r>
    </w:p>
    <w:p w14:paraId="05676395" w14:textId="6DE15FEF" w:rsidR="00860EDA" w:rsidRDefault="00860EDA" w:rsidP="00860EDA">
      <w:r w:rsidRPr="00F56E83">
        <w:rPr>
          <w:sz w:val="20"/>
          <w:szCs w:val="20"/>
          <w:lang w:val="pl-PL"/>
        </w:rPr>
        <w:t xml:space="preserve">Buje/Buie, </w:t>
      </w:r>
      <w:r w:rsidR="009022BD">
        <w:rPr>
          <w:sz w:val="20"/>
          <w:szCs w:val="20"/>
          <w:lang w:val="pl-PL"/>
        </w:rPr>
        <w:t>31</w:t>
      </w:r>
      <w:r w:rsidRPr="00F56E83">
        <w:rPr>
          <w:sz w:val="20"/>
          <w:szCs w:val="20"/>
          <w:lang w:val="pl-PL"/>
        </w:rPr>
        <w:t xml:space="preserve">. </w:t>
      </w:r>
      <w:r w:rsidR="009022BD">
        <w:rPr>
          <w:sz w:val="20"/>
          <w:szCs w:val="20"/>
          <w:lang w:val="pl-PL"/>
        </w:rPr>
        <w:t>svibnja</w:t>
      </w:r>
      <w:r w:rsidRPr="00F56E83">
        <w:rPr>
          <w:sz w:val="20"/>
          <w:szCs w:val="20"/>
          <w:lang w:val="pl-PL"/>
        </w:rPr>
        <w:t>/</w:t>
      </w:r>
      <w:r w:rsidR="009022BD">
        <w:rPr>
          <w:sz w:val="20"/>
          <w:szCs w:val="20"/>
          <w:lang w:val="pl-PL"/>
        </w:rPr>
        <w:t>maggio</w:t>
      </w:r>
      <w:r w:rsidRPr="00F56E83">
        <w:rPr>
          <w:sz w:val="20"/>
          <w:szCs w:val="20"/>
          <w:lang w:val="pl-PL"/>
        </w:rPr>
        <w:t xml:space="preserve"> 202</w:t>
      </w:r>
      <w:r>
        <w:rPr>
          <w:sz w:val="20"/>
          <w:szCs w:val="20"/>
          <w:lang w:val="pl-PL"/>
        </w:rPr>
        <w:t>3.</w:t>
      </w:r>
    </w:p>
    <w:p w14:paraId="6A640A97" w14:textId="77777777" w:rsidR="00860EDA" w:rsidRPr="003E23EC" w:rsidRDefault="00860EDA" w:rsidP="00860EDA"/>
    <w:p w14:paraId="1AF73D4A" w14:textId="77777777" w:rsidR="00860EDA" w:rsidRPr="003E23EC" w:rsidRDefault="00860EDA" w:rsidP="00860EDA"/>
    <w:p w14:paraId="19F71215" w14:textId="77777777" w:rsidR="00860EDA" w:rsidRPr="003E23EC" w:rsidRDefault="00860EDA" w:rsidP="00860EDA"/>
    <w:p w14:paraId="367D6D12" w14:textId="77777777" w:rsidR="00860EDA" w:rsidRPr="003E23EC" w:rsidRDefault="00860EDA" w:rsidP="00860EDA">
      <w:pPr>
        <w:jc w:val="center"/>
      </w:pPr>
      <w:r w:rsidRPr="003E23EC">
        <w:rPr>
          <w:b/>
        </w:rPr>
        <w:t>GRADSKO VIJEĆE GRADA BUJA - BUIE</w:t>
      </w:r>
    </w:p>
    <w:p w14:paraId="04CE2349" w14:textId="11DF66C6" w:rsidR="00860EDA" w:rsidRPr="003E23EC" w:rsidRDefault="009022BD" w:rsidP="00860EDA">
      <w:pPr>
        <w:jc w:val="center"/>
      </w:pPr>
      <w:r>
        <w:t>POT</w:t>
      </w:r>
      <w:r w:rsidR="00860EDA" w:rsidRPr="003E23EC">
        <w:t>PREDSJEDNIK GRADSKOG VIJEĆA</w:t>
      </w:r>
    </w:p>
    <w:p w14:paraId="732C4F87" w14:textId="62AE2FB1" w:rsidR="00860EDA" w:rsidRPr="006522C8" w:rsidRDefault="009022BD" w:rsidP="00860EDA">
      <w:pPr>
        <w:jc w:val="center"/>
        <w:rPr>
          <w:bCs/>
        </w:rPr>
      </w:pPr>
      <w:r>
        <w:rPr>
          <w:bCs/>
        </w:rPr>
        <w:t xml:space="preserve">Ivica </w:t>
      </w:r>
      <w:proofErr w:type="spellStart"/>
      <w:r>
        <w:rPr>
          <w:bCs/>
        </w:rPr>
        <w:t>Ćošković</w:t>
      </w:r>
      <w:proofErr w:type="spellEnd"/>
      <w:r w:rsidR="00AE206F">
        <w:rPr>
          <w:bCs/>
        </w:rPr>
        <w:t>, v.r.</w:t>
      </w:r>
    </w:p>
    <w:p w14:paraId="05F3EE19" w14:textId="77777777" w:rsidR="00860EDA" w:rsidRDefault="00860EDA" w:rsidP="00860EDA"/>
    <w:p w14:paraId="1E9E3245" w14:textId="234D9E52" w:rsidR="00840954" w:rsidRPr="00E80A17" w:rsidRDefault="00840954" w:rsidP="00840954">
      <w:pPr>
        <w:jc w:val="center"/>
        <w:rPr>
          <w:b/>
          <w:sz w:val="28"/>
          <w:szCs w:val="28"/>
        </w:rPr>
      </w:pPr>
    </w:p>
    <w:p w14:paraId="35FB35E4" w14:textId="77777777" w:rsidR="00840954" w:rsidRPr="00E80A17" w:rsidRDefault="00840954" w:rsidP="00840954">
      <w:pPr>
        <w:jc w:val="center"/>
        <w:rPr>
          <w:b/>
        </w:rPr>
      </w:pPr>
    </w:p>
    <w:p w14:paraId="014F47D8" w14:textId="77777777" w:rsidR="00840954" w:rsidRPr="00E80A17" w:rsidRDefault="00840954" w:rsidP="00840954">
      <w:pPr>
        <w:rPr>
          <w:b/>
        </w:rPr>
      </w:pPr>
    </w:p>
    <w:p w14:paraId="5983DF0B" w14:textId="77777777" w:rsidR="00E91CE8" w:rsidRPr="00E80A17" w:rsidRDefault="00E91CE8" w:rsidP="003756E1">
      <w:pPr>
        <w:rPr>
          <w:b/>
        </w:rPr>
      </w:pPr>
    </w:p>
    <w:p w14:paraId="33107DF8" w14:textId="77777777" w:rsidR="00840954" w:rsidRPr="00E80A17" w:rsidRDefault="00840954" w:rsidP="003756E1">
      <w:pPr>
        <w:rPr>
          <w:b/>
        </w:rPr>
      </w:pPr>
    </w:p>
    <w:p w14:paraId="1ABD5149" w14:textId="77777777" w:rsidR="00840954" w:rsidRPr="00E80A17" w:rsidRDefault="00840954" w:rsidP="003756E1">
      <w:pPr>
        <w:rPr>
          <w:b/>
        </w:rPr>
      </w:pPr>
    </w:p>
    <w:p w14:paraId="6BE42E37" w14:textId="77777777" w:rsidR="00840954" w:rsidRPr="00E80A17" w:rsidRDefault="00840954" w:rsidP="003756E1">
      <w:pPr>
        <w:rPr>
          <w:b/>
        </w:rPr>
      </w:pPr>
    </w:p>
    <w:p w14:paraId="2BCDE5DF" w14:textId="77777777" w:rsidR="00840954" w:rsidRPr="00E80A17" w:rsidRDefault="00840954" w:rsidP="003756E1">
      <w:pPr>
        <w:rPr>
          <w:b/>
        </w:rPr>
      </w:pPr>
    </w:p>
    <w:p w14:paraId="14F87973" w14:textId="77777777" w:rsidR="00843447" w:rsidRPr="00E80A17" w:rsidRDefault="00843447"/>
    <w:p w14:paraId="1B57F7A9" w14:textId="77777777" w:rsidR="00FF31EA" w:rsidRPr="00E80A17" w:rsidRDefault="00FF31EA" w:rsidP="003756E1">
      <w:pPr>
        <w:rPr>
          <w:b/>
        </w:rPr>
      </w:pPr>
    </w:p>
    <w:p w14:paraId="55346738" w14:textId="77777777" w:rsidR="000A4E1E" w:rsidRPr="00AE206F" w:rsidRDefault="000A4E1E">
      <w:pPr>
        <w:pStyle w:val="TOCNaslov"/>
        <w:rPr>
          <w:color w:val="auto"/>
          <w:lang w:val="hr-HR"/>
        </w:rPr>
      </w:pPr>
      <w:r w:rsidRPr="000A4E1E">
        <w:rPr>
          <w:color w:val="auto"/>
          <w:lang w:val="hr-HR"/>
        </w:rPr>
        <w:lastRenderedPageBreak/>
        <w:t>Sadržaj</w:t>
      </w:r>
    </w:p>
    <w:p w14:paraId="42D0BFF8" w14:textId="5C59908A" w:rsidR="00873273" w:rsidRDefault="000A4E1E">
      <w:pPr>
        <w:pStyle w:val="Sadraj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3398659" w:history="1">
        <w:r w:rsidR="00873273" w:rsidRPr="007B0B30">
          <w:rPr>
            <w:rStyle w:val="Hiperveza"/>
            <w:noProof/>
          </w:rPr>
          <w:t>1.</w:t>
        </w:r>
        <w:r w:rsidR="00873273">
          <w:rPr>
            <w:rFonts w:asciiTheme="minorHAnsi" w:eastAsiaTheme="minorEastAsia" w:hAnsiTheme="minorHAnsi" w:cstheme="minorBidi"/>
            <w:noProof/>
            <w:sz w:val="22"/>
            <w:szCs w:val="22"/>
          </w:rPr>
          <w:tab/>
        </w:r>
        <w:r w:rsidR="00873273" w:rsidRPr="007B0B30">
          <w:rPr>
            <w:rStyle w:val="Hiperveza"/>
            <w:noProof/>
          </w:rPr>
          <w:t>UVOD</w:t>
        </w:r>
        <w:r w:rsidR="00873273">
          <w:rPr>
            <w:noProof/>
            <w:webHidden/>
          </w:rPr>
          <w:tab/>
        </w:r>
        <w:r w:rsidR="00873273">
          <w:rPr>
            <w:noProof/>
            <w:webHidden/>
          </w:rPr>
          <w:fldChar w:fldCharType="begin"/>
        </w:r>
        <w:r w:rsidR="00873273">
          <w:rPr>
            <w:noProof/>
            <w:webHidden/>
          </w:rPr>
          <w:instrText xml:space="preserve"> PAGEREF _Toc133398659 \h </w:instrText>
        </w:r>
        <w:r w:rsidR="00873273">
          <w:rPr>
            <w:noProof/>
            <w:webHidden/>
          </w:rPr>
        </w:r>
        <w:r w:rsidR="00873273">
          <w:rPr>
            <w:noProof/>
            <w:webHidden/>
          </w:rPr>
          <w:fldChar w:fldCharType="separate"/>
        </w:r>
        <w:r w:rsidR="00E43B38">
          <w:rPr>
            <w:noProof/>
            <w:webHidden/>
          </w:rPr>
          <w:t>1</w:t>
        </w:r>
        <w:r w:rsidR="00873273">
          <w:rPr>
            <w:noProof/>
            <w:webHidden/>
          </w:rPr>
          <w:fldChar w:fldCharType="end"/>
        </w:r>
      </w:hyperlink>
    </w:p>
    <w:p w14:paraId="5D61522D" w14:textId="037C3773" w:rsidR="00873273" w:rsidRDefault="00000000">
      <w:pPr>
        <w:pStyle w:val="Sadraj1"/>
        <w:rPr>
          <w:rFonts w:asciiTheme="minorHAnsi" w:eastAsiaTheme="minorEastAsia" w:hAnsiTheme="minorHAnsi" w:cstheme="minorBidi"/>
          <w:noProof/>
          <w:sz w:val="22"/>
          <w:szCs w:val="22"/>
        </w:rPr>
      </w:pPr>
      <w:hyperlink w:anchor="_Toc133398660" w:history="1">
        <w:r w:rsidR="00873273" w:rsidRPr="007B0B30">
          <w:rPr>
            <w:rStyle w:val="Hiperveza"/>
            <w:noProof/>
          </w:rPr>
          <w:t>2.</w:t>
        </w:r>
        <w:r w:rsidR="00873273">
          <w:rPr>
            <w:rFonts w:asciiTheme="minorHAnsi" w:eastAsiaTheme="minorEastAsia" w:hAnsiTheme="minorHAnsi" w:cstheme="minorBidi"/>
            <w:noProof/>
            <w:sz w:val="22"/>
            <w:szCs w:val="22"/>
          </w:rPr>
          <w:tab/>
        </w:r>
        <w:r w:rsidR="00873273" w:rsidRPr="007B0B30">
          <w:rPr>
            <w:rStyle w:val="Hiperveza"/>
            <w:noProof/>
          </w:rPr>
          <w:t>OPĆI DIO PRORAČUNA</w:t>
        </w:r>
        <w:r w:rsidR="00873273">
          <w:rPr>
            <w:noProof/>
            <w:webHidden/>
          </w:rPr>
          <w:tab/>
        </w:r>
        <w:r w:rsidR="00873273">
          <w:rPr>
            <w:noProof/>
            <w:webHidden/>
          </w:rPr>
          <w:fldChar w:fldCharType="begin"/>
        </w:r>
        <w:r w:rsidR="00873273">
          <w:rPr>
            <w:noProof/>
            <w:webHidden/>
          </w:rPr>
          <w:instrText xml:space="preserve"> PAGEREF _Toc133398660 \h </w:instrText>
        </w:r>
        <w:r w:rsidR="00873273">
          <w:rPr>
            <w:noProof/>
            <w:webHidden/>
          </w:rPr>
        </w:r>
        <w:r w:rsidR="00873273">
          <w:rPr>
            <w:noProof/>
            <w:webHidden/>
          </w:rPr>
          <w:fldChar w:fldCharType="separate"/>
        </w:r>
        <w:r w:rsidR="00E43B38">
          <w:rPr>
            <w:noProof/>
            <w:webHidden/>
          </w:rPr>
          <w:t>2</w:t>
        </w:r>
        <w:r w:rsidR="00873273">
          <w:rPr>
            <w:noProof/>
            <w:webHidden/>
          </w:rPr>
          <w:fldChar w:fldCharType="end"/>
        </w:r>
      </w:hyperlink>
    </w:p>
    <w:p w14:paraId="799A7451" w14:textId="605ED39D" w:rsidR="00873273" w:rsidRDefault="00000000">
      <w:pPr>
        <w:pStyle w:val="Sadraj2"/>
        <w:tabs>
          <w:tab w:val="right" w:leader="dot" w:pos="9062"/>
        </w:tabs>
        <w:rPr>
          <w:rFonts w:asciiTheme="minorHAnsi" w:eastAsiaTheme="minorEastAsia" w:hAnsiTheme="minorHAnsi" w:cstheme="minorBidi"/>
          <w:noProof/>
          <w:sz w:val="22"/>
          <w:szCs w:val="22"/>
        </w:rPr>
      </w:pPr>
      <w:hyperlink w:anchor="_Toc133398661" w:history="1">
        <w:r w:rsidR="00873273" w:rsidRPr="007B0B30">
          <w:rPr>
            <w:rStyle w:val="Hiperveza"/>
            <w:noProof/>
          </w:rPr>
          <w:t>SAŽETAK A. RAČUNA PRIHODA I RASHODA, B. RAČUNA FINANCIRANJA I RASPOLOŽIVA SREDSTAVA IZ PRETHODNIH GODINA</w:t>
        </w:r>
        <w:r w:rsidR="00873273">
          <w:rPr>
            <w:noProof/>
            <w:webHidden/>
          </w:rPr>
          <w:tab/>
        </w:r>
        <w:r w:rsidR="00873273">
          <w:rPr>
            <w:noProof/>
            <w:webHidden/>
          </w:rPr>
          <w:fldChar w:fldCharType="begin"/>
        </w:r>
        <w:r w:rsidR="00873273">
          <w:rPr>
            <w:noProof/>
            <w:webHidden/>
          </w:rPr>
          <w:instrText xml:space="preserve"> PAGEREF _Toc133398661 \h </w:instrText>
        </w:r>
        <w:r w:rsidR="00873273">
          <w:rPr>
            <w:noProof/>
            <w:webHidden/>
          </w:rPr>
        </w:r>
        <w:r w:rsidR="00873273">
          <w:rPr>
            <w:noProof/>
            <w:webHidden/>
          </w:rPr>
          <w:fldChar w:fldCharType="separate"/>
        </w:r>
        <w:r w:rsidR="00E43B38">
          <w:rPr>
            <w:noProof/>
            <w:webHidden/>
          </w:rPr>
          <w:t>2</w:t>
        </w:r>
        <w:r w:rsidR="00873273">
          <w:rPr>
            <w:noProof/>
            <w:webHidden/>
          </w:rPr>
          <w:fldChar w:fldCharType="end"/>
        </w:r>
      </w:hyperlink>
    </w:p>
    <w:p w14:paraId="356D3DD0" w14:textId="766CF338" w:rsidR="00873273" w:rsidRDefault="00000000">
      <w:pPr>
        <w:pStyle w:val="Sadraj2"/>
        <w:tabs>
          <w:tab w:val="right" w:leader="dot" w:pos="9062"/>
        </w:tabs>
        <w:rPr>
          <w:rFonts w:asciiTheme="minorHAnsi" w:eastAsiaTheme="minorEastAsia" w:hAnsiTheme="minorHAnsi" w:cstheme="minorBidi"/>
          <w:noProof/>
          <w:sz w:val="22"/>
          <w:szCs w:val="22"/>
        </w:rPr>
      </w:pPr>
      <w:hyperlink w:anchor="_Toc133398662" w:history="1">
        <w:r w:rsidR="00873273" w:rsidRPr="007B0B30">
          <w:rPr>
            <w:rStyle w:val="Hiperveza"/>
            <w:noProof/>
          </w:rPr>
          <w:t>2. A. RAČUN PRIHODA I RASHODA</w:t>
        </w:r>
        <w:r w:rsidR="00873273">
          <w:rPr>
            <w:noProof/>
            <w:webHidden/>
          </w:rPr>
          <w:tab/>
        </w:r>
        <w:r w:rsidR="00873273">
          <w:rPr>
            <w:noProof/>
            <w:webHidden/>
          </w:rPr>
          <w:fldChar w:fldCharType="begin"/>
        </w:r>
        <w:r w:rsidR="00873273">
          <w:rPr>
            <w:noProof/>
            <w:webHidden/>
          </w:rPr>
          <w:instrText xml:space="preserve"> PAGEREF _Toc133398662 \h </w:instrText>
        </w:r>
        <w:r w:rsidR="00873273">
          <w:rPr>
            <w:noProof/>
            <w:webHidden/>
          </w:rPr>
        </w:r>
        <w:r w:rsidR="00873273">
          <w:rPr>
            <w:noProof/>
            <w:webHidden/>
          </w:rPr>
          <w:fldChar w:fldCharType="separate"/>
        </w:r>
        <w:r w:rsidR="00E43B38">
          <w:rPr>
            <w:noProof/>
            <w:webHidden/>
          </w:rPr>
          <w:t>3</w:t>
        </w:r>
        <w:r w:rsidR="00873273">
          <w:rPr>
            <w:noProof/>
            <w:webHidden/>
          </w:rPr>
          <w:fldChar w:fldCharType="end"/>
        </w:r>
      </w:hyperlink>
    </w:p>
    <w:p w14:paraId="3AE92E1A" w14:textId="5294DAF0" w:rsidR="00873273" w:rsidRDefault="00000000">
      <w:pPr>
        <w:pStyle w:val="Sadraj2"/>
        <w:tabs>
          <w:tab w:val="right" w:leader="dot" w:pos="9062"/>
        </w:tabs>
        <w:rPr>
          <w:rFonts w:asciiTheme="minorHAnsi" w:eastAsiaTheme="minorEastAsia" w:hAnsiTheme="minorHAnsi" w:cstheme="minorBidi"/>
          <w:noProof/>
          <w:sz w:val="22"/>
          <w:szCs w:val="22"/>
        </w:rPr>
      </w:pPr>
      <w:hyperlink w:anchor="_Toc133398663" w:history="1">
        <w:r w:rsidR="00873273" w:rsidRPr="007B0B30">
          <w:rPr>
            <w:rStyle w:val="Hiperveza"/>
            <w:noProof/>
          </w:rPr>
          <w:t>2. A. 1. RAČUN PRIHODA I RASHODA - PREMA EKONOMSKOJ KLASIFIKACIJI</w:t>
        </w:r>
        <w:r w:rsidR="00873273">
          <w:rPr>
            <w:noProof/>
            <w:webHidden/>
          </w:rPr>
          <w:tab/>
        </w:r>
        <w:r w:rsidR="00873273">
          <w:rPr>
            <w:noProof/>
            <w:webHidden/>
          </w:rPr>
          <w:fldChar w:fldCharType="begin"/>
        </w:r>
        <w:r w:rsidR="00873273">
          <w:rPr>
            <w:noProof/>
            <w:webHidden/>
          </w:rPr>
          <w:instrText xml:space="preserve"> PAGEREF _Toc133398663 \h </w:instrText>
        </w:r>
        <w:r w:rsidR="00873273">
          <w:rPr>
            <w:noProof/>
            <w:webHidden/>
          </w:rPr>
        </w:r>
        <w:r w:rsidR="00873273">
          <w:rPr>
            <w:noProof/>
            <w:webHidden/>
          </w:rPr>
          <w:fldChar w:fldCharType="separate"/>
        </w:r>
        <w:r w:rsidR="00E43B38">
          <w:rPr>
            <w:noProof/>
            <w:webHidden/>
          </w:rPr>
          <w:t>3</w:t>
        </w:r>
        <w:r w:rsidR="00873273">
          <w:rPr>
            <w:noProof/>
            <w:webHidden/>
          </w:rPr>
          <w:fldChar w:fldCharType="end"/>
        </w:r>
      </w:hyperlink>
    </w:p>
    <w:p w14:paraId="1E9A779C" w14:textId="1F6CB504" w:rsidR="00873273" w:rsidRDefault="00000000">
      <w:pPr>
        <w:pStyle w:val="Sadraj2"/>
        <w:tabs>
          <w:tab w:val="right" w:leader="dot" w:pos="9062"/>
        </w:tabs>
        <w:rPr>
          <w:rFonts w:asciiTheme="minorHAnsi" w:eastAsiaTheme="minorEastAsia" w:hAnsiTheme="minorHAnsi" w:cstheme="minorBidi"/>
          <w:noProof/>
          <w:sz w:val="22"/>
          <w:szCs w:val="22"/>
        </w:rPr>
      </w:pPr>
      <w:hyperlink w:anchor="_Toc133398664" w:history="1">
        <w:r w:rsidR="00873273" w:rsidRPr="007B0B30">
          <w:rPr>
            <w:rStyle w:val="Hiperveza"/>
            <w:noProof/>
          </w:rPr>
          <w:t>2. A. 2. RAČUN PRIHODA I RASHODA - PREMA IZVORIMA FINANCIRANJA</w:t>
        </w:r>
        <w:r w:rsidR="00873273">
          <w:rPr>
            <w:noProof/>
            <w:webHidden/>
          </w:rPr>
          <w:tab/>
        </w:r>
        <w:r w:rsidR="00873273">
          <w:rPr>
            <w:noProof/>
            <w:webHidden/>
          </w:rPr>
          <w:fldChar w:fldCharType="begin"/>
        </w:r>
        <w:r w:rsidR="00873273">
          <w:rPr>
            <w:noProof/>
            <w:webHidden/>
          </w:rPr>
          <w:instrText xml:space="preserve"> PAGEREF _Toc133398664 \h </w:instrText>
        </w:r>
        <w:r w:rsidR="00873273">
          <w:rPr>
            <w:noProof/>
            <w:webHidden/>
          </w:rPr>
        </w:r>
        <w:r w:rsidR="00873273">
          <w:rPr>
            <w:noProof/>
            <w:webHidden/>
          </w:rPr>
          <w:fldChar w:fldCharType="separate"/>
        </w:r>
        <w:r w:rsidR="00E43B38">
          <w:rPr>
            <w:noProof/>
            <w:webHidden/>
          </w:rPr>
          <w:t>10</w:t>
        </w:r>
        <w:r w:rsidR="00873273">
          <w:rPr>
            <w:noProof/>
            <w:webHidden/>
          </w:rPr>
          <w:fldChar w:fldCharType="end"/>
        </w:r>
      </w:hyperlink>
    </w:p>
    <w:p w14:paraId="26EB5F2F" w14:textId="62A9C539" w:rsidR="00873273" w:rsidRDefault="00000000">
      <w:pPr>
        <w:pStyle w:val="Sadraj2"/>
        <w:tabs>
          <w:tab w:val="right" w:leader="dot" w:pos="9062"/>
        </w:tabs>
        <w:rPr>
          <w:rFonts w:asciiTheme="minorHAnsi" w:eastAsiaTheme="minorEastAsia" w:hAnsiTheme="minorHAnsi" w:cstheme="minorBidi"/>
          <w:noProof/>
          <w:sz w:val="22"/>
          <w:szCs w:val="22"/>
        </w:rPr>
      </w:pPr>
      <w:hyperlink w:anchor="_Toc133398665" w:history="1">
        <w:r w:rsidR="00873273" w:rsidRPr="007B0B30">
          <w:rPr>
            <w:rStyle w:val="Hiperveza"/>
            <w:noProof/>
          </w:rPr>
          <w:t>2. A. 3. RASHODI PREMA FUNKCIJSKOJ KLASIFIKACIJI</w:t>
        </w:r>
        <w:r w:rsidR="00873273">
          <w:rPr>
            <w:noProof/>
            <w:webHidden/>
          </w:rPr>
          <w:tab/>
        </w:r>
        <w:r w:rsidR="00873273">
          <w:rPr>
            <w:noProof/>
            <w:webHidden/>
          </w:rPr>
          <w:fldChar w:fldCharType="begin"/>
        </w:r>
        <w:r w:rsidR="00873273">
          <w:rPr>
            <w:noProof/>
            <w:webHidden/>
          </w:rPr>
          <w:instrText xml:space="preserve"> PAGEREF _Toc133398665 \h </w:instrText>
        </w:r>
        <w:r w:rsidR="00873273">
          <w:rPr>
            <w:noProof/>
            <w:webHidden/>
          </w:rPr>
        </w:r>
        <w:r w:rsidR="00873273">
          <w:rPr>
            <w:noProof/>
            <w:webHidden/>
          </w:rPr>
          <w:fldChar w:fldCharType="separate"/>
        </w:r>
        <w:r w:rsidR="00E43B38">
          <w:rPr>
            <w:noProof/>
            <w:webHidden/>
          </w:rPr>
          <w:t>12</w:t>
        </w:r>
        <w:r w:rsidR="00873273">
          <w:rPr>
            <w:noProof/>
            <w:webHidden/>
          </w:rPr>
          <w:fldChar w:fldCharType="end"/>
        </w:r>
      </w:hyperlink>
    </w:p>
    <w:p w14:paraId="2EAF5ACD" w14:textId="6BF0FA30" w:rsidR="00873273" w:rsidRDefault="00000000">
      <w:pPr>
        <w:pStyle w:val="Sadraj2"/>
        <w:tabs>
          <w:tab w:val="right" w:leader="dot" w:pos="9062"/>
        </w:tabs>
        <w:rPr>
          <w:rFonts w:asciiTheme="minorHAnsi" w:eastAsiaTheme="minorEastAsia" w:hAnsiTheme="minorHAnsi" w:cstheme="minorBidi"/>
          <w:noProof/>
          <w:sz w:val="22"/>
          <w:szCs w:val="22"/>
        </w:rPr>
      </w:pPr>
      <w:hyperlink w:anchor="_Toc133398666" w:history="1">
        <w:r w:rsidR="00873273" w:rsidRPr="007B0B30">
          <w:rPr>
            <w:rStyle w:val="Hiperveza"/>
            <w:noProof/>
          </w:rPr>
          <w:t>2. B. RAČUN FINANCIRANJA</w:t>
        </w:r>
        <w:r w:rsidR="00873273">
          <w:rPr>
            <w:noProof/>
            <w:webHidden/>
          </w:rPr>
          <w:tab/>
        </w:r>
        <w:r w:rsidR="00873273">
          <w:rPr>
            <w:noProof/>
            <w:webHidden/>
          </w:rPr>
          <w:fldChar w:fldCharType="begin"/>
        </w:r>
        <w:r w:rsidR="00873273">
          <w:rPr>
            <w:noProof/>
            <w:webHidden/>
          </w:rPr>
          <w:instrText xml:space="preserve"> PAGEREF _Toc133398666 \h </w:instrText>
        </w:r>
        <w:r w:rsidR="00873273">
          <w:rPr>
            <w:noProof/>
            <w:webHidden/>
          </w:rPr>
        </w:r>
        <w:r w:rsidR="00873273">
          <w:rPr>
            <w:noProof/>
            <w:webHidden/>
          </w:rPr>
          <w:fldChar w:fldCharType="separate"/>
        </w:r>
        <w:r w:rsidR="00E43B38">
          <w:rPr>
            <w:noProof/>
            <w:webHidden/>
          </w:rPr>
          <w:t>14</w:t>
        </w:r>
        <w:r w:rsidR="00873273">
          <w:rPr>
            <w:noProof/>
            <w:webHidden/>
          </w:rPr>
          <w:fldChar w:fldCharType="end"/>
        </w:r>
      </w:hyperlink>
    </w:p>
    <w:p w14:paraId="183B4450" w14:textId="1BBEC7FC" w:rsidR="00873273" w:rsidRDefault="00000000">
      <w:pPr>
        <w:pStyle w:val="Sadraj2"/>
        <w:tabs>
          <w:tab w:val="right" w:leader="dot" w:pos="9062"/>
        </w:tabs>
        <w:rPr>
          <w:rFonts w:asciiTheme="minorHAnsi" w:eastAsiaTheme="minorEastAsia" w:hAnsiTheme="minorHAnsi" w:cstheme="minorBidi"/>
          <w:noProof/>
          <w:sz w:val="22"/>
          <w:szCs w:val="22"/>
        </w:rPr>
      </w:pPr>
      <w:hyperlink w:anchor="_Toc133398667" w:history="1">
        <w:r w:rsidR="00873273" w:rsidRPr="007B0B30">
          <w:rPr>
            <w:rStyle w:val="Hiperveza"/>
            <w:noProof/>
          </w:rPr>
          <w:t>2. B. 1. RAČUN FINANCIRANJA - PREMA EKONOMSKOJ KLASIFIKACIJI</w:t>
        </w:r>
        <w:r w:rsidR="00873273">
          <w:rPr>
            <w:noProof/>
            <w:webHidden/>
          </w:rPr>
          <w:tab/>
        </w:r>
        <w:r w:rsidR="00873273">
          <w:rPr>
            <w:noProof/>
            <w:webHidden/>
          </w:rPr>
          <w:fldChar w:fldCharType="begin"/>
        </w:r>
        <w:r w:rsidR="00873273">
          <w:rPr>
            <w:noProof/>
            <w:webHidden/>
          </w:rPr>
          <w:instrText xml:space="preserve"> PAGEREF _Toc133398667 \h </w:instrText>
        </w:r>
        <w:r w:rsidR="00873273">
          <w:rPr>
            <w:noProof/>
            <w:webHidden/>
          </w:rPr>
        </w:r>
        <w:r w:rsidR="00873273">
          <w:rPr>
            <w:noProof/>
            <w:webHidden/>
          </w:rPr>
          <w:fldChar w:fldCharType="separate"/>
        </w:r>
        <w:r w:rsidR="00E43B38">
          <w:rPr>
            <w:noProof/>
            <w:webHidden/>
          </w:rPr>
          <w:t>14</w:t>
        </w:r>
        <w:r w:rsidR="00873273">
          <w:rPr>
            <w:noProof/>
            <w:webHidden/>
          </w:rPr>
          <w:fldChar w:fldCharType="end"/>
        </w:r>
      </w:hyperlink>
    </w:p>
    <w:p w14:paraId="34B882BC" w14:textId="17EFAD41" w:rsidR="00873273" w:rsidRDefault="00000000">
      <w:pPr>
        <w:pStyle w:val="Sadraj2"/>
        <w:tabs>
          <w:tab w:val="right" w:leader="dot" w:pos="9062"/>
        </w:tabs>
        <w:rPr>
          <w:rFonts w:asciiTheme="minorHAnsi" w:eastAsiaTheme="minorEastAsia" w:hAnsiTheme="minorHAnsi" w:cstheme="minorBidi"/>
          <w:noProof/>
          <w:sz w:val="22"/>
          <w:szCs w:val="22"/>
        </w:rPr>
      </w:pPr>
      <w:hyperlink w:anchor="_Toc133398668" w:history="1">
        <w:r w:rsidR="00873273" w:rsidRPr="007B0B30">
          <w:rPr>
            <w:rStyle w:val="Hiperveza"/>
            <w:noProof/>
          </w:rPr>
          <w:t>2. B. 1. 1. RAČUN FINANCIRANJA - PREMA EKONOMSKOJ KLASIFIKACIJI - ANALITIČKI PRIKAZ</w:t>
        </w:r>
        <w:r w:rsidR="00873273">
          <w:rPr>
            <w:noProof/>
            <w:webHidden/>
          </w:rPr>
          <w:tab/>
        </w:r>
        <w:r w:rsidR="00873273">
          <w:rPr>
            <w:noProof/>
            <w:webHidden/>
          </w:rPr>
          <w:fldChar w:fldCharType="begin"/>
        </w:r>
        <w:r w:rsidR="00873273">
          <w:rPr>
            <w:noProof/>
            <w:webHidden/>
          </w:rPr>
          <w:instrText xml:space="preserve"> PAGEREF _Toc133398668 \h </w:instrText>
        </w:r>
        <w:r w:rsidR="00873273">
          <w:rPr>
            <w:noProof/>
            <w:webHidden/>
          </w:rPr>
        </w:r>
        <w:r w:rsidR="00873273">
          <w:rPr>
            <w:noProof/>
            <w:webHidden/>
          </w:rPr>
          <w:fldChar w:fldCharType="separate"/>
        </w:r>
        <w:r w:rsidR="00E43B38">
          <w:rPr>
            <w:noProof/>
            <w:webHidden/>
          </w:rPr>
          <w:t>15</w:t>
        </w:r>
        <w:r w:rsidR="00873273">
          <w:rPr>
            <w:noProof/>
            <w:webHidden/>
          </w:rPr>
          <w:fldChar w:fldCharType="end"/>
        </w:r>
      </w:hyperlink>
    </w:p>
    <w:p w14:paraId="257C3FB0" w14:textId="1B466A9B" w:rsidR="00873273" w:rsidRDefault="00000000">
      <w:pPr>
        <w:pStyle w:val="Sadraj2"/>
        <w:tabs>
          <w:tab w:val="right" w:leader="dot" w:pos="9062"/>
        </w:tabs>
        <w:rPr>
          <w:rFonts w:asciiTheme="minorHAnsi" w:eastAsiaTheme="minorEastAsia" w:hAnsiTheme="minorHAnsi" w:cstheme="minorBidi"/>
          <w:noProof/>
          <w:sz w:val="22"/>
          <w:szCs w:val="22"/>
        </w:rPr>
      </w:pPr>
      <w:hyperlink w:anchor="_Toc133398669" w:history="1">
        <w:r w:rsidR="00873273" w:rsidRPr="007B0B30">
          <w:rPr>
            <w:rStyle w:val="Hiperveza"/>
            <w:noProof/>
          </w:rPr>
          <w:t>2. B. 2. RAČUN FINANCIRANJA - PREMA IZVORIMA FINANCIRANJA</w:t>
        </w:r>
        <w:r w:rsidR="00873273">
          <w:rPr>
            <w:noProof/>
            <w:webHidden/>
          </w:rPr>
          <w:tab/>
        </w:r>
        <w:r w:rsidR="00873273">
          <w:rPr>
            <w:noProof/>
            <w:webHidden/>
          </w:rPr>
          <w:fldChar w:fldCharType="begin"/>
        </w:r>
        <w:r w:rsidR="00873273">
          <w:rPr>
            <w:noProof/>
            <w:webHidden/>
          </w:rPr>
          <w:instrText xml:space="preserve"> PAGEREF _Toc133398669 \h </w:instrText>
        </w:r>
        <w:r w:rsidR="00873273">
          <w:rPr>
            <w:noProof/>
            <w:webHidden/>
          </w:rPr>
        </w:r>
        <w:r w:rsidR="00873273">
          <w:rPr>
            <w:noProof/>
            <w:webHidden/>
          </w:rPr>
          <w:fldChar w:fldCharType="separate"/>
        </w:r>
        <w:r w:rsidR="00E43B38">
          <w:rPr>
            <w:noProof/>
            <w:webHidden/>
          </w:rPr>
          <w:t>18</w:t>
        </w:r>
        <w:r w:rsidR="00873273">
          <w:rPr>
            <w:noProof/>
            <w:webHidden/>
          </w:rPr>
          <w:fldChar w:fldCharType="end"/>
        </w:r>
      </w:hyperlink>
    </w:p>
    <w:p w14:paraId="2AA4112A" w14:textId="4927E13C" w:rsidR="00873273" w:rsidRDefault="00000000">
      <w:pPr>
        <w:pStyle w:val="Sadraj1"/>
        <w:rPr>
          <w:rFonts w:asciiTheme="minorHAnsi" w:eastAsiaTheme="minorEastAsia" w:hAnsiTheme="minorHAnsi" w:cstheme="minorBidi"/>
          <w:noProof/>
          <w:sz w:val="22"/>
          <w:szCs w:val="22"/>
        </w:rPr>
      </w:pPr>
      <w:hyperlink w:anchor="_Toc133398670" w:history="1">
        <w:r w:rsidR="00873273" w:rsidRPr="007B0B30">
          <w:rPr>
            <w:rStyle w:val="Hiperveza"/>
            <w:noProof/>
          </w:rPr>
          <w:t>3.</w:t>
        </w:r>
        <w:r w:rsidR="00873273">
          <w:rPr>
            <w:rFonts w:asciiTheme="minorHAnsi" w:eastAsiaTheme="minorEastAsia" w:hAnsiTheme="minorHAnsi" w:cstheme="minorBidi"/>
            <w:noProof/>
            <w:sz w:val="22"/>
            <w:szCs w:val="22"/>
          </w:rPr>
          <w:tab/>
        </w:r>
        <w:r w:rsidR="00873273" w:rsidRPr="007B0B30">
          <w:rPr>
            <w:rStyle w:val="Hiperveza"/>
            <w:noProof/>
          </w:rPr>
          <w:t>POSEBNI DIO PRORAČUNA</w:t>
        </w:r>
        <w:r w:rsidR="00873273">
          <w:rPr>
            <w:noProof/>
            <w:webHidden/>
          </w:rPr>
          <w:tab/>
        </w:r>
        <w:r w:rsidR="00873273">
          <w:rPr>
            <w:noProof/>
            <w:webHidden/>
          </w:rPr>
          <w:fldChar w:fldCharType="begin"/>
        </w:r>
        <w:r w:rsidR="00873273">
          <w:rPr>
            <w:noProof/>
            <w:webHidden/>
          </w:rPr>
          <w:instrText xml:space="preserve"> PAGEREF _Toc133398670 \h </w:instrText>
        </w:r>
        <w:r w:rsidR="00873273">
          <w:rPr>
            <w:noProof/>
            <w:webHidden/>
          </w:rPr>
        </w:r>
        <w:r w:rsidR="00873273">
          <w:rPr>
            <w:noProof/>
            <w:webHidden/>
          </w:rPr>
          <w:fldChar w:fldCharType="separate"/>
        </w:r>
        <w:r w:rsidR="00E43B38">
          <w:rPr>
            <w:noProof/>
            <w:webHidden/>
          </w:rPr>
          <w:t>19</w:t>
        </w:r>
        <w:r w:rsidR="00873273">
          <w:rPr>
            <w:noProof/>
            <w:webHidden/>
          </w:rPr>
          <w:fldChar w:fldCharType="end"/>
        </w:r>
      </w:hyperlink>
    </w:p>
    <w:p w14:paraId="73334402" w14:textId="7020463F" w:rsidR="00873273" w:rsidRDefault="00000000">
      <w:pPr>
        <w:pStyle w:val="Sadraj2"/>
        <w:tabs>
          <w:tab w:val="right" w:leader="dot" w:pos="9062"/>
        </w:tabs>
        <w:rPr>
          <w:rFonts w:asciiTheme="minorHAnsi" w:eastAsiaTheme="minorEastAsia" w:hAnsiTheme="minorHAnsi" w:cstheme="minorBidi"/>
          <w:noProof/>
          <w:sz w:val="22"/>
          <w:szCs w:val="22"/>
        </w:rPr>
      </w:pPr>
      <w:hyperlink w:anchor="_Toc133398671" w:history="1">
        <w:r w:rsidR="00873273" w:rsidRPr="007B0B30">
          <w:rPr>
            <w:rStyle w:val="Hiperveza"/>
            <w:noProof/>
          </w:rPr>
          <w:t>3. A.  ORGANIZACIJSKA KLASIFIKACIJA</w:t>
        </w:r>
        <w:r w:rsidR="00873273">
          <w:rPr>
            <w:noProof/>
            <w:webHidden/>
          </w:rPr>
          <w:tab/>
        </w:r>
        <w:r w:rsidR="00873273">
          <w:rPr>
            <w:noProof/>
            <w:webHidden/>
          </w:rPr>
          <w:fldChar w:fldCharType="begin"/>
        </w:r>
        <w:r w:rsidR="00873273">
          <w:rPr>
            <w:noProof/>
            <w:webHidden/>
          </w:rPr>
          <w:instrText xml:space="preserve"> PAGEREF _Toc133398671 \h </w:instrText>
        </w:r>
        <w:r w:rsidR="00873273">
          <w:rPr>
            <w:noProof/>
            <w:webHidden/>
          </w:rPr>
        </w:r>
        <w:r w:rsidR="00873273">
          <w:rPr>
            <w:noProof/>
            <w:webHidden/>
          </w:rPr>
          <w:fldChar w:fldCharType="separate"/>
        </w:r>
        <w:r w:rsidR="00E43B38">
          <w:rPr>
            <w:noProof/>
            <w:webHidden/>
          </w:rPr>
          <w:t>19</w:t>
        </w:r>
        <w:r w:rsidR="00873273">
          <w:rPr>
            <w:noProof/>
            <w:webHidden/>
          </w:rPr>
          <w:fldChar w:fldCharType="end"/>
        </w:r>
      </w:hyperlink>
    </w:p>
    <w:p w14:paraId="10C4F312" w14:textId="5CC05596" w:rsidR="00873273" w:rsidRDefault="00000000">
      <w:pPr>
        <w:pStyle w:val="Sadraj2"/>
        <w:tabs>
          <w:tab w:val="right" w:leader="dot" w:pos="9062"/>
        </w:tabs>
        <w:rPr>
          <w:rFonts w:asciiTheme="minorHAnsi" w:eastAsiaTheme="minorEastAsia" w:hAnsiTheme="minorHAnsi" w:cstheme="minorBidi"/>
          <w:noProof/>
          <w:sz w:val="22"/>
          <w:szCs w:val="22"/>
        </w:rPr>
      </w:pPr>
      <w:hyperlink w:anchor="_Toc133398672" w:history="1">
        <w:r w:rsidR="00873273" w:rsidRPr="007B0B30">
          <w:rPr>
            <w:rStyle w:val="Hiperveza"/>
            <w:noProof/>
          </w:rPr>
          <w:t>3. B. PROGRAMSKA KLASIFIKACIJA</w:t>
        </w:r>
        <w:r w:rsidR="00873273">
          <w:rPr>
            <w:noProof/>
            <w:webHidden/>
          </w:rPr>
          <w:tab/>
        </w:r>
        <w:r w:rsidR="00873273">
          <w:rPr>
            <w:noProof/>
            <w:webHidden/>
          </w:rPr>
          <w:fldChar w:fldCharType="begin"/>
        </w:r>
        <w:r w:rsidR="00873273">
          <w:rPr>
            <w:noProof/>
            <w:webHidden/>
          </w:rPr>
          <w:instrText xml:space="preserve"> PAGEREF _Toc133398672 \h </w:instrText>
        </w:r>
        <w:r w:rsidR="00873273">
          <w:rPr>
            <w:noProof/>
            <w:webHidden/>
          </w:rPr>
        </w:r>
        <w:r w:rsidR="00873273">
          <w:rPr>
            <w:noProof/>
            <w:webHidden/>
          </w:rPr>
          <w:fldChar w:fldCharType="separate"/>
        </w:r>
        <w:r w:rsidR="00E43B38">
          <w:rPr>
            <w:noProof/>
            <w:webHidden/>
          </w:rPr>
          <w:t>20</w:t>
        </w:r>
        <w:r w:rsidR="00873273">
          <w:rPr>
            <w:noProof/>
            <w:webHidden/>
          </w:rPr>
          <w:fldChar w:fldCharType="end"/>
        </w:r>
      </w:hyperlink>
    </w:p>
    <w:p w14:paraId="6EADB435" w14:textId="7352E23A" w:rsidR="00873273" w:rsidRDefault="00000000">
      <w:pPr>
        <w:pStyle w:val="Sadraj1"/>
        <w:rPr>
          <w:rFonts w:asciiTheme="minorHAnsi" w:eastAsiaTheme="minorEastAsia" w:hAnsiTheme="minorHAnsi" w:cstheme="minorBidi"/>
          <w:noProof/>
          <w:sz w:val="22"/>
          <w:szCs w:val="22"/>
        </w:rPr>
      </w:pPr>
      <w:hyperlink w:anchor="_Toc133398673" w:history="1">
        <w:r w:rsidR="00873273" w:rsidRPr="007B0B30">
          <w:rPr>
            <w:rStyle w:val="Hiperveza"/>
            <w:noProof/>
          </w:rPr>
          <w:t>4.</w:t>
        </w:r>
        <w:r w:rsidR="00873273">
          <w:rPr>
            <w:rFonts w:asciiTheme="minorHAnsi" w:eastAsiaTheme="minorEastAsia" w:hAnsiTheme="minorHAnsi" w:cstheme="minorBidi"/>
            <w:noProof/>
            <w:sz w:val="22"/>
            <w:szCs w:val="22"/>
          </w:rPr>
          <w:tab/>
        </w:r>
        <w:r w:rsidR="00873273" w:rsidRPr="007B0B30">
          <w:rPr>
            <w:rStyle w:val="Hiperveza"/>
            <w:noProof/>
          </w:rPr>
          <w:t>IZVJEŠTAJ O ZADUŽIVANJU NA DOMAĆEM I STRANOM TRŽIŠTU NOVCA I KAPITALA</w:t>
        </w:r>
        <w:r w:rsidR="00873273">
          <w:rPr>
            <w:noProof/>
            <w:webHidden/>
          </w:rPr>
          <w:tab/>
        </w:r>
        <w:r w:rsidR="00873273">
          <w:rPr>
            <w:noProof/>
            <w:webHidden/>
          </w:rPr>
          <w:fldChar w:fldCharType="begin"/>
        </w:r>
        <w:r w:rsidR="00873273">
          <w:rPr>
            <w:noProof/>
            <w:webHidden/>
          </w:rPr>
          <w:instrText xml:space="preserve"> PAGEREF _Toc133398673 \h </w:instrText>
        </w:r>
        <w:r w:rsidR="00873273">
          <w:rPr>
            <w:noProof/>
            <w:webHidden/>
          </w:rPr>
        </w:r>
        <w:r w:rsidR="00873273">
          <w:rPr>
            <w:noProof/>
            <w:webHidden/>
          </w:rPr>
          <w:fldChar w:fldCharType="separate"/>
        </w:r>
        <w:r w:rsidR="00E43B38">
          <w:rPr>
            <w:noProof/>
            <w:webHidden/>
          </w:rPr>
          <w:t>63</w:t>
        </w:r>
        <w:r w:rsidR="00873273">
          <w:rPr>
            <w:noProof/>
            <w:webHidden/>
          </w:rPr>
          <w:fldChar w:fldCharType="end"/>
        </w:r>
      </w:hyperlink>
    </w:p>
    <w:p w14:paraId="18E737B6" w14:textId="04BBF326" w:rsidR="00873273" w:rsidRDefault="00000000">
      <w:pPr>
        <w:pStyle w:val="Sadraj1"/>
        <w:rPr>
          <w:rFonts w:asciiTheme="minorHAnsi" w:eastAsiaTheme="minorEastAsia" w:hAnsiTheme="minorHAnsi" w:cstheme="minorBidi"/>
          <w:noProof/>
          <w:sz w:val="22"/>
          <w:szCs w:val="22"/>
        </w:rPr>
      </w:pPr>
      <w:hyperlink w:anchor="_Toc133398674" w:history="1">
        <w:r w:rsidR="00873273" w:rsidRPr="007B0B30">
          <w:rPr>
            <w:rStyle w:val="Hiperveza"/>
            <w:noProof/>
          </w:rPr>
          <w:t>5.</w:t>
        </w:r>
        <w:r w:rsidR="00873273">
          <w:rPr>
            <w:rFonts w:asciiTheme="minorHAnsi" w:eastAsiaTheme="minorEastAsia" w:hAnsiTheme="minorHAnsi" w:cstheme="minorBidi"/>
            <w:noProof/>
            <w:sz w:val="22"/>
            <w:szCs w:val="22"/>
          </w:rPr>
          <w:tab/>
        </w:r>
        <w:r w:rsidR="00873273" w:rsidRPr="007B0B30">
          <w:rPr>
            <w:rStyle w:val="Hiperveza"/>
            <w:noProof/>
          </w:rPr>
          <w:t>IZVJEŠTAJ O KORIŠTENJU PRORAČUNSKE ZALIHE</w:t>
        </w:r>
        <w:r w:rsidR="00873273">
          <w:rPr>
            <w:noProof/>
            <w:webHidden/>
          </w:rPr>
          <w:tab/>
        </w:r>
        <w:r w:rsidR="00873273">
          <w:rPr>
            <w:noProof/>
            <w:webHidden/>
          </w:rPr>
          <w:fldChar w:fldCharType="begin"/>
        </w:r>
        <w:r w:rsidR="00873273">
          <w:rPr>
            <w:noProof/>
            <w:webHidden/>
          </w:rPr>
          <w:instrText xml:space="preserve"> PAGEREF _Toc133398674 \h </w:instrText>
        </w:r>
        <w:r w:rsidR="00873273">
          <w:rPr>
            <w:noProof/>
            <w:webHidden/>
          </w:rPr>
        </w:r>
        <w:r w:rsidR="00873273">
          <w:rPr>
            <w:noProof/>
            <w:webHidden/>
          </w:rPr>
          <w:fldChar w:fldCharType="separate"/>
        </w:r>
        <w:r w:rsidR="00E43B38">
          <w:rPr>
            <w:noProof/>
            <w:webHidden/>
          </w:rPr>
          <w:t>68</w:t>
        </w:r>
        <w:r w:rsidR="00873273">
          <w:rPr>
            <w:noProof/>
            <w:webHidden/>
          </w:rPr>
          <w:fldChar w:fldCharType="end"/>
        </w:r>
      </w:hyperlink>
    </w:p>
    <w:p w14:paraId="79510EAA" w14:textId="73C2AC0E" w:rsidR="00873273" w:rsidRDefault="00000000">
      <w:pPr>
        <w:pStyle w:val="Sadraj1"/>
        <w:rPr>
          <w:rFonts w:asciiTheme="minorHAnsi" w:eastAsiaTheme="minorEastAsia" w:hAnsiTheme="minorHAnsi" w:cstheme="minorBidi"/>
          <w:noProof/>
          <w:sz w:val="22"/>
          <w:szCs w:val="22"/>
        </w:rPr>
      </w:pPr>
      <w:hyperlink w:anchor="_Toc133398675" w:history="1">
        <w:r w:rsidR="00873273" w:rsidRPr="007B0B30">
          <w:rPr>
            <w:rStyle w:val="Hiperveza"/>
            <w:noProof/>
          </w:rPr>
          <w:t>6.</w:t>
        </w:r>
        <w:r w:rsidR="00873273">
          <w:rPr>
            <w:rFonts w:asciiTheme="minorHAnsi" w:eastAsiaTheme="minorEastAsia" w:hAnsiTheme="minorHAnsi" w:cstheme="minorBidi"/>
            <w:noProof/>
            <w:sz w:val="22"/>
            <w:szCs w:val="22"/>
          </w:rPr>
          <w:tab/>
        </w:r>
        <w:r w:rsidR="00873273" w:rsidRPr="007B0B30">
          <w:rPr>
            <w:rStyle w:val="Hiperveza"/>
            <w:noProof/>
          </w:rPr>
          <w:t>IZVJEŠTAJ O DANIM JAMSTVIMA I IZDACIMA PO JAMSTVIMA</w:t>
        </w:r>
        <w:r w:rsidR="00873273">
          <w:rPr>
            <w:noProof/>
            <w:webHidden/>
          </w:rPr>
          <w:tab/>
        </w:r>
        <w:r w:rsidR="00873273">
          <w:rPr>
            <w:noProof/>
            <w:webHidden/>
          </w:rPr>
          <w:fldChar w:fldCharType="begin"/>
        </w:r>
        <w:r w:rsidR="00873273">
          <w:rPr>
            <w:noProof/>
            <w:webHidden/>
          </w:rPr>
          <w:instrText xml:space="preserve"> PAGEREF _Toc133398675 \h </w:instrText>
        </w:r>
        <w:r w:rsidR="00873273">
          <w:rPr>
            <w:noProof/>
            <w:webHidden/>
          </w:rPr>
        </w:r>
        <w:r w:rsidR="00873273">
          <w:rPr>
            <w:noProof/>
            <w:webHidden/>
          </w:rPr>
          <w:fldChar w:fldCharType="separate"/>
        </w:r>
        <w:r w:rsidR="00E43B38">
          <w:rPr>
            <w:noProof/>
            <w:webHidden/>
          </w:rPr>
          <w:t>68</w:t>
        </w:r>
        <w:r w:rsidR="00873273">
          <w:rPr>
            <w:noProof/>
            <w:webHidden/>
          </w:rPr>
          <w:fldChar w:fldCharType="end"/>
        </w:r>
      </w:hyperlink>
    </w:p>
    <w:p w14:paraId="35AC8FE3" w14:textId="1F585B76" w:rsidR="00873273" w:rsidRDefault="00000000">
      <w:pPr>
        <w:pStyle w:val="Sadraj1"/>
        <w:rPr>
          <w:rFonts w:asciiTheme="minorHAnsi" w:eastAsiaTheme="minorEastAsia" w:hAnsiTheme="minorHAnsi" w:cstheme="minorBidi"/>
          <w:noProof/>
          <w:sz w:val="22"/>
          <w:szCs w:val="22"/>
        </w:rPr>
      </w:pPr>
      <w:hyperlink w:anchor="_Toc133398676" w:history="1">
        <w:r w:rsidR="00873273" w:rsidRPr="007B0B30">
          <w:rPr>
            <w:rStyle w:val="Hiperveza"/>
            <w:noProof/>
          </w:rPr>
          <w:t>7.</w:t>
        </w:r>
        <w:r w:rsidR="00873273">
          <w:rPr>
            <w:rFonts w:asciiTheme="minorHAnsi" w:eastAsiaTheme="minorEastAsia" w:hAnsiTheme="minorHAnsi" w:cstheme="minorBidi"/>
            <w:noProof/>
            <w:sz w:val="22"/>
            <w:szCs w:val="22"/>
          </w:rPr>
          <w:tab/>
        </w:r>
        <w:r w:rsidR="00873273" w:rsidRPr="007B0B30">
          <w:rPr>
            <w:rStyle w:val="Hiperveza"/>
            <w:noProof/>
          </w:rPr>
          <w:t>OBRAZLOŽENJE PRIHODA I PRIMITAKA, RASHODA I IZDATAKA PRORAČUNA GRADA BUJA – BUIE U 2022. GODINI</w:t>
        </w:r>
        <w:r w:rsidR="00873273">
          <w:rPr>
            <w:noProof/>
            <w:webHidden/>
          </w:rPr>
          <w:tab/>
        </w:r>
        <w:r w:rsidR="00873273">
          <w:rPr>
            <w:noProof/>
            <w:webHidden/>
          </w:rPr>
          <w:fldChar w:fldCharType="begin"/>
        </w:r>
        <w:r w:rsidR="00873273">
          <w:rPr>
            <w:noProof/>
            <w:webHidden/>
          </w:rPr>
          <w:instrText xml:space="preserve"> PAGEREF _Toc133398676 \h </w:instrText>
        </w:r>
        <w:r w:rsidR="00873273">
          <w:rPr>
            <w:noProof/>
            <w:webHidden/>
          </w:rPr>
        </w:r>
        <w:r w:rsidR="00873273">
          <w:rPr>
            <w:noProof/>
            <w:webHidden/>
          </w:rPr>
          <w:fldChar w:fldCharType="separate"/>
        </w:r>
        <w:r w:rsidR="00E43B38">
          <w:rPr>
            <w:noProof/>
            <w:webHidden/>
          </w:rPr>
          <w:t>69</w:t>
        </w:r>
        <w:r w:rsidR="00873273">
          <w:rPr>
            <w:noProof/>
            <w:webHidden/>
          </w:rPr>
          <w:fldChar w:fldCharType="end"/>
        </w:r>
      </w:hyperlink>
    </w:p>
    <w:p w14:paraId="3818C252" w14:textId="35D91C26" w:rsidR="00873273" w:rsidRDefault="00000000">
      <w:pPr>
        <w:pStyle w:val="Sadraj2"/>
        <w:tabs>
          <w:tab w:val="right" w:leader="dot" w:pos="9062"/>
        </w:tabs>
        <w:rPr>
          <w:rFonts w:asciiTheme="minorHAnsi" w:eastAsiaTheme="minorEastAsia" w:hAnsiTheme="minorHAnsi" w:cstheme="minorBidi"/>
          <w:noProof/>
          <w:sz w:val="22"/>
          <w:szCs w:val="22"/>
        </w:rPr>
      </w:pPr>
      <w:hyperlink w:anchor="_Toc133398677" w:history="1">
        <w:r w:rsidR="00873273" w:rsidRPr="007B0B30">
          <w:rPr>
            <w:rStyle w:val="Hiperveza"/>
            <w:noProof/>
          </w:rPr>
          <w:t>IZVRŠENJE RASHODA PRORAČUNA U 2022. GODINI PO RAZDJELIMA – UPRAVNIM ODJELIMA GRADSKE UPRAVE</w:t>
        </w:r>
        <w:r w:rsidR="00873273">
          <w:rPr>
            <w:noProof/>
            <w:webHidden/>
          </w:rPr>
          <w:tab/>
        </w:r>
        <w:r w:rsidR="00873273">
          <w:rPr>
            <w:noProof/>
            <w:webHidden/>
          </w:rPr>
          <w:fldChar w:fldCharType="begin"/>
        </w:r>
        <w:r w:rsidR="00873273">
          <w:rPr>
            <w:noProof/>
            <w:webHidden/>
          </w:rPr>
          <w:instrText xml:space="preserve"> PAGEREF _Toc133398677 \h </w:instrText>
        </w:r>
        <w:r w:rsidR="00873273">
          <w:rPr>
            <w:noProof/>
            <w:webHidden/>
          </w:rPr>
        </w:r>
        <w:r w:rsidR="00873273">
          <w:rPr>
            <w:noProof/>
            <w:webHidden/>
          </w:rPr>
          <w:fldChar w:fldCharType="separate"/>
        </w:r>
        <w:r w:rsidR="00E43B38">
          <w:rPr>
            <w:noProof/>
            <w:webHidden/>
          </w:rPr>
          <w:t>86</w:t>
        </w:r>
        <w:r w:rsidR="00873273">
          <w:rPr>
            <w:noProof/>
            <w:webHidden/>
          </w:rPr>
          <w:fldChar w:fldCharType="end"/>
        </w:r>
      </w:hyperlink>
    </w:p>
    <w:p w14:paraId="28E388E0" w14:textId="2481FF51" w:rsidR="00873273" w:rsidRDefault="00000000">
      <w:pPr>
        <w:pStyle w:val="Sadraj2"/>
        <w:tabs>
          <w:tab w:val="right" w:leader="dot" w:pos="9062"/>
        </w:tabs>
        <w:rPr>
          <w:rFonts w:asciiTheme="minorHAnsi" w:eastAsiaTheme="minorEastAsia" w:hAnsiTheme="minorHAnsi" w:cstheme="minorBidi"/>
          <w:noProof/>
          <w:sz w:val="22"/>
          <w:szCs w:val="22"/>
        </w:rPr>
      </w:pPr>
      <w:hyperlink w:anchor="_Toc133398678" w:history="1">
        <w:r w:rsidR="00873273" w:rsidRPr="007B0B30">
          <w:rPr>
            <w:rStyle w:val="Hiperveza"/>
            <w:noProof/>
          </w:rPr>
          <w:t>STANJE NENAPLAĆENIH POTRAŽIVANJA ZA PRIHODE GRADA I PRORAČUNSKIH KORISNIKA NA DAN 31.12.2022. GODINE</w:t>
        </w:r>
        <w:r w:rsidR="00873273">
          <w:rPr>
            <w:noProof/>
            <w:webHidden/>
          </w:rPr>
          <w:tab/>
        </w:r>
        <w:r w:rsidR="00873273">
          <w:rPr>
            <w:noProof/>
            <w:webHidden/>
          </w:rPr>
          <w:fldChar w:fldCharType="begin"/>
        </w:r>
        <w:r w:rsidR="00873273">
          <w:rPr>
            <w:noProof/>
            <w:webHidden/>
          </w:rPr>
          <w:instrText xml:space="preserve"> PAGEREF _Toc133398678 \h </w:instrText>
        </w:r>
        <w:r w:rsidR="00873273">
          <w:rPr>
            <w:noProof/>
            <w:webHidden/>
          </w:rPr>
        </w:r>
        <w:r w:rsidR="00873273">
          <w:rPr>
            <w:noProof/>
            <w:webHidden/>
          </w:rPr>
          <w:fldChar w:fldCharType="separate"/>
        </w:r>
        <w:r w:rsidR="00E43B38">
          <w:rPr>
            <w:noProof/>
            <w:webHidden/>
          </w:rPr>
          <w:t>92</w:t>
        </w:r>
        <w:r w:rsidR="00873273">
          <w:rPr>
            <w:noProof/>
            <w:webHidden/>
          </w:rPr>
          <w:fldChar w:fldCharType="end"/>
        </w:r>
      </w:hyperlink>
    </w:p>
    <w:p w14:paraId="3C06BEFC" w14:textId="0A35E319" w:rsidR="00873273" w:rsidRDefault="00000000">
      <w:pPr>
        <w:pStyle w:val="Sadraj2"/>
        <w:tabs>
          <w:tab w:val="right" w:leader="dot" w:pos="9062"/>
        </w:tabs>
        <w:rPr>
          <w:rFonts w:asciiTheme="minorHAnsi" w:eastAsiaTheme="minorEastAsia" w:hAnsiTheme="minorHAnsi" w:cstheme="minorBidi"/>
          <w:noProof/>
          <w:sz w:val="22"/>
          <w:szCs w:val="22"/>
        </w:rPr>
      </w:pPr>
      <w:hyperlink w:anchor="_Toc133398679" w:history="1">
        <w:r w:rsidR="00873273" w:rsidRPr="007B0B30">
          <w:rPr>
            <w:rStyle w:val="Hiperveza"/>
            <w:noProof/>
          </w:rPr>
          <w:t>STANJE NEPODMIRENIH DOSPJELIH OBVEZA GRADA I PRORAČUNSKIH KORISNIKA NA DAN 31.12.2022. GODINE</w:t>
        </w:r>
        <w:r w:rsidR="00873273">
          <w:rPr>
            <w:noProof/>
            <w:webHidden/>
          </w:rPr>
          <w:tab/>
        </w:r>
        <w:r w:rsidR="00873273">
          <w:rPr>
            <w:noProof/>
            <w:webHidden/>
          </w:rPr>
          <w:fldChar w:fldCharType="begin"/>
        </w:r>
        <w:r w:rsidR="00873273">
          <w:rPr>
            <w:noProof/>
            <w:webHidden/>
          </w:rPr>
          <w:instrText xml:space="preserve"> PAGEREF _Toc133398679 \h </w:instrText>
        </w:r>
        <w:r w:rsidR="00873273">
          <w:rPr>
            <w:noProof/>
            <w:webHidden/>
          </w:rPr>
        </w:r>
        <w:r w:rsidR="00873273">
          <w:rPr>
            <w:noProof/>
            <w:webHidden/>
          </w:rPr>
          <w:fldChar w:fldCharType="separate"/>
        </w:r>
        <w:r w:rsidR="00E43B38">
          <w:rPr>
            <w:noProof/>
            <w:webHidden/>
          </w:rPr>
          <w:t>93</w:t>
        </w:r>
        <w:r w:rsidR="00873273">
          <w:rPr>
            <w:noProof/>
            <w:webHidden/>
          </w:rPr>
          <w:fldChar w:fldCharType="end"/>
        </w:r>
      </w:hyperlink>
    </w:p>
    <w:p w14:paraId="69D99991" w14:textId="0BE239A2" w:rsidR="00873273" w:rsidRDefault="00000000">
      <w:pPr>
        <w:pStyle w:val="Sadraj2"/>
        <w:tabs>
          <w:tab w:val="right" w:leader="dot" w:pos="9062"/>
        </w:tabs>
        <w:rPr>
          <w:rFonts w:asciiTheme="minorHAnsi" w:eastAsiaTheme="minorEastAsia" w:hAnsiTheme="minorHAnsi" w:cstheme="minorBidi"/>
          <w:noProof/>
          <w:sz w:val="22"/>
          <w:szCs w:val="22"/>
        </w:rPr>
      </w:pPr>
      <w:hyperlink w:anchor="_Toc133398680" w:history="1">
        <w:r w:rsidR="00873273" w:rsidRPr="007B0B30">
          <w:rPr>
            <w:rStyle w:val="Hiperveza"/>
            <w:noProof/>
          </w:rPr>
          <w:t>STANJE POTENCIJALNIH OBVEZA PO OSNOVI SUDSKIH POSTUPAKA</w:t>
        </w:r>
        <w:r w:rsidR="00873273">
          <w:rPr>
            <w:noProof/>
            <w:webHidden/>
          </w:rPr>
          <w:tab/>
        </w:r>
        <w:r w:rsidR="00873273">
          <w:rPr>
            <w:noProof/>
            <w:webHidden/>
          </w:rPr>
          <w:fldChar w:fldCharType="begin"/>
        </w:r>
        <w:r w:rsidR="00873273">
          <w:rPr>
            <w:noProof/>
            <w:webHidden/>
          </w:rPr>
          <w:instrText xml:space="preserve"> PAGEREF _Toc133398680 \h </w:instrText>
        </w:r>
        <w:r w:rsidR="00873273">
          <w:rPr>
            <w:noProof/>
            <w:webHidden/>
          </w:rPr>
        </w:r>
        <w:r w:rsidR="00873273">
          <w:rPr>
            <w:noProof/>
            <w:webHidden/>
          </w:rPr>
          <w:fldChar w:fldCharType="separate"/>
        </w:r>
        <w:r w:rsidR="00E43B38">
          <w:rPr>
            <w:noProof/>
            <w:webHidden/>
          </w:rPr>
          <w:t>94</w:t>
        </w:r>
        <w:r w:rsidR="00873273">
          <w:rPr>
            <w:noProof/>
            <w:webHidden/>
          </w:rPr>
          <w:fldChar w:fldCharType="end"/>
        </w:r>
      </w:hyperlink>
    </w:p>
    <w:p w14:paraId="6D51C2F5" w14:textId="5BE54F94" w:rsidR="000A4E1E" w:rsidRDefault="000A4E1E">
      <w:r>
        <w:rPr>
          <w:b/>
          <w:bCs/>
        </w:rPr>
        <w:fldChar w:fldCharType="end"/>
      </w:r>
    </w:p>
    <w:p w14:paraId="74B12FA1" w14:textId="77777777" w:rsidR="00C11457" w:rsidRDefault="00C11457"/>
    <w:p w14:paraId="4C7D32CB" w14:textId="0F2A6C29" w:rsidR="00FF31EA" w:rsidRDefault="00FF31EA" w:rsidP="003756E1">
      <w:pPr>
        <w:rPr>
          <w:b/>
        </w:rPr>
      </w:pPr>
    </w:p>
    <w:p w14:paraId="1A2B8EC4" w14:textId="1410C72D" w:rsidR="00664F5F" w:rsidRDefault="00664F5F" w:rsidP="003756E1">
      <w:pPr>
        <w:rPr>
          <w:b/>
        </w:rPr>
      </w:pPr>
    </w:p>
    <w:p w14:paraId="62B5D83F" w14:textId="7535CCFD" w:rsidR="00664F5F" w:rsidRDefault="00664F5F" w:rsidP="003756E1">
      <w:pPr>
        <w:rPr>
          <w:b/>
        </w:rPr>
      </w:pPr>
    </w:p>
    <w:p w14:paraId="2C05F987" w14:textId="77777777" w:rsidR="00664F5F" w:rsidRPr="00E80A17" w:rsidRDefault="00664F5F" w:rsidP="003756E1">
      <w:pPr>
        <w:rPr>
          <w:b/>
        </w:rPr>
      </w:pPr>
    </w:p>
    <w:p w14:paraId="7A126099" w14:textId="77777777" w:rsidR="00FF31EA" w:rsidRPr="00E80A17" w:rsidRDefault="00FF31EA" w:rsidP="003756E1">
      <w:pPr>
        <w:rPr>
          <w:b/>
        </w:rPr>
      </w:pPr>
    </w:p>
    <w:p w14:paraId="2E10B908" w14:textId="77777777" w:rsidR="00351FC3" w:rsidRPr="00E80A17" w:rsidRDefault="00351FC3" w:rsidP="003756E1">
      <w:pPr>
        <w:rPr>
          <w:b/>
        </w:rPr>
      </w:pPr>
    </w:p>
    <w:p w14:paraId="679716D8" w14:textId="77777777" w:rsidR="00F32016" w:rsidRDefault="00F32016">
      <w:pPr>
        <w:rPr>
          <w:b/>
          <w:bCs/>
          <w:kern w:val="28"/>
        </w:rPr>
      </w:pPr>
      <w:bookmarkStart w:id="0" w:name="_Toc457913203"/>
      <w:bookmarkStart w:id="1" w:name="_Toc78878304"/>
      <w:bookmarkStart w:id="2" w:name="_Toc79578491"/>
      <w:r>
        <w:br w:type="page"/>
      </w:r>
    </w:p>
    <w:p w14:paraId="717C2CBD" w14:textId="77777777" w:rsidR="00F32016" w:rsidRDefault="00F32016" w:rsidP="00D459D7">
      <w:pPr>
        <w:pStyle w:val="Title1"/>
        <w:rPr>
          <w:rFonts w:ascii="Times New Roman" w:hAnsi="Times New Roman" w:cs="Times New Roman"/>
          <w:sz w:val="24"/>
          <w:szCs w:val="24"/>
        </w:rPr>
        <w:sectPr w:rsidR="00F32016" w:rsidSect="00FF31EA">
          <w:headerReference w:type="default" r:id="rId8"/>
          <w:footerReference w:type="default" r:id="rId9"/>
          <w:type w:val="continuous"/>
          <w:pgSz w:w="11906" w:h="16838"/>
          <w:pgMar w:top="1417" w:right="1417" w:bottom="1417" w:left="1417" w:header="708" w:footer="708" w:gutter="0"/>
          <w:pgNumType w:start="1"/>
          <w:cols w:space="708"/>
          <w:docGrid w:linePitch="360"/>
        </w:sectPr>
      </w:pPr>
    </w:p>
    <w:p w14:paraId="65FE1044" w14:textId="1B112260" w:rsidR="00777415" w:rsidRDefault="007C2D97" w:rsidP="007C2D97">
      <w:pPr>
        <w:pStyle w:val="Naslov1"/>
        <w:numPr>
          <w:ilvl w:val="0"/>
          <w:numId w:val="22"/>
        </w:numPr>
        <w:rPr>
          <w:rFonts w:ascii="Times New Roman" w:hAnsi="Times New Roman"/>
          <w:sz w:val="24"/>
          <w:szCs w:val="24"/>
        </w:rPr>
      </w:pPr>
      <w:bookmarkStart w:id="3" w:name="_Toc133398659"/>
      <w:bookmarkEnd w:id="0"/>
      <w:bookmarkEnd w:id="1"/>
      <w:bookmarkEnd w:id="2"/>
      <w:r w:rsidRPr="007C2D97">
        <w:rPr>
          <w:rFonts w:ascii="Times New Roman" w:hAnsi="Times New Roman"/>
          <w:sz w:val="24"/>
          <w:szCs w:val="24"/>
        </w:rPr>
        <w:lastRenderedPageBreak/>
        <w:t>UVOD</w:t>
      </w:r>
      <w:bookmarkEnd w:id="3"/>
    </w:p>
    <w:p w14:paraId="7B607A2A" w14:textId="77777777" w:rsidR="007C2D97" w:rsidRPr="007C2D97" w:rsidRDefault="007C2D97" w:rsidP="007C2D97"/>
    <w:p w14:paraId="20B5A2AD" w14:textId="6E42AA5E" w:rsidR="00C3799E" w:rsidRDefault="001C0F25" w:rsidP="00C462A3">
      <w:pPr>
        <w:ind w:firstLine="708"/>
        <w:rPr>
          <w:bCs/>
        </w:rPr>
      </w:pPr>
      <w:r w:rsidRPr="00C462A3">
        <w:t>Člankom 8</w:t>
      </w:r>
      <w:r w:rsidR="0074099B" w:rsidRPr="00C462A3">
        <w:t>9</w:t>
      </w:r>
      <w:r w:rsidRPr="00C462A3">
        <w:t xml:space="preserve">. </w:t>
      </w:r>
      <w:r w:rsidR="00794C29" w:rsidRPr="00C462A3">
        <w:t>Zakon</w:t>
      </w:r>
      <w:r w:rsidRPr="00C462A3">
        <w:t>a</w:t>
      </w:r>
      <w:r w:rsidR="00794C29" w:rsidRPr="00C462A3">
        <w:t xml:space="preserve"> o proračunu („Narodne novine“ broj </w:t>
      </w:r>
      <w:r w:rsidR="000E4BA8" w:rsidRPr="00C462A3">
        <w:t>144/21</w:t>
      </w:r>
      <w:r w:rsidR="00794C29" w:rsidRPr="00C462A3">
        <w:t>) propisana je obveza</w:t>
      </w:r>
      <w:r w:rsidR="00794C29" w:rsidRPr="00E80A17">
        <w:rPr>
          <w:bCs/>
        </w:rPr>
        <w:t xml:space="preserve"> </w:t>
      </w:r>
      <w:r w:rsidR="00C3799E">
        <w:rPr>
          <w:bCs/>
        </w:rPr>
        <w:t>gradonačelnika da podnese p</w:t>
      </w:r>
      <w:r w:rsidR="00794C29" w:rsidRPr="00E80A17">
        <w:rPr>
          <w:bCs/>
        </w:rPr>
        <w:t>redstavničkom tijelu na donošenje</w:t>
      </w:r>
      <w:r w:rsidR="00C3799E">
        <w:rPr>
          <w:bCs/>
        </w:rPr>
        <w:t xml:space="preserve"> prijedlog godišnjeg izvještaja o izvršenju proračuna</w:t>
      </w:r>
      <w:r w:rsidR="00794C29" w:rsidRPr="00E80A17">
        <w:rPr>
          <w:bCs/>
        </w:rPr>
        <w:t xml:space="preserve"> do </w:t>
      </w:r>
      <w:r w:rsidR="0074099B">
        <w:rPr>
          <w:bCs/>
        </w:rPr>
        <w:t>31</w:t>
      </w:r>
      <w:r w:rsidR="00C3799E">
        <w:rPr>
          <w:bCs/>
        </w:rPr>
        <w:t xml:space="preserve">. </w:t>
      </w:r>
      <w:r w:rsidR="0074099B">
        <w:rPr>
          <w:bCs/>
        </w:rPr>
        <w:t xml:space="preserve">svibnja </w:t>
      </w:r>
      <w:r w:rsidR="00C3799E">
        <w:rPr>
          <w:bCs/>
        </w:rPr>
        <w:t>tekuće godine</w:t>
      </w:r>
      <w:r w:rsidR="0074099B">
        <w:rPr>
          <w:bCs/>
        </w:rPr>
        <w:t xml:space="preserve"> za prethodnu godinu</w:t>
      </w:r>
      <w:r w:rsidR="00C3799E">
        <w:rPr>
          <w:bCs/>
        </w:rPr>
        <w:t>.</w:t>
      </w:r>
    </w:p>
    <w:p w14:paraId="1A6AC7F8" w14:textId="0E8ED5BB" w:rsidR="00A45855" w:rsidRDefault="00A45855" w:rsidP="00C462A3">
      <w:pPr>
        <w:ind w:firstLine="708"/>
        <w:rPr>
          <w:bCs/>
        </w:rPr>
      </w:pPr>
      <w:r>
        <w:rPr>
          <w:bCs/>
        </w:rPr>
        <w:t xml:space="preserve">Na temelju članka 163. </w:t>
      </w:r>
      <w:r w:rsidR="00C462A3">
        <w:rPr>
          <w:bCs/>
        </w:rPr>
        <w:t xml:space="preserve">točka 5. </w:t>
      </w:r>
      <w:r>
        <w:rPr>
          <w:bCs/>
        </w:rPr>
        <w:t>istog Zakona, do stupanja na snagu novih podzakonskih akta</w:t>
      </w:r>
      <w:r w:rsidR="00C462A3">
        <w:rPr>
          <w:bCs/>
        </w:rPr>
        <w:t>,</w:t>
      </w:r>
      <w:r>
        <w:rPr>
          <w:bCs/>
        </w:rPr>
        <w:t xml:space="preserve"> na snazi je P</w:t>
      </w:r>
      <w:r w:rsidRPr="00E80A17">
        <w:rPr>
          <w:bCs/>
        </w:rPr>
        <w:t>ravilnik o polugodišnjem i godišnjem izvještaju o izvršenju proračuna („Narodne novine“ broj 24/13</w:t>
      </w:r>
      <w:r>
        <w:rPr>
          <w:bCs/>
        </w:rPr>
        <w:t>,</w:t>
      </w:r>
      <w:r w:rsidRPr="00E80A17">
        <w:rPr>
          <w:bCs/>
        </w:rPr>
        <w:t xml:space="preserve"> 102/17</w:t>
      </w:r>
      <w:r>
        <w:rPr>
          <w:bCs/>
        </w:rPr>
        <w:t>, 01/20 i 147/20</w:t>
      </w:r>
      <w:r w:rsidRPr="00E80A17">
        <w:rPr>
          <w:bCs/>
        </w:rPr>
        <w:t xml:space="preserve">). </w:t>
      </w:r>
    </w:p>
    <w:p w14:paraId="785D2917" w14:textId="54B85570" w:rsidR="00794C29" w:rsidRDefault="002F61F4" w:rsidP="00C462A3">
      <w:pPr>
        <w:ind w:firstLine="360"/>
        <w:rPr>
          <w:bCs/>
        </w:rPr>
      </w:pPr>
      <w:r>
        <w:rPr>
          <w:bCs/>
        </w:rPr>
        <w:t xml:space="preserve">Sadržaj </w:t>
      </w:r>
      <w:r w:rsidR="00916B6D">
        <w:rPr>
          <w:bCs/>
        </w:rPr>
        <w:t>godišnj</w:t>
      </w:r>
      <w:r>
        <w:rPr>
          <w:bCs/>
        </w:rPr>
        <w:t>eg</w:t>
      </w:r>
      <w:r w:rsidR="00916B6D">
        <w:rPr>
          <w:bCs/>
        </w:rPr>
        <w:t xml:space="preserve"> izvještaj</w:t>
      </w:r>
      <w:r>
        <w:rPr>
          <w:bCs/>
        </w:rPr>
        <w:t>a</w:t>
      </w:r>
      <w:r w:rsidR="00916B6D">
        <w:rPr>
          <w:bCs/>
        </w:rPr>
        <w:t xml:space="preserve"> o izvršenju proračuna za 2022. godinu i projekcija za 2023. i 2024. godinu određen je člankom 168. Zakona o proračunu</w:t>
      </w:r>
      <w:r w:rsidR="00B14C6A">
        <w:rPr>
          <w:bCs/>
        </w:rPr>
        <w:t xml:space="preserve"> („Narodne novine“ broj 144/21) </w:t>
      </w:r>
      <w:r w:rsidR="00A45855">
        <w:rPr>
          <w:bCs/>
        </w:rPr>
        <w:t xml:space="preserve">i </w:t>
      </w:r>
      <w:r>
        <w:rPr>
          <w:bCs/>
        </w:rPr>
        <w:t>čine ga</w:t>
      </w:r>
      <w:r w:rsidR="00A45855">
        <w:rPr>
          <w:bCs/>
        </w:rPr>
        <w:t>:</w:t>
      </w:r>
    </w:p>
    <w:p w14:paraId="6EEBC15C" w14:textId="02543097" w:rsidR="00794C29" w:rsidRPr="009357A4" w:rsidRDefault="00794C29" w:rsidP="009357A4">
      <w:pPr>
        <w:pStyle w:val="Odlomakpopisa"/>
        <w:numPr>
          <w:ilvl w:val="0"/>
          <w:numId w:val="2"/>
        </w:numPr>
        <w:rPr>
          <w:bCs/>
        </w:rPr>
      </w:pPr>
      <w:r w:rsidRPr="009357A4">
        <w:rPr>
          <w:bCs/>
        </w:rPr>
        <w:t>opći dio proračuna koji čini Račun prihoda i rashoda i Račun financiranja na razini odjeljka ekonomske klasifikacije</w:t>
      </w:r>
    </w:p>
    <w:p w14:paraId="6565E785" w14:textId="77777777" w:rsidR="00794C29" w:rsidRPr="00E80A17" w:rsidRDefault="00794C29" w:rsidP="00794C29">
      <w:pPr>
        <w:numPr>
          <w:ilvl w:val="0"/>
          <w:numId w:val="2"/>
        </w:numPr>
        <w:rPr>
          <w:bCs/>
        </w:rPr>
      </w:pPr>
      <w:r w:rsidRPr="00E80A17">
        <w:rPr>
          <w:bCs/>
        </w:rPr>
        <w:t>posebni dio proračuna po organizacijskoj i programskoj klasifikaciji te razini odjeljka ekonomske klasifikacije</w:t>
      </w:r>
    </w:p>
    <w:p w14:paraId="116FD853" w14:textId="77777777" w:rsidR="00794C29" w:rsidRPr="00E80A17" w:rsidRDefault="00794C29" w:rsidP="00794C29">
      <w:pPr>
        <w:numPr>
          <w:ilvl w:val="0"/>
          <w:numId w:val="2"/>
        </w:numPr>
        <w:rPr>
          <w:bCs/>
        </w:rPr>
      </w:pPr>
      <w:r w:rsidRPr="00E80A17">
        <w:rPr>
          <w:bCs/>
        </w:rPr>
        <w:t>izvještaj o zaduživanju na domaćem i stranom tržištu novca i kapitala</w:t>
      </w:r>
    </w:p>
    <w:p w14:paraId="0ACA9710" w14:textId="77777777" w:rsidR="00794C29" w:rsidRPr="00E80A17" w:rsidRDefault="00794C29" w:rsidP="00794C29">
      <w:pPr>
        <w:numPr>
          <w:ilvl w:val="0"/>
          <w:numId w:val="2"/>
        </w:numPr>
        <w:rPr>
          <w:bCs/>
        </w:rPr>
      </w:pPr>
      <w:r w:rsidRPr="00E80A17">
        <w:rPr>
          <w:bCs/>
        </w:rPr>
        <w:t>izvještaj o korištenju proračunske zalihe</w:t>
      </w:r>
    </w:p>
    <w:p w14:paraId="1911E90D" w14:textId="77777777" w:rsidR="00794C29" w:rsidRPr="00E80A17" w:rsidRDefault="00794C29" w:rsidP="00794C29">
      <w:pPr>
        <w:numPr>
          <w:ilvl w:val="0"/>
          <w:numId w:val="2"/>
        </w:numPr>
        <w:rPr>
          <w:bCs/>
        </w:rPr>
      </w:pPr>
      <w:r w:rsidRPr="00E80A17">
        <w:rPr>
          <w:bCs/>
        </w:rPr>
        <w:t>izvještaj o danim državnim jamstvima i izdacima po državnim jamstvima</w:t>
      </w:r>
    </w:p>
    <w:p w14:paraId="5F265FF4" w14:textId="77777777" w:rsidR="00794C29" w:rsidRPr="00E80A17" w:rsidRDefault="00794C29" w:rsidP="00794C29">
      <w:pPr>
        <w:numPr>
          <w:ilvl w:val="0"/>
          <w:numId w:val="2"/>
        </w:numPr>
        <w:rPr>
          <w:bCs/>
        </w:rPr>
      </w:pPr>
      <w:r w:rsidRPr="00E80A17">
        <w:rPr>
          <w:bCs/>
        </w:rPr>
        <w:t>obrazloženje ostvarenja prihoda i primitaka, rashoda i izdataka.</w:t>
      </w:r>
    </w:p>
    <w:p w14:paraId="2922B7A1" w14:textId="77777777" w:rsidR="00C462A3" w:rsidRPr="00D97BCF" w:rsidRDefault="00C462A3" w:rsidP="00C462A3">
      <w:pPr>
        <w:ind w:firstLine="360"/>
      </w:pPr>
      <w:r w:rsidRPr="00D97BCF">
        <w:t>Gradsko vijeće Grada Buja – Buie je za 2022. godinu donijelo slijedeće financijsko planske dokumente:</w:t>
      </w:r>
    </w:p>
    <w:p w14:paraId="33EB6119" w14:textId="77777777" w:rsidR="00C462A3" w:rsidRPr="00D97BCF" w:rsidRDefault="00C462A3" w:rsidP="00C462A3">
      <w:pPr>
        <w:numPr>
          <w:ilvl w:val="0"/>
          <w:numId w:val="1"/>
        </w:numPr>
      </w:pPr>
      <w:r w:rsidRPr="00D97BCF">
        <w:t xml:space="preserve">Proračun Grada Buja - Buie za 2022. godinu u iznosu od 43.508.464,79 kuna i </w:t>
      </w:r>
    </w:p>
    <w:p w14:paraId="67F8CC1A" w14:textId="77777777" w:rsidR="00C462A3" w:rsidRPr="00D97BCF" w:rsidRDefault="00C462A3" w:rsidP="00C462A3">
      <w:pPr>
        <w:numPr>
          <w:ilvl w:val="0"/>
          <w:numId w:val="1"/>
        </w:numPr>
      </w:pPr>
      <w:r w:rsidRPr="00D97BCF">
        <w:t>Odluk</w:t>
      </w:r>
      <w:r>
        <w:t>u</w:t>
      </w:r>
      <w:r w:rsidRPr="00D97BCF">
        <w:t xml:space="preserve"> o izvršavanju Proračuna Grada Buja – Buie za 2022. godinu </w:t>
      </w:r>
    </w:p>
    <w:p w14:paraId="4EBB0159" w14:textId="3F6E8DDB" w:rsidR="00C462A3" w:rsidRPr="00D97BCF" w:rsidRDefault="00C462A3" w:rsidP="00C462A3">
      <w:r w:rsidRPr="00D97BCF">
        <w:t xml:space="preserve">koji su doneseni na sjednici od 30. studenog 2021. godine, a objavljeni su u </w:t>
      </w:r>
      <w:r>
        <w:t>„</w:t>
      </w:r>
      <w:r w:rsidRPr="00D97BCF">
        <w:t>Službenim novinama Grada Buja</w:t>
      </w:r>
      <w:r>
        <w:t>“</w:t>
      </w:r>
      <w:r w:rsidRPr="00D97BCF">
        <w:t xml:space="preserve"> broj 15/21 od 02. prosinca 2021. godine</w:t>
      </w:r>
      <w:r>
        <w:t>,</w:t>
      </w:r>
    </w:p>
    <w:p w14:paraId="772F8F7E" w14:textId="77777777" w:rsidR="00C462A3" w:rsidRPr="00D97BCF" w:rsidRDefault="00C462A3" w:rsidP="00C462A3">
      <w:pPr>
        <w:numPr>
          <w:ilvl w:val="0"/>
          <w:numId w:val="1"/>
        </w:numPr>
      </w:pPr>
      <w:r w:rsidRPr="00D97BCF">
        <w:t xml:space="preserve">Prve izmjene i dopune proračuna Grada Buja - Buie za 2022. godinu u iznosu od 53.064.205,74 kuna i </w:t>
      </w:r>
    </w:p>
    <w:p w14:paraId="76A0BEA5" w14:textId="2F565BF2" w:rsidR="00C462A3" w:rsidRPr="00D97BCF" w:rsidRDefault="00C462A3" w:rsidP="00C462A3">
      <w:pPr>
        <w:numPr>
          <w:ilvl w:val="0"/>
          <w:numId w:val="1"/>
        </w:numPr>
      </w:pPr>
      <w:r w:rsidRPr="00D97BCF">
        <w:t xml:space="preserve">Izmjene i dopune </w:t>
      </w:r>
      <w:r w:rsidR="00E252AF">
        <w:t>O</w:t>
      </w:r>
      <w:r w:rsidRPr="00D97BCF">
        <w:t xml:space="preserve">dluke o izvršavanju Proračuna Grada Buja – Buie za 2022. godinu </w:t>
      </w:r>
    </w:p>
    <w:p w14:paraId="0FBEB31C" w14:textId="7F33C316" w:rsidR="00C462A3" w:rsidRPr="00D97BCF" w:rsidRDefault="00C462A3" w:rsidP="00C462A3">
      <w:r w:rsidRPr="00D97BCF">
        <w:t xml:space="preserve">koji su doneseni na sjednici od 29. srpnja 2022. godine, a objavljeni su u </w:t>
      </w:r>
      <w:r>
        <w:t>„</w:t>
      </w:r>
      <w:r w:rsidRPr="00D97BCF">
        <w:t>Službenim novinama Grada Buja</w:t>
      </w:r>
      <w:r>
        <w:t>“</w:t>
      </w:r>
      <w:r w:rsidRPr="00D97BCF">
        <w:t xml:space="preserve"> broj 11/22 od 01. kolovoza 2022. godine</w:t>
      </w:r>
      <w:r>
        <w:t xml:space="preserve"> te</w:t>
      </w:r>
    </w:p>
    <w:p w14:paraId="21E9F3B1" w14:textId="77777777" w:rsidR="00C462A3" w:rsidRPr="00D97BCF" w:rsidRDefault="00C462A3" w:rsidP="00C462A3">
      <w:pPr>
        <w:numPr>
          <w:ilvl w:val="0"/>
          <w:numId w:val="1"/>
        </w:numPr>
      </w:pPr>
      <w:r w:rsidRPr="00D97BCF">
        <w:t xml:space="preserve">Druge izmjene i dopune proračuna Grada Buja - Buie za 2022. godinu u iznosu od 41.135.987,25 kuna </w:t>
      </w:r>
    </w:p>
    <w:p w14:paraId="2736A1D2" w14:textId="3541EB44" w:rsidR="00C462A3" w:rsidRPr="00D97BCF" w:rsidRDefault="00C462A3" w:rsidP="00C462A3">
      <w:r w:rsidRPr="00D97BCF">
        <w:t xml:space="preserve">koje su donesene na sjednici od 20. prosinca 2022. godine, a objavljene su u </w:t>
      </w:r>
      <w:r>
        <w:t>„</w:t>
      </w:r>
      <w:r w:rsidRPr="00D97BCF">
        <w:t>Službenim novinama Grada Buja</w:t>
      </w:r>
      <w:r>
        <w:t>“</w:t>
      </w:r>
      <w:r w:rsidRPr="00D97BCF">
        <w:t xml:space="preserve"> broj 18/22 od 21. prosinca 2022. godine.</w:t>
      </w:r>
    </w:p>
    <w:p w14:paraId="75BF3170" w14:textId="33008BE8" w:rsidR="00A77CB2" w:rsidRPr="00E80A17" w:rsidRDefault="00A77CB2" w:rsidP="00C462A3">
      <w:pPr>
        <w:ind w:firstLine="708"/>
      </w:pPr>
      <w:r w:rsidRPr="00E80A17">
        <w:t xml:space="preserve">Grad Buje - Buie ima tri proračunska korisnika: Dječji vrtić Buje, Talijanski dječji vrtić Mrvica i Pučko otvoreno učilište Buje koji su upisani u Registar proračunskih i izvanproračunskih korisnika. </w:t>
      </w:r>
      <w:r w:rsidR="00E252AF">
        <w:t>Prema</w:t>
      </w:r>
      <w:r w:rsidRPr="00E80A17">
        <w:t xml:space="preserve"> odredbama Zakona o proračunu Vijeće talijanske nacionalne manjine Grada Buja i mjesni odbori također imaju status proračunskih korisnika Grada.</w:t>
      </w:r>
    </w:p>
    <w:p w14:paraId="064C47FF" w14:textId="3CEB72FC" w:rsidR="007C1AEF" w:rsidRPr="00E80A17" w:rsidRDefault="007C1AEF" w:rsidP="00C462A3">
      <w:pPr>
        <w:ind w:firstLine="708"/>
      </w:pPr>
      <w:r>
        <w:t>U Proračunu Grada Buja – Buie za 202</w:t>
      </w:r>
      <w:r w:rsidR="008A6231">
        <w:t>2</w:t>
      </w:r>
      <w:r>
        <w:t xml:space="preserve">. godinu planirani su proračunski prihodi i rashodi te vlastiti i namjenski prihodi svih proračunskih korisnika Grada </w:t>
      </w:r>
      <w:r w:rsidR="000B08DA">
        <w:t>kao i</w:t>
      </w:r>
      <w:r>
        <w:t xml:space="preserve"> rashodi koji se iz njih financiraju.</w:t>
      </w:r>
    </w:p>
    <w:p w14:paraId="3772C4A0" w14:textId="1891089F" w:rsidR="00A77CB2" w:rsidRDefault="00A3317D" w:rsidP="00C462A3">
      <w:pPr>
        <w:ind w:firstLine="708"/>
        <w:rPr>
          <w:bCs/>
        </w:rPr>
      </w:pPr>
      <w:r w:rsidRPr="00E80A17">
        <w:rPr>
          <w:bCs/>
        </w:rPr>
        <w:t>Prema odredbama Pravilnika o polugodišnjem i godišnjem izvještaju o izvršenju proračuna, izvorni</w:t>
      </w:r>
      <w:r w:rsidR="00367007">
        <w:rPr>
          <w:bCs/>
        </w:rPr>
        <w:t>m</w:t>
      </w:r>
      <w:r w:rsidRPr="00E80A17">
        <w:rPr>
          <w:bCs/>
        </w:rPr>
        <w:t xml:space="preserve"> plan</w:t>
      </w:r>
      <w:r w:rsidR="00367007">
        <w:rPr>
          <w:bCs/>
        </w:rPr>
        <w:t>om</w:t>
      </w:r>
      <w:r w:rsidRPr="00E80A17">
        <w:rPr>
          <w:bCs/>
        </w:rPr>
        <w:t xml:space="preserve"> </w:t>
      </w:r>
      <w:r w:rsidR="00367007">
        <w:rPr>
          <w:bCs/>
        </w:rPr>
        <w:t>smatra se</w:t>
      </w:r>
      <w:r w:rsidRPr="00E80A17">
        <w:rPr>
          <w:bCs/>
        </w:rPr>
        <w:t xml:space="preserve"> proračun odnosno posljednje izmjene i dopune proračuna donesene od strane predstavničkog tijela. Tekući plan je proračun odnosno posljednje izmjene i dopune proračuna s uključenim naknadno izvršenim preraspodjelama.</w:t>
      </w:r>
    </w:p>
    <w:p w14:paraId="48EDF070" w14:textId="5A9EC8FA" w:rsidR="00B5386F" w:rsidRPr="00E80A17" w:rsidRDefault="00B44189" w:rsidP="00C462A3">
      <w:r>
        <w:rPr>
          <w:bCs/>
        </w:rPr>
        <w:t>Preraspodjel</w:t>
      </w:r>
      <w:r w:rsidR="00367007">
        <w:rPr>
          <w:bCs/>
        </w:rPr>
        <w:t>e</w:t>
      </w:r>
      <w:r>
        <w:rPr>
          <w:bCs/>
        </w:rPr>
        <w:t xml:space="preserve"> sredstava planiranih u Proračun</w:t>
      </w:r>
      <w:r w:rsidR="00785252">
        <w:rPr>
          <w:bCs/>
        </w:rPr>
        <w:t>u</w:t>
      </w:r>
      <w:r>
        <w:rPr>
          <w:bCs/>
        </w:rPr>
        <w:t xml:space="preserve"> nije bilo te je</w:t>
      </w:r>
      <w:r w:rsidR="00A348F2">
        <w:rPr>
          <w:bCs/>
        </w:rPr>
        <w:t xml:space="preserve"> tekući plan jednak izvornom planu </w:t>
      </w:r>
      <w:r w:rsidR="00367007">
        <w:rPr>
          <w:bCs/>
        </w:rPr>
        <w:t xml:space="preserve">odnosno </w:t>
      </w:r>
      <w:r w:rsidR="00C462A3">
        <w:rPr>
          <w:bCs/>
        </w:rPr>
        <w:t xml:space="preserve">Drugim izmjenama i dopunama </w:t>
      </w:r>
      <w:r w:rsidR="00A3317D" w:rsidRPr="00E80A17">
        <w:rPr>
          <w:bCs/>
        </w:rPr>
        <w:t>Proračun</w:t>
      </w:r>
      <w:r w:rsidR="00367007">
        <w:rPr>
          <w:bCs/>
        </w:rPr>
        <w:t>u</w:t>
      </w:r>
      <w:r w:rsidR="00A3317D" w:rsidRPr="00E80A17">
        <w:rPr>
          <w:bCs/>
        </w:rPr>
        <w:t xml:space="preserve"> Grada Buja – Buie za 20</w:t>
      </w:r>
      <w:r w:rsidR="00E77AA8">
        <w:rPr>
          <w:bCs/>
        </w:rPr>
        <w:t>2</w:t>
      </w:r>
      <w:r w:rsidR="00F51756">
        <w:rPr>
          <w:bCs/>
        </w:rPr>
        <w:t>2</w:t>
      </w:r>
      <w:r w:rsidR="00A3317D" w:rsidRPr="00E80A17">
        <w:rPr>
          <w:bCs/>
        </w:rPr>
        <w:t>. godinu.</w:t>
      </w:r>
    </w:p>
    <w:p w14:paraId="6B2DC902" w14:textId="77777777" w:rsidR="00B5386F" w:rsidRPr="00E80A17" w:rsidRDefault="00B5386F">
      <w:pPr>
        <w:rPr>
          <w:b/>
          <w:bCs/>
          <w:sz w:val="20"/>
          <w:szCs w:val="20"/>
        </w:rPr>
        <w:sectPr w:rsidR="00B5386F" w:rsidRPr="00E80A17" w:rsidSect="00F32016">
          <w:footerReference w:type="default" r:id="rId10"/>
          <w:pgSz w:w="11906" w:h="16838"/>
          <w:pgMar w:top="1417" w:right="1417" w:bottom="1417" w:left="1417" w:header="708" w:footer="708" w:gutter="0"/>
          <w:pgNumType w:start="1"/>
          <w:cols w:space="708"/>
          <w:docGrid w:linePitch="360"/>
        </w:sectPr>
      </w:pPr>
    </w:p>
    <w:p w14:paraId="56854723" w14:textId="5BB8F5BA" w:rsidR="00C9381F" w:rsidRDefault="007C2D97" w:rsidP="00F22C87">
      <w:pPr>
        <w:pStyle w:val="Naslov1"/>
        <w:numPr>
          <w:ilvl w:val="0"/>
          <w:numId w:val="22"/>
        </w:numPr>
        <w:rPr>
          <w:rFonts w:ascii="Times New Roman" w:hAnsi="Times New Roman"/>
          <w:sz w:val="24"/>
          <w:szCs w:val="24"/>
        </w:rPr>
      </w:pPr>
      <w:bookmarkStart w:id="4" w:name="_Toc133398660"/>
      <w:r>
        <w:rPr>
          <w:rFonts w:ascii="Times New Roman" w:hAnsi="Times New Roman"/>
          <w:sz w:val="24"/>
          <w:szCs w:val="24"/>
        </w:rPr>
        <w:lastRenderedPageBreak/>
        <w:t>OPĆI DIO</w:t>
      </w:r>
      <w:r w:rsidR="00F22C87">
        <w:rPr>
          <w:rFonts w:ascii="Times New Roman" w:hAnsi="Times New Roman"/>
          <w:sz w:val="24"/>
          <w:szCs w:val="24"/>
        </w:rPr>
        <w:t xml:space="preserve"> PRORAČUNA</w:t>
      </w:r>
      <w:bookmarkEnd w:id="4"/>
    </w:p>
    <w:p w14:paraId="61B990AE" w14:textId="77777777" w:rsidR="00BF738A" w:rsidRPr="00BF738A" w:rsidRDefault="00BF738A" w:rsidP="00BF738A"/>
    <w:p w14:paraId="482B053E" w14:textId="77777777" w:rsidR="00BF738A" w:rsidRPr="00953AE7" w:rsidRDefault="00BF738A" w:rsidP="00953AE7">
      <w:pPr>
        <w:pStyle w:val="Subtitle1"/>
        <w:rPr>
          <w:rFonts w:ascii="Times New Roman" w:hAnsi="Times New Roman"/>
          <w:sz w:val="20"/>
          <w:szCs w:val="20"/>
        </w:rPr>
      </w:pPr>
      <w:bookmarkStart w:id="5" w:name="_Toc133398661"/>
      <w:r w:rsidRPr="00953AE7">
        <w:rPr>
          <w:rFonts w:ascii="Times New Roman" w:hAnsi="Times New Roman"/>
          <w:sz w:val="20"/>
          <w:szCs w:val="20"/>
        </w:rPr>
        <w:t>SAŽETAK A. RAČUNA PRIHODA I RASHODA, B. RAČUNA FINANCIRANJA I RASPOLOŽIVA SREDSTAVA IZ PRETHODNIH GODINA</w:t>
      </w:r>
      <w:bookmarkEnd w:id="5"/>
    </w:p>
    <w:p w14:paraId="470D46C5" w14:textId="77777777" w:rsidR="00BF738A" w:rsidRPr="00BF738A" w:rsidRDefault="00BF738A" w:rsidP="00BF738A"/>
    <w:tbl>
      <w:tblPr>
        <w:tblW w:w="14111" w:type="dxa"/>
        <w:tblLook w:val="04A0" w:firstRow="1" w:lastRow="0" w:firstColumn="1" w:lastColumn="0" w:noHBand="0" w:noVBand="1"/>
      </w:tblPr>
      <w:tblGrid>
        <w:gridCol w:w="316"/>
        <w:gridCol w:w="6772"/>
        <w:gridCol w:w="1420"/>
        <w:gridCol w:w="1503"/>
        <w:gridCol w:w="1440"/>
        <w:gridCol w:w="1420"/>
        <w:gridCol w:w="1240"/>
      </w:tblGrid>
      <w:tr w:rsidR="00614F0A" w:rsidRPr="00614F0A" w14:paraId="6C19B4FD" w14:textId="77777777" w:rsidTr="00614F0A">
        <w:trPr>
          <w:trHeight w:val="300"/>
        </w:trPr>
        <w:tc>
          <w:tcPr>
            <w:tcW w:w="7088" w:type="dxa"/>
            <w:gridSpan w:val="2"/>
            <w:tcBorders>
              <w:top w:val="nil"/>
              <w:left w:val="nil"/>
              <w:bottom w:val="nil"/>
              <w:right w:val="nil"/>
            </w:tcBorders>
            <w:shd w:val="clear" w:color="auto" w:fill="auto"/>
            <w:noWrap/>
            <w:vAlign w:val="bottom"/>
            <w:hideMark/>
          </w:tcPr>
          <w:p w14:paraId="11E14BF5" w14:textId="77777777" w:rsidR="00614F0A" w:rsidRPr="00614F0A" w:rsidRDefault="00614F0A">
            <w:pPr>
              <w:rPr>
                <w:b/>
                <w:bCs/>
                <w:sz w:val="20"/>
                <w:szCs w:val="20"/>
              </w:rPr>
            </w:pPr>
            <w:r w:rsidRPr="00614F0A">
              <w:rPr>
                <w:b/>
                <w:bCs/>
                <w:sz w:val="20"/>
                <w:szCs w:val="20"/>
              </w:rPr>
              <w:t>A. RAČUN PRIHODA I RASHODA</w:t>
            </w:r>
          </w:p>
        </w:tc>
        <w:tc>
          <w:tcPr>
            <w:tcW w:w="1420" w:type="dxa"/>
            <w:tcBorders>
              <w:top w:val="nil"/>
              <w:left w:val="nil"/>
              <w:bottom w:val="nil"/>
              <w:right w:val="nil"/>
            </w:tcBorders>
            <w:shd w:val="clear" w:color="auto" w:fill="auto"/>
            <w:noWrap/>
            <w:vAlign w:val="bottom"/>
            <w:hideMark/>
          </w:tcPr>
          <w:p w14:paraId="0B2BBD6A" w14:textId="77777777" w:rsidR="00614F0A" w:rsidRPr="00614F0A" w:rsidRDefault="00614F0A">
            <w:pPr>
              <w:rPr>
                <w:b/>
                <w:bCs/>
                <w:sz w:val="20"/>
                <w:szCs w:val="20"/>
              </w:rPr>
            </w:pPr>
          </w:p>
        </w:tc>
        <w:tc>
          <w:tcPr>
            <w:tcW w:w="1503" w:type="dxa"/>
            <w:tcBorders>
              <w:top w:val="nil"/>
              <w:left w:val="nil"/>
              <w:bottom w:val="nil"/>
              <w:right w:val="nil"/>
            </w:tcBorders>
            <w:shd w:val="clear" w:color="auto" w:fill="auto"/>
            <w:noWrap/>
            <w:vAlign w:val="bottom"/>
            <w:hideMark/>
          </w:tcPr>
          <w:p w14:paraId="280E42F5" w14:textId="77777777" w:rsidR="00614F0A" w:rsidRPr="00614F0A" w:rsidRDefault="00614F0A">
            <w:pPr>
              <w:rPr>
                <w:sz w:val="20"/>
                <w:szCs w:val="20"/>
              </w:rPr>
            </w:pPr>
          </w:p>
        </w:tc>
        <w:tc>
          <w:tcPr>
            <w:tcW w:w="1440" w:type="dxa"/>
            <w:tcBorders>
              <w:top w:val="nil"/>
              <w:left w:val="nil"/>
              <w:bottom w:val="nil"/>
              <w:right w:val="nil"/>
            </w:tcBorders>
            <w:shd w:val="clear" w:color="auto" w:fill="auto"/>
            <w:noWrap/>
            <w:vAlign w:val="bottom"/>
            <w:hideMark/>
          </w:tcPr>
          <w:p w14:paraId="462B745D" w14:textId="77777777" w:rsidR="00614F0A" w:rsidRPr="00614F0A" w:rsidRDefault="00614F0A">
            <w:pPr>
              <w:rPr>
                <w:sz w:val="20"/>
                <w:szCs w:val="20"/>
              </w:rPr>
            </w:pPr>
          </w:p>
        </w:tc>
        <w:tc>
          <w:tcPr>
            <w:tcW w:w="1420" w:type="dxa"/>
            <w:tcBorders>
              <w:top w:val="nil"/>
              <w:left w:val="nil"/>
              <w:bottom w:val="nil"/>
              <w:right w:val="nil"/>
            </w:tcBorders>
            <w:shd w:val="clear" w:color="auto" w:fill="auto"/>
            <w:noWrap/>
            <w:vAlign w:val="bottom"/>
            <w:hideMark/>
          </w:tcPr>
          <w:p w14:paraId="0C1BF8F1" w14:textId="77777777" w:rsidR="00614F0A" w:rsidRPr="00614F0A" w:rsidRDefault="00614F0A">
            <w:pPr>
              <w:rPr>
                <w:sz w:val="20"/>
                <w:szCs w:val="20"/>
              </w:rPr>
            </w:pPr>
          </w:p>
        </w:tc>
        <w:tc>
          <w:tcPr>
            <w:tcW w:w="1240" w:type="dxa"/>
            <w:tcBorders>
              <w:top w:val="nil"/>
              <w:left w:val="nil"/>
              <w:bottom w:val="nil"/>
              <w:right w:val="nil"/>
            </w:tcBorders>
            <w:shd w:val="clear" w:color="auto" w:fill="auto"/>
            <w:noWrap/>
            <w:vAlign w:val="bottom"/>
            <w:hideMark/>
          </w:tcPr>
          <w:p w14:paraId="2829F145" w14:textId="77777777" w:rsidR="00614F0A" w:rsidRPr="00614F0A" w:rsidRDefault="00614F0A">
            <w:pPr>
              <w:rPr>
                <w:sz w:val="20"/>
                <w:szCs w:val="20"/>
              </w:rPr>
            </w:pPr>
          </w:p>
        </w:tc>
      </w:tr>
      <w:tr w:rsidR="00614F0A" w:rsidRPr="00614F0A" w14:paraId="180AA463" w14:textId="77777777" w:rsidTr="00614F0A">
        <w:trPr>
          <w:trHeight w:val="300"/>
        </w:trPr>
        <w:tc>
          <w:tcPr>
            <w:tcW w:w="7088" w:type="dxa"/>
            <w:gridSpan w:val="2"/>
            <w:tcBorders>
              <w:top w:val="single" w:sz="4" w:space="0" w:color="auto"/>
              <w:left w:val="nil"/>
              <w:bottom w:val="nil"/>
              <w:right w:val="nil"/>
            </w:tcBorders>
            <w:shd w:val="clear" w:color="auto" w:fill="auto"/>
            <w:noWrap/>
            <w:vAlign w:val="bottom"/>
            <w:hideMark/>
          </w:tcPr>
          <w:p w14:paraId="31412E58" w14:textId="77777777" w:rsidR="00614F0A" w:rsidRPr="00614F0A" w:rsidRDefault="00614F0A">
            <w:pPr>
              <w:rPr>
                <w:b/>
                <w:bCs/>
                <w:sz w:val="20"/>
                <w:szCs w:val="20"/>
              </w:rPr>
            </w:pPr>
            <w:r w:rsidRPr="00614F0A">
              <w:rPr>
                <w:b/>
                <w:bCs/>
                <w:sz w:val="20"/>
                <w:szCs w:val="20"/>
              </w:rPr>
              <w:t xml:space="preserve">BROJČANA OZNAKA I NAZIV </w:t>
            </w:r>
          </w:p>
        </w:tc>
        <w:tc>
          <w:tcPr>
            <w:tcW w:w="1420" w:type="dxa"/>
            <w:tcBorders>
              <w:top w:val="single" w:sz="4" w:space="0" w:color="auto"/>
              <w:left w:val="nil"/>
              <w:bottom w:val="nil"/>
              <w:right w:val="nil"/>
            </w:tcBorders>
            <w:shd w:val="clear" w:color="auto" w:fill="auto"/>
            <w:noWrap/>
            <w:vAlign w:val="bottom"/>
            <w:hideMark/>
          </w:tcPr>
          <w:p w14:paraId="2C9BB71E" w14:textId="77777777" w:rsidR="00614F0A" w:rsidRPr="00614F0A" w:rsidRDefault="00614F0A">
            <w:pPr>
              <w:jc w:val="center"/>
              <w:rPr>
                <w:b/>
                <w:bCs/>
                <w:sz w:val="20"/>
                <w:szCs w:val="20"/>
              </w:rPr>
            </w:pPr>
            <w:r w:rsidRPr="00614F0A">
              <w:rPr>
                <w:b/>
                <w:bCs/>
                <w:sz w:val="20"/>
                <w:szCs w:val="20"/>
              </w:rPr>
              <w:t xml:space="preserve">IZVRŠENJE </w:t>
            </w:r>
          </w:p>
        </w:tc>
        <w:tc>
          <w:tcPr>
            <w:tcW w:w="1503" w:type="dxa"/>
            <w:tcBorders>
              <w:top w:val="single" w:sz="4" w:space="0" w:color="auto"/>
              <w:left w:val="nil"/>
              <w:bottom w:val="nil"/>
              <w:right w:val="nil"/>
            </w:tcBorders>
            <w:shd w:val="clear" w:color="auto" w:fill="auto"/>
            <w:noWrap/>
            <w:vAlign w:val="bottom"/>
            <w:hideMark/>
          </w:tcPr>
          <w:p w14:paraId="6CCCC8DF" w14:textId="77777777" w:rsidR="00614F0A" w:rsidRPr="00614F0A" w:rsidRDefault="00614F0A">
            <w:pPr>
              <w:jc w:val="center"/>
              <w:rPr>
                <w:b/>
                <w:bCs/>
                <w:sz w:val="20"/>
                <w:szCs w:val="20"/>
              </w:rPr>
            </w:pPr>
            <w:r w:rsidRPr="00614F0A">
              <w:rPr>
                <w:b/>
                <w:bCs/>
                <w:sz w:val="20"/>
                <w:szCs w:val="20"/>
              </w:rPr>
              <w:t>IZVORNI PLAN</w:t>
            </w:r>
          </w:p>
        </w:tc>
        <w:tc>
          <w:tcPr>
            <w:tcW w:w="1440" w:type="dxa"/>
            <w:tcBorders>
              <w:top w:val="single" w:sz="4" w:space="0" w:color="auto"/>
              <w:left w:val="nil"/>
              <w:bottom w:val="nil"/>
              <w:right w:val="nil"/>
            </w:tcBorders>
            <w:shd w:val="clear" w:color="auto" w:fill="auto"/>
            <w:noWrap/>
            <w:vAlign w:val="bottom"/>
            <w:hideMark/>
          </w:tcPr>
          <w:p w14:paraId="0742FE17" w14:textId="77777777" w:rsidR="00614F0A" w:rsidRPr="00614F0A" w:rsidRDefault="00614F0A">
            <w:pPr>
              <w:jc w:val="center"/>
              <w:rPr>
                <w:b/>
                <w:bCs/>
                <w:sz w:val="20"/>
                <w:szCs w:val="20"/>
              </w:rPr>
            </w:pPr>
            <w:r w:rsidRPr="00614F0A">
              <w:rPr>
                <w:b/>
                <w:bCs/>
                <w:sz w:val="20"/>
                <w:szCs w:val="20"/>
              </w:rPr>
              <w:t xml:space="preserve">IZVRŠENJE </w:t>
            </w:r>
          </w:p>
        </w:tc>
        <w:tc>
          <w:tcPr>
            <w:tcW w:w="1420" w:type="dxa"/>
            <w:tcBorders>
              <w:top w:val="single" w:sz="4" w:space="0" w:color="auto"/>
              <w:left w:val="nil"/>
              <w:bottom w:val="nil"/>
              <w:right w:val="nil"/>
            </w:tcBorders>
            <w:shd w:val="clear" w:color="auto" w:fill="auto"/>
            <w:noWrap/>
            <w:vAlign w:val="bottom"/>
            <w:hideMark/>
          </w:tcPr>
          <w:p w14:paraId="301A5B33" w14:textId="77777777" w:rsidR="00614F0A" w:rsidRPr="00614F0A" w:rsidRDefault="00614F0A">
            <w:pPr>
              <w:jc w:val="center"/>
              <w:rPr>
                <w:b/>
                <w:bCs/>
                <w:sz w:val="20"/>
                <w:szCs w:val="20"/>
              </w:rPr>
            </w:pPr>
            <w:r w:rsidRPr="00614F0A">
              <w:rPr>
                <w:b/>
                <w:bCs/>
                <w:sz w:val="20"/>
                <w:szCs w:val="20"/>
              </w:rPr>
              <w:t>INDEKS</w:t>
            </w:r>
          </w:p>
        </w:tc>
        <w:tc>
          <w:tcPr>
            <w:tcW w:w="1240" w:type="dxa"/>
            <w:tcBorders>
              <w:top w:val="single" w:sz="4" w:space="0" w:color="auto"/>
              <w:left w:val="nil"/>
              <w:bottom w:val="nil"/>
              <w:right w:val="nil"/>
            </w:tcBorders>
            <w:shd w:val="clear" w:color="auto" w:fill="auto"/>
            <w:noWrap/>
            <w:vAlign w:val="bottom"/>
            <w:hideMark/>
          </w:tcPr>
          <w:p w14:paraId="7E2978C2" w14:textId="77777777" w:rsidR="00614F0A" w:rsidRPr="00614F0A" w:rsidRDefault="00614F0A">
            <w:pPr>
              <w:jc w:val="center"/>
              <w:rPr>
                <w:b/>
                <w:bCs/>
                <w:sz w:val="20"/>
                <w:szCs w:val="20"/>
              </w:rPr>
            </w:pPr>
            <w:r w:rsidRPr="00614F0A">
              <w:rPr>
                <w:b/>
                <w:bCs/>
                <w:sz w:val="20"/>
                <w:szCs w:val="20"/>
              </w:rPr>
              <w:t>INDEKS</w:t>
            </w:r>
          </w:p>
        </w:tc>
      </w:tr>
      <w:tr w:rsidR="00614F0A" w:rsidRPr="00614F0A" w14:paraId="52A1B7A5" w14:textId="77777777" w:rsidTr="00614F0A">
        <w:trPr>
          <w:trHeight w:val="300"/>
        </w:trPr>
        <w:tc>
          <w:tcPr>
            <w:tcW w:w="316" w:type="dxa"/>
            <w:tcBorders>
              <w:top w:val="nil"/>
              <w:left w:val="nil"/>
              <w:bottom w:val="single" w:sz="4" w:space="0" w:color="auto"/>
              <w:right w:val="nil"/>
            </w:tcBorders>
            <w:shd w:val="clear" w:color="auto" w:fill="auto"/>
            <w:noWrap/>
            <w:vAlign w:val="bottom"/>
            <w:hideMark/>
          </w:tcPr>
          <w:p w14:paraId="6B5131D2" w14:textId="77777777" w:rsidR="00614F0A" w:rsidRPr="00614F0A" w:rsidRDefault="00614F0A">
            <w:pPr>
              <w:rPr>
                <w:b/>
                <w:bCs/>
                <w:sz w:val="20"/>
                <w:szCs w:val="20"/>
              </w:rPr>
            </w:pPr>
            <w:r w:rsidRPr="00614F0A">
              <w:rPr>
                <w:b/>
                <w:bCs/>
                <w:sz w:val="20"/>
                <w:szCs w:val="20"/>
              </w:rPr>
              <w:t> </w:t>
            </w:r>
          </w:p>
        </w:tc>
        <w:tc>
          <w:tcPr>
            <w:tcW w:w="6772" w:type="dxa"/>
            <w:tcBorders>
              <w:top w:val="nil"/>
              <w:left w:val="nil"/>
              <w:bottom w:val="single" w:sz="4" w:space="0" w:color="auto"/>
              <w:right w:val="nil"/>
            </w:tcBorders>
            <w:shd w:val="clear" w:color="auto" w:fill="auto"/>
            <w:noWrap/>
            <w:vAlign w:val="bottom"/>
            <w:hideMark/>
          </w:tcPr>
          <w:p w14:paraId="24F1268C" w14:textId="77777777" w:rsidR="00614F0A" w:rsidRPr="00614F0A" w:rsidRDefault="00614F0A">
            <w:pPr>
              <w:rPr>
                <w:b/>
                <w:bCs/>
                <w:sz w:val="20"/>
                <w:szCs w:val="20"/>
              </w:rPr>
            </w:pPr>
            <w:r w:rsidRPr="00614F0A">
              <w:rPr>
                <w:b/>
                <w:bCs/>
                <w:sz w:val="20"/>
                <w:szCs w:val="20"/>
              </w:rPr>
              <w:t> </w:t>
            </w:r>
          </w:p>
        </w:tc>
        <w:tc>
          <w:tcPr>
            <w:tcW w:w="1420" w:type="dxa"/>
            <w:tcBorders>
              <w:top w:val="nil"/>
              <w:left w:val="nil"/>
              <w:bottom w:val="single" w:sz="4" w:space="0" w:color="auto"/>
              <w:right w:val="nil"/>
            </w:tcBorders>
            <w:shd w:val="clear" w:color="auto" w:fill="auto"/>
            <w:noWrap/>
            <w:vAlign w:val="bottom"/>
            <w:hideMark/>
          </w:tcPr>
          <w:p w14:paraId="52609A02" w14:textId="2F25062A" w:rsidR="00614F0A" w:rsidRPr="00614F0A" w:rsidRDefault="00614F0A">
            <w:pPr>
              <w:jc w:val="center"/>
              <w:rPr>
                <w:b/>
                <w:bCs/>
                <w:sz w:val="20"/>
                <w:szCs w:val="20"/>
              </w:rPr>
            </w:pPr>
            <w:r w:rsidRPr="00614F0A">
              <w:rPr>
                <w:b/>
                <w:bCs/>
                <w:sz w:val="20"/>
                <w:szCs w:val="20"/>
              </w:rPr>
              <w:t>2021</w:t>
            </w:r>
            <w:r w:rsidR="00537543">
              <w:rPr>
                <w:b/>
                <w:bCs/>
                <w:sz w:val="20"/>
                <w:szCs w:val="20"/>
              </w:rPr>
              <w:t>.</w:t>
            </w:r>
          </w:p>
        </w:tc>
        <w:tc>
          <w:tcPr>
            <w:tcW w:w="1503" w:type="dxa"/>
            <w:tcBorders>
              <w:top w:val="nil"/>
              <w:left w:val="nil"/>
              <w:bottom w:val="single" w:sz="4" w:space="0" w:color="auto"/>
              <w:right w:val="nil"/>
            </w:tcBorders>
            <w:shd w:val="clear" w:color="auto" w:fill="auto"/>
            <w:noWrap/>
            <w:vAlign w:val="bottom"/>
            <w:hideMark/>
          </w:tcPr>
          <w:p w14:paraId="5F010DB3" w14:textId="77777777" w:rsidR="00614F0A" w:rsidRPr="00614F0A" w:rsidRDefault="00614F0A">
            <w:pPr>
              <w:jc w:val="center"/>
              <w:rPr>
                <w:b/>
                <w:bCs/>
                <w:sz w:val="20"/>
                <w:szCs w:val="20"/>
              </w:rPr>
            </w:pPr>
            <w:r w:rsidRPr="00614F0A">
              <w:rPr>
                <w:b/>
                <w:bCs/>
                <w:sz w:val="20"/>
                <w:szCs w:val="20"/>
              </w:rPr>
              <w:t>2022.</w:t>
            </w:r>
          </w:p>
        </w:tc>
        <w:tc>
          <w:tcPr>
            <w:tcW w:w="1440" w:type="dxa"/>
            <w:tcBorders>
              <w:top w:val="nil"/>
              <w:left w:val="nil"/>
              <w:bottom w:val="single" w:sz="4" w:space="0" w:color="auto"/>
              <w:right w:val="nil"/>
            </w:tcBorders>
            <w:shd w:val="clear" w:color="auto" w:fill="auto"/>
            <w:noWrap/>
            <w:vAlign w:val="bottom"/>
            <w:hideMark/>
          </w:tcPr>
          <w:p w14:paraId="4677771A" w14:textId="1ED56CFC" w:rsidR="00614F0A" w:rsidRPr="00614F0A" w:rsidRDefault="00614F0A">
            <w:pPr>
              <w:jc w:val="center"/>
              <w:rPr>
                <w:b/>
                <w:bCs/>
                <w:sz w:val="20"/>
                <w:szCs w:val="20"/>
              </w:rPr>
            </w:pPr>
            <w:r w:rsidRPr="00614F0A">
              <w:rPr>
                <w:b/>
                <w:bCs/>
                <w:sz w:val="20"/>
                <w:szCs w:val="20"/>
              </w:rPr>
              <w:t>2022</w:t>
            </w:r>
            <w:r w:rsidR="00537543">
              <w:rPr>
                <w:b/>
                <w:bCs/>
                <w:sz w:val="20"/>
                <w:szCs w:val="20"/>
              </w:rPr>
              <w:t>.</w:t>
            </w:r>
          </w:p>
        </w:tc>
        <w:tc>
          <w:tcPr>
            <w:tcW w:w="1420" w:type="dxa"/>
            <w:tcBorders>
              <w:top w:val="nil"/>
              <w:left w:val="nil"/>
              <w:bottom w:val="single" w:sz="4" w:space="0" w:color="auto"/>
              <w:right w:val="nil"/>
            </w:tcBorders>
            <w:shd w:val="clear" w:color="auto" w:fill="auto"/>
            <w:noWrap/>
            <w:vAlign w:val="bottom"/>
            <w:hideMark/>
          </w:tcPr>
          <w:p w14:paraId="7020E993" w14:textId="77777777" w:rsidR="00614F0A" w:rsidRPr="00614F0A" w:rsidRDefault="00614F0A">
            <w:pPr>
              <w:jc w:val="center"/>
              <w:rPr>
                <w:b/>
                <w:bCs/>
                <w:sz w:val="20"/>
                <w:szCs w:val="20"/>
              </w:rPr>
            </w:pPr>
            <w:r w:rsidRPr="00614F0A">
              <w:rPr>
                <w:b/>
                <w:bCs/>
                <w:sz w:val="20"/>
                <w:szCs w:val="20"/>
              </w:rPr>
              <w:t>4/2*100</w:t>
            </w:r>
          </w:p>
        </w:tc>
        <w:tc>
          <w:tcPr>
            <w:tcW w:w="1240" w:type="dxa"/>
            <w:tcBorders>
              <w:top w:val="nil"/>
              <w:left w:val="nil"/>
              <w:bottom w:val="single" w:sz="4" w:space="0" w:color="auto"/>
              <w:right w:val="nil"/>
            </w:tcBorders>
            <w:shd w:val="clear" w:color="auto" w:fill="auto"/>
            <w:noWrap/>
            <w:vAlign w:val="bottom"/>
            <w:hideMark/>
          </w:tcPr>
          <w:p w14:paraId="39AD9108" w14:textId="77777777" w:rsidR="00614F0A" w:rsidRPr="00614F0A" w:rsidRDefault="00614F0A">
            <w:pPr>
              <w:jc w:val="center"/>
              <w:rPr>
                <w:b/>
                <w:bCs/>
                <w:sz w:val="20"/>
                <w:szCs w:val="20"/>
              </w:rPr>
            </w:pPr>
            <w:r w:rsidRPr="00614F0A">
              <w:rPr>
                <w:b/>
                <w:bCs/>
                <w:sz w:val="20"/>
                <w:szCs w:val="20"/>
              </w:rPr>
              <w:t>4/3*100</w:t>
            </w:r>
          </w:p>
        </w:tc>
      </w:tr>
      <w:tr w:rsidR="00614F0A" w:rsidRPr="00614F0A" w14:paraId="3898BB10" w14:textId="77777777" w:rsidTr="00614F0A">
        <w:trPr>
          <w:trHeight w:val="300"/>
        </w:trPr>
        <w:tc>
          <w:tcPr>
            <w:tcW w:w="7088" w:type="dxa"/>
            <w:gridSpan w:val="2"/>
            <w:tcBorders>
              <w:top w:val="single" w:sz="4" w:space="0" w:color="auto"/>
              <w:left w:val="nil"/>
              <w:bottom w:val="single" w:sz="4" w:space="0" w:color="auto"/>
              <w:right w:val="nil"/>
            </w:tcBorders>
            <w:shd w:val="clear" w:color="auto" w:fill="auto"/>
            <w:noWrap/>
            <w:vAlign w:val="bottom"/>
            <w:hideMark/>
          </w:tcPr>
          <w:p w14:paraId="210F29AF" w14:textId="77777777" w:rsidR="00614F0A" w:rsidRPr="00614F0A" w:rsidRDefault="00614F0A">
            <w:pPr>
              <w:jc w:val="center"/>
              <w:rPr>
                <w:b/>
                <w:bCs/>
                <w:sz w:val="20"/>
                <w:szCs w:val="20"/>
              </w:rPr>
            </w:pPr>
            <w:r w:rsidRPr="00614F0A">
              <w:rPr>
                <w:b/>
                <w:bCs/>
                <w:sz w:val="20"/>
                <w:szCs w:val="20"/>
              </w:rPr>
              <w:t>1</w:t>
            </w:r>
          </w:p>
        </w:tc>
        <w:tc>
          <w:tcPr>
            <w:tcW w:w="1420" w:type="dxa"/>
            <w:tcBorders>
              <w:top w:val="nil"/>
              <w:left w:val="nil"/>
              <w:bottom w:val="single" w:sz="4" w:space="0" w:color="auto"/>
              <w:right w:val="nil"/>
            </w:tcBorders>
            <w:shd w:val="clear" w:color="auto" w:fill="auto"/>
            <w:noWrap/>
            <w:vAlign w:val="bottom"/>
            <w:hideMark/>
          </w:tcPr>
          <w:p w14:paraId="5DBED1E6" w14:textId="77777777" w:rsidR="00614F0A" w:rsidRPr="00614F0A" w:rsidRDefault="00614F0A">
            <w:pPr>
              <w:jc w:val="center"/>
              <w:rPr>
                <w:b/>
                <w:bCs/>
                <w:sz w:val="20"/>
                <w:szCs w:val="20"/>
              </w:rPr>
            </w:pPr>
            <w:r w:rsidRPr="00614F0A">
              <w:rPr>
                <w:b/>
                <w:bCs/>
                <w:sz w:val="20"/>
                <w:szCs w:val="20"/>
              </w:rPr>
              <w:t>2</w:t>
            </w:r>
          </w:p>
        </w:tc>
        <w:tc>
          <w:tcPr>
            <w:tcW w:w="1503" w:type="dxa"/>
            <w:tcBorders>
              <w:top w:val="nil"/>
              <w:left w:val="nil"/>
              <w:bottom w:val="single" w:sz="4" w:space="0" w:color="auto"/>
              <w:right w:val="nil"/>
            </w:tcBorders>
            <w:shd w:val="clear" w:color="auto" w:fill="auto"/>
            <w:noWrap/>
            <w:vAlign w:val="bottom"/>
            <w:hideMark/>
          </w:tcPr>
          <w:p w14:paraId="7C874EA6" w14:textId="77777777" w:rsidR="00614F0A" w:rsidRPr="00614F0A" w:rsidRDefault="00614F0A">
            <w:pPr>
              <w:jc w:val="center"/>
              <w:rPr>
                <w:b/>
                <w:bCs/>
                <w:sz w:val="20"/>
                <w:szCs w:val="20"/>
              </w:rPr>
            </w:pPr>
            <w:r w:rsidRPr="00614F0A">
              <w:rPr>
                <w:b/>
                <w:bCs/>
                <w:sz w:val="20"/>
                <w:szCs w:val="20"/>
              </w:rPr>
              <w:t>3</w:t>
            </w:r>
          </w:p>
        </w:tc>
        <w:tc>
          <w:tcPr>
            <w:tcW w:w="1440" w:type="dxa"/>
            <w:tcBorders>
              <w:top w:val="nil"/>
              <w:left w:val="nil"/>
              <w:bottom w:val="single" w:sz="4" w:space="0" w:color="auto"/>
              <w:right w:val="nil"/>
            </w:tcBorders>
            <w:shd w:val="clear" w:color="auto" w:fill="auto"/>
            <w:noWrap/>
            <w:vAlign w:val="bottom"/>
            <w:hideMark/>
          </w:tcPr>
          <w:p w14:paraId="6DE13E4C" w14:textId="77777777" w:rsidR="00614F0A" w:rsidRPr="00614F0A" w:rsidRDefault="00614F0A">
            <w:pPr>
              <w:jc w:val="center"/>
              <w:rPr>
                <w:b/>
                <w:bCs/>
                <w:sz w:val="20"/>
                <w:szCs w:val="20"/>
              </w:rPr>
            </w:pPr>
            <w:r w:rsidRPr="00614F0A">
              <w:rPr>
                <w:b/>
                <w:bCs/>
                <w:sz w:val="20"/>
                <w:szCs w:val="20"/>
              </w:rPr>
              <w:t>4</w:t>
            </w:r>
          </w:p>
        </w:tc>
        <w:tc>
          <w:tcPr>
            <w:tcW w:w="1420" w:type="dxa"/>
            <w:tcBorders>
              <w:top w:val="nil"/>
              <w:left w:val="nil"/>
              <w:bottom w:val="single" w:sz="4" w:space="0" w:color="auto"/>
              <w:right w:val="nil"/>
            </w:tcBorders>
            <w:shd w:val="clear" w:color="auto" w:fill="auto"/>
            <w:noWrap/>
            <w:vAlign w:val="bottom"/>
            <w:hideMark/>
          </w:tcPr>
          <w:p w14:paraId="751FDD85" w14:textId="77777777" w:rsidR="00614F0A" w:rsidRPr="00614F0A" w:rsidRDefault="00614F0A">
            <w:pPr>
              <w:jc w:val="center"/>
              <w:rPr>
                <w:b/>
                <w:bCs/>
                <w:sz w:val="20"/>
                <w:szCs w:val="20"/>
              </w:rPr>
            </w:pPr>
            <w:r w:rsidRPr="00614F0A">
              <w:rPr>
                <w:b/>
                <w:bCs/>
                <w:sz w:val="20"/>
                <w:szCs w:val="20"/>
              </w:rPr>
              <w:t>5</w:t>
            </w:r>
          </w:p>
        </w:tc>
        <w:tc>
          <w:tcPr>
            <w:tcW w:w="1240" w:type="dxa"/>
            <w:tcBorders>
              <w:top w:val="nil"/>
              <w:left w:val="nil"/>
              <w:bottom w:val="single" w:sz="4" w:space="0" w:color="auto"/>
              <w:right w:val="nil"/>
            </w:tcBorders>
            <w:shd w:val="clear" w:color="auto" w:fill="auto"/>
            <w:noWrap/>
            <w:vAlign w:val="bottom"/>
            <w:hideMark/>
          </w:tcPr>
          <w:p w14:paraId="62823784" w14:textId="77777777" w:rsidR="00614F0A" w:rsidRPr="00614F0A" w:rsidRDefault="00614F0A">
            <w:pPr>
              <w:jc w:val="center"/>
              <w:rPr>
                <w:b/>
                <w:bCs/>
                <w:sz w:val="20"/>
                <w:szCs w:val="20"/>
              </w:rPr>
            </w:pPr>
            <w:r w:rsidRPr="00614F0A">
              <w:rPr>
                <w:b/>
                <w:bCs/>
                <w:sz w:val="20"/>
                <w:szCs w:val="20"/>
              </w:rPr>
              <w:t>6</w:t>
            </w:r>
          </w:p>
        </w:tc>
      </w:tr>
      <w:tr w:rsidR="00614F0A" w:rsidRPr="00614F0A" w14:paraId="547E4E6A" w14:textId="77777777" w:rsidTr="00614F0A">
        <w:trPr>
          <w:trHeight w:val="300"/>
        </w:trPr>
        <w:tc>
          <w:tcPr>
            <w:tcW w:w="316" w:type="dxa"/>
            <w:tcBorders>
              <w:top w:val="nil"/>
              <w:left w:val="nil"/>
              <w:bottom w:val="nil"/>
              <w:right w:val="nil"/>
            </w:tcBorders>
            <w:shd w:val="clear" w:color="auto" w:fill="auto"/>
            <w:noWrap/>
            <w:vAlign w:val="bottom"/>
            <w:hideMark/>
          </w:tcPr>
          <w:p w14:paraId="564D352B" w14:textId="77777777" w:rsidR="00614F0A" w:rsidRPr="00614F0A" w:rsidRDefault="00614F0A">
            <w:pPr>
              <w:jc w:val="right"/>
              <w:rPr>
                <w:b/>
                <w:bCs/>
                <w:sz w:val="20"/>
                <w:szCs w:val="20"/>
              </w:rPr>
            </w:pPr>
            <w:r w:rsidRPr="00614F0A">
              <w:rPr>
                <w:b/>
                <w:bCs/>
                <w:sz w:val="20"/>
                <w:szCs w:val="20"/>
              </w:rPr>
              <w:t>6</w:t>
            </w:r>
          </w:p>
        </w:tc>
        <w:tc>
          <w:tcPr>
            <w:tcW w:w="6772" w:type="dxa"/>
            <w:tcBorders>
              <w:top w:val="nil"/>
              <w:left w:val="nil"/>
              <w:bottom w:val="nil"/>
              <w:right w:val="nil"/>
            </w:tcBorders>
            <w:shd w:val="clear" w:color="auto" w:fill="auto"/>
            <w:noWrap/>
            <w:vAlign w:val="bottom"/>
            <w:hideMark/>
          </w:tcPr>
          <w:p w14:paraId="6AFDA316" w14:textId="77777777" w:rsidR="00614F0A" w:rsidRPr="00614F0A" w:rsidRDefault="00614F0A">
            <w:pPr>
              <w:rPr>
                <w:b/>
                <w:bCs/>
                <w:sz w:val="20"/>
                <w:szCs w:val="20"/>
              </w:rPr>
            </w:pPr>
            <w:r w:rsidRPr="00614F0A">
              <w:rPr>
                <w:b/>
                <w:bCs/>
                <w:sz w:val="20"/>
                <w:szCs w:val="20"/>
              </w:rPr>
              <w:t xml:space="preserve">    Prihodi poslovanja</w:t>
            </w:r>
          </w:p>
        </w:tc>
        <w:tc>
          <w:tcPr>
            <w:tcW w:w="1420" w:type="dxa"/>
            <w:tcBorders>
              <w:top w:val="nil"/>
              <w:left w:val="nil"/>
              <w:bottom w:val="nil"/>
              <w:right w:val="nil"/>
            </w:tcBorders>
            <w:shd w:val="clear" w:color="auto" w:fill="auto"/>
            <w:noWrap/>
            <w:vAlign w:val="bottom"/>
            <w:hideMark/>
          </w:tcPr>
          <w:p w14:paraId="1F66757C" w14:textId="77777777" w:rsidR="00614F0A" w:rsidRPr="00614F0A" w:rsidRDefault="00614F0A">
            <w:pPr>
              <w:jc w:val="right"/>
              <w:rPr>
                <w:b/>
                <w:bCs/>
                <w:sz w:val="20"/>
                <w:szCs w:val="20"/>
              </w:rPr>
            </w:pPr>
            <w:r w:rsidRPr="00614F0A">
              <w:rPr>
                <w:b/>
                <w:bCs/>
                <w:sz w:val="20"/>
                <w:szCs w:val="20"/>
              </w:rPr>
              <w:t>32.174.692,70</w:t>
            </w:r>
          </w:p>
        </w:tc>
        <w:tc>
          <w:tcPr>
            <w:tcW w:w="1503" w:type="dxa"/>
            <w:tcBorders>
              <w:top w:val="nil"/>
              <w:left w:val="nil"/>
              <w:bottom w:val="nil"/>
              <w:right w:val="nil"/>
            </w:tcBorders>
            <w:shd w:val="clear" w:color="auto" w:fill="auto"/>
            <w:noWrap/>
            <w:vAlign w:val="bottom"/>
            <w:hideMark/>
          </w:tcPr>
          <w:p w14:paraId="38B5DE81" w14:textId="77777777" w:rsidR="00614F0A" w:rsidRPr="00614F0A" w:rsidRDefault="00614F0A">
            <w:pPr>
              <w:jc w:val="right"/>
              <w:rPr>
                <w:b/>
                <w:bCs/>
                <w:sz w:val="20"/>
                <w:szCs w:val="20"/>
              </w:rPr>
            </w:pPr>
            <w:r w:rsidRPr="00614F0A">
              <w:rPr>
                <w:b/>
                <w:bCs/>
                <w:sz w:val="20"/>
                <w:szCs w:val="20"/>
              </w:rPr>
              <w:t>34.475.056,19</w:t>
            </w:r>
          </w:p>
        </w:tc>
        <w:tc>
          <w:tcPr>
            <w:tcW w:w="1440" w:type="dxa"/>
            <w:tcBorders>
              <w:top w:val="nil"/>
              <w:left w:val="nil"/>
              <w:bottom w:val="nil"/>
              <w:right w:val="nil"/>
            </w:tcBorders>
            <w:shd w:val="clear" w:color="auto" w:fill="auto"/>
            <w:noWrap/>
            <w:vAlign w:val="bottom"/>
            <w:hideMark/>
          </w:tcPr>
          <w:p w14:paraId="3425C724" w14:textId="77777777" w:rsidR="00614F0A" w:rsidRPr="00614F0A" w:rsidRDefault="00614F0A">
            <w:pPr>
              <w:jc w:val="right"/>
              <w:rPr>
                <w:b/>
                <w:bCs/>
                <w:sz w:val="20"/>
                <w:szCs w:val="20"/>
              </w:rPr>
            </w:pPr>
            <w:r w:rsidRPr="00614F0A">
              <w:rPr>
                <w:b/>
                <w:bCs/>
                <w:sz w:val="20"/>
                <w:szCs w:val="20"/>
              </w:rPr>
              <w:t>33.918.466,04</w:t>
            </w:r>
          </w:p>
        </w:tc>
        <w:tc>
          <w:tcPr>
            <w:tcW w:w="1420" w:type="dxa"/>
            <w:tcBorders>
              <w:top w:val="nil"/>
              <w:left w:val="nil"/>
              <w:bottom w:val="nil"/>
              <w:right w:val="nil"/>
            </w:tcBorders>
            <w:shd w:val="clear" w:color="auto" w:fill="auto"/>
            <w:noWrap/>
            <w:vAlign w:val="bottom"/>
            <w:hideMark/>
          </w:tcPr>
          <w:p w14:paraId="28558679" w14:textId="77777777" w:rsidR="00614F0A" w:rsidRPr="00614F0A" w:rsidRDefault="00614F0A">
            <w:pPr>
              <w:jc w:val="right"/>
              <w:rPr>
                <w:b/>
                <w:bCs/>
                <w:sz w:val="20"/>
                <w:szCs w:val="20"/>
              </w:rPr>
            </w:pPr>
            <w:r w:rsidRPr="00614F0A">
              <w:rPr>
                <w:b/>
                <w:bCs/>
                <w:sz w:val="20"/>
                <w:szCs w:val="20"/>
              </w:rPr>
              <w:t>105,42</w:t>
            </w:r>
          </w:p>
        </w:tc>
        <w:tc>
          <w:tcPr>
            <w:tcW w:w="1240" w:type="dxa"/>
            <w:tcBorders>
              <w:top w:val="nil"/>
              <w:left w:val="nil"/>
              <w:bottom w:val="nil"/>
              <w:right w:val="nil"/>
            </w:tcBorders>
            <w:shd w:val="clear" w:color="auto" w:fill="auto"/>
            <w:noWrap/>
            <w:vAlign w:val="bottom"/>
            <w:hideMark/>
          </w:tcPr>
          <w:p w14:paraId="741493FD" w14:textId="77777777" w:rsidR="00614F0A" w:rsidRPr="00614F0A" w:rsidRDefault="00614F0A">
            <w:pPr>
              <w:jc w:val="right"/>
              <w:rPr>
                <w:b/>
                <w:bCs/>
                <w:sz w:val="20"/>
                <w:szCs w:val="20"/>
              </w:rPr>
            </w:pPr>
            <w:r w:rsidRPr="00614F0A">
              <w:rPr>
                <w:b/>
                <w:bCs/>
                <w:sz w:val="20"/>
                <w:szCs w:val="20"/>
              </w:rPr>
              <w:t>98,39</w:t>
            </w:r>
          </w:p>
        </w:tc>
      </w:tr>
      <w:tr w:rsidR="00614F0A" w:rsidRPr="00614F0A" w14:paraId="0B119DE6" w14:textId="77777777" w:rsidTr="00614F0A">
        <w:trPr>
          <w:trHeight w:val="300"/>
        </w:trPr>
        <w:tc>
          <w:tcPr>
            <w:tcW w:w="316" w:type="dxa"/>
            <w:tcBorders>
              <w:top w:val="nil"/>
              <w:left w:val="nil"/>
              <w:bottom w:val="nil"/>
              <w:right w:val="nil"/>
            </w:tcBorders>
            <w:shd w:val="clear" w:color="auto" w:fill="auto"/>
            <w:noWrap/>
            <w:vAlign w:val="bottom"/>
            <w:hideMark/>
          </w:tcPr>
          <w:p w14:paraId="0C931BF1" w14:textId="77777777" w:rsidR="00614F0A" w:rsidRPr="00614F0A" w:rsidRDefault="00614F0A">
            <w:pPr>
              <w:jc w:val="right"/>
              <w:rPr>
                <w:b/>
                <w:bCs/>
                <w:sz w:val="20"/>
                <w:szCs w:val="20"/>
              </w:rPr>
            </w:pPr>
            <w:r w:rsidRPr="00614F0A">
              <w:rPr>
                <w:b/>
                <w:bCs/>
                <w:sz w:val="20"/>
                <w:szCs w:val="20"/>
              </w:rPr>
              <w:t>7</w:t>
            </w:r>
          </w:p>
        </w:tc>
        <w:tc>
          <w:tcPr>
            <w:tcW w:w="6772" w:type="dxa"/>
            <w:tcBorders>
              <w:top w:val="nil"/>
              <w:left w:val="nil"/>
              <w:bottom w:val="nil"/>
              <w:right w:val="nil"/>
            </w:tcBorders>
            <w:shd w:val="clear" w:color="auto" w:fill="auto"/>
            <w:noWrap/>
            <w:vAlign w:val="bottom"/>
            <w:hideMark/>
          </w:tcPr>
          <w:p w14:paraId="02A3A174" w14:textId="77777777" w:rsidR="00614F0A" w:rsidRPr="00614F0A" w:rsidRDefault="00614F0A">
            <w:pPr>
              <w:rPr>
                <w:b/>
                <w:bCs/>
                <w:sz w:val="20"/>
                <w:szCs w:val="20"/>
              </w:rPr>
            </w:pPr>
            <w:r w:rsidRPr="00614F0A">
              <w:rPr>
                <w:b/>
                <w:bCs/>
                <w:sz w:val="20"/>
                <w:szCs w:val="20"/>
              </w:rPr>
              <w:t xml:space="preserve">    Prihodi od prodaje nefinancijske imovine</w:t>
            </w:r>
          </w:p>
        </w:tc>
        <w:tc>
          <w:tcPr>
            <w:tcW w:w="1420" w:type="dxa"/>
            <w:tcBorders>
              <w:top w:val="nil"/>
              <w:left w:val="nil"/>
              <w:bottom w:val="nil"/>
              <w:right w:val="nil"/>
            </w:tcBorders>
            <w:shd w:val="clear" w:color="auto" w:fill="auto"/>
            <w:noWrap/>
            <w:vAlign w:val="bottom"/>
            <w:hideMark/>
          </w:tcPr>
          <w:p w14:paraId="5A759BC2" w14:textId="77777777" w:rsidR="00614F0A" w:rsidRPr="00614F0A" w:rsidRDefault="00614F0A">
            <w:pPr>
              <w:jc w:val="right"/>
              <w:rPr>
                <w:b/>
                <w:bCs/>
                <w:sz w:val="20"/>
                <w:szCs w:val="20"/>
              </w:rPr>
            </w:pPr>
            <w:r w:rsidRPr="00614F0A">
              <w:rPr>
                <w:b/>
                <w:bCs/>
                <w:sz w:val="20"/>
                <w:szCs w:val="20"/>
              </w:rPr>
              <w:t>4.580.232,11</w:t>
            </w:r>
          </w:p>
        </w:tc>
        <w:tc>
          <w:tcPr>
            <w:tcW w:w="1503" w:type="dxa"/>
            <w:tcBorders>
              <w:top w:val="nil"/>
              <w:left w:val="nil"/>
              <w:bottom w:val="nil"/>
              <w:right w:val="nil"/>
            </w:tcBorders>
            <w:shd w:val="clear" w:color="auto" w:fill="auto"/>
            <w:noWrap/>
            <w:vAlign w:val="bottom"/>
            <w:hideMark/>
          </w:tcPr>
          <w:p w14:paraId="6CE5394B" w14:textId="77777777" w:rsidR="00614F0A" w:rsidRPr="00614F0A" w:rsidRDefault="00614F0A">
            <w:pPr>
              <w:jc w:val="right"/>
              <w:rPr>
                <w:b/>
                <w:bCs/>
                <w:sz w:val="20"/>
                <w:szCs w:val="20"/>
              </w:rPr>
            </w:pPr>
            <w:r w:rsidRPr="00614F0A">
              <w:rPr>
                <w:b/>
                <w:bCs/>
                <w:sz w:val="20"/>
                <w:szCs w:val="20"/>
              </w:rPr>
              <w:t>6.100.000,00</w:t>
            </w:r>
          </w:p>
        </w:tc>
        <w:tc>
          <w:tcPr>
            <w:tcW w:w="1440" w:type="dxa"/>
            <w:tcBorders>
              <w:top w:val="nil"/>
              <w:left w:val="nil"/>
              <w:bottom w:val="nil"/>
              <w:right w:val="nil"/>
            </w:tcBorders>
            <w:shd w:val="clear" w:color="auto" w:fill="auto"/>
            <w:noWrap/>
            <w:vAlign w:val="bottom"/>
            <w:hideMark/>
          </w:tcPr>
          <w:p w14:paraId="30D3DE98" w14:textId="77777777" w:rsidR="00614F0A" w:rsidRPr="00614F0A" w:rsidRDefault="00614F0A">
            <w:pPr>
              <w:jc w:val="right"/>
              <w:rPr>
                <w:b/>
                <w:bCs/>
                <w:sz w:val="20"/>
                <w:szCs w:val="20"/>
              </w:rPr>
            </w:pPr>
            <w:r w:rsidRPr="00614F0A">
              <w:rPr>
                <w:b/>
                <w:bCs/>
                <w:sz w:val="20"/>
                <w:szCs w:val="20"/>
              </w:rPr>
              <w:t>3.996.473,16</w:t>
            </w:r>
          </w:p>
        </w:tc>
        <w:tc>
          <w:tcPr>
            <w:tcW w:w="1420" w:type="dxa"/>
            <w:tcBorders>
              <w:top w:val="nil"/>
              <w:left w:val="nil"/>
              <w:bottom w:val="nil"/>
              <w:right w:val="nil"/>
            </w:tcBorders>
            <w:shd w:val="clear" w:color="auto" w:fill="auto"/>
            <w:noWrap/>
            <w:vAlign w:val="bottom"/>
            <w:hideMark/>
          </w:tcPr>
          <w:p w14:paraId="4B0F39DF" w14:textId="77777777" w:rsidR="00614F0A" w:rsidRPr="00614F0A" w:rsidRDefault="00614F0A">
            <w:pPr>
              <w:jc w:val="right"/>
              <w:rPr>
                <w:b/>
                <w:bCs/>
                <w:sz w:val="20"/>
                <w:szCs w:val="20"/>
              </w:rPr>
            </w:pPr>
            <w:r w:rsidRPr="00614F0A">
              <w:rPr>
                <w:b/>
                <w:bCs/>
                <w:sz w:val="20"/>
                <w:szCs w:val="20"/>
              </w:rPr>
              <w:t>87,25</w:t>
            </w:r>
          </w:p>
        </w:tc>
        <w:tc>
          <w:tcPr>
            <w:tcW w:w="1240" w:type="dxa"/>
            <w:tcBorders>
              <w:top w:val="nil"/>
              <w:left w:val="nil"/>
              <w:bottom w:val="nil"/>
              <w:right w:val="nil"/>
            </w:tcBorders>
            <w:shd w:val="clear" w:color="auto" w:fill="auto"/>
            <w:noWrap/>
            <w:vAlign w:val="bottom"/>
            <w:hideMark/>
          </w:tcPr>
          <w:p w14:paraId="222BF2E2" w14:textId="77777777" w:rsidR="00614F0A" w:rsidRPr="00614F0A" w:rsidRDefault="00614F0A">
            <w:pPr>
              <w:jc w:val="right"/>
              <w:rPr>
                <w:b/>
                <w:bCs/>
                <w:sz w:val="20"/>
                <w:szCs w:val="20"/>
              </w:rPr>
            </w:pPr>
            <w:r w:rsidRPr="00614F0A">
              <w:rPr>
                <w:b/>
                <w:bCs/>
                <w:sz w:val="20"/>
                <w:szCs w:val="20"/>
              </w:rPr>
              <w:t>65,52</w:t>
            </w:r>
          </w:p>
        </w:tc>
      </w:tr>
      <w:tr w:rsidR="00614F0A" w:rsidRPr="00614F0A" w14:paraId="1CF57BE9" w14:textId="77777777" w:rsidTr="00614F0A">
        <w:trPr>
          <w:trHeight w:val="300"/>
        </w:trPr>
        <w:tc>
          <w:tcPr>
            <w:tcW w:w="316" w:type="dxa"/>
            <w:tcBorders>
              <w:top w:val="single" w:sz="4" w:space="0" w:color="auto"/>
              <w:left w:val="nil"/>
              <w:bottom w:val="single" w:sz="4" w:space="0" w:color="auto"/>
              <w:right w:val="nil"/>
            </w:tcBorders>
            <w:shd w:val="clear" w:color="auto" w:fill="auto"/>
            <w:noWrap/>
            <w:vAlign w:val="bottom"/>
            <w:hideMark/>
          </w:tcPr>
          <w:p w14:paraId="3DE33335" w14:textId="77777777" w:rsidR="00614F0A" w:rsidRPr="00614F0A" w:rsidRDefault="00614F0A">
            <w:pPr>
              <w:rPr>
                <w:b/>
                <w:bCs/>
                <w:sz w:val="20"/>
                <w:szCs w:val="20"/>
              </w:rPr>
            </w:pPr>
            <w:r w:rsidRPr="00614F0A">
              <w:rPr>
                <w:b/>
                <w:bCs/>
                <w:sz w:val="20"/>
                <w:szCs w:val="20"/>
              </w:rPr>
              <w:t> </w:t>
            </w:r>
          </w:p>
        </w:tc>
        <w:tc>
          <w:tcPr>
            <w:tcW w:w="6772" w:type="dxa"/>
            <w:tcBorders>
              <w:top w:val="single" w:sz="4" w:space="0" w:color="auto"/>
              <w:left w:val="nil"/>
              <w:bottom w:val="single" w:sz="4" w:space="0" w:color="auto"/>
              <w:right w:val="nil"/>
            </w:tcBorders>
            <w:shd w:val="clear" w:color="auto" w:fill="auto"/>
            <w:noWrap/>
            <w:vAlign w:val="bottom"/>
            <w:hideMark/>
          </w:tcPr>
          <w:p w14:paraId="50304A00" w14:textId="77777777" w:rsidR="00614F0A" w:rsidRPr="00614F0A" w:rsidRDefault="00614F0A">
            <w:pPr>
              <w:rPr>
                <w:b/>
                <w:bCs/>
                <w:sz w:val="20"/>
                <w:szCs w:val="20"/>
              </w:rPr>
            </w:pPr>
            <w:r w:rsidRPr="00614F0A">
              <w:rPr>
                <w:b/>
                <w:bCs/>
                <w:sz w:val="20"/>
                <w:szCs w:val="20"/>
              </w:rPr>
              <w:t>UKUPNI PRIHODI</w:t>
            </w:r>
          </w:p>
        </w:tc>
        <w:tc>
          <w:tcPr>
            <w:tcW w:w="1420" w:type="dxa"/>
            <w:tcBorders>
              <w:top w:val="single" w:sz="4" w:space="0" w:color="auto"/>
              <w:left w:val="nil"/>
              <w:bottom w:val="single" w:sz="4" w:space="0" w:color="auto"/>
              <w:right w:val="nil"/>
            </w:tcBorders>
            <w:shd w:val="clear" w:color="auto" w:fill="auto"/>
            <w:noWrap/>
            <w:vAlign w:val="bottom"/>
            <w:hideMark/>
          </w:tcPr>
          <w:p w14:paraId="6793C25B" w14:textId="77777777" w:rsidR="00614F0A" w:rsidRPr="00614F0A" w:rsidRDefault="00614F0A">
            <w:pPr>
              <w:jc w:val="right"/>
              <w:rPr>
                <w:b/>
                <w:bCs/>
                <w:sz w:val="20"/>
                <w:szCs w:val="20"/>
              </w:rPr>
            </w:pPr>
            <w:r w:rsidRPr="00614F0A">
              <w:rPr>
                <w:b/>
                <w:bCs/>
                <w:sz w:val="20"/>
                <w:szCs w:val="20"/>
              </w:rPr>
              <w:t>36.754.924,81</w:t>
            </w:r>
          </w:p>
        </w:tc>
        <w:tc>
          <w:tcPr>
            <w:tcW w:w="1503" w:type="dxa"/>
            <w:tcBorders>
              <w:top w:val="single" w:sz="4" w:space="0" w:color="auto"/>
              <w:left w:val="nil"/>
              <w:bottom w:val="single" w:sz="4" w:space="0" w:color="auto"/>
              <w:right w:val="nil"/>
            </w:tcBorders>
            <w:shd w:val="clear" w:color="auto" w:fill="auto"/>
            <w:noWrap/>
            <w:vAlign w:val="bottom"/>
            <w:hideMark/>
          </w:tcPr>
          <w:p w14:paraId="2A940D87" w14:textId="77777777" w:rsidR="00614F0A" w:rsidRPr="00614F0A" w:rsidRDefault="00614F0A">
            <w:pPr>
              <w:jc w:val="right"/>
              <w:rPr>
                <w:b/>
                <w:bCs/>
                <w:sz w:val="20"/>
                <w:szCs w:val="20"/>
              </w:rPr>
            </w:pPr>
            <w:r w:rsidRPr="00614F0A">
              <w:rPr>
                <w:b/>
                <w:bCs/>
                <w:sz w:val="20"/>
                <w:szCs w:val="20"/>
              </w:rPr>
              <w:t>40.575.056,19</w:t>
            </w:r>
          </w:p>
        </w:tc>
        <w:tc>
          <w:tcPr>
            <w:tcW w:w="1440" w:type="dxa"/>
            <w:tcBorders>
              <w:top w:val="single" w:sz="4" w:space="0" w:color="auto"/>
              <w:left w:val="nil"/>
              <w:bottom w:val="single" w:sz="4" w:space="0" w:color="auto"/>
              <w:right w:val="nil"/>
            </w:tcBorders>
            <w:shd w:val="clear" w:color="auto" w:fill="auto"/>
            <w:noWrap/>
            <w:vAlign w:val="bottom"/>
            <w:hideMark/>
          </w:tcPr>
          <w:p w14:paraId="0CD7C02C" w14:textId="77777777" w:rsidR="00614F0A" w:rsidRPr="00614F0A" w:rsidRDefault="00614F0A">
            <w:pPr>
              <w:jc w:val="right"/>
              <w:rPr>
                <w:b/>
                <w:bCs/>
                <w:sz w:val="20"/>
                <w:szCs w:val="20"/>
              </w:rPr>
            </w:pPr>
            <w:r w:rsidRPr="00614F0A">
              <w:rPr>
                <w:b/>
                <w:bCs/>
                <w:sz w:val="20"/>
                <w:szCs w:val="20"/>
              </w:rPr>
              <w:t>37.914.939,20</w:t>
            </w:r>
          </w:p>
        </w:tc>
        <w:tc>
          <w:tcPr>
            <w:tcW w:w="1420" w:type="dxa"/>
            <w:tcBorders>
              <w:top w:val="single" w:sz="4" w:space="0" w:color="auto"/>
              <w:left w:val="nil"/>
              <w:bottom w:val="single" w:sz="4" w:space="0" w:color="auto"/>
              <w:right w:val="nil"/>
            </w:tcBorders>
            <w:shd w:val="clear" w:color="auto" w:fill="auto"/>
            <w:noWrap/>
            <w:vAlign w:val="bottom"/>
            <w:hideMark/>
          </w:tcPr>
          <w:p w14:paraId="4BF42071" w14:textId="77777777" w:rsidR="00614F0A" w:rsidRPr="00614F0A" w:rsidRDefault="00614F0A">
            <w:pPr>
              <w:jc w:val="right"/>
              <w:rPr>
                <w:b/>
                <w:bCs/>
                <w:sz w:val="20"/>
                <w:szCs w:val="20"/>
              </w:rPr>
            </w:pPr>
            <w:r w:rsidRPr="00614F0A">
              <w:rPr>
                <w:b/>
                <w:bCs/>
                <w:sz w:val="20"/>
                <w:szCs w:val="20"/>
              </w:rPr>
              <w:t>103,16</w:t>
            </w:r>
          </w:p>
        </w:tc>
        <w:tc>
          <w:tcPr>
            <w:tcW w:w="1240" w:type="dxa"/>
            <w:tcBorders>
              <w:top w:val="single" w:sz="4" w:space="0" w:color="auto"/>
              <w:left w:val="nil"/>
              <w:bottom w:val="single" w:sz="4" w:space="0" w:color="auto"/>
              <w:right w:val="nil"/>
            </w:tcBorders>
            <w:shd w:val="clear" w:color="auto" w:fill="auto"/>
            <w:noWrap/>
            <w:vAlign w:val="bottom"/>
            <w:hideMark/>
          </w:tcPr>
          <w:p w14:paraId="6F8D5B53" w14:textId="77777777" w:rsidR="00614F0A" w:rsidRPr="00614F0A" w:rsidRDefault="00614F0A">
            <w:pPr>
              <w:jc w:val="right"/>
              <w:rPr>
                <w:b/>
                <w:bCs/>
                <w:sz w:val="20"/>
                <w:szCs w:val="20"/>
              </w:rPr>
            </w:pPr>
            <w:r w:rsidRPr="00614F0A">
              <w:rPr>
                <w:b/>
                <w:bCs/>
                <w:sz w:val="20"/>
                <w:szCs w:val="20"/>
              </w:rPr>
              <w:t>93,44</w:t>
            </w:r>
          </w:p>
        </w:tc>
      </w:tr>
      <w:tr w:rsidR="00614F0A" w:rsidRPr="00614F0A" w14:paraId="6C2C70C4" w14:textId="77777777" w:rsidTr="00614F0A">
        <w:trPr>
          <w:trHeight w:val="300"/>
        </w:trPr>
        <w:tc>
          <w:tcPr>
            <w:tcW w:w="316" w:type="dxa"/>
            <w:tcBorders>
              <w:top w:val="nil"/>
              <w:left w:val="nil"/>
              <w:bottom w:val="nil"/>
              <w:right w:val="nil"/>
            </w:tcBorders>
            <w:shd w:val="clear" w:color="auto" w:fill="auto"/>
            <w:noWrap/>
            <w:vAlign w:val="bottom"/>
            <w:hideMark/>
          </w:tcPr>
          <w:p w14:paraId="109F5DC2" w14:textId="77777777" w:rsidR="00614F0A" w:rsidRPr="00614F0A" w:rsidRDefault="00614F0A">
            <w:pPr>
              <w:jc w:val="right"/>
              <w:rPr>
                <w:b/>
                <w:bCs/>
                <w:sz w:val="20"/>
                <w:szCs w:val="20"/>
              </w:rPr>
            </w:pPr>
            <w:r w:rsidRPr="00614F0A">
              <w:rPr>
                <w:b/>
                <w:bCs/>
                <w:sz w:val="20"/>
                <w:szCs w:val="20"/>
              </w:rPr>
              <w:t>3</w:t>
            </w:r>
          </w:p>
        </w:tc>
        <w:tc>
          <w:tcPr>
            <w:tcW w:w="6772" w:type="dxa"/>
            <w:tcBorders>
              <w:top w:val="nil"/>
              <w:left w:val="nil"/>
              <w:bottom w:val="nil"/>
              <w:right w:val="nil"/>
            </w:tcBorders>
            <w:shd w:val="clear" w:color="auto" w:fill="auto"/>
            <w:noWrap/>
            <w:vAlign w:val="bottom"/>
            <w:hideMark/>
          </w:tcPr>
          <w:p w14:paraId="4CDC9339" w14:textId="77777777" w:rsidR="00614F0A" w:rsidRPr="00614F0A" w:rsidRDefault="00614F0A">
            <w:pPr>
              <w:rPr>
                <w:b/>
                <w:bCs/>
                <w:sz w:val="20"/>
                <w:szCs w:val="20"/>
              </w:rPr>
            </w:pPr>
            <w:r w:rsidRPr="00614F0A">
              <w:rPr>
                <w:b/>
                <w:bCs/>
                <w:sz w:val="20"/>
                <w:szCs w:val="20"/>
              </w:rPr>
              <w:t xml:space="preserve">    Rashodi poslovanja</w:t>
            </w:r>
          </w:p>
        </w:tc>
        <w:tc>
          <w:tcPr>
            <w:tcW w:w="1420" w:type="dxa"/>
            <w:tcBorders>
              <w:top w:val="nil"/>
              <w:left w:val="nil"/>
              <w:bottom w:val="nil"/>
              <w:right w:val="nil"/>
            </w:tcBorders>
            <w:shd w:val="clear" w:color="auto" w:fill="auto"/>
            <w:noWrap/>
            <w:vAlign w:val="bottom"/>
            <w:hideMark/>
          </w:tcPr>
          <w:p w14:paraId="4508D0F1" w14:textId="77777777" w:rsidR="00614F0A" w:rsidRPr="00614F0A" w:rsidRDefault="00614F0A">
            <w:pPr>
              <w:jc w:val="right"/>
              <w:rPr>
                <w:b/>
                <w:bCs/>
                <w:sz w:val="20"/>
                <w:szCs w:val="20"/>
              </w:rPr>
            </w:pPr>
            <w:r w:rsidRPr="00614F0A">
              <w:rPr>
                <w:b/>
                <w:bCs/>
                <w:sz w:val="20"/>
                <w:szCs w:val="20"/>
              </w:rPr>
              <w:t>26.175.139,99</w:t>
            </w:r>
          </w:p>
        </w:tc>
        <w:tc>
          <w:tcPr>
            <w:tcW w:w="1503" w:type="dxa"/>
            <w:tcBorders>
              <w:top w:val="nil"/>
              <w:left w:val="nil"/>
              <w:bottom w:val="nil"/>
              <w:right w:val="nil"/>
            </w:tcBorders>
            <w:shd w:val="clear" w:color="auto" w:fill="auto"/>
            <w:noWrap/>
            <w:vAlign w:val="bottom"/>
            <w:hideMark/>
          </w:tcPr>
          <w:p w14:paraId="7E448237" w14:textId="77777777" w:rsidR="00614F0A" w:rsidRPr="00614F0A" w:rsidRDefault="00614F0A">
            <w:pPr>
              <w:jc w:val="right"/>
              <w:rPr>
                <w:b/>
                <w:bCs/>
                <w:sz w:val="20"/>
                <w:szCs w:val="20"/>
              </w:rPr>
            </w:pPr>
            <w:r w:rsidRPr="00614F0A">
              <w:rPr>
                <w:b/>
                <w:bCs/>
                <w:sz w:val="20"/>
                <w:szCs w:val="20"/>
              </w:rPr>
              <w:t>32.617.351,15</w:t>
            </w:r>
          </w:p>
        </w:tc>
        <w:tc>
          <w:tcPr>
            <w:tcW w:w="1440" w:type="dxa"/>
            <w:tcBorders>
              <w:top w:val="nil"/>
              <w:left w:val="nil"/>
              <w:bottom w:val="nil"/>
              <w:right w:val="nil"/>
            </w:tcBorders>
            <w:shd w:val="clear" w:color="auto" w:fill="auto"/>
            <w:noWrap/>
            <w:vAlign w:val="bottom"/>
            <w:hideMark/>
          </w:tcPr>
          <w:p w14:paraId="254481ED" w14:textId="77777777" w:rsidR="00614F0A" w:rsidRPr="00614F0A" w:rsidRDefault="00614F0A">
            <w:pPr>
              <w:jc w:val="right"/>
              <w:rPr>
                <w:b/>
                <w:bCs/>
                <w:sz w:val="20"/>
                <w:szCs w:val="20"/>
              </w:rPr>
            </w:pPr>
            <w:r w:rsidRPr="00614F0A">
              <w:rPr>
                <w:b/>
                <w:bCs/>
                <w:sz w:val="20"/>
                <w:szCs w:val="20"/>
              </w:rPr>
              <w:t>30.046.726,27</w:t>
            </w:r>
          </w:p>
        </w:tc>
        <w:tc>
          <w:tcPr>
            <w:tcW w:w="1420" w:type="dxa"/>
            <w:tcBorders>
              <w:top w:val="nil"/>
              <w:left w:val="nil"/>
              <w:bottom w:val="nil"/>
              <w:right w:val="nil"/>
            </w:tcBorders>
            <w:shd w:val="clear" w:color="auto" w:fill="auto"/>
            <w:noWrap/>
            <w:vAlign w:val="bottom"/>
            <w:hideMark/>
          </w:tcPr>
          <w:p w14:paraId="50392402" w14:textId="77777777" w:rsidR="00614F0A" w:rsidRPr="00614F0A" w:rsidRDefault="00614F0A">
            <w:pPr>
              <w:jc w:val="right"/>
              <w:rPr>
                <w:b/>
                <w:bCs/>
                <w:sz w:val="20"/>
                <w:szCs w:val="20"/>
              </w:rPr>
            </w:pPr>
            <w:r w:rsidRPr="00614F0A">
              <w:rPr>
                <w:b/>
                <w:bCs/>
                <w:sz w:val="20"/>
                <w:szCs w:val="20"/>
              </w:rPr>
              <w:t>114,79</w:t>
            </w:r>
          </w:p>
        </w:tc>
        <w:tc>
          <w:tcPr>
            <w:tcW w:w="1240" w:type="dxa"/>
            <w:tcBorders>
              <w:top w:val="nil"/>
              <w:left w:val="nil"/>
              <w:bottom w:val="nil"/>
              <w:right w:val="nil"/>
            </w:tcBorders>
            <w:shd w:val="clear" w:color="auto" w:fill="auto"/>
            <w:noWrap/>
            <w:vAlign w:val="bottom"/>
            <w:hideMark/>
          </w:tcPr>
          <w:p w14:paraId="3B27426F" w14:textId="77777777" w:rsidR="00614F0A" w:rsidRPr="00614F0A" w:rsidRDefault="00614F0A">
            <w:pPr>
              <w:jc w:val="right"/>
              <w:rPr>
                <w:b/>
                <w:bCs/>
                <w:sz w:val="20"/>
                <w:szCs w:val="20"/>
              </w:rPr>
            </w:pPr>
            <w:r w:rsidRPr="00614F0A">
              <w:rPr>
                <w:b/>
                <w:bCs/>
                <w:sz w:val="20"/>
                <w:szCs w:val="20"/>
              </w:rPr>
              <w:t>92,12</w:t>
            </w:r>
          </w:p>
        </w:tc>
      </w:tr>
      <w:tr w:rsidR="00614F0A" w:rsidRPr="00614F0A" w14:paraId="08BDA69D" w14:textId="77777777" w:rsidTr="00614F0A">
        <w:trPr>
          <w:trHeight w:val="300"/>
        </w:trPr>
        <w:tc>
          <w:tcPr>
            <w:tcW w:w="316" w:type="dxa"/>
            <w:tcBorders>
              <w:top w:val="nil"/>
              <w:left w:val="nil"/>
              <w:bottom w:val="nil"/>
              <w:right w:val="nil"/>
            </w:tcBorders>
            <w:shd w:val="clear" w:color="auto" w:fill="auto"/>
            <w:noWrap/>
            <w:vAlign w:val="bottom"/>
            <w:hideMark/>
          </w:tcPr>
          <w:p w14:paraId="7FEF043D" w14:textId="77777777" w:rsidR="00614F0A" w:rsidRPr="00614F0A" w:rsidRDefault="00614F0A">
            <w:pPr>
              <w:jc w:val="right"/>
              <w:rPr>
                <w:b/>
                <w:bCs/>
                <w:sz w:val="20"/>
                <w:szCs w:val="20"/>
              </w:rPr>
            </w:pPr>
            <w:r w:rsidRPr="00614F0A">
              <w:rPr>
                <w:b/>
                <w:bCs/>
                <w:sz w:val="20"/>
                <w:szCs w:val="20"/>
              </w:rPr>
              <w:t>4</w:t>
            </w:r>
          </w:p>
        </w:tc>
        <w:tc>
          <w:tcPr>
            <w:tcW w:w="6772" w:type="dxa"/>
            <w:tcBorders>
              <w:top w:val="nil"/>
              <w:left w:val="nil"/>
              <w:bottom w:val="nil"/>
              <w:right w:val="nil"/>
            </w:tcBorders>
            <w:shd w:val="clear" w:color="auto" w:fill="auto"/>
            <w:noWrap/>
            <w:vAlign w:val="bottom"/>
            <w:hideMark/>
          </w:tcPr>
          <w:p w14:paraId="0F828DE0" w14:textId="77777777" w:rsidR="00614F0A" w:rsidRPr="00614F0A" w:rsidRDefault="00614F0A">
            <w:pPr>
              <w:rPr>
                <w:b/>
                <w:bCs/>
                <w:sz w:val="20"/>
                <w:szCs w:val="20"/>
              </w:rPr>
            </w:pPr>
            <w:r w:rsidRPr="00614F0A">
              <w:rPr>
                <w:b/>
                <w:bCs/>
                <w:sz w:val="20"/>
                <w:szCs w:val="20"/>
              </w:rPr>
              <w:t xml:space="preserve">    Rashodi za nabavu nefinancijske imovine</w:t>
            </w:r>
          </w:p>
        </w:tc>
        <w:tc>
          <w:tcPr>
            <w:tcW w:w="1420" w:type="dxa"/>
            <w:tcBorders>
              <w:top w:val="nil"/>
              <w:left w:val="nil"/>
              <w:bottom w:val="nil"/>
              <w:right w:val="nil"/>
            </w:tcBorders>
            <w:shd w:val="clear" w:color="auto" w:fill="auto"/>
            <w:noWrap/>
            <w:vAlign w:val="bottom"/>
            <w:hideMark/>
          </w:tcPr>
          <w:p w14:paraId="1E898BA4" w14:textId="77777777" w:rsidR="00614F0A" w:rsidRPr="00614F0A" w:rsidRDefault="00614F0A">
            <w:pPr>
              <w:jc w:val="right"/>
              <w:rPr>
                <w:b/>
                <w:bCs/>
                <w:sz w:val="20"/>
                <w:szCs w:val="20"/>
              </w:rPr>
            </w:pPr>
            <w:r w:rsidRPr="00614F0A">
              <w:rPr>
                <w:b/>
                <w:bCs/>
                <w:sz w:val="20"/>
                <w:szCs w:val="20"/>
              </w:rPr>
              <w:t>9.739.905,39</w:t>
            </w:r>
          </w:p>
        </w:tc>
        <w:tc>
          <w:tcPr>
            <w:tcW w:w="1503" w:type="dxa"/>
            <w:tcBorders>
              <w:top w:val="nil"/>
              <w:left w:val="nil"/>
              <w:bottom w:val="nil"/>
              <w:right w:val="nil"/>
            </w:tcBorders>
            <w:shd w:val="clear" w:color="auto" w:fill="auto"/>
            <w:noWrap/>
            <w:vAlign w:val="bottom"/>
            <w:hideMark/>
          </w:tcPr>
          <w:p w14:paraId="1DBECE13" w14:textId="77777777" w:rsidR="00614F0A" w:rsidRPr="00614F0A" w:rsidRDefault="00614F0A">
            <w:pPr>
              <w:jc w:val="right"/>
              <w:rPr>
                <w:b/>
                <w:bCs/>
                <w:sz w:val="20"/>
                <w:szCs w:val="20"/>
              </w:rPr>
            </w:pPr>
            <w:r w:rsidRPr="00614F0A">
              <w:rPr>
                <w:b/>
                <w:bCs/>
                <w:sz w:val="20"/>
                <w:szCs w:val="20"/>
              </w:rPr>
              <w:t>7.299.636,10</w:t>
            </w:r>
          </w:p>
        </w:tc>
        <w:tc>
          <w:tcPr>
            <w:tcW w:w="1440" w:type="dxa"/>
            <w:tcBorders>
              <w:top w:val="nil"/>
              <w:left w:val="nil"/>
              <w:bottom w:val="nil"/>
              <w:right w:val="nil"/>
            </w:tcBorders>
            <w:shd w:val="clear" w:color="auto" w:fill="auto"/>
            <w:noWrap/>
            <w:vAlign w:val="bottom"/>
            <w:hideMark/>
          </w:tcPr>
          <w:p w14:paraId="3BF46AEC" w14:textId="77777777" w:rsidR="00614F0A" w:rsidRPr="00614F0A" w:rsidRDefault="00614F0A">
            <w:pPr>
              <w:jc w:val="right"/>
              <w:rPr>
                <w:b/>
                <w:bCs/>
                <w:sz w:val="20"/>
                <w:szCs w:val="20"/>
              </w:rPr>
            </w:pPr>
            <w:r w:rsidRPr="00614F0A">
              <w:rPr>
                <w:b/>
                <w:bCs/>
                <w:sz w:val="20"/>
                <w:szCs w:val="20"/>
              </w:rPr>
              <w:t>6.915.985,03</w:t>
            </w:r>
          </w:p>
        </w:tc>
        <w:tc>
          <w:tcPr>
            <w:tcW w:w="1420" w:type="dxa"/>
            <w:tcBorders>
              <w:top w:val="nil"/>
              <w:left w:val="nil"/>
              <w:bottom w:val="nil"/>
              <w:right w:val="nil"/>
            </w:tcBorders>
            <w:shd w:val="clear" w:color="auto" w:fill="auto"/>
            <w:noWrap/>
            <w:vAlign w:val="bottom"/>
            <w:hideMark/>
          </w:tcPr>
          <w:p w14:paraId="2AB6A62B" w14:textId="77777777" w:rsidR="00614F0A" w:rsidRPr="00614F0A" w:rsidRDefault="00614F0A">
            <w:pPr>
              <w:jc w:val="right"/>
              <w:rPr>
                <w:b/>
                <w:bCs/>
                <w:sz w:val="20"/>
                <w:szCs w:val="20"/>
              </w:rPr>
            </w:pPr>
            <w:r w:rsidRPr="00614F0A">
              <w:rPr>
                <w:b/>
                <w:bCs/>
                <w:sz w:val="20"/>
                <w:szCs w:val="20"/>
              </w:rPr>
              <w:t>71,01</w:t>
            </w:r>
          </w:p>
        </w:tc>
        <w:tc>
          <w:tcPr>
            <w:tcW w:w="1240" w:type="dxa"/>
            <w:tcBorders>
              <w:top w:val="nil"/>
              <w:left w:val="nil"/>
              <w:bottom w:val="nil"/>
              <w:right w:val="nil"/>
            </w:tcBorders>
            <w:shd w:val="clear" w:color="auto" w:fill="auto"/>
            <w:noWrap/>
            <w:vAlign w:val="bottom"/>
            <w:hideMark/>
          </w:tcPr>
          <w:p w14:paraId="3C118F92" w14:textId="77777777" w:rsidR="00614F0A" w:rsidRPr="00614F0A" w:rsidRDefault="00614F0A">
            <w:pPr>
              <w:jc w:val="right"/>
              <w:rPr>
                <w:b/>
                <w:bCs/>
                <w:sz w:val="20"/>
                <w:szCs w:val="20"/>
              </w:rPr>
            </w:pPr>
            <w:r w:rsidRPr="00614F0A">
              <w:rPr>
                <w:b/>
                <w:bCs/>
                <w:sz w:val="20"/>
                <w:szCs w:val="20"/>
              </w:rPr>
              <w:t>94,74</w:t>
            </w:r>
          </w:p>
        </w:tc>
      </w:tr>
      <w:tr w:rsidR="00614F0A" w:rsidRPr="00614F0A" w14:paraId="6F10E489" w14:textId="77777777" w:rsidTr="00614F0A">
        <w:trPr>
          <w:trHeight w:val="300"/>
        </w:trPr>
        <w:tc>
          <w:tcPr>
            <w:tcW w:w="316" w:type="dxa"/>
            <w:tcBorders>
              <w:top w:val="single" w:sz="4" w:space="0" w:color="auto"/>
              <w:left w:val="nil"/>
              <w:bottom w:val="single" w:sz="4" w:space="0" w:color="auto"/>
              <w:right w:val="nil"/>
            </w:tcBorders>
            <w:shd w:val="clear" w:color="auto" w:fill="auto"/>
            <w:noWrap/>
            <w:vAlign w:val="bottom"/>
            <w:hideMark/>
          </w:tcPr>
          <w:p w14:paraId="6EAD8EF4" w14:textId="77777777" w:rsidR="00614F0A" w:rsidRPr="00614F0A" w:rsidRDefault="00614F0A">
            <w:pPr>
              <w:rPr>
                <w:b/>
                <w:bCs/>
                <w:sz w:val="20"/>
                <w:szCs w:val="20"/>
              </w:rPr>
            </w:pPr>
            <w:r w:rsidRPr="00614F0A">
              <w:rPr>
                <w:b/>
                <w:bCs/>
                <w:sz w:val="20"/>
                <w:szCs w:val="20"/>
              </w:rPr>
              <w:t> </w:t>
            </w:r>
          </w:p>
        </w:tc>
        <w:tc>
          <w:tcPr>
            <w:tcW w:w="6772" w:type="dxa"/>
            <w:tcBorders>
              <w:top w:val="single" w:sz="4" w:space="0" w:color="auto"/>
              <w:left w:val="nil"/>
              <w:bottom w:val="single" w:sz="4" w:space="0" w:color="auto"/>
              <w:right w:val="nil"/>
            </w:tcBorders>
            <w:shd w:val="clear" w:color="auto" w:fill="auto"/>
            <w:noWrap/>
            <w:vAlign w:val="bottom"/>
            <w:hideMark/>
          </w:tcPr>
          <w:p w14:paraId="13521025" w14:textId="77777777" w:rsidR="00614F0A" w:rsidRPr="00614F0A" w:rsidRDefault="00614F0A">
            <w:pPr>
              <w:rPr>
                <w:b/>
                <w:bCs/>
                <w:sz w:val="20"/>
                <w:szCs w:val="20"/>
              </w:rPr>
            </w:pPr>
            <w:r w:rsidRPr="00614F0A">
              <w:rPr>
                <w:b/>
                <w:bCs/>
                <w:sz w:val="20"/>
                <w:szCs w:val="20"/>
              </w:rPr>
              <w:t>UKUPNI RASHODI</w:t>
            </w:r>
          </w:p>
        </w:tc>
        <w:tc>
          <w:tcPr>
            <w:tcW w:w="1420" w:type="dxa"/>
            <w:tcBorders>
              <w:top w:val="single" w:sz="4" w:space="0" w:color="auto"/>
              <w:left w:val="nil"/>
              <w:bottom w:val="single" w:sz="4" w:space="0" w:color="auto"/>
              <w:right w:val="nil"/>
            </w:tcBorders>
            <w:shd w:val="clear" w:color="auto" w:fill="auto"/>
            <w:noWrap/>
            <w:vAlign w:val="bottom"/>
            <w:hideMark/>
          </w:tcPr>
          <w:p w14:paraId="4E420553" w14:textId="77777777" w:rsidR="00614F0A" w:rsidRPr="00614F0A" w:rsidRDefault="00614F0A">
            <w:pPr>
              <w:jc w:val="right"/>
              <w:rPr>
                <w:b/>
                <w:bCs/>
                <w:sz w:val="20"/>
                <w:szCs w:val="20"/>
              </w:rPr>
            </w:pPr>
            <w:r w:rsidRPr="00614F0A">
              <w:rPr>
                <w:b/>
                <w:bCs/>
                <w:sz w:val="20"/>
                <w:szCs w:val="20"/>
              </w:rPr>
              <w:t>35.915.045,38</w:t>
            </w:r>
          </w:p>
        </w:tc>
        <w:tc>
          <w:tcPr>
            <w:tcW w:w="1503" w:type="dxa"/>
            <w:tcBorders>
              <w:top w:val="single" w:sz="4" w:space="0" w:color="auto"/>
              <w:left w:val="nil"/>
              <w:bottom w:val="single" w:sz="4" w:space="0" w:color="auto"/>
              <w:right w:val="nil"/>
            </w:tcBorders>
            <w:shd w:val="clear" w:color="auto" w:fill="auto"/>
            <w:noWrap/>
            <w:vAlign w:val="bottom"/>
            <w:hideMark/>
          </w:tcPr>
          <w:p w14:paraId="55D32F98" w14:textId="77777777" w:rsidR="00614F0A" w:rsidRPr="00614F0A" w:rsidRDefault="00614F0A">
            <w:pPr>
              <w:jc w:val="right"/>
              <w:rPr>
                <w:b/>
                <w:bCs/>
                <w:sz w:val="20"/>
                <w:szCs w:val="20"/>
              </w:rPr>
            </w:pPr>
            <w:r w:rsidRPr="00614F0A">
              <w:rPr>
                <w:b/>
                <w:bCs/>
                <w:sz w:val="20"/>
                <w:szCs w:val="20"/>
              </w:rPr>
              <w:t>39.916.987,25</w:t>
            </w:r>
          </w:p>
        </w:tc>
        <w:tc>
          <w:tcPr>
            <w:tcW w:w="1440" w:type="dxa"/>
            <w:tcBorders>
              <w:top w:val="single" w:sz="4" w:space="0" w:color="auto"/>
              <w:left w:val="nil"/>
              <w:bottom w:val="single" w:sz="4" w:space="0" w:color="auto"/>
              <w:right w:val="nil"/>
            </w:tcBorders>
            <w:shd w:val="clear" w:color="auto" w:fill="auto"/>
            <w:noWrap/>
            <w:vAlign w:val="bottom"/>
            <w:hideMark/>
          </w:tcPr>
          <w:p w14:paraId="21D5D062" w14:textId="77777777" w:rsidR="00614F0A" w:rsidRPr="00614F0A" w:rsidRDefault="00614F0A">
            <w:pPr>
              <w:jc w:val="right"/>
              <w:rPr>
                <w:b/>
                <w:bCs/>
                <w:sz w:val="20"/>
                <w:szCs w:val="20"/>
              </w:rPr>
            </w:pPr>
            <w:r w:rsidRPr="00614F0A">
              <w:rPr>
                <w:b/>
                <w:bCs/>
                <w:sz w:val="20"/>
                <w:szCs w:val="20"/>
              </w:rPr>
              <w:t>36.962.711,30</w:t>
            </w:r>
          </w:p>
        </w:tc>
        <w:tc>
          <w:tcPr>
            <w:tcW w:w="1420" w:type="dxa"/>
            <w:tcBorders>
              <w:top w:val="single" w:sz="4" w:space="0" w:color="auto"/>
              <w:left w:val="nil"/>
              <w:bottom w:val="single" w:sz="4" w:space="0" w:color="auto"/>
              <w:right w:val="nil"/>
            </w:tcBorders>
            <w:shd w:val="clear" w:color="auto" w:fill="auto"/>
            <w:noWrap/>
            <w:vAlign w:val="bottom"/>
            <w:hideMark/>
          </w:tcPr>
          <w:p w14:paraId="22A8043D" w14:textId="77777777" w:rsidR="00614F0A" w:rsidRPr="00614F0A" w:rsidRDefault="00614F0A">
            <w:pPr>
              <w:jc w:val="right"/>
              <w:rPr>
                <w:b/>
                <w:bCs/>
                <w:sz w:val="20"/>
                <w:szCs w:val="20"/>
              </w:rPr>
            </w:pPr>
            <w:r w:rsidRPr="00614F0A">
              <w:rPr>
                <w:b/>
                <w:bCs/>
                <w:sz w:val="20"/>
                <w:szCs w:val="20"/>
              </w:rPr>
              <w:t>102,92</w:t>
            </w:r>
          </w:p>
        </w:tc>
        <w:tc>
          <w:tcPr>
            <w:tcW w:w="1240" w:type="dxa"/>
            <w:tcBorders>
              <w:top w:val="single" w:sz="4" w:space="0" w:color="auto"/>
              <w:left w:val="nil"/>
              <w:bottom w:val="single" w:sz="4" w:space="0" w:color="auto"/>
              <w:right w:val="nil"/>
            </w:tcBorders>
            <w:shd w:val="clear" w:color="auto" w:fill="auto"/>
            <w:noWrap/>
            <w:vAlign w:val="bottom"/>
            <w:hideMark/>
          </w:tcPr>
          <w:p w14:paraId="22B75A53" w14:textId="77777777" w:rsidR="00614F0A" w:rsidRPr="00614F0A" w:rsidRDefault="00614F0A">
            <w:pPr>
              <w:jc w:val="right"/>
              <w:rPr>
                <w:b/>
                <w:bCs/>
                <w:sz w:val="20"/>
                <w:szCs w:val="20"/>
              </w:rPr>
            </w:pPr>
            <w:r w:rsidRPr="00614F0A">
              <w:rPr>
                <w:b/>
                <w:bCs/>
                <w:sz w:val="20"/>
                <w:szCs w:val="20"/>
              </w:rPr>
              <w:t>92,60</w:t>
            </w:r>
          </w:p>
        </w:tc>
      </w:tr>
      <w:tr w:rsidR="00614F0A" w:rsidRPr="00614F0A" w14:paraId="738B9B81" w14:textId="77777777" w:rsidTr="00614F0A">
        <w:trPr>
          <w:trHeight w:val="300"/>
        </w:trPr>
        <w:tc>
          <w:tcPr>
            <w:tcW w:w="316" w:type="dxa"/>
            <w:tcBorders>
              <w:top w:val="nil"/>
              <w:left w:val="nil"/>
              <w:bottom w:val="single" w:sz="4" w:space="0" w:color="auto"/>
              <w:right w:val="nil"/>
            </w:tcBorders>
            <w:shd w:val="clear" w:color="auto" w:fill="auto"/>
            <w:noWrap/>
            <w:vAlign w:val="bottom"/>
            <w:hideMark/>
          </w:tcPr>
          <w:p w14:paraId="761C596C" w14:textId="77777777" w:rsidR="00614F0A" w:rsidRPr="00614F0A" w:rsidRDefault="00614F0A">
            <w:pPr>
              <w:rPr>
                <w:sz w:val="20"/>
                <w:szCs w:val="20"/>
              </w:rPr>
            </w:pPr>
            <w:r w:rsidRPr="00614F0A">
              <w:rPr>
                <w:sz w:val="20"/>
                <w:szCs w:val="20"/>
              </w:rPr>
              <w:t> </w:t>
            </w:r>
          </w:p>
        </w:tc>
        <w:tc>
          <w:tcPr>
            <w:tcW w:w="6772" w:type="dxa"/>
            <w:tcBorders>
              <w:top w:val="nil"/>
              <w:left w:val="nil"/>
              <w:bottom w:val="single" w:sz="4" w:space="0" w:color="auto"/>
              <w:right w:val="nil"/>
            </w:tcBorders>
            <w:shd w:val="clear" w:color="auto" w:fill="auto"/>
            <w:noWrap/>
            <w:vAlign w:val="bottom"/>
            <w:hideMark/>
          </w:tcPr>
          <w:p w14:paraId="389F759A" w14:textId="77777777" w:rsidR="00614F0A" w:rsidRPr="00614F0A" w:rsidRDefault="00614F0A">
            <w:pPr>
              <w:rPr>
                <w:b/>
                <w:bCs/>
                <w:sz w:val="20"/>
                <w:szCs w:val="20"/>
              </w:rPr>
            </w:pPr>
            <w:r w:rsidRPr="00614F0A">
              <w:rPr>
                <w:b/>
                <w:bCs/>
                <w:sz w:val="20"/>
                <w:szCs w:val="20"/>
              </w:rPr>
              <w:t>RAZLIKA - VIŠAK / MANJAK</w:t>
            </w:r>
          </w:p>
        </w:tc>
        <w:tc>
          <w:tcPr>
            <w:tcW w:w="1420" w:type="dxa"/>
            <w:tcBorders>
              <w:top w:val="nil"/>
              <w:left w:val="nil"/>
              <w:bottom w:val="single" w:sz="4" w:space="0" w:color="auto"/>
              <w:right w:val="nil"/>
            </w:tcBorders>
            <w:shd w:val="clear" w:color="auto" w:fill="auto"/>
            <w:noWrap/>
            <w:vAlign w:val="bottom"/>
            <w:hideMark/>
          </w:tcPr>
          <w:p w14:paraId="586F680A" w14:textId="77777777" w:rsidR="00614F0A" w:rsidRPr="00614F0A" w:rsidRDefault="00614F0A">
            <w:pPr>
              <w:jc w:val="right"/>
              <w:rPr>
                <w:b/>
                <w:bCs/>
                <w:sz w:val="20"/>
                <w:szCs w:val="20"/>
              </w:rPr>
            </w:pPr>
            <w:r w:rsidRPr="00614F0A">
              <w:rPr>
                <w:b/>
                <w:bCs/>
                <w:sz w:val="20"/>
                <w:szCs w:val="20"/>
              </w:rPr>
              <w:t>839.879,43</w:t>
            </w:r>
          </w:p>
        </w:tc>
        <w:tc>
          <w:tcPr>
            <w:tcW w:w="1503" w:type="dxa"/>
            <w:tcBorders>
              <w:top w:val="nil"/>
              <w:left w:val="nil"/>
              <w:bottom w:val="single" w:sz="4" w:space="0" w:color="auto"/>
              <w:right w:val="nil"/>
            </w:tcBorders>
            <w:shd w:val="clear" w:color="auto" w:fill="auto"/>
            <w:noWrap/>
            <w:vAlign w:val="bottom"/>
            <w:hideMark/>
          </w:tcPr>
          <w:p w14:paraId="44F73255" w14:textId="77777777" w:rsidR="00614F0A" w:rsidRPr="00614F0A" w:rsidRDefault="00614F0A">
            <w:pPr>
              <w:jc w:val="right"/>
              <w:rPr>
                <w:b/>
                <w:bCs/>
                <w:sz w:val="20"/>
                <w:szCs w:val="20"/>
              </w:rPr>
            </w:pPr>
            <w:r w:rsidRPr="00614F0A">
              <w:rPr>
                <w:b/>
                <w:bCs/>
                <w:sz w:val="20"/>
                <w:szCs w:val="20"/>
              </w:rPr>
              <w:t>658.068,94</w:t>
            </w:r>
          </w:p>
        </w:tc>
        <w:tc>
          <w:tcPr>
            <w:tcW w:w="1440" w:type="dxa"/>
            <w:tcBorders>
              <w:top w:val="nil"/>
              <w:left w:val="nil"/>
              <w:bottom w:val="single" w:sz="4" w:space="0" w:color="auto"/>
              <w:right w:val="nil"/>
            </w:tcBorders>
            <w:shd w:val="clear" w:color="auto" w:fill="auto"/>
            <w:noWrap/>
            <w:vAlign w:val="bottom"/>
            <w:hideMark/>
          </w:tcPr>
          <w:p w14:paraId="5A52B387" w14:textId="77777777" w:rsidR="00614F0A" w:rsidRPr="00614F0A" w:rsidRDefault="00614F0A">
            <w:pPr>
              <w:jc w:val="right"/>
              <w:rPr>
                <w:b/>
                <w:bCs/>
                <w:sz w:val="20"/>
                <w:szCs w:val="20"/>
              </w:rPr>
            </w:pPr>
            <w:r w:rsidRPr="00614F0A">
              <w:rPr>
                <w:b/>
                <w:bCs/>
                <w:sz w:val="20"/>
                <w:szCs w:val="20"/>
              </w:rPr>
              <w:t>952.227,90</w:t>
            </w:r>
          </w:p>
        </w:tc>
        <w:tc>
          <w:tcPr>
            <w:tcW w:w="1420" w:type="dxa"/>
            <w:tcBorders>
              <w:top w:val="nil"/>
              <w:left w:val="nil"/>
              <w:bottom w:val="single" w:sz="4" w:space="0" w:color="auto"/>
              <w:right w:val="nil"/>
            </w:tcBorders>
            <w:shd w:val="clear" w:color="auto" w:fill="auto"/>
            <w:noWrap/>
            <w:vAlign w:val="bottom"/>
            <w:hideMark/>
          </w:tcPr>
          <w:p w14:paraId="31BE3B47" w14:textId="77777777" w:rsidR="00614F0A" w:rsidRPr="00614F0A" w:rsidRDefault="00614F0A">
            <w:pPr>
              <w:jc w:val="right"/>
              <w:rPr>
                <w:b/>
                <w:bCs/>
                <w:sz w:val="20"/>
                <w:szCs w:val="20"/>
              </w:rPr>
            </w:pPr>
            <w:r w:rsidRPr="00614F0A">
              <w:rPr>
                <w:b/>
                <w:bCs/>
                <w:sz w:val="20"/>
                <w:szCs w:val="20"/>
              </w:rPr>
              <w:t>113,38</w:t>
            </w:r>
          </w:p>
        </w:tc>
        <w:tc>
          <w:tcPr>
            <w:tcW w:w="1240" w:type="dxa"/>
            <w:tcBorders>
              <w:top w:val="nil"/>
              <w:left w:val="nil"/>
              <w:bottom w:val="single" w:sz="4" w:space="0" w:color="auto"/>
              <w:right w:val="nil"/>
            </w:tcBorders>
            <w:shd w:val="clear" w:color="auto" w:fill="auto"/>
            <w:noWrap/>
            <w:vAlign w:val="bottom"/>
            <w:hideMark/>
          </w:tcPr>
          <w:p w14:paraId="69F4E895" w14:textId="77777777" w:rsidR="00614F0A" w:rsidRPr="00614F0A" w:rsidRDefault="00614F0A">
            <w:pPr>
              <w:jc w:val="right"/>
              <w:rPr>
                <w:b/>
                <w:bCs/>
                <w:sz w:val="20"/>
                <w:szCs w:val="20"/>
              </w:rPr>
            </w:pPr>
            <w:r w:rsidRPr="00614F0A">
              <w:rPr>
                <w:b/>
                <w:bCs/>
                <w:sz w:val="20"/>
                <w:szCs w:val="20"/>
              </w:rPr>
              <w:t>144,70</w:t>
            </w:r>
          </w:p>
        </w:tc>
      </w:tr>
      <w:tr w:rsidR="00614F0A" w:rsidRPr="00614F0A" w14:paraId="3FDC1022" w14:textId="77777777" w:rsidTr="00614F0A">
        <w:trPr>
          <w:trHeight w:val="300"/>
        </w:trPr>
        <w:tc>
          <w:tcPr>
            <w:tcW w:w="7088" w:type="dxa"/>
            <w:gridSpan w:val="2"/>
            <w:tcBorders>
              <w:top w:val="nil"/>
              <w:left w:val="nil"/>
              <w:bottom w:val="nil"/>
              <w:right w:val="nil"/>
            </w:tcBorders>
            <w:shd w:val="clear" w:color="auto" w:fill="auto"/>
            <w:noWrap/>
            <w:vAlign w:val="bottom"/>
            <w:hideMark/>
          </w:tcPr>
          <w:p w14:paraId="4DD99BF9" w14:textId="77777777" w:rsidR="00614F0A" w:rsidRPr="00614F0A" w:rsidRDefault="00614F0A">
            <w:pPr>
              <w:rPr>
                <w:b/>
                <w:bCs/>
                <w:sz w:val="20"/>
                <w:szCs w:val="20"/>
              </w:rPr>
            </w:pPr>
            <w:r w:rsidRPr="00614F0A">
              <w:rPr>
                <w:b/>
                <w:bCs/>
                <w:sz w:val="20"/>
                <w:szCs w:val="20"/>
              </w:rPr>
              <w:t>B. RAČUN ZADUŽIVANJA/FINANCIRANJA</w:t>
            </w:r>
          </w:p>
        </w:tc>
        <w:tc>
          <w:tcPr>
            <w:tcW w:w="1420" w:type="dxa"/>
            <w:tcBorders>
              <w:top w:val="nil"/>
              <w:left w:val="nil"/>
              <w:bottom w:val="nil"/>
              <w:right w:val="nil"/>
            </w:tcBorders>
            <w:shd w:val="clear" w:color="auto" w:fill="auto"/>
            <w:noWrap/>
            <w:vAlign w:val="bottom"/>
            <w:hideMark/>
          </w:tcPr>
          <w:p w14:paraId="30417FE4" w14:textId="77777777" w:rsidR="00614F0A" w:rsidRPr="00614F0A" w:rsidRDefault="00614F0A">
            <w:pPr>
              <w:rPr>
                <w:b/>
                <w:bCs/>
                <w:sz w:val="20"/>
                <w:szCs w:val="20"/>
              </w:rPr>
            </w:pPr>
          </w:p>
        </w:tc>
        <w:tc>
          <w:tcPr>
            <w:tcW w:w="1503" w:type="dxa"/>
            <w:tcBorders>
              <w:top w:val="nil"/>
              <w:left w:val="nil"/>
              <w:bottom w:val="nil"/>
              <w:right w:val="nil"/>
            </w:tcBorders>
            <w:shd w:val="clear" w:color="auto" w:fill="auto"/>
            <w:noWrap/>
            <w:vAlign w:val="bottom"/>
            <w:hideMark/>
          </w:tcPr>
          <w:p w14:paraId="5BD41EE6" w14:textId="77777777" w:rsidR="00614F0A" w:rsidRPr="00614F0A" w:rsidRDefault="00614F0A">
            <w:pPr>
              <w:rPr>
                <w:sz w:val="20"/>
                <w:szCs w:val="20"/>
              </w:rPr>
            </w:pPr>
          </w:p>
        </w:tc>
        <w:tc>
          <w:tcPr>
            <w:tcW w:w="1440" w:type="dxa"/>
            <w:tcBorders>
              <w:top w:val="nil"/>
              <w:left w:val="nil"/>
              <w:bottom w:val="nil"/>
              <w:right w:val="nil"/>
            </w:tcBorders>
            <w:shd w:val="clear" w:color="auto" w:fill="auto"/>
            <w:noWrap/>
            <w:vAlign w:val="bottom"/>
            <w:hideMark/>
          </w:tcPr>
          <w:p w14:paraId="73B24BEC" w14:textId="77777777" w:rsidR="00614F0A" w:rsidRPr="00614F0A" w:rsidRDefault="00614F0A">
            <w:pPr>
              <w:rPr>
                <w:sz w:val="20"/>
                <w:szCs w:val="20"/>
              </w:rPr>
            </w:pPr>
          </w:p>
        </w:tc>
        <w:tc>
          <w:tcPr>
            <w:tcW w:w="1420" w:type="dxa"/>
            <w:tcBorders>
              <w:top w:val="nil"/>
              <w:left w:val="nil"/>
              <w:bottom w:val="nil"/>
              <w:right w:val="nil"/>
            </w:tcBorders>
            <w:shd w:val="clear" w:color="auto" w:fill="auto"/>
            <w:noWrap/>
            <w:vAlign w:val="bottom"/>
            <w:hideMark/>
          </w:tcPr>
          <w:p w14:paraId="1A178BEE" w14:textId="77777777" w:rsidR="00614F0A" w:rsidRPr="00614F0A" w:rsidRDefault="00614F0A">
            <w:pPr>
              <w:rPr>
                <w:sz w:val="20"/>
                <w:szCs w:val="20"/>
              </w:rPr>
            </w:pPr>
          </w:p>
        </w:tc>
        <w:tc>
          <w:tcPr>
            <w:tcW w:w="1240" w:type="dxa"/>
            <w:tcBorders>
              <w:top w:val="nil"/>
              <w:left w:val="nil"/>
              <w:bottom w:val="nil"/>
              <w:right w:val="nil"/>
            </w:tcBorders>
            <w:shd w:val="clear" w:color="auto" w:fill="auto"/>
            <w:noWrap/>
            <w:vAlign w:val="bottom"/>
            <w:hideMark/>
          </w:tcPr>
          <w:p w14:paraId="145FF238" w14:textId="77777777" w:rsidR="00614F0A" w:rsidRPr="00614F0A" w:rsidRDefault="00614F0A">
            <w:pPr>
              <w:rPr>
                <w:sz w:val="20"/>
                <w:szCs w:val="20"/>
              </w:rPr>
            </w:pPr>
          </w:p>
        </w:tc>
      </w:tr>
      <w:tr w:rsidR="00614F0A" w:rsidRPr="00614F0A" w14:paraId="073E25F3" w14:textId="77777777" w:rsidTr="00614F0A">
        <w:trPr>
          <w:trHeight w:val="300"/>
        </w:trPr>
        <w:tc>
          <w:tcPr>
            <w:tcW w:w="7088" w:type="dxa"/>
            <w:gridSpan w:val="2"/>
            <w:tcBorders>
              <w:top w:val="single" w:sz="4" w:space="0" w:color="auto"/>
              <w:left w:val="nil"/>
              <w:bottom w:val="nil"/>
              <w:right w:val="nil"/>
            </w:tcBorders>
            <w:shd w:val="clear" w:color="auto" w:fill="auto"/>
            <w:noWrap/>
            <w:vAlign w:val="bottom"/>
            <w:hideMark/>
          </w:tcPr>
          <w:p w14:paraId="7863AE42" w14:textId="77777777" w:rsidR="00614F0A" w:rsidRPr="00614F0A" w:rsidRDefault="00614F0A">
            <w:pPr>
              <w:rPr>
                <w:b/>
                <w:bCs/>
                <w:sz w:val="20"/>
                <w:szCs w:val="20"/>
              </w:rPr>
            </w:pPr>
            <w:r w:rsidRPr="00614F0A">
              <w:rPr>
                <w:b/>
                <w:bCs/>
                <w:sz w:val="20"/>
                <w:szCs w:val="20"/>
              </w:rPr>
              <w:t xml:space="preserve">BROJČANA OZNAKA I NAZIV </w:t>
            </w:r>
          </w:p>
        </w:tc>
        <w:tc>
          <w:tcPr>
            <w:tcW w:w="1420" w:type="dxa"/>
            <w:tcBorders>
              <w:top w:val="single" w:sz="4" w:space="0" w:color="auto"/>
              <w:left w:val="nil"/>
              <w:bottom w:val="nil"/>
              <w:right w:val="nil"/>
            </w:tcBorders>
            <w:shd w:val="clear" w:color="auto" w:fill="auto"/>
            <w:noWrap/>
            <w:vAlign w:val="bottom"/>
            <w:hideMark/>
          </w:tcPr>
          <w:p w14:paraId="232105E0" w14:textId="77777777" w:rsidR="00614F0A" w:rsidRPr="00614F0A" w:rsidRDefault="00614F0A">
            <w:pPr>
              <w:jc w:val="center"/>
              <w:rPr>
                <w:b/>
                <w:bCs/>
                <w:sz w:val="20"/>
                <w:szCs w:val="20"/>
              </w:rPr>
            </w:pPr>
            <w:r w:rsidRPr="00614F0A">
              <w:rPr>
                <w:b/>
                <w:bCs/>
                <w:sz w:val="20"/>
                <w:szCs w:val="20"/>
              </w:rPr>
              <w:t xml:space="preserve">IZVRŠENJE </w:t>
            </w:r>
          </w:p>
        </w:tc>
        <w:tc>
          <w:tcPr>
            <w:tcW w:w="1503" w:type="dxa"/>
            <w:tcBorders>
              <w:top w:val="single" w:sz="4" w:space="0" w:color="auto"/>
              <w:left w:val="nil"/>
              <w:bottom w:val="nil"/>
              <w:right w:val="nil"/>
            </w:tcBorders>
            <w:shd w:val="clear" w:color="auto" w:fill="auto"/>
            <w:noWrap/>
            <w:vAlign w:val="bottom"/>
            <w:hideMark/>
          </w:tcPr>
          <w:p w14:paraId="44EB2B6E" w14:textId="77777777" w:rsidR="00614F0A" w:rsidRPr="00614F0A" w:rsidRDefault="00614F0A">
            <w:pPr>
              <w:jc w:val="center"/>
              <w:rPr>
                <w:b/>
                <w:bCs/>
                <w:sz w:val="20"/>
                <w:szCs w:val="20"/>
              </w:rPr>
            </w:pPr>
            <w:r w:rsidRPr="00614F0A">
              <w:rPr>
                <w:b/>
                <w:bCs/>
                <w:sz w:val="20"/>
                <w:szCs w:val="20"/>
              </w:rPr>
              <w:t>IZVORNI PLAN</w:t>
            </w:r>
          </w:p>
        </w:tc>
        <w:tc>
          <w:tcPr>
            <w:tcW w:w="1440" w:type="dxa"/>
            <w:tcBorders>
              <w:top w:val="single" w:sz="4" w:space="0" w:color="auto"/>
              <w:left w:val="nil"/>
              <w:bottom w:val="nil"/>
              <w:right w:val="nil"/>
            </w:tcBorders>
            <w:shd w:val="clear" w:color="auto" w:fill="auto"/>
            <w:noWrap/>
            <w:vAlign w:val="bottom"/>
            <w:hideMark/>
          </w:tcPr>
          <w:p w14:paraId="0CEDF8A0" w14:textId="77777777" w:rsidR="00614F0A" w:rsidRPr="00614F0A" w:rsidRDefault="00614F0A">
            <w:pPr>
              <w:jc w:val="center"/>
              <w:rPr>
                <w:b/>
                <w:bCs/>
                <w:sz w:val="20"/>
                <w:szCs w:val="20"/>
              </w:rPr>
            </w:pPr>
            <w:r w:rsidRPr="00614F0A">
              <w:rPr>
                <w:b/>
                <w:bCs/>
                <w:sz w:val="20"/>
                <w:szCs w:val="20"/>
              </w:rPr>
              <w:t xml:space="preserve">IZVRŠENJE </w:t>
            </w:r>
          </w:p>
        </w:tc>
        <w:tc>
          <w:tcPr>
            <w:tcW w:w="1420" w:type="dxa"/>
            <w:tcBorders>
              <w:top w:val="single" w:sz="4" w:space="0" w:color="auto"/>
              <w:left w:val="nil"/>
              <w:bottom w:val="nil"/>
              <w:right w:val="nil"/>
            </w:tcBorders>
            <w:shd w:val="clear" w:color="auto" w:fill="auto"/>
            <w:noWrap/>
            <w:vAlign w:val="bottom"/>
            <w:hideMark/>
          </w:tcPr>
          <w:p w14:paraId="2067C78D" w14:textId="77777777" w:rsidR="00614F0A" w:rsidRPr="00614F0A" w:rsidRDefault="00614F0A">
            <w:pPr>
              <w:jc w:val="center"/>
              <w:rPr>
                <w:b/>
                <w:bCs/>
                <w:sz w:val="20"/>
                <w:szCs w:val="20"/>
              </w:rPr>
            </w:pPr>
            <w:r w:rsidRPr="00614F0A">
              <w:rPr>
                <w:b/>
                <w:bCs/>
                <w:sz w:val="20"/>
                <w:szCs w:val="20"/>
              </w:rPr>
              <w:t>INDEKS</w:t>
            </w:r>
          </w:p>
        </w:tc>
        <w:tc>
          <w:tcPr>
            <w:tcW w:w="1240" w:type="dxa"/>
            <w:tcBorders>
              <w:top w:val="single" w:sz="4" w:space="0" w:color="auto"/>
              <w:left w:val="nil"/>
              <w:bottom w:val="nil"/>
              <w:right w:val="nil"/>
            </w:tcBorders>
            <w:shd w:val="clear" w:color="auto" w:fill="auto"/>
            <w:noWrap/>
            <w:vAlign w:val="bottom"/>
            <w:hideMark/>
          </w:tcPr>
          <w:p w14:paraId="485F3341" w14:textId="77777777" w:rsidR="00614F0A" w:rsidRPr="00614F0A" w:rsidRDefault="00614F0A">
            <w:pPr>
              <w:jc w:val="center"/>
              <w:rPr>
                <w:b/>
                <w:bCs/>
                <w:sz w:val="20"/>
                <w:szCs w:val="20"/>
              </w:rPr>
            </w:pPr>
            <w:r w:rsidRPr="00614F0A">
              <w:rPr>
                <w:b/>
                <w:bCs/>
                <w:sz w:val="20"/>
                <w:szCs w:val="20"/>
              </w:rPr>
              <w:t>INDEKS</w:t>
            </w:r>
          </w:p>
        </w:tc>
      </w:tr>
      <w:tr w:rsidR="00614F0A" w:rsidRPr="00614F0A" w14:paraId="5B72A96F" w14:textId="77777777" w:rsidTr="00614F0A">
        <w:trPr>
          <w:trHeight w:val="300"/>
        </w:trPr>
        <w:tc>
          <w:tcPr>
            <w:tcW w:w="316" w:type="dxa"/>
            <w:tcBorders>
              <w:top w:val="nil"/>
              <w:left w:val="nil"/>
              <w:bottom w:val="single" w:sz="4" w:space="0" w:color="auto"/>
              <w:right w:val="nil"/>
            </w:tcBorders>
            <w:shd w:val="clear" w:color="auto" w:fill="auto"/>
            <w:noWrap/>
            <w:vAlign w:val="bottom"/>
            <w:hideMark/>
          </w:tcPr>
          <w:p w14:paraId="76428CE0" w14:textId="77777777" w:rsidR="00614F0A" w:rsidRPr="00614F0A" w:rsidRDefault="00614F0A">
            <w:pPr>
              <w:rPr>
                <w:b/>
                <w:bCs/>
                <w:sz w:val="20"/>
                <w:szCs w:val="20"/>
              </w:rPr>
            </w:pPr>
            <w:r w:rsidRPr="00614F0A">
              <w:rPr>
                <w:b/>
                <w:bCs/>
                <w:sz w:val="20"/>
                <w:szCs w:val="20"/>
              </w:rPr>
              <w:t> </w:t>
            </w:r>
          </w:p>
        </w:tc>
        <w:tc>
          <w:tcPr>
            <w:tcW w:w="6772" w:type="dxa"/>
            <w:tcBorders>
              <w:top w:val="nil"/>
              <w:left w:val="nil"/>
              <w:bottom w:val="single" w:sz="4" w:space="0" w:color="auto"/>
              <w:right w:val="nil"/>
            </w:tcBorders>
            <w:shd w:val="clear" w:color="auto" w:fill="auto"/>
            <w:noWrap/>
            <w:vAlign w:val="bottom"/>
            <w:hideMark/>
          </w:tcPr>
          <w:p w14:paraId="72237704" w14:textId="77777777" w:rsidR="00614F0A" w:rsidRPr="00614F0A" w:rsidRDefault="00614F0A">
            <w:pPr>
              <w:rPr>
                <w:b/>
                <w:bCs/>
                <w:sz w:val="20"/>
                <w:szCs w:val="20"/>
              </w:rPr>
            </w:pPr>
            <w:r w:rsidRPr="00614F0A">
              <w:rPr>
                <w:b/>
                <w:bCs/>
                <w:sz w:val="20"/>
                <w:szCs w:val="20"/>
              </w:rPr>
              <w:t> </w:t>
            </w:r>
          </w:p>
        </w:tc>
        <w:tc>
          <w:tcPr>
            <w:tcW w:w="1420" w:type="dxa"/>
            <w:tcBorders>
              <w:top w:val="nil"/>
              <w:left w:val="nil"/>
              <w:bottom w:val="single" w:sz="4" w:space="0" w:color="auto"/>
              <w:right w:val="nil"/>
            </w:tcBorders>
            <w:shd w:val="clear" w:color="auto" w:fill="auto"/>
            <w:noWrap/>
            <w:vAlign w:val="bottom"/>
            <w:hideMark/>
          </w:tcPr>
          <w:p w14:paraId="5599C837" w14:textId="77777777" w:rsidR="00614F0A" w:rsidRPr="00614F0A" w:rsidRDefault="00614F0A">
            <w:pPr>
              <w:jc w:val="center"/>
              <w:rPr>
                <w:b/>
                <w:bCs/>
                <w:sz w:val="20"/>
                <w:szCs w:val="20"/>
              </w:rPr>
            </w:pPr>
            <w:r w:rsidRPr="00614F0A">
              <w:rPr>
                <w:b/>
                <w:bCs/>
                <w:sz w:val="20"/>
                <w:szCs w:val="20"/>
              </w:rPr>
              <w:t>2021</w:t>
            </w:r>
          </w:p>
        </w:tc>
        <w:tc>
          <w:tcPr>
            <w:tcW w:w="1503" w:type="dxa"/>
            <w:tcBorders>
              <w:top w:val="nil"/>
              <w:left w:val="nil"/>
              <w:bottom w:val="single" w:sz="4" w:space="0" w:color="auto"/>
              <w:right w:val="nil"/>
            </w:tcBorders>
            <w:shd w:val="clear" w:color="auto" w:fill="auto"/>
            <w:noWrap/>
            <w:vAlign w:val="bottom"/>
            <w:hideMark/>
          </w:tcPr>
          <w:p w14:paraId="07A2D840" w14:textId="77777777" w:rsidR="00614F0A" w:rsidRPr="00614F0A" w:rsidRDefault="00614F0A">
            <w:pPr>
              <w:jc w:val="center"/>
              <w:rPr>
                <w:b/>
                <w:bCs/>
                <w:sz w:val="20"/>
                <w:szCs w:val="20"/>
              </w:rPr>
            </w:pPr>
            <w:r w:rsidRPr="00614F0A">
              <w:rPr>
                <w:b/>
                <w:bCs/>
                <w:sz w:val="20"/>
                <w:szCs w:val="20"/>
              </w:rPr>
              <w:t>2022.</w:t>
            </w:r>
          </w:p>
        </w:tc>
        <w:tc>
          <w:tcPr>
            <w:tcW w:w="1440" w:type="dxa"/>
            <w:tcBorders>
              <w:top w:val="nil"/>
              <w:left w:val="nil"/>
              <w:bottom w:val="single" w:sz="4" w:space="0" w:color="auto"/>
              <w:right w:val="nil"/>
            </w:tcBorders>
            <w:shd w:val="clear" w:color="auto" w:fill="auto"/>
            <w:noWrap/>
            <w:vAlign w:val="bottom"/>
            <w:hideMark/>
          </w:tcPr>
          <w:p w14:paraId="0D4EC2CE" w14:textId="77777777" w:rsidR="00614F0A" w:rsidRPr="00614F0A" w:rsidRDefault="00614F0A">
            <w:pPr>
              <w:jc w:val="center"/>
              <w:rPr>
                <w:b/>
                <w:bCs/>
                <w:sz w:val="20"/>
                <w:szCs w:val="20"/>
              </w:rPr>
            </w:pPr>
            <w:r w:rsidRPr="00614F0A">
              <w:rPr>
                <w:b/>
                <w:bCs/>
                <w:sz w:val="20"/>
                <w:szCs w:val="20"/>
              </w:rPr>
              <w:t>2022</w:t>
            </w:r>
          </w:p>
        </w:tc>
        <w:tc>
          <w:tcPr>
            <w:tcW w:w="1420" w:type="dxa"/>
            <w:tcBorders>
              <w:top w:val="nil"/>
              <w:left w:val="nil"/>
              <w:bottom w:val="single" w:sz="4" w:space="0" w:color="auto"/>
              <w:right w:val="nil"/>
            </w:tcBorders>
            <w:shd w:val="clear" w:color="auto" w:fill="auto"/>
            <w:noWrap/>
            <w:vAlign w:val="bottom"/>
            <w:hideMark/>
          </w:tcPr>
          <w:p w14:paraId="21940B1D" w14:textId="77777777" w:rsidR="00614F0A" w:rsidRPr="00614F0A" w:rsidRDefault="00614F0A">
            <w:pPr>
              <w:jc w:val="center"/>
              <w:rPr>
                <w:b/>
                <w:bCs/>
                <w:sz w:val="20"/>
                <w:szCs w:val="20"/>
              </w:rPr>
            </w:pPr>
            <w:r w:rsidRPr="00614F0A">
              <w:rPr>
                <w:b/>
                <w:bCs/>
                <w:sz w:val="20"/>
                <w:szCs w:val="20"/>
              </w:rPr>
              <w:t>4/2*100</w:t>
            </w:r>
          </w:p>
        </w:tc>
        <w:tc>
          <w:tcPr>
            <w:tcW w:w="1240" w:type="dxa"/>
            <w:tcBorders>
              <w:top w:val="nil"/>
              <w:left w:val="nil"/>
              <w:bottom w:val="single" w:sz="4" w:space="0" w:color="auto"/>
              <w:right w:val="nil"/>
            </w:tcBorders>
            <w:shd w:val="clear" w:color="auto" w:fill="auto"/>
            <w:noWrap/>
            <w:vAlign w:val="bottom"/>
            <w:hideMark/>
          </w:tcPr>
          <w:p w14:paraId="477B2CCE" w14:textId="77777777" w:rsidR="00614F0A" w:rsidRPr="00614F0A" w:rsidRDefault="00614F0A">
            <w:pPr>
              <w:jc w:val="center"/>
              <w:rPr>
                <w:b/>
                <w:bCs/>
                <w:sz w:val="20"/>
                <w:szCs w:val="20"/>
              </w:rPr>
            </w:pPr>
            <w:r w:rsidRPr="00614F0A">
              <w:rPr>
                <w:b/>
                <w:bCs/>
                <w:sz w:val="20"/>
                <w:szCs w:val="20"/>
              </w:rPr>
              <w:t>4/3*100</w:t>
            </w:r>
          </w:p>
        </w:tc>
      </w:tr>
      <w:tr w:rsidR="00614F0A" w:rsidRPr="00614F0A" w14:paraId="506B1022" w14:textId="77777777" w:rsidTr="00614F0A">
        <w:trPr>
          <w:trHeight w:val="300"/>
        </w:trPr>
        <w:tc>
          <w:tcPr>
            <w:tcW w:w="7088" w:type="dxa"/>
            <w:gridSpan w:val="2"/>
            <w:tcBorders>
              <w:top w:val="single" w:sz="4" w:space="0" w:color="auto"/>
              <w:left w:val="nil"/>
              <w:bottom w:val="single" w:sz="4" w:space="0" w:color="auto"/>
              <w:right w:val="nil"/>
            </w:tcBorders>
            <w:shd w:val="clear" w:color="auto" w:fill="auto"/>
            <w:noWrap/>
            <w:vAlign w:val="bottom"/>
            <w:hideMark/>
          </w:tcPr>
          <w:p w14:paraId="58DAF5EB" w14:textId="77777777" w:rsidR="00614F0A" w:rsidRPr="00614F0A" w:rsidRDefault="00614F0A">
            <w:pPr>
              <w:jc w:val="center"/>
              <w:rPr>
                <w:b/>
                <w:bCs/>
                <w:sz w:val="20"/>
                <w:szCs w:val="20"/>
              </w:rPr>
            </w:pPr>
            <w:r w:rsidRPr="00614F0A">
              <w:rPr>
                <w:b/>
                <w:bCs/>
                <w:sz w:val="20"/>
                <w:szCs w:val="20"/>
              </w:rPr>
              <w:t>1</w:t>
            </w:r>
          </w:p>
        </w:tc>
        <w:tc>
          <w:tcPr>
            <w:tcW w:w="1420" w:type="dxa"/>
            <w:tcBorders>
              <w:top w:val="nil"/>
              <w:left w:val="nil"/>
              <w:bottom w:val="single" w:sz="4" w:space="0" w:color="auto"/>
              <w:right w:val="nil"/>
            </w:tcBorders>
            <w:shd w:val="clear" w:color="auto" w:fill="auto"/>
            <w:noWrap/>
            <w:vAlign w:val="bottom"/>
            <w:hideMark/>
          </w:tcPr>
          <w:p w14:paraId="6319161B" w14:textId="77777777" w:rsidR="00614F0A" w:rsidRPr="00614F0A" w:rsidRDefault="00614F0A">
            <w:pPr>
              <w:jc w:val="center"/>
              <w:rPr>
                <w:b/>
                <w:bCs/>
                <w:sz w:val="20"/>
                <w:szCs w:val="20"/>
              </w:rPr>
            </w:pPr>
            <w:r w:rsidRPr="00614F0A">
              <w:rPr>
                <w:b/>
                <w:bCs/>
                <w:sz w:val="20"/>
                <w:szCs w:val="20"/>
              </w:rPr>
              <w:t>4</w:t>
            </w:r>
          </w:p>
        </w:tc>
        <w:tc>
          <w:tcPr>
            <w:tcW w:w="1503" w:type="dxa"/>
            <w:tcBorders>
              <w:top w:val="nil"/>
              <w:left w:val="nil"/>
              <w:bottom w:val="single" w:sz="4" w:space="0" w:color="auto"/>
              <w:right w:val="nil"/>
            </w:tcBorders>
            <w:shd w:val="clear" w:color="auto" w:fill="auto"/>
            <w:noWrap/>
            <w:vAlign w:val="bottom"/>
            <w:hideMark/>
          </w:tcPr>
          <w:p w14:paraId="5471EC90" w14:textId="77777777" w:rsidR="00614F0A" w:rsidRPr="00614F0A" w:rsidRDefault="00614F0A">
            <w:pPr>
              <w:jc w:val="center"/>
              <w:rPr>
                <w:b/>
                <w:bCs/>
                <w:sz w:val="20"/>
                <w:szCs w:val="20"/>
              </w:rPr>
            </w:pPr>
            <w:r w:rsidRPr="00614F0A">
              <w:rPr>
                <w:b/>
                <w:bCs/>
                <w:sz w:val="20"/>
                <w:szCs w:val="20"/>
              </w:rPr>
              <w:t>3</w:t>
            </w:r>
          </w:p>
        </w:tc>
        <w:tc>
          <w:tcPr>
            <w:tcW w:w="1440" w:type="dxa"/>
            <w:tcBorders>
              <w:top w:val="nil"/>
              <w:left w:val="nil"/>
              <w:bottom w:val="single" w:sz="4" w:space="0" w:color="auto"/>
              <w:right w:val="nil"/>
            </w:tcBorders>
            <w:shd w:val="clear" w:color="auto" w:fill="auto"/>
            <w:noWrap/>
            <w:vAlign w:val="bottom"/>
            <w:hideMark/>
          </w:tcPr>
          <w:p w14:paraId="318D3997" w14:textId="77777777" w:rsidR="00614F0A" w:rsidRPr="00614F0A" w:rsidRDefault="00614F0A">
            <w:pPr>
              <w:jc w:val="center"/>
              <w:rPr>
                <w:b/>
                <w:bCs/>
                <w:sz w:val="20"/>
                <w:szCs w:val="20"/>
              </w:rPr>
            </w:pPr>
            <w:r w:rsidRPr="00614F0A">
              <w:rPr>
                <w:b/>
                <w:bCs/>
                <w:sz w:val="20"/>
                <w:szCs w:val="20"/>
              </w:rPr>
              <w:t>4</w:t>
            </w:r>
          </w:p>
        </w:tc>
        <w:tc>
          <w:tcPr>
            <w:tcW w:w="1420" w:type="dxa"/>
            <w:tcBorders>
              <w:top w:val="nil"/>
              <w:left w:val="nil"/>
              <w:bottom w:val="single" w:sz="4" w:space="0" w:color="auto"/>
              <w:right w:val="nil"/>
            </w:tcBorders>
            <w:shd w:val="clear" w:color="auto" w:fill="auto"/>
            <w:noWrap/>
            <w:vAlign w:val="bottom"/>
            <w:hideMark/>
          </w:tcPr>
          <w:p w14:paraId="11E71134" w14:textId="77777777" w:rsidR="00614F0A" w:rsidRPr="00614F0A" w:rsidRDefault="00614F0A">
            <w:pPr>
              <w:jc w:val="center"/>
              <w:rPr>
                <w:b/>
                <w:bCs/>
                <w:sz w:val="20"/>
                <w:szCs w:val="20"/>
              </w:rPr>
            </w:pPr>
            <w:r w:rsidRPr="00614F0A">
              <w:rPr>
                <w:b/>
                <w:bCs/>
                <w:sz w:val="20"/>
                <w:szCs w:val="20"/>
              </w:rPr>
              <w:t>5</w:t>
            </w:r>
          </w:p>
        </w:tc>
        <w:tc>
          <w:tcPr>
            <w:tcW w:w="1240" w:type="dxa"/>
            <w:tcBorders>
              <w:top w:val="nil"/>
              <w:left w:val="nil"/>
              <w:bottom w:val="single" w:sz="4" w:space="0" w:color="auto"/>
              <w:right w:val="nil"/>
            </w:tcBorders>
            <w:shd w:val="clear" w:color="auto" w:fill="auto"/>
            <w:noWrap/>
            <w:vAlign w:val="bottom"/>
            <w:hideMark/>
          </w:tcPr>
          <w:p w14:paraId="688BA5F8" w14:textId="77777777" w:rsidR="00614F0A" w:rsidRPr="00614F0A" w:rsidRDefault="00614F0A">
            <w:pPr>
              <w:jc w:val="center"/>
              <w:rPr>
                <w:b/>
                <w:bCs/>
                <w:sz w:val="20"/>
                <w:szCs w:val="20"/>
              </w:rPr>
            </w:pPr>
            <w:r w:rsidRPr="00614F0A">
              <w:rPr>
                <w:b/>
                <w:bCs/>
                <w:sz w:val="20"/>
                <w:szCs w:val="20"/>
              </w:rPr>
              <w:t>6</w:t>
            </w:r>
          </w:p>
        </w:tc>
      </w:tr>
      <w:tr w:rsidR="00614F0A" w:rsidRPr="00614F0A" w14:paraId="63C94F58" w14:textId="77777777" w:rsidTr="00614F0A">
        <w:trPr>
          <w:trHeight w:val="300"/>
        </w:trPr>
        <w:tc>
          <w:tcPr>
            <w:tcW w:w="316" w:type="dxa"/>
            <w:tcBorders>
              <w:top w:val="nil"/>
              <w:left w:val="nil"/>
              <w:bottom w:val="nil"/>
              <w:right w:val="nil"/>
            </w:tcBorders>
            <w:shd w:val="clear" w:color="auto" w:fill="auto"/>
            <w:noWrap/>
            <w:vAlign w:val="bottom"/>
            <w:hideMark/>
          </w:tcPr>
          <w:p w14:paraId="3656B78D" w14:textId="77777777" w:rsidR="00614F0A" w:rsidRPr="00614F0A" w:rsidRDefault="00614F0A">
            <w:pPr>
              <w:jc w:val="right"/>
              <w:rPr>
                <w:b/>
                <w:bCs/>
                <w:sz w:val="20"/>
                <w:szCs w:val="20"/>
              </w:rPr>
            </w:pPr>
            <w:r w:rsidRPr="00614F0A">
              <w:rPr>
                <w:b/>
                <w:bCs/>
                <w:sz w:val="20"/>
                <w:szCs w:val="20"/>
              </w:rPr>
              <w:t>8</w:t>
            </w:r>
          </w:p>
        </w:tc>
        <w:tc>
          <w:tcPr>
            <w:tcW w:w="6772" w:type="dxa"/>
            <w:tcBorders>
              <w:top w:val="nil"/>
              <w:left w:val="nil"/>
              <w:bottom w:val="nil"/>
              <w:right w:val="nil"/>
            </w:tcBorders>
            <w:shd w:val="clear" w:color="auto" w:fill="auto"/>
            <w:noWrap/>
            <w:vAlign w:val="bottom"/>
            <w:hideMark/>
          </w:tcPr>
          <w:p w14:paraId="37CC75D6" w14:textId="77777777" w:rsidR="00614F0A" w:rsidRPr="00614F0A" w:rsidRDefault="00614F0A">
            <w:pPr>
              <w:rPr>
                <w:b/>
                <w:bCs/>
                <w:sz w:val="20"/>
                <w:szCs w:val="20"/>
              </w:rPr>
            </w:pPr>
            <w:r w:rsidRPr="00614F0A">
              <w:rPr>
                <w:b/>
                <w:bCs/>
                <w:sz w:val="20"/>
                <w:szCs w:val="20"/>
              </w:rPr>
              <w:t xml:space="preserve">    Primici od financijske imovine i zaduživanja</w:t>
            </w:r>
          </w:p>
        </w:tc>
        <w:tc>
          <w:tcPr>
            <w:tcW w:w="1420" w:type="dxa"/>
            <w:tcBorders>
              <w:top w:val="nil"/>
              <w:left w:val="nil"/>
              <w:bottom w:val="nil"/>
              <w:right w:val="nil"/>
            </w:tcBorders>
            <w:shd w:val="clear" w:color="auto" w:fill="auto"/>
            <w:noWrap/>
            <w:vAlign w:val="bottom"/>
            <w:hideMark/>
          </w:tcPr>
          <w:p w14:paraId="39D175DF" w14:textId="77777777" w:rsidR="00614F0A" w:rsidRPr="00614F0A" w:rsidRDefault="00614F0A">
            <w:pPr>
              <w:jc w:val="right"/>
              <w:rPr>
                <w:b/>
                <w:bCs/>
                <w:sz w:val="20"/>
                <w:szCs w:val="20"/>
              </w:rPr>
            </w:pPr>
            <w:r w:rsidRPr="00614F0A">
              <w:rPr>
                <w:b/>
                <w:bCs/>
                <w:sz w:val="20"/>
                <w:szCs w:val="20"/>
              </w:rPr>
              <w:t>2.514.605,44</w:t>
            </w:r>
          </w:p>
        </w:tc>
        <w:tc>
          <w:tcPr>
            <w:tcW w:w="1503" w:type="dxa"/>
            <w:tcBorders>
              <w:top w:val="nil"/>
              <w:left w:val="nil"/>
              <w:bottom w:val="nil"/>
              <w:right w:val="nil"/>
            </w:tcBorders>
            <w:shd w:val="clear" w:color="auto" w:fill="auto"/>
            <w:noWrap/>
            <w:vAlign w:val="bottom"/>
            <w:hideMark/>
          </w:tcPr>
          <w:p w14:paraId="33A3D1C4" w14:textId="77777777" w:rsidR="00614F0A" w:rsidRPr="00614F0A" w:rsidRDefault="00614F0A">
            <w:pPr>
              <w:jc w:val="right"/>
              <w:rPr>
                <w:b/>
                <w:bCs/>
                <w:sz w:val="20"/>
                <w:szCs w:val="20"/>
              </w:rPr>
            </w:pPr>
            <w:r w:rsidRPr="00614F0A">
              <w:rPr>
                <w:b/>
                <w:bCs/>
                <w:sz w:val="20"/>
                <w:szCs w:val="20"/>
              </w:rPr>
              <w:t>0,00</w:t>
            </w:r>
          </w:p>
        </w:tc>
        <w:tc>
          <w:tcPr>
            <w:tcW w:w="1440" w:type="dxa"/>
            <w:tcBorders>
              <w:top w:val="nil"/>
              <w:left w:val="nil"/>
              <w:bottom w:val="nil"/>
              <w:right w:val="nil"/>
            </w:tcBorders>
            <w:shd w:val="clear" w:color="auto" w:fill="auto"/>
            <w:noWrap/>
            <w:vAlign w:val="bottom"/>
            <w:hideMark/>
          </w:tcPr>
          <w:p w14:paraId="2EB3194E" w14:textId="77777777" w:rsidR="00614F0A" w:rsidRPr="00614F0A" w:rsidRDefault="00614F0A">
            <w:pPr>
              <w:jc w:val="right"/>
              <w:rPr>
                <w:b/>
                <w:bCs/>
                <w:sz w:val="20"/>
                <w:szCs w:val="20"/>
              </w:rPr>
            </w:pPr>
            <w:r w:rsidRPr="00614F0A">
              <w:rPr>
                <w:b/>
                <w:bCs/>
                <w:sz w:val="20"/>
                <w:szCs w:val="20"/>
              </w:rPr>
              <w:t>0,00</w:t>
            </w:r>
          </w:p>
        </w:tc>
        <w:tc>
          <w:tcPr>
            <w:tcW w:w="1420" w:type="dxa"/>
            <w:tcBorders>
              <w:top w:val="nil"/>
              <w:left w:val="nil"/>
              <w:bottom w:val="nil"/>
              <w:right w:val="nil"/>
            </w:tcBorders>
            <w:shd w:val="clear" w:color="auto" w:fill="auto"/>
            <w:noWrap/>
            <w:vAlign w:val="bottom"/>
            <w:hideMark/>
          </w:tcPr>
          <w:p w14:paraId="27DE9BA8" w14:textId="77777777" w:rsidR="00614F0A" w:rsidRPr="00614F0A" w:rsidRDefault="00614F0A">
            <w:pPr>
              <w:jc w:val="right"/>
              <w:rPr>
                <w:b/>
                <w:bCs/>
                <w:sz w:val="20"/>
                <w:szCs w:val="20"/>
              </w:rPr>
            </w:pPr>
            <w:r w:rsidRPr="00614F0A">
              <w:rPr>
                <w:b/>
                <w:bCs/>
                <w:sz w:val="20"/>
                <w:szCs w:val="20"/>
              </w:rPr>
              <w:t>0,00</w:t>
            </w:r>
          </w:p>
        </w:tc>
        <w:tc>
          <w:tcPr>
            <w:tcW w:w="1240" w:type="dxa"/>
            <w:tcBorders>
              <w:top w:val="nil"/>
              <w:left w:val="nil"/>
              <w:bottom w:val="nil"/>
              <w:right w:val="nil"/>
            </w:tcBorders>
            <w:shd w:val="clear" w:color="auto" w:fill="auto"/>
            <w:noWrap/>
            <w:vAlign w:val="bottom"/>
            <w:hideMark/>
          </w:tcPr>
          <w:p w14:paraId="2206391A" w14:textId="77777777" w:rsidR="00614F0A" w:rsidRPr="00614F0A" w:rsidRDefault="00614F0A">
            <w:pPr>
              <w:jc w:val="right"/>
              <w:rPr>
                <w:b/>
                <w:bCs/>
                <w:sz w:val="20"/>
                <w:szCs w:val="20"/>
              </w:rPr>
            </w:pPr>
            <w:r w:rsidRPr="00614F0A">
              <w:rPr>
                <w:b/>
                <w:bCs/>
                <w:sz w:val="20"/>
                <w:szCs w:val="20"/>
              </w:rPr>
              <w:t>0,00</w:t>
            </w:r>
          </w:p>
        </w:tc>
      </w:tr>
      <w:tr w:rsidR="00614F0A" w:rsidRPr="00614F0A" w14:paraId="0354F402" w14:textId="77777777" w:rsidTr="00614F0A">
        <w:trPr>
          <w:trHeight w:val="300"/>
        </w:trPr>
        <w:tc>
          <w:tcPr>
            <w:tcW w:w="316" w:type="dxa"/>
            <w:tcBorders>
              <w:top w:val="nil"/>
              <w:left w:val="nil"/>
              <w:bottom w:val="nil"/>
              <w:right w:val="nil"/>
            </w:tcBorders>
            <w:shd w:val="clear" w:color="auto" w:fill="auto"/>
            <w:noWrap/>
            <w:vAlign w:val="bottom"/>
            <w:hideMark/>
          </w:tcPr>
          <w:p w14:paraId="3CF5C5F3" w14:textId="77777777" w:rsidR="00614F0A" w:rsidRPr="00614F0A" w:rsidRDefault="00614F0A">
            <w:pPr>
              <w:jc w:val="right"/>
              <w:rPr>
                <w:b/>
                <w:bCs/>
                <w:sz w:val="20"/>
                <w:szCs w:val="20"/>
              </w:rPr>
            </w:pPr>
            <w:r w:rsidRPr="00614F0A">
              <w:rPr>
                <w:b/>
                <w:bCs/>
                <w:sz w:val="20"/>
                <w:szCs w:val="20"/>
              </w:rPr>
              <w:t>5</w:t>
            </w:r>
          </w:p>
        </w:tc>
        <w:tc>
          <w:tcPr>
            <w:tcW w:w="6772" w:type="dxa"/>
            <w:tcBorders>
              <w:top w:val="nil"/>
              <w:left w:val="nil"/>
              <w:bottom w:val="nil"/>
              <w:right w:val="nil"/>
            </w:tcBorders>
            <w:shd w:val="clear" w:color="auto" w:fill="auto"/>
            <w:noWrap/>
            <w:vAlign w:val="bottom"/>
            <w:hideMark/>
          </w:tcPr>
          <w:p w14:paraId="3BB7D318" w14:textId="77777777" w:rsidR="00614F0A" w:rsidRPr="00614F0A" w:rsidRDefault="00614F0A">
            <w:pPr>
              <w:rPr>
                <w:b/>
                <w:bCs/>
                <w:sz w:val="20"/>
                <w:szCs w:val="20"/>
              </w:rPr>
            </w:pPr>
            <w:r w:rsidRPr="00614F0A">
              <w:rPr>
                <w:b/>
                <w:bCs/>
                <w:sz w:val="20"/>
                <w:szCs w:val="20"/>
              </w:rPr>
              <w:t xml:space="preserve">    Izdaci za financijsku imovinu i otplate zajmova</w:t>
            </w:r>
          </w:p>
        </w:tc>
        <w:tc>
          <w:tcPr>
            <w:tcW w:w="1420" w:type="dxa"/>
            <w:tcBorders>
              <w:top w:val="nil"/>
              <w:left w:val="nil"/>
              <w:bottom w:val="nil"/>
              <w:right w:val="nil"/>
            </w:tcBorders>
            <w:shd w:val="clear" w:color="auto" w:fill="auto"/>
            <w:noWrap/>
            <w:vAlign w:val="bottom"/>
            <w:hideMark/>
          </w:tcPr>
          <w:p w14:paraId="162A1511" w14:textId="77777777" w:rsidR="00614F0A" w:rsidRPr="00614F0A" w:rsidRDefault="00614F0A">
            <w:pPr>
              <w:jc w:val="right"/>
              <w:rPr>
                <w:b/>
                <w:bCs/>
                <w:sz w:val="20"/>
                <w:szCs w:val="20"/>
              </w:rPr>
            </w:pPr>
            <w:r w:rsidRPr="00614F0A">
              <w:rPr>
                <w:b/>
                <w:bCs/>
                <w:sz w:val="20"/>
                <w:szCs w:val="20"/>
              </w:rPr>
              <w:t>2.186.397,02</w:t>
            </w:r>
          </w:p>
        </w:tc>
        <w:tc>
          <w:tcPr>
            <w:tcW w:w="1503" w:type="dxa"/>
            <w:tcBorders>
              <w:top w:val="nil"/>
              <w:left w:val="nil"/>
              <w:bottom w:val="nil"/>
              <w:right w:val="nil"/>
            </w:tcBorders>
            <w:shd w:val="clear" w:color="auto" w:fill="auto"/>
            <w:noWrap/>
            <w:vAlign w:val="bottom"/>
            <w:hideMark/>
          </w:tcPr>
          <w:p w14:paraId="6776DC61" w14:textId="77777777" w:rsidR="00614F0A" w:rsidRPr="00614F0A" w:rsidRDefault="00614F0A">
            <w:pPr>
              <w:jc w:val="right"/>
              <w:rPr>
                <w:b/>
                <w:bCs/>
                <w:sz w:val="20"/>
                <w:szCs w:val="20"/>
              </w:rPr>
            </w:pPr>
            <w:r w:rsidRPr="00614F0A">
              <w:rPr>
                <w:b/>
                <w:bCs/>
                <w:sz w:val="20"/>
                <w:szCs w:val="20"/>
              </w:rPr>
              <w:t>1.219.000,00</w:t>
            </w:r>
          </w:p>
        </w:tc>
        <w:tc>
          <w:tcPr>
            <w:tcW w:w="1440" w:type="dxa"/>
            <w:tcBorders>
              <w:top w:val="nil"/>
              <w:left w:val="nil"/>
              <w:bottom w:val="nil"/>
              <w:right w:val="nil"/>
            </w:tcBorders>
            <w:shd w:val="clear" w:color="auto" w:fill="auto"/>
            <w:noWrap/>
            <w:vAlign w:val="bottom"/>
            <w:hideMark/>
          </w:tcPr>
          <w:p w14:paraId="55F15FB6" w14:textId="77777777" w:rsidR="00614F0A" w:rsidRPr="00614F0A" w:rsidRDefault="00614F0A">
            <w:pPr>
              <w:jc w:val="right"/>
              <w:rPr>
                <w:b/>
                <w:bCs/>
                <w:sz w:val="20"/>
                <w:szCs w:val="20"/>
              </w:rPr>
            </w:pPr>
            <w:r w:rsidRPr="00614F0A">
              <w:rPr>
                <w:b/>
                <w:bCs/>
                <w:sz w:val="20"/>
                <w:szCs w:val="20"/>
              </w:rPr>
              <w:t>1.216.116,80</w:t>
            </w:r>
          </w:p>
        </w:tc>
        <w:tc>
          <w:tcPr>
            <w:tcW w:w="1420" w:type="dxa"/>
            <w:tcBorders>
              <w:top w:val="nil"/>
              <w:left w:val="nil"/>
              <w:bottom w:val="nil"/>
              <w:right w:val="nil"/>
            </w:tcBorders>
            <w:shd w:val="clear" w:color="auto" w:fill="auto"/>
            <w:noWrap/>
            <w:vAlign w:val="bottom"/>
            <w:hideMark/>
          </w:tcPr>
          <w:p w14:paraId="27F1A73B" w14:textId="77777777" w:rsidR="00614F0A" w:rsidRPr="00614F0A" w:rsidRDefault="00614F0A">
            <w:pPr>
              <w:jc w:val="right"/>
              <w:rPr>
                <w:b/>
                <w:bCs/>
                <w:sz w:val="20"/>
                <w:szCs w:val="20"/>
              </w:rPr>
            </w:pPr>
            <w:r w:rsidRPr="00614F0A">
              <w:rPr>
                <w:b/>
                <w:bCs/>
                <w:sz w:val="20"/>
                <w:szCs w:val="20"/>
              </w:rPr>
              <w:t>55,62</w:t>
            </w:r>
          </w:p>
        </w:tc>
        <w:tc>
          <w:tcPr>
            <w:tcW w:w="1240" w:type="dxa"/>
            <w:tcBorders>
              <w:top w:val="nil"/>
              <w:left w:val="nil"/>
              <w:bottom w:val="nil"/>
              <w:right w:val="nil"/>
            </w:tcBorders>
            <w:shd w:val="clear" w:color="auto" w:fill="auto"/>
            <w:noWrap/>
            <w:vAlign w:val="bottom"/>
            <w:hideMark/>
          </w:tcPr>
          <w:p w14:paraId="7CA93B4D" w14:textId="77777777" w:rsidR="00614F0A" w:rsidRPr="00614F0A" w:rsidRDefault="00614F0A">
            <w:pPr>
              <w:jc w:val="right"/>
              <w:rPr>
                <w:b/>
                <w:bCs/>
                <w:sz w:val="20"/>
                <w:szCs w:val="20"/>
              </w:rPr>
            </w:pPr>
            <w:r w:rsidRPr="00614F0A">
              <w:rPr>
                <w:b/>
                <w:bCs/>
                <w:sz w:val="20"/>
                <w:szCs w:val="20"/>
              </w:rPr>
              <w:t>99,76</w:t>
            </w:r>
          </w:p>
        </w:tc>
      </w:tr>
      <w:tr w:rsidR="00614F0A" w:rsidRPr="00614F0A" w14:paraId="6C7C5AB4" w14:textId="77777777" w:rsidTr="00614F0A">
        <w:trPr>
          <w:trHeight w:val="300"/>
        </w:trPr>
        <w:tc>
          <w:tcPr>
            <w:tcW w:w="316" w:type="dxa"/>
            <w:tcBorders>
              <w:top w:val="single" w:sz="4" w:space="0" w:color="auto"/>
              <w:left w:val="nil"/>
              <w:bottom w:val="single" w:sz="4" w:space="0" w:color="auto"/>
              <w:right w:val="nil"/>
            </w:tcBorders>
            <w:shd w:val="clear" w:color="auto" w:fill="auto"/>
            <w:noWrap/>
            <w:vAlign w:val="bottom"/>
            <w:hideMark/>
          </w:tcPr>
          <w:p w14:paraId="6D21AE17" w14:textId="77777777" w:rsidR="00614F0A" w:rsidRPr="00614F0A" w:rsidRDefault="00614F0A">
            <w:pPr>
              <w:rPr>
                <w:b/>
                <w:bCs/>
                <w:sz w:val="20"/>
                <w:szCs w:val="20"/>
              </w:rPr>
            </w:pPr>
            <w:r w:rsidRPr="00614F0A">
              <w:rPr>
                <w:b/>
                <w:bCs/>
                <w:sz w:val="20"/>
                <w:szCs w:val="20"/>
              </w:rPr>
              <w:t> </w:t>
            </w:r>
          </w:p>
        </w:tc>
        <w:tc>
          <w:tcPr>
            <w:tcW w:w="6772" w:type="dxa"/>
            <w:tcBorders>
              <w:top w:val="single" w:sz="4" w:space="0" w:color="auto"/>
              <w:left w:val="nil"/>
              <w:bottom w:val="single" w:sz="4" w:space="0" w:color="auto"/>
              <w:right w:val="nil"/>
            </w:tcBorders>
            <w:shd w:val="clear" w:color="auto" w:fill="auto"/>
            <w:noWrap/>
            <w:vAlign w:val="bottom"/>
            <w:hideMark/>
          </w:tcPr>
          <w:p w14:paraId="40209F7E" w14:textId="77777777" w:rsidR="00614F0A" w:rsidRPr="00614F0A" w:rsidRDefault="00614F0A">
            <w:pPr>
              <w:rPr>
                <w:b/>
                <w:bCs/>
                <w:sz w:val="20"/>
                <w:szCs w:val="20"/>
              </w:rPr>
            </w:pPr>
            <w:r w:rsidRPr="00614F0A">
              <w:rPr>
                <w:b/>
                <w:bCs/>
                <w:sz w:val="20"/>
                <w:szCs w:val="20"/>
              </w:rPr>
              <w:t>NETO ZADUŽIVANJE/FINANCIRANJE</w:t>
            </w:r>
          </w:p>
        </w:tc>
        <w:tc>
          <w:tcPr>
            <w:tcW w:w="1420" w:type="dxa"/>
            <w:tcBorders>
              <w:top w:val="single" w:sz="4" w:space="0" w:color="auto"/>
              <w:left w:val="nil"/>
              <w:bottom w:val="single" w:sz="4" w:space="0" w:color="auto"/>
              <w:right w:val="nil"/>
            </w:tcBorders>
            <w:shd w:val="clear" w:color="auto" w:fill="auto"/>
            <w:noWrap/>
            <w:vAlign w:val="bottom"/>
            <w:hideMark/>
          </w:tcPr>
          <w:p w14:paraId="3E938E59" w14:textId="77777777" w:rsidR="00614F0A" w:rsidRPr="00614F0A" w:rsidRDefault="00614F0A">
            <w:pPr>
              <w:jc w:val="right"/>
              <w:rPr>
                <w:b/>
                <w:bCs/>
                <w:sz w:val="20"/>
                <w:szCs w:val="20"/>
              </w:rPr>
            </w:pPr>
            <w:r w:rsidRPr="00614F0A">
              <w:rPr>
                <w:b/>
                <w:bCs/>
                <w:sz w:val="20"/>
                <w:szCs w:val="20"/>
              </w:rPr>
              <w:t>328.208,42</w:t>
            </w:r>
          </w:p>
        </w:tc>
        <w:tc>
          <w:tcPr>
            <w:tcW w:w="1503" w:type="dxa"/>
            <w:tcBorders>
              <w:top w:val="single" w:sz="4" w:space="0" w:color="auto"/>
              <w:left w:val="nil"/>
              <w:bottom w:val="single" w:sz="4" w:space="0" w:color="auto"/>
              <w:right w:val="nil"/>
            </w:tcBorders>
            <w:shd w:val="clear" w:color="auto" w:fill="auto"/>
            <w:noWrap/>
            <w:vAlign w:val="bottom"/>
            <w:hideMark/>
          </w:tcPr>
          <w:p w14:paraId="3DC8C38D" w14:textId="77777777" w:rsidR="00614F0A" w:rsidRPr="00614F0A" w:rsidRDefault="00614F0A">
            <w:pPr>
              <w:jc w:val="right"/>
              <w:rPr>
                <w:b/>
                <w:bCs/>
                <w:sz w:val="20"/>
                <w:szCs w:val="20"/>
              </w:rPr>
            </w:pPr>
            <w:r w:rsidRPr="00614F0A">
              <w:rPr>
                <w:b/>
                <w:bCs/>
                <w:sz w:val="20"/>
                <w:szCs w:val="20"/>
              </w:rPr>
              <w:t>-1.219.000,00</w:t>
            </w:r>
          </w:p>
        </w:tc>
        <w:tc>
          <w:tcPr>
            <w:tcW w:w="1440" w:type="dxa"/>
            <w:tcBorders>
              <w:top w:val="single" w:sz="4" w:space="0" w:color="auto"/>
              <w:left w:val="nil"/>
              <w:bottom w:val="single" w:sz="4" w:space="0" w:color="auto"/>
              <w:right w:val="nil"/>
            </w:tcBorders>
            <w:shd w:val="clear" w:color="auto" w:fill="auto"/>
            <w:noWrap/>
            <w:vAlign w:val="bottom"/>
            <w:hideMark/>
          </w:tcPr>
          <w:p w14:paraId="5A02BC2E" w14:textId="77777777" w:rsidR="00614F0A" w:rsidRPr="00614F0A" w:rsidRDefault="00614F0A">
            <w:pPr>
              <w:jc w:val="right"/>
              <w:rPr>
                <w:b/>
                <w:bCs/>
                <w:sz w:val="20"/>
                <w:szCs w:val="20"/>
              </w:rPr>
            </w:pPr>
            <w:r w:rsidRPr="00614F0A">
              <w:rPr>
                <w:b/>
                <w:bCs/>
                <w:sz w:val="20"/>
                <w:szCs w:val="20"/>
              </w:rPr>
              <w:t>-1.216.116,80</w:t>
            </w:r>
          </w:p>
        </w:tc>
        <w:tc>
          <w:tcPr>
            <w:tcW w:w="1420" w:type="dxa"/>
            <w:tcBorders>
              <w:top w:val="single" w:sz="4" w:space="0" w:color="auto"/>
              <w:left w:val="nil"/>
              <w:bottom w:val="single" w:sz="4" w:space="0" w:color="auto"/>
              <w:right w:val="nil"/>
            </w:tcBorders>
            <w:shd w:val="clear" w:color="auto" w:fill="auto"/>
            <w:noWrap/>
            <w:vAlign w:val="bottom"/>
            <w:hideMark/>
          </w:tcPr>
          <w:p w14:paraId="35FA2740" w14:textId="77777777" w:rsidR="00614F0A" w:rsidRPr="00614F0A" w:rsidRDefault="00614F0A">
            <w:pPr>
              <w:jc w:val="right"/>
              <w:rPr>
                <w:b/>
                <w:bCs/>
                <w:sz w:val="20"/>
                <w:szCs w:val="20"/>
              </w:rPr>
            </w:pPr>
            <w:r w:rsidRPr="00614F0A">
              <w:rPr>
                <w:b/>
                <w:bCs/>
                <w:sz w:val="20"/>
                <w:szCs w:val="20"/>
              </w:rPr>
              <w:t>-371,41</w:t>
            </w:r>
          </w:p>
        </w:tc>
        <w:tc>
          <w:tcPr>
            <w:tcW w:w="1240" w:type="dxa"/>
            <w:tcBorders>
              <w:top w:val="single" w:sz="4" w:space="0" w:color="auto"/>
              <w:left w:val="nil"/>
              <w:bottom w:val="single" w:sz="4" w:space="0" w:color="auto"/>
              <w:right w:val="nil"/>
            </w:tcBorders>
            <w:shd w:val="clear" w:color="auto" w:fill="auto"/>
            <w:noWrap/>
            <w:vAlign w:val="bottom"/>
            <w:hideMark/>
          </w:tcPr>
          <w:p w14:paraId="58C0835D" w14:textId="77777777" w:rsidR="00614F0A" w:rsidRPr="00614F0A" w:rsidRDefault="00614F0A">
            <w:pPr>
              <w:jc w:val="right"/>
              <w:rPr>
                <w:b/>
                <w:bCs/>
                <w:sz w:val="20"/>
                <w:szCs w:val="20"/>
              </w:rPr>
            </w:pPr>
            <w:r w:rsidRPr="00614F0A">
              <w:rPr>
                <w:b/>
                <w:bCs/>
                <w:sz w:val="20"/>
                <w:szCs w:val="20"/>
              </w:rPr>
              <w:t>99,76</w:t>
            </w:r>
          </w:p>
        </w:tc>
      </w:tr>
      <w:tr w:rsidR="00614F0A" w:rsidRPr="00614F0A" w14:paraId="503AA215" w14:textId="77777777" w:rsidTr="00614F0A">
        <w:trPr>
          <w:trHeight w:val="150"/>
        </w:trPr>
        <w:tc>
          <w:tcPr>
            <w:tcW w:w="316" w:type="dxa"/>
            <w:tcBorders>
              <w:top w:val="nil"/>
              <w:left w:val="nil"/>
              <w:bottom w:val="nil"/>
              <w:right w:val="nil"/>
            </w:tcBorders>
            <w:shd w:val="clear" w:color="auto" w:fill="auto"/>
            <w:noWrap/>
            <w:vAlign w:val="bottom"/>
            <w:hideMark/>
          </w:tcPr>
          <w:p w14:paraId="79B09603" w14:textId="77777777" w:rsidR="00614F0A" w:rsidRPr="00614F0A" w:rsidRDefault="00614F0A">
            <w:pPr>
              <w:jc w:val="right"/>
              <w:rPr>
                <w:b/>
                <w:bCs/>
                <w:sz w:val="20"/>
                <w:szCs w:val="20"/>
              </w:rPr>
            </w:pPr>
          </w:p>
        </w:tc>
        <w:tc>
          <w:tcPr>
            <w:tcW w:w="6772" w:type="dxa"/>
            <w:tcBorders>
              <w:top w:val="nil"/>
              <w:left w:val="nil"/>
              <w:bottom w:val="nil"/>
              <w:right w:val="nil"/>
            </w:tcBorders>
            <w:shd w:val="clear" w:color="auto" w:fill="auto"/>
            <w:noWrap/>
            <w:vAlign w:val="bottom"/>
            <w:hideMark/>
          </w:tcPr>
          <w:p w14:paraId="0677DD37" w14:textId="77777777" w:rsidR="00614F0A" w:rsidRPr="00614F0A" w:rsidRDefault="00614F0A">
            <w:pPr>
              <w:rPr>
                <w:sz w:val="20"/>
                <w:szCs w:val="20"/>
              </w:rPr>
            </w:pPr>
          </w:p>
        </w:tc>
        <w:tc>
          <w:tcPr>
            <w:tcW w:w="1420" w:type="dxa"/>
            <w:tcBorders>
              <w:top w:val="nil"/>
              <w:left w:val="nil"/>
              <w:bottom w:val="nil"/>
              <w:right w:val="nil"/>
            </w:tcBorders>
            <w:shd w:val="clear" w:color="auto" w:fill="auto"/>
            <w:noWrap/>
            <w:vAlign w:val="bottom"/>
            <w:hideMark/>
          </w:tcPr>
          <w:p w14:paraId="3F6E3EA7" w14:textId="77777777" w:rsidR="00614F0A" w:rsidRPr="00614F0A" w:rsidRDefault="00614F0A">
            <w:pPr>
              <w:rPr>
                <w:sz w:val="20"/>
                <w:szCs w:val="20"/>
              </w:rPr>
            </w:pPr>
          </w:p>
        </w:tc>
        <w:tc>
          <w:tcPr>
            <w:tcW w:w="1503" w:type="dxa"/>
            <w:tcBorders>
              <w:top w:val="nil"/>
              <w:left w:val="nil"/>
              <w:bottom w:val="nil"/>
              <w:right w:val="nil"/>
            </w:tcBorders>
            <w:shd w:val="clear" w:color="auto" w:fill="auto"/>
            <w:noWrap/>
            <w:vAlign w:val="bottom"/>
            <w:hideMark/>
          </w:tcPr>
          <w:p w14:paraId="036664F0" w14:textId="77777777" w:rsidR="00614F0A" w:rsidRPr="00614F0A" w:rsidRDefault="00614F0A">
            <w:pPr>
              <w:rPr>
                <w:sz w:val="20"/>
                <w:szCs w:val="20"/>
              </w:rPr>
            </w:pPr>
          </w:p>
        </w:tc>
        <w:tc>
          <w:tcPr>
            <w:tcW w:w="1440" w:type="dxa"/>
            <w:tcBorders>
              <w:top w:val="nil"/>
              <w:left w:val="nil"/>
              <w:bottom w:val="nil"/>
              <w:right w:val="nil"/>
            </w:tcBorders>
            <w:shd w:val="clear" w:color="auto" w:fill="auto"/>
            <w:noWrap/>
            <w:vAlign w:val="bottom"/>
            <w:hideMark/>
          </w:tcPr>
          <w:p w14:paraId="0A3AFD9E" w14:textId="77777777" w:rsidR="00614F0A" w:rsidRPr="00614F0A" w:rsidRDefault="00614F0A">
            <w:pPr>
              <w:rPr>
                <w:sz w:val="20"/>
                <w:szCs w:val="20"/>
              </w:rPr>
            </w:pPr>
          </w:p>
        </w:tc>
        <w:tc>
          <w:tcPr>
            <w:tcW w:w="1420" w:type="dxa"/>
            <w:tcBorders>
              <w:top w:val="nil"/>
              <w:left w:val="nil"/>
              <w:bottom w:val="nil"/>
              <w:right w:val="nil"/>
            </w:tcBorders>
            <w:shd w:val="clear" w:color="auto" w:fill="auto"/>
            <w:noWrap/>
            <w:vAlign w:val="bottom"/>
            <w:hideMark/>
          </w:tcPr>
          <w:p w14:paraId="1420533E" w14:textId="77777777" w:rsidR="00614F0A" w:rsidRPr="00614F0A" w:rsidRDefault="00614F0A">
            <w:pPr>
              <w:rPr>
                <w:sz w:val="20"/>
                <w:szCs w:val="20"/>
              </w:rPr>
            </w:pPr>
          </w:p>
        </w:tc>
        <w:tc>
          <w:tcPr>
            <w:tcW w:w="1240" w:type="dxa"/>
            <w:tcBorders>
              <w:top w:val="nil"/>
              <w:left w:val="nil"/>
              <w:bottom w:val="nil"/>
              <w:right w:val="nil"/>
            </w:tcBorders>
            <w:shd w:val="clear" w:color="auto" w:fill="auto"/>
            <w:noWrap/>
            <w:vAlign w:val="bottom"/>
            <w:hideMark/>
          </w:tcPr>
          <w:p w14:paraId="372637E2" w14:textId="77777777" w:rsidR="00614F0A" w:rsidRPr="00614F0A" w:rsidRDefault="00614F0A">
            <w:pPr>
              <w:rPr>
                <w:sz w:val="20"/>
                <w:szCs w:val="20"/>
              </w:rPr>
            </w:pPr>
          </w:p>
        </w:tc>
      </w:tr>
      <w:tr w:rsidR="00614F0A" w:rsidRPr="00614F0A" w14:paraId="6BB764CB" w14:textId="77777777" w:rsidTr="00614F0A">
        <w:trPr>
          <w:trHeight w:val="300"/>
        </w:trPr>
        <w:tc>
          <w:tcPr>
            <w:tcW w:w="316" w:type="dxa"/>
            <w:tcBorders>
              <w:top w:val="single" w:sz="4" w:space="0" w:color="auto"/>
              <w:left w:val="nil"/>
              <w:bottom w:val="single" w:sz="4" w:space="0" w:color="auto"/>
              <w:right w:val="nil"/>
            </w:tcBorders>
            <w:shd w:val="clear" w:color="auto" w:fill="auto"/>
            <w:noWrap/>
            <w:vAlign w:val="bottom"/>
            <w:hideMark/>
          </w:tcPr>
          <w:p w14:paraId="7468D651" w14:textId="77777777" w:rsidR="00614F0A" w:rsidRPr="00614F0A" w:rsidRDefault="00614F0A">
            <w:pPr>
              <w:rPr>
                <w:sz w:val="20"/>
                <w:szCs w:val="20"/>
              </w:rPr>
            </w:pPr>
            <w:r w:rsidRPr="00614F0A">
              <w:rPr>
                <w:sz w:val="20"/>
                <w:szCs w:val="20"/>
              </w:rPr>
              <w:t> </w:t>
            </w:r>
          </w:p>
        </w:tc>
        <w:tc>
          <w:tcPr>
            <w:tcW w:w="6772" w:type="dxa"/>
            <w:tcBorders>
              <w:top w:val="single" w:sz="4" w:space="0" w:color="auto"/>
              <w:left w:val="nil"/>
              <w:bottom w:val="single" w:sz="4" w:space="0" w:color="auto"/>
              <w:right w:val="nil"/>
            </w:tcBorders>
            <w:shd w:val="clear" w:color="auto" w:fill="auto"/>
            <w:noWrap/>
            <w:vAlign w:val="bottom"/>
            <w:hideMark/>
          </w:tcPr>
          <w:p w14:paraId="74F2E7B2" w14:textId="77777777" w:rsidR="00614F0A" w:rsidRPr="00614F0A" w:rsidRDefault="00614F0A">
            <w:pPr>
              <w:rPr>
                <w:b/>
                <w:bCs/>
                <w:sz w:val="20"/>
                <w:szCs w:val="20"/>
              </w:rPr>
            </w:pPr>
            <w:r w:rsidRPr="00614F0A">
              <w:rPr>
                <w:b/>
                <w:bCs/>
                <w:sz w:val="20"/>
                <w:szCs w:val="20"/>
              </w:rPr>
              <w:t>VIŠAK/MANJAK TEKUĆE GODINE (A+B)</w:t>
            </w:r>
          </w:p>
        </w:tc>
        <w:tc>
          <w:tcPr>
            <w:tcW w:w="1420" w:type="dxa"/>
            <w:tcBorders>
              <w:top w:val="single" w:sz="4" w:space="0" w:color="auto"/>
              <w:left w:val="nil"/>
              <w:bottom w:val="single" w:sz="4" w:space="0" w:color="auto"/>
              <w:right w:val="nil"/>
            </w:tcBorders>
            <w:shd w:val="clear" w:color="auto" w:fill="auto"/>
            <w:noWrap/>
            <w:vAlign w:val="bottom"/>
            <w:hideMark/>
          </w:tcPr>
          <w:p w14:paraId="25AF84B0" w14:textId="77777777" w:rsidR="00614F0A" w:rsidRPr="00614F0A" w:rsidRDefault="00614F0A">
            <w:pPr>
              <w:jc w:val="right"/>
              <w:rPr>
                <w:b/>
                <w:bCs/>
                <w:sz w:val="20"/>
                <w:szCs w:val="20"/>
              </w:rPr>
            </w:pPr>
            <w:r w:rsidRPr="00614F0A">
              <w:rPr>
                <w:b/>
                <w:bCs/>
                <w:sz w:val="20"/>
                <w:szCs w:val="20"/>
              </w:rPr>
              <w:t>1.168.087,85</w:t>
            </w:r>
          </w:p>
        </w:tc>
        <w:tc>
          <w:tcPr>
            <w:tcW w:w="1503" w:type="dxa"/>
            <w:tcBorders>
              <w:top w:val="single" w:sz="4" w:space="0" w:color="auto"/>
              <w:left w:val="nil"/>
              <w:bottom w:val="single" w:sz="4" w:space="0" w:color="auto"/>
              <w:right w:val="nil"/>
            </w:tcBorders>
            <w:shd w:val="clear" w:color="auto" w:fill="auto"/>
            <w:noWrap/>
            <w:vAlign w:val="bottom"/>
            <w:hideMark/>
          </w:tcPr>
          <w:p w14:paraId="59821280" w14:textId="77777777" w:rsidR="00614F0A" w:rsidRPr="00614F0A" w:rsidRDefault="00614F0A">
            <w:pPr>
              <w:jc w:val="right"/>
              <w:rPr>
                <w:b/>
                <w:bCs/>
                <w:sz w:val="20"/>
                <w:szCs w:val="20"/>
              </w:rPr>
            </w:pPr>
            <w:r w:rsidRPr="00614F0A">
              <w:rPr>
                <w:b/>
                <w:bCs/>
                <w:sz w:val="20"/>
                <w:szCs w:val="20"/>
              </w:rPr>
              <w:t>-560.931,06</w:t>
            </w:r>
          </w:p>
        </w:tc>
        <w:tc>
          <w:tcPr>
            <w:tcW w:w="1440" w:type="dxa"/>
            <w:tcBorders>
              <w:top w:val="single" w:sz="4" w:space="0" w:color="auto"/>
              <w:left w:val="nil"/>
              <w:bottom w:val="single" w:sz="4" w:space="0" w:color="auto"/>
              <w:right w:val="nil"/>
            </w:tcBorders>
            <w:shd w:val="clear" w:color="auto" w:fill="auto"/>
            <w:noWrap/>
            <w:vAlign w:val="bottom"/>
            <w:hideMark/>
          </w:tcPr>
          <w:p w14:paraId="6E0CAC09" w14:textId="77777777" w:rsidR="00614F0A" w:rsidRPr="00614F0A" w:rsidRDefault="00614F0A">
            <w:pPr>
              <w:jc w:val="right"/>
              <w:rPr>
                <w:b/>
                <w:bCs/>
                <w:sz w:val="20"/>
                <w:szCs w:val="20"/>
              </w:rPr>
            </w:pPr>
            <w:r w:rsidRPr="00614F0A">
              <w:rPr>
                <w:b/>
                <w:bCs/>
                <w:sz w:val="20"/>
                <w:szCs w:val="20"/>
              </w:rPr>
              <w:t>-263.888,90</w:t>
            </w:r>
          </w:p>
        </w:tc>
        <w:tc>
          <w:tcPr>
            <w:tcW w:w="1420" w:type="dxa"/>
            <w:tcBorders>
              <w:top w:val="single" w:sz="4" w:space="0" w:color="auto"/>
              <w:left w:val="nil"/>
              <w:bottom w:val="single" w:sz="4" w:space="0" w:color="auto"/>
              <w:right w:val="nil"/>
            </w:tcBorders>
            <w:shd w:val="clear" w:color="auto" w:fill="auto"/>
            <w:noWrap/>
            <w:vAlign w:val="bottom"/>
            <w:hideMark/>
          </w:tcPr>
          <w:p w14:paraId="7730D8EA" w14:textId="77777777" w:rsidR="00614F0A" w:rsidRPr="00614F0A" w:rsidRDefault="00614F0A">
            <w:pPr>
              <w:jc w:val="right"/>
              <w:rPr>
                <w:b/>
                <w:bCs/>
                <w:sz w:val="20"/>
                <w:szCs w:val="20"/>
              </w:rPr>
            </w:pPr>
            <w:r w:rsidRPr="00614F0A">
              <w:rPr>
                <w:b/>
                <w:bCs/>
                <w:sz w:val="20"/>
                <w:szCs w:val="20"/>
              </w:rPr>
              <w:t>-22,59</w:t>
            </w:r>
          </w:p>
        </w:tc>
        <w:tc>
          <w:tcPr>
            <w:tcW w:w="1240" w:type="dxa"/>
            <w:tcBorders>
              <w:top w:val="single" w:sz="4" w:space="0" w:color="auto"/>
              <w:left w:val="nil"/>
              <w:bottom w:val="single" w:sz="4" w:space="0" w:color="auto"/>
              <w:right w:val="nil"/>
            </w:tcBorders>
            <w:shd w:val="clear" w:color="auto" w:fill="auto"/>
            <w:noWrap/>
            <w:vAlign w:val="bottom"/>
            <w:hideMark/>
          </w:tcPr>
          <w:p w14:paraId="27FE8EC2" w14:textId="77777777" w:rsidR="00614F0A" w:rsidRPr="00614F0A" w:rsidRDefault="00614F0A">
            <w:pPr>
              <w:jc w:val="right"/>
              <w:rPr>
                <w:b/>
                <w:bCs/>
                <w:sz w:val="20"/>
                <w:szCs w:val="20"/>
              </w:rPr>
            </w:pPr>
            <w:r w:rsidRPr="00614F0A">
              <w:rPr>
                <w:b/>
                <w:bCs/>
                <w:sz w:val="20"/>
                <w:szCs w:val="20"/>
              </w:rPr>
              <w:t>47,04</w:t>
            </w:r>
          </w:p>
        </w:tc>
      </w:tr>
      <w:tr w:rsidR="00614F0A" w:rsidRPr="00614F0A" w14:paraId="64C84AF5" w14:textId="77777777" w:rsidTr="00614F0A">
        <w:trPr>
          <w:trHeight w:val="300"/>
        </w:trPr>
        <w:tc>
          <w:tcPr>
            <w:tcW w:w="7088" w:type="dxa"/>
            <w:gridSpan w:val="2"/>
            <w:tcBorders>
              <w:top w:val="single" w:sz="4" w:space="0" w:color="auto"/>
              <w:left w:val="nil"/>
              <w:bottom w:val="single" w:sz="4" w:space="0" w:color="auto"/>
              <w:right w:val="nil"/>
            </w:tcBorders>
            <w:shd w:val="clear" w:color="auto" w:fill="auto"/>
            <w:noWrap/>
            <w:vAlign w:val="bottom"/>
            <w:hideMark/>
          </w:tcPr>
          <w:p w14:paraId="75A2A20D" w14:textId="77777777" w:rsidR="00614F0A" w:rsidRPr="00614F0A" w:rsidRDefault="00614F0A">
            <w:pPr>
              <w:rPr>
                <w:b/>
                <w:bCs/>
                <w:sz w:val="20"/>
                <w:szCs w:val="20"/>
              </w:rPr>
            </w:pPr>
            <w:r w:rsidRPr="00614F0A">
              <w:rPr>
                <w:b/>
                <w:bCs/>
                <w:sz w:val="20"/>
                <w:szCs w:val="20"/>
              </w:rPr>
              <w:t>C. RASPOLOŽIVA SREDSTVA IZ PRETHODNIH GODINA</w:t>
            </w:r>
          </w:p>
        </w:tc>
        <w:tc>
          <w:tcPr>
            <w:tcW w:w="1420" w:type="dxa"/>
            <w:tcBorders>
              <w:top w:val="nil"/>
              <w:left w:val="nil"/>
              <w:bottom w:val="single" w:sz="4" w:space="0" w:color="auto"/>
              <w:right w:val="nil"/>
            </w:tcBorders>
            <w:shd w:val="clear" w:color="auto" w:fill="auto"/>
            <w:noWrap/>
            <w:vAlign w:val="bottom"/>
            <w:hideMark/>
          </w:tcPr>
          <w:p w14:paraId="7B2FB28C" w14:textId="77777777" w:rsidR="00614F0A" w:rsidRPr="00614F0A" w:rsidRDefault="00614F0A">
            <w:pPr>
              <w:jc w:val="right"/>
              <w:rPr>
                <w:b/>
                <w:bCs/>
                <w:sz w:val="20"/>
                <w:szCs w:val="20"/>
              </w:rPr>
            </w:pPr>
            <w:r w:rsidRPr="00614F0A">
              <w:rPr>
                <w:b/>
                <w:bCs/>
                <w:sz w:val="20"/>
                <w:szCs w:val="20"/>
              </w:rPr>
              <w:t>-607.156,79</w:t>
            </w:r>
          </w:p>
        </w:tc>
        <w:tc>
          <w:tcPr>
            <w:tcW w:w="1503" w:type="dxa"/>
            <w:tcBorders>
              <w:top w:val="nil"/>
              <w:left w:val="nil"/>
              <w:bottom w:val="single" w:sz="4" w:space="0" w:color="auto"/>
              <w:right w:val="nil"/>
            </w:tcBorders>
            <w:shd w:val="clear" w:color="auto" w:fill="auto"/>
            <w:noWrap/>
            <w:vAlign w:val="bottom"/>
            <w:hideMark/>
          </w:tcPr>
          <w:p w14:paraId="6FE19F5D" w14:textId="77777777" w:rsidR="00614F0A" w:rsidRPr="00614F0A" w:rsidRDefault="00614F0A">
            <w:pPr>
              <w:jc w:val="right"/>
              <w:rPr>
                <w:b/>
                <w:bCs/>
                <w:sz w:val="20"/>
                <w:szCs w:val="20"/>
              </w:rPr>
            </w:pPr>
            <w:r w:rsidRPr="00614F0A">
              <w:rPr>
                <w:b/>
                <w:bCs/>
                <w:sz w:val="20"/>
                <w:szCs w:val="20"/>
              </w:rPr>
              <w:t>560.931,06</w:t>
            </w:r>
          </w:p>
        </w:tc>
        <w:tc>
          <w:tcPr>
            <w:tcW w:w="1440" w:type="dxa"/>
            <w:tcBorders>
              <w:top w:val="nil"/>
              <w:left w:val="nil"/>
              <w:bottom w:val="single" w:sz="4" w:space="0" w:color="auto"/>
              <w:right w:val="nil"/>
            </w:tcBorders>
            <w:shd w:val="clear" w:color="auto" w:fill="auto"/>
            <w:noWrap/>
            <w:vAlign w:val="bottom"/>
            <w:hideMark/>
          </w:tcPr>
          <w:p w14:paraId="3DABB263" w14:textId="77777777" w:rsidR="00614F0A" w:rsidRPr="00614F0A" w:rsidRDefault="00614F0A">
            <w:pPr>
              <w:jc w:val="right"/>
              <w:rPr>
                <w:b/>
                <w:bCs/>
                <w:sz w:val="20"/>
                <w:szCs w:val="20"/>
              </w:rPr>
            </w:pPr>
            <w:r w:rsidRPr="00614F0A">
              <w:rPr>
                <w:b/>
                <w:bCs/>
                <w:sz w:val="20"/>
                <w:szCs w:val="20"/>
              </w:rPr>
              <w:t>560.931,06</w:t>
            </w:r>
          </w:p>
        </w:tc>
        <w:tc>
          <w:tcPr>
            <w:tcW w:w="1420" w:type="dxa"/>
            <w:tcBorders>
              <w:top w:val="nil"/>
              <w:left w:val="nil"/>
              <w:bottom w:val="single" w:sz="4" w:space="0" w:color="auto"/>
              <w:right w:val="nil"/>
            </w:tcBorders>
            <w:shd w:val="clear" w:color="auto" w:fill="auto"/>
            <w:noWrap/>
            <w:vAlign w:val="bottom"/>
            <w:hideMark/>
          </w:tcPr>
          <w:p w14:paraId="7EE766B0" w14:textId="77777777" w:rsidR="00614F0A" w:rsidRPr="00614F0A" w:rsidRDefault="00614F0A">
            <w:pPr>
              <w:jc w:val="right"/>
              <w:rPr>
                <w:b/>
                <w:bCs/>
                <w:sz w:val="20"/>
                <w:szCs w:val="20"/>
              </w:rPr>
            </w:pPr>
            <w:r w:rsidRPr="00614F0A">
              <w:rPr>
                <w:b/>
                <w:bCs/>
                <w:sz w:val="20"/>
                <w:szCs w:val="20"/>
              </w:rPr>
              <w:t>-92,39</w:t>
            </w:r>
          </w:p>
        </w:tc>
        <w:tc>
          <w:tcPr>
            <w:tcW w:w="1240" w:type="dxa"/>
            <w:tcBorders>
              <w:top w:val="nil"/>
              <w:left w:val="nil"/>
              <w:bottom w:val="single" w:sz="4" w:space="0" w:color="auto"/>
              <w:right w:val="nil"/>
            </w:tcBorders>
            <w:shd w:val="clear" w:color="auto" w:fill="auto"/>
            <w:noWrap/>
            <w:vAlign w:val="bottom"/>
            <w:hideMark/>
          </w:tcPr>
          <w:p w14:paraId="0E5B6F44" w14:textId="77777777" w:rsidR="00614F0A" w:rsidRPr="00614F0A" w:rsidRDefault="00614F0A">
            <w:pPr>
              <w:jc w:val="right"/>
              <w:rPr>
                <w:b/>
                <w:bCs/>
                <w:sz w:val="20"/>
                <w:szCs w:val="20"/>
              </w:rPr>
            </w:pPr>
            <w:r w:rsidRPr="00614F0A">
              <w:rPr>
                <w:b/>
                <w:bCs/>
                <w:sz w:val="20"/>
                <w:szCs w:val="20"/>
              </w:rPr>
              <w:t>100,00</w:t>
            </w:r>
          </w:p>
        </w:tc>
      </w:tr>
      <w:tr w:rsidR="00614F0A" w:rsidRPr="00614F0A" w14:paraId="67BB45B4" w14:textId="77777777" w:rsidTr="00614F0A">
        <w:trPr>
          <w:trHeight w:val="300"/>
        </w:trPr>
        <w:tc>
          <w:tcPr>
            <w:tcW w:w="316" w:type="dxa"/>
            <w:tcBorders>
              <w:top w:val="nil"/>
              <w:left w:val="nil"/>
              <w:bottom w:val="single" w:sz="4" w:space="0" w:color="auto"/>
              <w:right w:val="nil"/>
            </w:tcBorders>
            <w:shd w:val="clear" w:color="auto" w:fill="auto"/>
            <w:noWrap/>
            <w:vAlign w:val="bottom"/>
            <w:hideMark/>
          </w:tcPr>
          <w:p w14:paraId="72F08F3D" w14:textId="77777777" w:rsidR="00614F0A" w:rsidRPr="00614F0A" w:rsidRDefault="00614F0A">
            <w:pPr>
              <w:rPr>
                <w:sz w:val="20"/>
                <w:szCs w:val="20"/>
              </w:rPr>
            </w:pPr>
            <w:r w:rsidRPr="00614F0A">
              <w:rPr>
                <w:sz w:val="20"/>
                <w:szCs w:val="20"/>
              </w:rPr>
              <w:t> </w:t>
            </w:r>
          </w:p>
        </w:tc>
        <w:tc>
          <w:tcPr>
            <w:tcW w:w="6772" w:type="dxa"/>
            <w:tcBorders>
              <w:top w:val="nil"/>
              <w:left w:val="nil"/>
              <w:bottom w:val="single" w:sz="4" w:space="0" w:color="auto"/>
              <w:right w:val="nil"/>
            </w:tcBorders>
            <w:shd w:val="clear" w:color="auto" w:fill="auto"/>
            <w:noWrap/>
            <w:vAlign w:val="bottom"/>
            <w:hideMark/>
          </w:tcPr>
          <w:p w14:paraId="11B40921" w14:textId="77777777" w:rsidR="00614F0A" w:rsidRPr="00614F0A" w:rsidRDefault="00614F0A">
            <w:pPr>
              <w:rPr>
                <w:b/>
                <w:bCs/>
                <w:sz w:val="20"/>
                <w:szCs w:val="20"/>
              </w:rPr>
            </w:pPr>
            <w:r w:rsidRPr="00614F0A">
              <w:rPr>
                <w:b/>
                <w:bCs/>
                <w:sz w:val="20"/>
                <w:szCs w:val="20"/>
              </w:rPr>
              <w:t>VIŠAK/MANJAK RASPOLOŽIV/ZA POKRIĆE U SLJEDEĆEM RAZDOBLJU (A+B+C)</w:t>
            </w:r>
          </w:p>
        </w:tc>
        <w:tc>
          <w:tcPr>
            <w:tcW w:w="1420" w:type="dxa"/>
            <w:tcBorders>
              <w:top w:val="nil"/>
              <w:left w:val="nil"/>
              <w:bottom w:val="single" w:sz="4" w:space="0" w:color="auto"/>
              <w:right w:val="nil"/>
            </w:tcBorders>
            <w:shd w:val="clear" w:color="auto" w:fill="auto"/>
            <w:noWrap/>
            <w:vAlign w:val="bottom"/>
            <w:hideMark/>
          </w:tcPr>
          <w:p w14:paraId="42CEF51B" w14:textId="77777777" w:rsidR="00614F0A" w:rsidRPr="00614F0A" w:rsidRDefault="00614F0A">
            <w:pPr>
              <w:jc w:val="right"/>
              <w:rPr>
                <w:b/>
                <w:bCs/>
                <w:sz w:val="20"/>
                <w:szCs w:val="20"/>
              </w:rPr>
            </w:pPr>
            <w:r w:rsidRPr="00614F0A">
              <w:rPr>
                <w:b/>
                <w:bCs/>
                <w:sz w:val="20"/>
                <w:szCs w:val="20"/>
              </w:rPr>
              <w:t>560.931,06</w:t>
            </w:r>
          </w:p>
        </w:tc>
        <w:tc>
          <w:tcPr>
            <w:tcW w:w="1503" w:type="dxa"/>
            <w:tcBorders>
              <w:top w:val="nil"/>
              <w:left w:val="nil"/>
              <w:bottom w:val="single" w:sz="4" w:space="0" w:color="auto"/>
              <w:right w:val="nil"/>
            </w:tcBorders>
            <w:shd w:val="clear" w:color="auto" w:fill="auto"/>
            <w:noWrap/>
            <w:vAlign w:val="bottom"/>
            <w:hideMark/>
          </w:tcPr>
          <w:p w14:paraId="189DD68A" w14:textId="77777777" w:rsidR="00614F0A" w:rsidRPr="00614F0A" w:rsidRDefault="00614F0A">
            <w:pPr>
              <w:jc w:val="right"/>
              <w:rPr>
                <w:b/>
                <w:bCs/>
                <w:sz w:val="20"/>
                <w:szCs w:val="20"/>
              </w:rPr>
            </w:pPr>
            <w:r w:rsidRPr="00614F0A">
              <w:rPr>
                <w:b/>
                <w:bCs/>
                <w:sz w:val="20"/>
                <w:szCs w:val="20"/>
              </w:rPr>
              <w:t>0,00</w:t>
            </w:r>
          </w:p>
        </w:tc>
        <w:tc>
          <w:tcPr>
            <w:tcW w:w="1440" w:type="dxa"/>
            <w:tcBorders>
              <w:top w:val="nil"/>
              <w:left w:val="nil"/>
              <w:bottom w:val="single" w:sz="4" w:space="0" w:color="auto"/>
              <w:right w:val="nil"/>
            </w:tcBorders>
            <w:shd w:val="clear" w:color="auto" w:fill="auto"/>
            <w:noWrap/>
            <w:vAlign w:val="bottom"/>
            <w:hideMark/>
          </w:tcPr>
          <w:p w14:paraId="7A3C3BC7" w14:textId="77777777" w:rsidR="00614F0A" w:rsidRPr="00614F0A" w:rsidRDefault="00614F0A">
            <w:pPr>
              <w:jc w:val="right"/>
              <w:rPr>
                <w:b/>
                <w:bCs/>
                <w:sz w:val="20"/>
                <w:szCs w:val="20"/>
              </w:rPr>
            </w:pPr>
            <w:r w:rsidRPr="00614F0A">
              <w:rPr>
                <w:b/>
                <w:bCs/>
                <w:sz w:val="20"/>
                <w:szCs w:val="20"/>
              </w:rPr>
              <w:t>297.042,16</w:t>
            </w:r>
          </w:p>
        </w:tc>
        <w:tc>
          <w:tcPr>
            <w:tcW w:w="1420" w:type="dxa"/>
            <w:tcBorders>
              <w:top w:val="nil"/>
              <w:left w:val="nil"/>
              <w:bottom w:val="single" w:sz="4" w:space="0" w:color="auto"/>
              <w:right w:val="nil"/>
            </w:tcBorders>
            <w:shd w:val="clear" w:color="auto" w:fill="auto"/>
            <w:noWrap/>
            <w:vAlign w:val="bottom"/>
            <w:hideMark/>
          </w:tcPr>
          <w:p w14:paraId="73CE44B7" w14:textId="77777777" w:rsidR="00614F0A" w:rsidRPr="00614F0A" w:rsidRDefault="00614F0A">
            <w:pPr>
              <w:jc w:val="right"/>
              <w:rPr>
                <w:b/>
                <w:bCs/>
                <w:sz w:val="20"/>
                <w:szCs w:val="20"/>
              </w:rPr>
            </w:pPr>
            <w:r w:rsidRPr="00614F0A">
              <w:rPr>
                <w:b/>
                <w:bCs/>
                <w:sz w:val="20"/>
                <w:szCs w:val="20"/>
              </w:rPr>
              <w:t>52,96</w:t>
            </w:r>
          </w:p>
        </w:tc>
        <w:tc>
          <w:tcPr>
            <w:tcW w:w="1240" w:type="dxa"/>
            <w:tcBorders>
              <w:top w:val="nil"/>
              <w:left w:val="nil"/>
              <w:bottom w:val="single" w:sz="4" w:space="0" w:color="auto"/>
              <w:right w:val="nil"/>
            </w:tcBorders>
            <w:shd w:val="clear" w:color="auto" w:fill="auto"/>
            <w:noWrap/>
            <w:vAlign w:val="bottom"/>
            <w:hideMark/>
          </w:tcPr>
          <w:p w14:paraId="4B2F1166" w14:textId="77777777" w:rsidR="00614F0A" w:rsidRPr="00614F0A" w:rsidRDefault="00614F0A">
            <w:pPr>
              <w:jc w:val="right"/>
              <w:rPr>
                <w:b/>
                <w:bCs/>
                <w:sz w:val="20"/>
                <w:szCs w:val="20"/>
              </w:rPr>
            </w:pPr>
            <w:r w:rsidRPr="00614F0A">
              <w:rPr>
                <w:b/>
                <w:bCs/>
                <w:sz w:val="20"/>
                <w:szCs w:val="20"/>
              </w:rPr>
              <w:t>0,00</w:t>
            </w:r>
          </w:p>
        </w:tc>
      </w:tr>
    </w:tbl>
    <w:p w14:paraId="16535EF6" w14:textId="77777777" w:rsidR="00614F0A" w:rsidRPr="00614F0A" w:rsidRDefault="00614F0A" w:rsidP="00614F0A"/>
    <w:p w14:paraId="2E2AD99B" w14:textId="77777777" w:rsidR="00162952" w:rsidRDefault="00162952" w:rsidP="00AD72E4">
      <w:pPr>
        <w:pStyle w:val="Subtitle1"/>
        <w:rPr>
          <w:rFonts w:ascii="Times New Roman" w:hAnsi="Times New Roman"/>
          <w:sz w:val="24"/>
          <w:szCs w:val="24"/>
        </w:rPr>
      </w:pPr>
      <w:bookmarkStart w:id="6" w:name="_Toc78878307"/>
      <w:bookmarkStart w:id="7" w:name="_Toc79578494"/>
    </w:p>
    <w:p w14:paraId="16683122" w14:textId="2D2B8794" w:rsidR="006F4711" w:rsidRDefault="00F56993" w:rsidP="00AD72E4">
      <w:pPr>
        <w:pStyle w:val="Subtitle1"/>
        <w:rPr>
          <w:rFonts w:ascii="Times New Roman" w:hAnsi="Times New Roman"/>
          <w:sz w:val="24"/>
          <w:szCs w:val="24"/>
        </w:rPr>
      </w:pPr>
      <w:bookmarkStart w:id="8" w:name="_Toc133398662"/>
      <w:r w:rsidRPr="00AD72E4">
        <w:rPr>
          <w:rFonts w:ascii="Times New Roman" w:hAnsi="Times New Roman"/>
          <w:sz w:val="24"/>
          <w:szCs w:val="24"/>
        </w:rPr>
        <w:lastRenderedPageBreak/>
        <w:t>2. A. RAČUN PRIHODA I RASHODA</w:t>
      </w:r>
      <w:bookmarkEnd w:id="6"/>
      <w:bookmarkEnd w:id="7"/>
      <w:bookmarkEnd w:id="8"/>
    </w:p>
    <w:tbl>
      <w:tblPr>
        <w:tblW w:w="14041" w:type="dxa"/>
        <w:tblLook w:val="04A0" w:firstRow="1" w:lastRow="0" w:firstColumn="1" w:lastColumn="0" w:noHBand="0" w:noVBand="1"/>
      </w:tblPr>
      <w:tblGrid>
        <w:gridCol w:w="616"/>
        <w:gridCol w:w="6472"/>
        <w:gridCol w:w="1559"/>
        <w:gridCol w:w="1503"/>
        <w:gridCol w:w="1366"/>
        <w:gridCol w:w="1525"/>
        <w:gridCol w:w="1000"/>
      </w:tblGrid>
      <w:tr w:rsidR="003B2C9F" w:rsidRPr="003B2C9F" w14:paraId="6DF81349" w14:textId="77777777" w:rsidTr="003B2C9F">
        <w:trPr>
          <w:trHeight w:val="255"/>
        </w:trPr>
        <w:tc>
          <w:tcPr>
            <w:tcW w:w="8647" w:type="dxa"/>
            <w:gridSpan w:val="3"/>
            <w:tcBorders>
              <w:top w:val="nil"/>
              <w:left w:val="nil"/>
              <w:bottom w:val="nil"/>
              <w:right w:val="nil"/>
            </w:tcBorders>
            <w:shd w:val="clear" w:color="auto" w:fill="auto"/>
            <w:noWrap/>
            <w:vAlign w:val="bottom"/>
            <w:hideMark/>
          </w:tcPr>
          <w:p w14:paraId="1A7D046C" w14:textId="77777777" w:rsidR="003B2C9F" w:rsidRPr="00953AE7" w:rsidRDefault="003B2C9F" w:rsidP="00953AE7">
            <w:pPr>
              <w:pStyle w:val="Subtitle1"/>
              <w:rPr>
                <w:rFonts w:ascii="Times New Roman" w:hAnsi="Times New Roman"/>
                <w:sz w:val="20"/>
                <w:szCs w:val="20"/>
              </w:rPr>
            </w:pPr>
            <w:bookmarkStart w:id="9" w:name="_Toc133398663"/>
            <w:r w:rsidRPr="00953AE7">
              <w:rPr>
                <w:rFonts w:ascii="Times New Roman" w:hAnsi="Times New Roman"/>
                <w:sz w:val="20"/>
                <w:szCs w:val="20"/>
              </w:rPr>
              <w:t>2. A. 1. RAČUN PRIHODA I RASHODA - PREMA EKONOMSKOJ KLASIFIKACIJI</w:t>
            </w:r>
            <w:bookmarkEnd w:id="9"/>
          </w:p>
        </w:tc>
        <w:tc>
          <w:tcPr>
            <w:tcW w:w="1503" w:type="dxa"/>
            <w:tcBorders>
              <w:top w:val="nil"/>
              <w:left w:val="nil"/>
              <w:bottom w:val="nil"/>
              <w:right w:val="nil"/>
            </w:tcBorders>
            <w:shd w:val="clear" w:color="auto" w:fill="auto"/>
            <w:noWrap/>
            <w:vAlign w:val="bottom"/>
            <w:hideMark/>
          </w:tcPr>
          <w:p w14:paraId="491F68C5" w14:textId="77777777" w:rsidR="003B2C9F" w:rsidRPr="003B2C9F" w:rsidRDefault="003B2C9F" w:rsidP="003B2C9F">
            <w:pPr>
              <w:rPr>
                <w:b/>
                <w:bCs/>
                <w:color w:val="000000"/>
                <w:sz w:val="20"/>
                <w:szCs w:val="20"/>
              </w:rPr>
            </w:pPr>
          </w:p>
        </w:tc>
        <w:tc>
          <w:tcPr>
            <w:tcW w:w="1366" w:type="dxa"/>
            <w:tcBorders>
              <w:top w:val="nil"/>
              <w:left w:val="nil"/>
              <w:bottom w:val="nil"/>
              <w:right w:val="nil"/>
            </w:tcBorders>
            <w:shd w:val="clear" w:color="auto" w:fill="auto"/>
            <w:noWrap/>
            <w:vAlign w:val="bottom"/>
            <w:hideMark/>
          </w:tcPr>
          <w:p w14:paraId="5503169F" w14:textId="77777777" w:rsidR="003B2C9F" w:rsidRPr="003B2C9F" w:rsidRDefault="003B2C9F" w:rsidP="003B2C9F">
            <w:pPr>
              <w:rPr>
                <w:sz w:val="20"/>
                <w:szCs w:val="20"/>
              </w:rPr>
            </w:pPr>
          </w:p>
        </w:tc>
        <w:tc>
          <w:tcPr>
            <w:tcW w:w="1525" w:type="dxa"/>
            <w:tcBorders>
              <w:top w:val="nil"/>
              <w:left w:val="nil"/>
              <w:bottom w:val="nil"/>
              <w:right w:val="nil"/>
            </w:tcBorders>
            <w:shd w:val="clear" w:color="auto" w:fill="auto"/>
            <w:noWrap/>
            <w:vAlign w:val="bottom"/>
            <w:hideMark/>
          </w:tcPr>
          <w:p w14:paraId="7287AF6B" w14:textId="77777777" w:rsidR="003B2C9F" w:rsidRPr="003B2C9F" w:rsidRDefault="003B2C9F" w:rsidP="003B2C9F">
            <w:pPr>
              <w:rPr>
                <w:sz w:val="20"/>
                <w:szCs w:val="20"/>
              </w:rPr>
            </w:pPr>
          </w:p>
        </w:tc>
        <w:tc>
          <w:tcPr>
            <w:tcW w:w="1000" w:type="dxa"/>
            <w:tcBorders>
              <w:top w:val="nil"/>
              <w:left w:val="nil"/>
              <w:bottom w:val="nil"/>
              <w:right w:val="nil"/>
            </w:tcBorders>
            <w:shd w:val="clear" w:color="auto" w:fill="auto"/>
            <w:noWrap/>
            <w:vAlign w:val="bottom"/>
            <w:hideMark/>
          </w:tcPr>
          <w:p w14:paraId="5A619E05" w14:textId="77777777" w:rsidR="003B2C9F" w:rsidRPr="003B2C9F" w:rsidRDefault="003B2C9F" w:rsidP="003B2C9F">
            <w:pPr>
              <w:rPr>
                <w:sz w:val="20"/>
                <w:szCs w:val="20"/>
              </w:rPr>
            </w:pPr>
          </w:p>
        </w:tc>
      </w:tr>
      <w:tr w:rsidR="003B2C9F" w:rsidRPr="003B2C9F" w14:paraId="00EB4854" w14:textId="77777777" w:rsidTr="003B2C9F">
        <w:trPr>
          <w:trHeight w:val="255"/>
        </w:trPr>
        <w:tc>
          <w:tcPr>
            <w:tcW w:w="616" w:type="dxa"/>
            <w:tcBorders>
              <w:top w:val="nil"/>
              <w:left w:val="nil"/>
              <w:bottom w:val="nil"/>
              <w:right w:val="nil"/>
            </w:tcBorders>
            <w:shd w:val="clear" w:color="auto" w:fill="auto"/>
            <w:noWrap/>
            <w:vAlign w:val="bottom"/>
            <w:hideMark/>
          </w:tcPr>
          <w:p w14:paraId="6108BFD1" w14:textId="77777777" w:rsidR="003B2C9F" w:rsidRPr="003B2C9F" w:rsidRDefault="003B2C9F" w:rsidP="003B2C9F">
            <w:pPr>
              <w:rPr>
                <w:sz w:val="20"/>
                <w:szCs w:val="20"/>
              </w:rPr>
            </w:pPr>
          </w:p>
        </w:tc>
        <w:tc>
          <w:tcPr>
            <w:tcW w:w="6472" w:type="dxa"/>
            <w:tcBorders>
              <w:top w:val="nil"/>
              <w:left w:val="nil"/>
              <w:bottom w:val="nil"/>
              <w:right w:val="nil"/>
            </w:tcBorders>
            <w:shd w:val="clear" w:color="auto" w:fill="auto"/>
            <w:noWrap/>
            <w:vAlign w:val="bottom"/>
            <w:hideMark/>
          </w:tcPr>
          <w:p w14:paraId="27B3AF23" w14:textId="77777777" w:rsidR="003B2C9F" w:rsidRPr="003B2C9F" w:rsidRDefault="003B2C9F" w:rsidP="003B2C9F">
            <w:pPr>
              <w:rPr>
                <w:sz w:val="20"/>
                <w:szCs w:val="20"/>
              </w:rPr>
            </w:pPr>
          </w:p>
        </w:tc>
        <w:tc>
          <w:tcPr>
            <w:tcW w:w="1559" w:type="dxa"/>
            <w:tcBorders>
              <w:top w:val="nil"/>
              <w:left w:val="nil"/>
              <w:bottom w:val="nil"/>
              <w:right w:val="nil"/>
            </w:tcBorders>
            <w:shd w:val="clear" w:color="auto" w:fill="auto"/>
            <w:noWrap/>
            <w:vAlign w:val="bottom"/>
            <w:hideMark/>
          </w:tcPr>
          <w:p w14:paraId="33528F02" w14:textId="77777777" w:rsidR="003B2C9F" w:rsidRPr="003B2C9F" w:rsidRDefault="003B2C9F" w:rsidP="003B2C9F">
            <w:pPr>
              <w:rPr>
                <w:sz w:val="20"/>
                <w:szCs w:val="20"/>
              </w:rPr>
            </w:pPr>
          </w:p>
        </w:tc>
        <w:tc>
          <w:tcPr>
            <w:tcW w:w="1503" w:type="dxa"/>
            <w:tcBorders>
              <w:top w:val="nil"/>
              <w:left w:val="nil"/>
              <w:bottom w:val="nil"/>
              <w:right w:val="nil"/>
            </w:tcBorders>
            <w:shd w:val="clear" w:color="auto" w:fill="auto"/>
            <w:noWrap/>
            <w:vAlign w:val="bottom"/>
            <w:hideMark/>
          </w:tcPr>
          <w:p w14:paraId="01450989" w14:textId="77777777" w:rsidR="003B2C9F" w:rsidRPr="003B2C9F" w:rsidRDefault="003B2C9F" w:rsidP="003B2C9F">
            <w:pPr>
              <w:rPr>
                <w:sz w:val="20"/>
                <w:szCs w:val="20"/>
              </w:rPr>
            </w:pPr>
          </w:p>
        </w:tc>
        <w:tc>
          <w:tcPr>
            <w:tcW w:w="1366" w:type="dxa"/>
            <w:tcBorders>
              <w:top w:val="nil"/>
              <w:left w:val="nil"/>
              <w:bottom w:val="nil"/>
              <w:right w:val="nil"/>
            </w:tcBorders>
            <w:shd w:val="clear" w:color="auto" w:fill="auto"/>
            <w:noWrap/>
            <w:vAlign w:val="bottom"/>
            <w:hideMark/>
          </w:tcPr>
          <w:p w14:paraId="508B7D06" w14:textId="77777777" w:rsidR="003B2C9F" w:rsidRPr="003B2C9F" w:rsidRDefault="003B2C9F" w:rsidP="003B2C9F">
            <w:pPr>
              <w:rPr>
                <w:sz w:val="20"/>
                <w:szCs w:val="20"/>
              </w:rPr>
            </w:pPr>
          </w:p>
        </w:tc>
        <w:tc>
          <w:tcPr>
            <w:tcW w:w="1525" w:type="dxa"/>
            <w:tcBorders>
              <w:top w:val="nil"/>
              <w:left w:val="nil"/>
              <w:bottom w:val="nil"/>
              <w:right w:val="nil"/>
            </w:tcBorders>
            <w:shd w:val="clear" w:color="auto" w:fill="auto"/>
            <w:noWrap/>
            <w:vAlign w:val="bottom"/>
            <w:hideMark/>
          </w:tcPr>
          <w:p w14:paraId="12482820" w14:textId="77777777" w:rsidR="003B2C9F" w:rsidRPr="003B2C9F" w:rsidRDefault="003B2C9F" w:rsidP="003B2C9F">
            <w:pPr>
              <w:rPr>
                <w:sz w:val="20"/>
                <w:szCs w:val="20"/>
              </w:rPr>
            </w:pPr>
          </w:p>
        </w:tc>
        <w:tc>
          <w:tcPr>
            <w:tcW w:w="1000" w:type="dxa"/>
            <w:tcBorders>
              <w:top w:val="nil"/>
              <w:left w:val="nil"/>
              <w:bottom w:val="nil"/>
              <w:right w:val="nil"/>
            </w:tcBorders>
            <w:shd w:val="clear" w:color="auto" w:fill="auto"/>
            <w:noWrap/>
            <w:vAlign w:val="bottom"/>
            <w:hideMark/>
          </w:tcPr>
          <w:p w14:paraId="75380380" w14:textId="77777777" w:rsidR="003B2C9F" w:rsidRPr="003B2C9F" w:rsidRDefault="003B2C9F" w:rsidP="003B2C9F">
            <w:pPr>
              <w:rPr>
                <w:sz w:val="20"/>
                <w:szCs w:val="20"/>
              </w:rPr>
            </w:pPr>
          </w:p>
        </w:tc>
      </w:tr>
      <w:tr w:rsidR="003B2C9F" w:rsidRPr="003B2C9F" w14:paraId="652E4D51" w14:textId="77777777" w:rsidTr="003B2C9F">
        <w:trPr>
          <w:trHeight w:val="255"/>
        </w:trPr>
        <w:tc>
          <w:tcPr>
            <w:tcW w:w="7088" w:type="dxa"/>
            <w:gridSpan w:val="2"/>
            <w:tcBorders>
              <w:top w:val="single" w:sz="4" w:space="0" w:color="auto"/>
              <w:left w:val="nil"/>
              <w:bottom w:val="nil"/>
              <w:right w:val="nil"/>
            </w:tcBorders>
            <w:shd w:val="clear" w:color="auto" w:fill="auto"/>
            <w:noWrap/>
            <w:vAlign w:val="bottom"/>
            <w:hideMark/>
          </w:tcPr>
          <w:p w14:paraId="5D4277AF" w14:textId="77777777" w:rsidR="003B2C9F" w:rsidRPr="003B2C9F" w:rsidRDefault="003B2C9F" w:rsidP="003B2C9F">
            <w:pPr>
              <w:rPr>
                <w:b/>
                <w:bCs/>
                <w:sz w:val="20"/>
                <w:szCs w:val="20"/>
              </w:rPr>
            </w:pPr>
            <w:r w:rsidRPr="003B2C9F">
              <w:rPr>
                <w:b/>
                <w:bCs/>
                <w:sz w:val="20"/>
                <w:szCs w:val="20"/>
              </w:rPr>
              <w:t>BROJČANA OZNAKA I NAZIV PRIHODA / RASHODA</w:t>
            </w:r>
          </w:p>
        </w:tc>
        <w:tc>
          <w:tcPr>
            <w:tcW w:w="1559" w:type="dxa"/>
            <w:tcBorders>
              <w:top w:val="single" w:sz="4" w:space="0" w:color="auto"/>
              <w:left w:val="nil"/>
              <w:bottom w:val="nil"/>
              <w:right w:val="nil"/>
            </w:tcBorders>
            <w:shd w:val="clear" w:color="auto" w:fill="auto"/>
            <w:noWrap/>
            <w:vAlign w:val="bottom"/>
            <w:hideMark/>
          </w:tcPr>
          <w:p w14:paraId="59F6651E" w14:textId="77777777" w:rsidR="003B2C9F" w:rsidRPr="003B2C9F" w:rsidRDefault="003B2C9F" w:rsidP="003B2C9F">
            <w:pPr>
              <w:jc w:val="center"/>
              <w:rPr>
                <w:b/>
                <w:bCs/>
                <w:sz w:val="20"/>
                <w:szCs w:val="20"/>
              </w:rPr>
            </w:pPr>
            <w:r w:rsidRPr="003B2C9F">
              <w:rPr>
                <w:b/>
                <w:bCs/>
                <w:sz w:val="20"/>
                <w:szCs w:val="20"/>
              </w:rPr>
              <w:t xml:space="preserve">IZVRŠENJE </w:t>
            </w:r>
          </w:p>
        </w:tc>
        <w:tc>
          <w:tcPr>
            <w:tcW w:w="1503" w:type="dxa"/>
            <w:tcBorders>
              <w:top w:val="single" w:sz="4" w:space="0" w:color="auto"/>
              <w:left w:val="nil"/>
              <w:bottom w:val="nil"/>
              <w:right w:val="nil"/>
            </w:tcBorders>
            <w:shd w:val="clear" w:color="auto" w:fill="auto"/>
            <w:noWrap/>
            <w:vAlign w:val="bottom"/>
            <w:hideMark/>
          </w:tcPr>
          <w:p w14:paraId="5C920E75" w14:textId="77777777" w:rsidR="003B2C9F" w:rsidRPr="003B2C9F" w:rsidRDefault="003B2C9F" w:rsidP="003B2C9F">
            <w:pPr>
              <w:jc w:val="center"/>
              <w:rPr>
                <w:b/>
                <w:bCs/>
                <w:sz w:val="20"/>
                <w:szCs w:val="20"/>
              </w:rPr>
            </w:pPr>
            <w:r w:rsidRPr="003B2C9F">
              <w:rPr>
                <w:b/>
                <w:bCs/>
                <w:sz w:val="20"/>
                <w:szCs w:val="20"/>
              </w:rPr>
              <w:t>IZVORNI PLAN</w:t>
            </w:r>
          </w:p>
        </w:tc>
        <w:tc>
          <w:tcPr>
            <w:tcW w:w="1366" w:type="dxa"/>
            <w:tcBorders>
              <w:top w:val="single" w:sz="4" w:space="0" w:color="auto"/>
              <w:left w:val="nil"/>
              <w:bottom w:val="nil"/>
              <w:right w:val="nil"/>
            </w:tcBorders>
            <w:shd w:val="clear" w:color="auto" w:fill="auto"/>
            <w:noWrap/>
            <w:vAlign w:val="bottom"/>
            <w:hideMark/>
          </w:tcPr>
          <w:p w14:paraId="6A41812F" w14:textId="77777777" w:rsidR="003B2C9F" w:rsidRPr="003B2C9F" w:rsidRDefault="003B2C9F" w:rsidP="003B2C9F">
            <w:pPr>
              <w:jc w:val="center"/>
              <w:rPr>
                <w:b/>
                <w:bCs/>
                <w:sz w:val="20"/>
                <w:szCs w:val="20"/>
              </w:rPr>
            </w:pPr>
            <w:r w:rsidRPr="003B2C9F">
              <w:rPr>
                <w:b/>
                <w:bCs/>
                <w:sz w:val="20"/>
                <w:szCs w:val="20"/>
              </w:rPr>
              <w:t xml:space="preserve">IZVRŠENJE </w:t>
            </w:r>
          </w:p>
        </w:tc>
        <w:tc>
          <w:tcPr>
            <w:tcW w:w="1525" w:type="dxa"/>
            <w:tcBorders>
              <w:top w:val="single" w:sz="4" w:space="0" w:color="auto"/>
              <w:left w:val="nil"/>
              <w:bottom w:val="nil"/>
              <w:right w:val="nil"/>
            </w:tcBorders>
            <w:shd w:val="clear" w:color="auto" w:fill="auto"/>
            <w:noWrap/>
            <w:vAlign w:val="bottom"/>
            <w:hideMark/>
          </w:tcPr>
          <w:p w14:paraId="6E05CA61" w14:textId="77777777" w:rsidR="003B2C9F" w:rsidRPr="003B2C9F" w:rsidRDefault="003B2C9F" w:rsidP="003B2C9F">
            <w:pPr>
              <w:jc w:val="center"/>
              <w:rPr>
                <w:b/>
                <w:bCs/>
                <w:sz w:val="20"/>
                <w:szCs w:val="20"/>
              </w:rPr>
            </w:pPr>
            <w:r w:rsidRPr="003B2C9F">
              <w:rPr>
                <w:b/>
                <w:bCs/>
                <w:sz w:val="20"/>
                <w:szCs w:val="20"/>
              </w:rPr>
              <w:t>INDEKS</w:t>
            </w:r>
          </w:p>
        </w:tc>
        <w:tc>
          <w:tcPr>
            <w:tcW w:w="1000" w:type="dxa"/>
            <w:tcBorders>
              <w:top w:val="single" w:sz="4" w:space="0" w:color="auto"/>
              <w:left w:val="nil"/>
              <w:bottom w:val="nil"/>
              <w:right w:val="nil"/>
            </w:tcBorders>
            <w:shd w:val="clear" w:color="auto" w:fill="auto"/>
            <w:noWrap/>
            <w:vAlign w:val="bottom"/>
            <w:hideMark/>
          </w:tcPr>
          <w:p w14:paraId="6F31D110" w14:textId="77777777" w:rsidR="003B2C9F" w:rsidRPr="003B2C9F" w:rsidRDefault="003B2C9F" w:rsidP="003B2C9F">
            <w:pPr>
              <w:jc w:val="center"/>
              <w:rPr>
                <w:b/>
                <w:bCs/>
                <w:sz w:val="20"/>
                <w:szCs w:val="20"/>
              </w:rPr>
            </w:pPr>
            <w:r w:rsidRPr="003B2C9F">
              <w:rPr>
                <w:b/>
                <w:bCs/>
                <w:sz w:val="20"/>
                <w:szCs w:val="20"/>
              </w:rPr>
              <w:t>INDEKS</w:t>
            </w:r>
          </w:p>
        </w:tc>
      </w:tr>
      <w:tr w:rsidR="003B2C9F" w:rsidRPr="003B2C9F" w14:paraId="0E17CE3B" w14:textId="77777777" w:rsidTr="003B2C9F">
        <w:trPr>
          <w:trHeight w:val="255"/>
        </w:trPr>
        <w:tc>
          <w:tcPr>
            <w:tcW w:w="616" w:type="dxa"/>
            <w:tcBorders>
              <w:top w:val="nil"/>
              <w:left w:val="nil"/>
              <w:bottom w:val="single" w:sz="4" w:space="0" w:color="auto"/>
              <w:right w:val="nil"/>
            </w:tcBorders>
            <w:shd w:val="clear" w:color="auto" w:fill="auto"/>
            <w:noWrap/>
            <w:vAlign w:val="bottom"/>
            <w:hideMark/>
          </w:tcPr>
          <w:p w14:paraId="3C591C07" w14:textId="77777777" w:rsidR="003B2C9F" w:rsidRPr="003B2C9F" w:rsidRDefault="003B2C9F" w:rsidP="003B2C9F">
            <w:pPr>
              <w:rPr>
                <w:b/>
                <w:bCs/>
                <w:sz w:val="20"/>
                <w:szCs w:val="20"/>
              </w:rPr>
            </w:pPr>
            <w:r w:rsidRPr="003B2C9F">
              <w:rPr>
                <w:b/>
                <w:bCs/>
                <w:sz w:val="20"/>
                <w:szCs w:val="20"/>
              </w:rPr>
              <w:t> </w:t>
            </w:r>
          </w:p>
        </w:tc>
        <w:tc>
          <w:tcPr>
            <w:tcW w:w="6472" w:type="dxa"/>
            <w:tcBorders>
              <w:top w:val="nil"/>
              <w:left w:val="nil"/>
              <w:bottom w:val="single" w:sz="4" w:space="0" w:color="auto"/>
              <w:right w:val="nil"/>
            </w:tcBorders>
            <w:shd w:val="clear" w:color="auto" w:fill="auto"/>
            <w:noWrap/>
            <w:vAlign w:val="bottom"/>
            <w:hideMark/>
          </w:tcPr>
          <w:p w14:paraId="41951F32" w14:textId="77777777" w:rsidR="003B2C9F" w:rsidRPr="003B2C9F" w:rsidRDefault="003B2C9F" w:rsidP="003B2C9F">
            <w:pPr>
              <w:rPr>
                <w:b/>
                <w:bCs/>
                <w:sz w:val="20"/>
                <w:szCs w:val="20"/>
              </w:rPr>
            </w:pPr>
            <w:r w:rsidRPr="003B2C9F">
              <w:rPr>
                <w:b/>
                <w:bCs/>
                <w:sz w:val="20"/>
                <w:szCs w:val="20"/>
              </w:rPr>
              <w:t> </w:t>
            </w:r>
          </w:p>
        </w:tc>
        <w:tc>
          <w:tcPr>
            <w:tcW w:w="1559" w:type="dxa"/>
            <w:tcBorders>
              <w:top w:val="nil"/>
              <w:left w:val="nil"/>
              <w:bottom w:val="single" w:sz="4" w:space="0" w:color="auto"/>
              <w:right w:val="nil"/>
            </w:tcBorders>
            <w:shd w:val="clear" w:color="auto" w:fill="auto"/>
            <w:noWrap/>
            <w:vAlign w:val="bottom"/>
            <w:hideMark/>
          </w:tcPr>
          <w:p w14:paraId="10DA9529" w14:textId="77777777" w:rsidR="003B2C9F" w:rsidRPr="003B2C9F" w:rsidRDefault="003B2C9F" w:rsidP="003B2C9F">
            <w:pPr>
              <w:jc w:val="center"/>
              <w:rPr>
                <w:b/>
                <w:bCs/>
                <w:sz w:val="20"/>
                <w:szCs w:val="20"/>
              </w:rPr>
            </w:pPr>
            <w:r w:rsidRPr="003B2C9F">
              <w:rPr>
                <w:b/>
                <w:bCs/>
                <w:sz w:val="20"/>
                <w:szCs w:val="20"/>
              </w:rPr>
              <w:t>2021.</w:t>
            </w:r>
          </w:p>
        </w:tc>
        <w:tc>
          <w:tcPr>
            <w:tcW w:w="1503" w:type="dxa"/>
            <w:tcBorders>
              <w:top w:val="nil"/>
              <w:left w:val="nil"/>
              <w:bottom w:val="single" w:sz="4" w:space="0" w:color="auto"/>
              <w:right w:val="nil"/>
            </w:tcBorders>
            <w:shd w:val="clear" w:color="auto" w:fill="auto"/>
            <w:noWrap/>
            <w:vAlign w:val="bottom"/>
            <w:hideMark/>
          </w:tcPr>
          <w:p w14:paraId="2C991120" w14:textId="77777777" w:rsidR="003B2C9F" w:rsidRPr="003B2C9F" w:rsidRDefault="003B2C9F" w:rsidP="003B2C9F">
            <w:pPr>
              <w:jc w:val="center"/>
              <w:rPr>
                <w:b/>
                <w:bCs/>
                <w:sz w:val="20"/>
                <w:szCs w:val="20"/>
              </w:rPr>
            </w:pPr>
            <w:r w:rsidRPr="003B2C9F">
              <w:rPr>
                <w:b/>
                <w:bCs/>
                <w:sz w:val="20"/>
                <w:szCs w:val="20"/>
              </w:rPr>
              <w:t>2022.</w:t>
            </w:r>
          </w:p>
        </w:tc>
        <w:tc>
          <w:tcPr>
            <w:tcW w:w="1366" w:type="dxa"/>
            <w:tcBorders>
              <w:top w:val="nil"/>
              <w:left w:val="nil"/>
              <w:bottom w:val="single" w:sz="4" w:space="0" w:color="auto"/>
              <w:right w:val="nil"/>
            </w:tcBorders>
            <w:shd w:val="clear" w:color="auto" w:fill="auto"/>
            <w:noWrap/>
            <w:vAlign w:val="bottom"/>
            <w:hideMark/>
          </w:tcPr>
          <w:p w14:paraId="0732BA31" w14:textId="77777777" w:rsidR="003B2C9F" w:rsidRPr="003B2C9F" w:rsidRDefault="003B2C9F" w:rsidP="003B2C9F">
            <w:pPr>
              <w:jc w:val="center"/>
              <w:rPr>
                <w:b/>
                <w:bCs/>
                <w:sz w:val="20"/>
                <w:szCs w:val="20"/>
              </w:rPr>
            </w:pPr>
            <w:r w:rsidRPr="003B2C9F">
              <w:rPr>
                <w:b/>
                <w:bCs/>
                <w:sz w:val="20"/>
                <w:szCs w:val="20"/>
              </w:rPr>
              <w:t>2022.</w:t>
            </w:r>
          </w:p>
        </w:tc>
        <w:tc>
          <w:tcPr>
            <w:tcW w:w="1525" w:type="dxa"/>
            <w:tcBorders>
              <w:top w:val="nil"/>
              <w:left w:val="nil"/>
              <w:bottom w:val="single" w:sz="4" w:space="0" w:color="auto"/>
              <w:right w:val="nil"/>
            </w:tcBorders>
            <w:shd w:val="clear" w:color="auto" w:fill="auto"/>
            <w:noWrap/>
            <w:vAlign w:val="bottom"/>
            <w:hideMark/>
          </w:tcPr>
          <w:p w14:paraId="401D9ACE" w14:textId="77777777" w:rsidR="003B2C9F" w:rsidRPr="003B2C9F" w:rsidRDefault="003B2C9F" w:rsidP="003B2C9F">
            <w:pPr>
              <w:jc w:val="center"/>
              <w:rPr>
                <w:b/>
                <w:bCs/>
                <w:sz w:val="20"/>
                <w:szCs w:val="20"/>
              </w:rPr>
            </w:pPr>
            <w:r w:rsidRPr="003B2C9F">
              <w:rPr>
                <w:b/>
                <w:bCs/>
                <w:sz w:val="20"/>
                <w:szCs w:val="20"/>
              </w:rPr>
              <w:t>4/2*100</w:t>
            </w:r>
          </w:p>
        </w:tc>
        <w:tc>
          <w:tcPr>
            <w:tcW w:w="1000" w:type="dxa"/>
            <w:tcBorders>
              <w:top w:val="nil"/>
              <w:left w:val="nil"/>
              <w:bottom w:val="single" w:sz="4" w:space="0" w:color="auto"/>
              <w:right w:val="nil"/>
            </w:tcBorders>
            <w:shd w:val="clear" w:color="auto" w:fill="auto"/>
            <w:noWrap/>
            <w:vAlign w:val="bottom"/>
            <w:hideMark/>
          </w:tcPr>
          <w:p w14:paraId="4AC8A2BB" w14:textId="77777777" w:rsidR="003B2C9F" w:rsidRPr="003B2C9F" w:rsidRDefault="003B2C9F" w:rsidP="003B2C9F">
            <w:pPr>
              <w:jc w:val="center"/>
              <w:rPr>
                <w:b/>
                <w:bCs/>
                <w:sz w:val="20"/>
                <w:szCs w:val="20"/>
              </w:rPr>
            </w:pPr>
            <w:r w:rsidRPr="003B2C9F">
              <w:rPr>
                <w:b/>
                <w:bCs/>
                <w:sz w:val="20"/>
                <w:szCs w:val="20"/>
              </w:rPr>
              <w:t>4/3*100</w:t>
            </w:r>
          </w:p>
        </w:tc>
      </w:tr>
      <w:tr w:rsidR="003B2C9F" w:rsidRPr="003B2C9F" w14:paraId="7C3A3CDB" w14:textId="77777777" w:rsidTr="003B2C9F">
        <w:trPr>
          <w:trHeight w:val="255"/>
        </w:trPr>
        <w:tc>
          <w:tcPr>
            <w:tcW w:w="7088" w:type="dxa"/>
            <w:gridSpan w:val="2"/>
            <w:tcBorders>
              <w:top w:val="single" w:sz="4" w:space="0" w:color="auto"/>
              <w:left w:val="nil"/>
              <w:bottom w:val="single" w:sz="4" w:space="0" w:color="auto"/>
              <w:right w:val="nil"/>
            </w:tcBorders>
            <w:shd w:val="clear" w:color="auto" w:fill="auto"/>
            <w:noWrap/>
            <w:vAlign w:val="bottom"/>
            <w:hideMark/>
          </w:tcPr>
          <w:p w14:paraId="424F6F4C" w14:textId="77777777" w:rsidR="003B2C9F" w:rsidRPr="003B2C9F" w:rsidRDefault="003B2C9F" w:rsidP="003B2C9F">
            <w:pPr>
              <w:jc w:val="center"/>
              <w:rPr>
                <w:b/>
                <w:bCs/>
                <w:sz w:val="20"/>
                <w:szCs w:val="20"/>
              </w:rPr>
            </w:pPr>
            <w:r w:rsidRPr="003B2C9F">
              <w:rPr>
                <w:b/>
                <w:bCs/>
                <w:sz w:val="20"/>
                <w:szCs w:val="20"/>
              </w:rPr>
              <w:t>1</w:t>
            </w:r>
          </w:p>
        </w:tc>
        <w:tc>
          <w:tcPr>
            <w:tcW w:w="1559" w:type="dxa"/>
            <w:tcBorders>
              <w:top w:val="nil"/>
              <w:left w:val="nil"/>
              <w:bottom w:val="single" w:sz="4" w:space="0" w:color="auto"/>
              <w:right w:val="nil"/>
            </w:tcBorders>
            <w:shd w:val="clear" w:color="auto" w:fill="auto"/>
            <w:noWrap/>
            <w:vAlign w:val="bottom"/>
            <w:hideMark/>
          </w:tcPr>
          <w:p w14:paraId="7C6D837C" w14:textId="77777777" w:rsidR="003B2C9F" w:rsidRPr="003B2C9F" w:rsidRDefault="003B2C9F" w:rsidP="003B2C9F">
            <w:pPr>
              <w:jc w:val="center"/>
              <w:rPr>
                <w:b/>
                <w:bCs/>
                <w:sz w:val="20"/>
                <w:szCs w:val="20"/>
              </w:rPr>
            </w:pPr>
            <w:r w:rsidRPr="003B2C9F">
              <w:rPr>
                <w:b/>
                <w:bCs/>
                <w:sz w:val="20"/>
                <w:szCs w:val="20"/>
              </w:rPr>
              <w:t>2</w:t>
            </w:r>
          </w:p>
        </w:tc>
        <w:tc>
          <w:tcPr>
            <w:tcW w:w="1503" w:type="dxa"/>
            <w:tcBorders>
              <w:top w:val="nil"/>
              <w:left w:val="nil"/>
              <w:bottom w:val="single" w:sz="4" w:space="0" w:color="auto"/>
              <w:right w:val="nil"/>
            </w:tcBorders>
            <w:shd w:val="clear" w:color="auto" w:fill="auto"/>
            <w:noWrap/>
            <w:vAlign w:val="bottom"/>
            <w:hideMark/>
          </w:tcPr>
          <w:p w14:paraId="105A13D3" w14:textId="77777777" w:rsidR="003B2C9F" w:rsidRPr="003B2C9F" w:rsidRDefault="003B2C9F" w:rsidP="003B2C9F">
            <w:pPr>
              <w:jc w:val="center"/>
              <w:rPr>
                <w:b/>
                <w:bCs/>
                <w:sz w:val="20"/>
                <w:szCs w:val="20"/>
              </w:rPr>
            </w:pPr>
            <w:r w:rsidRPr="003B2C9F">
              <w:rPr>
                <w:b/>
                <w:bCs/>
                <w:sz w:val="20"/>
                <w:szCs w:val="20"/>
              </w:rPr>
              <w:t>3</w:t>
            </w:r>
          </w:p>
        </w:tc>
        <w:tc>
          <w:tcPr>
            <w:tcW w:w="1366" w:type="dxa"/>
            <w:tcBorders>
              <w:top w:val="nil"/>
              <w:left w:val="nil"/>
              <w:bottom w:val="single" w:sz="4" w:space="0" w:color="auto"/>
              <w:right w:val="nil"/>
            </w:tcBorders>
            <w:shd w:val="clear" w:color="auto" w:fill="auto"/>
            <w:noWrap/>
            <w:vAlign w:val="bottom"/>
            <w:hideMark/>
          </w:tcPr>
          <w:p w14:paraId="6AB74F28" w14:textId="77777777" w:rsidR="003B2C9F" w:rsidRPr="003B2C9F" w:rsidRDefault="003B2C9F" w:rsidP="003B2C9F">
            <w:pPr>
              <w:jc w:val="center"/>
              <w:rPr>
                <w:b/>
                <w:bCs/>
                <w:sz w:val="20"/>
                <w:szCs w:val="20"/>
              </w:rPr>
            </w:pPr>
            <w:r w:rsidRPr="003B2C9F">
              <w:rPr>
                <w:b/>
                <w:bCs/>
                <w:sz w:val="20"/>
                <w:szCs w:val="20"/>
              </w:rPr>
              <w:t>4</w:t>
            </w:r>
          </w:p>
        </w:tc>
        <w:tc>
          <w:tcPr>
            <w:tcW w:w="1525" w:type="dxa"/>
            <w:tcBorders>
              <w:top w:val="nil"/>
              <w:left w:val="nil"/>
              <w:bottom w:val="single" w:sz="4" w:space="0" w:color="auto"/>
              <w:right w:val="nil"/>
            </w:tcBorders>
            <w:shd w:val="clear" w:color="auto" w:fill="auto"/>
            <w:noWrap/>
            <w:vAlign w:val="bottom"/>
            <w:hideMark/>
          </w:tcPr>
          <w:p w14:paraId="156492A4" w14:textId="77777777" w:rsidR="003B2C9F" w:rsidRPr="003B2C9F" w:rsidRDefault="003B2C9F" w:rsidP="003B2C9F">
            <w:pPr>
              <w:jc w:val="center"/>
              <w:rPr>
                <w:b/>
                <w:bCs/>
                <w:sz w:val="20"/>
                <w:szCs w:val="20"/>
              </w:rPr>
            </w:pPr>
            <w:r w:rsidRPr="003B2C9F">
              <w:rPr>
                <w:b/>
                <w:bCs/>
                <w:sz w:val="20"/>
                <w:szCs w:val="20"/>
              </w:rPr>
              <w:t>5</w:t>
            </w:r>
          </w:p>
        </w:tc>
        <w:tc>
          <w:tcPr>
            <w:tcW w:w="1000" w:type="dxa"/>
            <w:tcBorders>
              <w:top w:val="nil"/>
              <w:left w:val="nil"/>
              <w:bottom w:val="single" w:sz="4" w:space="0" w:color="auto"/>
              <w:right w:val="nil"/>
            </w:tcBorders>
            <w:shd w:val="clear" w:color="auto" w:fill="auto"/>
            <w:noWrap/>
            <w:vAlign w:val="bottom"/>
            <w:hideMark/>
          </w:tcPr>
          <w:p w14:paraId="4E5A60A3" w14:textId="77777777" w:rsidR="003B2C9F" w:rsidRPr="003B2C9F" w:rsidRDefault="003B2C9F" w:rsidP="003B2C9F">
            <w:pPr>
              <w:jc w:val="center"/>
              <w:rPr>
                <w:b/>
                <w:bCs/>
                <w:sz w:val="20"/>
                <w:szCs w:val="20"/>
              </w:rPr>
            </w:pPr>
            <w:r w:rsidRPr="003B2C9F">
              <w:rPr>
                <w:b/>
                <w:bCs/>
                <w:sz w:val="20"/>
                <w:szCs w:val="20"/>
              </w:rPr>
              <w:t>6</w:t>
            </w:r>
          </w:p>
        </w:tc>
      </w:tr>
      <w:tr w:rsidR="003B2C9F" w:rsidRPr="003B2C9F" w14:paraId="5CFA8728" w14:textId="77777777" w:rsidTr="003B2C9F">
        <w:trPr>
          <w:trHeight w:val="255"/>
        </w:trPr>
        <w:tc>
          <w:tcPr>
            <w:tcW w:w="7088" w:type="dxa"/>
            <w:gridSpan w:val="2"/>
            <w:tcBorders>
              <w:top w:val="nil"/>
              <w:left w:val="nil"/>
              <w:bottom w:val="single" w:sz="4" w:space="0" w:color="auto"/>
              <w:right w:val="nil"/>
            </w:tcBorders>
            <w:shd w:val="clear" w:color="auto" w:fill="auto"/>
            <w:noWrap/>
            <w:vAlign w:val="bottom"/>
            <w:hideMark/>
          </w:tcPr>
          <w:p w14:paraId="613D901F" w14:textId="77777777" w:rsidR="003B2C9F" w:rsidRPr="003B2C9F" w:rsidRDefault="003B2C9F" w:rsidP="003B2C9F">
            <w:pPr>
              <w:rPr>
                <w:b/>
                <w:bCs/>
                <w:sz w:val="20"/>
                <w:szCs w:val="20"/>
              </w:rPr>
            </w:pPr>
            <w:r w:rsidRPr="003B2C9F">
              <w:rPr>
                <w:b/>
                <w:bCs/>
                <w:sz w:val="20"/>
                <w:szCs w:val="20"/>
              </w:rPr>
              <w:t xml:space="preserve"> SVEUKUPNO PRIHODI</w:t>
            </w:r>
          </w:p>
        </w:tc>
        <w:tc>
          <w:tcPr>
            <w:tcW w:w="1559" w:type="dxa"/>
            <w:tcBorders>
              <w:top w:val="nil"/>
              <w:left w:val="nil"/>
              <w:bottom w:val="single" w:sz="4" w:space="0" w:color="auto"/>
              <w:right w:val="nil"/>
            </w:tcBorders>
            <w:shd w:val="clear" w:color="auto" w:fill="auto"/>
            <w:noWrap/>
            <w:vAlign w:val="bottom"/>
            <w:hideMark/>
          </w:tcPr>
          <w:p w14:paraId="11CEEB21" w14:textId="77777777" w:rsidR="003B2C9F" w:rsidRPr="003B2C9F" w:rsidRDefault="003B2C9F" w:rsidP="003B2C9F">
            <w:pPr>
              <w:jc w:val="right"/>
              <w:rPr>
                <w:b/>
                <w:bCs/>
                <w:sz w:val="20"/>
                <w:szCs w:val="20"/>
              </w:rPr>
            </w:pPr>
            <w:r w:rsidRPr="003B2C9F">
              <w:rPr>
                <w:b/>
                <w:bCs/>
                <w:sz w:val="20"/>
                <w:szCs w:val="20"/>
              </w:rPr>
              <w:t>36.754.924,81</w:t>
            </w:r>
          </w:p>
        </w:tc>
        <w:tc>
          <w:tcPr>
            <w:tcW w:w="1503" w:type="dxa"/>
            <w:tcBorders>
              <w:top w:val="nil"/>
              <w:left w:val="nil"/>
              <w:bottom w:val="single" w:sz="4" w:space="0" w:color="auto"/>
              <w:right w:val="nil"/>
            </w:tcBorders>
            <w:shd w:val="clear" w:color="auto" w:fill="auto"/>
            <w:noWrap/>
            <w:vAlign w:val="bottom"/>
            <w:hideMark/>
          </w:tcPr>
          <w:p w14:paraId="4A1EF9C0" w14:textId="77777777" w:rsidR="003B2C9F" w:rsidRPr="003B2C9F" w:rsidRDefault="003B2C9F" w:rsidP="003B2C9F">
            <w:pPr>
              <w:jc w:val="right"/>
              <w:rPr>
                <w:b/>
                <w:bCs/>
                <w:sz w:val="20"/>
                <w:szCs w:val="20"/>
              </w:rPr>
            </w:pPr>
            <w:r w:rsidRPr="003B2C9F">
              <w:rPr>
                <w:b/>
                <w:bCs/>
                <w:sz w:val="20"/>
                <w:szCs w:val="20"/>
              </w:rPr>
              <w:t>40.575.056,19</w:t>
            </w:r>
          </w:p>
        </w:tc>
        <w:tc>
          <w:tcPr>
            <w:tcW w:w="1366" w:type="dxa"/>
            <w:tcBorders>
              <w:top w:val="nil"/>
              <w:left w:val="nil"/>
              <w:bottom w:val="single" w:sz="4" w:space="0" w:color="auto"/>
              <w:right w:val="nil"/>
            </w:tcBorders>
            <w:shd w:val="clear" w:color="auto" w:fill="auto"/>
            <w:noWrap/>
            <w:vAlign w:val="bottom"/>
            <w:hideMark/>
          </w:tcPr>
          <w:p w14:paraId="21600D66" w14:textId="77777777" w:rsidR="003B2C9F" w:rsidRPr="003B2C9F" w:rsidRDefault="003B2C9F" w:rsidP="003B2C9F">
            <w:pPr>
              <w:jc w:val="right"/>
              <w:rPr>
                <w:b/>
                <w:bCs/>
                <w:sz w:val="20"/>
                <w:szCs w:val="20"/>
              </w:rPr>
            </w:pPr>
            <w:r w:rsidRPr="003B2C9F">
              <w:rPr>
                <w:b/>
                <w:bCs/>
                <w:sz w:val="20"/>
                <w:szCs w:val="20"/>
              </w:rPr>
              <w:t>37.914.939,20</w:t>
            </w:r>
          </w:p>
        </w:tc>
        <w:tc>
          <w:tcPr>
            <w:tcW w:w="1525" w:type="dxa"/>
            <w:tcBorders>
              <w:top w:val="nil"/>
              <w:left w:val="nil"/>
              <w:bottom w:val="single" w:sz="4" w:space="0" w:color="auto"/>
              <w:right w:val="nil"/>
            </w:tcBorders>
            <w:shd w:val="clear" w:color="auto" w:fill="auto"/>
            <w:noWrap/>
            <w:vAlign w:val="bottom"/>
            <w:hideMark/>
          </w:tcPr>
          <w:p w14:paraId="7CEEC2F0" w14:textId="77777777" w:rsidR="003B2C9F" w:rsidRPr="003B2C9F" w:rsidRDefault="003B2C9F" w:rsidP="003B2C9F">
            <w:pPr>
              <w:jc w:val="right"/>
              <w:rPr>
                <w:b/>
                <w:bCs/>
                <w:sz w:val="20"/>
                <w:szCs w:val="20"/>
              </w:rPr>
            </w:pPr>
            <w:r w:rsidRPr="003B2C9F">
              <w:rPr>
                <w:b/>
                <w:bCs/>
                <w:sz w:val="20"/>
                <w:szCs w:val="20"/>
              </w:rPr>
              <w:t>103,16</w:t>
            </w:r>
          </w:p>
        </w:tc>
        <w:tc>
          <w:tcPr>
            <w:tcW w:w="1000" w:type="dxa"/>
            <w:tcBorders>
              <w:top w:val="nil"/>
              <w:left w:val="nil"/>
              <w:bottom w:val="single" w:sz="4" w:space="0" w:color="auto"/>
              <w:right w:val="nil"/>
            </w:tcBorders>
            <w:shd w:val="clear" w:color="auto" w:fill="auto"/>
            <w:noWrap/>
            <w:vAlign w:val="bottom"/>
            <w:hideMark/>
          </w:tcPr>
          <w:p w14:paraId="6EB97CED" w14:textId="77777777" w:rsidR="003B2C9F" w:rsidRPr="003B2C9F" w:rsidRDefault="003B2C9F" w:rsidP="003B2C9F">
            <w:pPr>
              <w:jc w:val="right"/>
              <w:rPr>
                <w:b/>
                <w:bCs/>
                <w:sz w:val="20"/>
                <w:szCs w:val="20"/>
              </w:rPr>
            </w:pPr>
            <w:r w:rsidRPr="003B2C9F">
              <w:rPr>
                <w:b/>
                <w:bCs/>
                <w:sz w:val="20"/>
                <w:szCs w:val="20"/>
              </w:rPr>
              <w:t>93,44</w:t>
            </w:r>
          </w:p>
        </w:tc>
      </w:tr>
      <w:tr w:rsidR="003B2C9F" w:rsidRPr="003B2C9F" w14:paraId="04907DD0" w14:textId="77777777" w:rsidTr="003B2C9F">
        <w:trPr>
          <w:trHeight w:val="300"/>
        </w:trPr>
        <w:tc>
          <w:tcPr>
            <w:tcW w:w="616" w:type="dxa"/>
            <w:tcBorders>
              <w:top w:val="nil"/>
              <w:left w:val="nil"/>
              <w:bottom w:val="nil"/>
              <w:right w:val="nil"/>
            </w:tcBorders>
            <w:shd w:val="clear" w:color="auto" w:fill="auto"/>
            <w:noWrap/>
            <w:vAlign w:val="bottom"/>
            <w:hideMark/>
          </w:tcPr>
          <w:p w14:paraId="121FFB80" w14:textId="77777777" w:rsidR="003B2C9F" w:rsidRPr="003B2C9F" w:rsidRDefault="003B2C9F" w:rsidP="003B2C9F">
            <w:pPr>
              <w:rPr>
                <w:b/>
                <w:bCs/>
                <w:sz w:val="20"/>
                <w:szCs w:val="20"/>
              </w:rPr>
            </w:pPr>
            <w:r w:rsidRPr="003B2C9F">
              <w:rPr>
                <w:b/>
                <w:bCs/>
                <w:sz w:val="20"/>
                <w:szCs w:val="20"/>
              </w:rPr>
              <w:t>6</w:t>
            </w:r>
          </w:p>
        </w:tc>
        <w:tc>
          <w:tcPr>
            <w:tcW w:w="6472" w:type="dxa"/>
            <w:tcBorders>
              <w:top w:val="nil"/>
              <w:left w:val="nil"/>
              <w:bottom w:val="nil"/>
              <w:right w:val="nil"/>
            </w:tcBorders>
            <w:shd w:val="clear" w:color="auto" w:fill="auto"/>
            <w:noWrap/>
            <w:vAlign w:val="bottom"/>
            <w:hideMark/>
          </w:tcPr>
          <w:p w14:paraId="70001B8A" w14:textId="77777777" w:rsidR="003B2C9F" w:rsidRPr="003B2C9F" w:rsidRDefault="003B2C9F" w:rsidP="003B2C9F">
            <w:pPr>
              <w:rPr>
                <w:b/>
                <w:bCs/>
                <w:sz w:val="20"/>
                <w:szCs w:val="20"/>
              </w:rPr>
            </w:pPr>
            <w:r w:rsidRPr="003B2C9F">
              <w:rPr>
                <w:b/>
                <w:bCs/>
                <w:sz w:val="20"/>
                <w:szCs w:val="20"/>
              </w:rPr>
              <w:t xml:space="preserve">Prihodi poslovanja                                                                                  </w:t>
            </w:r>
          </w:p>
        </w:tc>
        <w:tc>
          <w:tcPr>
            <w:tcW w:w="1559" w:type="dxa"/>
            <w:tcBorders>
              <w:top w:val="nil"/>
              <w:left w:val="nil"/>
              <w:bottom w:val="nil"/>
              <w:right w:val="nil"/>
            </w:tcBorders>
            <w:shd w:val="clear" w:color="auto" w:fill="auto"/>
            <w:noWrap/>
            <w:vAlign w:val="bottom"/>
            <w:hideMark/>
          </w:tcPr>
          <w:p w14:paraId="4F2D6642" w14:textId="77777777" w:rsidR="003B2C9F" w:rsidRPr="003B2C9F" w:rsidRDefault="003B2C9F" w:rsidP="003B2C9F">
            <w:pPr>
              <w:jc w:val="right"/>
              <w:rPr>
                <w:b/>
                <w:bCs/>
                <w:sz w:val="20"/>
                <w:szCs w:val="20"/>
              </w:rPr>
            </w:pPr>
            <w:r w:rsidRPr="003B2C9F">
              <w:rPr>
                <w:b/>
                <w:bCs/>
                <w:sz w:val="20"/>
                <w:szCs w:val="20"/>
              </w:rPr>
              <w:t>32.174.692,70</w:t>
            </w:r>
          </w:p>
        </w:tc>
        <w:tc>
          <w:tcPr>
            <w:tcW w:w="1503" w:type="dxa"/>
            <w:tcBorders>
              <w:top w:val="nil"/>
              <w:left w:val="nil"/>
              <w:bottom w:val="nil"/>
              <w:right w:val="nil"/>
            </w:tcBorders>
            <w:shd w:val="clear" w:color="auto" w:fill="auto"/>
            <w:noWrap/>
            <w:vAlign w:val="bottom"/>
            <w:hideMark/>
          </w:tcPr>
          <w:p w14:paraId="1BB8C5D3" w14:textId="77777777" w:rsidR="003B2C9F" w:rsidRPr="003B2C9F" w:rsidRDefault="003B2C9F" w:rsidP="003B2C9F">
            <w:pPr>
              <w:jc w:val="right"/>
              <w:rPr>
                <w:b/>
                <w:bCs/>
                <w:sz w:val="20"/>
                <w:szCs w:val="20"/>
              </w:rPr>
            </w:pPr>
            <w:r w:rsidRPr="003B2C9F">
              <w:rPr>
                <w:b/>
                <w:bCs/>
                <w:sz w:val="20"/>
                <w:szCs w:val="20"/>
              </w:rPr>
              <w:t>34.475.056,19</w:t>
            </w:r>
          </w:p>
        </w:tc>
        <w:tc>
          <w:tcPr>
            <w:tcW w:w="1366" w:type="dxa"/>
            <w:tcBorders>
              <w:top w:val="nil"/>
              <w:left w:val="nil"/>
              <w:bottom w:val="nil"/>
              <w:right w:val="nil"/>
            </w:tcBorders>
            <w:shd w:val="clear" w:color="auto" w:fill="auto"/>
            <w:noWrap/>
            <w:vAlign w:val="bottom"/>
            <w:hideMark/>
          </w:tcPr>
          <w:p w14:paraId="1A89ECF2" w14:textId="77777777" w:rsidR="003B2C9F" w:rsidRPr="003B2C9F" w:rsidRDefault="003B2C9F" w:rsidP="003B2C9F">
            <w:pPr>
              <w:jc w:val="right"/>
              <w:rPr>
                <w:b/>
                <w:bCs/>
                <w:sz w:val="20"/>
                <w:szCs w:val="20"/>
              </w:rPr>
            </w:pPr>
            <w:r w:rsidRPr="003B2C9F">
              <w:rPr>
                <w:b/>
                <w:bCs/>
                <w:sz w:val="20"/>
                <w:szCs w:val="20"/>
              </w:rPr>
              <w:t>33.918.466,04</w:t>
            </w:r>
          </w:p>
        </w:tc>
        <w:tc>
          <w:tcPr>
            <w:tcW w:w="1525" w:type="dxa"/>
            <w:tcBorders>
              <w:top w:val="nil"/>
              <w:left w:val="nil"/>
              <w:bottom w:val="nil"/>
              <w:right w:val="nil"/>
            </w:tcBorders>
            <w:shd w:val="clear" w:color="auto" w:fill="auto"/>
            <w:noWrap/>
            <w:vAlign w:val="bottom"/>
            <w:hideMark/>
          </w:tcPr>
          <w:p w14:paraId="3853C9B8" w14:textId="77777777" w:rsidR="003B2C9F" w:rsidRPr="003B2C9F" w:rsidRDefault="003B2C9F" w:rsidP="003B2C9F">
            <w:pPr>
              <w:jc w:val="right"/>
              <w:rPr>
                <w:b/>
                <w:bCs/>
                <w:sz w:val="20"/>
                <w:szCs w:val="20"/>
              </w:rPr>
            </w:pPr>
            <w:r w:rsidRPr="003B2C9F">
              <w:rPr>
                <w:b/>
                <w:bCs/>
                <w:sz w:val="20"/>
                <w:szCs w:val="20"/>
              </w:rPr>
              <w:t>105,42</w:t>
            </w:r>
          </w:p>
        </w:tc>
        <w:tc>
          <w:tcPr>
            <w:tcW w:w="1000" w:type="dxa"/>
            <w:tcBorders>
              <w:top w:val="nil"/>
              <w:left w:val="nil"/>
              <w:bottom w:val="nil"/>
              <w:right w:val="nil"/>
            </w:tcBorders>
            <w:shd w:val="clear" w:color="auto" w:fill="auto"/>
            <w:noWrap/>
            <w:vAlign w:val="bottom"/>
            <w:hideMark/>
          </w:tcPr>
          <w:p w14:paraId="016E6E77" w14:textId="77777777" w:rsidR="003B2C9F" w:rsidRPr="003B2C9F" w:rsidRDefault="003B2C9F" w:rsidP="003B2C9F">
            <w:pPr>
              <w:jc w:val="right"/>
              <w:rPr>
                <w:b/>
                <w:bCs/>
                <w:sz w:val="20"/>
                <w:szCs w:val="20"/>
              </w:rPr>
            </w:pPr>
            <w:r w:rsidRPr="003B2C9F">
              <w:rPr>
                <w:b/>
                <w:bCs/>
                <w:sz w:val="20"/>
                <w:szCs w:val="20"/>
              </w:rPr>
              <w:t>98,39</w:t>
            </w:r>
          </w:p>
        </w:tc>
      </w:tr>
      <w:tr w:rsidR="003B2C9F" w:rsidRPr="003B2C9F" w14:paraId="4113C9F6" w14:textId="77777777" w:rsidTr="003B2C9F">
        <w:trPr>
          <w:trHeight w:val="300"/>
        </w:trPr>
        <w:tc>
          <w:tcPr>
            <w:tcW w:w="616" w:type="dxa"/>
            <w:tcBorders>
              <w:top w:val="nil"/>
              <w:left w:val="nil"/>
              <w:bottom w:val="nil"/>
              <w:right w:val="nil"/>
            </w:tcBorders>
            <w:shd w:val="clear" w:color="auto" w:fill="auto"/>
            <w:noWrap/>
            <w:vAlign w:val="bottom"/>
            <w:hideMark/>
          </w:tcPr>
          <w:p w14:paraId="363738FB" w14:textId="77777777" w:rsidR="003B2C9F" w:rsidRPr="003B2C9F" w:rsidRDefault="003B2C9F" w:rsidP="003B2C9F">
            <w:pPr>
              <w:rPr>
                <w:b/>
                <w:bCs/>
                <w:sz w:val="20"/>
                <w:szCs w:val="20"/>
              </w:rPr>
            </w:pPr>
            <w:r w:rsidRPr="003B2C9F">
              <w:rPr>
                <w:b/>
                <w:bCs/>
                <w:sz w:val="20"/>
                <w:szCs w:val="20"/>
              </w:rPr>
              <w:t>61</w:t>
            </w:r>
          </w:p>
        </w:tc>
        <w:tc>
          <w:tcPr>
            <w:tcW w:w="6472" w:type="dxa"/>
            <w:tcBorders>
              <w:top w:val="nil"/>
              <w:left w:val="nil"/>
              <w:bottom w:val="nil"/>
              <w:right w:val="nil"/>
            </w:tcBorders>
            <w:shd w:val="clear" w:color="auto" w:fill="auto"/>
            <w:noWrap/>
            <w:vAlign w:val="bottom"/>
            <w:hideMark/>
          </w:tcPr>
          <w:p w14:paraId="7F91BECB" w14:textId="77777777" w:rsidR="003B2C9F" w:rsidRPr="003B2C9F" w:rsidRDefault="003B2C9F" w:rsidP="003B2C9F">
            <w:pPr>
              <w:rPr>
                <w:b/>
                <w:bCs/>
                <w:sz w:val="20"/>
                <w:szCs w:val="20"/>
              </w:rPr>
            </w:pPr>
            <w:r w:rsidRPr="003B2C9F">
              <w:rPr>
                <w:b/>
                <w:bCs/>
                <w:sz w:val="20"/>
                <w:szCs w:val="20"/>
              </w:rPr>
              <w:t xml:space="preserve">Prihodi od poreza                                                                                   </w:t>
            </w:r>
          </w:p>
        </w:tc>
        <w:tc>
          <w:tcPr>
            <w:tcW w:w="1559" w:type="dxa"/>
            <w:tcBorders>
              <w:top w:val="nil"/>
              <w:left w:val="nil"/>
              <w:bottom w:val="nil"/>
              <w:right w:val="nil"/>
            </w:tcBorders>
            <w:shd w:val="clear" w:color="auto" w:fill="auto"/>
            <w:noWrap/>
            <w:vAlign w:val="bottom"/>
            <w:hideMark/>
          </w:tcPr>
          <w:p w14:paraId="155168E3" w14:textId="77777777" w:rsidR="003B2C9F" w:rsidRPr="003B2C9F" w:rsidRDefault="003B2C9F" w:rsidP="003B2C9F">
            <w:pPr>
              <w:jc w:val="right"/>
              <w:rPr>
                <w:b/>
                <w:bCs/>
                <w:sz w:val="20"/>
                <w:szCs w:val="20"/>
              </w:rPr>
            </w:pPr>
            <w:r w:rsidRPr="003B2C9F">
              <w:rPr>
                <w:b/>
                <w:bCs/>
                <w:sz w:val="20"/>
                <w:szCs w:val="20"/>
              </w:rPr>
              <w:t>13.338.337,97</w:t>
            </w:r>
          </w:p>
        </w:tc>
        <w:tc>
          <w:tcPr>
            <w:tcW w:w="1503" w:type="dxa"/>
            <w:tcBorders>
              <w:top w:val="nil"/>
              <w:left w:val="nil"/>
              <w:bottom w:val="nil"/>
              <w:right w:val="nil"/>
            </w:tcBorders>
            <w:shd w:val="clear" w:color="auto" w:fill="auto"/>
            <w:noWrap/>
            <w:vAlign w:val="bottom"/>
            <w:hideMark/>
          </w:tcPr>
          <w:p w14:paraId="6F3178BF" w14:textId="77777777" w:rsidR="003B2C9F" w:rsidRPr="003B2C9F" w:rsidRDefault="003B2C9F" w:rsidP="003B2C9F">
            <w:pPr>
              <w:jc w:val="right"/>
              <w:rPr>
                <w:b/>
                <w:bCs/>
                <w:sz w:val="20"/>
                <w:szCs w:val="20"/>
              </w:rPr>
            </w:pPr>
            <w:r w:rsidRPr="003B2C9F">
              <w:rPr>
                <w:b/>
                <w:bCs/>
                <w:sz w:val="20"/>
                <w:szCs w:val="20"/>
              </w:rPr>
              <w:t>18.216.009,71</w:t>
            </w:r>
          </w:p>
        </w:tc>
        <w:tc>
          <w:tcPr>
            <w:tcW w:w="1366" w:type="dxa"/>
            <w:tcBorders>
              <w:top w:val="nil"/>
              <w:left w:val="nil"/>
              <w:bottom w:val="nil"/>
              <w:right w:val="nil"/>
            </w:tcBorders>
            <w:shd w:val="clear" w:color="auto" w:fill="auto"/>
            <w:noWrap/>
            <w:vAlign w:val="bottom"/>
            <w:hideMark/>
          </w:tcPr>
          <w:p w14:paraId="57F21EA3" w14:textId="77777777" w:rsidR="003B2C9F" w:rsidRPr="003B2C9F" w:rsidRDefault="003B2C9F" w:rsidP="003B2C9F">
            <w:pPr>
              <w:jc w:val="right"/>
              <w:rPr>
                <w:b/>
                <w:bCs/>
                <w:sz w:val="20"/>
                <w:szCs w:val="20"/>
              </w:rPr>
            </w:pPr>
            <w:r w:rsidRPr="003B2C9F">
              <w:rPr>
                <w:b/>
                <w:bCs/>
                <w:sz w:val="20"/>
                <w:szCs w:val="20"/>
              </w:rPr>
              <w:t>19.074.734,72</w:t>
            </w:r>
          </w:p>
        </w:tc>
        <w:tc>
          <w:tcPr>
            <w:tcW w:w="1525" w:type="dxa"/>
            <w:tcBorders>
              <w:top w:val="nil"/>
              <w:left w:val="nil"/>
              <w:bottom w:val="nil"/>
              <w:right w:val="nil"/>
            </w:tcBorders>
            <w:shd w:val="clear" w:color="auto" w:fill="auto"/>
            <w:noWrap/>
            <w:vAlign w:val="bottom"/>
            <w:hideMark/>
          </w:tcPr>
          <w:p w14:paraId="7E8E38BD" w14:textId="77777777" w:rsidR="003B2C9F" w:rsidRPr="003B2C9F" w:rsidRDefault="003B2C9F" w:rsidP="003B2C9F">
            <w:pPr>
              <w:jc w:val="right"/>
              <w:rPr>
                <w:b/>
                <w:bCs/>
                <w:sz w:val="20"/>
                <w:szCs w:val="20"/>
              </w:rPr>
            </w:pPr>
            <w:r w:rsidRPr="003B2C9F">
              <w:rPr>
                <w:b/>
                <w:bCs/>
                <w:sz w:val="20"/>
                <w:szCs w:val="20"/>
              </w:rPr>
              <w:t>143,01</w:t>
            </w:r>
          </w:p>
        </w:tc>
        <w:tc>
          <w:tcPr>
            <w:tcW w:w="1000" w:type="dxa"/>
            <w:tcBorders>
              <w:top w:val="nil"/>
              <w:left w:val="nil"/>
              <w:bottom w:val="nil"/>
              <w:right w:val="nil"/>
            </w:tcBorders>
            <w:shd w:val="clear" w:color="auto" w:fill="auto"/>
            <w:noWrap/>
            <w:vAlign w:val="bottom"/>
            <w:hideMark/>
          </w:tcPr>
          <w:p w14:paraId="3123AF96" w14:textId="77777777" w:rsidR="003B2C9F" w:rsidRPr="003B2C9F" w:rsidRDefault="003B2C9F" w:rsidP="003B2C9F">
            <w:pPr>
              <w:jc w:val="right"/>
              <w:rPr>
                <w:b/>
                <w:bCs/>
                <w:sz w:val="20"/>
                <w:szCs w:val="20"/>
              </w:rPr>
            </w:pPr>
            <w:r w:rsidRPr="003B2C9F">
              <w:rPr>
                <w:b/>
                <w:bCs/>
                <w:sz w:val="20"/>
                <w:szCs w:val="20"/>
              </w:rPr>
              <w:t>104,71</w:t>
            </w:r>
          </w:p>
        </w:tc>
      </w:tr>
      <w:tr w:rsidR="003B2C9F" w:rsidRPr="003B2C9F" w14:paraId="100C1823" w14:textId="77777777" w:rsidTr="003B2C9F">
        <w:trPr>
          <w:trHeight w:val="300"/>
        </w:trPr>
        <w:tc>
          <w:tcPr>
            <w:tcW w:w="616" w:type="dxa"/>
            <w:tcBorders>
              <w:top w:val="nil"/>
              <w:left w:val="nil"/>
              <w:bottom w:val="nil"/>
              <w:right w:val="nil"/>
            </w:tcBorders>
            <w:shd w:val="clear" w:color="auto" w:fill="auto"/>
            <w:noWrap/>
            <w:vAlign w:val="bottom"/>
            <w:hideMark/>
          </w:tcPr>
          <w:p w14:paraId="2F37AC3F" w14:textId="77777777" w:rsidR="003B2C9F" w:rsidRPr="003B2C9F" w:rsidRDefault="003B2C9F" w:rsidP="003B2C9F">
            <w:pPr>
              <w:rPr>
                <w:b/>
                <w:bCs/>
                <w:sz w:val="20"/>
                <w:szCs w:val="20"/>
              </w:rPr>
            </w:pPr>
            <w:r w:rsidRPr="003B2C9F">
              <w:rPr>
                <w:b/>
                <w:bCs/>
                <w:sz w:val="20"/>
                <w:szCs w:val="20"/>
              </w:rPr>
              <w:t>611</w:t>
            </w:r>
          </w:p>
        </w:tc>
        <w:tc>
          <w:tcPr>
            <w:tcW w:w="6472" w:type="dxa"/>
            <w:tcBorders>
              <w:top w:val="nil"/>
              <w:left w:val="nil"/>
              <w:bottom w:val="nil"/>
              <w:right w:val="nil"/>
            </w:tcBorders>
            <w:shd w:val="clear" w:color="auto" w:fill="auto"/>
            <w:noWrap/>
            <w:vAlign w:val="bottom"/>
            <w:hideMark/>
          </w:tcPr>
          <w:p w14:paraId="05D7CA7A" w14:textId="77777777" w:rsidR="003B2C9F" w:rsidRPr="003B2C9F" w:rsidRDefault="003B2C9F" w:rsidP="003B2C9F">
            <w:pPr>
              <w:rPr>
                <w:b/>
                <w:bCs/>
                <w:sz w:val="20"/>
                <w:szCs w:val="20"/>
              </w:rPr>
            </w:pPr>
            <w:r w:rsidRPr="003B2C9F">
              <w:rPr>
                <w:b/>
                <w:bCs/>
                <w:sz w:val="20"/>
                <w:szCs w:val="20"/>
              </w:rPr>
              <w:t xml:space="preserve">Porez i prirez na dohodak                                                                           </w:t>
            </w:r>
          </w:p>
        </w:tc>
        <w:tc>
          <w:tcPr>
            <w:tcW w:w="1559" w:type="dxa"/>
            <w:tcBorders>
              <w:top w:val="nil"/>
              <w:left w:val="nil"/>
              <w:bottom w:val="nil"/>
              <w:right w:val="nil"/>
            </w:tcBorders>
            <w:shd w:val="clear" w:color="auto" w:fill="auto"/>
            <w:noWrap/>
            <w:vAlign w:val="bottom"/>
            <w:hideMark/>
          </w:tcPr>
          <w:p w14:paraId="427F58C7" w14:textId="77777777" w:rsidR="003B2C9F" w:rsidRPr="003B2C9F" w:rsidRDefault="003B2C9F" w:rsidP="003B2C9F">
            <w:pPr>
              <w:jc w:val="right"/>
              <w:rPr>
                <w:b/>
                <w:bCs/>
                <w:sz w:val="20"/>
                <w:szCs w:val="20"/>
              </w:rPr>
            </w:pPr>
            <w:r w:rsidRPr="003B2C9F">
              <w:rPr>
                <w:b/>
                <w:bCs/>
                <w:sz w:val="20"/>
                <w:szCs w:val="20"/>
              </w:rPr>
              <w:t>7.941.727,63</w:t>
            </w:r>
          </w:p>
        </w:tc>
        <w:tc>
          <w:tcPr>
            <w:tcW w:w="1503" w:type="dxa"/>
            <w:tcBorders>
              <w:top w:val="nil"/>
              <w:left w:val="nil"/>
              <w:bottom w:val="nil"/>
              <w:right w:val="nil"/>
            </w:tcBorders>
            <w:shd w:val="clear" w:color="auto" w:fill="auto"/>
            <w:noWrap/>
            <w:vAlign w:val="bottom"/>
            <w:hideMark/>
          </w:tcPr>
          <w:p w14:paraId="2A7D9573" w14:textId="77777777" w:rsidR="003B2C9F" w:rsidRPr="003B2C9F" w:rsidRDefault="003B2C9F" w:rsidP="003B2C9F">
            <w:pPr>
              <w:jc w:val="right"/>
              <w:rPr>
                <w:b/>
                <w:bCs/>
                <w:sz w:val="20"/>
                <w:szCs w:val="20"/>
              </w:rPr>
            </w:pPr>
            <w:r w:rsidRPr="003B2C9F">
              <w:rPr>
                <w:b/>
                <w:bCs/>
                <w:sz w:val="20"/>
                <w:szCs w:val="20"/>
              </w:rPr>
              <w:t>10.407.009,71</w:t>
            </w:r>
          </w:p>
        </w:tc>
        <w:tc>
          <w:tcPr>
            <w:tcW w:w="1366" w:type="dxa"/>
            <w:tcBorders>
              <w:top w:val="nil"/>
              <w:left w:val="nil"/>
              <w:bottom w:val="nil"/>
              <w:right w:val="nil"/>
            </w:tcBorders>
            <w:shd w:val="clear" w:color="auto" w:fill="auto"/>
            <w:noWrap/>
            <w:vAlign w:val="bottom"/>
            <w:hideMark/>
          </w:tcPr>
          <w:p w14:paraId="2EDB175F" w14:textId="77777777" w:rsidR="003B2C9F" w:rsidRPr="003B2C9F" w:rsidRDefault="003B2C9F" w:rsidP="003B2C9F">
            <w:pPr>
              <w:jc w:val="right"/>
              <w:rPr>
                <w:b/>
                <w:bCs/>
                <w:sz w:val="20"/>
                <w:szCs w:val="20"/>
              </w:rPr>
            </w:pPr>
            <w:r w:rsidRPr="003B2C9F">
              <w:rPr>
                <w:b/>
                <w:bCs/>
                <w:sz w:val="20"/>
                <w:szCs w:val="20"/>
              </w:rPr>
              <w:t>11.147.022,05</w:t>
            </w:r>
          </w:p>
        </w:tc>
        <w:tc>
          <w:tcPr>
            <w:tcW w:w="1525" w:type="dxa"/>
            <w:tcBorders>
              <w:top w:val="nil"/>
              <w:left w:val="nil"/>
              <w:bottom w:val="nil"/>
              <w:right w:val="nil"/>
            </w:tcBorders>
            <w:shd w:val="clear" w:color="auto" w:fill="auto"/>
            <w:noWrap/>
            <w:vAlign w:val="bottom"/>
            <w:hideMark/>
          </w:tcPr>
          <w:p w14:paraId="261C7300" w14:textId="77777777" w:rsidR="003B2C9F" w:rsidRPr="003B2C9F" w:rsidRDefault="003B2C9F" w:rsidP="003B2C9F">
            <w:pPr>
              <w:jc w:val="right"/>
              <w:rPr>
                <w:b/>
                <w:bCs/>
                <w:sz w:val="20"/>
                <w:szCs w:val="20"/>
              </w:rPr>
            </w:pPr>
            <w:r w:rsidRPr="003B2C9F">
              <w:rPr>
                <w:b/>
                <w:bCs/>
                <w:sz w:val="20"/>
                <w:szCs w:val="20"/>
              </w:rPr>
              <w:t>140,36</w:t>
            </w:r>
          </w:p>
        </w:tc>
        <w:tc>
          <w:tcPr>
            <w:tcW w:w="1000" w:type="dxa"/>
            <w:tcBorders>
              <w:top w:val="nil"/>
              <w:left w:val="nil"/>
              <w:bottom w:val="nil"/>
              <w:right w:val="nil"/>
            </w:tcBorders>
            <w:shd w:val="clear" w:color="auto" w:fill="auto"/>
            <w:noWrap/>
            <w:vAlign w:val="bottom"/>
            <w:hideMark/>
          </w:tcPr>
          <w:p w14:paraId="2C749886" w14:textId="77777777" w:rsidR="003B2C9F" w:rsidRPr="003B2C9F" w:rsidRDefault="003B2C9F" w:rsidP="003B2C9F">
            <w:pPr>
              <w:jc w:val="right"/>
              <w:rPr>
                <w:b/>
                <w:bCs/>
                <w:sz w:val="20"/>
                <w:szCs w:val="20"/>
              </w:rPr>
            </w:pPr>
            <w:r w:rsidRPr="003B2C9F">
              <w:rPr>
                <w:b/>
                <w:bCs/>
                <w:sz w:val="20"/>
                <w:szCs w:val="20"/>
              </w:rPr>
              <w:t>107,11</w:t>
            </w:r>
          </w:p>
        </w:tc>
      </w:tr>
      <w:tr w:rsidR="003B2C9F" w:rsidRPr="003B2C9F" w14:paraId="7FBFDCE2" w14:textId="77777777" w:rsidTr="003B2C9F">
        <w:trPr>
          <w:trHeight w:val="300"/>
        </w:trPr>
        <w:tc>
          <w:tcPr>
            <w:tcW w:w="616" w:type="dxa"/>
            <w:tcBorders>
              <w:top w:val="nil"/>
              <w:left w:val="nil"/>
              <w:bottom w:val="nil"/>
              <w:right w:val="nil"/>
            </w:tcBorders>
            <w:shd w:val="clear" w:color="auto" w:fill="auto"/>
            <w:noWrap/>
            <w:vAlign w:val="bottom"/>
            <w:hideMark/>
          </w:tcPr>
          <w:p w14:paraId="3B06A6D2" w14:textId="77777777" w:rsidR="003B2C9F" w:rsidRPr="003B2C9F" w:rsidRDefault="003B2C9F" w:rsidP="003B2C9F">
            <w:pPr>
              <w:rPr>
                <w:sz w:val="20"/>
                <w:szCs w:val="20"/>
              </w:rPr>
            </w:pPr>
            <w:r w:rsidRPr="003B2C9F">
              <w:rPr>
                <w:sz w:val="20"/>
                <w:szCs w:val="20"/>
              </w:rPr>
              <w:t>6111</w:t>
            </w:r>
          </w:p>
        </w:tc>
        <w:tc>
          <w:tcPr>
            <w:tcW w:w="6472" w:type="dxa"/>
            <w:tcBorders>
              <w:top w:val="nil"/>
              <w:left w:val="nil"/>
              <w:bottom w:val="nil"/>
              <w:right w:val="nil"/>
            </w:tcBorders>
            <w:shd w:val="clear" w:color="auto" w:fill="auto"/>
            <w:vAlign w:val="bottom"/>
            <w:hideMark/>
          </w:tcPr>
          <w:p w14:paraId="093A914C" w14:textId="77777777" w:rsidR="003B2C9F" w:rsidRPr="003B2C9F" w:rsidRDefault="003B2C9F" w:rsidP="003B2C9F">
            <w:pPr>
              <w:rPr>
                <w:sz w:val="20"/>
                <w:szCs w:val="20"/>
              </w:rPr>
            </w:pPr>
            <w:r w:rsidRPr="003B2C9F">
              <w:rPr>
                <w:sz w:val="20"/>
                <w:szCs w:val="20"/>
              </w:rPr>
              <w:t xml:space="preserve">Porez i prirez na dohodak od nesamostalnog rada                                                     </w:t>
            </w:r>
          </w:p>
        </w:tc>
        <w:tc>
          <w:tcPr>
            <w:tcW w:w="1559" w:type="dxa"/>
            <w:tcBorders>
              <w:top w:val="nil"/>
              <w:left w:val="nil"/>
              <w:bottom w:val="nil"/>
              <w:right w:val="nil"/>
            </w:tcBorders>
            <w:shd w:val="clear" w:color="auto" w:fill="auto"/>
            <w:noWrap/>
            <w:vAlign w:val="bottom"/>
            <w:hideMark/>
          </w:tcPr>
          <w:p w14:paraId="26E4BD45" w14:textId="77777777" w:rsidR="003B2C9F" w:rsidRPr="003B2C9F" w:rsidRDefault="003B2C9F" w:rsidP="003B2C9F">
            <w:pPr>
              <w:jc w:val="right"/>
              <w:rPr>
                <w:sz w:val="20"/>
                <w:szCs w:val="20"/>
              </w:rPr>
            </w:pPr>
            <w:r w:rsidRPr="003B2C9F">
              <w:rPr>
                <w:sz w:val="20"/>
                <w:szCs w:val="20"/>
              </w:rPr>
              <w:t>6.927.486,63</w:t>
            </w:r>
          </w:p>
        </w:tc>
        <w:tc>
          <w:tcPr>
            <w:tcW w:w="1503" w:type="dxa"/>
            <w:tcBorders>
              <w:top w:val="nil"/>
              <w:left w:val="nil"/>
              <w:bottom w:val="nil"/>
              <w:right w:val="nil"/>
            </w:tcBorders>
            <w:shd w:val="clear" w:color="auto" w:fill="auto"/>
            <w:noWrap/>
            <w:vAlign w:val="bottom"/>
            <w:hideMark/>
          </w:tcPr>
          <w:p w14:paraId="303DBD6F"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B991C19" w14:textId="77777777" w:rsidR="003B2C9F" w:rsidRPr="003B2C9F" w:rsidRDefault="003B2C9F" w:rsidP="003B2C9F">
            <w:pPr>
              <w:jc w:val="right"/>
              <w:rPr>
                <w:sz w:val="20"/>
                <w:szCs w:val="20"/>
              </w:rPr>
            </w:pPr>
            <w:r w:rsidRPr="003B2C9F">
              <w:rPr>
                <w:sz w:val="20"/>
                <w:szCs w:val="20"/>
              </w:rPr>
              <w:t>9.120.113,66</w:t>
            </w:r>
          </w:p>
        </w:tc>
        <w:tc>
          <w:tcPr>
            <w:tcW w:w="1525" w:type="dxa"/>
            <w:tcBorders>
              <w:top w:val="nil"/>
              <w:left w:val="nil"/>
              <w:bottom w:val="nil"/>
              <w:right w:val="nil"/>
            </w:tcBorders>
            <w:shd w:val="clear" w:color="auto" w:fill="auto"/>
            <w:noWrap/>
            <w:vAlign w:val="bottom"/>
            <w:hideMark/>
          </w:tcPr>
          <w:p w14:paraId="4BD7BD94" w14:textId="77777777" w:rsidR="003B2C9F" w:rsidRPr="003B2C9F" w:rsidRDefault="003B2C9F" w:rsidP="003B2C9F">
            <w:pPr>
              <w:jc w:val="right"/>
              <w:rPr>
                <w:sz w:val="20"/>
                <w:szCs w:val="20"/>
              </w:rPr>
            </w:pPr>
            <w:r w:rsidRPr="003B2C9F">
              <w:rPr>
                <w:sz w:val="20"/>
                <w:szCs w:val="20"/>
              </w:rPr>
              <w:t>131,65</w:t>
            </w:r>
          </w:p>
        </w:tc>
        <w:tc>
          <w:tcPr>
            <w:tcW w:w="1000" w:type="dxa"/>
            <w:tcBorders>
              <w:top w:val="nil"/>
              <w:left w:val="nil"/>
              <w:bottom w:val="nil"/>
              <w:right w:val="nil"/>
            </w:tcBorders>
            <w:shd w:val="clear" w:color="auto" w:fill="auto"/>
            <w:noWrap/>
            <w:vAlign w:val="bottom"/>
            <w:hideMark/>
          </w:tcPr>
          <w:p w14:paraId="2E90B015" w14:textId="77777777" w:rsidR="003B2C9F" w:rsidRPr="003B2C9F" w:rsidRDefault="003B2C9F" w:rsidP="003B2C9F">
            <w:pPr>
              <w:jc w:val="right"/>
              <w:rPr>
                <w:sz w:val="20"/>
                <w:szCs w:val="20"/>
              </w:rPr>
            </w:pPr>
          </w:p>
        </w:tc>
      </w:tr>
      <w:tr w:rsidR="003B2C9F" w:rsidRPr="003B2C9F" w14:paraId="26D00082" w14:textId="77777777" w:rsidTr="003B2C9F">
        <w:trPr>
          <w:trHeight w:val="300"/>
        </w:trPr>
        <w:tc>
          <w:tcPr>
            <w:tcW w:w="616" w:type="dxa"/>
            <w:tcBorders>
              <w:top w:val="nil"/>
              <w:left w:val="nil"/>
              <w:bottom w:val="nil"/>
              <w:right w:val="nil"/>
            </w:tcBorders>
            <w:shd w:val="clear" w:color="auto" w:fill="auto"/>
            <w:noWrap/>
            <w:vAlign w:val="bottom"/>
            <w:hideMark/>
          </w:tcPr>
          <w:p w14:paraId="7E89C056" w14:textId="77777777" w:rsidR="003B2C9F" w:rsidRPr="003B2C9F" w:rsidRDefault="003B2C9F" w:rsidP="003B2C9F">
            <w:pPr>
              <w:rPr>
                <w:sz w:val="20"/>
                <w:szCs w:val="20"/>
              </w:rPr>
            </w:pPr>
            <w:r w:rsidRPr="003B2C9F">
              <w:rPr>
                <w:sz w:val="20"/>
                <w:szCs w:val="20"/>
              </w:rPr>
              <w:t>6112</w:t>
            </w:r>
          </w:p>
        </w:tc>
        <w:tc>
          <w:tcPr>
            <w:tcW w:w="6472" w:type="dxa"/>
            <w:tcBorders>
              <w:top w:val="nil"/>
              <w:left w:val="nil"/>
              <w:bottom w:val="nil"/>
              <w:right w:val="nil"/>
            </w:tcBorders>
            <w:shd w:val="clear" w:color="auto" w:fill="auto"/>
            <w:vAlign w:val="bottom"/>
            <w:hideMark/>
          </w:tcPr>
          <w:p w14:paraId="05A4955D" w14:textId="77777777" w:rsidR="003B2C9F" w:rsidRPr="003B2C9F" w:rsidRDefault="003B2C9F" w:rsidP="003B2C9F">
            <w:pPr>
              <w:rPr>
                <w:sz w:val="20"/>
                <w:szCs w:val="20"/>
              </w:rPr>
            </w:pPr>
            <w:r w:rsidRPr="003B2C9F">
              <w:rPr>
                <w:sz w:val="20"/>
                <w:szCs w:val="20"/>
              </w:rPr>
              <w:t xml:space="preserve">Porez i prirez na dohodak od samostalnih djelatnosti                                                </w:t>
            </w:r>
          </w:p>
        </w:tc>
        <w:tc>
          <w:tcPr>
            <w:tcW w:w="1559" w:type="dxa"/>
            <w:tcBorders>
              <w:top w:val="nil"/>
              <w:left w:val="nil"/>
              <w:bottom w:val="nil"/>
              <w:right w:val="nil"/>
            </w:tcBorders>
            <w:shd w:val="clear" w:color="auto" w:fill="auto"/>
            <w:noWrap/>
            <w:vAlign w:val="bottom"/>
            <w:hideMark/>
          </w:tcPr>
          <w:p w14:paraId="1602B67A" w14:textId="77777777" w:rsidR="003B2C9F" w:rsidRPr="003B2C9F" w:rsidRDefault="003B2C9F" w:rsidP="003B2C9F">
            <w:pPr>
              <w:jc w:val="right"/>
              <w:rPr>
                <w:sz w:val="20"/>
                <w:szCs w:val="20"/>
              </w:rPr>
            </w:pPr>
            <w:r w:rsidRPr="003B2C9F">
              <w:rPr>
                <w:sz w:val="20"/>
                <w:szCs w:val="20"/>
              </w:rPr>
              <w:t>859.562,37</w:t>
            </w:r>
          </w:p>
        </w:tc>
        <w:tc>
          <w:tcPr>
            <w:tcW w:w="1503" w:type="dxa"/>
            <w:tcBorders>
              <w:top w:val="nil"/>
              <w:left w:val="nil"/>
              <w:bottom w:val="nil"/>
              <w:right w:val="nil"/>
            </w:tcBorders>
            <w:shd w:val="clear" w:color="auto" w:fill="auto"/>
            <w:noWrap/>
            <w:vAlign w:val="bottom"/>
            <w:hideMark/>
          </w:tcPr>
          <w:p w14:paraId="011F27D0"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23470099" w14:textId="77777777" w:rsidR="003B2C9F" w:rsidRPr="003B2C9F" w:rsidRDefault="003B2C9F" w:rsidP="003B2C9F">
            <w:pPr>
              <w:jc w:val="right"/>
              <w:rPr>
                <w:sz w:val="20"/>
                <w:szCs w:val="20"/>
              </w:rPr>
            </w:pPr>
            <w:r w:rsidRPr="003B2C9F">
              <w:rPr>
                <w:sz w:val="20"/>
                <w:szCs w:val="20"/>
              </w:rPr>
              <w:t>973.892,68</w:t>
            </w:r>
          </w:p>
        </w:tc>
        <w:tc>
          <w:tcPr>
            <w:tcW w:w="1525" w:type="dxa"/>
            <w:tcBorders>
              <w:top w:val="nil"/>
              <w:left w:val="nil"/>
              <w:bottom w:val="nil"/>
              <w:right w:val="nil"/>
            </w:tcBorders>
            <w:shd w:val="clear" w:color="auto" w:fill="auto"/>
            <w:noWrap/>
            <w:vAlign w:val="bottom"/>
            <w:hideMark/>
          </w:tcPr>
          <w:p w14:paraId="75EEC399" w14:textId="77777777" w:rsidR="003B2C9F" w:rsidRPr="003B2C9F" w:rsidRDefault="003B2C9F" w:rsidP="003B2C9F">
            <w:pPr>
              <w:jc w:val="right"/>
              <w:rPr>
                <w:sz w:val="20"/>
                <w:szCs w:val="20"/>
              </w:rPr>
            </w:pPr>
            <w:r w:rsidRPr="003B2C9F">
              <w:rPr>
                <w:sz w:val="20"/>
                <w:szCs w:val="20"/>
              </w:rPr>
              <w:t>113,30</w:t>
            </w:r>
          </w:p>
        </w:tc>
        <w:tc>
          <w:tcPr>
            <w:tcW w:w="1000" w:type="dxa"/>
            <w:tcBorders>
              <w:top w:val="nil"/>
              <w:left w:val="nil"/>
              <w:bottom w:val="nil"/>
              <w:right w:val="nil"/>
            </w:tcBorders>
            <w:shd w:val="clear" w:color="auto" w:fill="auto"/>
            <w:noWrap/>
            <w:vAlign w:val="bottom"/>
            <w:hideMark/>
          </w:tcPr>
          <w:p w14:paraId="63D2BE00" w14:textId="77777777" w:rsidR="003B2C9F" w:rsidRPr="003B2C9F" w:rsidRDefault="003B2C9F" w:rsidP="003B2C9F">
            <w:pPr>
              <w:jc w:val="right"/>
              <w:rPr>
                <w:sz w:val="20"/>
                <w:szCs w:val="20"/>
              </w:rPr>
            </w:pPr>
          </w:p>
        </w:tc>
      </w:tr>
      <w:tr w:rsidR="003B2C9F" w:rsidRPr="003B2C9F" w14:paraId="149D325E" w14:textId="77777777" w:rsidTr="003B2C9F">
        <w:trPr>
          <w:trHeight w:val="300"/>
        </w:trPr>
        <w:tc>
          <w:tcPr>
            <w:tcW w:w="616" w:type="dxa"/>
            <w:tcBorders>
              <w:top w:val="nil"/>
              <w:left w:val="nil"/>
              <w:bottom w:val="nil"/>
              <w:right w:val="nil"/>
            </w:tcBorders>
            <w:shd w:val="clear" w:color="auto" w:fill="auto"/>
            <w:noWrap/>
            <w:vAlign w:val="bottom"/>
            <w:hideMark/>
          </w:tcPr>
          <w:p w14:paraId="14B05465" w14:textId="77777777" w:rsidR="003B2C9F" w:rsidRPr="003B2C9F" w:rsidRDefault="003B2C9F" w:rsidP="003B2C9F">
            <w:pPr>
              <w:rPr>
                <w:sz w:val="20"/>
                <w:szCs w:val="20"/>
              </w:rPr>
            </w:pPr>
            <w:r w:rsidRPr="003B2C9F">
              <w:rPr>
                <w:sz w:val="20"/>
                <w:szCs w:val="20"/>
              </w:rPr>
              <w:t>6113</w:t>
            </w:r>
          </w:p>
        </w:tc>
        <w:tc>
          <w:tcPr>
            <w:tcW w:w="6472" w:type="dxa"/>
            <w:tcBorders>
              <w:top w:val="nil"/>
              <w:left w:val="nil"/>
              <w:bottom w:val="nil"/>
              <w:right w:val="nil"/>
            </w:tcBorders>
            <w:shd w:val="clear" w:color="auto" w:fill="auto"/>
            <w:vAlign w:val="bottom"/>
            <w:hideMark/>
          </w:tcPr>
          <w:p w14:paraId="4BA26003" w14:textId="77777777" w:rsidR="003B2C9F" w:rsidRPr="003B2C9F" w:rsidRDefault="003B2C9F" w:rsidP="003B2C9F">
            <w:pPr>
              <w:rPr>
                <w:sz w:val="20"/>
                <w:szCs w:val="20"/>
              </w:rPr>
            </w:pPr>
            <w:r w:rsidRPr="003B2C9F">
              <w:rPr>
                <w:sz w:val="20"/>
                <w:szCs w:val="20"/>
              </w:rPr>
              <w:t xml:space="preserve">Porez i prirez na dohodak od imovine i imovinskih prava                                             </w:t>
            </w:r>
          </w:p>
        </w:tc>
        <w:tc>
          <w:tcPr>
            <w:tcW w:w="1559" w:type="dxa"/>
            <w:tcBorders>
              <w:top w:val="nil"/>
              <w:left w:val="nil"/>
              <w:bottom w:val="nil"/>
              <w:right w:val="nil"/>
            </w:tcBorders>
            <w:shd w:val="clear" w:color="auto" w:fill="auto"/>
            <w:noWrap/>
            <w:vAlign w:val="bottom"/>
            <w:hideMark/>
          </w:tcPr>
          <w:p w14:paraId="2F4A2B35" w14:textId="77777777" w:rsidR="003B2C9F" w:rsidRPr="003B2C9F" w:rsidRDefault="003B2C9F" w:rsidP="003B2C9F">
            <w:pPr>
              <w:jc w:val="right"/>
              <w:rPr>
                <w:sz w:val="20"/>
                <w:szCs w:val="20"/>
              </w:rPr>
            </w:pPr>
            <w:r w:rsidRPr="003B2C9F">
              <w:rPr>
                <w:sz w:val="20"/>
                <w:szCs w:val="20"/>
              </w:rPr>
              <w:t>546.344,74</w:t>
            </w:r>
          </w:p>
        </w:tc>
        <w:tc>
          <w:tcPr>
            <w:tcW w:w="1503" w:type="dxa"/>
            <w:tcBorders>
              <w:top w:val="nil"/>
              <w:left w:val="nil"/>
              <w:bottom w:val="nil"/>
              <w:right w:val="nil"/>
            </w:tcBorders>
            <w:shd w:val="clear" w:color="auto" w:fill="auto"/>
            <w:noWrap/>
            <w:vAlign w:val="bottom"/>
            <w:hideMark/>
          </w:tcPr>
          <w:p w14:paraId="4B685B1B"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7D7C0641" w14:textId="77777777" w:rsidR="003B2C9F" w:rsidRPr="003B2C9F" w:rsidRDefault="003B2C9F" w:rsidP="003B2C9F">
            <w:pPr>
              <w:jc w:val="right"/>
              <w:rPr>
                <w:sz w:val="20"/>
                <w:szCs w:val="20"/>
              </w:rPr>
            </w:pPr>
            <w:r w:rsidRPr="003B2C9F">
              <w:rPr>
                <w:sz w:val="20"/>
                <w:szCs w:val="20"/>
              </w:rPr>
              <w:t>762.589,77</w:t>
            </w:r>
          </w:p>
        </w:tc>
        <w:tc>
          <w:tcPr>
            <w:tcW w:w="1525" w:type="dxa"/>
            <w:tcBorders>
              <w:top w:val="nil"/>
              <w:left w:val="nil"/>
              <w:bottom w:val="nil"/>
              <w:right w:val="nil"/>
            </w:tcBorders>
            <w:shd w:val="clear" w:color="auto" w:fill="auto"/>
            <w:noWrap/>
            <w:vAlign w:val="bottom"/>
            <w:hideMark/>
          </w:tcPr>
          <w:p w14:paraId="1A08D796" w14:textId="77777777" w:rsidR="003B2C9F" w:rsidRPr="003B2C9F" w:rsidRDefault="003B2C9F" w:rsidP="003B2C9F">
            <w:pPr>
              <w:jc w:val="right"/>
              <w:rPr>
                <w:sz w:val="20"/>
                <w:szCs w:val="20"/>
              </w:rPr>
            </w:pPr>
            <w:r w:rsidRPr="003B2C9F">
              <w:rPr>
                <w:sz w:val="20"/>
                <w:szCs w:val="20"/>
              </w:rPr>
              <w:t>139,58</w:t>
            </w:r>
          </w:p>
        </w:tc>
        <w:tc>
          <w:tcPr>
            <w:tcW w:w="1000" w:type="dxa"/>
            <w:tcBorders>
              <w:top w:val="nil"/>
              <w:left w:val="nil"/>
              <w:bottom w:val="nil"/>
              <w:right w:val="nil"/>
            </w:tcBorders>
            <w:shd w:val="clear" w:color="auto" w:fill="auto"/>
            <w:noWrap/>
            <w:vAlign w:val="bottom"/>
            <w:hideMark/>
          </w:tcPr>
          <w:p w14:paraId="60436597" w14:textId="77777777" w:rsidR="003B2C9F" w:rsidRPr="003B2C9F" w:rsidRDefault="003B2C9F" w:rsidP="003B2C9F">
            <w:pPr>
              <w:jc w:val="right"/>
              <w:rPr>
                <w:sz w:val="20"/>
                <w:szCs w:val="20"/>
              </w:rPr>
            </w:pPr>
          </w:p>
        </w:tc>
      </w:tr>
      <w:tr w:rsidR="003B2C9F" w:rsidRPr="003B2C9F" w14:paraId="2CE98457" w14:textId="77777777" w:rsidTr="003B2C9F">
        <w:trPr>
          <w:trHeight w:val="300"/>
        </w:trPr>
        <w:tc>
          <w:tcPr>
            <w:tcW w:w="616" w:type="dxa"/>
            <w:tcBorders>
              <w:top w:val="nil"/>
              <w:left w:val="nil"/>
              <w:bottom w:val="nil"/>
              <w:right w:val="nil"/>
            </w:tcBorders>
            <w:shd w:val="clear" w:color="auto" w:fill="auto"/>
            <w:noWrap/>
            <w:vAlign w:val="bottom"/>
            <w:hideMark/>
          </w:tcPr>
          <w:p w14:paraId="6DA1F1D3" w14:textId="77777777" w:rsidR="003B2C9F" w:rsidRPr="003B2C9F" w:rsidRDefault="003B2C9F" w:rsidP="003B2C9F">
            <w:pPr>
              <w:rPr>
                <w:sz w:val="20"/>
                <w:szCs w:val="20"/>
              </w:rPr>
            </w:pPr>
            <w:r w:rsidRPr="003B2C9F">
              <w:rPr>
                <w:sz w:val="20"/>
                <w:szCs w:val="20"/>
              </w:rPr>
              <w:t>6114</w:t>
            </w:r>
          </w:p>
        </w:tc>
        <w:tc>
          <w:tcPr>
            <w:tcW w:w="6472" w:type="dxa"/>
            <w:tcBorders>
              <w:top w:val="nil"/>
              <w:left w:val="nil"/>
              <w:bottom w:val="nil"/>
              <w:right w:val="nil"/>
            </w:tcBorders>
            <w:shd w:val="clear" w:color="auto" w:fill="auto"/>
            <w:vAlign w:val="bottom"/>
            <w:hideMark/>
          </w:tcPr>
          <w:p w14:paraId="78C715E6" w14:textId="77777777" w:rsidR="003B2C9F" w:rsidRPr="003B2C9F" w:rsidRDefault="003B2C9F" w:rsidP="003B2C9F">
            <w:pPr>
              <w:rPr>
                <w:sz w:val="20"/>
                <w:szCs w:val="20"/>
              </w:rPr>
            </w:pPr>
            <w:r w:rsidRPr="003B2C9F">
              <w:rPr>
                <w:sz w:val="20"/>
                <w:szCs w:val="20"/>
              </w:rPr>
              <w:t xml:space="preserve">Porez i prirez na dohodak od kapitala                                                               </w:t>
            </w:r>
          </w:p>
        </w:tc>
        <w:tc>
          <w:tcPr>
            <w:tcW w:w="1559" w:type="dxa"/>
            <w:tcBorders>
              <w:top w:val="nil"/>
              <w:left w:val="nil"/>
              <w:bottom w:val="nil"/>
              <w:right w:val="nil"/>
            </w:tcBorders>
            <w:shd w:val="clear" w:color="auto" w:fill="auto"/>
            <w:noWrap/>
            <w:vAlign w:val="bottom"/>
            <w:hideMark/>
          </w:tcPr>
          <w:p w14:paraId="08A00847" w14:textId="77777777" w:rsidR="003B2C9F" w:rsidRPr="003B2C9F" w:rsidRDefault="003B2C9F" w:rsidP="003B2C9F">
            <w:pPr>
              <w:jc w:val="right"/>
              <w:rPr>
                <w:sz w:val="20"/>
                <w:szCs w:val="20"/>
              </w:rPr>
            </w:pPr>
            <w:r w:rsidRPr="003B2C9F">
              <w:rPr>
                <w:sz w:val="20"/>
                <w:szCs w:val="20"/>
              </w:rPr>
              <w:t>736.898,79</w:t>
            </w:r>
          </w:p>
        </w:tc>
        <w:tc>
          <w:tcPr>
            <w:tcW w:w="1503" w:type="dxa"/>
            <w:tcBorders>
              <w:top w:val="nil"/>
              <w:left w:val="nil"/>
              <w:bottom w:val="nil"/>
              <w:right w:val="nil"/>
            </w:tcBorders>
            <w:shd w:val="clear" w:color="auto" w:fill="auto"/>
            <w:noWrap/>
            <w:vAlign w:val="bottom"/>
            <w:hideMark/>
          </w:tcPr>
          <w:p w14:paraId="7E6A38AC"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C0D171E" w14:textId="77777777" w:rsidR="003B2C9F" w:rsidRPr="003B2C9F" w:rsidRDefault="003B2C9F" w:rsidP="003B2C9F">
            <w:pPr>
              <w:jc w:val="right"/>
              <w:rPr>
                <w:sz w:val="20"/>
                <w:szCs w:val="20"/>
              </w:rPr>
            </w:pPr>
            <w:r w:rsidRPr="003B2C9F">
              <w:rPr>
                <w:sz w:val="20"/>
                <w:szCs w:val="20"/>
              </w:rPr>
              <w:t>1.076.260,90</w:t>
            </w:r>
          </w:p>
        </w:tc>
        <w:tc>
          <w:tcPr>
            <w:tcW w:w="1525" w:type="dxa"/>
            <w:tcBorders>
              <w:top w:val="nil"/>
              <w:left w:val="nil"/>
              <w:bottom w:val="nil"/>
              <w:right w:val="nil"/>
            </w:tcBorders>
            <w:shd w:val="clear" w:color="auto" w:fill="auto"/>
            <w:noWrap/>
            <w:vAlign w:val="bottom"/>
            <w:hideMark/>
          </w:tcPr>
          <w:p w14:paraId="2D3CC4D3" w14:textId="77777777" w:rsidR="003B2C9F" w:rsidRPr="003B2C9F" w:rsidRDefault="003B2C9F" w:rsidP="003B2C9F">
            <w:pPr>
              <w:jc w:val="right"/>
              <w:rPr>
                <w:sz w:val="20"/>
                <w:szCs w:val="20"/>
              </w:rPr>
            </w:pPr>
            <w:r w:rsidRPr="003B2C9F">
              <w:rPr>
                <w:sz w:val="20"/>
                <w:szCs w:val="20"/>
              </w:rPr>
              <w:t>146,05</w:t>
            </w:r>
          </w:p>
        </w:tc>
        <w:tc>
          <w:tcPr>
            <w:tcW w:w="1000" w:type="dxa"/>
            <w:tcBorders>
              <w:top w:val="nil"/>
              <w:left w:val="nil"/>
              <w:bottom w:val="nil"/>
              <w:right w:val="nil"/>
            </w:tcBorders>
            <w:shd w:val="clear" w:color="auto" w:fill="auto"/>
            <w:noWrap/>
            <w:vAlign w:val="bottom"/>
            <w:hideMark/>
          </w:tcPr>
          <w:p w14:paraId="0F578DD9" w14:textId="77777777" w:rsidR="003B2C9F" w:rsidRPr="003B2C9F" w:rsidRDefault="003B2C9F" w:rsidP="003B2C9F">
            <w:pPr>
              <w:jc w:val="right"/>
              <w:rPr>
                <w:sz w:val="20"/>
                <w:szCs w:val="20"/>
              </w:rPr>
            </w:pPr>
          </w:p>
        </w:tc>
      </w:tr>
      <w:tr w:rsidR="003B2C9F" w:rsidRPr="003B2C9F" w14:paraId="56A6AEB2" w14:textId="77777777" w:rsidTr="003B2C9F">
        <w:trPr>
          <w:trHeight w:val="300"/>
        </w:trPr>
        <w:tc>
          <w:tcPr>
            <w:tcW w:w="616" w:type="dxa"/>
            <w:tcBorders>
              <w:top w:val="nil"/>
              <w:left w:val="nil"/>
              <w:bottom w:val="nil"/>
              <w:right w:val="nil"/>
            </w:tcBorders>
            <w:shd w:val="clear" w:color="auto" w:fill="auto"/>
            <w:noWrap/>
            <w:vAlign w:val="bottom"/>
            <w:hideMark/>
          </w:tcPr>
          <w:p w14:paraId="1586D486" w14:textId="77777777" w:rsidR="003B2C9F" w:rsidRPr="003B2C9F" w:rsidRDefault="003B2C9F" w:rsidP="003B2C9F">
            <w:pPr>
              <w:rPr>
                <w:sz w:val="20"/>
                <w:szCs w:val="20"/>
              </w:rPr>
            </w:pPr>
            <w:r w:rsidRPr="003B2C9F">
              <w:rPr>
                <w:sz w:val="20"/>
                <w:szCs w:val="20"/>
              </w:rPr>
              <w:t>6115</w:t>
            </w:r>
          </w:p>
        </w:tc>
        <w:tc>
          <w:tcPr>
            <w:tcW w:w="6472" w:type="dxa"/>
            <w:tcBorders>
              <w:top w:val="nil"/>
              <w:left w:val="nil"/>
              <w:bottom w:val="nil"/>
              <w:right w:val="nil"/>
            </w:tcBorders>
            <w:shd w:val="clear" w:color="auto" w:fill="auto"/>
            <w:vAlign w:val="bottom"/>
            <w:hideMark/>
          </w:tcPr>
          <w:p w14:paraId="7093E721" w14:textId="77777777" w:rsidR="003B2C9F" w:rsidRPr="003B2C9F" w:rsidRDefault="003B2C9F" w:rsidP="003B2C9F">
            <w:pPr>
              <w:rPr>
                <w:sz w:val="20"/>
                <w:szCs w:val="20"/>
              </w:rPr>
            </w:pPr>
            <w:r w:rsidRPr="003B2C9F">
              <w:rPr>
                <w:sz w:val="20"/>
                <w:szCs w:val="20"/>
              </w:rPr>
              <w:t xml:space="preserve">Porez i prirez na dohodak po godišnjoj prijavi                                                      </w:t>
            </w:r>
          </w:p>
        </w:tc>
        <w:tc>
          <w:tcPr>
            <w:tcW w:w="1559" w:type="dxa"/>
            <w:tcBorders>
              <w:top w:val="nil"/>
              <w:left w:val="nil"/>
              <w:bottom w:val="nil"/>
              <w:right w:val="nil"/>
            </w:tcBorders>
            <w:shd w:val="clear" w:color="auto" w:fill="auto"/>
            <w:noWrap/>
            <w:vAlign w:val="bottom"/>
            <w:hideMark/>
          </w:tcPr>
          <w:p w14:paraId="7516BDA5" w14:textId="77777777" w:rsidR="003B2C9F" w:rsidRPr="003B2C9F" w:rsidRDefault="003B2C9F" w:rsidP="003B2C9F">
            <w:pPr>
              <w:jc w:val="right"/>
              <w:rPr>
                <w:sz w:val="20"/>
                <w:szCs w:val="20"/>
              </w:rPr>
            </w:pPr>
            <w:r w:rsidRPr="003B2C9F">
              <w:rPr>
                <w:sz w:val="20"/>
                <w:szCs w:val="20"/>
              </w:rPr>
              <w:t>245.111,64</w:t>
            </w:r>
          </w:p>
        </w:tc>
        <w:tc>
          <w:tcPr>
            <w:tcW w:w="1503" w:type="dxa"/>
            <w:tcBorders>
              <w:top w:val="nil"/>
              <w:left w:val="nil"/>
              <w:bottom w:val="nil"/>
              <w:right w:val="nil"/>
            </w:tcBorders>
            <w:shd w:val="clear" w:color="auto" w:fill="auto"/>
            <w:noWrap/>
            <w:vAlign w:val="bottom"/>
            <w:hideMark/>
          </w:tcPr>
          <w:p w14:paraId="04764913"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8DE0132" w14:textId="77777777" w:rsidR="003B2C9F" w:rsidRPr="003B2C9F" w:rsidRDefault="003B2C9F" w:rsidP="003B2C9F">
            <w:pPr>
              <w:jc w:val="right"/>
              <w:rPr>
                <w:sz w:val="20"/>
                <w:szCs w:val="20"/>
              </w:rPr>
            </w:pPr>
            <w:r w:rsidRPr="003B2C9F">
              <w:rPr>
                <w:sz w:val="20"/>
                <w:szCs w:val="20"/>
              </w:rPr>
              <w:t>464.602,43</w:t>
            </w:r>
          </w:p>
        </w:tc>
        <w:tc>
          <w:tcPr>
            <w:tcW w:w="1525" w:type="dxa"/>
            <w:tcBorders>
              <w:top w:val="nil"/>
              <w:left w:val="nil"/>
              <w:bottom w:val="nil"/>
              <w:right w:val="nil"/>
            </w:tcBorders>
            <w:shd w:val="clear" w:color="auto" w:fill="auto"/>
            <w:noWrap/>
            <w:vAlign w:val="bottom"/>
            <w:hideMark/>
          </w:tcPr>
          <w:p w14:paraId="07E0A3D9" w14:textId="77777777" w:rsidR="003B2C9F" w:rsidRPr="003B2C9F" w:rsidRDefault="003B2C9F" w:rsidP="003B2C9F">
            <w:pPr>
              <w:jc w:val="right"/>
              <w:rPr>
                <w:sz w:val="20"/>
                <w:szCs w:val="20"/>
              </w:rPr>
            </w:pPr>
            <w:r w:rsidRPr="003B2C9F">
              <w:rPr>
                <w:sz w:val="20"/>
                <w:szCs w:val="20"/>
              </w:rPr>
              <w:t>189,55</w:t>
            </w:r>
          </w:p>
        </w:tc>
        <w:tc>
          <w:tcPr>
            <w:tcW w:w="1000" w:type="dxa"/>
            <w:tcBorders>
              <w:top w:val="nil"/>
              <w:left w:val="nil"/>
              <w:bottom w:val="nil"/>
              <w:right w:val="nil"/>
            </w:tcBorders>
            <w:shd w:val="clear" w:color="auto" w:fill="auto"/>
            <w:noWrap/>
            <w:vAlign w:val="bottom"/>
            <w:hideMark/>
          </w:tcPr>
          <w:p w14:paraId="4FFA76A6" w14:textId="77777777" w:rsidR="003B2C9F" w:rsidRPr="003B2C9F" w:rsidRDefault="003B2C9F" w:rsidP="003B2C9F">
            <w:pPr>
              <w:jc w:val="right"/>
              <w:rPr>
                <w:sz w:val="20"/>
                <w:szCs w:val="20"/>
              </w:rPr>
            </w:pPr>
          </w:p>
        </w:tc>
      </w:tr>
      <w:tr w:rsidR="003B2C9F" w:rsidRPr="003B2C9F" w14:paraId="0246DCD8" w14:textId="77777777" w:rsidTr="00953AE7">
        <w:trPr>
          <w:trHeight w:val="271"/>
        </w:trPr>
        <w:tc>
          <w:tcPr>
            <w:tcW w:w="616" w:type="dxa"/>
            <w:tcBorders>
              <w:top w:val="nil"/>
              <w:left w:val="nil"/>
              <w:bottom w:val="nil"/>
              <w:right w:val="nil"/>
            </w:tcBorders>
            <w:shd w:val="clear" w:color="auto" w:fill="auto"/>
            <w:noWrap/>
            <w:vAlign w:val="bottom"/>
            <w:hideMark/>
          </w:tcPr>
          <w:p w14:paraId="5388CE2F" w14:textId="77777777" w:rsidR="003B2C9F" w:rsidRPr="003B2C9F" w:rsidRDefault="003B2C9F" w:rsidP="003B2C9F">
            <w:pPr>
              <w:rPr>
                <w:sz w:val="20"/>
                <w:szCs w:val="20"/>
              </w:rPr>
            </w:pPr>
            <w:r w:rsidRPr="003B2C9F">
              <w:rPr>
                <w:sz w:val="20"/>
                <w:szCs w:val="20"/>
              </w:rPr>
              <w:t>6116</w:t>
            </w:r>
          </w:p>
        </w:tc>
        <w:tc>
          <w:tcPr>
            <w:tcW w:w="6472" w:type="dxa"/>
            <w:tcBorders>
              <w:top w:val="nil"/>
              <w:left w:val="nil"/>
              <w:bottom w:val="nil"/>
              <w:right w:val="nil"/>
            </w:tcBorders>
            <w:shd w:val="clear" w:color="auto" w:fill="auto"/>
            <w:vAlign w:val="bottom"/>
            <w:hideMark/>
          </w:tcPr>
          <w:p w14:paraId="425AD404" w14:textId="77777777" w:rsidR="003B2C9F" w:rsidRPr="003B2C9F" w:rsidRDefault="003B2C9F" w:rsidP="003B2C9F">
            <w:pPr>
              <w:rPr>
                <w:sz w:val="20"/>
                <w:szCs w:val="20"/>
              </w:rPr>
            </w:pPr>
            <w:r w:rsidRPr="003B2C9F">
              <w:rPr>
                <w:sz w:val="20"/>
                <w:szCs w:val="20"/>
              </w:rPr>
              <w:t xml:space="preserve">Porez i prirez na dohodak utvrđen u postupku nadzora za prethodne godine                            </w:t>
            </w:r>
          </w:p>
        </w:tc>
        <w:tc>
          <w:tcPr>
            <w:tcW w:w="1559" w:type="dxa"/>
            <w:tcBorders>
              <w:top w:val="nil"/>
              <w:left w:val="nil"/>
              <w:bottom w:val="nil"/>
              <w:right w:val="nil"/>
            </w:tcBorders>
            <w:shd w:val="clear" w:color="auto" w:fill="auto"/>
            <w:noWrap/>
            <w:vAlign w:val="bottom"/>
            <w:hideMark/>
          </w:tcPr>
          <w:p w14:paraId="3184695B" w14:textId="77777777" w:rsidR="003B2C9F" w:rsidRPr="003B2C9F" w:rsidRDefault="003B2C9F" w:rsidP="003B2C9F">
            <w:pPr>
              <w:jc w:val="right"/>
              <w:rPr>
                <w:sz w:val="20"/>
                <w:szCs w:val="20"/>
              </w:rPr>
            </w:pPr>
            <w:r w:rsidRPr="003B2C9F">
              <w:rPr>
                <w:sz w:val="20"/>
                <w:szCs w:val="20"/>
              </w:rPr>
              <w:t>10.925,63</w:t>
            </w:r>
          </w:p>
        </w:tc>
        <w:tc>
          <w:tcPr>
            <w:tcW w:w="1503" w:type="dxa"/>
            <w:tcBorders>
              <w:top w:val="nil"/>
              <w:left w:val="nil"/>
              <w:bottom w:val="nil"/>
              <w:right w:val="nil"/>
            </w:tcBorders>
            <w:shd w:val="clear" w:color="auto" w:fill="auto"/>
            <w:noWrap/>
            <w:vAlign w:val="bottom"/>
            <w:hideMark/>
          </w:tcPr>
          <w:p w14:paraId="3FCAA1F9"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5BB4A619" w14:textId="77777777" w:rsidR="003B2C9F" w:rsidRPr="003B2C9F" w:rsidRDefault="003B2C9F" w:rsidP="003B2C9F">
            <w:pPr>
              <w:jc w:val="right"/>
              <w:rPr>
                <w:sz w:val="20"/>
                <w:szCs w:val="20"/>
              </w:rPr>
            </w:pPr>
            <w:r w:rsidRPr="003B2C9F">
              <w:rPr>
                <w:sz w:val="20"/>
                <w:szCs w:val="20"/>
              </w:rPr>
              <w:t>-1.180,86</w:t>
            </w:r>
          </w:p>
        </w:tc>
        <w:tc>
          <w:tcPr>
            <w:tcW w:w="1525" w:type="dxa"/>
            <w:tcBorders>
              <w:top w:val="nil"/>
              <w:left w:val="nil"/>
              <w:bottom w:val="nil"/>
              <w:right w:val="nil"/>
            </w:tcBorders>
            <w:shd w:val="clear" w:color="auto" w:fill="auto"/>
            <w:noWrap/>
            <w:vAlign w:val="bottom"/>
            <w:hideMark/>
          </w:tcPr>
          <w:p w14:paraId="3C54E25A" w14:textId="77777777" w:rsidR="003B2C9F" w:rsidRPr="003B2C9F" w:rsidRDefault="003B2C9F" w:rsidP="003B2C9F">
            <w:pPr>
              <w:jc w:val="right"/>
              <w:rPr>
                <w:sz w:val="20"/>
                <w:szCs w:val="20"/>
              </w:rPr>
            </w:pPr>
            <w:r w:rsidRPr="003B2C9F">
              <w:rPr>
                <w:sz w:val="20"/>
                <w:szCs w:val="20"/>
              </w:rPr>
              <w:t>-10,81</w:t>
            </w:r>
          </w:p>
        </w:tc>
        <w:tc>
          <w:tcPr>
            <w:tcW w:w="1000" w:type="dxa"/>
            <w:tcBorders>
              <w:top w:val="nil"/>
              <w:left w:val="nil"/>
              <w:bottom w:val="nil"/>
              <w:right w:val="nil"/>
            </w:tcBorders>
            <w:shd w:val="clear" w:color="auto" w:fill="auto"/>
            <w:noWrap/>
            <w:vAlign w:val="bottom"/>
            <w:hideMark/>
          </w:tcPr>
          <w:p w14:paraId="1F7C654C" w14:textId="77777777" w:rsidR="003B2C9F" w:rsidRPr="003B2C9F" w:rsidRDefault="003B2C9F" w:rsidP="003B2C9F">
            <w:pPr>
              <w:jc w:val="right"/>
              <w:rPr>
                <w:sz w:val="20"/>
                <w:szCs w:val="20"/>
              </w:rPr>
            </w:pPr>
          </w:p>
        </w:tc>
      </w:tr>
      <w:tr w:rsidR="003B2C9F" w:rsidRPr="003B2C9F" w14:paraId="46944F71" w14:textId="77777777" w:rsidTr="003B2C9F">
        <w:trPr>
          <w:trHeight w:val="300"/>
        </w:trPr>
        <w:tc>
          <w:tcPr>
            <w:tcW w:w="616" w:type="dxa"/>
            <w:tcBorders>
              <w:top w:val="nil"/>
              <w:left w:val="nil"/>
              <w:bottom w:val="nil"/>
              <w:right w:val="nil"/>
            </w:tcBorders>
            <w:shd w:val="clear" w:color="auto" w:fill="auto"/>
            <w:noWrap/>
            <w:vAlign w:val="bottom"/>
            <w:hideMark/>
          </w:tcPr>
          <w:p w14:paraId="739301D7" w14:textId="77777777" w:rsidR="003B2C9F" w:rsidRPr="003B2C9F" w:rsidRDefault="003B2C9F" w:rsidP="003B2C9F">
            <w:pPr>
              <w:rPr>
                <w:sz w:val="20"/>
                <w:szCs w:val="20"/>
              </w:rPr>
            </w:pPr>
            <w:r w:rsidRPr="003B2C9F">
              <w:rPr>
                <w:sz w:val="20"/>
                <w:szCs w:val="20"/>
              </w:rPr>
              <w:t>6117</w:t>
            </w:r>
          </w:p>
        </w:tc>
        <w:tc>
          <w:tcPr>
            <w:tcW w:w="6472" w:type="dxa"/>
            <w:tcBorders>
              <w:top w:val="nil"/>
              <w:left w:val="nil"/>
              <w:bottom w:val="nil"/>
              <w:right w:val="nil"/>
            </w:tcBorders>
            <w:shd w:val="clear" w:color="auto" w:fill="auto"/>
            <w:vAlign w:val="bottom"/>
            <w:hideMark/>
          </w:tcPr>
          <w:p w14:paraId="69BA77DC" w14:textId="77777777" w:rsidR="003B2C9F" w:rsidRPr="003B2C9F" w:rsidRDefault="003B2C9F" w:rsidP="003B2C9F">
            <w:pPr>
              <w:rPr>
                <w:sz w:val="20"/>
                <w:szCs w:val="20"/>
              </w:rPr>
            </w:pPr>
            <w:r w:rsidRPr="003B2C9F">
              <w:rPr>
                <w:sz w:val="20"/>
                <w:szCs w:val="20"/>
              </w:rPr>
              <w:t xml:space="preserve">Povrat poreza i prireza na dohodak po godišnjoj prijavi                                             </w:t>
            </w:r>
          </w:p>
        </w:tc>
        <w:tc>
          <w:tcPr>
            <w:tcW w:w="1559" w:type="dxa"/>
            <w:tcBorders>
              <w:top w:val="nil"/>
              <w:left w:val="nil"/>
              <w:bottom w:val="nil"/>
              <w:right w:val="nil"/>
            </w:tcBorders>
            <w:shd w:val="clear" w:color="auto" w:fill="auto"/>
            <w:noWrap/>
            <w:vAlign w:val="bottom"/>
            <w:hideMark/>
          </w:tcPr>
          <w:p w14:paraId="31953346" w14:textId="77777777" w:rsidR="003B2C9F" w:rsidRPr="003B2C9F" w:rsidRDefault="003B2C9F" w:rsidP="003B2C9F">
            <w:pPr>
              <w:jc w:val="right"/>
              <w:rPr>
                <w:sz w:val="20"/>
                <w:szCs w:val="20"/>
              </w:rPr>
            </w:pPr>
            <w:r w:rsidRPr="003B2C9F">
              <w:rPr>
                <w:sz w:val="20"/>
                <w:szCs w:val="20"/>
              </w:rPr>
              <w:t>-1.384.602,17</w:t>
            </w:r>
          </w:p>
        </w:tc>
        <w:tc>
          <w:tcPr>
            <w:tcW w:w="1503" w:type="dxa"/>
            <w:tcBorders>
              <w:top w:val="nil"/>
              <w:left w:val="nil"/>
              <w:bottom w:val="nil"/>
              <w:right w:val="nil"/>
            </w:tcBorders>
            <w:shd w:val="clear" w:color="auto" w:fill="auto"/>
            <w:noWrap/>
            <w:vAlign w:val="bottom"/>
            <w:hideMark/>
          </w:tcPr>
          <w:p w14:paraId="43DCE40A"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0C2524C9" w14:textId="77777777" w:rsidR="003B2C9F" w:rsidRPr="003B2C9F" w:rsidRDefault="003B2C9F" w:rsidP="003B2C9F">
            <w:pPr>
              <w:jc w:val="right"/>
              <w:rPr>
                <w:sz w:val="20"/>
                <w:szCs w:val="20"/>
              </w:rPr>
            </w:pPr>
            <w:r w:rsidRPr="003B2C9F">
              <w:rPr>
                <w:sz w:val="20"/>
                <w:szCs w:val="20"/>
              </w:rPr>
              <w:t>-1.249.256,53</w:t>
            </w:r>
          </w:p>
        </w:tc>
        <w:tc>
          <w:tcPr>
            <w:tcW w:w="1525" w:type="dxa"/>
            <w:tcBorders>
              <w:top w:val="nil"/>
              <w:left w:val="nil"/>
              <w:bottom w:val="nil"/>
              <w:right w:val="nil"/>
            </w:tcBorders>
            <w:shd w:val="clear" w:color="auto" w:fill="auto"/>
            <w:noWrap/>
            <w:vAlign w:val="bottom"/>
            <w:hideMark/>
          </w:tcPr>
          <w:p w14:paraId="0800DBA2" w14:textId="77777777" w:rsidR="003B2C9F" w:rsidRPr="003B2C9F" w:rsidRDefault="003B2C9F" w:rsidP="003B2C9F">
            <w:pPr>
              <w:jc w:val="right"/>
              <w:rPr>
                <w:sz w:val="20"/>
                <w:szCs w:val="20"/>
              </w:rPr>
            </w:pPr>
            <w:r w:rsidRPr="003B2C9F">
              <w:rPr>
                <w:sz w:val="20"/>
                <w:szCs w:val="20"/>
              </w:rPr>
              <w:t>90,22</w:t>
            </w:r>
          </w:p>
        </w:tc>
        <w:tc>
          <w:tcPr>
            <w:tcW w:w="1000" w:type="dxa"/>
            <w:tcBorders>
              <w:top w:val="nil"/>
              <w:left w:val="nil"/>
              <w:bottom w:val="nil"/>
              <w:right w:val="nil"/>
            </w:tcBorders>
            <w:shd w:val="clear" w:color="auto" w:fill="auto"/>
            <w:noWrap/>
            <w:vAlign w:val="bottom"/>
            <w:hideMark/>
          </w:tcPr>
          <w:p w14:paraId="23F69A90" w14:textId="77777777" w:rsidR="003B2C9F" w:rsidRPr="003B2C9F" w:rsidRDefault="003B2C9F" w:rsidP="003B2C9F">
            <w:pPr>
              <w:jc w:val="right"/>
              <w:rPr>
                <w:sz w:val="20"/>
                <w:szCs w:val="20"/>
              </w:rPr>
            </w:pPr>
          </w:p>
        </w:tc>
      </w:tr>
      <w:tr w:rsidR="003B2C9F" w:rsidRPr="003B2C9F" w14:paraId="5E656213" w14:textId="77777777" w:rsidTr="003B2C9F">
        <w:trPr>
          <w:trHeight w:val="300"/>
        </w:trPr>
        <w:tc>
          <w:tcPr>
            <w:tcW w:w="616" w:type="dxa"/>
            <w:tcBorders>
              <w:top w:val="nil"/>
              <w:left w:val="nil"/>
              <w:bottom w:val="nil"/>
              <w:right w:val="nil"/>
            </w:tcBorders>
            <w:shd w:val="clear" w:color="auto" w:fill="auto"/>
            <w:noWrap/>
            <w:vAlign w:val="bottom"/>
            <w:hideMark/>
          </w:tcPr>
          <w:p w14:paraId="42B886AE" w14:textId="77777777" w:rsidR="003B2C9F" w:rsidRPr="003B2C9F" w:rsidRDefault="003B2C9F" w:rsidP="003B2C9F">
            <w:pPr>
              <w:rPr>
                <w:b/>
                <w:bCs/>
                <w:sz w:val="20"/>
                <w:szCs w:val="20"/>
              </w:rPr>
            </w:pPr>
            <w:r w:rsidRPr="003B2C9F">
              <w:rPr>
                <w:b/>
                <w:bCs/>
                <w:sz w:val="20"/>
                <w:szCs w:val="20"/>
              </w:rPr>
              <w:t>613</w:t>
            </w:r>
          </w:p>
        </w:tc>
        <w:tc>
          <w:tcPr>
            <w:tcW w:w="6472" w:type="dxa"/>
            <w:tcBorders>
              <w:top w:val="nil"/>
              <w:left w:val="nil"/>
              <w:bottom w:val="nil"/>
              <w:right w:val="nil"/>
            </w:tcBorders>
            <w:shd w:val="clear" w:color="auto" w:fill="auto"/>
            <w:noWrap/>
            <w:vAlign w:val="bottom"/>
            <w:hideMark/>
          </w:tcPr>
          <w:p w14:paraId="3C1398E1" w14:textId="77777777" w:rsidR="003B2C9F" w:rsidRPr="003B2C9F" w:rsidRDefault="003B2C9F" w:rsidP="003B2C9F">
            <w:pPr>
              <w:rPr>
                <w:b/>
                <w:bCs/>
                <w:sz w:val="20"/>
                <w:szCs w:val="20"/>
              </w:rPr>
            </w:pPr>
            <w:r w:rsidRPr="003B2C9F">
              <w:rPr>
                <w:b/>
                <w:bCs/>
                <w:sz w:val="20"/>
                <w:szCs w:val="20"/>
              </w:rPr>
              <w:t xml:space="preserve">Porezi na imovinu                                                                                   </w:t>
            </w:r>
          </w:p>
        </w:tc>
        <w:tc>
          <w:tcPr>
            <w:tcW w:w="1559" w:type="dxa"/>
            <w:tcBorders>
              <w:top w:val="nil"/>
              <w:left w:val="nil"/>
              <w:bottom w:val="nil"/>
              <w:right w:val="nil"/>
            </w:tcBorders>
            <w:shd w:val="clear" w:color="auto" w:fill="auto"/>
            <w:noWrap/>
            <w:vAlign w:val="bottom"/>
            <w:hideMark/>
          </w:tcPr>
          <w:p w14:paraId="56DCB725" w14:textId="77777777" w:rsidR="003B2C9F" w:rsidRPr="003B2C9F" w:rsidRDefault="003B2C9F" w:rsidP="003B2C9F">
            <w:pPr>
              <w:jc w:val="right"/>
              <w:rPr>
                <w:b/>
                <w:bCs/>
                <w:sz w:val="20"/>
                <w:szCs w:val="20"/>
              </w:rPr>
            </w:pPr>
            <w:r w:rsidRPr="003B2C9F">
              <w:rPr>
                <w:b/>
                <w:bCs/>
                <w:sz w:val="20"/>
                <w:szCs w:val="20"/>
              </w:rPr>
              <w:t>5.112.353,51</w:t>
            </w:r>
          </w:p>
        </w:tc>
        <w:tc>
          <w:tcPr>
            <w:tcW w:w="1503" w:type="dxa"/>
            <w:tcBorders>
              <w:top w:val="nil"/>
              <w:left w:val="nil"/>
              <w:bottom w:val="nil"/>
              <w:right w:val="nil"/>
            </w:tcBorders>
            <w:shd w:val="clear" w:color="auto" w:fill="auto"/>
            <w:noWrap/>
            <w:vAlign w:val="bottom"/>
            <w:hideMark/>
          </w:tcPr>
          <w:p w14:paraId="6C6AE440" w14:textId="77777777" w:rsidR="003B2C9F" w:rsidRPr="003B2C9F" w:rsidRDefault="003B2C9F" w:rsidP="003B2C9F">
            <w:pPr>
              <w:jc w:val="right"/>
              <w:rPr>
                <w:b/>
                <w:bCs/>
                <w:sz w:val="20"/>
                <w:szCs w:val="20"/>
              </w:rPr>
            </w:pPr>
            <w:r w:rsidRPr="003B2C9F">
              <w:rPr>
                <w:b/>
                <w:bCs/>
                <w:sz w:val="20"/>
                <w:szCs w:val="20"/>
              </w:rPr>
              <w:t>7.298.000,00</w:t>
            </w:r>
          </w:p>
        </w:tc>
        <w:tc>
          <w:tcPr>
            <w:tcW w:w="1366" w:type="dxa"/>
            <w:tcBorders>
              <w:top w:val="nil"/>
              <w:left w:val="nil"/>
              <w:bottom w:val="nil"/>
              <w:right w:val="nil"/>
            </w:tcBorders>
            <w:shd w:val="clear" w:color="auto" w:fill="auto"/>
            <w:noWrap/>
            <w:vAlign w:val="bottom"/>
            <w:hideMark/>
          </w:tcPr>
          <w:p w14:paraId="5BC354F9" w14:textId="77777777" w:rsidR="003B2C9F" w:rsidRPr="003B2C9F" w:rsidRDefault="003B2C9F" w:rsidP="003B2C9F">
            <w:pPr>
              <w:jc w:val="right"/>
              <w:rPr>
                <w:b/>
                <w:bCs/>
                <w:sz w:val="20"/>
                <w:szCs w:val="20"/>
              </w:rPr>
            </w:pPr>
            <w:r w:rsidRPr="003B2C9F">
              <w:rPr>
                <w:b/>
                <w:bCs/>
                <w:sz w:val="20"/>
                <w:szCs w:val="20"/>
              </w:rPr>
              <w:t>7.424.184,56</w:t>
            </w:r>
          </w:p>
        </w:tc>
        <w:tc>
          <w:tcPr>
            <w:tcW w:w="1525" w:type="dxa"/>
            <w:tcBorders>
              <w:top w:val="nil"/>
              <w:left w:val="nil"/>
              <w:bottom w:val="nil"/>
              <w:right w:val="nil"/>
            </w:tcBorders>
            <w:shd w:val="clear" w:color="auto" w:fill="auto"/>
            <w:noWrap/>
            <w:vAlign w:val="bottom"/>
            <w:hideMark/>
          </w:tcPr>
          <w:p w14:paraId="6F9FB9AF" w14:textId="77777777" w:rsidR="003B2C9F" w:rsidRPr="003B2C9F" w:rsidRDefault="003B2C9F" w:rsidP="003B2C9F">
            <w:pPr>
              <w:jc w:val="right"/>
              <w:rPr>
                <w:b/>
                <w:bCs/>
                <w:sz w:val="20"/>
                <w:szCs w:val="20"/>
              </w:rPr>
            </w:pPr>
            <w:r w:rsidRPr="003B2C9F">
              <w:rPr>
                <w:b/>
                <w:bCs/>
                <w:sz w:val="20"/>
                <w:szCs w:val="20"/>
              </w:rPr>
              <w:t>145,22</w:t>
            </w:r>
          </w:p>
        </w:tc>
        <w:tc>
          <w:tcPr>
            <w:tcW w:w="1000" w:type="dxa"/>
            <w:tcBorders>
              <w:top w:val="nil"/>
              <w:left w:val="nil"/>
              <w:bottom w:val="nil"/>
              <w:right w:val="nil"/>
            </w:tcBorders>
            <w:shd w:val="clear" w:color="auto" w:fill="auto"/>
            <w:noWrap/>
            <w:vAlign w:val="bottom"/>
            <w:hideMark/>
          </w:tcPr>
          <w:p w14:paraId="5DA3579F" w14:textId="77777777" w:rsidR="003B2C9F" w:rsidRPr="003B2C9F" w:rsidRDefault="003B2C9F" w:rsidP="003B2C9F">
            <w:pPr>
              <w:jc w:val="right"/>
              <w:rPr>
                <w:b/>
                <w:bCs/>
                <w:sz w:val="20"/>
                <w:szCs w:val="20"/>
              </w:rPr>
            </w:pPr>
            <w:r w:rsidRPr="003B2C9F">
              <w:rPr>
                <w:b/>
                <w:bCs/>
                <w:sz w:val="20"/>
                <w:szCs w:val="20"/>
              </w:rPr>
              <w:t>101,73</w:t>
            </w:r>
          </w:p>
        </w:tc>
      </w:tr>
      <w:tr w:rsidR="003B2C9F" w:rsidRPr="003B2C9F" w14:paraId="4850D372" w14:textId="77777777" w:rsidTr="00953AE7">
        <w:trPr>
          <w:trHeight w:val="242"/>
        </w:trPr>
        <w:tc>
          <w:tcPr>
            <w:tcW w:w="616" w:type="dxa"/>
            <w:tcBorders>
              <w:top w:val="nil"/>
              <w:left w:val="nil"/>
              <w:bottom w:val="nil"/>
              <w:right w:val="nil"/>
            </w:tcBorders>
            <w:shd w:val="clear" w:color="auto" w:fill="auto"/>
            <w:noWrap/>
            <w:vAlign w:val="bottom"/>
            <w:hideMark/>
          </w:tcPr>
          <w:p w14:paraId="727061A5" w14:textId="77777777" w:rsidR="003B2C9F" w:rsidRPr="003B2C9F" w:rsidRDefault="003B2C9F" w:rsidP="003B2C9F">
            <w:pPr>
              <w:rPr>
                <w:sz w:val="20"/>
                <w:szCs w:val="20"/>
              </w:rPr>
            </w:pPr>
            <w:r w:rsidRPr="003B2C9F">
              <w:rPr>
                <w:sz w:val="20"/>
                <w:szCs w:val="20"/>
              </w:rPr>
              <w:t>6131</w:t>
            </w:r>
          </w:p>
        </w:tc>
        <w:tc>
          <w:tcPr>
            <w:tcW w:w="6472" w:type="dxa"/>
            <w:tcBorders>
              <w:top w:val="nil"/>
              <w:left w:val="nil"/>
              <w:bottom w:val="nil"/>
              <w:right w:val="nil"/>
            </w:tcBorders>
            <w:shd w:val="clear" w:color="auto" w:fill="auto"/>
            <w:vAlign w:val="bottom"/>
            <w:hideMark/>
          </w:tcPr>
          <w:p w14:paraId="5C5EE29D" w14:textId="77777777" w:rsidR="003B2C9F" w:rsidRPr="003B2C9F" w:rsidRDefault="003B2C9F" w:rsidP="003B2C9F">
            <w:pPr>
              <w:rPr>
                <w:sz w:val="20"/>
                <w:szCs w:val="20"/>
              </w:rPr>
            </w:pPr>
            <w:r w:rsidRPr="003B2C9F">
              <w:rPr>
                <w:sz w:val="20"/>
                <w:szCs w:val="20"/>
              </w:rPr>
              <w:t xml:space="preserve">Stalni porezi na nepokretnu imovinu (zemlju, zgrade, kuće i ostalo)                                 </w:t>
            </w:r>
          </w:p>
        </w:tc>
        <w:tc>
          <w:tcPr>
            <w:tcW w:w="1559" w:type="dxa"/>
            <w:tcBorders>
              <w:top w:val="nil"/>
              <w:left w:val="nil"/>
              <w:bottom w:val="nil"/>
              <w:right w:val="nil"/>
            </w:tcBorders>
            <w:shd w:val="clear" w:color="auto" w:fill="auto"/>
            <w:noWrap/>
            <w:vAlign w:val="bottom"/>
            <w:hideMark/>
          </w:tcPr>
          <w:p w14:paraId="3F287BA0" w14:textId="77777777" w:rsidR="003B2C9F" w:rsidRPr="003B2C9F" w:rsidRDefault="003B2C9F" w:rsidP="003B2C9F">
            <w:pPr>
              <w:jc w:val="right"/>
              <w:rPr>
                <w:sz w:val="20"/>
                <w:szCs w:val="20"/>
              </w:rPr>
            </w:pPr>
            <w:r w:rsidRPr="003B2C9F">
              <w:rPr>
                <w:sz w:val="20"/>
                <w:szCs w:val="20"/>
              </w:rPr>
              <w:t>188.705,61</w:t>
            </w:r>
          </w:p>
        </w:tc>
        <w:tc>
          <w:tcPr>
            <w:tcW w:w="1503" w:type="dxa"/>
            <w:tcBorders>
              <w:top w:val="nil"/>
              <w:left w:val="nil"/>
              <w:bottom w:val="nil"/>
              <w:right w:val="nil"/>
            </w:tcBorders>
            <w:shd w:val="clear" w:color="auto" w:fill="auto"/>
            <w:noWrap/>
            <w:vAlign w:val="bottom"/>
            <w:hideMark/>
          </w:tcPr>
          <w:p w14:paraId="0F1B73C2"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2B3489A8" w14:textId="77777777" w:rsidR="003B2C9F" w:rsidRPr="003B2C9F" w:rsidRDefault="003B2C9F" w:rsidP="003B2C9F">
            <w:pPr>
              <w:jc w:val="right"/>
              <w:rPr>
                <w:sz w:val="20"/>
                <w:szCs w:val="20"/>
              </w:rPr>
            </w:pPr>
            <w:r w:rsidRPr="003B2C9F">
              <w:rPr>
                <w:sz w:val="20"/>
                <w:szCs w:val="20"/>
              </w:rPr>
              <w:t>190.054,52</w:t>
            </w:r>
          </w:p>
        </w:tc>
        <w:tc>
          <w:tcPr>
            <w:tcW w:w="1525" w:type="dxa"/>
            <w:tcBorders>
              <w:top w:val="nil"/>
              <w:left w:val="nil"/>
              <w:bottom w:val="nil"/>
              <w:right w:val="nil"/>
            </w:tcBorders>
            <w:shd w:val="clear" w:color="auto" w:fill="auto"/>
            <w:noWrap/>
            <w:vAlign w:val="bottom"/>
            <w:hideMark/>
          </w:tcPr>
          <w:p w14:paraId="1991C401" w14:textId="77777777" w:rsidR="003B2C9F" w:rsidRPr="003B2C9F" w:rsidRDefault="003B2C9F" w:rsidP="003B2C9F">
            <w:pPr>
              <w:jc w:val="right"/>
              <w:rPr>
                <w:sz w:val="20"/>
                <w:szCs w:val="20"/>
              </w:rPr>
            </w:pPr>
            <w:r w:rsidRPr="003B2C9F">
              <w:rPr>
                <w:sz w:val="20"/>
                <w:szCs w:val="20"/>
              </w:rPr>
              <w:t>100,71</w:t>
            </w:r>
          </w:p>
        </w:tc>
        <w:tc>
          <w:tcPr>
            <w:tcW w:w="1000" w:type="dxa"/>
            <w:tcBorders>
              <w:top w:val="nil"/>
              <w:left w:val="nil"/>
              <w:bottom w:val="nil"/>
              <w:right w:val="nil"/>
            </w:tcBorders>
            <w:shd w:val="clear" w:color="auto" w:fill="auto"/>
            <w:noWrap/>
            <w:vAlign w:val="bottom"/>
            <w:hideMark/>
          </w:tcPr>
          <w:p w14:paraId="08192944" w14:textId="77777777" w:rsidR="003B2C9F" w:rsidRPr="003B2C9F" w:rsidRDefault="003B2C9F" w:rsidP="003B2C9F">
            <w:pPr>
              <w:jc w:val="right"/>
              <w:rPr>
                <w:sz w:val="20"/>
                <w:szCs w:val="20"/>
              </w:rPr>
            </w:pPr>
          </w:p>
        </w:tc>
      </w:tr>
      <w:tr w:rsidR="003B2C9F" w:rsidRPr="003B2C9F" w14:paraId="1F4D14A9" w14:textId="77777777" w:rsidTr="003B2C9F">
        <w:trPr>
          <w:trHeight w:val="300"/>
        </w:trPr>
        <w:tc>
          <w:tcPr>
            <w:tcW w:w="616" w:type="dxa"/>
            <w:tcBorders>
              <w:top w:val="nil"/>
              <w:left w:val="nil"/>
              <w:bottom w:val="nil"/>
              <w:right w:val="nil"/>
            </w:tcBorders>
            <w:shd w:val="clear" w:color="auto" w:fill="auto"/>
            <w:noWrap/>
            <w:vAlign w:val="bottom"/>
            <w:hideMark/>
          </w:tcPr>
          <w:p w14:paraId="5FCC89AA" w14:textId="77777777" w:rsidR="003B2C9F" w:rsidRPr="003B2C9F" w:rsidRDefault="003B2C9F" w:rsidP="003B2C9F">
            <w:pPr>
              <w:rPr>
                <w:sz w:val="20"/>
                <w:szCs w:val="20"/>
              </w:rPr>
            </w:pPr>
            <w:r w:rsidRPr="003B2C9F">
              <w:rPr>
                <w:sz w:val="20"/>
                <w:szCs w:val="20"/>
              </w:rPr>
              <w:t>6134</w:t>
            </w:r>
          </w:p>
        </w:tc>
        <w:tc>
          <w:tcPr>
            <w:tcW w:w="6472" w:type="dxa"/>
            <w:tcBorders>
              <w:top w:val="nil"/>
              <w:left w:val="nil"/>
              <w:bottom w:val="nil"/>
              <w:right w:val="nil"/>
            </w:tcBorders>
            <w:shd w:val="clear" w:color="auto" w:fill="auto"/>
            <w:vAlign w:val="bottom"/>
            <w:hideMark/>
          </w:tcPr>
          <w:p w14:paraId="44CA2303" w14:textId="77777777" w:rsidR="003B2C9F" w:rsidRPr="003B2C9F" w:rsidRDefault="003B2C9F" w:rsidP="003B2C9F">
            <w:pPr>
              <w:rPr>
                <w:sz w:val="20"/>
                <w:szCs w:val="20"/>
              </w:rPr>
            </w:pPr>
            <w:r w:rsidRPr="003B2C9F">
              <w:rPr>
                <w:sz w:val="20"/>
                <w:szCs w:val="20"/>
              </w:rPr>
              <w:t xml:space="preserve">Povremeni porezi na imovinu                                                                         </w:t>
            </w:r>
          </w:p>
        </w:tc>
        <w:tc>
          <w:tcPr>
            <w:tcW w:w="1559" w:type="dxa"/>
            <w:tcBorders>
              <w:top w:val="nil"/>
              <w:left w:val="nil"/>
              <w:bottom w:val="nil"/>
              <w:right w:val="nil"/>
            </w:tcBorders>
            <w:shd w:val="clear" w:color="auto" w:fill="auto"/>
            <w:noWrap/>
            <w:vAlign w:val="bottom"/>
            <w:hideMark/>
          </w:tcPr>
          <w:p w14:paraId="19AE0548" w14:textId="77777777" w:rsidR="003B2C9F" w:rsidRPr="003B2C9F" w:rsidRDefault="003B2C9F" w:rsidP="003B2C9F">
            <w:pPr>
              <w:jc w:val="right"/>
              <w:rPr>
                <w:sz w:val="20"/>
                <w:szCs w:val="20"/>
              </w:rPr>
            </w:pPr>
            <w:r w:rsidRPr="003B2C9F">
              <w:rPr>
                <w:sz w:val="20"/>
                <w:szCs w:val="20"/>
              </w:rPr>
              <w:t>4.923.647,90</w:t>
            </w:r>
          </w:p>
        </w:tc>
        <w:tc>
          <w:tcPr>
            <w:tcW w:w="1503" w:type="dxa"/>
            <w:tcBorders>
              <w:top w:val="nil"/>
              <w:left w:val="nil"/>
              <w:bottom w:val="nil"/>
              <w:right w:val="nil"/>
            </w:tcBorders>
            <w:shd w:val="clear" w:color="auto" w:fill="auto"/>
            <w:noWrap/>
            <w:vAlign w:val="bottom"/>
            <w:hideMark/>
          </w:tcPr>
          <w:p w14:paraId="440D50CE"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DE1CAC6" w14:textId="77777777" w:rsidR="003B2C9F" w:rsidRPr="003B2C9F" w:rsidRDefault="003B2C9F" w:rsidP="003B2C9F">
            <w:pPr>
              <w:jc w:val="right"/>
              <w:rPr>
                <w:sz w:val="20"/>
                <w:szCs w:val="20"/>
              </w:rPr>
            </w:pPr>
            <w:r w:rsidRPr="003B2C9F">
              <w:rPr>
                <w:sz w:val="20"/>
                <w:szCs w:val="20"/>
              </w:rPr>
              <w:t>7.234.130,04</w:t>
            </w:r>
          </w:p>
        </w:tc>
        <w:tc>
          <w:tcPr>
            <w:tcW w:w="1525" w:type="dxa"/>
            <w:tcBorders>
              <w:top w:val="nil"/>
              <w:left w:val="nil"/>
              <w:bottom w:val="nil"/>
              <w:right w:val="nil"/>
            </w:tcBorders>
            <w:shd w:val="clear" w:color="auto" w:fill="auto"/>
            <w:noWrap/>
            <w:vAlign w:val="bottom"/>
            <w:hideMark/>
          </w:tcPr>
          <w:p w14:paraId="6A2CE2E5" w14:textId="77777777" w:rsidR="003B2C9F" w:rsidRPr="003B2C9F" w:rsidRDefault="003B2C9F" w:rsidP="003B2C9F">
            <w:pPr>
              <w:jc w:val="right"/>
              <w:rPr>
                <w:sz w:val="20"/>
                <w:szCs w:val="20"/>
              </w:rPr>
            </w:pPr>
            <w:r w:rsidRPr="003B2C9F">
              <w:rPr>
                <w:sz w:val="20"/>
                <w:szCs w:val="20"/>
              </w:rPr>
              <w:t>146,93</w:t>
            </w:r>
          </w:p>
        </w:tc>
        <w:tc>
          <w:tcPr>
            <w:tcW w:w="1000" w:type="dxa"/>
            <w:tcBorders>
              <w:top w:val="nil"/>
              <w:left w:val="nil"/>
              <w:bottom w:val="nil"/>
              <w:right w:val="nil"/>
            </w:tcBorders>
            <w:shd w:val="clear" w:color="auto" w:fill="auto"/>
            <w:noWrap/>
            <w:vAlign w:val="bottom"/>
            <w:hideMark/>
          </w:tcPr>
          <w:p w14:paraId="57096AA5" w14:textId="77777777" w:rsidR="003B2C9F" w:rsidRPr="003B2C9F" w:rsidRDefault="003B2C9F" w:rsidP="003B2C9F">
            <w:pPr>
              <w:jc w:val="right"/>
              <w:rPr>
                <w:sz w:val="20"/>
                <w:szCs w:val="20"/>
              </w:rPr>
            </w:pPr>
          </w:p>
        </w:tc>
      </w:tr>
      <w:tr w:rsidR="003B2C9F" w:rsidRPr="003B2C9F" w14:paraId="15C9460E" w14:textId="77777777" w:rsidTr="003B2C9F">
        <w:trPr>
          <w:trHeight w:val="300"/>
        </w:trPr>
        <w:tc>
          <w:tcPr>
            <w:tcW w:w="616" w:type="dxa"/>
            <w:tcBorders>
              <w:top w:val="nil"/>
              <w:left w:val="nil"/>
              <w:bottom w:val="nil"/>
              <w:right w:val="nil"/>
            </w:tcBorders>
            <w:shd w:val="clear" w:color="auto" w:fill="auto"/>
            <w:noWrap/>
            <w:vAlign w:val="bottom"/>
            <w:hideMark/>
          </w:tcPr>
          <w:p w14:paraId="6B1E4D44" w14:textId="77777777" w:rsidR="003B2C9F" w:rsidRPr="003B2C9F" w:rsidRDefault="003B2C9F" w:rsidP="003B2C9F">
            <w:pPr>
              <w:rPr>
                <w:b/>
                <w:bCs/>
                <w:sz w:val="20"/>
                <w:szCs w:val="20"/>
              </w:rPr>
            </w:pPr>
            <w:r w:rsidRPr="003B2C9F">
              <w:rPr>
                <w:b/>
                <w:bCs/>
                <w:sz w:val="20"/>
                <w:szCs w:val="20"/>
              </w:rPr>
              <w:t>614</w:t>
            </w:r>
          </w:p>
        </w:tc>
        <w:tc>
          <w:tcPr>
            <w:tcW w:w="6472" w:type="dxa"/>
            <w:tcBorders>
              <w:top w:val="nil"/>
              <w:left w:val="nil"/>
              <w:bottom w:val="nil"/>
              <w:right w:val="nil"/>
            </w:tcBorders>
            <w:shd w:val="clear" w:color="auto" w:fill="auto"/>
            <w:noWrap/>
            <w:vAlign w:val="bottom"/>
            <w:hideMark/>
          </w:tcPr>
          <w:p w14:paraId="04871A8D" w14:textId="77777777" w:rsidR="003B2C9F" w:rsidRPr="003B2C9F" w:rsidRDefault="003B2C9F" w:rsidP="003B2C9F">
            <w:pPr>
              <w:rPr>
                <w:b/>
                <w:bCs/>
                <w:sz w:val="20"/>
                <w:szCs w:val="20"/>
              </w:rPr>
            </w:pPr>
            <w:r w:rsidRPr="003B2C9F">
              <w:rPr>
                <w:b/>
                <w:bCs/>
                <w:sz w:val="20"/>
                <w:szCs w:val="20"/>
              </w:rPr>
              <w:t xml:space="preserve">Porezi na robu i usluge                                                                             </w:t>
            </w:r>
          </w:p>
        </w:tc>
        <w:tc>
          <w:tcPr>
            <w:tcW w:w="1559" w:type="dxa"/>
            <w:tcBorders>
              <w:top w:val="nil"/>
              <w:left w:val="nil"/>
              <w:bottom w:val="nil"/>
              <w:right w:val="nil"/>
            </w:tcBorders>
            <w:shd w:val="clear" w:color="auto" w:fill="auto"/>
            <w:noWrap/>
            <w:vAlign w:val="bottom"/>
            <w:hideMark/>
          </w:tcPr>
          <w:p w14:paraId="4E12359D" w14:textId="77777777" w:rsidR="003B2C9F" w:rsidRPr="003B2C9F" w:rsidRDefault="003B2C9F" w:rsidP="003B2C9F">
            <w:pPr>
              <w:jc w:val="right"/>
              <w:rPr>
                <w:b/>
                <w:bCs/>
                <w:sz w:val="20"/>
                <w:szCs w:val="20"/>
              </w:rPr>
            </w:pPr>
            <w:r w:rsidRPr="003B2C9F">
              <w:rPr>
                <w:b/>
                <w:bCs/>
                <w:sz w:val="20"/>
                <w:szCs w:val="20"/>
              </w:rPr>
              <w:t>284.256,83</w:t>
            </w:r>
          </w:p>
        </w:tc>
        <w:tc>
          <w:tcPr>
            <w:tcW w:w="1503" w:type="dxa"/>
            <w:tcBorders>
              <w:top w:val="nil"/>
              <w:left w:val="nil"/>
              <w:bottom w:val="nil"/>
              <w:right w:val="nil"/>
            </w:tcBorders>
            <w:shd w:val="clear" w:color="auto" w:fill="auto"/>
            <w:noWrap/>
            <w:vAlign w:val="bottom"/>
            <w:hideMark/>
          </w:tcPr>
          <w:p w14:paraId="2B9FB030" w14:textId="77777777" w:rsidR="003B2C9F" w:rsidRPr="003B2C9F" w:rsidRDefault="003B2C9F" w:rsidP="003B2C9F">
            <w:pPr>
              <w:jc w:val="right"/>
              <w:rPr>
                <w:b/>
                <w:bCs/>
                <w:sz w:val="20"/>
                <w:szCs w:val="20"/>
              </w:rPr>
            </w:pPr>
            <w:r w:rsidRPr="003B2C9F">
              <w:rPr>
                <w:b/>
                <w:bCs/>
                <w:sz w:val="20"/>
                <w:szCs w:val="20"/>
              </w:rPr>
              <w:t>511.000,00</w:t>
            </w:r>
          </w:p>
        </w:tc>
        <w:tc>
          <w:tcPr>
            <w:tcW w:w="1366" w:type="dxa"/>
            <w:tcBorders>
              <w:top w:val="nil"/>
              <w:left w:val="nil"/>
              <w:bottom w:val="nil"/>
              <w:right w:val="nil"/>
            </w:tcBorders>
            <w:shd w:val="clear" w:color="auto" w:fill="auto"/>
            <w:noWrap/>
            <w:vAlign w:val="bottom"/>
            <w:hideMark/>
          </w:tcPr>
          <w:p w14:paraId="2836E759" w14:textId="77777777" w:rsidR="003B2C9F" w:rsidRPr="003B2C9F" w:rsidRDefault="003B2C9F" w:rsidP="003B2C9F">
            <w:pPr>
              <w:jc w:val="right"/>
              <w:rPr>
                <w:b/>
                <w:bCs/>
                <w:sz w:val="20"/>
                <w:szCs w:val="20"/>
              </w:rPr>
            </w:pPr>
            <w:r w:rsidRPr="003B2C9F">
              <w:rPr>
                <w:b/>
                <w:bCs/>
                <w:sz w:val="20"/>
                <w:szCs w:val="20"/>
              </w:rPr>
              <w:t>503.528,11</w:t>
            </w:r>
          </w:p>
        </w:tc>
        <w:tc>
          <w:tcPr>
            <w:tcW w:w="1525" w:type="dxa"/>
            <w:tcBorders>
              <w:top w:val="nil"/>
              <w:left w:val="nil"/>
              <w:bottom w:val="nil"/>
              <w:right w:val="nil"/>
            </w:tcBorders>
            <w:shd w:val="clear" w:color="auto" w:fill="auto"/>
            <w:noWrap/>
            <w:vAlign w:val="bottom"/>
            <w:hideMark/>
          </w:tcPr>
          <w:p w14:paraId="5D5606DD" w14:textId="77777777" w:rsidR="003B2C9F" w:rsidRPr="003B2C9F" w:rsidRDefault="003B2C9F" w:rsidP="003B2C9F">
            <w:pPr>
              <w:jc w:val="right"/>
              <w:rPr>
                <w:b/>
                <w:bCs/>
                <w:sz w:val="20"/>
                <w:szCs w:val="20"/>
              </w:rPr>
            </w:pPr>
            <w:r w:rsidRPr="003B2C9F">
              <w:rPr>
                <w:b/>
                <w:bCs/>
                <w:sz w:val="20"/>
                <w:szCs w:val="20"/>
              </w:rPr>
              <w:t>177,14</w:t>
            </w:r>
          </w:p>
        </w:tc>
        <w:tc>
          <w:tcPr>
            <w:tcW w:w="1000" w:type="dxa"/>
            <w:tcBorders>
              <w:top w:val="nil"/>
              <w:left w:val="nil"/>
              <w:bottom w:val="nil"/>
              <w:right w:val="nil"/>
            </w:tcBorders>
            <w:shd w:val="clear" w:color="auto" w:fill="auto"/>
            <w:noWrap/>
            <w:vAlign w:val="bottom"/>
            <w:hideMark/>
          </w:tcPr>
          <w:p w14:paraId="48523BB4" w14:textId="77777777" w:rsidR="003B2C9F" w:rsidRPr="003B2C9F" w:rsidRDefault="003B2C9F" w:rsidP="003B2C9F">
            <w:pPr>
              <w:jc w:val="right"/>
              <w:rPr>
                <w:b/>
                <w:bCs/>
                <w:sz w:val="20"/>
                <w:szCs w:val="20"/>
              </w:rPr>
            </w:pPr>
            <w:r w:rsidRPr="003B2C9F">
              <w:rPr>
                <w:b/>
                <w:bCs/>
                <w:sz w:val="20"/>
                <w:szCs w:val="20"/>
              </w:rPr>
              <w:t>98,54</w:t>
            </w:r>
          </w:p>
        </w:tc>
      </w:tr>
      <w:tr w:rsidR="003B2C9F" w:rsidRPr="003B2C9F" w14:paraId="35F4F7A7" w14:textId="77777777" w:rsidTr="003B2C9F">
        <w:trPr>
          <w:trHeight w:val="300"/>
        </w:trPr>
        <w:tc>
          <w:tcPr>
            <w:tcW w:w="616" w:type="dxa"/>
            <w:tcBorders>
              <w:top w:val="nil"/>
              <w:left w:val="nil"/>
              <w:bottom w:val="nil"/>
              <w:right w:val="nil"/>
            </w:tcBorders>
            <w:shd w:val="clear" w:color="auto" w:fill="auto"/>
            <w:noWrap/>
            <w:vAlign w:val="bottom"/>
            <w:hideMark/>
          </w:tcPr>
          <w:p w14:paraId="65913C82" w14:textId="77777777" w:rsidR="003B2C9F" w:rsidRPr="003B2C9F" w:rsidRDefault="003B2C9F" w:rsidP="003B2C9F">
            <w:pPr>
              <w:rPr>
                <w:sz w:val="20"/>
                <w:szCs w:val="20"/>
              </w:rPr>
            </w:pPr>
            <w:r w:rsidRPr="003B2C9F">
              <w:rPr>
                <w:sz w:val="20"/>
                <w:szCs w:val="20"/>
              </w:rPr>
              <w:t>6142</w:t>
            </w:r>
          </w:p>
        </w:tc>
        <w:tc>
          <w:tcPr>
            <w:tcW w:w="6472" w:type="dxa"/>
            <w:tcBorders>
              <w:top w:val="nil"/>
              <w:left w:val="nil"/>
              <w:bottom w:val="nil"/>
              <w:right w:val="nil"/>
            </w:tcBorders>
            <w:shd w:val="clear" w:color="auto" w:fill="auto"/>
            <w:vAlign w:val="bottom"/>
            <w:hideMark/>
          </w:tcPr>
          <w:p w14:paraId="0FCB34A0" w14:textId="77777777" w:rsidR="003B2C9F" w:rsidRPr="003B2C9F" w:rsidRDefault="003B2C9F" w:rsidP="003B2C9F">
            <w:pPr>
              <w:rPr>
                <w:sz w:val="20"/>
                <w:szCs w:val="20"/>
              </w:rPr>
            </w:pPr>
            <w:r w:rsidRPr="003B2C9F">
              <w:rPr>
                <w:sz w:val="20"/>
                <w:szCs w:val="20"/>
              </w:rPr>
              <w:t xml:space="preserve">Porez na promet                                                                                     </w:t>
            </w:r>
          </w:p>
        </w:tc>
        <w:tc>
          <w:tcPr>
            <w:tcW w:w="1559" w:type="dxa"/>
            <w:tcBorders>
              <w:top w:val="nil"/>
              <w:left w:val="nil"/>
              <w:bottom w:val="nil"/>
              <w:right w:val="nil"/>
            </w:tcBorders>
            <w:shd w:val="clear" w:color="auto" w:fill="auto"/>
            <w:noWrap/>
            <w:vAlign w:val="bottom"/>
            <w:hideMark/>
          </w:tcPr>
          <w:p w14:paraId="01AE9919" w14:textId="77777777" w:rsidR="003B2C9F" w:rsidRPr="003B2C9F" w:rsidRDefault="003B2C9F" w:rsidP="003B2C9F">
            <w:pPr>
              <w:jc w:val="right"/>
              <w:rPr>
                <w:sz w:val="20"/>
                <w:szCs w:val="20"/>
              </w:rPr>
            </w:pPr>
            <w:r w:rsidRPr="003B2C9F">
              <w:rPr>
                <w:sz w:val="20"/>
                <w:szCs w:val="20"/>
              </w:rPr>
              <w:t>284.256,83</w:t>
            </w:r>
          </w:p>
        </w:tc>
        <w:tc>
          <w:tcPr>
            <w:tcW w:w="1503" w:type="dxa"/>
            <w:tcBorders>
              <w:top w:val="nil"/>
              <w:left w:val="nil"/>
              <w:bottom w:val="nil"/>
              <w:right w:val="nil"/>
            </w:tcBorders>
            <w:shd w:val="clear" w:color="auto" w:fill="auto"/>
            <w:noWrap/>
            <w:vAlign w:val="bottom"/>
            <w:hideMark/>
          </w:tcPr>
          <w:p w14:paraId="223405B0"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0CAEDDB" w14:textId="77777777" w:rsidR="003B2C9F" w:rsidRPr="003B2C9F" w:rsidRDefault="003B2C9F" w:rsidP="003B2C9F">
            <w:pPr>
              <w:jc w:val="right"/>
              <w:rPr>
                <w:sz w:val="20"/>
                <w:szCs w:val="20"/>
              </w:rPr>
            </w:pPr>
            <w:r w:rsidRPr="003B2C9F">
              <w:rPr>
                <w:sz w:val="20"/>
                <w:szCs w:val="20"/>
              </w:rPr>
              <w:t>503.528,11</w:t>
            </w:r>
          </w:p>
        </w:tc>
        <w:tc>
          <w:tcPr>
            <w:tcW w:w="1525" w:type="dxa"/>
            <w:tcBorders>
              <w:top w:val="nil"/>
              <w:left w:val="nil"/>
              <w:bottom w:val="nil"/>
              <w:right w:val="nil"/>
            </w:tcBorders>
            <w:shd w:val="clear" w:color="auto" w:fill="auto"/>
            <w:noWrap/>
            <w:vAlign w:val="bottom"/>
            <w:hideMark/>
          </w:tcPr>
          <w:p w14:paraId="4413CEE3" w14:textId="77777777" w:rsidR="003B2C9F" w:rsidRPr="003B2C9F" w:rsidRDefault="003B2C9F" w:rsidP="003B2C9F">
            <w:pPr>
              <w:jc w:val="right"/>
              <w:rPr>
                <w:sz w:val="20"/>
                <w:szCs w:val="20"/>
              </w:rPr>
            </w:pPr>
            <w:r w:rsidRPr="003B2C9F">
              <w:rPr>
                <w:sz w:val="20"/>
                <w:szCs w:val="20"/>
              </w:rPr>
              <w:t>177,14</w:t>
            </w:r>
          </w:p>
        </w:tc>
        <w:tc>
          <w:tcPr>
            <w:tcW w:w="1000" w:type="dxa"/>
            <w:tcBorders>
              <w:top w:val="nil"/>
              <w:left w:val="nil"/>
              <w:bottom w:val="nil"/>
              <w:right w:val="nil"/>
            </w:tcBorders>
            <w:shd w:val="clear" w:color="auto" w:fill="auto"/>
            <w:noWrap/>
            <w:vAlign w:val="bottom"/>
            <w:hideMark/>
          </w:tcPr>
          <w:p w14:paraId="46F4BC9F" w14:textId="77777777" w:rsidR="003B2C9F" w:rsidRPr="003B2C9F" w:rsidRDefault="003B2C9F" w:rsidP="003B2C9F">
            <w:pPr>
              <w:jc w:val="right"/>
              <w:rPr>
                <w:sz w:val="20"/>
                <w:szCs w:val="20"/>
              </w:rPr>
            </w:pPr>
          </w:p>
        </w:tc>
      </w:tr>
      <w:tr w:rsidR="003B2C9F" w:rsidRPr="003B2C9F" w14:paraId="0642CFD5" w14:textId="77777777" w:rsidTr="003B2C9F">
        <w:trPr>
          <w:trHeight w:val="300"/>
        </w:trPr>
        <w:tc>
          <w:tcPr>
            <w:tcW w:w="616" w:type="dxa"/>
            <w:tcBorders>
              <w:top w:val="nil"/>
              <w:left w:val="nil"/>
              <w:bottom w:val="nil"/>
              <w:right w:val="nil"/>
            </w:tcBorders>
            <w:shd w:val="clear" w:color="auto" w:fill="auto"/>
            <w:noWrap/>
            <w:vAlign w:val="bottom"/>
            <w:hideMark/>
          </w:tcPr>
          <w:p w14:paraId="11CD9DFC" w14:textId="77777777" w:rsidR="003B2C9F" w:rsidRPr="003B2C9F" w:rsidRDefault="003B2C9F" w:rsidP="003B2C9F">
            <w:pPr>
              <w:rPr>
                <w:sz w:val="20"/>
                <w:szCs w:val="20"/>
              </w:rPr>
            </w:pPr>
            <w:r w:rsidRPr="003B2C9F">
              <w:rPr>
                <w:sz w:val="20"/>
                <w:szCs w:val="20"/>
              </w:rPr>
              <w:t>6145</w:t>
            </w:r>
          </w:p>
        </w:tc>
        <w:tc>
          <w:tcPr>
            <w:tcW w:w="6472" w:type="dxa"/>
            <w:tcBorders>
              <w:top w:val="nil"/>
              <w:left w:val="nil"/>
              <w:bottom w:val="nil"/>
              <w:right w:val="nil"/>
            </w:tcBorders>
            <w:shd w:val="clear" w:color="auto" w:fill="auto"/>
            <w:vAlign w:val="bottom"/>
            <w:hideMark/>
          </w:tcPr>
          <w:p w14:paraId="183277A2" w14:textId="77777777" w:rsidR="003B2C9F" w:rsidRPr="003B2C9F" w:rsidRDefault="003B2C9F" w:rsidP="003B2C9F">
            <w:pPr>
              <w:rPr>
                <w:sz w:val="20"/>
                <w:szCs w:val="20"/>
              </w:rPr>
            </w:pPr>
            <w:r w:rsidRPr="003B2C9F">
              <w:rPr>
                <w:sz w:val="20"/>
                <w:szCs w:val="20"/>
              </w:rPr>
              <w:t xml:space="preserve">Porezi na korištenje dobara ili izvođenje aktivnosti                                                </w:t>
            </w:r>
          </w:p>
        </w:tc>
        <w:tc>
          <w:tcPr>
            <w:tcW w:w="1559" w:type="dxa"/>
            <w:tcBorders>
              <w:top w:val="nil"/>
              <w:left w:val="nil"/>
              <w:bottom w:val="nil"/>
              <w:right w:val="nil"/>
            </w:tcBorders>
            <w:shd w:val="clear" w:color="auto" w:fill="auto"/>
            <w:noWrap/>
            <w:vAlign w:val="bottom"/>
            <w:hideMark/>
          </w:tcPr>
          <w:p w14:paraId="63244656" w14:textId="77777777" w:rsidR="003B2C9F" w:rsidRPr="003B2C9F" w:rsidRDefault="003B2C9F" w:rsidP="003B2C9F">
            <w:pPr>
              <w:jc w:val="right"/>
              <w:rPr>
                <w:sz w:val="20"/>
                <w:szCs w:val="20"/>
              </w:rPr>
            </w:pPr>
            <w:r w:rsidRPr="003B2C9F">
              <w:rPr>
                <w:sz w:val="20"/>
                <w:szCs w:val="20"/>
              </w:rPr>
              <w:t>0,00</w:t>
            </w:r>
          </w:p>
        </w:tc>
        <w:tc>
          <w:tcPr>
            <w:tcW w:w="1503" w:type="dxa"/>
            <w:tcBorders>
              <w:top w:val="nil"/>
              <w:left w:val="nil"/>
              <w:bottom w:val="nil"/>
              <w:right w:val="nil"/>
            </w:tcBorders>
            <w:shd w:val="clear" w:color="auto" w:fill="auto"/>
            <w:noWrap/>
            <w:vAlign w:val="bottom"/>
            <w:hideMark/>
          </w:tcPr>
          <w:p w14:paraId="01AB2BD6"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1EBD5503" w14:textId="77777777" w:rsidR="003B2C9F" w:rsidRPr="003B2C9F" w:rsidRDefault="003B2C9F" w:rsidP="003B2C9F">
            <w:pPr>
              <w:jc w:val="right"/>
              <w:rPr>
                <w:sz w:val="20"/>
                <w:szCs w:val="20"/>
              </w:rPr>
            </w:pPr>
            <w:r w:rsidRPr="003B2C9F">
              <w:rPr>
                <w:sz w:val="20"/>
                <w:szCs w:val="20"/>
              </w:rPr>
              <w:t>0,00</w:t>
            </w:r>
          </w:p>
        </w:tc>
        <w:tc>
          <w:tcPr>
            <w:tcW w:w="1525" w:type="dxa"/>
            <w:tcBorders>
              <w:top w:val="nil"/>
              <w:left w:val="nil"/>
              <w:bottom w:val="nil"/>
              <w:right w:val="nil"/>
            </w:tcBorders>
            <w:shd w:val="clear" w:color="auto" w:fill="auto"/>
            <w:noWrap/>
            <w:vAlign w:val="bottom"/>
            <w:hideMark/>
          </w:tcPr>
          <w:p w14:paraId="60730445" w14:textId="77777777" w:rsidR="003B2C9F" w:rsidRPr="003B2C9F" w:rsidRDefault="003B2C9F" w:rsidP="003B2C9F">
            <w:pPr>
              <w:jc w:val="right"/>
              <w:rPr>
                <w:sz w:val="20"/>
                <w:szCs w:val="20"/>
              </w:rPr>
            </w:pPr>
            <w:r w:rsidRPr="003B2C9F">
              <w:rPr>
                <w:sz w:val="20"/>
                <w:szCs w:val="20"/>
              </w:rPr>
              <w:t>0,00</w:t>
            </w:r>
          </w:p>
        </w:tc>
        <w:tc>
          <w:tcPr>
            <w:tcW w:w="1000" w:type="dxa"/>
            <w:tcBorders>
              <w:top w:val="nil"/>
              <w:left w:val="nil"/>
              <w:bottom w:val="nil"/>
              <w:right w:val="nil"/>
            </w:tcBorders>
            <w:shd w:val="clear" w:color="auto" w:fill="auto"/>
            <w:noWrap/>
            <w:vAlign w:val="bottom"/>
            <w:hideMark/>
          </w:tcPr>
          <w:p w14:paraId="3777B40B" w14:textId="77777777" w:rsidR="003B2C9F" w:rsidRPr="003B2C9F" w:rsidRDefault="003B2C9F" w:rsidP="003B2C9F">
            <w:pPr>
              <w:jc w:val="right"/>
              <w:rPr>
                <w:sz w:val="20"/>
                <w:szCs w:val="20"/>
              </w:rPr>
            </w:pPr>
          </w:p>
        </w:tc>
      </w:tr>
      <w:tr w:rsidR="003B2C9F" w:rsidRPr="003B2C9F" w14:paraId="04E0B1BC" w14:textId="77777777" w:rsidTr="003B2C9F">
        <w:trPr>
          <w:trHeight w:val="300"/>
        </w:trPr>
        <w:tc>
          <w:tcPr>
            <w:tcW w:w="616" w:type="dxa"/>
            <w:tcBorders>
              <w:top w:val="nil"/>
              <w:left w:val="nil"/>
              <w:bottom w:val="nil"/>
              <w:right w:val="nil"/>
            </w:tcBorders>
            <w:shd w:val="clear" w:color="auto" w:fill="auto"/>
            <w:noWrap/>
            <w:vAlign w:val="bottom"/>
            <w:hideMark/>
          </w:tcPr>
          <w:p w14:paraId="4C2BDCF2" w14:textId="77777777" w:rsidR="003B2C9F" w:rsidRPr="003B2C9F" w:rsidRDefault="003B2C9F" w:rsidP="003B2C9F">
            <w:pPr>
              <w:rPr>
                <w:b/>
                <w:bCs/>
                <w:sz w:val="20"/>
                <w:szCs w:val="20"/>
              </w:rPr>
            </w:pPr>
            <w:r w:rsidRPr="003B2C9F">
              <w:rPr>
                <w:b/>
                <w:bCs/>
                <w:sz w:val="20"/>
                <w:szCs w:val="20"/>
              </w:rPr>
              <w:t>63</w:t>
            </w:r>
          </w:p>
        </w:tc>
        <w:tc>
          <w:tcPr>
            <w:tcW w:w="6472" w:type="dxa"/>
            <w:tcBorders>
              <w:top w:val="nil"/>
              <w:left w:val="nil"/>
              <w:bottom w:val="nil"/>
              <w:right w:val="nil"/>
            </w:tcBorders>
            <w:shd w:val="clear" w:color="auto" w:fill="auto"/>
            <w:noWrap/>
            <w:vAlign w:val="bottom"/>
            <w:hideMark/>
          </w:tcPr>
          <w:p w14:paraId="49C7FD17" w14:textId="77777777" w:rsidR="003B2C9F" w:rsidRPr="003B2C9F" w:rsidRDefault="003B2C9F" w:rsidP="003B2C9F">
            <w:pPr>
              <w:rPr>
                <w:b/>
                <w:bCs/>
                <w:sz w:val="20"/>
                <w:szCs w:val="20"/>
              </w:rPr>
            </w:pPr>
            <w:r w:rsidRPr="003B2C9F">
              <w:rPr>
                <w:b/>
                <w:bCs/>
                <w:sz w:val="20"/>
                <w:szCs w:val="20"/>
              </w:rPr>
              <w:t>Pomoći iz inozemstva i od subjekata unutar općeg proračuna</w:t>
            </w:r>
          </w:p>
        </w:tc>
        <w:tc>
          <w:tcPr>
            <w:tcW w:w="1559" w:type="dxa"/>
            <w:tcBorders>
              <w:top w:val="nil"/>
              <w:left w:val="nil"/>
              <w:bottom w:val="nil"/>
              <w:right w:val="nil"/>
            </w:tcBorders>
            <w:shd w:val="clear" w:color="auto" w:fill="auto"/>
            <w:noWrap/>
            <w:vAlign w:val="bottom"/>
            <w:hideMark/>
          </w:tcPr>
          <w:p w14:paraId="184538A5" w14:textId="77777777" w:rsidR="003B2C9F" w:rsidRPr="003B2C9F" w:rsidRDefault="003B2C9F" w:rsidP="003B2C9F">
            <w:pPr>
              <w:jc w:val="right"/>
              <w:rPr>
                <w:b/>
                <w:bCs/>
                <w:sz w:val="20"/>
                <w:szCs w:val="20"/>
              </w:rPr>
            </w:pPr>
            <w:r w:rsidRPr="003B2C9F">
              <w:rPr>
                <w:b/>
                <w:bCs/>
                <w:sz w:val="20"/>
                <w:szCs w:val="20"/>
              </w:rPr>
              <w:t>7.513.355,43</w:t>
            </w:r>
          </w:p>
        </w:tc>
        <w:tc>
          <w:tcPr>
            <w:tcW w:w="1503" w:type="dxa"/>
            <w:tcBorders>
              <w:top w:val="nil"/>
              <w:left w:val="nil"/>
              <w:bottom w:val="nil"/>
              <w:right w:val="nil"/>
            </w:tcBorders>
            <w:shd w:val="clear" w:color="auto" w:fill="auto"/>
            <w:noWrap/>
            <w:vAlign w:val="bottom"/>
            <w:hideMark/>
          </w:tcPr>
          <w:p w14:paraId="329ACAE3" w14:textId="77777777" w:rsidR="003B2C9F" w:rsidRPr="003B2C9F" w:rsidRDefault="003B2C9F" w:rsidP="003B2C9F">
            <w:pPr>
              <w:jc w:val="right"/>
              <w:rPr>
                <w:b/>
                <w:bCs/>
                <w:sz w:val="20"/>
                <w:szCs w:val="20"/>
              </w:rPr>
            </w:pPr>
            <w:r w:rsidRPr="003B2C9F">
              <w:rPr>
                <w:b/>
                <w:bCs/>
                <w:sz w:val="20"/>
                <w:szCs w:val="20"/>
              </w:rPr>
              <w:t>3.273.448,70</w:t>
            </w:r>
          </w:p>
        </w:tc>
        <w:tc>
          <w:tcPr>
            <w:tcW w:w="1366" w:type="dxa"/>
            <w:tcBorders>
              <w:top w:val="nil"/>
              <w:left w:val="nil"/>
              <w:bottom w:val="nil"/>
              <w:right w:val="nil"/>
            </w:tcBorders>
            <w:shd w:val="clear" w:color="auto" w:fill="auto"/>
            <w:noWrap/>
            <w:vAlign w:val="bottom"/>
            <w:hideMark/>
          </w:tcPr>
          <w:p w14:paraId="77664219" w14:textId="77777777" w:rsidR="003B2C9F" w:rsidRPr="003B2C9F" w:rsidRDefault="003B2C9F" w:rsidP="003B2C9F">
            <w:pPr>
              <w:jc w:val="right"/>
              <w:rPr>
                <w:b/>
                <w:bCs/>
                <w:sz w:val="20"/>
                <w:szCs w:val="20"/>
              </w:rPr>
            </w:pPr>
            <w:r w:rsidRPr="003B2C9F">
              <w:rPr>
                <w:b/>
                <w:bCs/>
                <w:sz w:val="20"/>
                <w:szCs w:val="20"/>
              </w:rPr>
              <w:t>3.688.904,86</w:t>
            </w:r>
          </w:p>
        </w:tc>
        <w:tc>
          <w:tcPr>
            <w:tcW w:w="1525" w:type="dxa"/>
            <w:tcBorders>
              <w:top w:val="nil"/>
              <w:left w:val="nil"/>
              <w:bottom w:val="nil"/>
              <w:right w:val="nil"/>
            </w:tcBorders>
            <w:shd w:val="clear" w:color="auto" w:fill="auto"/>
            <w:noWrap/>
            <w:vAlign w:val="bottom"/>
            <w:hideMark/>
          </w:tcPr>
          <w:p w14:paraId="2902BEE8" w14:textId="77777777" w:rsidR="003B2C9F" w:rsidRPr="003B2C9F" w:rsidRDefault="003B2C9F" w:rsidP="003B2C9F">
            <w:pPr>
              <w:jc w:val="right"/>
              <w:rPr>
                <w:b/>
                <w:bCs/>
                <w:sz w:val="20"/>
                <w:szCs w:val="20"/>
              </w:rPr>
            </w:pPr>
            <w:r w:rsidRPr="003B2C9F">
              <w:rPr>
                <w:b/>
                <w:bCs/>
                <w:sz w:val="20"/>
                <w:szCs w:val="20"/>
              </w:rPr>
              <w:t>49,10</w:t>
            </w:r>
          </w:p>
        </w:tc>
        <w:tc>
          <w:tcPr>
            <w:tcW w:w="1000" w:type="dxa"/>
            <w:tcBorders>
              <w:top w:val="nil"/>
              <w:left w:val="nil"/>
              <w:bottom w:val="nil"/>
              <w:right w:val="nil"/>
            </w:tcBorders>
            <w:shd w:val="clear" w:color="auto" w:fill="auto"/>
            <w:noWrap/>
            <w:vAlign w:val="bottom"/>
            <w:hideMark/>
          </w:tcPr>
          <w:p w14:paraId="69628DA4" w14:textId="77777777" w:rsidR="003B2C9F" w:rsidRPr="003B2C9F" w:rsidRDefault="003B2C9F" w:rsidP="003B2C9F">
            <w:pPr>
              <w:jc w:val="right"/>
              <w:rPr>
                <w:b/>
                <w:bCs/>
                <w:sz w:val="20"/>
                <w:szCs w:val="20"/>
              </w:rPr>
            </w:pPr>
            <w:r w:rsidRPr="003B2C9F">
              <w:rPr>
                <w:b/>
                <w:bCs/>
                <w:sz w:val="20"/>
                <w:szCs w:val="20"/>
              </w:rPr>
              <w:t>112,69</w:t>
            </w:r>
          </w:p>
        </w:tc>
      </w:tr>
      <w:tr w:rsidR="003B2C9F" w:rsidRPr="003B2C9F" w14:paraId="2902AB15" w14:textId="77777777" w:rsidTr="003B2C9F">
        <w:trPr>
          <w:trHeight w:val="300"/>
        </w:trPr>
        <w:tc>
          <w:tcPr>
            <w:tcW w:w="616" w:type="dxa"/>
            <w:tcBorders>
              <w:top w:val="nil"/>
              <w:left w:val="nil"/>
              <w:bottom w:val="nil"/>
              <w:right w:val="nil"/>
            </w:tcBorders>
            <w:shd w:val="clear" w:color="auto" w:fill="auto"/>
            <w:noWrap/>
            <w:vAlign w:val="bottom"/>
            <w:hideMark/>
          </w:tcPr>
          <w:p w14:paraId="3B0F3504" w14:textId="77777777" w:rsidR="003B2C9F" w:rsidRPr="003B2C9F" w:rsidRDefault="003B2C9F" w:rsidP="003B2C9F">
            <w:pPr>
              <w:rPr>
                <w:b/>
                <w:bCs/>
                <w:sz w:val="20"/>
                <w:szCs w:val="20"/>
              </w:rPr>
            </w:pPr>
            <w:r w:rsidRPr="003B2C9F">
              <w:rPr>
                <w:b/>
                <w:bCs/>
                <w:sz w:val="20"/>
                <w:szCs w:val="20"/>
              </w:rPr>
              <w:t>632</w:t>
            </w:r>
          </w:p>
        </w:tc>
        <w:tc>
          <w:tcPr>
            <w:tcW w:w="6472" w:type="dxa"/>
            <w:tcBorders>
              <w:top w:val="nil"/>
              <w:left w:val="nil"/>
              <w:bottom w:val="nil"/>
              <w:right w:val="nil"/>
            </w:tcBorders>
            <w:shd w:val="clear" w:color="auto" w:fill="auto"/>
            <w:noWrap/>
            <w:vAlign w:val="bottom"/>
            <w:hideMark/>
          </w:tcPr>
          <w:p w14:paraId="5171AB60" w14:textId="77777777" w:rsidR="003B2C9F" w:rsidRPr="003B2C9F" w:rsidRDefault="003B2C9F" w:rsidP="003B2C9F">
            <w:pPr>
              <w:rPr>
                <w:b/>
                <w:bCs/>
                <w:sz w:val="20"/>
                <w:szCs w:val="20"/>
              </w:rPr>
            </w:pPr>
            <w:r w:rsidRPr="003B2C9F">
              <w:rPr>
                <w:b/>
                <w:bCs/>
                <w:sz w:val="20"/>
                <w:szCs w:val="20"/>
              </w:rPr>
              <w:t xml:space="preserve">Pomoći od međunarodnih organizacija te institucija i tijela EU                                      </w:t>
            </w:r>
          </w:p>
        </w:tc>
        <w:tc>
          <w:tcPr>
            <w:tcW w:w="1559" w:type="dxa"/>
            <w:tcBorders>
              <w:top w:val="nil"/>
              <w:left w:val="nil"/>
              <w:bottom w:val="nil"/>
              <w:right w:val="nil"/>
            </w:tcBorders>
            <w:shd w:val="clear" w:color="auto" w:fill="auto"/>
            <w:noWrap/>
            <w:vAlign w:val="bottom"/>
            <w:hideMark/>
          </w:tcPr>
          <w:p w14:paraId="10C86250" w14:textId="77777777" w:rsidR="003B2C9F" w:rsidRPr="003B2C9F" w:rsidRDefault="003B2C9F" w:rsidP="003B2C9F">
            <w:pPr>
              <w:jc w:val="right"/>
              <w:rPr>
                <w:b/>
                <w:bCs/>
                <w:sz w:val="20"/>
                <w:szCs w:val="20"/>
              </w:rPr>
            </w:pPr>
            <w:r w:rsidRPr="003B2C9F">
              <w:rPr>
                <w:b/>
                <w:bCs/>
                <w:sz w:val="20"/>
                <w:szCs w:val="20"/>
              </w:rPr>
              <w:t>357.264,53</w:t>
            </w:r>
          </w:p>
        </w:tc>
        <w:tc>
          <w:tcPr>
            <w:tcW w:w="1503" w:type="dxa"/>
            <w:tcBorders>
              <w:top w:val="nil"/>
              <w:left w:val="nil"/>
              <w:bottom w:val="nil"/>
              <w:right w:val="nil"/>
            </w:tcBorders>
            <w:shd w:val="clear" w:color="auto" w:fill="auto"/>
            <w:noWrap/>
            <w:vAlign w:val="bottom"/>
            <w:hideMark/>
          </w:tcPr>
          <w:p w14:paraId="727041C5" w14:textId="77777777" w:rsidR="003B2C9F" w:rsidRPr="003B2C9F" w:rsidRDefault="003B2C9F" w:rsidP="003B2C9F">
            <w:pPr>
              <w:jc w:val="right"/>
              <w:rPr>
                <w:b/>
                <w:bCs/>
                <w:sz w:val="20"/>
                <w:szCs w:val="20"/>
              </w:rPr>
            </w:pPr>
            <w:r w:rsidRPr="003B2C9F">
              <w:rPr>
                <w:b/>
                <w:bCs/>
                <w:sz w:val="20"/>
                <w:szCs w:val="20"/>
              </w:rPr>
              <w:t>89.528,58</w:t>
            </w:r>
          </w:p>
        </w:tc>
        <w:tc>
          <w:tcPr>
            <w:tcW w:w="1366" w:type="dxa"/>
            <w:tcBorders>
              <w:top w:val="nil"/>
              <w:left w:val="nil"/>
              <w:bottom w:val="nil"/>
              <w:right w:val="nil"/>
            </w:tcBorders>
            <w:shd w:val="clear" w:color="auto" w:fill="auto"/>
            <w:noWrap/>
            <w:vAlign w:val="bottom"/>
            <w:hideMark/>
          </w:tcPr>
          <w:p w14:paraId="579810EF" w14:textId="77777777" w:rsidR="003B2C9F" w:rsidRPr="003B2C9F" w:rsidRDefault="003B2C9F" w:rsidP="003B2C9F">
            <w:pPr>
              <w:jc w:val="right"/>
              <w:rPr>
                <w:b/>
                <w:bCs/>
                <w:sz w:val="20"/>
                <w:szCs w:val="20"/>
              </w:rPr>
            </w:pPr>
            <w:r w:rsidRPr="003B2C9F">
              <w:rPr>
                <w:b/>
                <w:bCs/>
                <w:sz w:val="20"/>
                <w:szCs w:val="20"/>
              </w:rPr>
              <w:t>89.528,58</w:t>
            </w:r>
          </w:p>
        </w:tc>
        <w:tc>
          <w:tcPr>
            <w:tcW w:w="1525" w:type="dxa"/>
            <w:tcBorders>
              <w:top w:val="nil"/>
              <w:left w:val="nil"/>
              <w:bottom w:val="nil"/>
              <w:right w:val="nil"/>
            </w:tcBorders>
            <w:shd w:val="clear" w:color="auto" w:fill="auto"/>
            <w:noWrap/>
            <w:vAlign w:val="bottom"/>
            <w:hideMark/>
          </w:tcPr>
          <w:p w14:paraId="7FCE9017" w14:textId="77777777" w:rsidR="003B2C9F" w:rsidRPr="003B2C9F" w:rsidRDefault="003B2C9F" w:rsidP="003B2C9F">
            <w:pPr>
              <w:jc w:val="right"/>
              <w:rPr>
                <w:b/>
                <w:bCs/>
                <w:sz w:val="20"/>
                <w:szCs w:val="20"/>
              </w:rPr>
            </w:pPr>
            <w:r w:rsidRPr="003B2C9F">
              <w:rPr>
                <w:b/>
                <w:bCs/>
                <w:sz w:val="20"/>
                <w:szCs w:val="20"/>
              </w:rPr>
              <w:t>25,06</w:t>
            </w:r>
          </w:p>
        </w:tc>
        <w:tc>
          <w:tcPr>
            <w:tcW w:w="1000" w:type="dxa"/>
            <w:tcBorders>
              <w:top w:val="nil"/>
              <w:left w:val="nil"/>
              <w:bottom w:val="nil"/>
              <w:right w:val="nil"/>
            </w:tcBorders>
            <w:shd w:val="clear" w:color="auto" w:fill="auto"/>
            <w:noWrap/>
            <w:vAlign w:val="bottom"/>
            <w:hideMark/>
          </w:tcPr>
          <w:p w14:paraId="327AB872" w14:textId="77777777" w:rsidR="003B2C9F" w:rsidRPr="003B2C9F" w:rsidRDefault="003B2C9F" w:rsidP="003B2C9F">
            <w:pPr>
              <w:jc w:val="right"/>
              <w:rPr>
                <w:b/>
                <w:bCs/>
                <w:sz w:val="20"/>
                <w:szCs w:val="20"/>
              </w:rPr>
            </w:pPr>
            <w:r w:rsidRPr="003B2C9F">
              <w:rPr>
                <w:b/>
                <w:bCs/>
                <w:sz w:val="20"/>
                <w:szCs w:val="20"/>
              </w:rPr>
              <w:t>100,00</w:t>
            </w:r>
          </w:p>
        </w:tc>
      </w:tr>
      <w:tr w:rsidR="003B2C9F" w:rsidRPr="003B2C9F" w14:paraId="6D134843" w14:textId="77777777" w:rsidTr="003B2C9F">
        <w:trPr>
          <w:trHeight w:val="300"/>
        </w:trPr>
        <w:tc>
          <w:tcPr>
            <w:tcW w:w="616" w:type="dxa"/>
            <w:tcBorders>
              <w:top w:val="nil"/>
              <w:left w:val="nil"/>
              <w:bottom w:val="nil"/>
              <w:right w:val="nil"/>
            </w:tcBorders>
            <w:shd w:val="clear" w:color="auto" w:fill="auto"/>
            <w:noWrap/>
            <w:vAlign w:val="bottom"/>
            <w:hideMark/>
          </w:tcPr>
          <w:p w14:paraId="666A0AE9" w14:textId="77777777" w:rsidR="003B2C9F" w:rsidRPr="003B2C9F" w:rsidRDefault="003B2C9F" w:rsidP="003B2C9F">
            <w:pPr>
              <w:rPr>
                <w:sz w:val="20"/>
                <w:szCs w:val="20"/>
              </w:rPr>
            </w:pPr>
            <w:r w:rsidRPr="003B2C9F">
              <w:rPr>
                <w:sz w:val="20"/>
                <w:szCs w:val="20"/>
              </w:rPr>
              <w:t>6323</w:t>
            </w:r>
          </w:p>
        </w:tc>
        <w:tc>
          <w:tcPr>
            <w:tcW w:w="6472" w:type="dxa"/>
            <w:tcBorders>
              <w:top w:val="nil"/>
              <w:left w:val="nil"/>
              <w:bottom w:val="nil"/>
              <w:right w:val="nil"/>
            </w:tcBorders>
            <w:shd w:val="clear" w:color="auto" w:fill="auto"/>
            <w:vAlign w:val="bottom"/>
            <w:hideMark/>
          </w:tcPr>
          <w:p w14:paraId="0D317506" w14:textId="77777777" w:rsidR="003B2C9F" w:rsidRPr="003B2C9F" w:rsidRDefault="003B2C9F" w:rsidP="003B2C9F">
            <w:pPr>
              <w:rPr>
                <w:sz w:val="20"/>
                <w:szCs w:val="20"/>
              </w:rPr>
            </w:pPr>
            <w:r w:rsidRPr="003B2C9F">
              <w:rPr>
                <w:sz w:val="20"/>
                <w:szCs w:val="20"/>
              </w:rPr>
              <w:t>Tekuće pomoći od institucija i tijela  EU</w:t>
            </w:r>
          </w:p>
        </w:tc>
        <w:tc>
          <w:tcPr>
            <w:tcW w:w="1559" w:type="dxa"/>
            <w:tcBorders>
              <w:top w:val="nil"/>
              <w:left w:val="nil"/>
              <w:bottom w:val="nil"/>
              <w:right w:val="nil"/>
            </w:tcBorders>
            <w:shd w:val="clear" w:color="auto" w:fill="auto"/>
            <w:noWrap/>
            <w:vAlign w:val="bottom"/>
            <w:hideMark/>
          </w:tcPr>
          <w:p w14:paraId="3D631BA1" w14:textId="77777777" w:rsidR="003B2C9F" w:rsidRPr="003B2C9F" w:rsidRDefault="003B2C9F" w:rsidP="003B2C9F">
            <w:pPr>
              <w:jc w:val="right"/>
              <w:rPr>
                <w:sz w:val="20"/>
                <w:szCs w:val="20"/>
              </w:rPr>
            </w:pPr>
            <w:r w:rsidRPr="003B2C9F">
              <w:rPr>
                <w:sz w:val="20"/>
                <w:szCs w:val="20"/>
              </w:rPr>
              <w:t>247.033,48</w:t>
            </w:r>
          </w:p>
        </w:tc>
        <w:tc>
          <w:tcPr>
            <w:tcW w:w="1503" w:type="dxa"/>
            <w:tcBorders>
              <w:top w:val="nil"/>
              <w:left w:val="nil"/>
              <w:bottom w:val="nil"/>
              <w:right w:val="nil"/>
            </w:tcBorders>
            <w:shd w:val="clear" w:color="auto" w:fill="auto"/>
            <w:noWrap/>
            <w:vAlign w:val="bottom"/>
            <w:hideMark/>
          </w:tcPr>
          <w:p w14:paraId="1E27CF06"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783DE35B" w14:textId="77777777" w:rsidR="003B2C9F" w:rsidRPr="003B2C9F" w:rsidRDefault="003B2C9F" w:rsidP="003B2C9F">
            <w:pPr>
              <w:jc w:val="right"/>
              <w:rPr>
                <w:sz w:val="20"/>
                <w:szCs w:val="20"/>
              </w:rPr>
            </w:pPr>
            <w:r w:rsidRPr="003B2C9F">
              <w:rPr>
                <w:sz w:val="20"/>
                <w:szCs w:val="20"/>
              </w:rPr>
              <w:t>0,00</w:t>
            </w:r>
          </w:p>
        </w:tc>
        <w:tc>
          <w:tcPr>
            <w:tcW w:w="1525" w:type="dxa"/>
            <w:tcBorders>
              <w:top w:val="nil"/>
              <w:left w:val="nil"/>
              <w:bottom w:val="nil"/>
              <w:right w:val="nil"/>
            </w:tcBorders>
            <w:shd w:val="clear" w:color="auto" w:fill="auto"/>
            <w:noWrap/>
            <w:vAlign w:val="bottom"/>
            <w:hideMark/>
          </w:tcPr>
          <w:p w14:paraId="79481384" w14:textId="77777777" w:rsidR="003B2C9F" w:rsidRPr="003B2C9F" w:rsidRDefault="003B2C9F" w:rsidP="003B2C9F">
            <w:pPr>
              <w:jc w:val="right"/>
              <w:rPr>
                <w:sz w:val="20"/>
                <w:szCs w:val="20"/>
              </w:rPr>
            </w:pPr>
            <w:r w:rsidRPr="003B2C9F">
              <w:rPr>
                <w:sz w:val="20"/>
                <w:szCs w:val="20"/>
              </w:rPr>
              <w:t>0,00</w:t>
            </w:r>
          </w:p>
        </w:tc>
        <w:tc>
          <w:tcPr>
            <w:tcW w:w="1000" w:type="dxa"/>
            <w:tcBorders>
              <w:top w:val="nil"/>
              <w:left w:val="nil"/>
              <w:bottom w:val="nil"/>
              <w:right w:val="nil"/>
            </w:tcBorders>
            <w:shd w:val="clear" w:color="auto" w:fill="auto"/>
            <w:noWrap/>
            <w:vAlign w:val="bottom"/>
            <w:hideMark/>
          </w:tcPr>
          <w:p w14:paraId="5D2199B9" w14:textId="77777777" w:rsidR="003B2C9F" w:rsidRPr="003B2C9F" w:rsidRDefault="003B2C9F" w:rsidP="003B2C9F">
            <w:pPr>
              <w:jc w:val="right"/>
              <w:rPr>
                <w:sz w:val="20"/>
                <w:szCs w:val="20"/>
              </w:rPr>
            </w:pPr>
          </w:p>
        </w:tc>
      </w:tr>
      <w:tr w:rsidR="003B2C9F" w:rsidRPr="003B2C9F" w14:paraId="0A58BFC7" w14:textId="77777777" w:rsidTr="003B2C9F">
        <w:trPr>
          <w:trHeight w:val="300"/>
        </w:trPr>
        <w:tc>
          <w:tcPr>
            <w:tcW w:w="616" w:type="dxa"/>
            <w:tcBorders>
              <w:top w:val="nil"/>
              <w:left w:val="nil"/>
              <w:bottom w:val="nil"/>
              <w:right w:val="nil"/>
            </w:tcBorders>
            <w:shd w:val="clear" w:color="auto" w:fill="auto"/>
            <w:noWrap/>
            <w:vAlign w:val="bottom"/>
            <w:hideMark/>
          </w:tcPr>
          <w:p w14:paraId="17C82E6D" w14:textId="77777777" w:rsidR="003B2C9F" w:rsidRPr="003B2C9F" w:rsidRDefault="003B2C9F" w:rsidP="003B2C9F">
            <w:pPr>
              <w:rPr>
                <w:sz w:val="20"/>
                <w:szCs w:val="20"/>
              </w:rPr>
            </w:pPr>
            <w:r w:rsidRPr="003B2C9F">
              <w:rPr>
                <w:sz w:val="20"/>
                <w:szCs w:val="20"/>
              </w:rPr>
              <w:t>6324</w:t>
            </w:r>
          </w:p>
        </w:tc>
        <w:tc>
          <w:tcPr>
            <w:tcW w:w="6472" w:type="dxa"/>
            <w:tcBorders>
              <w:top w:val="nil"/>
              <w:left w:val="nil"/>
              <w:bottom w:val="nil"/>
              <w:right w:val="nil"/>
            </w:tcBorders>
            <w:shd w:val="clear" w:color="auto" w:fill="auto"/>
            <w:vAlign w:val="bottom"/>
            <w:hideMark/>
          </w:tcPr>
          <w:p w14:paraId="75A9B747" w14:textId="77777777" w:rsidR="003B2C9F" w:rsidRPr="003B2C9F" w:rsidRDefault="003B2C9F" w:rsidP="003B2C9F">
            <w:pPr>
              <w:rPr>
                <w:sz w:val="20"/>
                <w:szCs w:val="20"/>
              </w:rPr>
            </w:pPr>
            <w:r w:rsidRPr="003B2C9F">
              <w:rPr>
                <w:sz w:val="20"/>
                <w:szCs w:val="20"/>
              </w:rPr>
              <w:t>Kapitalne pomoći od institucija i tijela  EU</w:t>
            </w:r>
          </w:p>
        </w:tc>
        <w:tc>
          <w:tcPr>
            <w:tcW w:w="1559" w:type="dxa"/>
            <w:tcBorders>
              <w:top w:val="nil"/>
              <w:left w:val="nil"/>
              <w:bottom w:val="nil"/>
              <w:right w:val="nil"/>
            </w:tcBorders>
            <w:shd w:val="clear" w:color="auto" w:fill="auto"/>
            <w:noWrap/>
            <w:vAlign w:val="bottom"/>
            <w:hideMark/>
          </w:tcPr>
          <w:p w14:paraId="0AE91B07" w14:textId="77777777" w:rsidR="003B2C9F" w:rsidRPr="003B2C9F" w:rsidRDefault="003B2C9F" w:rsidP="003B2C9F">
            <w:pPr>
              <w:jc w:val="right"/>
              <w:rPr>
                <w:sz w:val="20"/>
                <w:szCs w:val="20"/>
              </w:rPr>
            </w:pPr>
            <w:r w:rsidRPr="003B2C9F">
              <w:rPr>
                <w:sz w:val="20"/>
                <w:szCs w:val="20"/>
              </w:rPr>
              <w:t>110.231,05</w:t>
            </w:r>
          </w:p>
        </w:tc>
        <w:tc>
          <w:tcPr>
            <w:tcW w:w="1503" w:type="dxa"/>
            <w:tcBorders>
              <w:top w:val="nil"/>
              <w:left w:val="nil"/>
              <w:bottom w:val="nil"/>
              <w:right w:val="nil"/>
            </w:tcBorders>
            <w:shd w:val="clear" w:color="auto" w:fill="auto"/>
            <w:noWrap/>
            <w:vAlign w:val="bottom"/>
            <w:hideMark/>
          </w:tcPr>
          <w:p w14:paraId="2BBE9550"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972F9A0" w14:textId="77777777" w:rsidR="003B2C9F" w:rsidRPr="003B2C9F" w:rsidRDefault="003B2C9F" w:rsidP="003B2C9F">
            <w:pPr>
              <w:jc w:val="right"/>
              <w:rPr>
                <w:sz w:val="20"/>
                <w:szCs w:val="20"/>
              </w:rPr>
            </w:pPr>
            <w:r w:rsidRPr="003B2C9F">
              <w:rPr>
                <w:sz w:val="20"/>
                <w:szCs w:val="20"/>
              </w:rPr>
              <w:t>89.528,58</w:t>
            </w:r>
          </w:p>
        </w:tc>
        <w:tc>
          <w:tcPr>
            <w:tcW w:w="1525" w:type="dxa"/>
            <w:tcBorders>
              <w:top w:val="nil"/>
              <w:left w:val="nil"/>
              <w:bottom w:val="nil"/>
              <w:right w:val="nil"/>
            </w:tcBorders>
            <w:shd w:val="clear" w:color="auto" w:fill="auto"/>
            <w:noWrap/>
            <w:vAlign w:val="bottom"/>
            <w:hideMark/>
          </w:tcPr>
          <w:p w14:paraId="5ADF479D" w14:textId="77777777" w:rsidR="003B2C9F" w:rsidRPr="003B2C9F" w:rsidRDefault="003B2C9F" w:rsidP="003B2C9F">
            <w:pPr>
              <w:jc w:val="right"/>
              <w:rPr>
                <w:sz w:val="20"/>
                <w:szCs w:val="20"/>
              </w:rPr>
            </w:pPr>
            <w:r w:rsidRPr="003B2C9F">
              <w:rPr>
                <w:sz w:val="20"/>
                <w:szCs w:val="20"/>
              </w:rPr>
              <w:t>81,22</w:t>
            </w:r>
          </w:p>
        </w:tc>
        <w:tc>
          <w:tcPr>
            <w:tcW w:w="1000" w:type="dxa"/>
            <w:tcBorders>
              <w:top w:val="nil"/>
              <w:left w:val="nil"/>
              <w:bottom w:val="nil"/>
              <w:right w:val="nil"/>
            </w:tcBorders>
            <w:shd w:val="clear" w:color="auto" w:fill="auto"/>
            <w:noWrap/>
            <w:vAlign w:val="bottom"/>
            <w:hideMark/>
          </w:tcPr>
          <w:p w14:paraId="42CB3FBB" w14:textId="77777777" w:rsidR="003B2C9F" w:rsidRPr="003B2C9F" w:rsidRDefault="003B2C9F" w:rsidP="003B2C9F">
            <w:pPr>
              <w:jc w:val="right"/>
              <w:rPr>
                <w:sz w:val="20"/>
                <w:szCs w:val="20"/>
              </w:rPr>
            </w:pPr>
          </w:p>
        </w:tc>
      </w:tr>
      <w:tr w:rsidR="003B2C9F" w:rsidRPr="003B2C9F" w14:paraId="36894AE8" w14:textId="77777777" w:rsidTr="003B2C9F">
        <w:trPr>
          <w:trHeight w:val="300"/>
        </w:trPr>
        <w:tc>
          <w:tcPr>
            <w:tcW w:w="616" w:type="dxa"/>
            <w:tcBorders>
              <w:top w:val="nil"/>
              <w:left w:val="nil"/>
              <w:bottom w:val="nil"/>
              <w:right w:val="nil"/>
            </w:tcBorders>
            <w:shd w:val="clear" w:color="auto" w:fill="auto"/>
            <w:noWrap/>
            <w:vAlign w:val="bottom"/>
            <w:hideMark/>
          </w:tcPr>
          <w:p w14:paraId="09C1FCC7" w14:textId="77777777" w:rsidR="003B2C9F" w:rsidRPr="003B2C9F" w:rsidRDefault="003B2C9F" w:rsidP="003B2C9F">
            <w:pPr>
              <w:rPr>
                <w:b/>
                <w:bCs/>
                <w:sz w:val="20"/>
                <w:szCs w:val="20"/>
              </w:rPr>
            </w:pPr>
            <w:r w:rsidRPr="003B2C9F">
              <w:rPr>
                <w:b/>
                <w:bCs/>
                <w:sz w:val="20"/>
                <w:szCs w:val="20"/>
              </w:rPr>
              <w:t>633</w:t>
            </w:r>
          </w:p>
        </w:tc>
        <w:tc>
          <w:tcPr>
            <w:tcW w:w="6472" w:type="dxa"/>
            <w:tcBorders>
              <w:top w:val="nil"/>
              <w:left w:val="nil"/>
              <w:bottom w:val="nil"/>
              <w:right w:val="nil"/>
            </w:tcBorders>
            <w:shd w:val="clear" w:color="auto" w:fill="auto"/>
            <w:noWrap/>
            <w:vAlign w:val="bottom"/>
            <w:hideMark/>
          </w:tcPr>
          <w:p w14:paraId="720B1CB5" w14:textId="77777777" w:rsidR="003B2C9F" w:rsidRPr="003B2C9F" w:rsidRDefault="003B2C9F" w:rsidP="003B2C9F">
            <w:pPr>
              <w:rPr>
                <w:b/>
                <w:bCs/>
                <w:sz w:val="20"/>
                <w:szCs w:val="20"/>
              </w:rPr>
            </w:pPr>
            <w:r w:rsidRPr="003B2C9F">
              <w:rPr>
                <w:b/>
                <w:bCs/>
                <w:sz w:val="20"/>
                <w:szCs w:val="20"/>
              </w:rPr>
              <w:t>Pomoći proračunu iz drugih proračuna</w:t>
            </w:r>
          </w:p>
        </w:tc>
        <w:tc>
          <w:tcPr>
            <w:tcW w:w="1559" w:type="dxa"/>
            <w:tcBorders>
              <w:top w:val="nil"/>
              <w:left w:val="nil"/>
              <w:bottom w:val="nil"/>
              <w:right w:val="nil"/>
            </w:tcBorders>
            <w:shd w:val="clear" w:color="auto" w:fill="auto"/>
            <w:noWrap/>
            <w:vAlign w:val="bottom"/>
            <w:hideMark/>
          </w:tcPr>
          <w:p w14:paraId="2F59315C" w14:textId="77777777" w:rsidR="003B2C9F" w:rsidRPr="003B2C9F" w:rsidRDefault="003B2C9F" w:rsidP="003B2C9F">
            <w:pPr>
              <w:jc w:val="right"/>
              <w:rPr>
                <w:b/>
                <w:bCs/>
                <w:sz w:val="20"/>
                <w:szCs w:val="20"/>
              </w:rPr>
            </w:pPr>
            <w:r w:rsidRPr="003B2C9F">
              <w:rPr>
                <w:b/>
                <w:bCs/>
                <w:sz w:val="20"/>
                <w:szCs w:val="20"/>
              </w:rPr>
              <w:t>4.591.766,67</w:t>
            </w:r>
          </w:p>
        </w:tc>
        <w:tc>
          <w:tcPr>
            <w:tcW w:w="1503" w:type="dxa"/>
            <w:tcBorders>
              <w:top w:val="nil"/>
              <w:left w:val="nil"/>
              <w:bottom w:val="nil"/>
              <w:right w:val="nil"/>
            </w:tcBorders>
            <w:shd w:val="clear" w:color="auto" w:fill="auto"/>
            <w:noWrap/>
            <w:vAlign w:val="bottom"/>
            <w:hideMark/>
          </w:tcPr>
          <w:p w14:paraId="0BC75597" w14:textId="77777777" w:rsidR="003B2C9F" w:rsidRPr="003B2C9F" w:rsidRDefault="003B2C9F" w:rsidP="003B2C9F">
            <w:pPr>
              <w:jc w:val="right"/>
              <w:rPr>
                <w:b/>
                <w:bCs/>
                <w:sz w:val="20"/>
                <w:szCs w:val="20"/>
              </w:rPr>
            </w:pPr>
            <w:r w:rsidRPr="003B2C9F">
              <w:rPr>
                <w:b/>
                <w:bCs/>
                <w:sz w:val="20"/>
                <w:szCs w:val="20"/>
              </w:rPr>
              <w:t>1.681.357,50</w:t>
            </w:r>
          </w:p>
        </w:tc>
        <w:tc>
          <w:tcPr>
            <w:tcW w:w="1366" w:type="dxa"/>
            <w:tcBorders>
              <w:top w:val="nil"/>
              <w:left w:val="nil"/>
              <w:bottom w:val="nil"/>
              <w:right w:val="nil"/>
            </w:tcBorders>
            <w:shd w:val="clear" w:color="auto" w:fill="auto"/>
            <w:noWrap/>
            <w:vAlign w:val="bottom"/>
            <w:hideMark/>
          </w:tcPr>
          <w:p w14:paraId="792B3A0C" w14:textId="77777777" w:rsidR="003B2C9F" w:rsidRPr="003B2C9F" w:rsidRDefault="003B2C9F" w:rsidP="003B2C9F">
            <w:pPr>
              <w:jc w:val="right"/>
              <w:rPr>
                <w:b/>
                <w:bCs/>
                <w:sz w:val="20"/>
                <w:szCs w:val="20"/>
              </w:rPr>
            </w:pPr>
            <w:r w:rsidRPr="003B2C9F">
              <w:rPr>
                <w:b/>
                <w:bCs/>
                <w:sz w:val="20"/>
                <w:szCs w:val="20"/>
              </w:rPr>
              <w:t>2.072.725,02</w:t>
            </w:r>
          </w:p>
        </w:tc>
        <w:tc>
          <w:tcPr>
            <w:tcW w:w="1525" w:type="dxa"/>
            <w:tcBorders>
              <w:top w:val="nil"/>
              <w:left w:val="nil"/>
              <w:bottom w:val="nil"/>
              <w:right w:val="nil"/>
            </w:tcBorders>
            <w:shd w:val="clear" w:color="auto" w:fill="auto"/>
            <w:noWrap/>
            <w:vAlign w:val="bottom"/>
            <w:hideMark/>
          </w:tcPr>
          <w:p w14:paraId="0A5EE768" w14:textId="77777777" w:rsidR="003B2C9F" w:rsidRPr="003B2C9F" w:rsidRDefault="003B2C9F" w:rsidP="003B2C9F">
            <w:pPr>
              <w:jc w:val="right"/>
              <w:rPr>
                <w:b/>
                <w:bCs/>
                <w:sz w:val="20"/>
                <w:szCs w:val="20"/>
              </w:rPr>
            </w:pPr>
            <w:r w:rsidRPr="003B2C9F">
              <w:rPr>
                <w:b/>
                <w:bCs/>
                <w:sz w:val="20"/>
                <w:szCs w:val="20"/>
              </w:rPr>
              <w:t>45,14</w:t>
            </w:r>
          </w:p>
        </w:tc>
        <w:tc>
          <w:tcPr>
            <w:tcW w:w="1000" w:type="dxa"/>
            <w:tcBorders>
              <w:top w:val="nil"/>
              <w:left w:val="nil"/>
              <w:bottom w:val="nil"/>
              <w:right w:val="nil"/>
            </w:tcBorders>
            <w:shd w:val="clear" w:color="auto" w:fill="auto"/>
            <w:noWrap/>
            <w:vAlign w:val="bottom"/>
            <w:hideMark/>
          </w:tcPr>
          <w:p w14:paraId="75E03CCC" w14:textId="77777777" w:rsidR="003B2C9F" w:rsidRPr="003B2C9F" w:rsidRDefault="003B2C9F" w:rsidP="003B2C9F">
            <w:pPr>
              <w:jc w:val="right"/>
              <w:rPr>
                <w:b/>
                <w:bCs/>
                <w:sz w:val="20"/>
                <w:szCs w:val="20"/>
              </w:rPr>
            </w:pPr>
            <w:r w:rsidRPr="003B2C9F">
              <w:rPr>
                <w:b/>
                <w:bCs/>
                <w:sz w:val="20"/>
                <w:szCs w:val="20"/>
              </w:rPr>
              <w:t>123,28</w:t>
            </w:r>
          </w:p>
        </w:tc>
      </w:tr>
      <w:tr w:rsidR="003B2C9F" w:rsidRPr="003B2C9F" w14:paraId="7C76EE77" w14:textId="77777777" w:rsidTr="003B2C9F">
        <w:trPr>
          <w:trHeight w:val="300"/>
        </w:trPr>
        <w:tc>
          <w:tcPr>
            <w:tcW w:w="616" w:type="dxa"/>
            <w:tcBorders>
              <w:top w:val="nil"/>
              <w:left w:val="nil"/>
              <w:bottom w:val="nil"/>
              <w:right w:val="nil"/>
            </w:tcBorders>
            <w:shd w:val="clear" w:color="auto" w:fill="auto"/>
            <w:noWrap/>
            <w:vAlign w:val="bottom"/>
            <w:hideMark/>
          </w:tcPr>
          <w:p w14:paraId="4C0B763B" w14:textId="77777777" w:rsidR="003B2C9F" w:rsidRPr="003B2C9F" w:rsidRDefault="003B2C9F" w:rsidP="003B2C9F">
            <w:pPr>
              <w:rPr>
                <w:sz w:val="20"/>
                <w:szCs w:val="20"/>
              </w:rPr>
            </w:pPr>
            <w:r w:rsidRPr="003B2C9F">
              <w:rPr>
                <w:sz w:val="20"/>
                <w:szCs w:val="20"/>
              </w:rPr>
              <w:t>6331</w:t>
            </w:r>
          </w:p>
        </w:tc>
        <w:tc>
          <w:tcPr>
            <w:tcW w:w="6472" w:type="dxa"/>
            <w:tcBorders>
              <w:top w:val="nil"/>
              <w:left w:val="nil"/>
              <w:bottom w:val="nil"/>
              <w:right w:val="nil"/>
            </w:tcBorders>
            <w:shd w:val="clear" w:color="auto" w:fill="auto"/>
            <w:vAlign w:val="bottom"/>
            <w:hideMark/>
          </w:tcPr>
          <w:p w14:paraId="6EC38801" w14:textId="77777777" w:rsidR="003B2C9F" w:rsidRPr="003B2C9F" w:rsidRDefault="003B2C9F" w:rsidP="003B2C9F">
            <w:pPr>
              <w:rPr>
                <w:sz w:val="20"/>
                <w:szCs w:val="20"/>
              </w:rPr>
            </w:pPr>
            <w:r w:rsidRPr="003B2C9F">
              <w:rPr>
                <w:sz w:val="20"/>
                <w:szCs w:val="20"/>
              </w:rPr>
              <w:t>Tekuće pomoći proračunu iz drugih proračuna</w:t>
            </w:r>
          </w:p>
        </w:tc>
        <w:tc>
          <w:tcPr>
            <w:tcW w:w="1559" w:type="dxa"/>
            <w:tcBorders>
              <w:top w:val="nil"/>
              <w:left w:val="nil"/>
              <w:bottom w:val="nil"/>
              <w:right w:val="nil"/>
            </w:tcBorders>
            <w:shd w:val="clear" w:color="auto" w:fill="auto"/>
            <w:noWrap/>
            <w:vAlign w:val="bottom"/>
            <w:hideMark/>
          </w:tcPr>
          <w:p w14:paraId="5E456EA5" w14:textId="77777777" w:rsidR="003B2C9F" w:rsidRPr="003B2C9F" w:rsidRDefault="003B2C9F" w:rsidP="003B2C9F">
            <w:pPr>
              <w:jc w:val="right"/>
              <w:rPr>
                <w:sz w:val="20"/>
                <w:szCs w:val="20"/>
              </w:rPr>
            </w:pPr>
            <w:r w:rsidRPr="003B2C9F">
              <w:rPr>
                <w:sz w:val="20"/>
                <w:szCs w:val="20"/>
              </w:rPr>
              <w:t>1.355.473,51</w:t>
            </w:r>
          </w:p>
        </w:tc>
        <w:tc>
          <w:tcPr>
            <w:tcW w:w="1503" w:type="dxa"/>
            <w:tcBorders>
              <w:top w:val="nil"/>
              <w:left w:val="nil"/>
              <w:bottom w:val="nil"/>
              <w:right w:val="nil"/>
            </w:tcBorders>
            <w:shd w:val="clear" w:color="auto" w:fill="auto"/>
            <w:noWrap/>
            <w:vAlign w:val="bottom"/>
            <w:hideMark/>
          </w:tcPr>
          <w:p w14:paraId="28B29984"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66B8342B" w14:textId="77777777" w:rsidR="003B2C9F" w:rsidRPr="003B2C9F" w:rsidRDefault="003B2C9F" w:rsidP="003B2C9F">
            <w:pPr>
              <w:jc w:val="right"/>
              <w:rPr>
                <w:sz w:val="20"/>
                <w:szCs w:val="20"/>
              </w:rPr>
            </w:pPr>
            <w:r w:rsidRPr="003B2C9F">
              <w:rPr>
                <w:sz w:val="20"/>
                <w:szCs w:val="20"/>
              </w:rPr>
              <w:t>1.609.838,40</w:t>
            </w:r>
          </w:p>
        </w:tc>
        <w:tc>
          <w:tcPr>
            <w:tcW w:w="1525" w:type="dxa"/>
            <w:tcBorders>
              <w:top w:val="nil"/>
              <w:left w:val="nil"/>
              <w:bottom w:val="nil"/>
              <w:right w:val="nil"/>
            </w:tcBorders>
            <w:shd w:val="clear" w:color="auto" w:fill="auto"/>
            <w:noWrap/>
            <w:vAlign w:val="bottom"/>
            <w:hideMark/>
          </w:tcPr>
          <w:p w14:paraId="43B63FF2" w14:textId="77777777" w:rsidR="003B2C9F" w:rsidRPr="003B2C9F" w:rsidRDefault="003B2C9F" w:rsidP="003B2C9F">
            <w:pPr>
              <w:jc w:val="right"/>
              <w:rPr>
                <w:sz w:val="20"/>
                <w:szCs w:val="20"/>
              </w:rPr>
            </w:pPr>
            <w:r w:rsidRPr="003B2C9F">
              <w:rPr>
                <w:sz w:val="20"/>
                <w:szCs w:val="20"/>
              </w:rPr>
              <w:t>118,77</w:t>
            </w:r>
          </w:p>
        </w:tc>
        <w:tc>
          <w:tcPr>
            <w:tcW w:w="1000" w:type="dxa"/>
            <w:tcBorders>
              <w:top w:val="nil"/>
              <w:left w:val="nil"/>
              <w:bottom w:val="nil"/>
              <w:right w:val="nil"/>
            </w:tcBorders>
            <w:shd w:val="clear" w:color="auto" w:fill="auto"/>
            <w:noWrap/>
            <w:vAlign w:val="bottom"/>
            <w:hideMark/>
          </w:tcPr>
          <w:p w14:paraId="41BFF716" w14:textId="77777777" w:rsidR="003B2C9F" w:rsidRPr="003B2C9F" w:rsidRDefault="003B2C9F" w:rsidP="003B2C9F">
            <w:pPr>
              <w:jc w:val="right"/>
              <w:rPr>
                <w:sz w:val="20"/>
                <w:szCs w:val="20"/>
              </w:rPr>
            </w:pPr>
          </w:p>
        </w:tc>
      </w:tr>
      <w:tr w:rsidR="003B2C9F" w:rsidRPr="003B2C9F" w14:paraId="12008492" w14:textId="77777777" w:rsidTr="003B2C9F">
        <w:trPr>
          <w:trHeight w:val="300"/>
        </w:trPr>
        <w:tc>
          <w:tcPr>
            <w:tcW w:w="616" w:type="dxa"/>
            <w:tcBorders>
              <w:top w:val="nil"/>
              <w:left w:val="nil"/>
              <w:bottom w:val="nil"/>
              <w:right w:val="nil"/>
            </w:tcBorders>
            <w:shd w:val="clear" w:color="auto" w:fill="auto"/>
            <w:noWrap/>
            <w:vAlign w:val="bottom"/>
            <w:hideMark/>
          </w:tcPr>
          <w:p w14:paraId="79A74583" w14:textId="77777777" w:rsidR="003B2C9F" w:rsidRPr="003B2C9F" w:rsidRDefault="003B2C9F" w:rsidP="003B2C9F">
            <w:pPr>
              <w:rPr>
                <w:sz w:val="20"/>
                <w:szCs w:val="20"/>
              </w:rPr>
            </w:pPr>
            <w:r w:rsidRPr="003B2C9F">
              <w:rPr>
                <w:sz w:val="20"/>
                <w:szCs w:val="20"/>
              </w:rPr>
              <w:t>6332</w:t>
            </w:r>
          </w:p>
        </w:tc>
        <w:tc>
          <w:tcPr>
            <w:tcW w:w="6472" w:type="dxa"/>
            <w:tcBorders>
              <w:top w:val="nil"/>
              <w:left w:val="nil"/>
              <w:bottom w:val="nil"/>
              <w:right w:val="nil"/>
            </w:tcBorders>
            <w:shd w:val="clear" w:color="auto" w:fill="auto"/>
            <w:vAlign w:val="bottom"/>
            <w:hideMark/>
          </w:tcPr>
          <w:p w14:paraId="21229D37" w14:textId="77777777" w:rsidR="003B2C9F" w:rsidRPr="003B2C9F" w:rsidRDefault="003B2C9F" w:rsidP="003B2C9F">
            <w:pPr>
              <w:rPr>
                <w:sz w:val="20"/>
                <w:szCs w:val="20"/>
              </w:rPr>
            </w:pPr>
            <w:r w:rsidRPr="003B2C9F">
              <w:rPr>
                <w:sz w:val="20"/>
                <w:szCs w:val="20"/>
              </w:rPr>
              <w:t>Kapitalne pomoći proračunu iz drugih proračuna</w:t>
            </w:r>
          </w:p>
        </w:tc>
        <w:tc>
          <w:tcPr>
            <w:tcW w:w="1559" w:type="dxa"/>
            <w:tcBorders>
              <w:top w:val="nil"/>
              <w:left w:val="nil"/>
              <w:bottom w:val="nil"/>
              <w:right w:val="nil"/>
            </w:tcBorders>
            <w:shd w:val="clear" w:color="auto" w:fill="auto"/>
            <w:noWrap/>
            <w:vAlign w:val="bottom"/>
            <w:hideMark/>
          </w:tcPr>
          <w:p w14:paraId="47F60CBD" w14:textId="77777777" w:rsidR="003B2C9F" w:rsidRPr="003B2C9F" w:rsidRDefault="003B2C9F" w:rsidP="003B2C9F">
            <w:pPr>
              <w:jc w:val="right"/>
              <w:rPr>
                <w:sz w:val="20"/>
                <w:szCs w:val="20"/>
              </w:rPr>
            </w:pPr>
            <w:r w:rsidRPr="003B2C9F">
              <w:rPr>
                <w:sz w:val="20"/>
                <w:szCs w:val="20"/>
              </w:rPr>
              <w:t>3.236.293,16</w:t>
            </w:r>
          </w:p>
        </w:tc>
        <w:tc>
          <w:tcPr>
            <w:tcW w:w="1503" w:type="dxa"/>
            <w:tcBorders>
              <w:top w:val="nil"/>
              <w:left w:val="nil"/>
              <w:bottom w:val="nil"/>
              <w:right w:val="nil"/>
            </w:tcBorders>
            <w:shd w:val="clear" w:color="auto" w:fill="auto"/>
            <w:noWrap/>
            <w:vAlign w:val="bottom"/>
            <w:hideMark/>
          </w:tcPr>
          <w:p w14:paraId="45538C9F"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3146810F" w14:textId="77777777" w:rsidR="003B2C9F" w:rsidRPr="003B2C9F" w:rsidRDefault="003B2C9F" w:rsidP="003B2C9F">
            <w:pPr>
              <w:jc w:val="right"/>
              <w:rPr>
                <w:sz w:val="20"/>
                <w:szCs w:val="20"/>
              </w:rPr>
            </w:pPr>
            <w:r w:rsidRPr="003B2C9F">
              <w:rPr>
                <w:sz w:val="20"/>
                <w:szCs w:val="20"/>
              </w:rPr>
              <w:t>462.886,62</w:t>
            </w:r>
          </w:p>
        </w:tc>
        <w:tc>
          <w:tcPr>
            <w:tcW w:w="1525" w:type="dxa"/>
            <w:tcBorders>
              <w:top w:val="nil"/>
              <w:left w:val="nil"/>
              <w:bottom w:val="nil"/>
              <w:right w:val="nil"/>
            </w:tcBorders>
            <w:shd w:val="clear" w:color="auto" w:fill="auto"/>
            <w:noWrap/>
            <w:vAlign w:val="bottom"/>
            <w:hideMark/>
          </w:tcPr>
          <w:p w14:paraId="78D1F95B" w14:textId="77777777" w:rsidR="003B2C9F" w:rsidRPr="003B2C9F" w:rsidRDefault="003B2C9F" w:rsidP="003B2C9F">
            <w:pPr>
              <w:jc w:val="right"/>
              <w:rPr>
                <w:sz w:val="20"/>
                <w:szCs w:val="20"/>
              </w:rPr>
            </w:pPr>
            <w:r w:rsidRPr="003B2C9F">
              <w:rPr>
                <w:sz w:val="20"/>
                <w:szCs w:val="20"/>
              </w:rPr>
              <w:t>14,30</w:t>
            </w:r>
          </w:p>
        </w:tc>
        <w:tc>
          <w:tcPr>
            <w:tcW w:w="1000" w:type="dxa"/>
            <w:tcBorders>
              <w:top w:val="nil"/>
              <w:left w:val="nil"/>
              <w:bottom w:val="nil"/>
              <w:right w:val="nil"/>
            </w:tcBorders>
            <w:shd w:val="clear" w:color="auto" w:fill="auto"/>
            <w:noWrap/>
            <w:vAlign w:val="bottom"/>
            <w:hideMark/>
          </w:tcPr>
          <w:p w14:paraId="2A582141" w14:textId="77777777" w:rsidR="003B2C9F" w:rsidRPr="003B2C9F" w:rsidRDefault="003B2C9F" w:rsidP="003B2C9F">
            <w:pPr>
              <w:jc w:val="right"/>
              <w:rPr>
                <w:sz w:val="20"/>
                <w:szCs w:val="20"/>
              </w:rPr>
            </w:pPr>
          </w:p>
        </w:tc>
      </w:tr>
      <w:tr w:rsidR="003B2C9F" w:rsidRPr="003B2C9F" w14:paraId="390FB43D" w14:textId="77777777" w:rsidTr="003B2C9F">
        <w:trPr>
          <w:trHeight w:val="300"/>
        </w:trPr>
        <w:tc>
          <w:tcPr>
            <w:tcW w:w="616" w:type="dxa"/>
            <w:tcBorders>
              <w:top w:val="nil"/>
              <w:left w:val="nil"/>
              <w:bottom w:val="nil"/>
              <w:right w:val="nil"/>
            </w:tcBorders>
            <w:shd w:val="clear" w:color="auto" w:fill="auto"/>
            <w:noWrap/>
            <w:vAlign w:val="bottom"/>
            <w:hideMark/>
          </w:tcPr>
          <w:p w14:paraId="38EA933B" w14:textId="77777777" w:rsidR="003B2C9F" w:rsidRPr="003B2C9F" w:rsidRDefault="003B2C9F" w:rsidP="003B2C9F">
            <w:pPr>
              <w:rPr>
                <w:b/>
                <w:bCs/>
                <w:sz w:val="20"/>
                <w:szCs w:val="20"/>
              </w:rPr>
            </w:pPr>
            <w:r w:rsidRPr="003B2C9F">
              <w:rPr>
                <w:b/>
                <w:bCs/>
                <w:sz w:val="20"/>
                <w:szCs w:val="20"/>
              </w:rPr>
              <w:lastRenderedPageBreak/>
              <w:t>634</w:t>
            </w:r>
          </w:p>
        </w:tc>
        <w:tc>
          <w:tcPr>
            <w:tcW w:w="6472" w:type="dxa"/>
            <w:tcBorders>
              <w:top w:val="nil"/>
              <w:left w:val="nil"/>
              <w:bottom w:val="nil"/>
              <w:right w:val="nil"/>
            </w:tcBorders>
            <w:shd w:val="clear" w:color="auto" w:fill="auto"/>
            <w:noWrap/>
            <w:vAlign w:val="bottom"/>
            <w:hideMark/>
          </w:tcPr>
          <w:p w14:paraId="1A1F0F22" w14:textId="77777777" w:rsidR="003B2C9F" w:rsidRPr="003B2C9F" w:rsidRDefault="003B2C9F" w:rsidP="003B2C9F">
            <w:pPr>
              <w:rPr>
                <w:b/>
                <w:bCs/>
                <w:sz w:val="20"/>
                <w:szCs w:val="20"/>
              </w:rPr>
            </w:pPr>
            <w:r w:rsidRPr="003B2C9F">
              <w:rPr>
                <w:b/>
                <w:bCs/>
                <w:sz w:val="20"/>
                <w:szCs w:val="20"/>
              </w:rPr>
              <w:t>Pomoći od izvanproračunskih korisnika</w:t>
            </w:r>
          </w:p>
        </w:tc>
        <w:tc>
          <w:tcPr>
            <w:tcW w:w="1559" w:type="dxa"/>
            <w:tcBorders>
              <w:top w:val="nil"/>
              <w:left w:val="nil"/>
              <w:bottom w:val="nil"/>
              <w:right w:val="nil"/>
            </w:tcBorders>
            <w:shd w:val="clear" w:color="auto" w:fill="auto"/>
            <w:noWrap/>
            <w:vAlign w:val="bottom"/>
            <w:hideMark/>
          </w:tcPr>
          <w:p w14:paraId="349456E1" w14:textId="77777777" w:rsidR="003B2C9F" w:rsidRPr="003B2C9F" w:rsidRDefault="003B2C9F" w:rsidP="003B2C9F">
            <w:pPr>
              <w:jc w:val="right"/>
              <w:rPr>
                <w:b/>
                <w:bCs/>
                <w:sz w:val="20"/>
                <w:szCs w:val="20"/>
              </w:rPr>
            </w:pPr>
            <w:r w:rsidRPr="003B2C9F">
              <w:rPr>
                <w:b/>
                <w:bCs/>
                <w:sz w:val="20"/>
                <w:szCs w:val="20"/>
              </w:rPr>
              <w:t>0,00</w:t>
            </w:r>
          </w:p>
        </w:tc>
        <w:tc>
          <w:tcPr>
            <w:tcW w:w="1503" w:type="dxa"/>
            <w:tcBorders>
              <w:top w:val="nil"/>
              <w:left w:val="nil"/>
              <w:bottom w:val="nil"/>
              <w:right w:val="nil"/>
            </w:tcBorders>
            <w:shd w:val="clear" w:color="auto" w:fill="auto"/>
            <w:noWrap/>
            <w:vAlign w:val="bottom"/>
            <w:hideMark/>
          </w:tcPr>
          <w:p w14:paraId="39D5D32D" w14:textId="77777777" w:rsidR="003B2C9F" w:rsidRPr="003B2C9F" w:rsidRDefault="003B2C9F" w:rsidP="003B2C9F">
            <w:pPr>
              <w:jc w:val="right"/>
              <w:rPr>
                <w:b/>
                <w:bCs/>
                <w:sz w:val="20"/>
                <w:szCs w:val="20"/>
              </w:rPr>
            </w:pPr>
            <w:r w:rsidRPr="003B2C9F">
              <w:rPr>
                <w:b/>
                <w:bCs/>
                <w:sz w:val="20"/>
                <w:szCs w:val="20"/>
              </w:rPr>
              <w:t>0,00</w:t>
            </w:r>
          </w:p>
        </w:tc>
        <w:tc>
          <w:tcPr>
            <w:tcW w:w="1366" w:type="dxa"/>
            <w:tcBorders>
              <w:top w:val="nil"/>
              <w:left w:val="nil"/>
              <w:bottom w:val="nil"/>
              <w:right w:val="nil"/>
            </w:tcBorders>
            <w:shd w:val="clear" w:color="auto" w:fill="auto"/>
            <w:noWrap/>
            <w:vAlign w:val="bottom"/>
            <w:hideMark/>
          </w:tcPr>
          <w:p w14:paraId="5B132C3A" w14:textId="77777777" w:rsidR="003B2C9F" w:rsidRPr="003B2C9F" w:rsidRDefault="003B2C9F" w:rsidP="003B2C9F">
            <w:pPr>
              <w:jc w:val="right"/>
              <w:rPr>
                <w:b/>
                <w:bCs/>
                <w:sz w:val="20"/>
                <w:szCs w:val="20"/>
              </w:rPr>
            </w:pPr>
            <w:r w:rsidRPr="003B2C9F">
              <w:rPr>
                <w:b/>
                <w:bCs/>
                <w:sz w:val="20"/>
                <w:szCs w:val="20"/>
              </w:rPr>
              <w:t>0,00</w:t>
            </w:r>
          </w:p>
        </w:tc>
        <w:tc>
          <w:tcPr>
            <w:tcW w:w="1525" w:type="dxa"/>
            <w:tcBorders>
              <w:top w:val="nil"/>
              <w:left w:val="nil"/>
              <w:bottom w:val="nil"/>
              <w:right w:val="nil"/>
            </w:tcBorders>
            <w:shd w:val="clear" w:color="auto" w:fill="auto"/>
            <w:noWrap/>
            <w:vAlign w:val="bottom"/>
            <w:hideMark/>
          </w:tcPr>
          <w:p w14:paraId="0994A6D5" w14:textId="77777777" w:rsidR="003B2C9F" w:rsidRPr="003B2C9F" w:rsidRDefault="003B2C9F" w:rsidP="003B2C9F">
            <w:pPr>
              <w:jc w:val="right"/>
              <w:rPr>
                <w:b/>
                <w:bCs/>
                <w:sz w:val="20"/>
                <w:szCs w:val="20"/>
              </w:rPr>
            </w:pPr>
            <w:r w:rsidRPr="003B2C9F">
              <w:rPr>
                <w:b/>
                <w:bCs/>
                <w:sz w:val="20"/>
                <w:szCs w:val="20"/>
              </w:rPr>
              <w:t>0,00</w:t>
            </w:r>
          </w:p>
        </w:tc>
        <w:tc>
          <w:tcPr>
            <w:tcW w:w="1000" w:type="dxa"/>
            <w:tcBorders>
              <w:top w:val="nil"/>
              <w:left w:val="nil"/>
              <w:bottom w:val="nil"/>
              <w:right w:val="nil"/>
            </w:tcBorders>
            <w:shd w:val="clear" w:color="auto" w:fill="auto"/>
            <w:noWrap/>
            <w:vAlign w:val="bottom"/>
            <w:hideMark/>
          </w:tcPr>
          <w:p w14:paraId="26D0F33A" w14:textId="77777777" w:rsidR="003B2C9F" w:rsidRPr="003B2C9F" w:rsidRDefault="003B2C9F" w:rsidP="003B2C9F">
            <w:pPr>
              <w:jc w:val="right"/>
              <w:rPr>
                <w:b/>
                <w:bCs/>
                <w:sz w:val="20"/>
                <w:szCs w:val="20"/>
              </w:rPr>
            </w:pPr>
            <w:r w:rsidRPr="003B2C9F">
              <w:rPr>
                <w:b/>
                <w:bCs/>
                <w:sz w:val="20"/>
                <w:szCs w:val="20"/>
              </w:rPr>
              <w:t>0,00</w:t>
            </w:r>
          </w:p>
        </w:tc>
      </w:tr>
      <w:tr w:rsidR="003B2C9F" w:rsidRPr="003B2C9F" w14:paraId="2B67E805" w14:textId="77777777" w:rsidTr="003B2C9F">
        <w:trPr>
          <w:trHeight w:val="300"/>
        </w:trPr>
        <w:tc>
          <w:tcPr>
            <w:tcW w:w="616" w:type="dxa"/>
            <w:tcBorders>
              <w:top w:val="nil"/>
              <w:left w:val="nil"/>
              <w:bottom w:val="nil"/>
              <w:right w:val="nil"/>
            </w:tcBorders>
            <w:shd w:val="clear" w:color="auto" w:fill="auto"/>
            <w:noWrap/>
            <w:vAlign w:val="bottom"/>
            <w:hideMark/>
          </w:tcPr>
          <w:p w14:paraId="2A825C88" w14:textId="77777777" w:rsidR="003B2C9F" w:rsidRPr="003B2C9F" w:rsidRDefault="003B2C9F" w:rsidP="003B2C9F">
            <w:pPr>
              <w:rPr>
                <w:sz w:val="20"/>
                <w:szCs w:val="20"/>
              </w:rPr>
            </w:pPr>
            <w:r w:rsidRPr="003B2C9F">
              <w:rPr>
                <w:sz w:val="20"/>
                <w:szCs w:val="20"/>
              </w:rPr>
              <w:t>6341</w:t>
            </w:r>
          </w:p>
        </w:tc>
        <w:tc>
          <w:tcPr>
            <w:tcW w:w="6472" w:type="dxa"/>
            <w:tcBorders>
              <w:top w:val="nil"/>
              <w:left w:val="nil"/>
              <w:bottom w:val="nil"/>
              <w:right w:val="nil"/>
            </w:tcBorders>
            <w:shd w:val="clear" w:color="auto" w:fill="auto"/>
            <w:vAlign w:val="bottom"/>
            <w:hideMark/>
          </w:tcPr>
          <w:p w14:paraId="6624951C" w14:textId="77777777" w:rsidR="003B2C9F" w:rsidRPr="003B2C9F" w:rsidRDefault="003B2C9F" w:rsidP="003B2C9F">
            <w:pPr>
              <w:rPr>
                <w:sz w:val="20"/>
                <w:szCs w:val="20"/>
              </w:rPr>
            </w:pPr>
            <w:r w:rsidRPr="003B2C9F">
              <w:rPr>
                <w:sz w:val="20"/>
                <w:szCs w:val="20"/>
              </w:rPr>
              <w:t>Tekuće pomoći od izvanproračunskih korisnika</w:t>
            </w:r>
          </w:p>
        </w:tc>
        <w:tc>
          <w:tcPr>
            <w:tcW w:w="1559" w:type="dxa"/>
            <w:tcBorders>
              <w:top w:val="nil"/>
              <w:left w:val="nil"/>
              <w:bottom w:val="nil"/>
              <w:right w:val="nil"/>
            </w:tcBorders>
            <w:shd w:val="clear" w:color="auto" w:fill="auto"/>
            <w:noWrap/>
            <w:vAlign w:val="bottom"/>
            <w:hideMark/>
          </w:tcPr>
          <w:p w14:paraId="24794CDC" w14:textId="77777777" w:rsidR="003B2C9F" w:rsidRPr="003B2C9F" w:rsidRDefault="003B2C9F" w:rsidP="003B2C9F">
            <w:pPr>
              <w:jc w:val="right"/>
              <w:rPr>
                <w:sz w:val="20"/>
                <w:szCs w:val="20"/>
              </w:rPr>
            </w:pPr>
            <w:r w:rsidRPr="003B2C9F">
              <w:rPr>
                <w:sz w:val="20"/>
                <w:szCs w:val="20"/>
              </w:rPr>
              <w:t>0,00</w:t>
            </w:r>
          </w:p>
        </w:tc>
        <w:tc>
          <w:tcPr>
            <w:tcW w:w="1503" w:type="dxa"/>
            <w:tcBorders>
              <w:top w:val="nil"/>
              <w:left w:val="nil"/>
              <w:bottom w:val="nil"/>
              <w:right w:val="nil"/>
            </w:tcBorders>
            <w:shd w:val="clear" w:color="auto" w:fill="auto"/>
            <w:noWrap/>
            <w:vAlign w:val="bottom"/>
            <w:hideMark/>
          </w:tcPr>
          <w:p w14:paraId="5C8646CC"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2656E6C3" w14:textId="77777777" w:rsidR="003B2C9F" w:rsidRPr="003B2C9F" w:rsidRDefault="003B2C9F" w:rsidP="003B2C9F">
            <w:pPr>
              <w:jc w:val="right"/>
              <w:rPr>
                <w:sz w:val="20"/>
                <w:szCs w:val="20"/>
              </w:rPr>
            </w:pPr>
            <w:r w:rsidRPr="003B2C9F">
              <w:rPr>
                <w:sz w:val="20"/>
                <w:szCs w:val="20"/>
              </w:rPr>
              <w:t>0,00</w:t>
            </w:r>
          </w:p>
        </w:tc>
        <w:tc>
          <w:tcPr>
            <w:tcW w:w="1525" w:type="dxa"/>
            <w:tcBorders>
              <w:top w:val="nil"/>
              <w:left w:val="nil"/>
              <w:bottom w:val="nil"/>
              <w:right w:val="nil"/>
            </w:tcBorders>
            <w:shd w:val="clear" w:color="auto" w:fill="auto"/>
            <w:noWrap/>
            <w:vAlign w:val="bottom"/>
            <w:hideMark/>
          </w:tcPr>
          <w:p w14:paraId="6EDF9AD5" w14:textId="77777777" w:rsidR="003B2C9F" w:rsidRPr="003B2C9F" w:rsidRDefault="003B2C9F" w:rsidP="003B2C9F">
            <w:pPr>
              <w:jc w:val="right"/>
              <w:rPr>
                <w:sz w:val="20"/>
                <w:szCs w:val="20"/>
              </w:rPr>
            </w:pPr>
            <w:r w:rsidRPr="003B2C9F">
              <w:rPr>
                <w:sz w:val="20"/>
                <w:szCs w:val="20"/>
              </w:rPr>
              <w:t>0,00</w:t>
            </w:r>
          </w:p>
        </w:tc>
        <w:tc>
          <w:tcPr>
            <w:tcW w:w="1000" w:type="dxa"/>
            <w:tcBorders>
              <w:top w:val="nil"/>
              <w:left w:val="nil"/>
              <w:bottom w:val="nil"/>
              <w:right w:val="nil"/>
            </w:tcBorders>
            <w:shd w:val="clear" w:color="auto" w:fill="auto"/>
            <w:noWrap/>
            <w:vAlign w:val="bottom"/>
            <w:hideMark/>
          </w:tcPr>
          <w:p w14:paraId="1343CEF9" w14:textId="77777777" w:rsidR="003B2C9F" w:rsidRPr="003B2C9F" w:rsidRDefault="003B2C9F" w:rsidP="003B2C9F">
            <w:pPr>
              <w:jc w:val="right"/>
              <w:rPr>
                <w:sz w:val="20"/>
                <w:szCs w:val="20"/>
              </w:rPr>
            </w:pPr>
          </w:p>
        </w:tc>
      </w:tr>
      <w:tr w:rsidR="003B2C9F" w:rsidRPr="003B2C9F" w14:paraId="738C3DB9" w14:textId="77777777" w:rsidTr="003B2C9F">
        <w:trPr>
          <w:trHeight w:val="300"/>
        </w:trPr>
        <w:tc>
          <w:tcPr>
            <w:tcW w:w="616" w:type="dxa"/>
            <w:tcBorders>
              <w:top w:val="nil"/>
              <w:left w:val="nil"/>
              <w:bottom w:val="nil"/>
              <w:right w:val="nil"/>
            </w:tcBorders>
            <w:shd w:val="clear" w:color="auto" w:fill="auto"/>
            <w:noWrap/>
            <w:vAlign w:val="bottom"/>
            <w:hideMark/>
          </w:tcPr>
          <w:p w14:paraId="4C3CDF2F" w14:textId="77777777" w:rsidR="003B2C9F" w:rsidRPr="003B2C9F" w:rsidRDefault="003B2C9F" w:rsidP="003B2C9F">
            <w:pPr>
              <w:rPr>
                <w:sz w:val="20"/>
                <w:szCs w:val="20"/>
              </w:rPr>
            </w:pPr>
            <w:r w:rsidRPr="003B2C9F">
              <w:rPr>
                <w:sz w:val="20"/>
                <w:szCs w:val="20"/>
              </w:rPr>
              <w:t>6342</w:t>
            </w:r>
          </w:p>
        </w:tc>
        <w:tc>
          <w:tcPr>
            <w:tcW w:w="6472" w:type="dxa"/>
            <w:tcBorders>
              <w:top w:val="nil"/>
              <w:left w:val="nil"/>
              <w:bottom w:val="nil"/>
              <w:right w:val="nil"/>
            </w:tcBorders>
            <w:shd w:val="clear" w:color="auto" w:fill="auto"/>
            <w:vAlign w:val="bottom"/>
            <w:hideMark/>
          </w:tcPr>
          <w:p w14:paraId="564ADFF8" w14:textId="77777777" w:rsidR="003B2C9F" w:rsidRPr="003B2C9F" w:rsidRDefault="003B2C9F" w:rsidP="003B2C9F">
            <w:pPr>
              <w:rPr>
                <w:sz w:val="20"/>
                <w:szCs w:val="20"/>
              </w:rPr>
            </w:pPr>
            <w:r w:rsidRPr="003B2C9F">
              <w:rPr>
                <w:sz w:val="20"/>
                <w:szCs w:val="20"/>
              </w:rPr>
              <w:t>Kapitalne pomoći od izvanproračunskih korisnika</w:t>
            </w:r>
          </w:p>
        </w:tc>
        <w:tc>
          <w:tcPr>
            <w:tcW w:w="1559" w:type="dxa"/>
            <w:tcBorders>
              <w:top w:val="nil"/>
              <w:left w:val="nil"/>
              <w:bottom w:val="nil"/>
              <w:right w:val="nil"/>
            </w:tcBorders>
            <w:shd w:val="clear" w:color="auto" w:fill="auto"/>
            <w:noWrap/>
            <w:vAlign w:val="bottom"/>
            <w:hideMark/>
          </w:tcPr>
          <w:p w14:paraId="117F1B64" w14:textId="77777777" w:rsidR="003B2C9F" w:rsidRPr="003B2C9F" w:rsidRDefault="003B2C9F" w:rsidP="003B2C9F">
            <w:pPr>
              <w:jc w:val="right"/>
              <w:rPr>
                <w:sz w:val="20"/>
                <w:szCs w:val="20"/>
              </w:rPr>
            </w:pPr>
            <w:r w:rsidRPr="003B2C9F">
              <w:rPr>
                <w:sz w:val="20"/>
                <w:szCs w:val="20"/>
              </w:rPr>
              <w:t>0,00</w:t>
            </w:r>
          </w:p>
        </w:tc>
        <w:tc>
          <w:tcPr>
            <w:tcW w:w="1503" w:type="dxa"/>
            <w:tcBorders>
              <w:top w:val="nil"/>
              <w:left w:val="nil"/>
              <w:bottom w:val="nil"/>
              <w:right w:val="nil"/>
            </w:tcBorders>
            <w:shd w:val="clear" w:color="auto" w:fill="auto"/>
            <w:noWrap/>
            <w:vAlign w:val="bottom"/>
            <w:hideMark/>
          </w:tcPr>
          <w:p w14:paraId="544A8D30"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B175DAD" w14:textId="77777777" w:rsidR="003B2C9F" w:rsidRPr="003B2C9F" w:rsidRDefault="003B2C9F" w:rsidP="003B2C9F">
            <w:pPr>
              <w:jc w:val="right"/>
              <w:rPr>
                <w:sz w:val="20"/>
                <w:szCs w:val="20"/>
              </w:rPr>
            </w:pPr>
            <w:r w:rsidRPr="003B2C9F">
              <w:rPr>
                <w:sz w:val="20"/>
                <w:szCs w:val="20"/>
              </w:rPr>
              <w:t>0,00</w:t>
            </w:r>
          </w:p>
        </w:tc>
        <w:tc>
          <w:tcPr>
            <w:tcW w:w="1525" w:type="dxa"/>
            <w:tcBorders>
              <w:top w:val="nil"/>
              <w:left w:val="nil"/>
              <w:bottom w:val="nil"/>
              <w:right w:val="nil"/>
            </w:tcBorders>
            <w:shd w:val="clear" w:color="auto" w:fill="auto"/>
            <w:noWrap/>
            <w:vAlign w:val="bottom"/>
            <w:hideMark/>
          </w:tcPr>
          <w:p w14:paraId="5A719D9F" w14:textId="77777777" w:rsidR="003B2C9F" w:rsidRPr="003B2C9F" w:rsidRDefault="003B2C9F" w:rsidP="003B2C9F">
            <w:pPr>
              <w:jc w:val="right"/>
              <w:rPr>
                <w:sz w:val="20"/>
                <w:szCs w:val="20"/>
              </w:rPr>
            </w:pPr>
            <w:r w:rsidRPr="003B2C9F">
              <w:rPr>
                <w:sz w:val="20"/>
                <w:szCs w:val="20"/>
              </w:rPr>
              <w:t>0,00</w:t>
            </w:r>
          </w:p>
        </w:tc>
        <w:tc>
          <w:tcPr>
            <w:tcW w:w="1000" w:type="dxa"/>
            <w:tcBorders>
              <w:top w:val="nil"/>
              <w:left w:val="nil"/>
              <w:bottom w:val="nil"/>
              <w:right w:val="nil"/>
            </w:tcBorders>
            <w:shd w:val="clear" w:color="auto" w:fill="auto"/>
            <w:noWrap/>
            <w:vAlign w:val="bottom"/>
            <w:hideMark/>
          </w:tcPr>
          <w:p w14:paraId="53B8CC8E" w14:textId="77777777" w:rsidR="003B2C9F" w:rsidRPr="003B2C9F" w:rsidRDefault="003B2C9F" w:rsidP="003B2C9F">
            <w:pPr>
              <w:jc w:val="right"/>
              <w:rPr>
                <w:sz w:val="20"/>
                <w:szCs w:val="20"/>
              </w:rPr>
            </w:pPr>
          </w:p>
        </w:tc>
      </w:tr>
      <w:tr w:rsidR="003B2C9F" w:rsidRPr="003B2C9F" w14:paraId="44262F92" w14:textId="77777777" w:rsidTr="003B2C9F">
        <w:trPr>
          <w:trHeight w:val="300"/>
        </w:trPr>
        <w:tc>
          <w:tcPr>
            <w:tcW w:w="616" w:type="dxa"/>
            <w:tcBorders>
              <w:top w:val="nil"/>
              <w:left w:val="nil"/>
              <w:bottom w:val="nil"/>
              <w:right w:val="nil"/>
            </w:tcBorders>
            <w:shd w:val="clear" w:color="auto" w:fill="auto"/>
            <w:noWrap/>
            <w:vAlign w:val="bottom"/>
            <w:hideMark/>
          </w:tcPr>
          <w:p w14:paraId="6628CFC0" w14:textId="77777777" w:rsidR="003B2C9F" w:rsidRPr="003B2C9F" w:rsidRDefault="003B2C9F" w:rsidP="003B2C9F">
            <w:pPr>
              <w:rPr>
                <w:b/>
                <w:bCs/>
                <w:sz w:val="20"/>
                <w:szCs w:val="20"/>
              </w:rPr>
            </w:pPr>
            <w:r w:rsidRPr="003B2C9F">
              <w:rPr>
                <w:b/>
                <w:bCs/>
                <w:sz w:val="20"/>
                <w:szCs w:val="20"/>
              </w:rPr>
              <w:t>635</w:t>
            </w:r>
          </w:p>
        </w:tc>
        <w:tc>
          <w:tcPr>
            <w:tcW w:w="6472" w:type="dxa"/>
            <w:tcBorders>
              <w:top w:val="nil"/>
              <w:left w:val="nil"/>
              <w:bottom w:val="nil"/>
              <w:right w:val="nil"/>
            </w:tcBorders>
            <w:shd w:val="clear" w:color="auto" w:fill="auto"/>
            <w:noWrap/>
            <w:vAlign w:val="bottom"/>
            <w:hideMark/>
          </w:tcPr>
          <w:p w14:paraId="46B6E82B" w14:textId="77777777" w:rsidR="003B2C9F" w:rsidRPr="003B2C9F" w:rsidRDefault="003B2C9F" w:rsidP="003B2C9F">
            <w:pPr>
              <w:rPr>
                <w:b/>
                <w:bCs/>
                <w:sz w:val="20"/>
                <w:szCs w:val="20"/>
              </w:rPr>
            </w:pPr>
            <w:r w:rsidRPr="003B2C9F">
              <w:rPr>
                <w:b/>
                <w:bCs/>
                <w:sz w:val="20"/>
                <w:szCs w:val="20"/>
              </w:rPr>
              <w:t xml:space="preserve">Pomoći izravnanja za decentralizirane funkcije                                                      </w:t>
            </w:r>
          </w:p>
        </w:tc>
        <w:tc>
          <w:tcPr>
            <w:tcW w:w="1559" w:type="dxa"/>
            <w:tcBorders>
              <w:top w:val="nil"/>
              <w:left w:val="nil"/>
              <w:bottom w:val="nil"/>
              <w:right w:val="nil"/>
            </w:tcBorders>
            <w:shd w:val="clear" w:color="auto" w:fill="auto"/>
            <w:noWrap/>
            <w:vAlign w:val="bottom"/>
            <w:hideMark/>
          </w:tcPr>
          <w:p w14:paraId="71F59747" w14:textId="77777777" w:rsidR="003B2C9F" w:rsidRPr="003B2C9F" w:rsidRDefault="003B2C9F" w:rsidP="003B2C9F">
            <w:pPr>
              <w:jc w:val="right"/>
              <w:rPr>
                <w:b/>
                <w:bCs/>
                <w:sz w:val="20"/>
                <w:szCs w:val="20"/>
              </w:rPr>
            </w:pPr>
            <w:r w:rsidRPr="003B2C9F">
              <w:rPr>
                <w:b/>
                <w:bCs/>
                <w:sz w:val="20"/>
                <w:szCs w:val="20"/>
              </w:rPr>
              <w:t>735.444,00</w:t>
            </w:r>
          </w:p>
        </w:tc>
        <w:tc>
          <w:tcPr>
            <w:tcW w:w="1503" w:type="dxa"/>
            <w:tcBorders>
              <w:top w:val="nil"/>
              <w:left w:val="nil"/>
              <w:bottom w:val="nil"/>
              <w:right w:val="nil"/>
            </w:tcBorders>
            <w:shd w:val="clear" w:color="auto" w:fill="auto"/>
            <w:noWrap/>
            <w:vAlign w:val="bottom"/>
            <w:hideMark/>
          </w:tcPr>
          <w:p w14:paraId="75B980F1" w14:textId="77777777" w:rsidR="003B2C9F" w:rsidRPr="003B2C9F" w:rsidRDefault="003B2C9F" w:rsidP="003B2C9F">
            <w:pPr>
              <w:jc w:val="right"/>
              <w:rPr>
                <w:b/>
                <w:bCs/>
                <w:sz w:val="20"/>
                <w:szCs w:val="20"/>
              </w:rPr>
            </w:pPr>
            <w:r w:rsidRPr="003B2C9F">
              <w:rPr>
                <w:b/>
                <w:bCs/>
                <w:sz w:val="20"/>
                <w:szCs w:val="20"/>
              </w:rPr>
              <w:t>750.000,00</w:t>
            </w:r>
          </w:p>
        </w:tc>
        <w:tc>
          <w:tcPr>
            <w:tcW w:w="1366" w:type="dxa"/>
            <w:tcBorders>
              <w:top w:val="nil"/>
              <w:left w:val="nil"/>
              <w:bottom w:val="nil"/>
              <w:right w:val="nil"/>
            </w:tcBorders>
            <w:shd w:val="clear" w:color="auto" w:fill="auto"/>
            <w:noWrap/>
            <w:vAlign w:val="bottom"/>
            <w:hideMark/>
          </w:tcPr>
          <w:p w14:paraId="68948B05" w14:textId="77777777" w:rsidR="003B2C9F" w:rsidRPr="003B2C9F" w:rsidRDefault="003B2C9F" w:rsidP="003B2C9F">
            <w:pPr>
              <w:jc w:val="right"/>
              <w:rPr>
                <w:b/>
                <w:bCs/>
                <w:sz w:val="20"/>
                <w:szCs w:val="20"/>
              </w:rPr>
            </w:pPr>
            <w:r w:rsidRPr="003B2C9F">
              <w:rPr>
                <w:b/>
                <w:bCs/>
                <w:sz w:val="20"/>
                <w:szCs w:val="20"/>
              </w:rPr>
              <w:t>686.019,00</w:t>
            </w:r>
          </w:p>
        </w:tc>
        <w:tc>
          <w:tcPr>
            <w:tcW w:w="1525" w:type="dxa"/>
            <w:tcBorders>
              <w:top w:val="nil"/>
              <w:left w:val="nil"/>
              <w:bottom w:val="nil"/>
              <w:right w:val="nil"/>
            </w:tcBorders>
            <w:shd w:val="clear" w:color="auto" w:fill="auto"/>
            <w:noWrap/>
            <w:vAlign w:val="bottom"/>
            <w:hideMark/>
          </w:tcPr>
          <w:p w14:paraId="25A62732" w14:textId="77777777" w:rsidR="003B2C9F" w:rsidRPr="003B2C9F" w:rsidRDefault="003B2C9F" w:rsidP="003B2C9F">
            <w:pPr>
              <w:jc w:val="right"/>
              <w:rPr>
                <w:b/>
                <w:bCs/>
                <w:sz w:val="20"/>
                <w:szCs w:val="20"/>
              </w:rPr>
            </w:pPr>
            <w:r w:rsidRPr="003B2C9F">
              <w:rPr>
                <w:b/>
                <w:bCs/>
                <w:sz w:val="20"/>
                <w:szCs w:val="20"/>
              </w:rPr>
              <w:t>93,28</w:t>
            </w:r>
          </w:p>
        </w:tc>
        <w:tc>
          <w:tcPr>
            <w:tcW w:w="1000" w:type="dxa"/>
            <w:tcBorders>
              <w:top w:val="nil"/>
              <w:left w:val="nil"/>
              <w:bottom w:val="nil"/>
              <w:right w:val="nil"/>
            </w:tcBorders>
            <w:shd w:val="clear" w:color="auto" w:fill="auto"/>
            <w:noWrap/>
            <w:vAlign w:val="bottom"/>
            <w:hideMark/>
          </w:tcPr>
          <w:p w14:paraId="723A5D9C" w14:textId="77777777" w:rsidR="003B2C9F" w:rsidRPr="003B2C9F" w:rsidRDefault="003B2C9F" w:rsidP="003B2C9F">
            <w:pPr>
              <w:jc w:val="right"/>
              <w:rPr>
                <w:b/>
                <w:bCs/>
                <w:sz w:val="20"/>
                <w:szCs w:val="20"/>
              </w:rPr>
            </w:pPr>
            <w:r w:rsidRPr="003B2C9F">
              <w:rPr>
                <w:b/>
                <w:bCs/>
                <w:sz w:val="20"/>
                <w:szCs w:val="20"/>
              </w:rPr>
              <w:t>91,47</w:t>
            </w:r>
          </w:p>
        </w:tc>
      </w:tr>
      <w:tr w:rsidR="003B2C9F" w:rsidRPr="003B2C9F" w14:paraId="32E3FFDC" w14:textId="77777777" w:rsidTr="003B2C9F">
        <w:trPr>
          <w:trHeight w:val="300"/>
        </w:trPr>
        <w:tc>
          <w:tcPr>
            <w:tcW w:w="616" w:type="dxa"/>
            <w:tcBorders>
              <w:top w:val="nil"/>
              <w:left w:val="nil"/>
              <w:bottom w:val="nil"/>
              <w:right w:val="nil"/>
            </w:tcBorders>
            <w:shd w:val="clear" w:color="auto" w:fill="auto"/>
            <w:noWrap/>
            <w:vAlign w:val="bottom"/>
            <w:hideMark/>
          </w:tcPr>
          <w:p w14:paraId="07FBBE4C" w14:textId="77777777" w:rsidR="003B2C9F" w:rsidRPr="003B2C9F" w:rsidRDefault="003B2C9F" w:rsidP="003B2C9F">
            <w:pPr>
              <w:rPr>
                <w:sz w:val="20"/>
                <w:szCs w:val="20"/>
              </w:rPr>
            </w:pPr>
            <w:r w:rsidRPr="003B2C9F">
              <w:rPr>
                <w:sz w:val="20"/>
                <w:szCs w:val="20"/>
              </w:rPr>
              <w:t>6351</w:t>
            </w:r>
          </w:p>
        </w:tc>
        <w:tc>
          <w:tcPr>
            <w:tcW w:w="6472" w:type="dxa"/>
            <w:tcBorders>
              <w:top w:val="nil"/>
              <w:left w:val="nil"/>
              <w:bottom w:val="nil"/>
              <w:right w:val="nil"/>
            </w:tcBorders>
            <w:shd w:val="clear" w:color="auto" w:fill="auto"/>
            <w:vAlign w:val="bottom"/>
            <w:hideMark/>
          </w:tcPr>
          <w:p w14:paraId="5FC01D4F" w14:textId="77777777" w:rsidR="003B2C9F" w:rsidRPr="003B2C9F" w:rsidRDefault="003B2C9F" w:rsidP="003B2C9F">
            <w:pPr>
              <w:rPr>
                <w:sz w:val="20"/>
                <w:szCs w:val="20"/>
              </w:rPr>
            </w:pPr>
            <w:r w:rsidRPr="003B2C9F">
              <w:rPr>
                <w:sz w:val="20"/>
                <w:szCs w:val="20"/>
              </w:rPr>
              <w:t xml:space="preserve">Tekuće pomoći izravnanja za decentralizirane funkcije                                               </w:t>
            </w:r>
          </w:p>
        </w:tc>
        <w:tc>
          <w:tcPr>
            <w:tcW w:w="1559" w:type="dxa"/>
            <w:tcBorders>
              <w:top w:val="nil"/>
              <w:left w:val="nil"/>
              <w:bottom w:val="nil"/>
              <w:right w:val="nil"/>
            </w:tcBorders>
            <w:shd w:val="clear" w:color="auto" w:fill="auto"/>
            <w:noWrap/>
            <w:vAlign w:val="bottom"/>
            <w:hideMark/>
          </w:tcPr>
          <w:p w14:paraId="68314646" w14:textId="77777777" w:rsidR="003B2C9F" w:rsidRPr="003B2C9F" w:rsidRDefault="003B2C9F" w:rsidP="003B2C9F">
            <w:pPr>
              <w:jc w:val="right"/>
              <w:rPr>
                <w:sz w:val="20"/>
                <w:szCs w:val="20"/>
              </w:rPr>
            </w:pPr>
            <w:r w:rsidRPr="003B2C9F">
              <w:rPr>
                <w:sz w:val="20"/>
                <w:szCs w:val="20"/>
              </w:rPr>
              <w:t>735.444,00</w:t>
            </w:r>
          </w:p>
        </w:tc>
        <w:tc>
          <w:tcPr>
            <w:tcW w:w="1503" w:type="dxa"/>
            <w:tcBorders>
              <w:top w:val="nil"/>
              <w:left w:val="nil"/>
              <w:bottom w:val="nil"/>
              <w:right w:val="nil"/>
            </w:tcBorders>
            <w:shd w:val="clear" w:color="auto" w:fill="auto"/>
            <w:noWrap/>
            <w:vAlign w:val="bottom"/>
            <w:hideMark/>
          </w:tcPr>
          <w:p w14:paraId="4561DED2"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56ADEDA3" w14:textId="77777777" w:rsidR="003B2C9F" w:rsidRPr="003B2C9F" w:rsidRDefault="003B2C9F" w:rsidP="003B2C9F">
            <w:pPr>
              <w:jc w:val="right"/>
              <w:rPr>
                <w:sz w:val="20"/>
                <w:szCs w:val="20"/>
              </w:rPr>
            </w:pPr>
            <w:r w:rsidRPr="003B2C9F">
              <w:rPr>
                <w:sz w:val="20"/>
                <w:szCs w:val="20"/>
              </w:rPr>
              <w:t>686.019,00</w:t>
            </w:r>
          </w:p>
        </w:tc>
        <w:tc>
          <w:tcPr>
            <w:tcW w:w="1525" w:type="dxa"/>
            <w:tcBorders>
              <w:top w:val="nil"/>
              <w:left w:val="nil"/>
              <w:bottom w:val="nil"/>
              <w:right w:val="nil"/>
            </w:tcBorders>
            <w:shd w:val="clear" w:color="auto" w:fill="auto"/>
            <w:noWrap/>
            <w:vAlign w:val="bottom"/>
            <w:hideMark/>
          </w:tcPr>
          <w:p w14:paraId="69826DC3" w14:textId="77777777" w:rsidR="003B2C9F" w:rsidRPr="003B2C9F" w:rsidRDefault="003B2C9F" w:rsidP="003B2C9F">
            <w:pPr>
              <w:jc w:val="right"/>
              <w:rPr>
                <w:sz w:val="20"/>
                <w:szCs w:val="20"/>
              </w:rPr>
            </w:pPr>
            <w:r w:rsidRPr="003B2C9F">
              <w:rPr>
                <w:sz w:val="20"/>
                <w:szCs w:val="20"/>
              </w:rPr>
              <w:t>93,28</w:t>
            </w:r>
          </w:p>
        </w:tc>
        <w:tc>
          <w:tcPr>
            <w:tcW w:w="1000" w:type="dxa"/>
            <w:tcBorders>
              <w:top w:val="nil"/>
              <w:left w:val="nil"/>
              <w:bottom w:val="nil"/>
              <w:right w:val="nil"/>
            </w:tcBorders>
            <w:shd w:val="clear" w:color="auto" w:fill="auto"/>
            <w:noWrap/>
            <w:vAlign w:val="bottom"/>
            <w:hideMark/>
          </w:tcPr>
          <w:p w14:paraId="4BB9D317" w14:textId="77777777" w:rsidR="003B2C9F" w:rsidRPr="003B2C9F" w:rsidRDefault="003B2C9F" w:rsidP="003B2C9F">
            <w:pPr>
              <w:jc w:val="right"/>
              <w:rPr>
                <w:sz w:val="20"/>
                <w:szCs w:val="20"/>
              </w:rPr>
            </w:pPr>
          </w:p>
        </w:tc>
      </w:tr>
      <w:tr w:rsidR="003B2C9F" w:rsidRPr="003B2C9F" w14:paraId="73618A67" w14:textId="77777777" w:rsidTr="003B2C9F">
        <w:trPr>
          <w:trHeight w:val="300"/>
        </w:trPr>
        <w:tc>
          <w:tcPr>
            <w:tcW w:w="616" w:type="dxa"/>
            <w:tcBorders>
              <w:top w:val="nil"/>
              <w:left w:val="nil"/>
              <w:bottom w:val="nil"/>
              <w:right w:val="nil"/>
            </w:tcBorders>
            <w:shd w:val="clear" w:color="auto" w:fill="auto"/>
            <w:noWrap/>
            <w:vAlign w:val="bottom"/>
            <w:hideMark/>
          </w:tcPr>
          <w:p w14:paraId="6FDB60FA" w14:textId="77777777" w:rsidR="003B2C9F" w:rsidRPr="003B2C9F" w:rsidRDefault="003B2C9F" w:rsidP="003B2C9F">
            <w:pPr>
              <w:rPr>
                <w:b/>
                <w:bCs/>
                <w:sz w:val="20"/>
                <w:szCs w:val="20"/>
              </w:rPr>
            </w:pPr>
            <w:r w:rsidRPr="003B2C9F">
              <w:rPr>
                <w:b/>
                <w:bCs/>
                <w:sz w:val="20"/>
                <w:szCs w:val="20"/>
              </w:rPr>
              <w:t>636</w:t>
            </w:r>
          </w:p>
        </w:tc>
        <w:tc>
          <w:tcPr>
            <w:tcW w:w="6472" w:type="dxa"/>
            <w:tcBorders>
              <w:top w:val="nil"/>
              <w:left w:val="nil"/>
              <w:bottom w:val="nil"/>
              <w:right w:val="nil"/>
            </w:tcBorders>
            <w:shd w:val="clear" w:color="auto" w:fill="auto"/>
            <w:noWrap/>
            <w:vAlign w:val="bottom"/>
            <w:hideMark/>
          </w:tcPr>
          <w:p w14:paraId="4E2450A7" w14:textId="77777777" w:rsidR="003B2C9F" w:rsidRPr="003B2C9F" w:rsidRDefault="003B2C9F" w:rsidP="003B2C9F">
            <w:pPr>
              <w:rPr>
                <w:b/>
                <w:bCs/>
                <w:sz w:val="20"/>
                <w:szCs w:val="20"/>
              </w:rPr>
            </w:pPr>
            <w:r w:rsidRPr="003B2C9F">
              <w:rPr>
                <w:b/>
                <w:bCs/>
                <w:sz w:val="20"/>
                <w:szCs w:val="20"/>
              </w:rPr>
              <w:t>Pomoći proračunskim korisnicima iz proračuna koji im nije nadležan</w:t>
            </w:r>
          </w:p>
        </w:tc>
        <w:tc>
          <w:tcPr>
            <w:tcW w:w="1559" w:type="dxa"/>
            <w:tcBorders>
              <w:top w:val="nil"/>
              <w:left w:val="nil"/>
              <w:bottom w:val="nil"/>
              <w:right w:val="nil"/>
            </w:tcBorders>
            <w:shd w:val="clear" w:color="auto" w:fill="auto"/>
            <w:noWrap/>
            <w:vAlign w:val="bottom"/>
            <w:hideMark/>
          </w:tcPr>
          <w:p w14:paraId="6236FDFE" w14:textId="77777777" w:rsidR="003B2C9F" w:rsidRPr="003B2C9F" w:rsidRDefault="003B2C9F" w:rsidP="003B2C9F">
            <w:pPr>
              <w:jc w:val="right"/>
              <w:rPr>
                <w:b/>
                <w:bCs/>
                <w:sz w:val="20"/>
                <w:szCs w:val="20"/>
              </w:rPr>
            </w:pPr>
            <w:r w:rsidRPr="003B2C9F">
              <w:rPr>
                <w:b/>
                <w:bCs/>
                <w:sz w:val="20"/>
                <w:szCs w:val="20"/>
              </w:rPr>
              <w:t>620.107,29</w:t>
            </w:r>
          </w:p>
        </w:tc>
        <w:tc>
          <w:tcPr>
            <w:tcW w:w="1503" w:type="dxa"/>
            <w:tcBorders>
              <w:top w:val="nil"/>
              <w:left w:val="nil"/>
              <w:bottom w:val="nil"/>
              <w:right w:val="nil"/>
            </w:tcBorders>
            <w:shd w:val="clear" w:color="auto" w:fill="auto"/>
            <w:noWrap/>
            <w:vAlign w:val="bottom"/>
            <w:hideMark/>
          </w:tcPr>
          <w:p w14:paraId="72BAE59E" w14:textId="77777777" w:rsidR="003B2C9F" w:rsidRPr="003B2C9F" w:rsidRDefault="003B2C9F" w:rsidP="003B2C9F">
            <w:pPr>
              <w:jc w:val="right"/>
              <w:rPr>
                <w:b/>
                <w:bCs/>
                <w:sz w:val="20"/>
                <w:szCs w:val="20"/>
              </w:rPr>
            </w:pPr>
            <w:r w:rsidRPr="003B2C9F">
              <w:rPr>
                <w:b/>
                <w:bCs/>
                <w:sz w:val="20"/>
                <w:szCs w:val="20"/>
              </w:rPr>
              <w:t>699.937,62</w:t>
            </w:r>
          </w:p>
        </w:tc>
        <w:tc>
          <w:tcPr>
            <w:tcW w:w="1366" w:type="dxa"/>
            <w:tcBorders>
              <w:top w:val="nil"/>
              <w:left w:val="nil"/>
              <w:bottom w:val="nil"/>
              <w:right w:val="nil"/>
            </w:tcBorders>
            <w:shd w:val="clear" w:color="auto" w:fill="auto"/>
            <w:noWrap/>
            <w:vAlign w:val="bottom"/>
            <w:hideMark/>
          </w:tcPr>
          <w:p w14:paraId="0707D144" w14:textId="77777777" w:rsidR="003B2C9F" w:rsidRPr="003B2C9F" w:rsidRDefault="003B2C9F" w:rsidP="003B2C9F">
            <w:pPr>
              <w:jc w:val="right"/>
              <w:rPr>
                <w:b/>
                <w:bCs/>
                <w:sz w:val="20"/>
                <w:szCs w:val="20"/>
              </w:rPr>
            </w:pPr>
            <w:r w:rsidRPr="003B2C9F">
              <w:rPr>
                <w:b/>
                <w:bCs/>
                <w:sz w:val="20"/>
                <w:szCs w:val="20"/>
              </w:rPr>
              <w:t>840.632,26</w:t>
            </w:r>
          </w:p>
        </w:tc>
        <w:tc>
          <w:tcPr>
            <w:tcW w:w="1525" w:type="dxa"/>
            <w:tcBorders>
              <w:top w:val="nil"/>
              <w:left w:val="nil"/>
              <w:bottom w:val="nil"/>
              <w:right w:val="nil"/>
            </w:tcBorders>
            <w:shd w:val="clear" w:color="auto" w:fill="auto"/>
            <w:noWrap/>
            <w:vAlign w:val="bottom"/>
            <w:hideMark/>
          </w:tcPr>
          <w:p w14:paraId="51F3E2B6" w14:textId="77777777" w:rsidR="003B2C9F" w:rsidRPr="003B2C9F" w:rsidRDefault="003B2C9F" w:rsidP="003B2C9F">
            <w:pPr>
              <w:jc w:val="right"/>
              <w:rPr>
                <w:b/>
                <w:bCs/>
                <w:sz w:val="20"/>
                <w:szCs w:val="20"/>
              </w:rPr>
            </w:pPr>
            <w:r w:rsidRPr="003B2C9F">
              <w:rPr>
                <w:b/>
                <w:bCs/>
                <w:sz w:val="20"/>
                <w:szCs w:val="20"/>
              </w:rPr>
              <w:t>135,56</w:t>
            </w:r>
          </w:p>
        </w:tc>
        <w:tc>
          <w:tcPr>
            <w:tcW w:w="1000" w:type="dxa"/>
            <w:tcBorders>
              <w:top w:val="nil"/>
              <w:left w:val="nil"/>
              <w:bottom w:val="nil"/>
              <w:right w:val="nil"/>
            </w:tcBorders>
            <w:shd w:val="clear" w:color="auto" w:fill="auto"/>
            <w:noWrap/>
            <w:vAlign w:val="bottom"/>
            <w:hideMark/>
          </w:tcPr>
          <w:p w14:paraId="144D4520" w14:textId="77777777" w:rsidR="003B2C9F" w:rsidRPr="003B2C9F" w:rsidRDefault="003B2C9F" w:rsidP="003B2C9F">
            <w:pPr>
              <w:jc w:val="right"/>
              <w:rPr>
                <w:b/>
                <w:bCs/>
                <w:sz w:val="20"/>
                <w:szCs w:val="20"/>
              </w:rPr>
            </w:pPr>
            <w:r w:rsidRPr="003B2C9F">
              <w:rPr>
                <w:b/>
                <w:bCs/>
                <w:sz w:val="20"/>
                <w:szCs w:val="20"/>
              </w:rPr>
              <w:t>120,10</w:t>
            </w:r>
          </w:p>
        </w:tc>
      </w:tr>
      <w:tr w:rsidR="003B2C9F" w:rsidRPr="003B2C9F" w14:paraId="5C818D63" w14:textId="77777777" w:rsidTr="00953AE7">
        <w:trPr>
          <w:trHeight w:val="317"/>
        </w:trPr>
        <w:tc>
          <w:tcPr>
            <w:tcW w:w="616" w:type="dxa"/>
            <w:tcBorders>
              <w:top w:val="nil"/>
              <w:left w:val="nil"/>
              <w:bottom w:val="nil"/>
              <w:right w:val="nil"/>
            </w:tcBorders>
            <w:shd w:val="clear" w:color="auto" w:fill="auto"/>
            <w:noWrap/>
            <w:vAlign w:val="bottom"/>
            <w:hideMark/>
          </w:tcPr>
          <w:p w14:paraId="000790F3" w14:textId="77777777" w:rsidR="003B2C9F" w:rsidRPr="003B2C9F" w:rsidRDefault="003B2C9F" w:rsidP="003B2C9F">
            <w:pPr>
              <w:rPr>
                <w:sz w:val="20"/>
                <w:szCs w:val="20"/>
              </w:rPr>
            </w:pPr>
            <w:r w:rsidRPr="003B2C9F">
              <w:rPr>
                <w:sz w:val="20"/>
                <w:szCs w:val="20"/>
              </w:rPr>
              <w:t>6361</w:t>
            </w:r>
          </w:p>
        </w:tc>
        <w:tc>
          <w:tcPr>
            <w:tcW w:w="6472" w:type="dxa"/>
            <w:tcBorders>
              <w:top w:val="nil"/>
              <w:left w:val="nil"/>
              <w:bottom w:val="nil"/>
              <w:right w:val="nil"/>
            </w:tcBorders>
            <w:shd w:val="clear" w:color="auto" w:fill="auto"/>
            <w:vAlign w:val="bottom"/>
            <w:hideMark/>
          </w:tcPr>
          <w:p w14:paraId="3D5073BF" w14:textId="77777777" w:rsidR="003B2C9F" w:rsidRPr="003B2C9F" w:rsidRDefault="003B2C9F" w:rsidP="003B2C9F">
            <w:pPr>
              <w:rPr>
                <w:sz w:val="20"/>
                <w:szCs w:val="20"/>
              </w:rPr>
            </w:pPr>
            <w:r w:rsidRPr="003B2C9F">
              <w:rPr>
                <w:sz w:val="20"/>
                <w:szCs w:val="20"/>
              </w:rPr>
              <w:t>Tekuće pomoći proračunskim korisnicima iz proračuna koji im nije nadležan</w:t>
            </w:r>
          </w:p>
        </w:tc>
        <w:tc>
          <w:tcPr>
            <w:tcW w:w="1559" w:type="dxa"/>
            <w:tcBorders>
              <w:top w:val="nil"/>
              <w:left w:val="nil"/>
              <w:bottom w:val="nil"/>
              <w:right w:val="nil"/>
            </w:tcBorders>
            <w:shd w:val="clear" w:color="auto" w:fill="auto"/>
            <w:noWrap/>
            <w:vAlign w:val="bottom"/>
            <w:hideMark/>
          </w:tcPr>
          <w:p w14:paraId="52754C71" w14:textId="77777777" w:rsidR="003B2C9F" w:rsidRPr="003B2C9F" w:rsidRDefault="003B2C9F" w:rsidP="003B2C9F">
            <w:pPr>
              <w:jc w:val="right"/>
              <w:rPr>
                <w:sz w:val="20"/>
                <w:szCs w:val="20"/>
              </w:rPr>
            </w:pPr>
            <w:r w:rsidRPr="003B2C9F">
              <w:rPr>
                <w:sz w:val="20"/>
                <w:szCs w:val="20"/>
              </w:rPr>
              <w:t>596.092,91</w:t>
            </w:r>
          </w:p>
        </w:tc>
        <w:tc>
          <w:tcPr>
            <w:tcW w:w="1503" w:type="dxa"/>
            <w:tcBorders>
              <w:top w:val="nil"/>
              <w:left w:val="nil"/>
              <w:bottom w:val="nil"/>
              <w:right w:val="nil"/>
            </w:tcBorders>
            <w:shd w:val="clear" w:color="auto" w:fill="auto"/>
            <w:noWrap/>
            <w:vAlign w:val="bottom"/>
            <w:hideMark/>
          </w:tcPr>
          <w:p w14:paraId="79025B4C"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6A75610D" w14:textId="77777777" w:rsidR="003B2C9F" w:rsidRPr="003B2C9F" w:rsidRDefault="003B2C9F" w:rsidP="003B2C9F">
            <w:pPr>
              <w:jc w:val="right"/>
              <w:rPr>
                <w:sz w:val="20"/>
                <w:szCs w:val="20"/>
              </w:rPr>
            </w:pPr>
            <w:r w:rsidRPr="003B2C9F">
              <w:rPr>
                <w:sz w:val="20"/>
                <w:szCs w:val="20"/>
              </w:rPr>
              <w:t>702.198,11</w:t>
            </w:r>
          </w:p>
        </w:tc>
        <w:tc>
          <w:tcPr>
            <w:tcW w:w="1525" w:type="dxa"/>
            <w:tcBorders>
              <w:top w:val="nil"/>
              <w:left w:val="nil"/>
              <w:bottom w:val="nil"/>
              <w:right w:val="nil"/>
            </w:tcBorders>
            <w:shd w:val="clear" w:color="auto" w:fill="auto"/>
            <w:noWrap/>
            <w:vAlign w:val="bottom"/>
            <w:hideMark/>
          </w:tcPr>
          <w:p w14:paraId="34192609" w14:textId="77777777" w:rsidR="003B2C9F" w:rsidRPr="003B2C9F" w:rsidRDefault="003B2C9F" w:rsidP="003B2C9F">
            <w:pPr>
              <w:jc w:val="right"/>
              <w:rPr>
                <w:sz w:val="20"/>
                <w:szCs w:val="20"/>
              </w:rPr>
            </w:pPr>
            <w:r w:rsidRPr="003B2C9F">
              <w:rPr>
                <w:sz w:val="20"/>
                <w:szCs w:val="20"/>
              </w:rPr>
              <w:t>117,80</w:t>
            </w:r>
          </w:p>
        </w:tc>
        <w:tc>
          <w:tcPr>
            <w:tcW w:w="1000" w:type="dxa"/>
            <w:tcBorders>
              <w:top w:val="nil"/>
              <w:left w:val="nil"/>
              <w:bottom w:val="nil"/>
              <w:right w:val="nil"/>
            </w:tcBorders>
            <w:shd w:val="clear" w:color="auto" w:fill="auto"/>
            <w:noWrap/>
            <w:vAlign w:val="bottom"/>
            <w:hideMark/>
          </w:tcPr>
          <w:p w14:paraId="43D4F9D7" w14:textId="77777777" w:rsidR="003B2C9F" w:rsidRPr="003B2C9F" w:rsidRDefault="003B2C9F" w:rsidP="003B2C9F">
            <w:pPr>
              <w:jc w:val="right"/>
              <w:rPr>
                <w:sz w:val="20"/>
                <w:szCs w:val="20"/>
              </w:rPr>
            </w:pPr>
          </w:p>
        </w:tc>
      </w:tr>
      <w:tr w:rsidR="003B2C9F" w:rsidRPr="003B2C9F" w14:paraId="45C27759" w14:textId="77777777" w:rsidTr="003B2C9F">
        <w:trPr>
          <w:trHeight w:val="525"/>
        </w:trPr>
        <w:tc>
          <w:tcPr>
            <w:tcW w:w="616" w:type="dxa"/>
            <w:tcBorders>
              <w:top w:val="nil"/>
              <w:left w:val="nil"/>
              <w:bottom w:val="nil"/>
              <w:right w:val="nil"/>
            </w:tcBorders>
            <w:shd w:val="clear" w:color="auto" w:fill="auto"/>
            <w:noWrap/>
            <w:vAlign w:val="bottom"/>
            <w:hideMark/>
          </w:tcPr>
          <w:p w14:paraId="7119F876" w14:textId="77777777" w:rsidR="003B2C9F" w:rsidRPr="003B2C9F" w:rsidRDefault="003B2C9F" w:rsidP="003B2C9F">
            <w:pPr>
              <w:rPr>
                <w:sz w:val="20"/>
                <w:szCs w:val="20"/>
              </w:rPr>
            </w:pPr>
            <w:r w:rsidRPr="003B2C9F">
              <w:rPr>
                <w:sz w:val="20"/>
                <w:szCs w:val="20"/>
              </w:rPr>
              <w:t>6362</w:t>
            </w:r>
          </w:p>
        </w:tc>
        <w:tc>
          <w:tcPr>
            <w:tcW w:w="6472" w:type="dxa"/>
            <w:tcBorders>
              <w:top w:val="nil"/>
              <w:left w:val="nil"/>
              <w:bottom w:val="nil"/>
              <w:right w:val="nil"/>
            </w:tcBorders>
            <w:shd w:val="clear" w:color="auto" w:fill="auto"/>
            <w:vAlign w:val="bottom"/>
            <w:hideMark/>
          </w:tcPr>
          <w:p w14:paraId="0C5DBD7B" w14:textId="77777777" w:rsidR="003B2C9F" w:rsidRPr="003B2C9F" w:rsidRDefault="003B2C9F" w:rsidP="003B2C9F">
            <w:pPr>
              <w:rPr>
                <w:sz w:val="20"/>
                <w:szCs w:val="20"/>
              </w:rPr>
            </w:pPr>
            <w:r w:rsidRPr="003B2C9F">
              <w:rPr>
                <w:sz w:val="20"/>
                <w:szCs w:val="20"/>
              </w:rPr>
              <w:t>Kapitalne pomoći proračunskim korisnicima iz proračuna koji im nije nadležan</w:t>
            </w:r>
          </w:p>
        </w:tc>
        <w:tc>
          <w:tcPr>
            <w:tcW w:w="1559" w:type="dxa"/>
            <w:tcBorders>
              <w:top w:val="nil"/>
              <w:left w:val="nil"/>
              <w:bottom w:val="nil"/>
              <w:right w:val="nil"/>
            </w:tcBorders>
            <w:shd w:val="clear" w:color="auto" w:fill="auto"/>
            <w:noWrap/>
            <w:vAlign w:val="bottom"/>
            <w:hideMark/>
          </w:tcPr>
          <w:p w14:paraId="033ADFD8" w14:textId="77777777" w:rsidR="003B2C9F" w:rsidRPr="003B2C9F" w:rsidRDefault="003B2C9F" w:rsidP="003B2C9F">
            <w:pPr>
              <w:jc w:val="right"/>
              <w:rPr>
                <w:sz w:val="20"/>
                <w:szCs w:val="20"/>
              </w:rPr>
            </w:pPr>
            <w:r w:rsidRPr="003B2C9F">
              <w:rPr>
                <w:sz w:val="20"/>
                <w:szCs w:val="20"/>
              </w:rPr>
              <w:t>24.014,38</w:t>
            </w:r>
          </w:p>
        </w:tc>
        <w:tc>
          <w:tcPr>
            <w:tcW w:w="1503" w:type="dxa"/>
            <w:tcBorders>
              <w:top w:val="nil"/>
              <w:left w:val="nil"/>
              <w:bottom w:val="nil"/>
              <w:right w:val="nil"/>
            </w:tcBorders>
            <w:shd w:val="clear" w:color="auto" w:fill="auto"/>
            <w:noWrap/>
            <w:vAlign w:val="bottom"/>
            <w:hideMark/>
          </w:tcPr>
          <w:p w14:paraId="04AA11E0"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0B7C7EE5" w14:textId="77777777" w:rsidR="003B2C9F" w:rsidRPr="003B2C9F" w:rsidRDefault="003B2C9F" w:rsidP="003B2C9F">
            <w:pPr>
              <w:jc w:val="right"/>
              <w:rPr>
                <w:sz w:val="20"/>
                <w:szCs w:val="20"/>
              </w:rPr>
            </w:pPr>
            <w:r w:rsidRPr="003B2C9F">
              <w:rPr>
                <w:sz w:val="20"/>
                <w:szCs w:val="20"/>
              </w:rPr>
              <w:t>138.434,15</w:t>
            </w:r>
          </w:p>
        </w:tc>
        <w:tc>
          <w:tcPr>
            <w:tcW w:w="1525" w:type="dxa"/>
            <w:tcBorders>
              <w:top w:val="nil"/>
              <w:left w:val="nil"/>
              <w:bottom w:val="nil"/>
              <w:right w:val="nil"/>
            </w:tcBorders>
            <w:shd w:val="clear" w:color="auto" w:fill="auto"/>
            <w:noWrap/>
            <w:vAlign w:val="bottom"/>
            <w:hideMark/>
          </w:tcPr>
          <w:p w14:paraId="421CCA5C" w14:textId="77777777" w:rsidR="003B2C9F" w:rsidRPr="003B2C9F" w:rsidRDefault="003B2C9F" w:rsidP="003B2C9F">
            <w:pPr>
              <w:jc w:val="right"/>
              <w:rPr>
                <w:sz w:val="20"/>
                <w:szCs w:val="20"/>
              </w:rPr>
            </w:pPr>
            <w:r w:rsidRPr="003B2C9F">
              <w:rPr>
                <w:sz w:val="20"/>
                <w:szCs w:val="20"/>
              </w:rPr>
              <w:t>576,46</w:t>
            </w:r>
          </w:p>
        </w:tc>
        <w:tc>
          <w:tcPr>
            <w:tcW w:w="1000" w:type="dxa"/>
            <w:tcBorders>
              <w:top w:val="nil"/>
              <w:left w:val="nil"/>
              <w:bottom w:val="nil"/>
              <w:right w:val="nil"/>
            </w:tcBorders>
            <w:shd w:val="clear" w:color="auto" w:fill="auto"/>
            <w:noWrap/>
            <w:vAlign w:val="bottom"/>
            <w:hideMark/>
          </w:tcPr>
          <w:p w14:paraId="658BF853" w14:textId="77777777" w:rsidR="003B2C9F" w:rsidRPr="003B2C9F" w:rsidRDefault="003B2C9F" w:rsidP="003B2C9F">
            <w:pPr>
              <w:jc w:val="right"/>
              <w:rPr>
                <w:sz w:val="20"/>
                <w:szCs w:val="20"/>
              </w:rPr>
            </w:pPr>
          </w:p>
        </w:tc>
      </w:tr>
      <w:tr w:rsidR="003B2C9F" w:rsidRPr="003B2C9F" w14:paraId="495360EB" w14:textId="77777777" w:rsidTr="003B2C9F">
        <w:trPr>
          <w:trHeight w:val="300"/>
        </w:trPr>
        <w:tc>
          <w:tcPr>
            <w:tcW w:w="616" w:type="dxa"/>
            <w:tcBorders>
              <w:top w:val="nil"/>
              <w:left w:val="nil"/>
              <w:bottom w:val="nil"/>
              <w:right w:val="nil"/>
            </w:tcBorders>
            <w:shd w:val="clear" w:color="auto" w:fill="auto"/>
            <w:noWrap/>
            <w:vAlign w:val="bottom"/>
            <w:hideMark/>
          </w:tcPr>
          <w:p w14:paraId="50695A16" w14:textId="77777777" w:rsidR="003B2C9F" w:rsidRPr="003B2C9F" w:rsidRDefault="003B2C9F" w:rsidP="003B2C9F">
            <w:pPr>
              <w:rPr>
                <w:b/>
                <w:bCs/>
                <w:sz w:val="20"/>
                <w:szCs w:val="20"/>
              </w:rPr>
            </w:pPr>
            <w:r w:rsidRPr="003B2C9F">
              <w:rPr>
                <w:b/>
                <w:bCs/>
                <w:sz w:val="20"/>
                <w:szCs w:val="20"/>
              </w:rPr>
              <w:t>638</w:t>
            </w:r>
          </w:p>
        </w:tc>
        <w:tc>
          <w:tcPr>
            <w:tcW w:w="6472" w:type="dxa"/>
            <w:tcBorders>
              <w:top w:val="nil"/>
              <w:left w:val="nil"/>
              <w:bottom w:val="nil"/>
              <w:right w:val="nil"/>
            </w:tcBorders>
            <w:shd w:val="clear" w:color="auto" w:fill="auto"/>
            <w:noWrap/>
            <w:vAlign w:val="bottom"/>
            <w:hideMark/>
          </w:tcPr>
          <w:p w14:paraId="74B1E624" w14:textId="77777777" w:rsidR="003B2C9F" w:rsidRPr="003B2C9F" w:rsidRDefault="003B2C9F" w:rsidP="003B2C9F">
            <w:pPr>
              <w:rPr>
                <w:b/>
                <w:bCs/>
                <w:sz w:val="20"/>
                <w:szCs w:val="20"/>
              </w:rPr>
            </w:pPr>
            <w:r w:rsidRPr="003B2C9F">
              <w:rPr>
                <w:b/>
                <w:bCs/>
                <w:sz w:val="20"/>
                <w:szCs w:val="20"/>
              </w:rPr>
              <w:t>Pomoći temeljem prijenosa EU sredstava</w:t>
            </w:r>
          </w:p>
        </w:tc>
        <w:tc>
          <w:tcPr>
            <w:tcW w:w="1559" w:type="dxa"/>
            <w:tcBorders>
              <w:top w:val="nil"/>
              <w:left w:val="nil"/>
              <w:bottom w:val="nil"/>
              <w:right w:val="nil"/>
            </w:tcBorders>
            <w:shd w:val="clear" w:color="auto" w:fill="auto"/>
            <w:noWrap/>
            <w:vAlign w:val="bottom"/>
            <w:hideMark/>
          </w:tcPr>
          <w:p w14:paraId="67D6DF59" w14:textId="77777777" w:rsidR="003B2C9F" w:rsidRPr="003B2C9F" w:rsidRDefault="003B2C9F" w:rsidP="003B2C9F">
            <w:pPr>
              <w:jc w:val="right"/>
              <w:rPr>
                <w:b/>
                <w:bCs/>
                <w:sz w:val="20"/>
                <w:szCs w:val="20"/>
              </w:rPr>
            </w:pPr>
            <w:r w:rsidRPr="003B2C9F">
              <w:rPr>
                <w:b/>
                <w:bCs/>
                <w:sz w:val="20"/>
                <w:szCs w:val="20"/>
              </w:rPr>
              <w:t>1.208.772,94</w:t>
            </w:r>
          </w:p>
        </w:tc>
        <w:tc>
          <w:tcPr>
            <w:tcW w:w="1503" w:type="dxa"/>
            <w:tcBorders>
              <w:top w:val="nil"/>
              <w:left w:val="nil"/>
              <w:bottom w:val="nil"/>
              <w:right w:val="nil"/>
            </w:tcBorders>
            <w:shd w:val="clear" w:color="auto" w:fill="auto"/>
            <w:noWrap/>
            <w:vAlign w:val="bottom"/>
            <w:hideMark/>
          </w:tcPr>
          <w:p w14:paraId="3943454E" w14:textId="77777777" w:rsidR="003B2C9F" w:rsidRPr="003B2C9F" w:rsidRDefault="003B2C9F" w:rsidP="003B2C9F">
            <w:pPr>
              <w:jc w:val="right"/>
              <w:rPr>
                <w:b/>
                <w:bCs/>
                <w:sz w:val="20"/>
                <w:szCs w:val="20"/>
              </w:rPr>
            </w:pPr>
            <w:r w:rsidRPr="003B2C9F">
              <w:rPr>
                <w:b/>
                <w:bCs/>
                <w:sz w:val="20"/>
                <w:szCs w:val="20"/>
              </w:rPr>
              <w:t>52.625,00</w:t>
            </w:r>
          </w:p>
        </w:tc>
        <w:tc>
          <w:tcPr>
            <w:tcW w:w="1366" w:type="dxa"/>
            <w:tcBorders>
              <w:top w:val="nil"/>
              <w:left w:val="nil"/>
              <w:bottom w:val="nil"/>
              <w:right w:val="nil"/>
            </w:tcBorders>
            <w:shd w:val="clear" w:color="auto" w:fill="auto"/>
            <w:noWrap/>
            <w:vAlign w:val="bottom"/>
            <w:hideMark/>
          </w:tcPr>
          <w:p w14:paraId="64C6915C" w14:textId="77777777" w:rsidR="003B2C9F" w:rsidRPr="003B2C9F" w:rsidRDefault="003B2C9F" w:rsidP="003B2C9F">
            <w:pPr>
              <w:jc w:val="right"/>
              <w:rPr>
                <w:b/>
                <w:bCs/>
                <w:sz w:val="20"/>
                <w:szCs w:val="20"/>
              </w:rPr>
            </w:pPr>
            <w:r w:rsidRPr="003B2C9F">
              <w:rPr>
                <w:b/>
                <w:bCs/>
                <w:sz w:val="20"/>
                <w:szCs w:val="20"/>
              </w:rPr>
              <w:t>0,00</w:t>
            </w:r>
          </w:p>
        </w:tc>
        <w:tc>
          <w:tcPr>
            <w:tcW w:w="1525" w:type="dxa"/>
            <w:tcBorders>
              <w:top w:val="nil"/>
              <w:left w:val="nil"/>
              <w:bottom w:val="nil"/>
              <w:right w:val="nil"/>
            </w:tcBorders>
            <w:shd w:val="clear" w:color="auto" w:fill="auto"/>
            <w:noWrap/>
            <w:vAlign w:val="bottom"/>
            <w:hideMark/>
          </w:tcPr>
          <w:p w14:paraId="30C34FF6" w14:textId="77777777" w:rsidR="003B2C9F" w:rsidRPr="003B2C9F" w:rsidRDefault="003B2C9F" w:rsidP="003B2C9F">
            <w:pPr>
              <w:jc w:val="right"/>
              <w:rPr>
                <w:b/>
                <w:bCs/>
                <w:sz w:val="20"/>
                <w:szCs w:val="20"/>
              </w:rPr>
            </w:pPr>
            <w:r w:rsidRPr="003B2C9F">
              <w:rPr>
                <w:b/>
                <w:bCs/>
                <w:sz w:val="20"/>
                <w:szCs w:val="20"/>
              </w:rPr>
              <w:t>0,00</w:t>
            </w:r>
          </w:p>
        </w:tc>
        <w:tc>
          <w:tcPr>
            <w:tcW w:w="1000" w:type="dxa"/>
            <w:tcBorders>
              <w:top w:val="nil"/>
              <w:left w:val="nil"/>
              <w:bottom w:val="nil"/>
              <w:right w:val="nil"/>
            </w:tcBorders>
            <w:shd w:val="clear" w:color="auto" w:fill="auto"/>
            <w:noWrap/>
            <w:vAlign w:val="bottom"/>
            <w:hideMark/>
          </w:tcPr>
          <w:p w14:paraId="4FDF6C87" w14:textId="77777777" w:rsidR="003B2C9F" w:rsidRPr="003B2C9F" w:rsidRDefault="003B2C9F" w:rsidP="003B2C9F">
            <w:pPr>
              <w:jc w:val="right"/>
              <w:rPr>
                <w:b/>
                <w:bCs/>
                <w:sz w:val="20"/>
                <w:szCs w:val="20"/>
              </w:rPr>
            </w:pPr>
            <w:r w:rsidRPr="003B2C9F">
              <w:rPr>
                <w:b/>
                <w:bCs/>
                <w:sz w:val="20"/>
                <w:szCs w:val="20"/>
              </w:rPr>
              <w:t>0,00</w:t>
            </w:r>
          </w:p>
        </w:tc>
      </w:tr>
      <w:tr w:rsidR="003B2C9F" w:rsidRPr="003B2C9F" w14:paraId="31E96B4B" w14:textId="77777777" w:rsidTr="003B2C9F">
        <w:trPr>
          <w:trHeight w:val="300"/>
        </w:trPr>
        <w:tc>
          <w:tcPr>
            <w:tcW w:w="616" w:type="dxa"/>
            <w:tcBorders>
              <w:top w:val="nil"/>
              <w:left w:val="nil"/>
              <w:bottom w:val="nil"/>
              <w:right w:val="nil"/>
            </w:tcBorders>
            <w:shd w:val="clear" w:color="auto" w:fill="auto"/>
            <w:noWrap/>
            <w:vAlign w:val="bottom"/>
            <w:hideMark/>
          </w:tcPr>
          <w:p w14:paraId="1EB9E41A" w14:textId="77777777" w:rsidR="003B2C9F" w:rsidRPr="003B2C9F" w:rsidRDefault="003B2C9F" w:rsidP="003B2C9F">
            <w:pPr>
              <w:rPr>
                <w:sz w:val="20"/>
                <w:szCs w:val="20"/>
              </w:rPr>
            </w:pPr>
            <w:r w:rsidRPr="003B2C9F">
              <w:rPr>
                <w:sz w:val="20"/>
                <w:szCs w:val="20"/>
              </w:rPr>
              <w:t>6381</w:t>
            </w:r>
          </w:p>
        </w:tc>
        <w:tc>
          <w:tcPr>
            <w:tcW w:w="6472" w:type="dxa"/>
            <w:tcBorders>
              <w:top w:val="nil"/>
              <w:left w:val="nil"/>
              <w:bottom w:val="nil"/>
              <w:right w:val="nil"/>
            </w:tcBorders>
            <w:shd w:val="clear" w:color="auto" w:fill="auto"/>
            <w:vAlign w:val="bottom"/>
            <w:hideMark/>
          </w:tcPr>
          <w:p w14:paraId="5C706CEB" w14:textId="77777777" w:rsidR="003B2C9F" w:rsidRPr="003B2C9F" w:rsidRDefault="003B2C9F" w:rsidP="003B2C9F">
            <w:pPr>
              <w:rPr>
                <w:sz w:val="20"/>
                <w:szCs w:val="20"/>
              </w:rPr>
            </w:pPr>
            <w:r w:rsidRPr="003B2C9F">
              <w:rPr>
                <w:sz w:val="20"/>
                <w:szCs w:val="20"/>
              </w:rPr>
              <w:t>Tekuće pomoći temeljem prijenosa EU sredstava</w:t>
            </w:r>
          </w:p>
        </w:tc>
        <w:tc>
          <w:tcPr>
            <w:tcW w:w="1559" w:type="dxa"/>
            <w:tcBorders>
              <w:top w:val="nil"/>
              <w:left w:val="nil"/>
              <w:bottom w:val="nil"/>
              <w:right w:val="nil"/>
            </w:tcBorders>
            <w:shd w:val="clear" w:color="auto" w:fill="auto"/>
            <w:noWrap/>
            <w:vAlign w:val="bottom"/>
            <w:hideMark/>
          </w:tcPr>
          <w:p w14:paraId="600F6B68" w14:textId="77777777" w:rsidR="003B2C9F" w:rsidRPr="003B2C9F" w:rsidRDefault="003B2C9F" w:rsidP="003B2C9F">
            <w:pPr>
              <w:jc w:val="right"/>
              <w:rPr>
                <w:sz w:val="20"/>
                <w:szCs w:val="20"/>
              </w:rPr>
            </w:pPr>
            <w:r w:rsidRPr="003B2C9F">
              <w:rPr>
                <w:sz w:val="20"/>
                <w:szCs w:val="20"/>
              </w:rPr>
              <w:t>0,00</w:t>
            </w:r>
          </w:p>
        </w:tc>
        <w:tc>
          <w:tcPr>
            <w:tcW w:w="1503" w:type="dxa"/>
            <w:tcBorders>
              <w:top w:val="nil"/>
              <w:left w:val="nil"/>
              <w:bottom w:val="nil"/>
              <w:right w:val="nil"/>
            </w:tcBorders>
            <w:shd w:val="clear" w:color="auto" w:fill="auto"/>
            <w:noWrap/>
            <w:vAlign w:val="bottom"/>
            <w:hideMark/>
          </w:tcPr>
          <w:p w14:paraId="4A984E2C"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FFBBC35" w14:textId="77777777" w:rsidR="003B2C9F" w:rsidRPr="003B2C9F" w:rsidRDefault="003B2C9F" w:rsidP="003B2C9F">
            <w:pPr>
              <w:jc w:val="right"/>
              <w:rPr>
                <w:sz w:val="20"/>
                <w:szCs w:val="20"/>
              </w:rPr>
            </w:pPr>
            <w:r w:rsidRPr="003B2C9F">
              <w:rPr>
                <w:sz w:val="20"/>
                <w:szCs w:val="20"/>
              </w:rPr>
              <w:t>0,00</w:t>
            </w:r>
          </w:p>
        </w:tc>
        <w:tc>
          <w:tcPr>
            <w:tcW w:w="1525" w:type="dxa"/>
            <w:tcBorders>
              <w:top w:val="nil"/>
              <w:left w:val="nil"/>
              <w:bottom w:val="nil"/>
              <w:right w:val="nil"/>
            </w:tcBorders>
            <w:shd w:val="clear" w:color="auto" w:fill="auto"/>
            <w:noWrap/>
            <w:vAlign w:val="bottom"/>
            <w:hideMark/>
          </w:tcPr>
          <w:p w14:paraId="07702F60" w14:textId="77777777" w:rsidR="003B2C9F" w:rsidRPr="003B2C9F" w:rsidRDefault="003B2C9F" w:rsidP="003B2C9F">
            <w:pPr>
              <w:jc w:val="right"/>
              <w:rPr>
                <w:sz w:val="20"/>
                <w:szCs w:val="20"/>
              </w:rPr>
            </w:pPr>
            <w:r w:rsidRPr="003B2C9F">
              <w:rPr>
                <w:sz w:val="20"/>
                <w:szCs w:val="20"/>
              </w:rPr>
              <w:t>0,00</w:t>
            </w:r>
          </w:p>
        </w:tc>
        <w:tc>
          <w:tcPr>
            <w:tcW w:w="1000" w:type="dxa"/>
            <w:tcBorders>
              <w:top w:val="nil"/>
              <w:left w:val="nil"/>
              <w:bottom w:val="nil"/>
              <w:right w:val="nil"/>
            </w:tcBorders>
            <w:shd w:val="clear" w:color="auto" w:fill="auto"/>
            <w:noWrap/>
            <w:vAlign w:val="bottom"/>
            <w:hideMark/>
          </w:tcPr>
          <w:p w14:paraId="75D61B7C" w14:textId="77777777" w:rsidR="003B2C9F" w:rsidRPr="003B2C9F" w:rsidRDefault="003B2C9F" w:rsidP="003B2C9F">
            <w:pPr>
              <w:jc w:val="right"/>
              <w:rPr>
                <w:sz w:val="20"/>
                <w:szCs w:val="20"/>
              </w:rPr>
            </w:pPr>
          </w:p>
        </w:tc>
      </w:tr>
      <w:tr w:rsidR="003B2C9F" w:rsidRPr="003B2C9F" w14:paraId="1C733EBE" w14:textId="77777777" w:rsidTr="003B2C9F">
        <w:trPr>
          <w:trHeight w:val="300"/>
        </w:trPr>
        <w:tc>
          <w:tcPr>
            <w:tcW w:w="616" w:type="dxa"/>
            <w:tcBorders>
              <w:top w:val="nil"/>
              <w:left w:val="nil"/>
              <w:bottom w:val="nil"/>
              <w:right w:val="nil"/>
            </w:tcBorders>
            <w:shd w:val="clear" w:color="auto" w:fill="auto"/>
            <w:noWrap/>
            <w:vAlign w:val="bottom"/>
            <w:hideMark/>
          </w:tcPr>
          <w:p w14:paraId="62C5F0D7" w14:textId="77777777" w:rsidR="003B2C9F" w:rsidRPr="003B2C9F" w:rsidRDefault="003B2C9F" w:rsidP="003B2C9F">
            <w:pPr>
              <w:rPr>
                <w:sz w:val="20"/>
                <w:szCs w:val="20"/>
              </w:rPr>
            </w:pPr>
            <w:r w:rsidRPr="003B2C9F">
              <w:rPr>
                <w:sz w:val="20"/>
                <w:szCs w:val="20"/>
              </w:rPr>
              <w:t>6382</w:t>
            </w:r>
          </w:p>
        </w:tc>
        <w:tc>
          <w:tcPr>
            <w:tcW w:w="6472" w:type="dxa"/>
            <w:tcBorders>
              <w:top w:val="nil"/>
              <w:left w:val="nil"/>
              <w:bottom w:val="nil"/>
              <w:right w:val="nil"/>
            </w:tcBorders>
            <w:shd w:val="clear" w:color="auto" w:fill="auto"/>
            <w:vAlign w:val="bottom"/>
            <w:hideMark/>
          </w:tcPr>
          <w:p w14:paraId="5EB544B7" w14:textId="77777777" w:rsidR="003B2C9F" w:rsidRPr="003B2C9F" w:rsidRDefault="003B2C9F" w:rsidP="003B2C9F">
            <w:pPr>
              <w:rPr>
                <w:sz w:val="20"/>
                <w:szCs w:val="20"/>
              </w:rPr>
            </w:pPr>
            <w:r w:rsidRPr="003B2C9F">
              <w:rPr>
                <w:sz w:val="20"/>
                <w:szCs w:val="20"/>
              </w:rPr>
              <w:t>Kapitalne pomoći temeljem prijenosa EU sredstava</w:t>
            </w:r>
          </w:p>
        </w:tc>
        <w:tc>
          <w:tcPr>
            <w:tcW w:w="1559" w:type="dxa"/>
            <w:tcBorders>
              <w:top w:val="nil"/>
              <w:left w:val="nil"/>
              <w:bottom w:val="nil"/>
              <w:right w:val="nil"/>
            </w:tcBorders>
            <w:shd w:val="clear" w:color="auto" w:fill="auto"/>
            <w:noWrap/>
            <w:vAlign w:val="bottom"/>
            <w:hideMark/>
          </w:tcPr>
          <w:p w14:paraId="6B1A0DCC" w14:textId="77777777" w:rsidR="003B2C9F" w:rsidRPr="003B2C9F" w:rsidRDefault="003B2C9F" w:rsidP="003B2C9F">
            <w:pPr>
              <w:jc w:val="right"/>
              <w:rPr>
                <w:sz w:val="20"/>
                <w:szCs w:val="20"/>
              </w:rPr>
            </w:pPr>
            <w:r w:rsidRPr="003B2C9F">
              <w:rPr>
                <w:sz w:val="20"/>
                <w:szCs w:val="20"/>
              </w:rPr>
              <w:t>1.208.772,94</w:t>
            </w:r>
          </w:p>
        </w:tc>
        <w:tc>
          <w:tcPr>
            <w:tcW w:w="1503" w:type="dxa"/>
            <w:tcBorders>
              <w:top w:val="nil"/>
              <w:left w:val="nil"/>
              <w:bottom w:val="nil"/>
              <w:right w:val="nil"/>
            </w:tcBorders>
            <w:shd w:val="clear" w:color="auto" w:fill="auto"/>
            <w:noWrap/>
            <w:vAlign w:val="bottom"/>
            <w:hideMark/>
          </w:tcPr>
          <w:p w14:paraId="61904BD6"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77BA2CFA" w14:textId="77777777" w:rsidR="003B2C9F" w:rsidRPr="003B2C9F" w:rsidRDefault="003B2C9F" w:rsidP="003B2C9F">
            <w:pPr>
              <w:jc w:val="right"/>
              <w:rPr>
                <w:sz w:val="20"/>
                <w:szCs w:val="20"/>
              </w:rPr>
            </w:pPr>
            <w:r w:rsidRPr="003B2C9F">
              <w:rPr>
                <w:sz w:val="20"/>
                <w:szCs w:val="20"/>
              </w:rPr>
              <w:t>0,00</w:t>
            </w:r>
          </w:p>
        </w:tc>
        <w:tc>
          <w:tcPr>
            <w:tcW w:w="1525" w:type="dxa"/>
            <w:tcBorders>
              <w:top w:val="nil"/>
              <w:left w:val="nil"/>
              <w:bottom w:val="nil"/>
              <w:right w:val="nil"/>
            </w:tcBorders>
            <w:shd w:val="clear" w:color="auto" w:fill="auto"/>
            <w:noWrap/>
            <w:vAlign w:val="bottom"/>
            <w:hideMark/>
          </w:tcPr>
          <w:p w14:paraId="3C5C63AA" w14:textId="77777777" w:rsidR="003B2C9F" w:rsidRPr="003B2C9F" w:rsidRDefault="003B2C9F" w:rsidP="003B2C9F">
            <w:pPr>
              <w:jc w:val="right"/>
              <w:rPr>
                <w:sz w:val="20"/>
                <w:szCs w:val="20"/>
              </w:rPr>
            </w:pPr>
            <w:r w:rsidRPr="003B2C9F">
              <w:rPr>
                <w:sz w:val="20"/>
                <w:szCs w:val="20"/>
              </w:rPr>
              <w:t>0,00</w:t>
            </w:r>
          </w:p>
        </w:tc>
        <w:tc>
          <w:tcPr>
            <w:tcW w:w="1000" w:type="dxa"/>
            <w:tcBorders>
              <w:top w:val="nil"/>
              <w:left w:val="nil"/>
              <w:bottom w:val="nil"/>
              <w:right w:val="nil"/>
            </w:tcBorders>
            <w:shd w:val="clear" w:color="auto" w:fill="auto"/>
            <w:noWrap/>
            <w:vAlign w:val="bottom"/>
            <w:hideMark/>
          </w:tcPr>
          <w:p w14:paraId="3F683983" w14:textId="77777777" w:rsidR="003B2C9F" w:rsidRPr="003B2C9F" w:rsidRDefault="003B2C9F" w:rsidP="003B2C9F">
            <w:pPr>
              <w:jc w:val="right"/>
              <w:rPr>
                <w:sz w:val="20"/>
                <w:szCs w:val="20"/>
              </w:rPr>
            </w:pPr>
          </w:p>
        </w:tc>
      </w:tr>
      <w:tr w:rsidR="003B2C9F" w:rsidRPr="003B2C9F" w14:paraId="5F7F1D65" w14:textId="77777777" w:rsidTr="003B2C9F">
        <w:trPr>
          <w:trHeight w:val="300"/>
        </w:trPr>
        <w:tc>
          <w:tcPr>
            <w:tcW w:w="616" w:type="dxa"/>
            <w:tcBorders>
              <w:top w:val="nil"/>
              <w:left w:val="nil"/>
              <w:bottom w:val="nil"/>
              <w:right w:val="nil"/>
            </w:tcBorders>
            <w:shd w:val="clear" w:color="auto" w:fill="auto"/>
            <w:noWrap/>
            <w:vAlign w:val="bottom"/>
            <w:hideMark/>
          </w:tcPr>
          <w:p w14:paraId="0C3AC4EF" w14:textId="77777777" w:rsidR="003B2C9F" w:rsidRPr="003B2C9F" w:rsidRDefault="003B2C9F" w:rsidP="003B2C9F">
            <w:pPr>
              <w:rPr>
                <w:b/>
                <w:bCs/>
                <w:sz w:val="20"/>
                <w:szCs w:val="20"/>
              </w:rPr>
            </w:pPr>
            <w:r w:rsidRPr="003B2C9F">
              <w:rPr>
                <w:b/>
                <w:bCs/>
                <w:sz w:val="20"/>
                <w:szCs w:val="20"/>
              </w:rPr>
              <w:t>64</w:t>
            </w:r>
          </w:p>
        </w:tc>
        <w:tc>
          <w:tcPr>
            <w:tcW w:w="6472" w:type="dxa"/>
            <w:tcBorders>
              <w:top w:val="nil"/>
              <w:left w:val="nil"/>
              <w:bottom w:val="nil"/>
              <w:right w:val="nil"/>
            </w:tcBorders>
            <w:shd w:val="clear" w:color="auto" w:fill="auto"/>
            <w:noWrap/>
            <w:vAlign w:val="bottom"/>
            <w:hideMark/>
          </w:tcPr>
          <w:p w14:paraId="45A1CA5C" w14:textId="77777777" w:rsidR="003B2C9F" w:rsidRPr="003B2C9F" w:rsidRDefault="003B2C9F" w:rsidP="003B2C9F">
            <w:pPr>
              <w:rPr>
                <w:b/>
                <w:bCs/>
                <w:sz w:val="20"/>
                <w:szCs w:val="20"/>
              </w:rPr>
            </w:pPr>
            <w:r w:rsidRPr="003B2C9F">
              <w:rPr>
                <w:b/>
                <w:bCs/>
                <w:sz w:val="20"/>
                <w:szCs w:val="20"/>
              </w:rPr>
              <w:t xml:space="preserve">Prihodi od imovine                                                                                  </w:t>
            </w:r>
          </w:p>
        </w:tc>
        <w:tc>
          <w:tcPr>
            <w:tcW w:w="1559" w:type="dxa"/>
            <w:tcBorders>
              <w:top w:val="nil"/>
              <w:left w:val="nil"/>
              <w:bottom w:val="nil"/>
              <w:right w:val="nil"/>
            </w:tcBorders>
            <w:shd w:val="clear" w:color="auto" w:fill="auto"/>
            <w:noWrap/>
            <w:vAlign w:val="bottom"/>
            <w:hideMark/>
          </w:tcPr>
          <w:p w14:paraId="6ADCF47A" w14:textId="77777777" w:rsidR="003B2C9F" w:rsidRPr="003B2C9F" w:rsidRDefault="003B2C9F" w:rsidP="003B2C9F">
            <w:pPr>
              <w:jc w:val="right"/>
              <w:rPr>
                <w:b/>
                <w:bCs/>
                <w:sz w:val="20"/>
                <w:szCs w:val="20"/>
              </w:rPr>
            </w:pPr>
            <w:r w:rsidRPr="003B2C9F">
              <w:rPr>
                <w:b/>
                <w:bCs/>
                <w:sz w:val="20"/>
                <w:szCs w:val="20"/>
              </w:rPr>
              <w:t>1.472.416,63</w:t>
            </w:r>
          </w:p>
        </w:tc>
        <w:tc>
          <w:tcPr>
            <w:tcW w:w="1503" w:type="dxa"/>
            <w:tcBorders>
              <w:top w:val="nil"/>
              <w:left w:val="nil"/>
              <w:bottom w:val="nil"/>
              <w:right w:val="nil"/>
            </w:tcBorders>
            <w:shd w:val="clear" w:color="auto" w:fill="auto"/>
            <w:noWrap/>
            <w:vAlign w:val="bottom"/>
            <w:hideMark/>
          </w:tcPr>
          <w:p w14:paraId="399BC9FB" w14:textId="77777777" w:rsidR="003B2C9F" w:rsidRPr="003B2C9F" w:rsidRDefault="003B2C9F" w:rsidP="003B2C9F">
            <w:pPr>
              <w:jc w:val="right"/>
              <w:rPr>
                <w:b/>
                <w:bCs/>
                <w:sz w:val="20"/>
                <w:szCs w:val="20"/>
              </w:rPr>
            </w:pPr>
            <w:r w:rsidRPr="003B2C9F">
              <w:rPr>
                <w:b/>
                <w:bCs/>
                <w:sz w:val="20"/>
                <w:szCs w:val="20"/>
              </w:rPr>
              <w:t>1.565.134,00</w:t>
            </w:r>
          </w:p>
        </w:tc>
        <w:tc>
          <w:tcPr>
            <w:tcW w:w="1366" w:type="dxa"/>
            <w:tcBorders>
              <w:top w:val="nil"/>
              <w:left w:val="nil"/>
              <w:bottom w:val="nil"/>
              <w:right w:val="nil"/>
            </w:tcBorders>
            <w:shd w:val="clear" w:color="auto" w:fill="auto"/>
            <w:noWrap/>
            <w:vAlign w:val="bottom"/>
            <w:hideMark/>
          </w:tcPr>
          <w:p w14:paraId="28A07E1F" w14:textId="77777777" w:rsidR="003B2C9F" w:rsidRPr="003B2C9F" w:rsidRDefault="003B2C9F" w:rsidP="003B2C9F">
            <w:pPr>
              <w:jc w:val="right"/>
              <w:rPr>
                <w:b/>
                <w:bCs/>
                <w:sz w:val="20"/>
                <w:szCs w:val="20"/>
              </w:rPr>
            </w:pPr>
            <w:r w:rsidRPr="003B2C9F">
              <w:rPr>
                <w:b/>
                <w:bCs/>
                <w:sz w:val="20"/>
                <w:szCs w:val="20"/>
              </w:rPr>
              <w:t>1.514.223,77</w:t>
            </w:r>
          </w:p>
        </w:tc>
        <w:tc>
          <w:tcPr>
            <w:tcW w:w="1525" w:type="dxa"/>
            <w:tcBorders>
              <w:top w:val="nil"/>
              <w:left w:val="nil"/>
              <w:bottom w:val="nil"/>
              <w:right w:val="nil"/>
            </w:tcBorders>
            <w:shd w:val="clear" w:color="auto" w:fill="auto"/>
            <w:noWrap/>
            <w:vAlign w:val="bottom"/>
            <w:hideMark/>
          </w:tcPr>
          <w:p w14:paraId="3013403B" w14:textId="77777777" w:rsidR="003B2C9F" w:rsidRPr="003B2C9F" w:rsidRDefault="003B2C9F" w:rsidP="003B2C9F">
            <w:pPr>
              <w:jc w:val="right"/>
              <w:rPr>
                <w:b/>
                <w:bCs/>
                <w:sz w:val="20"/>
                <w:szCs w:val="20"/>
              </w:rPr>
            </w:pPr>
            <w:r w:rsidRPr="003B2C9F">
              <w:rPr>
                <w:b/>
                <w:bCs/>
                <w:sz w:val="20"/>
                <w:szCs w:val="20"/>
              </w:rPr>
              <w:t>102,84</w:t>
            </w:r>
          </w:p>
        </w:tc>
        <w:tc>
          <w:tcPr>
            <w:tcW w:w="1000" w:type="dxa"/>
            <w:tcBorders>
              <w:top w:val="nil"/>
              <w:left w:val="nil"/>
              <w:bottom w:val="nil"/>
              <w:right w:val="nil"/>
            </w:tcBorders>
            <w:shd w:val="clear" w:color="auto" w:fill="auto"/>
            <w:noWrap/>
            <w:vAlign w:val="bottom"/>
            <w:hideMark/>
          </w:tcPr>
          <w:p w14:paraId="6D93F085" w14:textId="77777777" w:rsidR="003B2C9F" w:rsidRPr="003B2C9F" w:rsidRDefault="003B2C9F" w:rsidP="003B2C9F">
            <w:pPr>
              <w:jc w:val="right"/>
              <w:rPr>
                <w:b/>
                <w:bCs/>
                <w:sz w:val="20"/>
                <w:szCs w:val="20"/>
              </w:rPr>
            </w:pPr>
            <w:r w:rsidRPr="003B2C9F">
              <w:rPr>
                <w:b/>
                <w:bCs/>
                <w:sz w:val="20"/>
                <w:szCs w:val="20"/>
              </w:rPr>
              <w:t>96,75</w:t>
            </w:r>
          </w:p>
        </w:tc>
      </w:tr>
      <w:tr w:rsidR="003B2C9F" w:rsidRPr="003B2C9F" w14:paraId="0888B71B" w14:textId="77777777" w:rsidTr="003B2C9F">
        <w:trPr>
          <w:trHeight w:val="300"/>
        </w:trPr>
        <w:tc>
          <w:tcPr>
            <w:tcW w:w="616" w:type="dxa"/>
            <w:tcBorders>
              <w:top w:val="nil"/>
              <w:left w:val="nil"/>
              <w:bottom w:val="nil"/>
              <w:right w:val="nil"/>
            </w:tcBorders>
            <w:shd w:val="clear" w:color="auto" w:fill="auto"/>
            <w:noWrap/>
            <w:vAlign w:val="bottom"/>
            <w:hideMark/>
          </w:tcPr>
          <w:p w14:paraId="2A9787EE" w14:textId="77777777" w:rsidR="003B2C9F" w:rsidRPr="003B2C9F" w:rsidRDefault="003B2C9F" w:rsidP="003B2C9F">
            <w:pPr>
              <w:rPr>
                <w:b/>
                <w:bCs/>
                <w:sz w:val="20"/>
                <w:szCs w:val="20"/>
              </w:rPr>
            </w:pPr>
            <w:r w:rsidRPr="003B2C9F">
              <w:rPr>
                <w:b/>
                <w:bCs/>
                <w:sz w:val="20"/>
                <w:szCs w:val="20"/>
              </w:rPr>
              <w:t>641</w:t>
            </w:r>
          </w:p>
        </w:tc>
        <w:tc>
          <w:tcPr>
            <w:tcW w:w="6472" w:type="dxa"/>
            <w:tcBorders>
              <w:top w:val="nil"/>
              <w:left w:val="nil"/>
              <w:bottom w:val="nil"/>
              <w:right w:val="nil"/>
            </w:tcBorders>
            <w:shd w:val="clear" w:color="auto" w:fill="auto"/>
            <w:noWrap/>
            <w:vAlign w:val="bottom"/>
            <w:hideMark/>
          </w:tcPr>
          <w:p w14:paraId="12467FF1" w14:textId="77777777" w:rsidR="003B2C9F" w:rsidRPr="003B2C9F" w:rsidRDefault="003B2C9F" w:rsidP="003B2C9F">
            <w:pPr>
              <w:rPr>
                <w:b/>
                <w:bCs/>
                <w:sz w:val="20"/>
                <w:szCs w:val="20"/>
              </w:rPr>
            </w:pPr>
            <w:r w:rsidRPr="003B2C9F">
              <w:rPr>
                <w:b/>
                <w:bCs/>
                <w:sz w:val="20"/>
                <w:szCs w:val="20"/>
              </w:rPr>
              <w:t xml:space="preserve">Prihodi od financijske imovine                                                                      </w:t>
            </w:r>
          </w:p>
        </w:tc>
        <w:tc>
          <w:tcPr>
            <w:tcW w:w="1559" w:type="dxa"/>
            <w:tcBorders>
              <w:top w:val="nil"/>
              <w:left w:val="nil"/>
              <w:bottom w:val="nil"/>
              <w:right w:val="nil"/>
            </w:tcBorders>
            <w:shd w:val="clear" w:color="auto" w:fill="auto"/>
            <w:noWrap/>
            <w:vAlign w:val="bottom"/>
            <w:hideMark/>
          </w:tcPr>
          <w:p w14:paraId="35A70928" w14:textId="77777777" w:rsidR="003B2C9F" w:rsidRPr="003B2C9F" w:rsidRDefault="003B2C9F" w:rsidP="003B2C9F">
            <w:pPr>
              <w:jc w:val="right"/>
              <w:rPr>
                <w:b/>
                <w:bCs/>
                <w:sz w:val="20"/>
                <w:szCs w:val="20"/>
              </w:rPr>
            </w:pPr>
            <w:r w:rsidRPr="003B2C9F">
              <w:rPr>
                <w:b/>
                <w:bCs/>
                <w:sz w:val="20"/>
                <w:szCs w:val="20"/>
              </w:rPr>
              <w:t>124.482,19</w:t>
            </w:r>
          </w:p>
        </w:tc>
        <w:tc>
          <w:tcPr>
            <w:tcW w:w="1503" w:type="dxa"/>
            <w:tcBorders>
              <w:top w:val="nil"/>
              <w:left w:val="nil"/>
              <w:bottom w:val="nil"/>
              <w:right w:val="nil"/>
            </w:tcBorders>
            <w:shd w:val="clear" w:color="auto" w:fill="auto"/>
            <w:noWrap/>
            <w:vAlign w:val="bottom"/>
            <w:hideMark/>
          </w:tcPr>
          <w:p w14:paraId="64171DBE" w14:textId="77777777" w:rsidR="003B2C9F" w:rsidRPr="003B2C9F" w:rsidRDefault="003B2C9F" w:rsidP="003B2C9F">
            <w:pPr>
              <w:jc w:val="right"/>
              <w:rPr>
                <w:b/>
                <w:bCs/>
                <w:sz w:val="20"/>
                <w:szCs w:val="20"/>
              </w:rPr>
            </w:pPr>
            <w:r w:rsidRPr="003B2C9F">
              <w:rPr>
                <w:b/>
                <w:bCs/>
                <w:sz w:val="20"/>
                <w:szCs w:val="20"/>
              </w:rPr>
              <w:t>126.000,00</w:t>
            </w:r>
          </w:p>
        </w:tc>
        <w:tc>
          <w:tcPr>
            <w:tcW w:w="1366" w:type="dxa"/>
            <w:tcBorders>
              <w:top w:val="nil"/>
              <w:left w:val="nil"/>
              <w:bottom w:val="nil"/>
              <w:right w:val="nil"/>
            </w:tcBorders>
            <w:shd w:val="clear" w:color="auto" w:fill="auto"/>
            <w:noWrap/>
            <w:vAlign w:val="bottom"/>
            <w:hideMark/>
          </w:tcPr>
          <w:p w14:paraId="65DCF689" w14:textId="77777777" w:rsidR="003B2C9F" w:rsidRPr="003B2C9F" w:rsidRDefault="003B2C9F" w:rsidP="003B2C9F">
            <w:pPr>
              <w:jc w:val="right"/>
              <w:rPr>
                <w:b/>
                <w:bCs/>
                <w:sz w:val="20"/>
                <w:szCs w:val="20"/>
              </w:rPr>
            </w:pPr>
            <w:r w:rsidRPr="003B2C9F">
              <w:rPr>
                <w:b/>
                <w:bCs/>
                <w:sz w:val="20"/>
                <w:szCs w:val="20"/>
              </w:rPr>
              <w:t>123.872,77</w:t>
            </w:r>
          </w:p>
        </w:tc>
        <w:tc>
          <w:tcPr>
            <w:tcW w:w="1525" w:type="dxa"/>
            <w:tcBorders>
              <w:top w:val="nil"/>
              <w:left w:val="nil"/>
              <w:bottom w:val="nil"/>
              <w:right w:val="nil"/>
            </w:tcBorders>
            <w:shd w:val="clear" w:color="auto" w:fill="auto"/>
            <w:noWrap/>
            <w:vAlign w:val="bottom"/>
            <w:hideMark/>
          </w:tcPr>
          <w:p w14:paraId="68EAD0EA" w14:textId="77777777" w:rsidR="003B2C9F" w:rsidRPr="003B2C9F" w:rsidRDefault="003B2C9F" w:rsidP="003B2C9F">
            <w:pPr>
              <w:jc w:val="right"/>
              <w:rPr>
                <w:b/>
                <w:bCs/>
                <w:sz w:val="20"/>
                <w:szCs w:val="20"/>
              </w:rPr>
            </w:pPr>
            <w:r w:rsidRPr="003B2C9F">
              <w:rPr>
                <w:b/>
                <w:bCs/>
                <w:sz w:val="20"/>
                <w:szCs w:val="20"/>
              </w:rPr>
              <w:t>99,51</w:t>
            </w:r>
          </w:p>
        </w:tc>
        <w:tc>
          <w:tcPr>
            <w:tcW w:w="1000" w:type="dxa"/>
            <w:tcBorders>
              <w:top w:val="nil"/>
              <w:left w:val="nil"/>
              <w:bottom w:val="nil"/>
              <w:right w:val="nil"/>
            </w:tcBorders>
            <w:shd w:val="clear" w:color="auto" w:fill="auto"/>
            <w:noWrap/>
            <w:vAlign w:val="bottom"/>
            <w:hideMark/>
          </w:tcPr>
          <w:p w14:paraId="135D9779" w14:textId="77777777" w:rsidR="003B2C9F" w:rsidRPr="003B2C9F" w:rsidRDefault="003B2C9F" w:rsidP="003B2C9F">
            <w:pPr>
              <w:jc w:val="right"/>
              <w:rPr>
                <w:b/>
                <w:bCs/>
                <w:sz w:val="20"/>
                <w:szCs w:val="20"/>
              </w:rPr>
            </w:pPr>
            <w:r w:rsidRPr="003B2C9F">
              <w:rPr>
                <w:b/>
                <w:bCs/>
                <w:sz w:val="20"/>
                <w:szCs w:val="20"/>
              </w:rPr>
              <w:t>98,31</w:t>
            </w:r>
          </w:p>
        </w:tc>
      </w:tr>
      <w:tr w:rsidR="003B2C9F" w:rsidRPr="003B2C9F" w14:paraId="718ECC20" w14:textId="77777777" w:rsidTr="003B2C9F">
        <w:trPr>
          <w:trHeight w:val="300"/>
        </w:trPr>
        <w:tc>
          <w:tcPr>
            <w:tcW w:w="616" w:type="dxa"/>
            <w:tcBorders>
              <w:top w:val="nil"/>
              <w:left w:val="nil"/>
              <w:bottom w:val="nil"/>
              <w:right w:val="nil"/>
            </w:tcBorders>
            <w:shd w:val="clear" w:color="auto" w:fill="auto"/>
            <w:noWrap/>
            <w:vAlign w:val="bottom"/>
            <w:hideMark/>
          </w:tcPr>
          <w:p w14:paraId="7FE5387C" w14:textId="77777777" w:rsidR="003B2C9F" w:rsidRPr="003B2C9F" w:rsidRDefault="003B2C9F" w:rsidP="003B2C9F">
            <w:pPr>
              <w:rPr>
                <w:sz w:val="20"/>
                <w:szCs w:val="20"/>
              </w:rPr>
            </w:pPr>
            <w:r w:rsidRPr="003B2C9F">
              <w:rPr>
                <w:sz w:val="20"/>
                <w:szCs w:val="20"/>
              </w:rPr>
              <w:t>6413</w:t>
            </w:r>
          </w:p>
        </w:tc>
        <w:tc>
          <w:tcPr>
            <w:tcW w:w="6472" w:type="dxa"/>
            <w:tcBorders>
              <w:top w:val="nil"/>
              <w:left w:val="nil"/>
              <w:bottom w:val="nil"/>
              <w:right w:val="nil"/>
            </w:tcBorders>
            <w:shd w:val="clear" w:color="auto" w:fill="auto"/>
            <w:vAlign w:val="bottom"/>
            <w:hideMark/>
          </w:tcPr>
          <w:p w14:paraId="17B4D74C" w14:textId="77777777" w:rsidR="003B2C9F" w:rsidRPr="003B2C9F" w:rsidRDefault="003B2C9F" w:rsidP="003B2C9F">
            <w:pPr>
              <w:rPr>
                <w:sz w:val="20"/>
                <w:szCs w:val="20"/>
              </w:rPr>
            </w:pPr>
            <w:r w:rsidRPr="003B2C9F">
              <w:rPr>
                <w:sz w:val="20"/>
                <w:szCs w:val="20"/>
              </w:rPr>
              <w:t xml:space="preserve">Kamate na oročena sredstva i depozite po viđenju                                                    </w:t>
            </w:r>
          </w:p>
        </w:tc>
        <w:tc>
          <w:tcPr>
            <w:tcW w:w="1559" w:type="dxa"/>
            <w:tcBorders>
              <w:top w:val="nil"/>
              <w:left w:val="nil"/>
              <w:bottom w:val="nil"/>
              <w:right w:val="nil"/>
            </w:tcBorders>
            <w:shd w:val="clear" w:color="auto" w:fill="auto"/>
            <w:noWrap/>
            <w:vAlign w:val="bottom"/>
            <w:hideMark/>
          </w:tcPr>
          <w:p w14:paraId="0FB447F8" w14:textId="77777777" w:rsidR="003B2C9F" w:rsidRPr="003B2C9F" w:rsidRDefault="003B2C9F" w:rsidP="003B2C9F">
            <w:pPr>
              <w:jc w:val="right"/>
              <w:rPr>
                <w:sz w:val="20"/>
                <w:szCs w:val="20"/>
              </w:rPr>
            </w:pPr>
            <w:r w:rsidRPr="003B2C9F">
              <w:rPr>
                <w:sz w:val="20"/>
                <w:szCs w:val="20"/>
              </w:rPr>
              <w:t>310,87</w:t>
            </w:r>
          </w:p>
        </w:tc>
        <w:tc>
          <w:tcPr>
            <w:tcW w:w="1503" w:type="dxa"/>
            <w:tcBorders>
              <w:top w:val="nil"/>
              <w:left w:val="nil"/>
              <w:bottom w:val="nil"/>
              <w:right w:val="nil"/>
            </w:tcBorders>
            <w:shd w:val="clear" w:color="auto" w:fill="auto"/>
            <w:noWrap/>
            <w:vAlign w:val="bottom"/>
            <w:hideMark/>
          </w:tcPr>
          <w:p w14:paraId="1239A1E7"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804E639" w14:textId="77777777" w:rsidR="003B2C9F" w:rsidRPr="003B2C9F" w:rsidRDefault="003B2C9F" w:rsidP="003B2C9F">
            <w:pPr>
              <w:jc w:val="right"/>
              <w:rPr>
                <w:sz w:val="20"/>
                <w:szCs w:val="20"/>
              </w:rPr>
            </w:pPr>
            <w:r w:rsidRPr="003B2C9F">
              <w:rPr>
                <w:sz w:val="20"/>
                <w:szCs w:val="20"/>
              </w:rPr>
              <w:t>443,09</w:t>
            </w:r>
          </w:p>
        </w:tc>
        <w:tc>
          <w:tcPr>
            <w:tcW w:w="1525" w:type="dxa"/>
            <w:tcBorders>
              <w:top w:val="nil"/>
              <w:left w:val="nil"/>
              <w:bottom w:val="nil"/>
              <w:right w:val="nil"/>
            </w:tcBorders>
            <w:shd w:val="clear" w:color="auto" w:fill="auto"/>
            <w:noWrap/>
            <w:vAlign w:val="bottom"/>
            <w:hideMark/>
          </w:tcPr>
          <w:p w14:paraId="7F00E13C" w14:textId="77777777" w:rsidR="003B2C9F" w:rsidRPr="003B2C9F" w:rsidRDefault="003B2C9F" w:rsidP="003B2C9F">
            <w:pPr>
              <w:jc w:val="right"/>
              <w:rPr>
                <w:sz w:val="20"/>
                <w:szCs w:val="20"/>
              </w:rPr>
            </w:pPr>
            <w:r w:rsidRPr="003B2C9F">
              <w:rPr>
                <w:sz w:val="20"/>
                <w:szCs w:val="20"/>
              </w:rPr>
              <w:t>142,53</w:t>
            </w:r>
          </w:p>
        </w:tc>
        <w:tc>
          <w:tcPr>
            <w:tcW w:w="1000" w:type="dxa"/>
            <w:tcBorders>
              <w:top w:val="nil"/>
              <w:left w:val="nil"/>
              <w:bottom w:val="nil"/>
              <w:right w:val="nil"/>
            </w:tcBorders>
            <w:shd w:val="clear" w:color="auto" w:fill="auto"/>
            <w:noWrap/>
            <w:vAlign w:val="bottom"/>
            <w:hideMark/>
          </w:tcPr>
          <w:p w14:paraId="5FCDB467" w14:textId="77777777" w:rsidR="003B2C9F" w:rsidRPr="003B2C9F" w:rsidRDefault="003B2C9F" w:rsidP="003B2C9F">
            <w:pPr>
              <w:jc w:val="right"/>
              <w:rPr>
                <w:sz w:val="20"/>
                <w:szCs w:val="20"/>
              </w:rPr>
            </w:pPr>
          </w:p>
        </w:tc>
      </w:tr>
      <w:tr w:rsidR="003B2C9F" w:rsidRPr="003B2C9F" w14:paraId="2092C019" w14:textId="77777777" w:rsidTr="003B2C9F">
        <w:trPr>
          <w:trHeight w:val="300"/>
        </w:trPr>
        <w:tc>
          <w:tcPr>
            <w:tcW w:w="616" w:type="dxa"/>
            <w:tcBorders>
              <w:top w:val="nil"/>
              <w:left w:val="nil"/>
              <w:bottom w:val="nil"/>
              <w:right w:val="nil"/>
            </w:tcBorders>
            <w:shd w:val="clear" w:color="auto" w:fill="auto"/>
            <w:noWrap/>
            <w:vAlign w:val="bottom"/>
            <w:hideMark/>
          </w:tcPr>
          <w:p w14:paraId="0E39D95F" w14:textId="77777777" w:rsidR="003B2C9F" w:rsidRPr="003B2C9F" w:rsidRDefault="003B2C9F" w:rsidP="003B2C9F">
            <w:pPr>
              <w:rPr>
                <w:sz w:val="20"/>
                <w:szCs w:val="20"/>
              </w:rPr>
            </w:pPr>
            <w:r w:rsidRPr="003B2C9F">
              <w:rPr>
                <w:sz w:val="20"/>
                <w:szCs w:val="20"/>
              </w:rPr>
              <w:t>6414</w:t>
            </w:r>
          </w:p>
        </w:tc>
        <w:tc>
          <w:tcPr>
            <w:tcW w:w="6472" w:type="dxa"/>
            <w:tcBorders>
              <w:top w:val="nil"/>
              <w:left w:val="nil"/>
              <w:bottom w:val="nil"/>
              <w:right w:val="nil"/>
            </w:tcBorders>
            <w:shd w:val="clear" w:color="auto" w:fill="auto"/>
            <w:vAlign w:val="bottom"/>
            <w:hideMark/>
          </w:tcPr>
          <w:p w14:paraId="5C54BACC" w14:textId="77777777" w:rsidR="003B2C9F" w:rsidRPr="003B2C9F" w:rsidRDefault="003B2C9F" w:rsidP="003B2C9F">
            <w:pPr>
              <w:rPr>
                <w:sz w:val="20"/>
                <w:szCs w:val="20"/>
              </w:rPr>
            </w:pPr>
            <w:r w:rsidRPr="003B2C9F">
              <w:rPr>
                <w:sz w:val="20"/>
                <w:szCs w:val="20"/>
              </w:rPr>
              <w:t xml:space="preserve">Prihodi od zateznih kamata                                                                          </w:t>
            </w:r>
          </w:p>
        </w:tc>
        <w:tc>
          <w:tcPr>
            <w:tcW w:w="1559" w:type="dxa"/>
            <w:tcBorders>
              <w:top w:val="nil"/>
              <w:left w:val="nil"/>
              <w:bottom w:val="nil"/>
              <w:right w:val="nil"/>
            </w:tcBorders>
            <w:shd w:val="clear" w:color="auto" w:fill="auto"/>
            <w:noWrap/>
            <w:vAlign w:val="bottom"/>
            <w:hideMark/>
          </w:tcPr>
          <w:p w14:paraId="398F012C" w14:textId="77777777" w:rsidR="003B2C9F" w:rsidRPr="003B2C9F" w:rsidRDefault="003B2C9F" w:rsidP="003B2C9F">
            <w:pPr>
              <w:jc w:val="right"/>
              <w:rPr>
                <w:sz w:val="20"/>
                <w:szCs w:val="20"/>
              </w:rPr>
            </w:pPr>
            <w:r w:rsidRPr="003B2C9F">
              <w:rPr>
                <w:sz w:val="20"/>
                <w:szCs w:val="20"/>
              </w:rPr>
              <w:t>120.441,22</w:t>
            </w:r>
          </w:p>
        </w:tc>
        <w:tc>
          <w:tcPr>
            <w:tcW w:w="1503" w:type="dxa"/>
            <w:tcBorders>
              <w:top w:val="nil"/>
              <w:left w:val="nil"/>
              <w:bottom w:val="nil"/>
              <w:right w:val="nil"/>
            </w:tcBorders>
            <w:shd w:val="clear" w:color="auto" w:fill="auto"/>
            <w:noWrap/>
            <w:vAlign w:val="bottom"/>
            <w:hideMark/>
          </w:tcPr>
          <w:p w14:paraId="3E2CBF63"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55B720F7" w14:textId="77777777" w:rsidR="003B2C9F" w:rsidRPr="003B2C9F" w:rsidRDefault="003B2C9F" w:rsidP="003B2C9F">
            <w:pPr>
              <w:jc w:val="right"/>
              <w:rPr>
                <w:sz w:val="20"/>
                <w:szCs w:val="20"/>
              </w:rPr>
            </w:pPr>
            <w:r w:rsidRPr="003B2C9F">
              <w:rPr>
                <w:sz w:val="20"/>
                <w:szCs w:val="20"/>
              </w:rPr>
              <w:t>123.429,68</w:t>
            </w:r>
          </w:p>
        </w:tc>
        <w:tc>
          <w:tcPr>
            <w:tcW w:w="1525" w:type="dxa"/>
            <w:tcBorders>
              <w:top w:val="nil"/>
              <w:left w:val="nil"/>
              <w:bottom w:val="nil"/>
              <w:right w:val="nil"/>
            </w:tcBorders>
            <w:shd w:val="clear" w:color="auto" w:fill="auto"/>
            <w:noWrap/>
            <w:vAlign w:val="bottom"/>
            <w:hideMark/>
          </w:tcPr>
          <w:p w14:paraId="6D788210" w14:textId="77777777" w:rsidR="003B2C9F" w:rsidRPr="003B2C9F" w:rsidRDefault="003B2C9F" w:rsidP="003B2C9F">
            <w:pPr>
              <w:jc w:val="right"/>
              <w:rPr>
                <w:sz w:val="20"/>
                <w:szCs w:val="20"/>
              </w:rPr>
            </w:pPr>
            <w:r w:rsidRPr="003B2C9F">
              <w:rPr>
                <w:sz w:val="20"/>
                <w:szCs w:val="20"/>
              </w:rPr>
              <w:t>102,48</w:t>
            </w:r>
          </w:p>
        </w:tc>
        <w:tc>
          <w:tcPr>
            <w:tcW w:w="1000" w:type="dxa"/>
            <w:tcBorders>
              <w:top w:val="nil"/>
              <w:left w:val="nil"/>
              <w:bottom w:val="nil"/>
              <w:right w:val="nil"/>
            </w:tcBorders>
            <w:shd w:val="clear" w:color="auto" w:fill="auto"/>
            <w:noWrap/>
            <w:vAlign w:val="bottom"/>
            <w:hideMark/>
          </w:tcPr>
          <w:p w14:paraId="432293F4" w14:textId="77777777" w:rsidR="003B2C9F" w:rsidRPr="003B2C9F" w:rsidRDefault="003B2C9F" w:rsidP="003B2C9F">
            <w:pPr>
              <w:jc w:val="right"/>
              <w:rPr>
                <w:sz w:val="20"/>
                <w:szCs w:val="20"/>
              </w:rPr>
            </w:pPr>
          </w:p>
        </w:tc>
      </w:tr>
      <w:tr w:rsidR="003B2C9F" w:rsidRPr="003B2C9F" w14:paraId="6FB309AE" w14:textId="77777777" w:rsidTr="00953AE7">
        <w:trPr>
          <w:trHeight w:val="359"/>
        </w:trPr>
        <w:tc>
          <w:tcPr>
            <w:tcW w:w="616" w:type="dxa"/>
            <w:tcBorders>
              <w:top w:val="nil"/>
              <w:left w:val="nil"/>
              <w:bottom w:val="nil"/>
              <w:right w:val="nil"/>
            </w:tcBorders>
            <w:shd w:val="clear" w:color="auto" w:fill="auto"/>
            <w:noWrap/>
            <w:vAlign w:val="bottom"/>
            <w:hideMark/>
          </w:tcPr>
          <w:p w14:paraId="38E04B5C" w14:textId="77777777" w:rsidR="003B2C9F" w:rsidRPr="003B2C9F" w:rsidRDefault="003B2C9F" w:rsidP="003B2C9F">
            <w:pPr>
              <w:rPr>
                <w:sz w:val="20"/>
                <w:szCs w:val="20"/>
              </w:rPr>
            </w:pPr>
            <w:r w:rsidRPr="003B2C9F">
              <w:rPr>
                <w:sz w:val="20"/>
                <w:szCs w:val="20"/>
              </w:rPr>
              <w:t>6415</w:t>
            </w:r>
          </w:p>
        </w:tc>
        <w:tc>
          <w:tcPr>
            <w:tcW w:w="6472" w:type="dxa"/>
            <w:tcBorders>
              <w:top w:val="nil"/>
              <w:left w:val="nil"/>
              <w:bottom w:val="nil"/>
              <w:right w:val="nil"/>
            </w:tcBorders>
            <w:shd w:val="clear" w:color="auto" w:fill="auto"/>
            <w:vAlign w:val="bottom"/>
            <w:hideMark/>
          </w:tcPr>
          <w:p w14:paraId="0FB7DED1" w14:textId="77777777" w:rsidR="003B2C9F" w:rsidRPr="003B2C9F" w:rsidRDefault="003B2C9F" w:rsidP="003B2C9F">
            <w:pPr>
              <w:rPr>
                <w:sz w:val="20"/>
                <w:szCs w:val="20"/>
              </w:rPr>
            </w:pPr>
            <w:r w:rsidRPr="003B2C9F">
              <w:rPr>
                <w:sz w:val="20"/>
                <w:szCs w:val="20"/>
              </w:rPr>
              <w:t xml:space="preserve">Prihodi od pozitivnih tečajnih razlika i razlika zbog primjene valutne klauzule                     </w:t>
            </w:r>
          </w:p>
        </w:tc>
        <w:tc>
          <w:tcPr>
            <w:tcW w:w="1559" w:type="dxa"/>
            <w:tcBorders>
              <w:top w:val="nil"/>
              <w:left w:val="nil"/>
              <w:bottom w:val="nil"/>
              <w:right w:val="nil"/>
            </w:tcBorders>
            <w:shd w:val="clear" w:color="auto" w:fill="auto"/>
            <w:noWrap/>
            <w:vAlign w:val="bottom"/>
            <w:hideMark/>
          </w:tcPr>
          <w:p w14:paraId="1BEBBBF7" w14:textId="77777777" w:rsidR="003B2C9F" w:rsidRPr="003B2C9F" w:rsidRDefault="003B2C9F" w:rsidP="003B2C9F">
            <w:pPr>
              <w:jc w:val="right"/>
              <w:rPr>
                <w:sz w:val="20"/>
                <w:szCs w:val="20"/>
              </w:rPr>
            </w:pPr>
            <w:r w:rsidRPr="003B2C9F">
              <w:rPr>
                <w:sz w:val="20"/>
                <w:szCs w:val="20"/>
              </w:rPr>
              <w:t>0,00</w:t>
            </w:r>
          </w:p>
        </w:tc>
        <w:tc>
          <w:tcPr>
            <w:tcW w:w="1503" w:type="dxa"/>
            <w:tcBorders>
              <w:top w:val="nil"/>
              <w:left w:val="nil"/>
              <w:bottom w:val="nil"/>
              <w:right w:val="nil"/>
            </w:tcBorders>
            <w:shd w:val="clear" w:color="auto" w:fill="auto"/>
            <w:noWrap/>
            <w:vAlign w:val="bottom"/>
            <w:hideMark/>
          </w:tcPr>
          <w:p w14:paraId="3D96A382"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570B9595" w14:textId="77777777" w:rsidR="003B2C9F" w:rsidRPr="003B2C9F" w:rsidRDefault="003B2C9F" w:rsidP="003B2C9F">
            <w:pPr>
              <w:jc w:val="right"/>
              <w:rPr>
                <w:sz w:val="20"/>
                <w:szCs w:val="20"/>
              </w:rPr>
            </w:pPr>
            <w:r w:rsidRPr="003B2C9F">
              <w:rPr>
                <w:sz w:val="20"/>
                <w:szCs w:val="20"/>
              </w:rPr>
              <w:t>0,00</w:t>
            </w:r>
          </w:p>
        </w:tc>
        <w:tc>
          <w:tcPr>
            <w:tcW w:w="1525" w:type="dxa"/>
            <w:tcBorders>
              <w:top w:val="nil"/>
              <w:left w:val="nil"/>
              <w:bottom w:val="nil"/>
              <w:right w:val="nil"/>
            </w:tcBorders>
            <w:shd w:val="clear" w:color="auto" w:fill="auto"/>
            <w:noWrap/>
            <w:vAlign w:val="bottom"/>
            <w:hideMark/>
          </w:tcPr>
          <w:p w14:paraId="7276496C" w14:textId="77777777" w:rsidR="003B2C9F" w:rsidRPr="003B2C9F" w:rsidRDefault="003B2C9F" w:rsidP="003B2C9F">
            <w:pPr>
              <w:jc w:val="right"/>
              <w:rPr>
                <w:sz w:val="20"/>
                <w:szCs w:val="20"/>
              </w:rPr>
            </w:pPr>
            <w:r w:rsidRPr="003B2C9F">
              <w:rPr>
                <w:sz w:val="20"/>
                <w:szCs w:val="20"/>
              </w:rPr>
              <w:t>0,00</w:t>
            </w:r>
          </w:p>
        </w:tc>
        <w:tc>
          <w:tcPr>
            <w:tcW w:w="1000" w:type="dxa"/>
            <w:tcBorders>
              <w:top w:val="nil"/>
              <w:left w:val="nil"/>
              <w:bottom w:val="nil"/>
              <w:right w:val="nil"/>
            </w:tcBorders>
            <w:shd w:val="clear" w:color="auto" w:fill="auto"/>
            <w:noWrap/>
            <w:vAlign w:val="bottom"/>
            <w:hideMark/>
          </w:tcPr>
          <w:p w14:paraId="3EEB9B56" w14:textId="77777777" w:rsidR="003B2C9F" w:rsidRPr="003B2C9F" w:rsidRDefault="003B2C9F" w:rsidP="003B2C9F">
            <w:pPr>
              <w:jc w:val="right"/>
              <w:rPr>
                <w:sz w:val="20"/>
                <w:szCs w:val="20"/>
              </w:rPr>
            </w:pPr>
          </w:p>
        </w:tc>
      </w:tr>
      <w:tr w:rsidR="003B2C9F" w:rsidRPr="003B2C9F" w14:paraId="6BFD2C9C" w14:textId="77777777" w:rsidTr="003B2C9F">
        <w:trPr>
          <w:trHeight w:val="525"/>
        </w:trPr>
        <w:tc>
          <w:tcPr>
            <w:tcW w:w="616" w:type="dxa"/>
            <w:tcBorders>
              <w:top w:val="nil"/>
              <w:left w:val="nil"/>
              <w:bottom w:val="nil"/>
              <w:right w:val="nil"/>
            </w:tcBorders>
            <w:shd w:val="clear" w:color="auto" w:fill="auto"/>
            <w:noWrap/>
            <w:vAlign w:val="bottom"/>
            <w:hideMark/>
          </w:tcPr>
          <w:p w14:paraId="42875770" w14:textId="77777777" w:rsidR="003B2C9F" w:rsidRPr="003B2C9F" w:rsidRDefault="003B2C9F" w:rsidP="003B2C9F">
            <w:pPr>
              <w:rPr>
                <w:sz w:val="20"/>
                <w:szCs w:val="20"/>
              </w:rPr>
            </w:pPr>
            <w:r w:rsidRPr="003B2C9F">
              <w:rPr>
                <w:sz w:val="20"/>
                <w:szCs w:val="20"/>
              </w:rPr>
              <w:t>6417</w:t>
            </w:r>
          </w:p>
        </w:tc>
        <w:tc>
          <w:tcPr>
            <w:tcW w:w="6472" w:type="dxa"/>
            <w:tcBorders>
              <w:top w:val="nil"/>
              <w:left w:val="nil"/>
              <w:bottom w:val="nil"/>
              <w:right w:val="nil"/>
            </w:tcBorders>
            <w:shd w:val="clear" w:color="auto" w:fill="auto"/>
            <w:vAlign w:val="bottom"/>
            <w:hideMark/>
          </w:tcPr>
          <w:p w14:paraId="5D324E02" w14:textId="3B21F089" w:rsidR="003B2C9F" w:rsidRPr="003B2C9F" w:rsidRDefault="003B2C9F" w:rsidP="003B2C9F">
            <w:pPr>
              <w:rPr>
                <w:sz w:val="20"/>
                <w:szCs w:val="20"/>
              </w:rPr>
            </w:pPr>
            <w:r w:rsidRPr="003B2C9F">
              <w:rPr>
                <w:sz w:val="20"/>
                <w:szCs w:val="20"/>
              </w:rPr>
              <w:t>Prihodi iz dobiti trgovačkih društava, kreditnih i ostalih financijskih institucija po posebnim prop</w:t>
            </w:r>
            <w:r w:rsidR="00C462A3">
              <w:rPr>
                <w:sz w:val="20"/>
                <w:szCs w:val="20"/>
              </w:rPr>
              <w:t>isima</w:t>
            </w:r>
          </w:p>
        </w:tc>
        <w:tc>
          <w:tcPr>
            <w:tcW w:w="1559" w:type="dxa"/>
            <w:tcBorders>
              <w:top w:val="nil"/>
              <w:left w:val="nil"/>
              <w:bottom w:val="nil"/>
              <w:right w:val="nil"/>
            </w:tcBorders>
            <w:shd w:val="clear" w:color="auto" w:fill="auto"/>
            <w:noWrap/>
            <w:vAlign w:val="bottom"/>
            <w:hideMark/>
          </w:tcPr>
          <w:p w14:paraId="6DE79943" w14:textId="77777777" w:rsidR="003B2C9F" w:rsidRPr="003B2C9F" w:rsidRDefault="003B2C9F" w:rsidP="003B2C9F">
            <w:pPr>
              <w:jc w:val="right"/>
              <w:rPr>
                <w:sz w:val="20"/>
                <w:szCs w:val="20"/>
              </w:rPr>
            </w:pPr>
            <w:r w:rsidRPr="003B2C9F">
              <w:rPr>
                <w:sz w:val="20"/>
                <w:szCs w:val="20"/>
              </w:rPr>
              <w:t>3.730,10</w:t>
            </w:r>
          </w:p>
        </w:tc>
        <w:tc>
          <w:tcPr>
            <w:tcW w:w="1503" w:type="dxa"/>
            <w:tcBorders>
              <w:top w:val="nil"/>
              <w:left w:val="nil"/>
              <w:bottom w:val="nil"/>
              <w:right w:val="nil"/>
            </w:tcBorders>
            <w:shd w:val="clear" w:color="auto" w:fill="auto"/>
            <w:noWrap/>
            <w:vAlign w:val="bottom"/>
            <w:hideMark/>
          </w:tcPr>
          <w:p w14:paraId="68EF86D0"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813D3EC" w14:textId="77777777" w:rsidR="003B2C9F" w:rsidRPr="003B2C9F" w:rsidRDefault="003B2C9F" w:rsidP="003B2C9F">
            <w:pPr>
              <w:jc w:val="right"/>
              <w:rPr>
                <w:sz w:val="20"/>
                <w:szCs w:val="20"/>
              </w:rPr>
            </w:pPr>
            <w:r w:rsidRPr="003B2C9F">
              <w:rPr>
                <w:sz w:val="20"/>
                <w:szCs w:val="20"/>
              </w:rPr>
              <w:t>0,00</w:t>
            </w:r>
          </w:p>
        </w:tc>
        <w:tc>
          <w:tcPr>
            <w:tcW w:w="1525" w:type="dxa"/>
            <w:tcBorders>
              <w:top w:val="nil"/>
              <w:left w:val="nil"/>
              <w:bottom w:val="nil"/>
              <w:right w:val="nil"/>
            </w:tcBorders>
            <w:shd w:val="clear" w:color="auto" w:fill="auto"/>
            <w:noWrap/>
            <w:vAlign w:val="bottom"/>
            <w:hideMark/>
          </w:tcPr>
          <w:p w14:paraId="3BB5CFF7" w14:textId="77777777" w:rsidR="003B2C9F" w:rsidRPr="003B2C9F" w:rsidRDefault="003B2C9F" w:rsidP="003B2C9F">
            <w:pPr>
              <w:jc w:val="right"/>
              <w:rPr>
                <w:sz w:val="20"/>
                <w:szCs w:val="20"/>
              </w:rPr>
            </w:pPr>
            <w:r w:rsidRPr="003B2C9F">
              <w:rPr>
                <w:sz w:val="20"/>
                <w:szCs w:val="20"/>
              </w:rPr>
              <w:t>0,00</w:t>
            </w:r>
          </w:p>
        </w:tc>
        <w:tc>
          <w:tcPr>
            <w:tcW w:w="1000" w:type="dxa"/>
            <w:tcBorders>
              <w:top w:val="nil"/>
              <w:left w:val="nil"/>
              <w:bottom w:val="nil"/>
              <w:right w:val="nil"/>
            </w:tcBorders>
            <w:shd w:val="clear" w:color="auto" w:fill="auto"/>
            <w:noWrap/>
            <w:vAlign w:val="bottom"/>
            <w:hideMark/>
          </w:tcPr>
          <w:p w14:paraId="48F7F84B" w14:textId="77777777" w:rsidR="003B2C9F" w:rsidRPr="003B2C9F" w:rsidRDefault="003B2C9F" w:rsidP="003B2C9F">
            <w:pPr>
              <w:jc w:val="right"/>
              <w:rPr>
                <w:sz w:val="20"/>
                <w:szCs w:val="20"/>
              </w:rPr>
            </w:pPr>
          </w:p>
        </w:tc>
      </w:tr>
      <w:tr w:rsidR="003B2C9F" w:rsidRPr="003B2C9F" w14:paraId="57C11216" w14:textId="77777777" w:rsidTr="003B2C9F">
        <w:trPr>
          <w:trHeight w:val="300"/>
        </w:trPr>
        <w:tc>
          <w:tcPr>
            <w:tcW w:w="616" w:type="dxa"/>
            <w:tcBorders>
              <w:top w:val="nil"/>
              <w:left w:val="nil"/>
              <w:bottom w:val="nil"/>
              <w:right w:val="nil"/>
            </w:tcBorders>
            <w:shd w:val="clear" w:color="auto" w:fill="auto"/>
            <w:noWrap/>
            <w:vAlign w:val="bottom"/>
            <w:hideMark/>
          </w:tcPr>
          <w:p w14:paraId="6AA554EE" w14:textId="77777777" w:rsidR="003B2C9F" w:rsidRPr="003B2C9F" w:rsidRDefault="003B2C9F" w:rsidP="003B2C9F">
            <w:pPr>
              <w:rPr>
                <w:b/>
                <w:bCs/>
                <w:sz w:val="20"/>
                <w:szCs w:val="20"/>
              </w:rPr>
            </w:pPr>
            <w:r w:rsidRPr="003B2C9F">
              <w:rPr>
                <w:b/>
                <w:bCs/>
                <w:sz w:val="20"/>
                <w:szCs w:val="20"/>
              </w:rPr>
              <w:t>642</w:t>
            </w:r>
          </w:p>
        </w:tc>
        <w:tc>
          <w:tcPr>
            <w:tcW w:w="6472" w:type="dxa"/>
            <w:tcBorders>
              <w:top w:val="nil"/>
              <w:left w:val="nil"/>
              <w:bottom w:val="nil"/>
              <w:right w:val="nil"/>
            </w:tcBorders>
            <w:shd w:val="clear" w:color="auto" w:fill="auto"/>
            <w:noWrap/>
            <w:vAlign w:val="bottom"/>
            <w:hideMark/>
          </w:tcPr>
          <w:p w14:paraId="63B81CD4" w14:textId="77777777" w:rsidR="003B2C9F" w:rsidRPr="003B2C9F" w:rsidRDefault="003B2C9F" w:rsidP="003B2C9F">
            <w:pPr>
              <w:rPr>
                <w:b/>
                <w:bCs/>
                <w:sz w:val="20"/>
                <w:szCs w:val="20"/>
              </w:rPr>
            </w:pPr>
            <w:r w:rsidRPr="003B2C9F">
              <w:rPr>
                <w:b/>
                <w:bCs/>
                <w:sz w:val="20"/>
                <w:szCs w:val="20"/>
              </w:rPr>
              <w:t xml:space="preserve">Prihodi od nefinancijske imovine                                                                    </w:t>
            </w:r>
          </w:p>
        </w:tc>
        <w:tc>
          <w:tcPr>
            <w:tcW w:w="1559" w:type="dxa"/>
            <w:tcBorders>
              <w:top w:val="nil"/>
              <w:left w:val="nil"/>
              <w:bottom w:val="nil"/>
              <w:right w:val="nil"/>
            </w:tcBorders>
            <w:shd w:val="clear" w:color="auto" w:fill="auto"/>
            <w:noWrap/>
            <w:vAlign w:val="bottom"/>
            <w:hideMark/>
          </w:tcPr>
          <w:p w14:paraId="2936E036" w14:textId="77777777" w:rsidR="003B2C9F" w:rsidRPr="003B2C9F" w:rsidRDefault="003B2C9F" w:rsidP="003B2C9F">
            <w:pPr>
              <w:jc w:val="right"/>
              <w:rPr>
                <w:b/>
                <w:bCs/>
                <w:sz w:val="20"/>
                <w:szCs w:val="20"/>
              </w:rPr>
            </w:pPr>
            <w:r w:rsidRPr="003B2C9F">
              <w:rPr>
                <w:b/>
                <w:bCs/>
                <w:sz w:val="20"/>
                <w:szCs w:val="20"/>
              </w:rPr>
              <w:t>1.322.517,59</w:t>
            </w:r>
          </w:p>
        </w:tc>
        <w:tc>
          <w:tcPr>
            <w:tcW w:w="1503" w:type="dxa"/>
            <w:tcBorders>
              <w:top w:val="nil"/>
              <w:left w:val="nil"/>
              <w:bottom w:val="nil"/>
              <w:right w:val="nil"/>
            </w:tcBorders>
            <w:shd w:val="clear" w:color="auto" w:fill="auto"/>
            <w:noWrap/>
            <w:vAlign w:val="bottom"/>
            <w:hideMark/>
          </w:tcPr>
          <w:p w14:paraId="39444060" w14:textId="77777777" w:rsidR="003B2C9F" w:rsidRPr="003B2C9F" w:rsidRDefault="003B2C9F" w:rsidP="003B2C9F">
            <w:pPr>
              <w:jc w:val="right"/>
              <w:rPr>
                <w:b/>
                <w:bCs/>
                <w:sz w:val="20"/>
                <w:szCs w:val="20"/>
              </w:rPr>
            </w:pPr>
            <w:r w:rsidRPr="003B2C9F">
              <w:rPr>
                <w:b/>
                <w:bCs/>
                <w:sz w:val="20"/>
                <w:szCs w:val="20"/>
              </w:rPr>
              <w:t>1.401.634,00</w:t>
            </w:r>
          </w:p>
        </w:tc>
        <w:tc>
          <w:tcPr>
            <w:tcW w:w="1366" w:type="dxa"/>
            <w:tcBorders>
              <w:top w:val="nil"/>
              <w:left w:val="nil"/>
              <w:bottom w:val="nil"/>
              <w:right w:val="nil"/>
            </w:tcBorders>
            <w:shd w:val="clear" w:color="auto" w:fill="auto"/>
            <w:noWrap/>
            <w:vAlign w:val="bottom"/>
            <w:hideMark/>
          </w:tcPr>
          <w:p w14:paraId="0A6664AA" w14:textId="77777777" w:rsidR="003B2C9F" w:rsidRPr="003B2C9F" w:rsidRDefault="003B2C9F" w:rsidP="003B2C9F">
            <w:pPr>
              <w:jc w:val="right"/>
              <w:rPr>
                <w:b/>
                <w:bCs/>
                <w:sz w:val="20"/>
                <w:szCs w:val="20"/>
              </w:rPr>
            </w:pPr>
            <w:r w:rsidRPr="003B2C9F">
              <w:rPr>
                <w:b/>
                <w:bCs/>
                <w:sz w:val="20"/>
                <w:szCs w:val="20"/>
              </w:rPr>
              <w:t>1.356.277,45</w:t>
            </w:r>
          </w:p>
        </w:tc>
        <w:tc>
          <w:tcPr>
            <w:tcW w:w="1525" w:type="dxa"/>
            <w:tcBorders>
              <w:top w:val="nil"/>
              <w:left w:val="nil"/>
              <w:bottom w:val="nil"/>
              <w:right w:val="nil"/>
            </w:tcBorders>
            <w:shd w:val="clear" w:color="auto" w:fill="auto"/>
            <w:noWrap/>
            <w:vAlign w:val="bottom"/>
            <w:hideMark/>
          </w:tcPr>
          <w:p w14:paraId="153093AB" w14:textId="77777777" w:rsidR="003B2C9F" w:rsidRPr="003B2C9F" w:rsidRDefault="003B2C9F" w:rsidP="003B2C9F">
            <w:pPr>
              <w:jc w:val="right"/>
              <w:rPr>
                <w:b/>
                <w:bCs/>
                <w:sz w:val="20"/>
                <w:szCs w:val="20"/>
              </w:rPr>
            </w:pPr>
            <w:r w:rsidRPr="003B2C9F">
              <w:rPr>
                <w:b/>
                <w:bCs/>
                <w:sz w:val="20"/>
                <w:szCs w:val="20"/>
              </w:rPr>
              <w:t>102,55</w:t>
            </w:r>
          </w:p>
        </w:tc>
        <w:tc>
          <w:tcPr>
            <w:tcW w:w="1000" w:type="dxa"/>
            <w:tcBorders>
              <w:top w:val="nil"/>
              <w:left w:val="nil"/>
              <w:bottom w:val="nil"/>
              <w:right w:val="nil"/>
            </w:tcBorders>
            <w:shd w:val="clear" w:color="auto" w:fill="auto"/>
            <w:noWrap/>
            <w:vAlign w:val="bottom"/>
            <w:hideMark/>
          </w:tcPr>
          <w:p w14:paraId="039DCCA9" w14:textId="77777777" w:rsidR="003B2C9F" w:rsidRPr="003B2C9F" w:rsidRDefault="003B2C9F" w:rsidP="003B2C9F">
            <w:pPr>
              <w:jc w:val="right"/>
              <w:rPr>
                <w:b/>
                <w:bCs/>
                <w:sz w:val="20"/>
                <w:szCs w:val="20"/>
              </w:rPr>
            </w:pPr>
            <w:r w:rsidRPr="003B2C9F">
              <w:rPr>
                <w:b/>
                <w:bCs/>
                <w:sz w:val="20"/>
                <w:szCs w:val="20"/>
              </w:rPr>
              <w:t>96,76</w:t>
            </w:r>
          </w:p>
        </w:tc>
      </w:tr>
      <w:tr w:rsidR="003B2C9F" w:rsidRPr="003B2C9F" w14:paraId="632BC7F4" w14:textId="77777777" w:rsidTr="003B2C9F">
        <w:trPr>
          <w:trHeight w:val="300"/>
        </w:trPr>
        <w:tc>
          <w:tcPr>
            <w:tcW w:w="616" w:type="dxa"/>
            <w:tcBorders>
              <w:top w:val="nil"/>
              <w:left w:val="nil"/>
              <w:bottom w:val="nil"/>
              <w:right w:val="nil"/>
            </w:tcBorders>
            <w:shd w:val="clear" w:color="auto" w:fill="auto"/>
            <w:noWrap/>
            <w:vAlign w:val="bottom"/>
            <w:hideMark/>
          </w:tcPr>
          <w:p w14:paraId="24DFB3A8" w14:textId="77777777" w:rsidR="003B2C9F" w:rsidRPr="003B2C9F" w:rsidRDefault="003B2C9F" w:rsidP="003B2C9F">
            <w:pPr>
              <w:rPr>
                <w:sz w:val="20"/>
                <w:szCs w:val="20"/>
              </w:rPr>
            </w:pPr>
            <w:r w:rsidRPr="003B2C9F">
              <w:rPr>
                <w:sz w:val="20"/>
                <w:szCs w:val="20"/>
              </w:rPr>
              <w:t>6421</w:t>
            </w:r>
          </w:p>
        </w:tc>
        <w:tc>
          <w:tcPr>
            <w:tcW w:w="6472" w:type="dxa"/>
            <w:tcBorders>
              <w:top w:val="nil"/>
              <w:left w:val="nil"/>
              <w:bottom w:val="nil"/>
              <w:right w:val="nil"/>
            </w:tcBorders>
            <w:shd w:val="clear" w:color="auto" w:fill="auto"/>
            <w:vAlign w:val="bottom"/>
            <w:hideMark/>
          </w:tcPr>
          <w:p w14:paraId="34FBE975" w14:textId="77777777" w:rsidR="003B2C9F" w:rsidRPr="003B2C9F" w:rsidRDefault="003B2C9F" w:rsidP="003B2C9F">
            <w:pPr>
              <w:rPr>
                <w:sz w:val="20"/>
                <w:szCs w:val="20"/>
              </w:rPr>
            </w:pPr>
            <w:r w:rsidRPr="003B2C9F">
              <w:rPr>
                <w:sz w:val="20"/>
                <w:szCs w:val="20"/>
              </w:rPr>
              <w:t xml:space="preserve">Naknade za koncesije                                                                                </w:t>
            </w:r>
          </w:p>
        </w:tc>
        <w:tc>
          <w:tcPr>
            <w:tcW w:w="1559" w:type="dxa"/>
            <w:tcBorders>
              <w:top w:val="nil"/>
              <w:left w:val="nil"/>
              <w:bottom w:val="nil"/>
              <w:right w:val="nil"/>
            </w:tcBorders>
            <w:shd w:val="clear" w:color="auto" w:fill="auto"/>
            <w:noWrap/>
            <w:vAlign w:val="bottom"/>
            <w:hideMark/>
          </w:tcPr>
          <w:p w14:paraId="3F37F489" w14:textId="77777777" w:rsidR="003B2C9F" w:rsidRPr="003B2C9F" w:rsidRDefault="003B2C9F" w:rsidP="003B2C9F">
            <w:pPr>
              <w:jc w:val="right"/>
              <w:rPr>
                <w:sz w:val="20"/>
                <w:szCs w:val="20"/>
              </w:rPr>
            </w:pPr>
            <w:r w:rsidRPr="003B2C9F">
              <w:rPr>
                <w:sz w:val="20"/>
                <w:szCs w:val="20"/>
              </w:rPr>
              <w:t>142.095,40</w:t>
            </w:r>
          </w:p>
        </w:tc>
        <w:tc>
          <w:tcPr>
            <w:tcW w:w="1503" w:type="dxa"/>
            <w:tcBorders>
              <w:top w:val="nil"/>
              <w:left w:val="nil"/>
              <w:bottom w:val="nil"/>
              <w:right w:val="nil"/>
            </w:tcBorders>
            <w:shd w:val="clear" w:color="auto" w:fill="auto"/>
            <w:noWrap/>
            <w:vAlign w:val="bottom"/>
            <w:hideMark/>
          </w:tcPr>
          <w:p w14:paraId="60AD0D1A"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69DC7669" w14:textId="77777777" w:rsidR="003B2C9F" w:rsidRPr="003B2C9F" w:rsidRDefault="003B2C9F" w:rsidP="003B2C9F">
            <w:pPr>
              <w:jc w:val="right"/>
              <w:rPr>
                <w:sz w:val="20"/>
                <w:szCs w:val="20"/>
              </w:rPr>
            </w:pPr>
            <w:r w:rsidRPr="003B2C9F">
              <w:rPr>
                <w:sz w:val="20"/>
                <w:szCs w:val="20"/>
              </w:rPr>
              <w:t>144.288,22</w:t>
            </w:r>
          </w:p>
        </w:tc>
        <w:tc>
          <w:tcPr>
            <w:tcW w:w="1525" w:type="dxa"/>
            <w:tcBorders>
              <w:top w:val="nil"/>
              <w:left w:val="nil"/>
              <w:bottom w:val="nil"/>
              <w:right w:val="nil"/>
            </w:tcBorders>
            <w:shd w:val="clear" w:color="auto" w:fill="auto"/>
            <w:noWrap/>
            <w:vAlign w:val="bottom"/>
            <w:hideMark/>
          </w:tcPr>
          <w:p w14:paraId="49B77D6D" w14:textId="77777777" w:rsidR="003B2C9F" w:rsidRPr="003B2C9F" w:rsidRDefault="003B2C9F" w:rsidP="003B2C9F">
            <w:pPr>
              <w:jc w:val="right"/>
              <w:rPr>
                <w:sz w:val="20"/>
                <w:szCs w:val="20"/>
              </w:rPr>
            </w:pPr>
            <w:r w:rsidRPr="003B2C9F">
              <w:rPr>
                <w:sz w:val="20"/>
                <w:szCs w:val="20"/>
              </w:rPr>
              <w:t>101,54</w:t>
            </w:r>
          </w:p>
        </w:tc>
        <w:tc>
          <w:tcPr>
            <w:tcW w:w="1000" w:type="dxa"/>
            <w:tcBorders>
              <w:top w:val="nil"/>
              <w:left w:val="nil"/>
              <w:bottom w:val="nil"/>
              <w:right w:val="nil"/>
            </w:tcBorders>
            <w:shd w:val="clear" w:color="auto" w:fill="auto"/>
            <w:noWrap/>
            <w:vAlign w:val="bottom"/>
            <w:hideMark/>
          </w:tcPr>
          <w:p w14:paraId="1F538BED" w14:textId="77777777" w:rsidR="003B2C9F" w:rsidRPr="003B2C9F" w:rsidRDefault="003B2C9F" w:rsidP="003B2C9F">
            <w:pPr>
              <w:jc w:val="right"/>
              <w:rPr>
                <w:sz w:val="20"/>
                <w:szCs w:val="20"/>
              </w:rPr>
            </w:pPr>
          </w:p>
        </w:tc>
      </w:tr>
      <w:tr w:rsidR="003B2C9F" w:rsidRPr="003B2C9F" w14:paraId="08DFDFF9" w14:textId="77777777" w:rsidTr="003B2C9F">
        <w:trPr>
          <w:trHeight w:val="300"/>
        </w:trPr>
        <w:tc>
          <w:tcPr>
            <w:tcW w:w="616" w:type="dxa"/>
            <w:tcBorders>
              <w:top w:val="nil"/>
              <w:left w:val="nil"/>
              <w:bottom w:val="nil"/>
              <w:right w:val="nil"/>
            </w:tcBorders>
            <w:shd w:val="clear" w:color="auto" w:fill="auto"/>
            <w:noWrap/>
            <w:vAlign w:val="bottom"/>
            <w:hideMark/>
          </w:tcPr>
          <w:p w14:paraId="21A2D913" w14:textId="77777777" w:rsidR="003B2C9F" w:rsidRPr="003B2C9F" w:rsidRDefault="003B2C9F" w:rsidP="003B2C9F">
            <w:pPr>
              <w:rPr>
                <w:sz w:val="20"/>
                <w:szCs w:val="20"/>
              </w:rPr>
            </w:pPr>
            <w:r w:rsidRPr="003B2C9F">
              <w:rPr>
                <w:sz w:val="20"/>
                <w:szCs w:val="20"/>
              </w:rPr>
              <w:t>6422</w:t>
            </w:r>
          </w:p>
        </w:tc>
        <w:tc>
          <w:tcPr>
            <w:tcW w:w="6472" w:type="dxa"/>
            <w:tcBorders>
              <w:top w:val="nil"/>
              <w:left w:val="nil"/>
              <w:bottom w:val="nil"/>
              <w:right w:val="nil"/>
            </w:tcBorders>
            <w:shd w:val="clear" w:color="auto" w:fill="auto"/>
            <w:vAlign w:val="bottom"/>
            <w:hideMark/>
          </w:tcPr>
          <w:p w14:paraId="7F6E63EC" w14:textId="77777777" w:rsidR="003B2C9F" w:rsidRPr="003B2C9F" w:rsidRDefault="003B2C9F" w:rsidP="003B2C9F">
            <w:pPr>
              <w:rPr>
                <w:sz w:val="20"/>
                <w:szCs w:val="20"/>
              </w:rPr>
            </w:pPr>
            <w:r w:rsidRPr="003B2C9F">
              <w:rPr>
                <w:sz w:val="20"/>
                <w:szCs w:val="20"/>
              </w:rPr>
              <w:t xml:space="preserve">Prihodi od zakupa i iznajmljivanja imovine                                                          </w:t>
            </w:r>
          </w:p>
        </w:tc>
        <w:tc>
          <w:tcPr>
            <w:tcW w:w="1559" w:type="dxa"/>
            <w:tcBorders>
              <w:top w:val="nil"/>
              <w:left w:val="nil"/>
              <w:bottom w:val="nil"/>
              <w:right w:val="nil"/>
            </w:tcBorders>
            <w:shd w:val="clear" w:color="auto" w:fill="auto"/>
            <w:noWrap/>
            <w:vAlign w:val="bottom"/>
            <w:hideMark/>
          </w:tcPr>
          <w:p w14:paraId="48FC5383" w14:textId="77777777" w:rsidR="003B2C9F" w:rsidRPr="003B2C9F" w:rsidRDefault="003B2C9F" w:rsidP="003B2C9F">
            <w:pPr>
              <w:jc w:val="right"/>
              <w:rPr>
                <w:sz w:val="20"/>
                <w:szCs w:val="20"/>
              </w:rPr>
            </w:pPr>
            <w:r w:rsidRPr="003B2C9F">
              <w:rPr>
                <w:sz w:val="20"/>
                <w:szCs w:val="20"/>
              </w:rPr>
              <w:t>847.417,62</w:t>
            </w:r>
          </w:p>
        </w:tc>
        <w:tc>
          <w:tcPr>
            <w:tcW w:w="1503" w:type="dxa"/>
            <w:tcBorders>
              <w:top w:val="nil"/>
              <w:left w:val="nil"/>
              <w:bottom w:val="nil"/>
              <w:right w:val="nil"/>
            </w:tcBorders>
            <w:shd w:val="clear" w:color="auto" w:fill="auto"/>
            <w:noWrap/>
            <w:vAlign w:val="bottom"/>
            <w:hideMark/>
          </w:tcPr>
          <w:p w14:paraId="131CAF52"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E7E9163" w14:textId="77777777" w:rsidR="003B2C9F" w:rsidRPr="003B2C9F" w:rsidRDefault="003B2C9F" w:rsidP="003B2C9F">
            <w:pPr>
              <w:jc w:val="right"/>
              <w:rPr>
                <w:sz w:val="20"/>
                <w:szCs w:val="20"/>
              </w:rPr>
            </w:pPr>
            <w:r w:rsidRPr="003B2C9F">
              <w:rPr>
                <w:sz w:val="20"/>
                <w:szCs w:val="20"/>
              </w:rPr>
              <w:t>1.018.137,54</w:t>
            </w:r>
          </w:p>
        </w:tc>
        <w:tc>
          <w:tcPr>
            <w:tcW w:w="1525" w:type="dxa"/>
            <w:tcBorders>
              <w:top w:val="nil"/>
              <w:left w:val="nil"/>
              <w:bottom w:val="nil"/>
              <w:right w:val="nil"/>
            </w:tcBorders>
            <w:shd w:val="clear" w:color="auto" w:fill="auto"/>
            <w:noWrap/>
            <w:vAlign w:val="bottom"/>
            <w:hideMark/>
          </w:tcPr>
          <w:p w14:paraId="689C706F" w14:textId="77777777" w:rsidR="003B2C9F" w:rsidRPr="003B2C9F" w:rsidRDefault="003B2C9F" w:rsidP="003B2C9F">
            <w:pPr>
              <w:jc w:val="right"/>
              <w:rPr>
                <w:sz w:val="20"/>
                <w:szCs w:val="20"/>
              </w:rPr>
            </w:pPr>
            <w:r w:rsidRPr="003B2C9F">
              <w:rPr>
                <w:sz w:val="20"/>
                <w:szCs w:val="20"/>
              </w:rPr>
              <w:t>120,15</w:t>
            </w:r>
          </w:p>
        </w:tc>
        <w:tc>
          <w:tcPr>
            <w:tcW w:w="1000" w:type="dxa"/>
            <w:tcBorders>
              <w:top w:val="nil"/>
              <w:left w:val="nil"/>
              <w:bottom w:val="nil"/>
              <w:right w:val="nil"/>
            </w:tcBorders>
            <w:shd w:val="clear" w:color="auto" w:fill="auto"/>
            <w:noWrap/>
            <w:vAlign w:val="bottom"/>
            <w:hideMark/>
          </w:tcPr>
          <w:p w14:paraId="54923AA0" w14:textId="77777777" w:rsidR="003B2C9F" w:rsidRPr="003B2C9F" w:rsidRDefault="003B2C9F" w:rsidP="003B2C9F">
            <w:pPr>
              <w:jc w:val="right"/>
              <w:rPr>
                <w:sz w:val="20"/>
                <w:szCs w:val="20"/>
              </w:rPr>
            </w:pPr>
          </w:p>
        </w:tc>
      </w:tr>
      <w:tr w:rsidR="003B2C9F" w:rsidRPr="003B2C9F" w14:paraId="2BB9FCF0" w14:textId="77777777" w:rsidTr="003B2C9F">
        <w:trPr>
          <w:trHeight w:val="300"/>
        </w:trPr>
        <w:tc>
          <w:tcPr>
            <w:tcW w:w="616" w:type="dxa"/>
            <w:tcBorders>
              <w:top w:val="nil"/>
              <w:left w:val="nil"/>
              <w:bottom w:val="nil"/>
              <w:right w:val="nil"/>
            </w:tcBorders>
            <w:shd w:val="clear" w:color="auto" w:fill="auto"/>
            <w:noWrap/>
            <w:vAlign w:val="bottom"/>
            <w:hideMark/>
          </w:tcPr>
          <w:p w14:paraId="0FA010C0" w14:textId="77777777" w:rsidR="003B2C9F" w:rsidRPr="003B2C9F" w:rsidRDefault="003B2C9F" w:rsidP="003B2C9F">
            <w:pPr>
              <w:rPr>
                <w:sz w:val="20"/>
                <w:szCs w:val="20"/>
              </w:rPr>
            </w:pPr>
            <w:r w:rsidRPr="003B2C9F">
              <w:rPr>
                <w:sz w:val="20"/>
                <w:szCs w:val="20"/>
              </w:rPr>
              <w:t>6423</w:t>
            </w:r>
          </w:p>
        </w:tc>
        <w:tc>
          <w:tcPr>
            <w:tcW w:w="6472" w:type="dxa"/>
            <w:tcBorders>
              <w:top w:val="nil"/>
              <w:left w:val="nil"/>
              <w:bottom w:val="nil"/>
              <w:right w:val="nil"/>
            </w:tcBorders>
            <w:shd w:val="clear" w:color="auto" w:fill="auto"/>
            <w:vAlign w:val="bottom"/>
            <w:hideMark/>
          </w:tcPr>
          <w:p w14:paraId="0AAF5F8F" w14:textId="77777777" w:rsidR="003B2C9F" w:rsidRPr="003B2C9F" w:rsidRDefault="003B2C9F" w:rsidP="003B2C9F">
            <w:pPr>
              <w:rPr>
                <w:sz w:val="20"/>
                <w:szCs w:val="20"/>
              </w:rPr>
            </w:pPr>
            <w:r w:rsidRPr="003B2C9F">
              <w:rPr>
                <w:sz w:val="20"/>
                <w:szCs w:val="20"/>
              </w:rPr>
              <w:t xml:space="preserve">Naknada za korištenje nefinancijske imovine                                                         </w:t>
            </w:r>
          </w:p>
        </w:tc>
        <w:tc>
          <w:tcPr>
            <w:tcW w:w="1559" w:type="dxa"/>
            <w:tcBorders>
              <w:top w:val="nil"/>
              <w:left w:val="nil"/>
              <w:bottom w:val="nil"/>
              <w:right w:val="nil"/>
            </w:tcBorders>
            <w:shd w:val="clear" w:color="auto" w:fill="auto"/>
            <w:noWrap/>
            <w:vAlign w:val="bottom"/>
            <w:hideMark/>
          </w:tcPr>
          <w:p w14:paraId="04F1A135" w14:textId="77777777" w:rsidR="003B2C9F" w:rsidRPr="003B2C9F" w:rsidRDefault="003B2C9F" w:rsidP="003B2C9F">
            <w:pPr>
              <w:jc w:val="right"/>
              <w:rPr>
                <w:sz w:val="20"/>
                <w:szCs w:val="20"/>
              </w:rPr>
            </w:pPr>
            <w:r w:rsidRPr="003B2C9F">
              <w:rPr>
                <w:sz w:val="20"/>
                <w:szCs w:val="20"/>
              </w:rPr>
              <w:t>300.913,31</w:t>
            </w:r>
          </w:p>
        </w:tc>
        <w:tc>
          <w:tcPr>
            <w:tcW w:w="1503" w:type="dxa"/>
            <w:tcBorders>
              <w:top w:val="nil"/>
              <w:left w:val="nil"/>
              <w:bottom w:val="nil"/>
              <w:right w:val="nil"/>
            </w:tcBorders>
            <w:shd w:val="clear" w:color="auto" w:fill="auto"/>
            <w:noWrap/>
            <w:vAlign w:val="bottom"/>
            <w:hideMark/>
          </w:tcPr>
          <w:p w14:paraId="44C220D5"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66725628" w14:textId="77777777" w:rsidR="003B2C9F" w:rsidRPr="003B2C9F" w:rsidRDefault="003B2C9F" w:rsidP="003B2C9F">
            <w:pPr>
              <w:jc w:val="right"/>
              <w:rPr>
                <w:sz w:val="20"/>
                <w:szCs w:val="20"/>
              </w:rPr>
            </w:pPr>
            <w:r w:rsidRPr="003B2C9F">
              <w:rPr>
                <w:sz w:val="20"/>
                <w:szCs w:val="20"/>
              </w:rPr>
              <w:t>134.854,92</w:t>
            </w:r>
          </w:p>
        </w:tc>
        <w:tc>
          <w:tcPr>
            <w:tcW w:w="1525" w:type="dxa"/>
            <w:tcBorders>
              <w:top w:val="nil"/>
              <w:left w:val="nil"/>
              <w:bottom w:val="nil"/>
              <w:right w:val="nil"/>
            </w:tcBorders>
            <w:shd w:val="clear" w:color="auto" w:fill="auto"/>
            <w:noWrap/>
            <w:vAlign w:val="bottom"/>
            <w:hideMark/>
          </w:tcPr>
          <w:p w14:paraId="4B602102" w14:textId="77777777" w:rsidR="003B2C9F" w:rsidRPr="003B2C9F" w:rsidRDefault="003B2C9F" w:rsidP="003B2C9F">
            <w:pPr>
              <w:jc w:val="right"/>
              <w:rPr>
                <w:sz w:val="20"/>
                <w:szCs w:val="20"/>
              </w:rPr>
            </w:pPr>
            <w:r w:rsidRPr="003B2C9F">
              <w:rPr>
                <w:sz w:val="20"/>
                <w:szCs w:val="20"/>
              </w:rPr>
              <w:t>44,82</w:t>
            </w:r>
          </w:p>
        </w:tc>
        <w:tc>
          <w:tcPr>
            <w:tcW w:w="1000" w:type="dxa"/>
            <w:tcBorders>
              <w:top w:val="nil"/>
              <w:left w:val="nil"/>
              <w:bottom w:val="nil"/>
              <w:right w:val="nil"/>
            </w:tcBorders>
            <w:shd w:val="clear" w:color="auto" w:fill="auto"/>
            <w:noWrap/>
            <w:vAlign w:val="bottom"/>
            <w:hideMark/>
          </w:tcPr>
          <w:p w14:paraId="41DF39D2" w14:textId="77777777" w:rsidR="003B2C9F" w:rsidRPr="003B2C9F" w:rsidRDefault="003B2C9F" w:rsidP="003B2C9F">
            <w:pPr>
              <w:jc w:val="right"/>
              <w:rPr>
                <w:sz w:val="20"/>
                <w:szCs w:val="20"/>
              </w:rPr>
            </w:pPr>
          </w:p>
        </w:tc>
      </w:tr>
      <w:tr w:rsidR="003B2C9F" w:rsidRPr="003B2C9F" w14:paraId="6C2C03AC" w14:textId="77777777" w:rsidTr="003B2C9F">
        <w:trPr>
          <w:trHeight w:val="300"/>
        </w:trPr>
        <w:tc>
          <w:tcPr>
            <w:tcW w:w="616" w:type="dxa"/>
            <w:tcBorders>
              <w:top w:val="nil"/>
              <w:left w:val="nil"/>
              <w:bottom w:val="nil"/>
              <w:right w:val="nil"/>
            </w:tcBorders>
            <w:shd w:val="clear" w:color="auto" w:fill="auto"/>
            <w:noWrap/>
            <w:vAlign w:val="bottom"/>
            <w:hideMark/>
          </w:tcPr>
          <w:p w14:paraId="19296040" w14:textId="77777777" w:rsidR="003B2C9F" w:rsidRPr="003B2C9F" w:rsidRDefault="003B2C9F" w:rsidP="003B2C9F">
            <w:pPr>
              <w:rPr>
                <w:sz w:val="20"/>
                <w:szCs w:val="20"/>
              </w:rPr>
            </w:pPr>
            <w:r w:rsidRPr="003B2C9F">
              <w:rPr>
                <w:sz w:val="20"/>
                <w:szCs w:val="20"/>
              </w:rPr>
              <w:t>6425</w:t>
            </w:r>
          </w:p>
        </w:tc>
        <w:tc>
          <w:tcPr>
            <w:tcW w:w="6472" w:type="dxa"/>
            <w:tcBorders>
              <w:top w:val="nil"/>
              <w:left w:val="nil"/>
              <w:bottom w:val="nil"/>
              <w:right w:val="nil"/>
            </w:tcBorders>
            <w:shd w:val="clear" w:color="auto" w:fill="auto"/>
            <w:vAlign w:val="bottom"/>
            <w:hideMark/>
          </w:tcPr>
          <w:p w14:paraId="635E41A7" w14:textId="77777777" w:rsidR="003B2C9F" w:rsidRPr="003B2C9F" w:rsidRDefault="003B2C9F" w:rsidP="003B2C9F">
            <w:pPr>
              <w:rPr>
                <w:sz w:val="20"/>
                <w:szCs w:val="20"/>
              </w:rPr>
            </w:pPr>
            <w:r w:rsidRPr="003B2C9F">
              <w:rPr>
                <w:sz w:val="20"/>
                <w:szCs w:val="20"/>
              </w:rPr>
              <w:t>Prihodi od prodaje kratkotrajne nefinancijske imovine</w:t>
            </w:r>
          </w:p>
        </w:tc>
        <w:tc>
          <w:tcPr>
            <w:tcW w:w="1559" w:type="dxa"/>
            <w:tcBorders>
              <w:top w:val="nil"/>
              <w:left w:val="nil"/>
              <w:bottom w:val="nil"/>
              <w:right w:val="nil"/>
            </w:tcBorders>
            <w:shd w:val="clear" w:color="auto" w:fill="auto"/>
            <w:noWrap/>
            <w:vAlign w:val="bottom"/>
            <w:hideMark/>
          </w:tcPr>
          <w:p w14:paraId="32098BAB" w14:textId="77777777" w:rsidR="003B2C9F" w:rsidRPr="003B2C9F" w:rsidRDefault="003B2C9F" w:rsidP="003B2C9F">
            <w:pPr>
              <w:jc w:val="right"/>
              <w:rPr>
                <w:sz w:val="20"/>
                <w:szCs w:val="20"/>
              </w:rPr>
            </w:pPr>
            <w:r w:rsidRPr="003B2C9F">
              <w:rPr>
                <w:sz w:val="20"/>
                <w:szCs w:val="20"/>
              </w:rPr>
              <w:t>0,00</w:t>
            </w:r>
          </w:p>
        </w:tc>
        <w:tc>
          <w:tcPr>
            <w:tcW w:w="1503" w:type="dxa"/>
            <w:tcBorders>
              <w:top w:val="nil"/>
              <w:left w:val="nil"/>
              <w:bottom w:val="nil"/>
              <w:right w:val="nil"/>
            </w:tcBorders>
            <w:shd w:val="clear" w:color="auto" w:fill="auto"/>
            <w:noWrap/>
            <w:vAlign w:val="bottom"/>
            <w:hideMark/>
          </w:tcPr>
          <w:p w14:paraId="333FFD75"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38EB3F48" w14:textId="77777777" w:rsidR="003B2C9F" w:rsidRPr="003B2C9F" w:rsidRDefault="003B2C9F" w:rsidP="003B2C9F">
            <w:pPr>
              <w:jc w:val="right"/>
              <w:rPr>
                <w:sz w:val="20"/>
                <w:szCs w:val="20"/>
              </w:rPr>
            </w:pPr>
            <w:r w:rsidRPr="003B2C9F">
              <w:rPr>
                <w:sz w:val="20"/>
                <w:szCs w:val="20"/>
              </w:rPr>
              <w:t>0,00</w:t>
            </w:r>
          </w:p>
        </w:tc>
        <w:tc>
          <w:tcPr>
            <w:tcW w:w="1525" w:type="dxa"/>
            <w:tcBorders>
              <w:top w:val="nil"/>
              <w:left w:val="nil"/>
              <w:bottom w:val="nil"/>
              <w:right w:val="nil"/>
            </w:tcBorders>
            <w:shd w:val="clear" w:color="auto" w:fill="auto"/>
            <w:noWrap/>
            <w:vAlign w:val="bottom"/>
            <w:hideMark/>
          </w:tcPr>
          <w:p w14:paraId="33E77577" w14:textId="77777777" w:rsidR="003B2C9F" w:rsidRPr="003B2C9F" w:rsidRDefault="003B2C9F" w:rsidP="003B2C9F">
            <w:pPr>
              <w:jc w:val="right"/>
              <w:rPr>
                <w:sz w:val="20"/>
                <w:szCs w:val="20"/>
              </w:rPr>
            </w:pPr>
            <w:r w:rsidRPr="003B2C9F">
              <w:rPr>
                <w:sz w:val="20"/>
                <w:szCs w:val="20"/>
              </w:rPr>
              <w:t>0,00</w:t>
            </w:r>
          </w:p>
        </w:tc>
        <w:tc>
          <w:tcPr>
            <w:tcW w:w="1000" w:type="dxa"/>
            <w:tcBorders>
              <w:top w:val="nil"/>
              <w:left w:val="nil"/>
              <w:bottom w:val="nil"/>
              <w:right w:val="nil"/>
            </w:tcBorders>
            <w:shd w:val="clear" w:color="auto" w:fill="auto"/>
            <w:noWrap/>
            <w:vAlign w:val="bottom"/>
            <w:hideMark/>
          </w:tcPr>
          <w:p w14:paraId="51921492" w14:textId="77777777" w:rsidR="003B2C9F" w:rsidRPr="003B2C9F" w:rsidRDefault="003B2C9F" w:rsidP="003B2C9F">
            <w:pPr>
              <w:jc w:val="right"/>
              <w:rPr>
                <w:sz w:val="20"/>
                <w:szCs w:val="20"/>
              </w:rPr>
            </w:pPr>
          </w:p>
        </w:tc>
      </w:tr>
      <w:tr w:rsidR="003B2C9F" w:rsidRPr="003B2C9F" w14:paraId="45C61E34" w14:textId="77777777" w:rsidTr="003B2C9F">
        <w:trPr>
          <w:trHeight w:val="300"/>
        </w:trPr>
        <w:tc>
          <w:tcPr>
            <w:tcW w:w="616" w:type="dxa"/>
            <w:tcBorders>
              <w:top w:val="nil"/>
              <w:left w:val="nil"/>
              <w:bottom w:val="nil"/>
              <w:right w:val="nil"/>
            </w:tcBorders>
            <w:shd w:val="clear" w:color="auto" w:fill="auto"/>
            <w:noWrap/>
            <w:vAlign w:val="bottom"/>
            <w:hideMark/>
          </w:tcPr>
          <w:p w14:paraId="6F95C721" w14:textId="77777777" w:rsidR="003B2C9F" w:rsidRPr="003B2C9F" w:rsidRDefault="003B2C9F" w:rsidP="003B2C9F">
            <w:pPr>
              <w:rPr>
                <w:sz w:val="20"/>
                <w:szCs w:val="20"/>
              </w:rPr>
            </w:pPr>
            <w:r w:rsidRPr="003B2C9F">
              <w:rPr>
                <w:sz w:val="20"/>
                <w:szCs w:val="20"/>
              </w:rPr>
              <w:t>6429</w:t>
            </w:r>
          </w:p>
        </w:tc>
        <w:tc>
          <w:tcPr>
            <w:tcW w:w="6472" w:type="dxa"/>
            <w:tcBorders>
              <w:top w:val="nil"/>
              <w:left w:val="nil"/>
              <w:bottom w:val="nil"/>
              <w:right w:val="nil"/>
            </w:tcBorders>
            <w:shd w:val="clear" w:color="auto" w:fill="auto"/>
            <w:vAlign w:val="bottom"/>
            <w:hideMark/>
          </w:tcPr>
          <w:p w14:paraId="600541AF" w14:textId="77777777" w:rsidR="003B2C9F" w:rsidRPr="003B2C9F" w:rsidRDefault="003B2C9F" w:rsidP="003B2C9F">
            <w:pPr>
              <w:rPr>
                <w:sz w:val="20"/>
                <w:szCs w:val="20"/>
              </w:rPr>
            </w:pPr>
            <w:r w:rsidRPr="003B2C9F">
              <w:rPr>
                <w:sz w:val="20"/>
                <w:szCs w:val="20"/>
              </w:rPr>
              <w:t xml:space="preserve">Ostali prihodi od nefinancijske imovine                                                             </w:t>
            </w:r>
          </w:p>
        </w:tc>
        <w:tc>
          <w:tcPr>
            <w:tcW w:w="1559" w:type="dxa"/>
            <w:tcBorders>
              <w:top w:val="nil"/>
              <w:left w:val="nil"/>
              <w:bottom w:val="nil"/>
              <w:right w:val="nil"/>
            </w:tcBorders>
            <w:shd w:val="clear" w:color="auto" w:fill="auto"/>
            <w:noWrap/>
            <w:vAlign w:val="bottom"/>
            <w:hideMark/>
          </w:tcPr>
          <w:p w14:paraId="44B5CACA" w14:textId="77777777" w:rsidR="003B2C9F" w:rsidRPr="003B2C9F" w:rsidRDefault="003B2C9F" w:rsidP="003B2C9F">
            <w:pPr>
              <w:jc w:val="right"/>
              <w:rPr>
                <w:sz w:val="20"/>
                <w:szCs w:val="20"/>
              </w:rPr>
            </w:pPr>
            <w:r w:rsidRPr="003B2C9F">
              <w:rPr>
                <w:sz w:val="20"/>
                <w:szCs w:val="20"/>
              </w:rPr>
              <w:t>32.091,26</w:t>
            </w:r>
          </w:p>
        </w:tc>
        <w:tc>
          <w:tcPr>
            <w:tcW w:w="1503" w:type="dxa"/>
            <w:tcBorders>
              <w:top w:val="nil"/>
              <w:left w:val="nil"/>
              <w:bottom w:val="nil"/>
              <w:right w:val="nil"/>
            </w:tcBorders>
            <w:shd w:val="clear" w:color="auto" w:fill="auto"/>
            <w:noWrap/>
            <w:vAlign w:val="bottom"/>
            <w:hideMark/>
          </w:tcPr>
          <w:p w14:paraId="0D3176A9"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3DA1EB9D" w14:textId="77777777" w:rsidR="003B2C9F" w:rsidRPr="003B2C9F" w:rsidRDefault="003B2C9F" w:rsidP="003B2C9F">
            <w:pPr>
              <w:jc w:val="right"/>
              <w:rPr>
                <w:sz w:val="20"/>
                <w:szCs w:val="20"/>
              </w:rPr>
            </w:pPr>
            <w:r w:rsidRPr="003B2C9F">
              <w:rPr>
                <w:sz w:val="20"/>
                <w:szCs w:val="20"/>
              </w:rPr>
              <w:t>58.996,77</w:t>
            </w:r>
          </w:p>
        </w:tc>
        <w:tc>
          <w:tcPr>
            <w:tcW w:w="1525" w:type="dxa"/>
            <w:tcBorders>
              <w:top w:val="nil"/>
              <w:left w:val="nil"/>
              <w:bottom w:val="nil"/>
              <w:right w:val="nil"/>
            </w:tcBorders>
            <w:shd w:val="clear" w:color="auto" w:fill="auto"/>
            <w:noWrap/>
            <w:vAlign w:val="bottom"/>
            <w:hideMark/>
          </w:tcPr>
          <w:p w14:paraId="07D8C50C" w14:textId="77777777" w:rsidR="003B2C9F" w:rsidRPr="003B2C9F" w:rsidRDefault="003B2C9F" w:rsidP="003B2C9F">
            <w:pPr>
              <w:jc w:val="right"/>
              <w:rPr>
                <w:sz w:val="20"/>
                <w:szCs w:val="20"/>
              </w:rPr>
            </w:pPr>
            <w:r w:rsidRPr="003B2C9F">
              <w:rPr>
                <w:sz w:val="20"/>
                <w:szCs w:val="20"/>
              </w:rPr>
              <w:t>183,84</w:t>
            </w:r>
          </w:p>
        </w:tc>
        <w:tc>
          <w:tcPr>
            <w:tcW w:w="1000" w:type="dxa"/>
            <w:tcBorders>
              <w:top w:val="nil"/>
              <w:left w:val="nil"/>
              <w:bottom w:val="nil"/>
              <w:right w:val="nil"/>
            </w:tcBorders>
            <w:shd w:val="clear" w:color="auto" w:fill="auto"/>
            <w:noWrap/>
            <w:vAlign w:val="bottom"/>
            <w:hideMark/>
          </w:tcPr>
          <w:p w14:paraId="220C1D20" w14:textId="77777777" w:rsidR="003B2C9F" w:rsidRPr="003B2C9F" w:rsidRDefault="003B2C9F" w:rsidP="003B2C9F">
            <w:pPr>
              <w:jc w:val="right"/>
              <w:rPr>
                <w:sz w:val="20"/>
                <w:szCs w:val="20"/>
              </w:rPr>
            </w:pPr>
          </w:p>
        </w:tc>
      </w:tr>
      <w:tr w:rsidR="003B2C9F" w:rsidRPr="003B2C9F" w14:paraId="7726525F" w14:textId="77777777" w:rsidTr="003B2C9F">
        <w:trPr>
          <w:trHeight w:val="300"/>
        </w:trPr>
        <w:tc>
          <w:tcPr>
            <w:tcW w:w="616" w:type="dxa"/>
            <w:tcBorders>
              <w:top w:val="nil"/>
              <w:left w:val="nil"/>
              <w:bottom w:val="nil"/>
              <w:right w:val="nil"/>
            </w:tcBorders>
            <w:shd w:val="clear" w:color="auto" w:fill="auto"/>
            <w:noWrap/>
            <w:vAlign w:val="bottom"/>
            <w:hideMark/>
          </w:tcPr>
          <w:p w14:paraId="5C8198F7" w14:textId="77777777" w:rsidR="003B2C9F" w:rsidRPr="003B2C9F" w:rsidRDefault="003B2C9F" w:rsidP="003B2C9F">
            <w:pPr>
              <w:rPr>
                <w:b/>
                <w:bCs/>
                <w:sz w:val="20"/>
                <w:szCs w:val="20"/>
              </w:rPr>
            </w:pPr>
            <w:r w:rsidRPr="003B2C9F">
              <w:rPr>
                <w:b/>
                <w:bCs/>
                <w:sz w:val="20"/>
                <w:szCs w:val="20"/>
              </w:rPr>
              <w:t>643</w:t>
            </w:r>
          </w:p>
        </w:tc>
        <w:tc>
          <w:tcPr>
            <w:tcW w:w="6472" w:type="dxa"/>
            <w:tcBorders>
              <w:top w:val="nil"/>
              <w:left w:val="nil"/>
              <w:bottom w:val="nil"/>
              <w:right w:val="nil"/>
            </w:tcBorders>
            <w:shd w:val="clear" w:color="auto" w:fill="auto"/>
            <w:noWrap/>
            <w:vAlign w:val="bottom"/>
            <w:hideMark/>
          </w:tcPr>
          <w:p w14:paraId="72D62108" w14:textId="77777777" w:rsidR="003B2C9F" w:rsidRPr="003B2C9F" w:rsidRDefault="003B2C9F" w:rsidP="003B2C9F">
            <w:pPr>
              <w:rPr>
                <w:b/>
                <w:bCs/>
                <w:sz w:val="20"/>
                <w:szCs w:val="20"/>
              </w:rPr>
            </w:pPr>
            <w:r w:rsidRPr="003B2C9F">
              <w:rPr>
                <w:b/>
                <w:bCs/>
                <w:sz w:val="20"/>
                <w:szCs w:val="20"/>
              </w:rPr>
              <w:t xml:space="preserve">Prihodi od kamata na dane zajmove                                                                   </w:t>
            </w:r>
          </w:p>
        </w:tc>
        <w:tc>
          <w:tcPr>
            <w:tcW w:w="1559" w:type="dxa"/>
            <w:tcBorders>
              <w:top w:val="nil"/>
              <w:left w:val="nil"/>
              <w:bottom w:val="nil"/>
              <w:right w:val="nil"/>
            </w:tcBorders>
            <w:shd w:val="clear" w:color="auto" w:fill="auto"/>
            <w:noWrap/>
            <w:vAlign w:val="bottom"/>
            <w:hideMark/>
          </w:tcPr>
          <w:p w14:paraId="1BBE1FED" w14:textId="77777777" w:rsidR="003B2C9F" w:rsidRPr="003B2C9F" w:rsidRDefault="003B2C9F" w:rsidP="003B2C9F">
            <w:pPr>
              <w:jc w:val="right"/>
              <w:rPr>
                <w:b/>
                <w:bCs/>
                <w:sz w:val="20"/>
                <w:szCs w:val="20"/>
              </w:rPr>
            </w:pPr>
            <w:r w:rsidRPr="003B2C9F">
              <w:rPr>
                <w:b/>
                <w:bCs/>
                <w:sz w:val="20"/>
                <w:szCs w:val="20"/>
              </w:rPr>
              <w:t>25.416,85</w:t>
            </w:r>
          </w:p>
        </w:tc>
        <w:tc>
          <w:tcPr>
            <w:tcW w:w="1503" w:type="dxa"/>
            <w:tcBorders>
              <w:top w:val="nil"/>
              <w:left w:val="nil"/>
              <w:bottom w:val="nil"/>
              <w:right w:val="nil"/>
            </w:tcBorders>
            <w:shd w:val="clear" w:color="auto" w:fill="auto"/>
            <w:noWrap/>
            <w:vAlign w:val="bottom"/>
            <w:hideMark/>
          </w:tcPr>
          <w:p w14:paraId="67DB8FDA" w14:textId="77777777" w:rsidR="003B2C9F" w:rsidRPr="003B2C9F" w:rsidRDefault="003B2C9F" w:rsidP="003B2C9F">
            <w:pPr>
              <w:jc w:val="right"/>
              <w:rPr>
                <w:b/>
                <w:bCs/>
                <w:sz w:val="20"/>
                <w:szCs w:val="20"/>
              </w:rPr>
            </w:pPr>
            <w:r w:rsidRPr="003B2C9F">
              <w:rPr>
                <w:b/>
                <w:bCs/>
                <w:sz w:val="20"/>
                <w:szCs w:val="20"/>
              </w:rPr>
              <w:t>37.500,00</w:t>
            </w:r>
          </w:p>
        </w:tc>
        <w:tc>
          <w:tcPr>
            <w:tcW w:w="1366" w:type="dxa"/>
            <w:tcBorders>
              <w:top w:val="nil"/>
              <w:left w:val="nil"/>
              <w:bottom w:val="nil"/>
              <w:right w:val="nil"/>
            </w:tcBorders>
            <w:shd w:val="clear" w:color="auto" w:fill="auto"/>
            <w:noWrap/>
            <w:vAlign w:val="bottom"/>
            <w:hideMark/>
          </w:tcPr>
          <w:p w14:paraId="6D2A8658" w14:textId="77777777" w:rsidR="003B2C9F" w:rsidRPr="003B2C9F" w:rsidRDefault="003B2C9F" w:rsidP="003B2C9F">
            <w:pPr>
              <w:jc w:val="right"/>
              <w:rPr>
                <w:b/>
                <w:bCs/>
                <w:sz w:val="20"/>
                <w:szCs w:val="20"/>
              </w:rPr>
            </w:pPr>
            <w:r w:rsidRPr="003B2C9F">
              <w:rPr>
                <w:b/>
                <w:bCs/>
                <w:sz w:val="20"/>
                <w:szCs w:val="20"/>
              </w:rPr>
              <w:t>34.073,55</w:t>
            </w:r>
          </w:p>
        </w:tc>
        <w:tc>
          <w:tcPr>
            <w:tcW w:w="1525" w:type="dxa"/>
            <w:tcBorders>
              <w:top w:val="nil"/>
              <w:left w:val="nil"/>
              <w:bottom w:val="nil"/>
              <w:right w:val="nil"/>
            </w:tcBorders>
            <w:shd w:val="clear" w:color="auto" w:fill="auto"/>
            <w:noWrap/>
            <w:vAlign w:val="bottom"/>
            <w:hideMark/>
          </w:tcPr>
          <w:p w14:paraId="1370CA3E" w14:textId="77777777" w:rsidR="003B2C9F" w:rsidRPr="003B2C9F" w:rsidRDefault="003B2C9F" w:rsidP="003B2C9F">
            <w:pPr>
              <w:jc w:val="right"/>
              <w:rPr>
                <w:b/>
                <w:bCs/>
                <w:sz w:val="20"/>
                <w:szCs w:val="20"/>
              </w:rPr>
            </w:pPr>
            <w:r w:rsidRPr="003B2C9F">
              <w:rPr>
                <w:b/>
                <w:bCs/>
                <w:sz w:val="20"/>
                <w:szCs w:val="20"/>
              </w:rPr>
              <w:t>134,06</w:t>
            </w:r>
          </w:p>
        </w:tc>
        <w:tc>
          <w:tcPr>
            <w:tcW w:w="1000" w:type="dxa"/>
            <w:tcBorders>
              <w:top w:val="nil"/>
              <w:left w:val="nil"/>
              <w:bottom w:val="nil"/>
              <w:right w:val="nil"/>
            </w:tcBorders>
            <w:shd w:val="clear" w:color="auto" w:fill="auto"/>
            <w:noWrap/>
            <w:vAlign w:val="bottom"/>
            <w:hideMark/>
          </w:tcPr>
          <w:p w14:paraId="690B7221" w14:textId="77777777" w:rsidR="003B2C9F" w:rsidRPr="003B2C9F" w:rsidRDefault="003B2C9F" w:rsidP="003B2C9F">
            <w:pPr>
              <w:jc w:val="right"/>
              <w:rPr>
                <w:b/>
                <w:bCs/>
                <w:sz w:val="20"/>
                <w:szCs w:val="20"/>
              </w:rPr>
            </w:pPr>
            <w:r w:rsidRPr="003B2C9F">
              <w:rPr>
                <w:b/>
                <w:bCs/>
                <w:sz w:val="20"/>
                <w:szCs w:val="20"/>
              </w:rPr>
              <w:t>90,86</w:t>
            </w:r>
          </w:p>
        </w:tc>
      </w:tr>
      <w:tr w:rsidR="003B2C9F" w:rsidRPr="003B2C9F" w14:paraId="3A884008" w14:textId="77777777" w:rsidTr="003B2C9F">
        <w:trPr>
          <w:trHeight w:val="525"/>
        </w:trPr>
        <w:tc>
          <w:tcPr>
            <w:tcW w:w="616" w:type="dxa"/>
            <w:tcBorders>
              <w:top w:val="nil"/>
              <w:left w:val="nil"/>
              <w:bottom w:val="nil"/>
              <w:right w:val="nil"/>
            </w:tcBorders>
            <w:shd w:val="clear" w:color="auto" w:fill="auto"/>
            <w:noWrap/>
            <w:vAlign w:val="bottom"/>
            <w:hideMark/>
          </w:tcPr>
          <w:p w14:paraId="1433066B" w14:textId="77777777" w:rsidR="003B2C9F" w:rsidRPr="003B2C9F" w:rsidRDefault="003B2C9F" w:rsidP="003B2C9F">
            <w:pPr>
              <w:rPr>
                <w:sz w:val="20"/>
                <w:szCs w:val="20"/>
              </w:rPr>
            </w:pPr>
            <w:r w:rsidRPr="003B2C9F">
              <w:rPr>
                <w:sz w:val="20"/>
                <w:szCs w:val="20"/>
              </w:rPr>
              <w:t>6432</w:t>
            </w:r>
          </w:p>
        </w:tc>
        <w:tc>
          <w:tcPr>
            <w:tcW w:w="6472" w:type="dxa"/>
            <w:tcBorders>
              <w:top w:val="nil"/>
              <w:left w:val="nil"/>
              <w:bottom w:val="nil"/>
              <w:right w:val="nil"/>
            </w:tcBorders>
            <w:shd w:val="clear" w:color="auto" w:fill="auto"/>
            <w:vAlign w:val="bottom"/>
            <w:hideMark/>
          </w:tcPr>
          <w:p w14:paraId="0489ECC0" w14:textId="77777777" w:rsidR="003B2C9F" w:rsidRPr="003B2C9F" w:rsidRDefault="003B2C9F" w:rsidP="003B2C9F">
            <w:pPr>
              <w:rPr>
                <w:sz w:val="20"/>
                <w:szCs w:val="20"/>
              </w:rPr>
            </w:pPr>
            <w:r w:rsidRPr="003B2C9F">
              <w:rPr>
                <w:sz w:val="20"/>
                <w:szCs w:val="20"/>
              </w:rPr>
              <w:t xml:space="preserve">Prihodi od kamata na dane zajmove neprofitnim organizacijama, građanima i kućanstvima               </w:t>
            </w:r>
          </w:p>
        </w:tc>
        <w:tc>
          <w:tcPr>
            <w:tcW w:w="1559" w:type="dxa"/>
            <w:tcBorders>
              <w:top w:val="nil"/>
              <w:left w:val="nil"/>
              <w:bottom w:val="nil"/>
              <w:right w:val="nil"/>
            </w:tcBorders>
            <w:shd w:val="clear" w:color="auto" w:fill="auto"/>
            <w:noWrap/>
            <w:vAlign w:val="bottom"/>
            <w:hideMark/>
          </w:tcPr>
          <w:p w14:paraId="3A4C25DE" w14:textId="77777777" w:rsidR="003B2C9F" w:rsidRPr="003B2C9F" w:rsidRDefault="003B2C9F" w:rsidP="003B2C9F">
            <w:pPr>
              <w:jc w:val="right"/>
              <w:rPr>
                <w:sz w:val="20"/>
                <w:szCs w:val="20"/>
              </w:rPr>
            </w:pPr>
            <w:r w:rsidRPr="003B2C9F">
              <w:rPr>
                <w:sz w:val="20"/>
                <w:szCs w:val="20"/>
              </w:rPr>
              <w:t>22.670,96</w:t>
            </w:r>
          </w:p>
        </w:tc>
        <w:tc>
          <w:tcPr>
            <w:tcW w:w="1503" w:type="dxa"/>
            <w:tcBorders>
              <w:top w:val="nil"/>
              <w:left w:val="nil"/>
              <w:bottom w:val="nil"/>
              <w:right w:val="nil"/>
            </w:tcBorders>
            <w:shd w:val="clear" w:color="auto" w:fill="auto"/>
            <w:noWrap/>
            <w:vAlign w:val="bottom"/>
            <w:hideMark/>
          </w:tcPr>
          <w:p w14:paraId="16557E42"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68D95DD3" w14:textId="77777777" w:rsidR="003B2C9F" w:rsidRPr="003B2C9F" w:rsidRDefault="003B2C9F" w:rsidP="003B2C9F">
            <w:pPr>
              <w:jc w:val="right"/>
              <w:rPr>
                <w:sz w:val="20"/>
                <w:szCs w:val="20"/>
              </w:rPr>
            </w:pPr>
            <w:r w:rsidRPr="003B2C9F">
              <w:rPr>
                <w:sz w:val="20"/>
                <w:szCs w:val="20"/>
              </w:rPr>
              <w:t>23.132,02</w:t>
            </w:r>
          </w:p>
        </w:tc>
        <w:tc>
          <w:tcPr>
            <w:tcW w:w="1525" w:type="dxa"/>
            <w:tcBorders>
              <w:top w:val="nil"/>
              <w:left w:val="nil"/>
              <w:bottom w:val="nil"/>
              <w:right w:val="nil"/>
            </w:tcBorders>
            <w:shd w:val="clear" w:color="auto" w:fill="auto"/>
            <w:noWrap/>
            <w:vAlign w:val="bottom"/>
            <w:hideMark/>
          </w:tcPr>
          <w:p w14:paraId="75F15C2A" w14:textId="77777777" w:rsidR="003B2C9F" w:rsidRPr="003B2C9F" w:rsidRDefault="003B2C9F" w:rsidP="003B2C9F">
            <w:pPr>
              <w:jc w:val="right"/>
              <w:rPr>
                <w:sz w:val="20"/>
                <w:szCs w:val="20"/>
              </w:rPr>
            </w:pPr>
            <w:r w:rsidRPr="003B2C9F">
              <w:rPr>
                <w:sz w:val="20"/>
                <w:szCs w:val="20"/>
              </w:rPr>
              <w:t>102,03</w:t>
            </w:r>
          </w:p>
        </w:tc>
        <w:tc>
          <w:tcPr>
            <w:tcW w:w="1000" w:type="dxa"/>
            <w:tcBorders>
              <w:top w:val="nil"/>
              <w:left w:val="nil"/>
              <w:bottom w:val="nil"/>
              <w:right w:val="nil"/>
            </w:tcBorders>
            <w:shd w:val="clear" w:color="auto" w:fill="auto"/>
            <w:noWrap/>
            <w:vAlign w:val="bottom"/>
            <w:hideMark/>
          </w:tcPr>
          <w:p w14:paraId="4769A268" w14:textId="77777777" w:rsidR="003B2C9F" w:rsidRPr="003B2C9F" w:rsidRDefault="003B2C9F" w:rsidP="003B2C9F">
            <w:pPr>
              <w:jc w:val="right"/>
              <w:rPr>
                <w:sz w:val="20"/>
                <w:szCs w:val="20"/>
              </w:rPr>
            </w:pPr>
          </w:p>
        </w:tc>
      </w:tr>
      <w:tr w:rsidR="003B2C9F" w:rsidRPr="003B2C9F" w14:paraId="69FFA380" w14:textId="77777777" w:rsidTr="003B2C9F">
        <w:trPr>
          <w:trHeight w:val="525"/>
        </w:trPr>
        <w:tc>
          <w:tcPr>
            <w:tcW w:w="616" w:type="dxa"/>
            <w:tcBorders>
              <w:top w:val="nil"/>
              <w:left w:val="nil"/>
              <w:bottom w:val="nil"/>
              <w:right w:val="nil"/>
            </w:tcBorders>
            <w:shd w:val="clear" w:color="auto" w:fill="auto"/>
            <w:noWrap/>
            <w:vAlign w:val="bottom"/>
            <w:hideMark/>
          </w:tcPr>
          <w:p w14:paraId="180D3AFD" w14:textId="77777777" w:rsidR="003B2C9F" w:rsidRPr="003B2C9F" w:rsidRDefault="003B2C9F" w:rsidP="003B2C9F">
            <w:pPr>
              <w:rPr>
                <w:sz w:val="20"/>
                <w:szCs w:val="20"/>
              </w:rPr>
            </w:pPr>
            <w:r w:rsidRPr="003B2C9F">
              <w:rPr>
                <w:sz w:val="20"/>
                <w:szCs w:val="20"/>
              </w:rPr>
              <w:t>6436</w:t>
            </w:r>
          </w:p>
        </w:tc>
        <w:tc>
          <w:tcPr>
            <w:tcW w:w="6472" w:type="dxa"/>
            <w:tcBorders>
              <w:top w:val="nil"/>
              <w:left w:val="nil"/>
              <w:bottom w:val="nil"/>
              <w:right w:val="nil"/>
            </w:tcBorders>
            <w:shd w:val="clear" w:color="auto" w:fill="auto"/>
            <w:vAlign w:val="bottom"/>
            <w:hideMark/>
          </w:tcPr>
          <w:p w14:paraId="4E9CCBB5" w14:textId="77777777" w:rsidR="003B2C9F" w:rsidRPr="003B2C9F" w:rsidRDefault="003B2C9F" w:rsidP="003B2C9F">
            <w:pPr>
              <w:rPr>
                <w:sz w:val="20"/>
                <w:szCs w:val="20"/>
              </w:rPr>
            </w:pPr>
            <w:r w:rsidRPr="003B2C9F">
              <w:rPr>
                <w:sz w:val="20"/>
                <w:szCs w:val="20"/>
              </w:rPr>
              <w:t xml:space="preserve">Prihodi od kamata na dane zajmove trgovačkim društvima i obrtnicima izvan javnog sektora            </w:t>
            </w:r>
          </w:p>
        </w:tc>
        <w:tc>
          <w:tcPr>
            <w:tcW w:w="1559" w:type="dxa"/>
            <w:tcBorders>
              <w:top w:val="nil"/>
              <w:left w:val="nil"/>
              <w:bottom w:val="nil"/>
              <w:right w:val="nil"/>
            </w:tcBorders>
            <w:shd w:val="clear" w:color="auto" w:fill="auto"/>
            <w:noWrap/>
            <w:vAlign w:val="bottom"/>
            <w:hideMark/>
          </w:tcPr>
          <w:p w14:paraId="703FC9C0" w14:textId="77777777" w:rsidR="003B2C9F" w:rsidRPr="003B2C9F" w:rsidRDefault="003B2C9F" w:rsidP="003B2C9F">
            <w:pPr>
              <w:jc w:val="right"/>
              <w:rPr>
                <w:sz w:val="20"/>
                <w:szCs w:val="20"/>
              </w:rPr>
            </w:pPr>
            <w:r w:rsidRPr="003B2C9F">
              <w:rPr>
                <w:sz w:val="20"/>
                <w:szCs w:val="20"/>
              </w:rPr>
              <w:t>2.745,89</w:t>
            </w:r>
          </w:p>
        </w:tc>
        <w:tc>
          <w:tcPr>
            <w:tcW w:w="1503" w:type="dxa"/>
            <w:tcBorders>
              <w:top w:val="nil"/>
              <w:left w:val="nil"/>
              <w:bottom w:val="nil"/>
              <w:right w:val="nil"/>
            </w:tcBorders>
            <w:shd w:val="clear" w:color="auto" w:fill="auto"/>
            <w:noWrap/>
            <w:vAlign w:val="bottom"/>
            <w:hideMark/>
          </w:tcPr>
          <w:p w14:paraId="5A2BB346"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59896D41" w14:textId="77777777" w:rsidR="003B2C9F" w:rsidRPr="003B2C9F" w:rsidRDefault="003B2C9F" w:rsidP="003B2C9F">
            <w:pPr>
              <w:jc w:val="right"/>
              <w:rPr>
                <w:sz w:val="20"/>
                <w:szCs w:val="20"/>
              </w:rPr>
            </w:pPr>
            <w:r w:rsidRPr="003B2C9F">
              <w:rPr>
                <w:sz w:val="20"/>
                <w:szCs w:val="20"/>
              </w:rPr>
              <w:t>10.941,53</w:t>
            </w:r>
          </w:p>
        </w:tc>
        <w:tc>
          <w:tcPr>
            <w:tcW w:w="1525" w:type="dxa"/>
            <w:tcBorders>
              <w:top w:val="nil"/>
              <w:left w:val="nil"/>
              <w:bottom w:val="nil"/>
              <w:right w:val="nil"/>
            </w:tcBorders>
            <w:shd w:val="clear" w:color="auto" w:fill="auto"/>
            <w:noWrap/>
            <w:vAlign w:val="bottom"/>
            <w:hideMark/>
          </w:tcPr>
          <w:p w14:paraId="083134E0" w14:textId="77777777" w:rsidR="003B2C9F" w:rsidRPr="003B2C9F" w:rsidRDefault="003B2C9F" w:rsidP="003B2C9F">
            <w:pPr>
              <w:jc w:val="right"/>
              <w:rPr>
                <w:sz w:val="20"/>
                <w:szCs w:val="20"/>
              </w:rPr>
            </w:pPr>
            <w:r w:rsidRPr="003B2C9F">
              <w:rPr>
                <w:sz w:val="20"/>
                <w:szCs w:val="20"/>
              </w:rPr>
              <w:t>398,47</w:t>
            </w:r>
          </w:p>
        </w:tc>
        <w:tc>
          <w:tcPr>
            <w:tcW w:w="1000" w:type="dxa"/>
            <w:tcBorders>
              <w:top w:val="nil"/>
              <w:left w:val="nil"/>
              <w:bottom w:val="nil"/>
              <w:right w:val="nil"/>
            </w:tcBorders>
            <w:shd w:val="clear" w:color="auto" w:fill="auto"/>
            <w:noWrap/>
            <w:vAlign w:val="bottom"/>
            <w:hideMark/>
          </w:tcPr>
          <w:p w14:paraId="62C63C2E" w14:textId="77777777" w:rsidR="003B2C9F" w:rsidRPr="003B2C9F" w:rsidRDefault="003B2C9F" w:rsidP="003B2C9F">
            <w:pPr>
              <w:jc w:val="right"/>
              <w:rPr>
                <w:sz w:val="20"/>
                <w:szCs w:val="20"/>
              </w:rPr>
            </w:pPr>
          </w:p>
        </w:tc>
      </w:tr>
      <w:tr w:rsidR="003B2C9F" w:rsidRPr="003B2C9F" w14:paraId="2383C9C7" w14:textId="77777777" w:rsidTr="003B2C9F">
        <w:trPr>
          <w:trHeight w:val="300"/>
        </w:trPr>
        <w:tc>
          <w:tcPr>
            <w:tcW w:w="616" w:type="dxa"/>
            <w:tcBorders>
              <w:top w:val="nil"/>
              <w:left w:val="nil"/>
              <w:bottom w:val="nil"/>
              <w:right w:val="nil"/>
            </w:tcBorders>
            <w:shd w:val="clear" w:color="auto" w:fill="auto"/>
            <w:noWrap/>
            <w:vAlign w:val="bottom"/>
            <w:hideMark/>
          </w:tcPr>
          <w:p w14:paraId="0F3049D5" w14:textId="77777777" w:rsidR="003B2C9F" w:rsidRPr="003B2C9F" w:rsidRDefault="003B2C9F" w:rsidP="003B2C9F">
            <w:pPr>
              <w:rPr>
                <w:b/>
                <w:bCs/>
                <w:sz w:val="20"/>
                <w:szCs w:val="20"/>
              </w:rPr>
            </w:pPr>
            <w:r w:rsidRPr="003B2C9F">
              <w:rPr>
                <w:b/>
                <w:bCs/>
                <w:sz w:val="20"/>
                <w:szCs w:val="20"/>
              </w:rPr>
              <w:lastRenderedPageBreak/>
              <w:t>65</w:t>
            </w:r>
          </w:p>
        </w:tc>
        <w:tc>
          <w:tcPr>
            <w:tcW w:w="6472" w:type="dxa"/>
            <w:tcBorders>
              <w:top w:val="nil"/>
              <w:left w:val="nil"/>
              <w:bottom w:val="nil"/>
              <w:right w:val="nil"/>
            </w:tcBorders>
            <w:shd w:val="clear" w:color="auto" w:fill="auto"/>
            <w:noWrap/>
            <w:vAlign w:val="bottom"/>
            <w:hideMark/>
          </w:tcPr>
          <w:p w14:paraId="4A8D2C2C" w14:textId="77777777" w:rsidR="003B2C9F" w:rsidRPr="003B2C9F" w:rsidRDefault="003B2C9F" w:rsidP="003B2C9F">
            <w:pPr>
              <w:rPr>
                <w:b/>
                <w:bCs/>
                <w:sz w:val="20"/>
                <w:szCs w:val="20"/>
              </w:rPr>
            </w:pPr>
            <w:r w:rsidRPr="003B2C9F">
              <w:rPr>
                <w:b/>
                <w:bCs/>
                <w:sz w:val="20"/>
                <w:szCs w:val="20"/>
              </w:rPr>
              <w:t xml:space="preserve">Prihodi od upravnih i administrativnih pristojbi, pristojbi po posebnim propisima i naknada         </w:t>
            </w:r>
          </w:p>
        </w:tc>
        <w:tc>
          <w:tcPr>
            <w:tcW w:w="1559" w:type="dxa"/>
            <w:tcBorders>
              <w:top w:val="nil"/>
              <w:left w:val="nil"/>
              <w:bottom w:val="nil"/>
              <w:right w:val="nil"/>
            </w:tcBorders>
            <w:shd w:val="clear" w:color="auto" w:fill="auto"/>
            <w:noWrap/>
            <w:vAlign w:val="bottom"/>
            <w:hideMark/>
          </w:tcPr>
          <w:p w14:paraId="24E46BE1" w14:textId="77777777" w:rsidR="003B2C9F" w:rsidRPr="003B2C9F" w:rsidRDefault="003B2C9F" w:rsidP="003B2C9F">
            <w:pPr>
              <w:jc w:val="right"/>
              <w:rPr>
                <w:b/>
                <w:bCs/>
                <w:sz w:val="20"/>
                <w:szCs w:val="20"/>
              </w:rPr>
            </w:pPr>
            <w:r w:rsidRPr="003B2C9F">
              <w:rPr>
                <w:b/>
                <w:bCs/>
                <w:sz w:val="20"/>
                <w:szCs w:val="20"/>
              </w:rPr>
              <w:t>9.376.231,75</w:t>
            </w:r>
          </w:p>
        </w:tc>
        <w:tc>
          <w:tcPr>
            <w:tcW w:w="1503" w:type="dxa"/>
            <w:tcBorders>
              <w:top w:val="nil"/>
              <w:left w:val="nil"/>
              <w:bottom w:val="nil"/>
              <w:right w:val="nil"/>
            </w:tcBorders>
            <w:shd w:val="clear" w:color="auto" w:fill="auto"/>
            <w:noWrap/>
            <w:vAlign w:val="bottom"/>
            <w:hideMark/>
          </w:tcPr>
          <w:p w14:paraId="6A0B4CAF" w14:textId="77777777" w:rsidR="003B2C9F" w:rsidRPr="003B2C9F" w:rsidRDefault="003B2C9F" w:rsidP="003B2C9F">
            <w:pPr>
              <w:jc w:val="right"/>
              <w:rPr>
                <w:b/>
                <w:bCs/>
                <w:sz w:val="20"/>
                <w:szCs w:val="20"/>
              </w:rPr>
            </w:pPr>
            <w:r w:rsidRPr="003B2C9F">
              <w:rPr>
                <w:b/>
                <w:bCs/>
                <w:sz w:val="20"/>
                <w:szCs w:val="20"/>
              </w:rPr>
              <w:t>11.104.679,42</w:t>
            </w:r>
          </w:p>
        </w:tc>
        <w:tc>
          <w:tcPr>
            <w:tcW w:w="1366" w:type="dxa"/>
            <w:tcBorders>
              <w:top w:val="nil"/>
              <w:left w:val="nil"/>
              <w:bottom w:val="nil"/>
              <w:right w:val="nil"/>
            </w:tcBorders>
            <w:shd w:val="clear" w:color="auto" w:fill="auto"/>
            <w:noWrap/>
            <w:vAlign w:val="bottom"/>
            <w:hideMark/>
          </w:tcPr>
          <w:p w14:paraId="4E89CD62" w14:textId="77777777" w:rsidR="003B2C9F" w:rsidRPr="003B2C9F" w:rsidRDefault="003B2C9F" w:rsidP="003B2C9F">
            <w:pPr>
              <w:jc w:val="right"/>
              <w:rPr>
                <w:b/>
                <w:bCs/>
                <w:sz w:val="20"/>
                <w:szCs w:val="20"/>
              </w:rPr>
            </w:pPr>
            <w:r w:rsidRPr="003B2C9F">
              <w:rPr>
                <w:b/>
                <w:bCs/>
                <w:sz w:val="20"/>
                <w:szCs w:val="20"/>
              </w:rPr>
              <w:t>9.314.109,38</w:t>
            </w:r>
          </w:p>
        </w:tc>
        <w:tc>
          <w:tcPr>
            <w:tcW w:w="1525" w:type="dxa"/>
            <w:tcBorders>
              <w:top w:val="nil"/>
              <w:left w:val="nil"/>
              <w:bottom w:val="nil"/>
              <w:right w:val="nil"/>
            </w:tcBorders>
            <w:shd w:val="clear" w:color="auto" w:fill="auto"/>
            <w:noWrap/>
            <w:vAlign w:val="bottom"/>
            <w:hideMark/>
          </w:tcPr>
          <w:p w14:paraId="17991374" w14:textId="77777777" w:rsidR="003B2C9F" w:rsidRPr="003B2C9F" w:rsidRDefault="003B2C9F" w:rsidP="003B2C9F">
            <w:pPr>
              <w:jc w:val="right"/>
              <w:rPr>
                <w:b/>
                <w:bCs/>
                <w:sz w:val="20"/>
                <w:szCs w:val="20"/>
              </w:rPr>
            </w:pPr>
            <w:r w:rsidRPr="003B2C9F">
              <w:rPr>
                <w:b/>
                <w:bCs/>
                <w:sz w:val="20"/>
                <w:szCs w:val="20"/>
              </w:rPr>
              <w:t>99,34</w:t>
            </w:r>
          </w:p>
        </w:tc>
        <w:tc>
          <w:tcPr>
            <w:tcW w:w="1000" w:type="dxa"/>
            <w:tcBorders>
              <w:top w:val="nil"/>
              <w:left w:val="nil"/>
              <w:bottom w:val="nil"/>
              <w:right w:val="nil"/>
            </w:tcBorders>
            <w:shd w:val="clear" w:color="auto" w:fill="auto"/>
            <w:noWrap/>
            <w:vAlign w:val="bottom"/>
            <w:hideMark/>
          </w:tcPr>
          <w:p w14:paraId="668BFD5D" w14:textId="77777777" w:rsidR="003B2C9F" w:rsidRPr="003B2C9F" w:rsidRDefault="003B2C9F" w:rsidP="003B2C9F">
            <w:pPr>
              <w:jc w:val="right"/>
              <w:rPr>
                <w:b/>
                <w:bCs/>
                <w:sz w:val="20"/>
                <w:szCs w:val="20"/>
              </w:rPr>
            </w:pPr>
            <w:r w:rsidRPr="003B2C9F">
              <w:rPr>
                <w:b/>
                <w:bCs/>
                <w:sz w:val="20"/>
                <w:szCs w:val="20"/>
              </w:rPr>
              <w:t>83,88</w:t>
            </w:r>
          </w:p>
        </w:tc>
      </w:tr>
      <w:tr w:rsidR="003B2C9F" w:rsidRPr="003B2C9F" w14:paraId="4AF75219" w14:textId="77777777" w:rsidTr="003B2C9F">
        <w:trPr>
          <w:trHeight w:val="300"/>
        </w:trPr>
        <w:tc>
          <w:tcPr>
            <w:tcW w:w="616" w:type="dxa"/>
            <w:tcBorders>
              <w:top w:val="nil"/>
              <w:left w:val="nil"/>
              <w:bottom w:val="nil"/>
              <w:right w:val="nil"/>
            </w:tcBorders>
            <w:shd w:val="clear" w:color="auto" w:fill="auto"/>
            <w:noWrap/>
            <w:vAlign w:val="bottom"/>
            <w:hideMark/>
          </w:tcPr>
          <w:p w14:paraId="11E0ADD7" w14:textId="77777777" w:rsidR="003B2C9F" w:rsidRPr="003B2C9F" w:rsidRDefault="003B2C9F" w:rsidP="003B2C9F">
            <w:pPr>
              <w:rPr>
                <w:b/>
                <w:bCs/>
                <w:sz w:val="20"/>
                <w:szCs w:val="20"/>
              </w:rPr>
            </w:pPr>
            <w:r w:rsidRPr="003B2C9F">
              <w:rPr>
                <w:b/>
                <w:bCs/>
                <w:sz w:val="20"/>
                <w:szCs w:val="20"/>
              </w:rPr>
              <w:t>651</w:t>
            </w:r>
          </w:p>
        </w:tc>
        <w:tc>
          <w:tcPr>
            <w:tcW w:w="6472" w:type="dxa"/>
            <w:tcBorders>
              <w:top w:val="nil"/>
              <w:left w:val="nil"/>
              <w:bottom w:val="nil"/>
              <w:right w:val="nil"/>
            </w:tcBorders>
            <w:shd w:val="clear" w:color="auto" w:fill="auto"/>
            <w:noWrap/>
            <w:vAlign w:val="bottom"/>
            <w:hideMark/>
          </w:tcPr>
          <w:p w14:paraId="7379BCB6" w14:textId="77777777" w:rsidR="003B2C9F" w:rsidRPr="003B2C9F" w:rsidRDefault="003B2C9F" w:rsidP="003B2C9F">
            <w:pPr>
              <w:rPr>
                <w:b/>
                <w:bCs/>
                <w:sz w:val="20"/>
                <w:szCs w:val="20"/>
              </w:rPr>
            </w:pPr>
            <w:r w:rsidRPr="003B2C9F">
              <w:rPr>
                <w:b/>
                <w:bCs/>
                <w:sz w:val="20"/>
                <w:szCs w:val="20"/>
              </w:rPr>
              <w:t xml:space="preserve">Upravne i administrativne pristojbe                                                                 </w:t>
            </w:r>
          </w:p>
        </w:tc>
        <w:tc>
          <w:tcPr>
            <w:tcW w:w="1559" w:type="dxa"/>
            <w:tcBorders>
              <w:top w:val="nil"/>
              <w:left w:val="nil"/>
              <w:bottom w:val="nil"/>
              <w:right w:val="nil"/>
            </w:tcBorders>
            <w:shd w:val="clear" w:color="auto" w:fill="auto"/>
            <w:noWrap/>
            <w:vAlign w:val="bottom"/>
            <w:hideMark/>
          </w:tcPr>
          <w:p w14:paraId="20498762" w14:textId="77777777" w:rsidR="003B2C9F" w:rsidRPr="003B2C9F" w:rsidRDefault="003B2C9F" w:rsidP="003B2C9F">
            <w:pPr>
              <w:jc w:val="right"/>
              <w:rPr>
                <w:b/>
                <w:bCs/>
                <w:sz w:val="20"/>
                <w:szCs w:val="20"/>
              </w:rPr>
            </w:pPr>
            <w:r w:rsidRPr="003B2C9F">
              <w:rPr>
                <w:b/>
                <w:bCs/>
                <w:sz w:val="20"/>
                <w:szCs w:val="20"/>
              </w:rPr>
              <w:t>330.875,46</w:t>
            </w:r>
          </w:p>
        </w:tc>
        <w:tc>
          <w:tcPr>
            <w:tcW w:w="1503" w:type="dxa"/>
            <w:tcBorders>
              <w:top w:val="nil"/>
              <w:left w:val="nil"/>
              <w:bottom w:val="nil"/>
              <w:right w:val="nil"/>
            </w:tcBorders>
            <w:shd w:val="clear" w:color="auto" w:fill="auto"/>
            <w:noWrap/>
            <w:vAlign w:val="bottom"/>
            <w:hideMark/>
          </w:tcPr>
          <w:p w14:paraId="3FDB786B" w14:textId="77777777" w:rsidR="003B2C9F" w:rsidRPr="003B2C9F" w:rsidRDefault="003B2C9F" w:rsidP="003B2C9F">
            <w:pPr>
              <w:jc w:val="right"/>
              <w:rPr>
                <w:b/>
                <w:bCs/>
                <w:sz w:val="20"/>
                <w:szCs w:val="20"/>
              </w:rPr>
            </w:pPr>
            <w:r w:rsidRPr="003B2C9F">
              <w:rPr>
                <w:b/>
                <w:bCs/>
                <w:sz w:val="20"/>
                <w:szCs w:val="20"/>
              </w:rPr>
              <w:t>405.000,00</w:t>
            </w:r>
          </w:p>
        </w:tc>
        <w:tc>
          <w:tcPr>
            <w:tcW w:w="1366" w:type="dxa"/>
            <w:tcBorders>
              <w:top w:val="nil"/>
              <w:left w:val="nil"/>
              <w:bottom w:val="nil"/>
              <w:right w:val="nil"/>
            </w:tcBorders>
            <w:shd w:val="clear" w:color="auto" w:fill="auto"/>
            <w:noWrap/>
            <w:vAlign w:val="bottom"/>
            <w:hideMark/>
          </w:tcPr>
          <w:p w14:paraId="61A77517" w14:textId="77777777" w:rsidR="003B2C9F" w:rsidRPr="003B2C9F" w:rsidRDefault="003B2C9F" w:rsidP="003B2C9F">
            <w:pPr>
              <w:jc w:val="right"/>
              <w:rPr>
                <w:b/>
                <w:bCs/>
                <w:sz w:val="20"/>
                <w:szCs w:val="20"/>
              </w:rPr>
            </w:pPr>
            <w:r w:rsidRPr="003B2C9F">
              <w:rPr>
                <w:b/>
                <w:bCs/>
                <w:sz w:val="20"/>
                <w:szCs w:val="20"/>
              </w:rPr>
              <w:t>397.562,33</w:t>
            </w:r>
          </w:p>
        </w:tc>
        <w:tc>
          <w:tcPr>
            <w:tcW w:w="1525" w:type="dxa"/>
            <w:tcBorders>
              <w:top w:val="nil"/>
              <w:left w:val="nil"/>
              <w:bottom w:val="nil"/>
              <w:right w:val="nil"/>
            </w:tcBorders>
            <w:shd w:val="clear" w:color="auto" w:fill="auto"/>
            <w:noWrap/>
            <w:vAlign w:val="bottom"/>
            <w:hideMark/>
          </w:tcPr>
          <w:p w14:paraId="7043D37C" w14:textId="77777777" w:rsidR="003B2C9F" w:rsidRPr="003B2C9F" w:rsidRDefault="003B2C9F" w:rsidP="003B2C9F">
            <w:pPr>
              <w:jc w:val="right"/>
              <w:rPr>
                <w:b/>
                <w:bCs/>
                <w:sz w:val="20"/>
                <w:szCs w:val="20"/>
              </w:rPr>
            </w:pPr>
            <w:r w:rsidRPr="003B2C9F">
              <w:rPr>
                <w:b/>
                <w:bCs/>
                <w:sz w:val="20"/>
                <w:szCs w:val="20"/>
              </w:rPr>
              <w:t>120,15</w:t>
            </w:r>
          </w:p>
        </w:tc>
        <w:tc>
          <w:tcPr>
            <w:tcW w:w="1000" w:type="dxa"/>
            <w:tcBorders>
              <w:top w:val="nil"/>
              <w:left w:val="nil"/>
              <w:bottom w:val="nil"/>
              <w:right w:val="nil"/>
            </w:tcBorders>
            <w:shd w:val="clear" w:color="auto" w:fill="auto"/>
            <w:noWrap/>
            <w:vAlign w:val="bottom"/>
            <w:hideMark/>
          </w:tcPr>
          <w:p w14:paraId="75153DF8" w14:textId="77777777" w:rsidR="003B2C9F" w:rsidRPr="003B2C9F" w:rsidRDefault="003B2C9F" w:rsidP="003B2C9F">
            <w:pPr>
              <w:jc w:val="right"/>
              <w:rPr>
                <w:b/>
                <w:bCs/>
                <w:sz w:val="20"/>
                <w:szCs w:val="20"/>
              </w:rPr>
            </w:pPr>
            <w:r w:rsidRPr="003B2C9F">
              <w:rPr>
                <w:b/>
                <w:bCs/>
                <w:sz w:val="20"/>
                <w:szCs w:val="20"/>
              </w:rPr>
              <w:t>98,16</w:t>
            </w:r>
          </w:p>
        </w:tc>
      </w:tr>
      <w:tr w:rsidR="003B2C9F" w:rsidRPr="003B2C9F" w14:paraId="308B9761" w14:textId="77777777" w:rsidTr="003B2C9F">
        <w:trPr>
          <w:trHeight w:val="300"/>
        </w:trPr>
        <w:tc>
          <w:tcPr>
            <w:tcW w:w="616" w:type="dxa"/>
            <w:tcBorders>
              <w:top w:val="nil"/>
              <w:left w:val="nil"/>
              <w:bottom w:val="nil"/>
              <w:right w:val="nil"/>
            </w:tcBorders>
            <w:shd w:val="clear" w:color="auto" w:fill="auto"/>
            <w:noWrap/>
            <w:vAlign w:val="bottom"/>
            <w:hideMark/>
          </w:tcPr>
          <w:p w14:paraId="0D155E6E" w14:textId="77777777" w:rsidR="003B2C9F" w:rsidRPr="003B2C9F" w:rsidRDefault="003B2C9F" w:rsidP="003B2C9F">
            <w:pPr>
              <w:rPr>
                <w:sz w:val="20"/>
                <w:szCs w:val="20"/>
              </w:rPr>
            </w:pPr>
            <w:r w:rsidRPr="003B2C9F">
              <w:rPr>
                <w:sz w:val="20"/>
                <w:szCs w:val="20"/>
              </w:rPr>
              <w:t>6512</w:t>
            </w:r>
          </w:p>
        </w:tc>
        <w:tc>
          <w:tcPr>
            <w:tcW w:w="6472" w:type="dxa"/>
            <w:tcBorders>
              <w:top w:val="nil"/>
              <w:left w:val="nil"/>
              <w:bottom w:val="nil"/>
              <w:right w:val="nil"/>
            </w:tcBorders>
            <w:shd w:val="clear" w:color="auto" w:fill="auto"/>
            <w:vAlign w:val="bottom"/>
            <w:hideMark/>
          </w:tcPr>
          <w:p w14:paraId="07D4512B" w14:textId="77777777" w:rsidR="003B2C9F" w:rsidRPr="003B2C9F" w:rsidRDefault="003B2C9F" w:rsidP="003B2C9F">
            <w:pPr>
              <w:rPr>
                <w:sz w:val="20"/>
                <w:szCs w:val="20"/>
              </w:rPr>
            </w:pPr>
            <w:r w:rsidRPr="003B2C9F">
              <w:rPr>
                <w:sz w:val="20"/>
                <w:szCs w:val="20"/>
              </w:rPr>
              <w:t xml:space="preserve">Županijske, gradske i općinske pristojbe i naknade                                                  </w:t>
            </w:r>
          </w:p>
        </w:tc>
        <w:tc>
          <w:tcPr>
            <w:tcW w:w="1559" w:type="dxa"/>
            <w:tcBorders>
              <w:top w:val="nil"/>
              <w:left w:val="nil"/>
              <w:bottom w:val="nil"/>
              <w:right w:val="nil"/>
            </w:tcBorders>
            <w:shd w:val="clear" w:color="auto" w:fill="auto"/>
            <w:noWrap/>
            <w:vAlign w:val="bottom"/>
            <w:hideMark/>
          </w:tcPr>
          <w:p w14:paraId="773AA2BA" w14:textId="77777777" w:rsidR="003B2C9F" w:rsidRPr="003B2C9F" w:rsidRDefault="003B2C9F" w:rsidP="003B2C9F">
            <w:pPr>
              <w:jc w:val="right"/>
              <w:rPr>
                <w:sz w:val="20"/>
                <w:szCs w:val="20"/>
              </w:rPr>
            </w:pPr>
            <w:r w:rsidRPr="003B2C9F">
              <w:rPr>
                <w:sz w:val="20"/>
                <w:szCs w:val="20"/>
              </w:rPr>
              <w:t>38.868,42</w:t>
            </w:r>
          </w:p>
        </w:tc>
        <w:tc>
          <w:tcPr>
            <w:tcW w:w="1503" w:type="dxa"/>
            <w:tcBorders>
              <w:top w:val="nil"/>
              <w:left w:val="nil"/>
              <w:bottom w:val="nil"/>
              <w:right w:val="nil"/>
            </w:tcBorders>
            <w:shd w:val="clear" w:color="auto" w:fill="auto"/>
            <w:noWrap/>
            <w:vAlign w:val="bottom"/>
            <w:hideMark/>
          </w:tcPr>
          <w:p w14:paraId="1F81BE0C"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F648B3B" w14:textId="77777777" w:rsidR="003B2C9F" w:rsidRPr="003B2C9F" w:rsidRDefault="003B2C9F" w:rsidP="003B2C9F">
            <w:pPr>
              <w:jc w:val="right"/>
              <w:rPr>
                <w:sz w:val="20"/>
                <w:szCs w:val="20"/>
              </w:rPr>
            </w:pPr>
            <w:r w:rsidRPr="003B2C9F">
              <w:rPr>
                <w:sz w:val="20"/>
                <w:szCs w:val="20"/>
              </w:rPr>
              <w:t>36.877,19</w:t>
            </w:r>
          </w:p>
        </w:tc>
        <w:tc>
          <w:tcPr>
            <w:tcW w:w="1525" w:type="dxa"/>
            <w:tcBorders>
              <w:top w:val="nil"/>
              <w:left w:val="nil"/>
              <w:bottom w:val="nil"/>
              <w:right w:val="nil"/>
            </w:tcBorders>
            <w:shd w:val="clear" w:color="auto" w:fill="auto"/>
            <w:noWrap/>
            <w:vAlign w:val="bottom"/>
            <w:hideMark/>
          </w:tcPr>
          <w:p w14:paraId="5F3E2B1A" w14:textId="77777777" w:rsidR="003B2C9F" w:rsidRPr="003B2C9F" w:rsidRDefault="003B2C9F" w:rsidP="003B2C9F">
            <w:pPr>
              <w:jc w:val="right"/>
              <w:rPr>
                <w:sz w:val="20"/>
                <w:szCs w:val="20"/>
              </w:rPr>
            </w:pPr>
            <w:r w:rsidRPr="003B2C9F">
              <w:rPr>
                <w:sz w:val="20"/>
                <w:szCs w:val="20"/>
              </w:rPr>
              <w:t>94,88</w:t>
            </w:r>
          </w:p>
        </w:tc>
        <w:tc>
          <w:tcPr>
            <w:tcW w:w="1000" w:type="dxa"/>
            <w:tcBorders>
              <w:top w:val="nil"/>
              <w:left w:val="nil"/>
              <w:bottom w:val="nil"/>
              <w:right w:val="nil"/>
            </w:tcBorders>
            <w:shd w:val="clear" w:color="auto" w:fill="auto"/>
            <w:noWrap/>
            <w:vAlign w:val="bottom"/>
            <w:hideMark/>
          </w:tcPr>
          <w:p w14:paraId="6F086806" w14:textId="77777777" w:rsidR="003B2C9F" w:rsidRPr="003B2C9F" w:rsidRDefault="003B2C9F" w:rsidP="003B2C9F">
            <w:pPr>
              <w:jc w:val="right"/>
              <w:rPr>
                <w:sz w:val="20"/>
                <w:szCs w:val="20"/>
              </w:rPr>
            </w:pPr>
          </w:p>
        </w:tc>
      </w:tr>
      <w:tr w:rsidR="003B2C9F" w:rsidRPr="003B2C9F" w14:paraId="287D11F0" w14:textId="77777777" w:rsidTr="003B2C9F">
        <w:trPr>
          <w:trHeight w:val="300"/>
        </w:trPr>
        <w:tc>
          <w:tcPr>
            <w:tcW w:w="616" w:type="dxa"/>
            <w:tcBorders>
              <w:top w:val="nil"/>
              <w:left w:val="nil"/>
              <w:bottom w:val="nil"/>
              <w:right w:val="nil"/>
            </w:tcBorders>
            <w:shd w:val="clear" w:color="auto" w:fill="auto"/>
            <w:noWrap/>
            <w:vAlign w:val="bottom"/>
            <w:hideMark/>
          </w:tcPr>
          <w:p w14:paraId="763B3EF9" w14:textId="77777777" w:rsidR="003B2C9F" w:rsidRPr="003B2C9F" w:rsidRDefault="003B2C9F" w:rsidP="003B2C9F">
            <w:pPr>
              <w:rPr>
                <w:sz w:val="20"/>
                <w:szCs w:val="20"/>
              </w:rPr>
            </w:pPr>
            <w:r w:rsidRPr="003B2C9F">
              <w:rPr>
                <w:sz w:val="20"/>
                <w:szCs w:val="20"/>
              </w:rPr>
              <w:t>6513</w:t>
            </w:r>
          </w:p>
        </w:tc>
        <w:tc>
          <w:tcPr>
            <w:tcW w:w="6472" w:type="dxa"/>
            <w:tcBorders>
              <w:top w:val="nil"/>
              <w:left w:val="nil"/>
              <w:bottom w:val="nil"/>
              <w:right w:val="nil"/>
            </w:tcBorders>
            <w:shd w:val="clear" w:color="auto" w:fill="auto"/>
            <w:vAlign w:val="bottom"/>
            <w:hideMark/>
          </w:tcPr>
          <w:p w14:paraId="59EBD562" w14:textId="77777777" w:rsidR="003B2C9F" w:rsidRPr="003B2C9F" w:rsidRDefault="003B2C9F" w:rsidP="003B2C9F">
            <w:pPr>
              <w:rPr>
                <w:sz w:val="20"/>
                <w:szCs w:val="20"/>
              </w:rPr>
            </w:pPr>
            <w:r w:rsidRPr="003B2C9F">
              <w:rPr>
                <w:sz w:val="20"/>
                <w:szCs w:val="20"/>
              </w:rPr>
              <w:t xml:space="preserve">Ostale upravne pristojbe i naknade                                                                  </w:t>
            </w:r>
          </w:p>
        </w:tc>
        <w:tc>
          <w:tcPr>
            <w:tcW w:w="1559" w:type="dxa"/>
            <w:tcBorders>
              <w:top w:val="nil"/>
              <w:left w:val="nil"/>
              <w:bottom w:val="nil"/>
              <w:right w:val="nil"/>
            </w:tcBorders>
            <w:shd w:val="clear" w:color="auto" w:fill="auto"/>
            <w:noWrap/>
            <w:vAlign w:val="bottom"/>
            <w:hideMark/>
          </w:tcPr>
          <w:p w14:paraId="4766056A" w14:textId="77777777" w:rsidR="003B2C9F" w:rsidRPr="003B2C9F" w:rsidRDefault="003B2C9F" w:rsidP="003B2C9F">
            <w:pPr>
              <w:jc w:val="right"/>
              <w:rPr>
                <w:sz w:val="20"/>
                <w:szCs w:val="20"/>
              </w:rPr>
            </w:pPr>
            <w:r w:rsidRPr="003B2C9F">
              <w:rPr>
                <w:sz w:val="20"/>
                <w:szCs w:val="20"/>
              </w:rPr>
              <w:t>89.258,72</w:t>
            </w:r>
          </w:p>
        </w:tc>
        <w:tc>
          <w:tcPr>
            <w:tcW w:w="1503" w:type="dxa"/>
            <w:tcBorders>
              <w:top w:val="nil"/>
              <w:left w:val="nil"/>
              <w:bottom w:val="nil"/>
              <w:right w:val="nil"/>
            </w:tcBorders>
            <w:shd w:val="clear" w:color="auto" w:fill="auto"/>
            <w:noWrap/>
            <w:vAlign w:val="bottom"/>
            <w:hideMark/>
          </w:tcPr>
          <w:p w14:paraId="2FEA942B"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5542F53C" w14:textId="77777777" w:rsidR="003B2C9F" w:rsidRPr="003B2C9F" w:rsidRDefault="003B2C9F" w:rsidP="003B2C9F">
            <w:pPr>
              <w:jc w:val="right"/>
              <w:rPr>
                <w:sz w:val="20"/>
                <w:szCs w:val="20"/>
              </w:rPr>
            </w:pPr>
            <w:r w:rsidRPr="003B2C9F">
              <w:rPr>
                <w:sz w:val="20"/>
                <w:szCs w:val="20"/>
              </w:rPr>
              <w:t>51.469,82</w:t>
            </w:r>
          </w:p>
        </w:tc>
        <w:tc>
          <w:tcPr>
            <w:tcW w:w="1525" w:type="dxa"/>
            <w:tcBorders>
              <w:top w:val="nil"/>
              <w:left w:val="nil"/>
              <w:bottom w:val="nil"/>
              <w:right w:val="nil"/>
            </w:tcBorders>
            <w:shd w:val="clear" w:color="auto" w:fill="auto"/>
            <w:noWrap/>
            <w:vAlign w:val="bottom"/>
            <w:hideMark/>
          </w:tcPr>
          <w:p w14:paraId="04C6E0CF" w14:textId="77777777" w:rsidR="003B2C9F" w:rsidRPr="003B2C9F" w:rsidRDefault="003B2C9F" w:rsidP="003B2C9F">
            <w:pPr>
              <w:jc w:val="right"/>
              <w:rPr>
                <w:sz w:val="20"/>
                <w:szCs w:val="20"/>
              </w:rPr>
            </w:pPr>
            <w:r w:rsidRPr="003B2C9F">
              <w:rPr>
                <w:sz w:val="20"/>
                <w:szCs w:val="20"/>
              </w:rPr>
              <w:t>57,66</w:t>
            </w:r>
          </w:p>
        </w:tc>
        <w:tc>
          <w:tcPr>
            <w:tcW w:w="1000" w:type="dxa"/>
            <w:tcBorders>
              <w:top w:val="nil"/>
              <w:left w:val="nil"/>
              <w:bottom w:val="nil"/>
              <w:right w:val="nil"/>
            </w:tcBorders>
            <w:shd w:val="clear" w:color="auto" w:fill="auto"/>
            <w:noWrap/>
            <w:vAlign w:val="bottom"/>
            <w:hideMark/>
          </w:tcPr>
          <w:p w14:paraId="5CAB08CA" w14:textId="77777777" w:rsidR="003B2C9F" w:rsidRPr="003B2C9F" w:rsidRDefault="003B2C9F" w:rsidP="003B2C9F">
            <w:pPr>
              <w:jc w:val="right"/>
              <w:rPr>
                <w:sz w:val="20"/>
                <w:szCs w:val="20"/>
              </w:rPr>
            </w:pPr>
          </w:p>
        </w:tc>
      </w:tr>
      <w:tr w:rsidR="003B2C9F" w:rsidRPr="003B2C9F" w14:paraId="6879C45C" w14:textId="77777777" w:rsidTr="003B2C9F">
        <w:trPr>
          <w:trHeight w:val="300"/>
        </w:trPr>
        <w:tc>
          <w:tcPr>
            <w:tcW w:w="616" w:type="dxa"/>
            <w:tcBorders>
              <w:top w:val="nil"/>
              <w:left w:val="nil"/>
              <w:bottom w:val="nil"/>
              <w:right w:val="nil"/>
            </w:tcBorders>
            <w:shd w:val="clear" w:color="auto" w:fill="auto"/>
            <w:noWrap/>
            <w:vAlign w:val="bottom"/>
            <w:hideMark/>
          </w:tcPr>
          <w:p w14:paraId="6125F4E2" w14:textId="77777777" w:rsidR="003B2C9F" w:rsidRPr="003B2C9F" w:rsidRDefault="003B2C9F" w:rsidP="003B2C9F">
            <w:pPr>
              <w:rPr>
                <w:sz w:val="20"/>
                <w:szCs w:val="20"/>
              </w:rPr>
            </w:pPr>
            <w:r w:rsidRPr="003B2C9F">
              <w:rPr>
                <w:sz w:val="20"/>
                <w:szCs w:val="20"/>
              </w:rPr>
              <w:t>6514</w:t>
            </w:r>
          </w:p>
        </w:tc>
        <w:tc>
          <w:tcPr>
            <w:tcW w:w="6472" w:type="dxa"/>
            <w:tcBorders>
              <w:top w:val="nil"/>
              <w:left w:val="nil"/>
              <w:bottom w:val="nil"/>
              <w:right w:val="nil"/>
            </w:tcBorders>
            <w:shd w:val="clear" w:color="auto" w:fill="auto"/>
            <w:vAlign w:val="bottom"/>
            <w:hideMark/>
          </w:tcPr>
          <w:p w14:paraId="083073FF" w14:textId="77777777" w:rsidR="003B2C9F" w:rsidRPr="003B2C9F" w:rsidRDefault="003B2C9F" w:rsidP="003B2C9F">
            <w:pPr>
              <w:rPr>
                <w:sz w:val="20"/>
                <w:szCs w:val="20"/>
              </w:rPr>
            </w:pPr>
            <w:r w:rsidRPr="003B2C9F">
              <w:rPr>
                <w:sz w:val="20"/>
                <w:szCs w:val="20"/>
              </w:rPr>
              <w:t xml:space="preserve">Ostale pristojbe i naknade                                                                          </w:t>
            </w:r>
          </w:p>
        </w:tc>
        <w:tc>
          <w:tcPr>
            <w:tcW w:w="1559" w:type="dxa"/>
            <w:tcBorders>
              <w:top w:val="nil"/>
              <w:left w:val="nil"/>
              <w:bottom w:val="nil"/>
              <w:right w:val="nil"/>
            </w:tcBorders>
            <w:shd w:val="clear" w:color="auto" w:fill="auto"/>
            <w:noWrap/>
            <w:vAlign w:val="bottom"/>
            <w:hideMark/>
          </w:tcPr>
          <w:p w14:paraId="45DEB4B6" w14:textId="77777777" w:rsidR="003B2C9F" w:rsidRPr="003B2C9F" w:rsidRDefault="003B2C9F" w:rsidP="003B2C9F">
            <w:pPr>
              <w:jc w:val="right"/>
              <w:rPr>
                <w:sz w:val="20"/>
                <w:szCs w:val="20"/>
              </w:rPr>
            </w:pPr>
            <w:r w:rsidRPr="003B2C9F">
              <w:rPr>
                <w:sz w:val="20"/>
                <w:szCs w:val="20"/>
              </w:rPr>
              <w:t>202.748,32</w:t>
            </w:r>
          </w:p>
        </w:tc>
        <w:tc>
          <w:tcPr>
            <w:tcW w:w="1503" w:type="dxa"/>
            <w:tcBorders>
              <w:top w:val="nil"/>
              <w:left w:val="nil"/>
              <w:bottom w:val="nil"/>
              <w:right w:val="nil"/>
            </w:tcBorders>
            <w:shd w:val="clear" w:color="auto" w:fill="auto"/>
            <w:noWrap/>
            <w:vAlign w:val="bottom"/>
            <w:hideMark/>
          </w:tcPr>
          <w:p w14:paraId="0BC77101"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7D46E064" w14:textId="77777777" w:rsidR="003B2C9F" w:rsidRPr="003B2C9F" w:rsidRDefault="003B2C9F" w:rsidP="003B2C9F">
            <w:pPr>
              <w:jc w:val="right"/>
              <w:rPr>
                <w:sz w:val="20"/>
                <w:szCs w:val="20"/>
              </w:rPr>
            </w:pPr>
            <w:r w:rsidRPr="003B2C9F">
              <w:rPr>
                <w:sz w:val="20"/>
                <w:szCs w:val="20"/>
              </w:rPr>
              <w:t>309.215,32</w:t>
            </w:r>
          </w:p>
        </w:tc>
        <w:tc>
          <w:tcPr>
            <w:tcW w:w="1525" w:type="dxa"/>
            <w:tcBorders>
              <w:top w:val="nil"/>
              <w:left w:val="nil"/>
              <w:bottom w:val="nil"/>
              <w:right w:val="nil"/>
            </w:tcBorders>
            <w:shd w:val="clear" w:color="auto" w:fill="auto"/>
            <w:noWrap/>
            <w:vAlign w:val="bottom"/>
            <w:hideMark/>
          </w:tcPr>
          <w:p w14:paraId="231B62E7" w14:textId="77777777" w:rsidR="003B2C9F" w:rsidRPr="003B2C9F" w:rsidRDefault="003B2C9F" w:rsidP="003B2C9F">
            <w:pPr>
              <w:jc w:val="right"/>
              <w:rPr>
                <w:sz w:val="20"/>
                <w:szCs w:val="20"/>
              </w:rPr>
            </w:pPr>
            <w:r w:rsidRPr="003B2C9F">
              <w:rPr>
                <w:sz w:val="20"/>
                <w:szCs w:val="20"/>
              </w:rPr>
              <w:t>152,51</w:t>
            </w:r>
          </w:p>
        </w:tc>
        <w:tc>
          <w:tcPr>
            <w:tcW w:w="1000" w:type="dxa"/>
            <w:tcBorders>
              <w:top w:val="nil"/>
              <w:left w:val="nil"/>
              <w:bottom w:val="nil"/>
              <w:right w:val="nil"/>
            </w:tcBorders>
            <w:shd w:val="clear" w:color="auto" w:fill="auto"/>
            <w:noWrap/>
            <w:vAlign w:val="bottom"/>
            <w:hideMark/>
          </w:tcPr>
          <w:p w14:paraId="6CADF415" w14:textId="77777777" w:rsidR="003B2C9F" w:rsidRPr="003B2C9F" w:rsidRDefault="003B2C9F" w:rsidP="003B2C9F">
            <w:pPr>
              <w:jc w:val="right"/>
              <w:rPr>
                <w:sz w:val="20"/>
                <w:szCs w:val="20"/>
              </w:rPr>
            </w:pPr>
          </w:p>
        </w:tc>
      </w:tr>
      <w:tr w:rsidR="003B2C9F" w:rsidRPr="003B2C9F" w14:paraId="7E9D3DFC" w14:textId="77777777" w:rsidTr="003B2C9F">
        <w:trPr>
          <w:trHeight w:val="300"/>
        </w:trPr>
        <w:tc>
          <w:tcPr>
            <w:tcW w:w="616" w:type="dxa"/>
            <w:tcBorders>
              <w:top w:val="nil"/>
              <w:left w:val="nil"/>
              <w:bottom w:val="nil"/>
              <w:right w:val="nil"/>
            </w:tcBorders>
            <w:shd w:val="clear" w:color="auto" w:fill="auto"/>
            <w:noWrap/>
            <w:vAlign w:val="bottom"/>
            <w:hideMark/>
          </w:tcPr>
          <w:p w14:paraId="226EEBA5" w14:textId="77777777" w:rsidR="003B2C9F" w:rsidRPr="003B2C9F" w:rsidRDefault="003B2C9F" w:rsidP="003B2C9F">
            <w:pPr>
              <w:rPr>
                <w:b/>
                <w:bCs/>
                <w:sz w:val="20"/>
                <w:szCs w:val="20"/>
              </w:rPr>
            </w:pPr>
            <w:r w:rsidRPr="003B2C9F">
              <w:rPr>
                <w:b/>
                <w:bCs/>
                <w:sz w:val="20"/>
                <w:szCs w:val="20"/>
              </w:rPr>
              <w:t>652</w:t>
            </w:r>
          </w:p>
        </w:tc>
        <w:tc>
          <w:tcPr>
            <w:tcW w:w="6472" w:type="dxa"/>
            <w:tcBorders>
              <w:top w:val="nil"/>
              <w:left w:val="nil"/>
              <w:bottom w:val="nil"/>
              <w:right w:val="nil"/>
            </w:tcBorders>
            <w:shd w:val="clear" w:color="auto" w:fill="auto"/>
            <w:noWrap/>
            <w:vAlign w:val="bottom"/>
            <w:hideMark/>
          </w:tcPr>
          <w:p w14:paraId="1452D3D7" w14:textId="77777777" w:rsidR="003B2C9F" w:rsidRPr="003B2C9F" w:rsidRDefault="003B2C9F" w:rsidP="003B2C9F">
            <w:pPr>
              <w:rPr>
                <w:b/>
                <w:bCs/>
                <w:sz w:val="20"/>
                <w:szCs w:val="20"/>
              </w:rPr>
            </w:pPr>
            <w:r w:rsidRPr="003B2C9F">
              <w:rPr>
                <w:b/>
                <w:bCs/>
                <w:sz w:val="20"/>
                <w:szCs w:val="20"/>
              </w:rPr>
              <w:t xml:space="preserve">Prihodi po posebnim propisima                                                                       </w:t>
            </w:r>
          </w:p>
        </w:tc>
        <w:tc>
          <w:tcPr>
            <w:tcW w:w="1559" w:type="dxa"/>
            <w:tcBorders>
              <w:top w:val="nil"/>
              <w:left w:val="nil"/>
              <w:bottom w:val="nil"/>
              <w:right w:val="nil"/>
            </w:tcBorders>
            <w:shd w:val="clear" w:color="auto" w:fill="auto"/>
            <w:noWrap/>
            <w:vAlign w:val="bottom"/>
            <w:hideMark/>
          </w:tcPr>
          <w:p w14:paraId="489589BD" w14:textId="77777777" w:rsidR="003B2C9F" w:rsidRPr="003B2C9F" w:rsidRDefault="003B2C9F" w:rsidP="003B2C9F">
            <w:pPr>
              <w:jc w:val="right"/>
              <w:rPr>
                <w:b/>
                <w:bCs/>
                <w:sz w:val="20"/>
                <w:szCs w:val="20"/>
              </w:rPr>
            </w:pPr>
            <w:r w:rsidRPr="003B2C9F">
              <w:rPr>
                <w:b/>
                <w:bCs/>
                <w:sz w:val="20"/>
                <w:szCs w:val="20"/>
              </w:rPr>
              <w:t>1.261.054,15</w:t>
            </w:r>
          </w:p>
        </w:tc>
        <w:tc>
          <w:tcPr>
            <w:tcW w:w="1503" w:type="dxa"/>
            <w:tcBorders>
              <w:top w:val="nil"/>
              <w:left w:val="nil"/>
              <w:bottom w:val="nil"/>
              <w:right w:val="nil"/>
            </w:tcBorders>
            <w:shd w:val="clear" w:color="auto" w:fill="auto"/>
            <w:noWrap/>
            <w:vAlign w:val="bottom"/>
            <w:hideMark/>
          </w:tcPr>
          <w:p w14:paraId="2BD1FF10" w14:textId="77777777" w:rsidR="003B2C9F" w:rsidRPr="003B2C9F" w:rsidRDefault="003B2C9F" w:rsidP="003B2C9F">
            <w:pPr>
              <w:jc w:val="right"/>
              <w:rPr>
                <w:b/>
                <w:bCs/>
                <w:sz w:val="20"/>
                <w:szCs w:val="20"/>
              </w:rPr>
            </w:pPr>
            <w:r w:rsidRPr="003B2C9F">
              <w:rPr>
                <w:b/>
                <w:bCs/>
                <w:sz w:val="20"/>
                <w:szCs w:val="20"/>
              </w:rPr>
              <w:t>1.426.679,42</w:t>
            </w:r>
          </w:p>
        </w:tc>
        <w:tc>
          <w:tcPr>
            <w:tcW w:w="1366" w:type="dxa"/>
            <w:tcBorders>
              <w:top w:val="nil"/>
              <w:left w:val="nil"/>
              <w:bottom w:val="nil"/>
              <w:right w:val="nil"/>
            </w:tcBorders>
            <w:shd w:val="clear" w:color="auto" w:fill="auto"/>
            <w:noWrap/>
            <w:vAlign w:val="bottom"/>
            <w:hideMark/>
          </w:tcPr>
          <w:p w14:paraId="3232D5C4" w14:textId="77777777" w:rsidR="003B2C9F" w:rsidRPr="003B2C9F" w:rsidRDefault="003B2C9F" w:rsidP="003B2C9F">
            <w:pPr>
              <w:jc w:val="right"/>
              <w:rPr>
                <w:b/>
                <w:bCs/>
                <w:sz w:val="20"/>
                <w:szCs w:val="20"/>
              </w:rPr>
            </w:pPr>
            <w:r w:rsidRPr="003B2C9F">
              <w:rPr>
                <w:b/>
                <w:bCs/>
                <w:sz w:val="20"/>
                <w:szCs w:val="20"/>
              </w:rPr>
              <w:t>1.159.355,51</w:t>
            </w:r>
          </w:p>
        </w:tc>
        <w:tc>
          <w:tcPr>
            <w:tcW w:w="1525" w:type="dxa"/>
            <w:tcBorders>
              <w:top w:val="nil"/>
              <w:left w:val="nil"/>
              <w:bottom w:val="nil"/>
              <w:right w:val="nil"/>
            </w:tcBorders>
            <w:shd w:val="clear" w:color="auto" w:fill="auto"/>
            <w:noWrap/>
            <w:vAlign w:val="bottom"/>
            <w:hideMark/>
          </w:tcPr>
          <w:p w14:paraId="633F8895" w14:textId="77777777" w:rsidR="003B2C9F" w:rsidRPr="003B2C9F" w:rsidRDefault="003B2C9F" w:rsidP="003B2C9F">
            <w:pPr>
              <w:jc w:val="right"/>
              <w:rPr>
                <w:b/>
                <w:bCs/>
                <w:sz w:val="20"/>
                <w:szCs w:val="20"/>
              </w:rPr>
            </w:pPr>
            <w:r w:rsidRPr="003B2C9F">
              <w:rPr>
                <w:b/>
                <w:bCs/>
                <w:sz w:val="20"/>
                <w:szCs w:val="20"/>
              </w:rPr>
              <w:t>91,94</w:t>
            </w:r>
          </w:p>
        </w:tc>
        <w:tc>
          <w:tcPr>
            <w:tcW w:w="1000" w:type="dxa"/>
            <w:tcBorders>
              <w:top w:val="nil"/>
              <w:left w:val="nil"/>
              <w:bottom w:val="nil"/>
              <w:right w:val="nil"/>
            </w:tcBorders>
            <w:shd w:val="clear" w:color="auto" w:fill="auto"/>
            <w:noWrap/>
            <w:vAlign w:val="bottom"/>
            <w:hideMark/>
          </w:tcPr>
          <w:p w14:paraId="1767A7CE" w14:textId="77777777" w:rsidR="003B2C9F" w:rsidRPr="003B2C9F" w:rsidRDefault="003B2C9F" w:rsidP="003B2C9F">
            <w:pPr>
              <w:jc w:val="right"/>
              <w:rPr>
                <w:b/>
                <w:bCs/>
                <w:sz w:val="20"/>
                <w:szCs w:val="20"/>
              </w:rPr>
            </w:pPr>
            <w:r w:rsidRPr="003B2C9F">
              <w:rPr>
                <w:b/>
                <w:bCs/>
                <w:sz w:val="20"/>
                <w:szCs w:val="20"/>
              </w:rPr>
              <w:t>81,26</w:t>
            </w:r>
          </w:p>
        </w:tc>
      </w:tr>
      <w:tr w:rsidR="003B2C9F" w:rsidRPr="003B2C9F" w14:paraId="5A38EAFA" w14:textId="77777777" w:rsidTr="003B2C9F">
        <w:trPr>
          <w:trHeight w:val="300"/>
        </w:trPr>
        <w:tc>
          <w:tcPr>
            <w:tcW w:w="616" w:type="dxa"/>
            <w:tcBorders>
              <w:top w:val="nil"/>
              <w:left w:val="nil"/>
              <w:bottom w:val="nil"/>
              <w:right w:val="nil"/>
            </w:tcBorders>
            <w:shd w:val="clear" w:color="auto" w:fill="auto"/>
            <w:noWrap/>
            <w:vAlign w:val="bottom"/>
            <w:hideMark/>
          </w:tcPr>
          <w:p w14:paraId="715FD691" w14:textId="77777777" w:rsidR="003B2C9F" w:rsidRPr="003B2C9F" w:rsidRDefault="003B2C9F" w:rsidP="003B2C9F">
            <w:pPr>
              <w:rPr>
                <w:sz w:val="20"/>
                <w:szCs w:val="20"/>
              </w:rPr>
            </w:pPr>
            <w:r w:rsidRPr="003B2C9F">
              <w:rPr>
                <w:sz w:val="20"/>
                <w:szCs w:val="20"/>
              </w:rPr>
              <w:t>6521</w:t>
            </w:r>
          </w:p>
        </w:tc>
        <w:tc>
          <w:tcPr>
            <w:tcW w:w="6472" w:type="dxa"/>
            <w:tcBorders>
              <w:top w:val="nil"/>
              <w:left w:val="nil"/>
              <w:bottom w:val="nil"/>
              <w:right w:val="nil"/>
            </w:tcBorders>
            <w:shd w:val="clear" w:color="auto" w:fill="auto"/>
            <w:vAlign w:val="bottom"/>
            <w:hideMark/>
          </w:tcPr>
          <w:p w14:paraId="04B779C8" w14:textId="77777777" w:rsidR="003B2C9F" w:rsidRPr="003B2C9F" w:rsidRDefault="003B2C9F" w:rsidP="003B2C9F">
            <w:pPr>
              <w:rPr>
                <w:sz w:val="20"/>
                <w:szCs w:val="20"/>
              </w:rPr>
            </w:pPr>
            <w:r w:rsidRPr="003B2C9F">
              <w:rPr>
                <w:sz w:val="20"/>
                <w:szCs w:val="20"/>
              </w:rPr>
              <w:t xml:space="preserve">Prihodi državne uprave                                                                              </w:t>
            </w:r>
          </w:p>
        </w:tc>
        <w:tc>
          <w:tcPr>
            <w:tcW w:w="1559" w:type="dxa"/>
            <w:tcBorders>
              <w:top w:val="nil"/>
              <w:left w:val="nil"/>
              <w:bottom w:val="nil"/>
              <w:right w:val="nil"/>
            </w:tcBorders>
            <w:shd w:val="clear" w:color="auto" w:fill="auto"/>
            <w:noWrap/>
            <w:vAlign w:val="bottom"/>
            <w:hideMark/>
          </w:tcPr>
          <w:p w14:paraId="0DC79FF0" w14:textId="77777777" w:rsidR="003B2C9F" w:rsidRPr="003B2C9F" w:rsidRDefault="003B2C9F" w:rsidP="003B2C9F">
            <w:pPr>
              <w:jc w:val="right"/>
              <w:rPr>
                <w:sz w:val="20"/>
                <w:szCs w:val="20"/>
              </w:rPr>
            </w:pPr>
            <w:r w:rsidRPr="003B2C9F">
              <w:rPr>
                <w:sz w:val="20"/>
                <w:szCs w:val="20"/>
              </w:rPr>
              <w:t>0,00</w:t>
            </w:r>
          </w:p>
        </w:tc>
        <w:tc>
          <w:tcPr>
            <w:tcW w:w="1503" w:type="dxa"/>
            <w:tcBorders>
              <w:top w:val="nil"/>
              <w:left w:val="nil"/>
              <w:bottom w:val="nil"/>
              <w:right w:val="nil"/>
            </w:tcBorders>
            <w:shd w:val="clear" w:color="auto" w:fill="auto"/>
            <w:noWrap/>
            <w:vAlign w:val="bottom"/>
            <w:hideMark/>
          </w:tcPr>
          <w:p w14:paraId="3E4F6918"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077F8C53" w14:textId="77777777" w:rsidR="003B2C9F" w:rsidRPr="003B2C9F" w:rsidRDefault="003B2C9F" w:rsidP="003B2C9F">
            <w:pPr>
              <w:jc w:val="right"/>
              <w:rPr>
                <w:sz w:val="20"/>
                <w:szCs w:val="20"/>
              </w:rPr>
            </w:pPr>
            <w:r w:rsidRPr="003B2C9F">
              <w:rPr>
                <w:sz w:val="20"/>
                <w:szCs w:val="20"/>
              </w:rPr>
              <w:t>0,00</w:t>
            </w:r>
          </w:p>
        </w:tc>
        <w:tc>
          <w:tcPr>
            <w:tcW w:w="1525" w:type="dxa"/>
            <w:tcBorders>
              <w:top w:val="nil"/>
              <w:left w:val="nil"/>
              <w:bottom w:val="nil"/>
              <w:right w:val="nil"/>
            </w:tcBorders>
            <w:shd w:val="clear" w:color="auto" w:fill="auto"/>
            <w:noWrap/>
            <w:vAlign w:val="bottom"/>
            <w:hideMark/>
          </w:tcPr>
          <w:p w14:paraId="4336EE05" w14:textId="77777777" w:rsidR="003B2C9F" w:rsidRPr="003B2C9F" w:rsidRDefault="003B2C9F" w:rsidP="003B2C9F">
            <w:pPr>
              <w:jc w:val="right"/>
              <w:rPr>
                <w:sz w:val="20"/>
                <w:szCs w:val="20"/>
              </w:rPr>
            </w:pPr>
            <w:r w:rsidRPr="003B2C9F">
              <w:rPr>
                <w:sz w:val="20"/>
                <w:szCs w:val="20"/>
              </w:rPr>
              <w:t>0,00</w:t>
            </w:r>
          </w:p>
        </w:tc>
        <w:tc>
          <w:tcPr>
            <w:tcW w:w="1000" w:type="dxa"/>
            <w:tcBorders>
              <w:top w:val="nil"/>
              <w:left w:val="nil"/>
              <w:bottom w:val="nil"/>
              <w:right w:val="nil"/>
            </w:tcBorders>
            <w:shd w:val="clear" w:color="auto" w:fill="auto"/>
            <w:noWrap/>
            <w:vAlign w:val="bottom"/>
            <w:hideMark/>
          </w:tcPr>
          <w:p w14:paraId="2D56138E" w14:textId="77777777" w:rsidR="003B2C9F" w:rsidRPr="003B2C9F" w:rsidRDefault="003B2C9F" w:rsidP="003B2C9F">
            <w:pPr>
              <w:jc w:val="right"/>
              <w:rPr>
                <w:sz w:val="20"/>
                <w:szCs w:val="20"/>
              </w:rPr>
            </w:pPr>
          </w:p>
        </w:tc>
      </w:tr>
      <w:tr w:rsidR="003B2C9F" w:rsidRPr="003B2C9F" w14:paraId="054D426F" w14:textId="77777777" w:rsidTr="003B2C9F">
        <w:trPr>
          <w:trHeight w:val="300"/>
        </w:trPr>
        <w:tc>
          <w:tcPr>
            <w:tcW w:w="616" w:type="dxa"/>
            <w:tcBorders>
              <w:top w:val="nil"/>
              <w:left w:val="nil"/>
              <w:bottom w:val="nil"/>
              <w:right w:val="nil"/>
            </w:tcBorders>
            <w:shd w:val="clear" w:color="auto" w:fill="auto"/>
            <w:noWrap/>
            <w:vAlign w:val="bottom"/>
            <w:hideMark/>
          </w:tcPr>
          <w:p w14:paraId="549B6218" w14:textId="77777777" w:rsidR="003B2C9F" w:rsidRPr="003B2C9F" w:rsidRDefault="003B2C9F" w:rsidP="003B2C9F">
            <w:pPr>
              <w:rPr>
                <w:sz w:val="20"/>
                <w:szCs w:val="20"/>
              </w:rPr>
            </w:pPr>
            <w:r w:rsidRPr="003B2C9F">
              <w:rPr>
                <w:sz w:val="20"/>
                <w:szCs w:val="20"/>
              </w:rPr>
              <w:t>6522</w:t>
            </w:r>
          </w:p>
        </w:tc>
        <w:tc>
          <w:tcPr>
            <w:tcW w:w="6472" w:type="dxa"/>
            <w:tcBorders>
              <w:top w:val="nil"/>
              <w:left w:val="nil"/>
              <w:bottom w:val="nil"/>
              <w:right w:val="nil"/>
            </w:tcBorders>
            <w:shd w:val="clear" w:color="auto" w:fill="auto"/>
            <w:vAlign w:val="bottom"/>
            <w:hideMark/>
          </w:tcPr>
          <w:p w14:paraId="680F146C" w14:textId="77777777" w:rsidR="003B2C9F" w:rsidRPr="003B2C9F" w:rsidRDefault="003B2C9F" w:rsidP="003B2C9F">
            <w:pPr>
              <w:rPr>
                <w:sz w:val="20"/>
                <w:szCs w:val="20"/>
              </w:rPr>
            </w:pPr>
            <w:r w:rsidRPr="003B2C9F">
              <w:rPr>
                <w:sz w:val="20"/>
                <w:szCs w:val="20"/>
              </w:rPr>
              <w:t xml:space="preserve">Prihodi vodnog gospodarstva                                                                         </w:t>
            </w:r>
          </w:p>
        </w:tc>
        <w:tc>
          <w:tcPr>
            <w:tcW w:w="1559" w:type="dxa"/>
            <w:tcBorders>
              <w:top w:val="nil"/>
              <w:left w:val="nil"/>
              <w:bottom w:val="nil"/>
              <w:right w:val="nil"/>
            </w:tcBorders>
            <w:shd w:val="clear" w:color="auto" w:fill="auto"/>
            <w:noWrap/>
            <w:vAlign w:val="bottom"/>
            <w:hideMark/>
          </w:tcPr>
          <w:p w14:paraId="258F6E0B" w14:textId="77777777" w:rsidR="003B2C9F" w:rsidRPr="003B2C9F" w:rsidRDefault="003B2C9F" w:rsidP="003B2C9F">
            <w:pPr>
              <w:jc w:val="right"/>
              <w:rPr>
                <w:sz w:val="20"/>
                <w:szCs w:val="20"/>
              </w:rPr>
            </w:pPr>
            <w:r w:rsidRPr="003B2C9F">
              <w:rPr>
                <w:sz w:val="20"/>
                <w:szCs w:val="20"/>
              </w:rPr>
              <w:t>8.526,65</w:t>
            </w:r>
          </w:p>
        </w:tc>
        <w:tc>
          <w:tcPr>
            <w:tcW w:w="1503" w:type="dxa"/>
            <w:tcBorders>
              <w:top w:val="nil"/>
              <w:left w:val="nil"/>
              <w:bottom w:val="nil"/>
              <w:right w:val="nil"/>
            </w:tcBorders>
            <w:shd w:val="clear" w:color="auto" w:fill="auto"/>
            <w:noWrap/>
            <w:vAlign w:val="bottom"/>
            <w:hideMark/>
          </w:tcPr>
          <w:p w14:paraId="0A7D6AAD"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087217B0" w14:textId="77777777" w:rsidR="003B2C9F" w:rsidRPr="003B2C9F" w:rsidRDefault="003B2C9F" w:rsidP="003B2C9F">
            <w:pPr>
              <w:jc w:val="right"/>
              <w:rPr>
                <w:sz w:val="20"/>
                <w:szCs w:val="20"/>
              </w:rPr>
            </w:pPr>
            <w:r w:rsidRPr="003B2C9F">
              <w:rPr>
                <w:sz w:val="20"/>
                <w:szCs w:val="20"/>
              </w:rPr>
              <w:t>10.890,50</w:t>
            </w:r>
          </w:p>
        </w:tc>
        <w:tc>
          <w:tcPr>
            <w:tcW w:w="1525" w:type="dxa"/>
            <w:tcBorders>
              <w:top w:val="nil"/>
              <w:left w:val="nil"/>
              <w:bottom w:val="nil"/>
              <w:right w:val="nil"/>
            </w:tcBorders>
            <w:shd w:val="clear" w:color="auto" w:fill="auto"/>
            <w:noWrap/>
            <w:vAlign w:val="bottom"/>
            <w:hideMark/>
          </w:tcPr>
          <w:p w14:paraId="1C036E31" w14:textId="77777777" w:rsidR="003B2C9F" w:rsidRPr="003B2C9F" w:rsidRDefault="003B2C9F" w:rsidP="003B2C9F">
            <w:pPr>
              <w:jc w:val="right"/>
              <w:rPr>
                <w:sz w:val="20"/>
                <w:szCs w:val="20"/>
              </w:rPr>
            </w:pPr>
            <w:r w:rsidRPr="003B2C9F">
              <w:rPr>
                <w:sz w:val="20"/>
                <w:szCs w:val="20"/>
              </w:rPr>
              <w:t>127,72</w:t>
            </w:r>
          </w:p>
        </w:tc>
        <w:tc>
          <w:tcPr>
            <w:tcW w:w="1000" w:type="dxa"/>
            <w:tcBorders>
              <w:top w:val="nil"/>
              <w:left w:val="nil"/>
              <w:bottom w:val="nil"/>
              <w:right w:val="nil"/>
            </w:tcBorders>
            <w:shd w:val="clear" w:color="auto" w:fill="auto"/>
            <w:noWrap/>
            <w:vAlign w:val="bottom"/>
            <w:hideMark/>
          </w:tcPr>
          <w:p w14:paraId="4AA70A91" w14:textId="77777777" w:rsidR="003B2C9F" w:rsidRPr="003B2C9F" w:rsidRDefault="003B2C9F" w:rsidP="003B2C9F">
            <w:pPr>
              <w:jc w:val="right"/>
              <w:rPr>
                <w:sz w:val="20"/>
                <w:szCs w:val="20"/>
              </w:rPr>
            </w:pPr>
          </w:p>
        </w:tc>
      </w:tr>
      <w:tr w:rsidR="003B2C9F" w:rsidRPr="003B2C9F" w14:paraId="01C8DEB5" w14:textId="77777777" w:rsidTr="003B2C9F">
        <w:trPr>
          <w:trHeight w:val="300"/>
        </w:trPr>
        <w:tc>
          <w:tcPr>
            <w:tcW w:w="616" w:type="dxa"/>
            <w:tcBorders>
              <w:top w:val="nil"/>
              <w:left w:val="nil"/>
              <w:bottom w:val="nil"/>
              <w:right w:val="nil"/>
            </w:tcBorders>
            <w:shd w:val="clear" w:color="auto" w:fill="auto"/>
            <w:noWrap/>
            <w:vAlign w:val="bottom"/>
            <w:hideMark/>
          </w:tcPr>
          <w:p w14:paraId="7FFA430F" w14:textId="77777777" w:rsidR="003B2C9F" w:rsidRPr="003B2C9F" w:rsidRDefault="003B2C9F" w:rsidP="003B2C9F">
            <w:pPr>
              <w:rPr>
                <w:sz w:val="20"/>
                <w:szCs w:val="20"/>
              </w:rPr>
            </w:pPr>
            <w:r w:rsidRPr="003B2C9F">
              <w:rPr>
                <w:sz w:val="20"/>
                <w:szCs w:val="20"/>
              </w:rPr>
              <w:t>6524</w:t>
            </w:r>
          </w:p>
        </w:tc>
        <w:tc>
          <w:tcPr>
            <w:tcW w:w="6472" w:type="dxa"/>
            <w:tcBorders>
              <w:top w:val="nil"/>
              <w:left w:val="nil"/>
              <w:bottom w:val="nil"/>
              <w:right w:val="nil"/>
            </w:tcBorders>
            <w:shd w:val="clear" w:color="auto" w:fill="auto"/>
            <w:vAlign w:val="bottom"/>
            <w:hideMark/>
          </w:tcPr>
          <w:p w14:paraId="3EEB9321" w14:textId="77777777" w:rsidR="003B2C9F" w:rsidRPr="003B2C9F" w:rsidRDefault="003B2C9F" w:rsidP="003B2C9F">
            <w:pPr>
              <w:rPr>
                <w:sz w:val="20"/>
                <w:szCs w:val="20"/>
              </w:rPr>
            </w:pPr>
            <w:r w:rsidRPr="003B2C9F">
              <w:rPr>
                <w:sz w:val="20"/>
                <w:szCs w:val="20"/>
              </w:rPr>
              <w:t xml:space="preserve">Doprinosi za šume                                                                                   </w:t>
            </w:r>
          </w:p>
        </w:tc>
        <w:tc>
          <w:tcPr>
            <w:tcW w:w="1559" w:type="dxa"/>
            <w:tcBorders>
              <w:top w:val="nil"/>
              <w:left w:val="nil"/>
              <w:bottom w:val="nil"/>
              <w:right w:val="nil"/>
            </w:tcBorders>
            <w:shd w:val="clear" w:color="auto" w:fill="auto"/>
            <w:noWrap/>
            <w:vAlign w:val="bottom"/>
            <w:hideMark/>
          </w:tcPr>
          <w:p w14:paraId="6E783C6A" w14:textId="77777777" w:rsidR="003B2C9F" w:rsidRPr="003B2C9F" w:rsidRDefault="003B2C9F" w:rsidP="003B2C9F">
            <w:pPr>
              <w:jc w:val="right"/>
              <w:rPr>
                <w:sz w:val="20"/>
                <w:szCs w:val="20"/>
              </w:rPr>
            </w:pPr>
            <w:r w:rsidRPr="003B2C9F">
              <w:rPr>
                <w:sz w:val="20"/>
                <w:szCs w:val="20"/>
              </w:rPr>
              <w:t>4.932,47</w:t>
            </w:r>
          </w:p>
        </w:tc>
        <w:tc>
          <w:tcPr>
            <w:tcW w:w="1503" w:type="dxa"/>
            <w:tcBorders>
              <w:top w:val="nil"/>
              <w:left w:val="nil"/>
              <w:bottom w:val="nil"/>
              <w:right w:val="nil"/>
            </w:tcBorders>
            <w:shd w:val="clear" w:color="auto" w:fill="auto"/>
            <w:noWrap/>
            <w:vAlign w:val="bottom"/>
            <w:hideMark/>
          </w:tcPr>
          <w:p w14:paraId="15B2B023"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031BEB7C" w14:textId="77777777" w:rsidR="003B2C9F" w:rsidRPr="003B2C9F" w:rsidRDefault="003B2C9F" w:rsidP="003B2C9F">
            <w:pPr>
              <w:jc w:val="right"/>
              <w:rPr>
                <w:sz w:val="20"/>
                <w:szCs w:val="20"/>
              </w:rPr>
            </w:pPr>
            <w:r w:rsidRPr="003B2C9F">
              <w:rPr>
                <w:sz w:val="20"/>
                <w:szCs w:val="20"/>
              </w:rPr>
              <w:t>16,95</w:t>
            </w:r>
          </w:p>
        </w:tc>
        <w:tc>
          <w:tcPr>
            <w:tcW w:w="1525" w:type="dxa"/>
            <w:tcBorders>
              <w:top w:val="nil"/>
              <w:left w:val="nil"/>
              <w:bottom w:val="nil"/>
              <w:right w:val="nil"/>
            </w:tcBorders>
            <w:shd w:val="clear" w:color="auto" w:fill="auto"/>
            <w:noWrap/>
            <w:vAlign w:val="bottom"/>
            <w:hideMark/>
          </w:tcPr>
          <w:p w14:paraId="6125B36F" w14:textId="77777777" w:rsidR="003B2C9F" w:rsidRPr="003B2C9F" w:rsidRDefault="003B2C9F" w:rsidP="003B2C9F">
            <w:pPr>
              <w:jc w:val="right"/>
              <w:rPr>
                <w:sz w:val="20"/>
                <w:szCs w:val="20"/>
              </w:rPr>
            </w:pPr>
            <w:r w:rsidRPr="003B2C9F">
              <w:rPr>
                <w:sz w:val="20"/>
                <w:szCs w:val="20"/>
              </w:rPr>
              <w:t>0,34</w:t>
            </w:r>
          </w:p>
        </w:tc>
        <w:tc>
          <w:tcPr>
            <w:tcW w:w="1000" w:type="dxa"/>
            <w:tcBorders>
              <w:top w:val="nil"/>
              <w:left w:val="nil"/>
              <w:bottom w:val="nil"/>
              <w:right w:val="nil"/>
            </w:tcBorders>
            <w:shd w:val="clear" w:color="auto" w:fill="auto"/>
            <w:noWrap/>
            <w:vAlign w:val="bottom"/>
            <w:hideMark/>
          </w:tcPr>
          <w:p w14:paraId="7E619CCA" w14:textId="77777777" w:rsidR="003B2C9F" w:rsidRPr="003B2C9F" w:rsidRDefault="003B2C9F" w:rsidP="003B2C9F">
            <w:pPr>
              <w:jc w:val="right"/>
              <w:rPr>
                <w:sz w:val="20"/>
                <w:szCs w:val="20"/>
              </w:rPr>
            </w:pPr>
          </w:p>
        </w:tc>
      </w:tr>
      <w:tr w:rsidR="003B2C9F" w:rsidRPr="003B2C9F" w14:paraId="3F33CBB1" w14:textId="77777777" w:rsidTr="003B2C9F">
        <w:trPr>
          <w:trHeight w:val="300"/>
        </w:trPr>
        <w:tc>
          <w:tcPr>
            <w:tcW w:w="616" w:type="dxa"/>
            <w:tcBorders>
              <w:top w:val="nil"/>
              <w:left w:val="nil"/>
              <w:bottom w:val="nil"/>
              <w:right w:val="nil"/>
            </w:tcBorders>
            <w:shd w:val="clear" w:color="auto" w:fill="auto"/>
            <w:noWrap/>
            <w:vAlign w:val="bottom"/>
            <w:hideMark/>
          </w:tcPr>
          <w:p w14:paraId="121479D5" w14:textId="77777777" w:rsidR="003B2C9F" w:rsidRPr="003B2C9F" w:rsidRDefault="003B2C9F" w:rsidP="003B2C9F">
            <w:pPr>
              <w:rPr>
                <w:sz w:val="20"/>
                <w:szCs w:val="20"/>
              </w:rPr>
            </w:pPr>
            <w:r w:rsidRPr="003B2C9F">
              <w:rPr>
                <w:sz w:val="20"/>
                <w:szCs w:val="20"/>
              </w:rPr>
              <w:t>6526</w:t>
            </w:r>
          </w:p>
        </w:tc>
        <w:tc>
          <w:tcPr>
            <w:tcW w:w="6472" w:type="dxa"/>
            <w:tcBorders>
              <w:top w:val="nil"/>
              <w:left w:val="nil"/>
              <w:bottom w:val="nil"/>
              <w:right w:val="nil"/>
            </w:tcBorders>
            <w:shd w:val="clear" w:color="auto" w:fill="auto"/>
            <w:vAlign w:val="bottom"/>
            <w:hideMark/>
          </w:tcPr>
          <w:p w14:paraId="36929D13" w14:textId="77777777" w:rsidR="003B2C9F" w:rsidRPr="003B2C9F" w:rsidRDefault="003B2C9F" w:rsidP="003B2C9F">
            <w:pPr>
              <w:rPr>
                <w:sz w:val="20"/>
                <w:szCs w:val="20"/>
              </w:rPr>
            </w:pPr>
            <w:r w:rsidRPr="003B2C9F">
              <w:rPr>
                <w:sz w:val="20"/>
                <w:szCs w:val="20"/>
              </w:rPr>
              <w:t xml:space="preserve">Ostali nespomenuti prihodi                                                                          </w:t>
            </w:r>
          </w:p>
        </w:tc>
        <w:tc>
          <w:tcPr>
            <w:tcW w:w="1559" w:type="dxa"/>
            <w:tcBorders>
              <w:top w:val="nil"/>
              <w:left w:val="nil"/>
              <w:bottom w:val="nil"/>
              <w:right w:val="nil"/>
            </w:tcBorders>
            <w:shd w:val="clear" w:color="auto" w:fill="auto"/>
            <w:noWrap/>
            <w:vAlign w:val="bottom"/>
            <w:hideMark/>
          </w:tcPr>
          <w:p w14:paraId="31A0B154" w14:textId="77777777" w:rsidR="003B2C9F" w:rsidRPr="003B2C9F" w:rsidRDefault="003B2C9F" w:rsidP="003B2C9F">
            <w:pPr>
              <w:jc w:val="right"/>
              <w:rPr>
                <w:sz w:val="20"/>
                <w:szCs w:val="20"/>
              </w:rPr>
            </w:pPr>
            <w:r w:rsidRPr="003B2C9F">
              <w:rPr>
                <w:sz w:val="20"/>
                <w:szCs w:val="20"/>
              </w:rPr>
              <w:t>1.247.595,03</w:t>
            </w:r>
          </w:p>
        </w:tc>
        <w:tc>
          <w:tcPr>
            <w:tcW w:w="1503" w:type="dxa"/>
            <w:tcBorders>
              <w:top w:val="nil"/>
              <w:left w:val="nil"/>
              <w:bottom w:val="nil"/>
              <w:right w:val="nil"/>
            </w:tcBorders>
            <w:shd w:val="clear" w:color="auto" w:fill="auto"/>
            <w:noWrap/>
            <w:vAlign w:val="bottom"/>
            <w:hideMark/>
          </w:tcPr>
          <w:p w14:paraId="7CBFABAB"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6029BC40" w14:textId="77777777" w:rsidR="003B2C9F" w:rsidRPr="003B2C9F" w:rsidRDefault="003B2C9F" w:rsidP="003B2C9F">
            <w:pPr>
              <w:jc w:val="right"/>
              <w:rPr>
                <w:sz w:val="20"/>
                <w:szCs w:val="20"/>
              </w:rPr>
            </w:pPr>
            <w:r w:rsidRPr="003B2C9F">
              <w:rPr>
                <w:sz w:val="20"/>
                <w:szCs w:val="20"/>
              </w:rPr>
              <w:t>1.148.448,06</w:t>
            </w:r>
          </w:p>
        </w:tc>
        <w:tc>
          <w:tcPr>
            <w:tcW w:w="1525" w:type="dxa"/>
            <w:tcBorders>
              <w:top w:val="nil"/>
              <w:left w:val="nil"/>
              <w:bottom w:val="nil"/>
              <w:right w:val="nil"/>
            </w:tcBorders>
            <w:shd w:val="clear" w:color="auto" w:fill="auto"/>
            <w:noWrap/>
            <w:vAlign w:val="bottom"/>
            <w:hideMark/>
          </w:tcPr>
          <w:p w14:paraId="3C27CA47" w14:textId="77777777" w:rsidR="003B2C9F" w:rsidRPr="003B2C9F" w:rsidRDefault="003B2C9F" w:rsidP="003B2C9F">
            <w:pPr>
              <w:jc w:val="right"/>
              <w:rPr>
                <w:sz w:val="20"/>
                <w:szCs w:val="20"/>
              </w:rPr>
            </w:pPr>
            <w:r w:rsidRPr="003B2C9F">
              <w:rPr>
                <w:sz w:val="20"/>
                <w:szCs w:val="20"/>
              </w:rPr>
              <w:t>92,05</w:t>
            </w:r>
          </w:p>
        </w:tc>
        <w:tc>
          <w:tcPr>
            <w:tcW w:w="1000" w:type="dxa"/>
            <w:tcBorders>
              <w:top w:val="nil"/>
              <w:left w:val="nil"/>
              <w:bottom w:val="nil"/>
              <w:right w:val="nil"/>
            </w:tcBorders>
            <w:shd w:val="clear" w:color="auto" w:fill="auto"/>
            <w:noWrap/>
            <w:vAlign w:val="bottom"/>
            <w:hideMark/>
          </w:tcPr>
          <w:p w14:paraId="5D87D644" w14:textId="77777777" w:rsidR="003B2C9F" w:rsidRPr="003B2C9F" w:rsidRDefault="003B2C9F" w:rsidP="003B2C9F">
            <w:pPr>
              <w:jc w:val="right"/>
              <w:rPr>
                <w:sz w:val="20"/>
                <w:szCs w:val="20"/>
              </w:rPr>
            </w:pPr>
          </w:p>
        </w:tc>
      </w:tr>
      <w:tr w:rsidR="003B2C9F" w:rsidRPr="003B2C9F" w14:paraId="6B61DF59" w14:textId="77777777" w:rsidTr="003B2C9F">
        <w:trPr>
          <w:trHeight w:val="300"/>
        </w:trPr>
        <w:tc>
          <w:tcPr>
            <w:tcW w:w="616" w:type="dxa"/>
            <w:tcBorders>
              <w:top w:val="nil"/>
              <w:left w:val="nil"/>
              <w:bottom w:val="nil"/>
              <w:right w:val="nil"/>
            </w:tcBorders>
            <w:shd w:val="clear" w:color="auto" w:fill="auto"/>
            <w:noWrap/>
            <w:vAlign w:val="bottom"/>
            <w:hideMark/>
          </w:tcPr>
          <w:p w14:paraId="411A08BD" w14:textId="77777777" w:rsidR="003B2C9F" w:rsidRPr="003B2C9F" w:rsidRDefault="003B2C9F" w:rsidP="003B2C9F">
            <w:pPr>
              <w:rPr>
                <w:b/>
                <w:bCs/>
                <w:sz w:val="20"/>
                <w:szCs w:val="20"/>
              </w:rPr>
            </w:pPr>
            <w:r w:rsidRPr="003B2C9F">
              <w:rPr>
                <w:b/>
                <w:bCs/>
                <w:sz w:val="20"/>
                <w:szCs w:val="20"/>
              </w:rPr>
              <w:t>653</w:t>
            </w:r>
          </w:p>
        </w:tc>
        <w:tc>
          <w:tcPr>
            <w:tcW w:w="6472" w:type="dxa"/>
            <w:tcBorders>
              <w:top w:val="nil"/>
              <w:left w:val="nil"/>
              <w:bottom w:val="nil"/>
              <w:right w:val="nil"/>
            </w:tcBorders>
            <w:shd w:val="clear" w:color="auto" w:fill="auto"/>
            <w:noWrap/>
            <w:vAlign w:val="bottom"/>
            <w:hideMark/>
          </w:tcPr>
          <w:p w14:paraId="1ECE006C" w14:textId="77777777" w:rsidR="003B2C9F" w:rsidRPr="003B2C9F" w:rsidRDefault="003B2C9F" w:rsidP="003B2C9F">
            <w:pPr>
              <w:rPr>
                <w:b/>
                <w:bCs/>
                <w:sz w:val="20"/>
                <w:szCs w:val="20"/>
              </w:rPr>
            </w:pPr>
            <w:r w:rsidRPr="003B2C9F">
              <w:rPr>
                <w:b/>
                <w:bCs/>
                <w:sz w:val="20"/>
                <w:szCs w:val="20"/>
              </w:rPr>
              <w:t xml:space="preserve">Komunalni doprinosi i naknade                                                                       </w:t>
            </w:r>
          </w:p>
        </w:tc>
        <w:tc>
          <w:tcPr>
            <w:tcW w:w="1559" w:type="dxa"/>
            <w:tcBorders>
              <w:top w:val="nil"/>
              <w:left w:val="nil"/>
              <w:bottom w:val="nil"/>
              <w:right w:val="nil"/>
            </w:tcBorders>
            <w:shd w:val="clear" w:color="auto" w:fill="auto"/>
            <w:noWrap/>
            <w:vAlign w:val="bottom"/>
            <w:hideMark/>
          </w:tcPr>
          <w:p w14:paraId="5FF2E6D4" w14:textId="77777777" w:rsidR="003B2C9F" w:rsidRPr="003B2C9F" w:rsidRDefault="003B2C9F" w:rsidP="003B2C9F">
            <w:pPr>
              <w:jc w:val="right"/>
              <w:rPr>
                <w:b/>
                <w:bCs/>
                <w:sz w:val="20"/>
                <w:szCs w:val="20"/>
              </w:rPr>
            </w:pPr>
            <w:r w:rsidRPr="003B2C9F">
              <w:rPr>
                <w:b/>
                <w:bCs/>
                <w:sz w:val="20"/>
                <w:szCs w:val="20"/>
              </w:rPr>
              <w:t>7.784.302,14</w:t>
            </w:r>
          </w:p>
        </w:tc>
        <w:tc>
          <w:tcPr>
            <w:tcW w:w="1503" w:type="dxa"/>
            <w:tcBorders>
              <w:top w:val="nil"/>
              <w:left w:val="nil"/>
              <w:bottom w:val="nil"/>
              <w:right w:val="nil"/>
            </w:tcBorders>
            <w:shd w:val="clear" w:color="auto" w:fill="auto"/>
            <w:noWrap/>
            <w:vAlign w:val="bottom"/>
            <w:hideMark/>
          </w:tcPr>
          <w:p w14:paraId="048E4AAE" w14:textId="77777777" w:rsidR="003B2C9F" w:rsidRPr="003B2C9F" w:rsidRDefault="003B2C9F" w:rsidP="003B2C9F">
            <w:pPr>
              <w:jc w:val="right"/>
              <w:rPr>
                <w:b/>
                <w:bCs/>
                <w:sz w:val="20"/>
                <w:szCs w:val="20"/>
              </w:rPr>
            </w:pPr>
            <w:r w:rsidRPr="003B2C9F">
              <w:rPr>
                <w:b/>
                <w:bCs/>
                <w:sz w:val="20"/>
                <w:szCs w:val="20"/>
              </w:rPr>
              <w:t>9.273.000,00</w:t>
            </w:r>
          </w:p>
        </w:tc>
        <w:tc>
          <w:tcPr>
            <w:tcW w:w="1366" w:type="dxa"/>
            <w:tcBorders>
              <w:top w:val="nil"/>
              <w:left w:val="nil"/>
              <w:bottom w:val="nil"/>
              <w:right w:val="nil"/>
            </w:tcBorders>
            <w:shd w:val="clear" w:color="auto" w:fill="auto"/>
            <w:noWrap/>
            <w:vAlign w:val="bottom"/>
            <w:hideMark/>
          </w:tcPr>
          <w:p w14:paraId="61D3ABC2" w14:textId="77777777" w:rsidR="003B2C9F" w:rsidRPr="003B2C9F" w:rsidRDefault="003B2C9F" w:rsidP="003B2C9F">
            <w:pPr>
              <w:jc w:val="right"/>
              <w:rPr>
                <w:b/>
                <w:bCs/>
                <w:sz w:val="20"/>
                <w:szCs w:val="20"/>
              </w:rPr>
            </w:pPr>
            <w:r w:rsidRPr="003B2C9F">
              <w:rPr>
                <w:b/>
                <w:bCs/>
                <w:sz w:val="20"/>
                <w:szCs w:val="20"/>
              </w:rPr>
              <w:t>7.757.191,54</w:t>
            </w:r>
          </w:p>
        </w:tc>
        <w:tc>
          <w:tcPr>
            <w:tcW w:w="1525" w:type="dxa"/>
            <w:tcBorders>
              <w:top w:val="nil"/>
              <w:left w:val="nil"/>
              <w:bottom w:val="nil"/>
              <w:right w:val="nil"/>
            </w:tcBorders>
            <w:shd w:val="clear" w:color="auto" w:fill="auto"/>
            <w:noWrap/>
            <w:vAlign w:val="bottom"/>
            <w:hideMark/>
          </w:tcPr>
          <w:p w14:paraId="1071144F" w14:textId="77777777" w:rsidR="003B2C9F" w:rsidRPr="003B2C9F" w:rsidRDefault="003B2C9F" w:rsidP="003B2C9F">
            <w:pPr>
              <w:jc w:val="right"/>
              <w:rPr>
                <w:b/>
                <w:bCs/>
                <w:sz w:val="20"/>
                <w:szCs w:val="20"/>
              </w:rPr>
            </w:pPr>
            <w:r w:rsidRPr="003B2C9F">
              <w:rPr>
                <w:b/>
                <w:bCs/>
                <w:sz w:val="20"/>
                <w:szCs w:val="20"/>
              </w:rPr>
              <w:t>99,65</w:t>
            </w:r>
          </w:p>
        </w:tc>
        <w:tc>
          <w:tcPr>
            <w:tcW w:w="1000" w:type="dxa"/>
            <w:tcBorders>
              <w:top w:val="nil"/>
              <w:left w:val="nil"/>
              <w:bottom w:val="nil"/>
              <w:right w:val="nil"/>
            </w:tcBorders>
            <w:shd w:val="clear" w:color="auto" w:fill="auto"/>
            <w:noWrap/>
            <w:vAlign w:val="bottom"/>
            <w:hideMark/>
          </w:tcPr>
          <w:p w14:paraId="5D24E494" w14:textId="77777777" w:rsidR="003B2C9F" w:rsidRPr="003B2C9F" w:rsidRDefault="003B2C9F" w:rsidP="003B2C9F">
            <w:pPr>
              <w:jc w:val="right"/>
              <w:rPr>
                <w:b/>
                <w:bCs/>
                <w:sz w:val="20"/>
                <w:szCs w:val="20"/>
              </w:rPr>
            </w:pPr>
            <w:r w:rsidRPr="003B2C9F">
              <w:rPr>
                <w:b/>
                <w:bCs/>
                <w:sz w:val="20"/>
                <w:szCs w:val="20"/>
              </w:rPr>
              <w:t>83,65</w:t>
            </w:r>
          </w:p>
        </w:tc>
      </w:tr>
      <w:tr w:rsidR="003B2C9F" w:rsidRPr="003B2C9F" w14:paraId="67E88ACB" w14:textId="77777777" w:rsidTr="003B2C9F">
        <w:trPr>
          <w:trHeight w:val="300"/>
        </w:trPr>
        <w:tc>
          <w:tcPr>
            <w:tcW w:w="616" w:type="dxa"/>
            <w:tcBorders>
              <w:top w:val="nil"/>
              <w:left w:val="nil"/>
              <w:bottom w:val="nil"/>
              <w:right w:val="nil"/>
            </w:tcBorders>
            <w:shd w:val="clear" w:color="auto" w:fill="auto"/>
            <w:noWrap/>
            <w:vAlign w:val="bottom"/>
            <w:hideMark/>
          </w:tcPr>
          <w:p w14:paraId="24C25484" w14:textId="77777777" w:rsidR="003B2C9F" w:rsidRPr="003B2C9F" w:rsidRDefault="003B2C9F" w:rsidP="003B2C9F">
            <w:pPr>
              <w:rPr>
                <w:sz w:val="20"/>
                <w:szCs w:val="20"/>
              </w:rPr>
            </w:pPr>
            <w:r w:rsidRPr="003B2C9F">
              <w:rPr>
                <w:sz w:val="20"/>
                <w:szCs w:val="20"/>
              </w:rPr>
              <w:t>6531</w:t>
            </w:r>
          </w:p>
        </w:tc>
        <w:tc>
          <w:tcPr>
            <w:tcW w:w="6472" w:type="dxa"/>
            <w:tcBorders>
              <w:top w:val="nil"/>
              <w:left w:val="nil"/>
              <w:bottom w:val="nil"/>
              <w:right w:val="nil"/>
            </w:tcBorders>
            <w:shd w:val="clear" w:color="auto" w:fill="auto"/>
            <w:vAlign w:val="bottom"/>
            <w:hideMark/>
          </w:tcPr>
          <w:p w14:paraId="4E31171B" w14:textId="77777777" w:rsidR="003B2C9F" w:rsidRPr="003B2C9F" w:rsidRDefault="003B2C9F" w:rsidP="003B2C9F">
            <w:pPr>
              <w:rPr>
                <w:sz w:val="20"/>
                <w:szCs w:val="20"/>
              </w:rPr>
            </w:pPr>
            <w:r w:rsidRPr="003B2C9F">
              <w:rPr>
                <w:sz w:val="20"/>
                <w:szCs w:val="20"/>
              </w:rPr>
              <w:t xml:space="preserve">Komunalni doprinosi                                                                                 </w:t>
            </w:r>
          </w:p>
        </w:tc>
        <w:tc>
          <w:tcPr>
            <w:tcW w:w="1559" w:type="dxa"/>
            <w:tcBorders>
              <w:top w:val="nil"/>
              <w:left w:val="nil"/>
              <w:bottom w:val="nil"/>
              <w:right w:val="nil"/>
            </w:tcBorders>
            <w:shd w:val="clear" w:color="auto" w:fill="auto"/>
            <w:noWrap/>
            <w:vAlign w:val="bottom"/>
            <w:hideMark/>
          </w:tcPr>
          <w:p w14:paraId="4C5047C4" w14:textId="77777777" w:rsidR="003B2C9F" w:rsidRPr="003B2C9F" w:rsidRDefault="003B2C9F" w:rsidP="003B2C9F">
            <w:pPr>
              <w:jc w:val="right"/>
              <w:rPr>
                <w:sz w:val="20"/>
                <w:szCs w:val="20"/>
              </w:rPr>
            </w:pPr>
            <w:r w:rsidRPr="003B2C9F">
              <w:rPr>
                <w:sz w:val="20"/>
                <w:szCs w:val="20"/>
              </w:rPr>
              <w:t>3.916.575,91</w:t>
            </w:r>
          </w:p>
        </w:tc>
        <w:tc>
          <w:tcPr>
            <w:tcW w:w="1503" w:type="dxa"/>
            <w:tcBorders>
              <w:top w:val="nil"/>
              <w:left w:val="nil"/>
              <w:bottom w:val="nil"/>
              <w:right w:val="nil"/>
            </w:tcBorders>
            <w:shd w:val="clear" w:color="auto" w:fill="auto"/>
            <w:noWrap/>
            <w:vAlign w:val="bottom"/>
            <w:hideMark/>
          </w:tcPr>
          <w:p w14:paraId="3EDE05B1"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668D28D2" w14:textId="77777777" w:rsidR="003B2C9F" w:rsidRPr="003B2C9F" w:rsidRDefault="003B2C9F" w:rsidP="003B2C9F">
            <w:pPr>
              <w:jc w:val="right"/>
              <w:rPr>
                <w:sz w:val="20"/>
                <w:szCs w:val="20"/>
              </w:rPr>
            </w:pPr>
            <w:r w:rsidRPr="003B2C9F">
              <w:rPr>
                <w:sz w:val="20"/>
                <w:szCs w:val="20"/>
              </w:rPr>
              <w:t>3.618.451,23</w:t>
            </w:r>
          </w:p>
        </w:tc>
        <w:tc>
          <w:tcPr>
            <w:tcW w:w="1525" w:type="dxa"/>
            <w:tcBorders>
              <w:top w:val="nil"/>
              <w:left w:val="nil"/>
              <w:bottom w:val="nil"/>
              <w:right w:val="nil"/>
            </w:tcBorders>
            <w:shd w:val="clear" w:color="auto" w:fill="auto"/>
            <w:noWrap/>
            <w:vAlign w:val="bottom"/>
            <w:hideMark/>
          </w:tcPr>
          <w:p w14:paraId="5063F21B" w14:textId="77777777" w:rsidR="003B2C9F" w:rsidRPr="003B2C9F" w:rsidRDefault="003B2C9F" w:rsidP="003B2C9F">
            <w:pPr>
              <w:jc w:val="right"/>
              <w:rPr>
                <w:sz w:val="20"/>
                <w:szCs w:val="20"/>
              </w:rPr>
            </w:pPr>
            <w:r w:rsidRPr="003B2C9F">
              <w:rPr>
                <w:sz w:val="20"/>
                <w:szCs w:val="20"/>
              </w:rPr>
              <w:t>92,39</w:t>
            </w:r>
          </w:p>
        </w:tc>
        <w:tc>
          <w:tcPr>
            <w:tcW w:w="1000" w:type="dxa"/>
            <w:tcBorders>
              <w:top w:val="nil"/>
              <w:left w:val="nil"/>
              <w:bottom w:val="nil"/>
              <w:right w:val="nil"/>
            </w:tcBorders>
            <w:shd w:val="clear" w:color="auto" w:fill="auto"/>
            <w:noWrap/>
            <w:vAlign w:val="bottom"/>
            <w:hideMark/>
          </w:tcPr>
          <w:p w14:paraId="254BCC47" w14:textId="77777777" w:rsidR="003B2C9F" w:rsidRPr="003B2C9F" w:rsidRDefault="003B2C9F" w:rsidP="003B2C9F">
            <w:pPr>
              <w:jc w:val="right"/>
              <w:rPr>
                <w:sz w:val="20"/>
                <w:szCs w:val="20"/>
              </w:rPr>
            </w:pPr>
          </w:p>
        </w:tc>
      </w:tr>
      <w:tr w:rsidR="003B2C9F" w:rsidRPr="003B2C9F" w14:paraId="386F3735" w14:textId="77777777" w:rsidTr="003B2C9F">
        <w:trPr>
          <w:trHeight w:val="300"/>
        </w:trPr>
        <w:tc>
          <w:tcPr>
            <w:tcW w:w="616" w:type="dxa"/>
            <w:tcBorders>
              <w:top w:val="nil"/>
              <w:left w:val="nil"/>
              <w:bottom w:val="nil"/>
              <w:right w:val="nil"/>
            </w:tcBorders>
            <w:shd w:val="clear" w:color="auto" w:fill="auto"/>
            <w:noWrap/>
            <w:vAlign w:val="bottom"/>
            <w:hideMark/>
          </w:tcPr>
          <w:p w14:paraId="5F218721" w14:textId="77777777" w:rsidR="003B2C9F" w:rsidRPr="003B2C9F" w:rsidRDefault="003B2C9F" w:rsidP="003B2C9F">
            <w:pPr>
              <w:rPr>
                <w:sz w:val="20"/>
                <w:szCs w:val="20"/>
              </w:rPr>
            </w:pPr>
            <w:r w:rsidRPr="003B2C9F">
              <w:rPr>
                <w:sz w:val="20"/>
                <w:szCs w:val="20"/>
              </w:rPr>
              <w:t>6532</w:t>
            </w:r>
          </w:p>
        </w:tc>
        <w:tc>
          <w:tcPr>
            <w:tcW w:w="6472" w:type="dxa"/>
            <w:tcBorders>
              <w:top w:val="nil"/>
              <w:left w:val="nil"/>
              <w:bottom w:val="nil"/>
              <w:right w:val="nil"/>
            </w:tcBorders>
            <w:shd w:val="clear" w:color="auto" w:fill="auto"/>
            <w:vAlign w:val="bottom"/>
            <w:hideMark/>
          </w:tcPr>
          <w:p w14:paraId="2449E0B8" w14:textId="77777777" w:rsidR="003B2C9F" w:rsidRPr="003B2C9F" w:rsidRDefault="003B2C9F" w:rsidP="003B2C9F">
            <w:pPr>
              <w:rPr>
                <w:sz w:val="20"/>
                <w:szCs w:val="20"/>
              </w:rPr>
            </w:pPr>
            <w:r w:rsidRPr="003B2C9F">
              <w:rPr>
                <w:sz w:val="20"/>
                <w:szCs w:val="20"/>
              </w:rPr>
              <w:t xml:space="preserve">Komunalne naknade                                                                                   </w:t>
            </w:r>
          </w:p>
        </w:tc>
        <w:tc>
          <w:tcPr>
            <w:tcW w:w="1559" w:type="dxa"/>
            <w:tcBorders>
              <w:top w:val="nil"/>
              <w:left w:val="nil"/>
              <w:bottom w:val="nil"/>
              <w:right w:val="nil"/>
            </w:tcBorders>
            <w:shd w:val="clear" w:color="auto" w:fill="auto"/>
            <w:noWrap/>
            <w:vAlign w:val="bottom"/>
            <w:hideMark/>
          </w:tcPr>
          <w:p w14:paraId="413EC39E" w14:textId="77777777" w:rsidR="003B2C9F" w:rsidRPr="003B2C9F" w:rsidRDefault="003B2C9F" w:rsidP="003B2C9F">
            <w:pPr>
              <w:jc w:val="right"/>
              <w:rPr>
                <w:sz w:val="20"/>
                <w:szCs w:val="20"/>
              </w:rPr>
            </w:pPr>
            <w:r w:rsidRPr="003B2C9F">
              <w:rPr>
                <w:sz w:val="20"/>
                <w:szCs w:val="20"/>
              </w:rPr>
              <w:t>3.867.726,23</w:t>
            </w:r>
          </w:p>
        </w:tc>
        <w:tc>
          <w:tcPr>
            <w:tcW w:w="1503" w:type="dxa"/>
            <w:tcBorders>
              <w:top w:val="nil"/>
              <w:left w:val="nil"/>
              <w:bottom w:val="nil"/>
              <w:right w:val="nil"/>
            </w:tcBorders>
            <w:shd w:val="clear" w:color="auto" w:fill="auto"/>
            <w:noWrap/>
            <w:vAlign w:val="bottom"/>
            <w:hideMark/>
          </w:tcPr>
          <w:p w14:paraId="1FE356E6"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6F896881" w14:textId="77777777" w:rsidR="003B2C9F" w:rsidRPr="003B2C9F" w:rsidRDefault="003B2C9F" w:rsidP="003B2C9F">
            <w:pPr>
              <w:jc w:val="right"/>
              <w:rPr>
                <w:sz w:val="20"/>
                <w:szCs w:val="20"/>
              </w:rPr>
            </w:pPr>
            <w:r w:rsidRPr="003B2C9F">
              <w:rPr>
                <w:sz w:val="20"/>
                <w:szCs w:val="20"/>
              </w:rPr>
              <w:t>4.138.740,31</w:t>
            </w:r>
          </w:p>
        </w:tc>
        <w:tc>
          <w:tcPr>
            <w:tcW w:w="1525" w:type="dxa"/>
            <w:tcBorders>
              <w:top w:val="nil"/>
              <w:left w:val="nil"/>
              <w:bottom w:val="nil"/>
              <w:right w:val="nil"/>
            </w:tcBorders>
            <w:shd w:val="clear" w:color="auto" w:fill="auto"/>
            <w:noWrap/>
            <w:vAlign w:val="bottom"/>
            <w:hideMark/>
          </w:tcPr>
          <w:p w14:paraId="057B0A7D" w14:textId="77777777" w:rsidR="003B2C9F" w:rsidRPr="003B2C9F" w:rsidRDefault="003B2C9F" w:rsidP="003B2C9F">
            <w:pPr>
              <w:jc w:val="right"/>
              <w:rPr>
                <w:sz w:val="20"/>
                <w:szCs w:val="20"/>
              </w:rPr>
            </w:pPr>
            <w:r w:rsidRPr="003B2C9F">
              <w:rPr>
                <w:sz w:val="20"/>
                <w:szCs w:val="20"/>
              </w:rPr>
              <w:t>107,01</w:t>
            </w:r>
          </w:p>
        </w:tc>
        <w:tc>
          <w:tcPr>
            <w:tcW w:w="1000" w:type="dxa"/>
            <w:tcBorders>
              <w:top w:val="nil"/>
              <w:left w:val="nil"/>
              <w:bottom w:val="nil"/>
              <w:right w:val="nil"/>
            </w:tcBorders>
            <w:shd w:val="clear" w:color="auto" w:fill="auto"/>
            <w:noWrap/>
            <w:vAlign w:val="bottom"/>
            <w:hideMark/>
          </w:tcPr>
          <w:p w14:paraId="5C4E06FE" w14:textId="77777777" w:rsidR="003B2C9F" w:rsidRPr="003B2C9F" w:rsidRDefault="003B2C9F" w:rsidP="003B2C9F">
            <w:pPr>
              <w:jc w:val="right"/>
              <w:rPr>
                <w:sz w:val="20"/>
                <w:szCs w:val="20"/>
              </w:rPr>
            </w:pPr>
          </w:p>
        </w:tc>
      </w:tr>
      <w:tr w:rsidR="003B2C9F" w:rsidRPr="003B2C9F" w14:paraId="6F1C97E9" w14:textId="77777777" w:rsidTr="003B2C9F">
        <w:trPr>
          <w:trHeight w:val="300"/>
        </w:trPr>
        <w:tc>
          <w:tcPr>
            <w:tcW w:w="616" w:type="dxa"/>
            <w:tcBorders>
              <w:top w:val="nil"/>
              <w:left w:val="nil"/>
              <w:bottom w:val="nil"/>
              <w:right w:val="nil"/>
            </w:tcBorders>
            <w:shd w:val="clear" w:color="auto" w:fill="auto"/>
            <w:noWrap/>
            <w:vAlign w:val="bottom"/>
            <w:hideMark/>
          </w:tcPr>
          <w:p w14:paraId="1DA5CC8A" w14:textId="77777777" w:rsidR="003B2C9F" w:rsidRPr="003B2C9F" w:rsidRDefault="003B2C9F" w:rsidP="003B2C9F">
            <w:pPr>
              <w:rPr>
                <w:sz w:val="20"/>
                <w:szCs w:val="20"/>
              </w:rPr>
            </w:pPr>
            <w:r w:rsidRPr="003B2C9F">
              <w:rPr>
                <w:sz w:val="20"/>
                <w:szCs w:val="20"/>
              </w:rPr>
              <w:t>6533</w:t>
            </w:r>
          </w:p>
        </w:tc>
        <w:tc>
          <w:tcPr>
            <w:tcW w:w="6472" w:type="dxa"/>
            <w:tcBorders>
              <w:top w:val="nil"/>
              <w:left w:val="nil"/>
              <w:bottom w:val="nil"/>
              <w:right w:val="nil"/>
            </w:tcBorders>
            <w:shd w:val="clear" w:color="auto" w:fill="auto"/>
            <w:vAlign w:val="bottom"/>
            <w:hideMark/>
          </w:tcPr>
          <w:p w14:paraId="7CA48D44" w14:textId="77777777" w:rsidR="003B2C9F" w:rsidRPr="003B2C9F" w:rsidRDefault="003B2C9F" w:rsidP="003B2C9F">
            <w:pPr>
              <w:rPr>
                <w:sz w:val="20"/>
                <w:szCs w:val="20"/>
              </w:rPr>
            </w:pPr>
            <w:r w:rsidRPr="003B2C9F">
              <w:rPr>
                <w:sz w:val="20"/>
                <w:szCs w:val="20"/>
              </w:rPr>
              <w:t xml:space="preserve">Naknade za priključak                                                                               </w:t>
            </w:r>
          </w:p>
        </w:tc>
        <w:tc>
          <w:tcPr>
            <w:tcW w:w="1559" w:type="dxa"/>
            <w:tcBorders>
              <w:top w:val="nil"/>
              <w:left w:val="nil"/>
              <w:bottom w:val="nil"/>
              <w:right w:val="nil"/>
            </w:tcBorders>
            <w:shd w:val="clear" w:color="auto" w:fill="auto"/>
            <w:noWrap/>
            <w:vAlign w:val="bottom"/>
            <w:hideMark/>
          </w:tcPr>
          <w:p w14:paraId="4FCC6050" w14:textId="77777777" w:rsidR="003B2C9F" w:rsidRPr="003B2C9F" w:rsidRDefault="003B2C9F" w:rsidP="003B2C9F">
            <w:pPr>
              <w:jc w:val="right"/>
              <w:rPr>
                <w:sz w:val="20"/>
                <w:szCs w:val="20"/>
              </w:rPr>
            </w:pPr>
            <w:r w:rsidRPr="003B2C9F">
              <w:rPr>
                <w:sz w:val="20"/>
                <w:szCs w:val="20"/>
              </w:rPr>
              <w:t>0,00</w:t>
            </w:r>
          </w:p>
        </w:tc>
        <w:tc>
          <w:tcPr>
            <w:tcW w:w="1503" w:type="dxa"/>
            <w:tcBorders>
              <w:top w:val="nil"/>
              <w:left w:val="nil"/>
              <w:bottom w:val="nil"/>
              <w:right w:val="nil"/>
            </w:tcBorders>
            <w:shd w:val="clear" w:color="auto" w:fill="auto"/>
            <w:noWrap/>
            <w:vAlign w:val="bottom"/>
            <w:hideMark/>
          </w:tcPr>
          <w:p w14:paraId="6E97CB94"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5069E9E5" w14:textId="77777777" w:rsidR="003B2C9F" w:rsidRPr="003B2C9F" w:rsidRDefault="003B2C9F" w:rsidP="003B2C9F">
            <w:pPr>
              <w:jc w:val="right"/>
              <w:rPr>
                <w:sz w:val="20"/>
                <w:szCs w:val="20"/>
              </w:rPr>
            </w:pPr>
            <w:r w:rsidRPr="003B2C9F">
              <w:rPr>
                <w:sz w:val="20"/>
                <w:szCs w:val="20"/>
              </w:rPr>
              <w:t>0,00</w:t>
            </w:r>
          </w:p>
        </w:tc>
        <w:tc>
          <w:tcPr>
            <w:tcW w:w="1525" w:type="dxa"/>
            <w:tcBorders>
              <w:top w:val="nil"/>
              <w:left w:val="nil"/>
              <w:bottom w:val="nil"/>
              <w:right w:val="nil"/>
            </w:tcBorders>
            <w:shd w:val="clear" w:color="auto" w:fill="auto"/>
            <w:noWrap/>
            <w:vAlign w:val="bottom"/>
            <w:hideMark/>
          </w:tcPr>
          <w:p w14:paraId="0A3EDD39" w14:textId="77777777" w:rsidR="003B2C9F" w:rsidRPr="003B2C9F" w:rsidRDefault="003B2C9F" w:rsidP="003B2C9F">
            <w:pPr>
              <w:jc w:val="right"/>
              <w:rPr>
                <w:sz w:val="20"/>
                <w:szCs w:val="20"/>
              </w:rPr>
            </w:pPr>
            <w:r w:rsidRPr="003B2C9F">
              <w:rPr>
                <w:sz w:val="20"/>
                <w:szCs w:val="20"/>
              </w:rPr>
              <w:t>0,00</w:t>
            </w:r>
          </w:p>
        </w:tc>
        <w:tc>
          <w:tcPr>
            <w:tcW w:w="1000" w:type="dxa"/>
            <w:tcBorders>
              <w:top w:val="nil"/>
              <w:left w:val="nil"/>
              <w:bottom w:val="nil"/>
              <w:right w:val="nil"/>
            </w:tcBorders>
            <w:shd w:val="clear" w:color="auto" w:fill="auto"/>
            <w:noWrap/>
            <w:vAlign w:val="bottom"/>
            <w:hideMark/>
          </w:tcPr>
          <w:p w14:paraId="28B97DD2" w14:textId="77777777" w:rsidR="003B2C9F" w:rsidRPr="003B2C9F" w:rsidRDefault="003B2C9F" w:rsidP="003B2C9F">
            <w:pPr>
              <w:jc w:val="right"/>
              <w:rPr>
                <w:sz w:val="20"/>
                <w:szCs w:val="20"/>
              </w:rPr>
            </w:pPr>
          </w:p>
        </w:tc>
      </w:tr>
      <w:tr w:rsidR="003B2C9F" w:rsidRPr="003B2C9F" w14:paraId="5FEE4711" w14:textId="77777777" w:rsidTr="003B2C9F">
        <w:trPr>
          <w:trHeight w:val="300"/>
        </w:trPr>
        <w:tc>
          <w:tcPr>
            <w:tcW w:w="616" w:type="dxa"/>
            <w:tcBorders>
              <w:top w:val="nil"/>
              <w:left w:val="nil"/>
              <w:bottom w:val="nil"/>
              <w:right w:val="nil"/>
            </w:tcBorders>
            <w:shd w:val="clear" w:color="auto" w:fill="auto"/>
            <w:noWrap/>
            <w:vAlign w:val="bottom"/>
            <w:hideMark/>
          </w:tcPr>
          <w:p w14:paraId="36FCAF72" w14:textId="77777777" w:rsidR="003B2C9F" w:rsidRPr="003B2C9F" w:rsidRDefault="003B2C9F" w:rsidP="003B2C9F">
            <w:pPr>
              <w:rPr>
                <w:b/>
                <w:bCs/>
                <w:sz w:val="20"/>
                <w:szCs w:val="20"/>
              </w:rPr>
            </w:pPr>
            <w:r w:rsidRPr="003B2C9F">
              <w:rPr>
                <w:b/>
                <w:bCs/>
                <w:sz w:val="20"/>
                <w:szCs w:val="20"/>
              </w:rPr>
              <w:t>66</w:t>
            </w:r>
          </w:p>
        </w:tc>
        <w:tc>
          <w:tcPr>
            <w:tcW w:w="6472" w:type="dxa"/>
            <w:tcBorders>
              <w:top w:val="nil"/>
              <w:left w:val="nil"/>
              <w:bottom w:val="nil"/>
              <w:right w:val="nil"/>
            </w:tcBorders>
            <w:shd w:val="clear" w:color="auto" w:fill="auto"/>
            <w:noWrap/>
            <w:vAlign w:val="bottom"/>
            <w:hideMark/>
          </w:tcPr>
          <w:p w14:paraId="16E36E2D" w14:textId="77777777" w:rsidR="003B2C9F" w:rsidRPr="003B2C9F" w:rsidRDefault="003B2C9F" w:rsidP="003B2C9F">
            <w:pPr>
              <w:rPr>
                <w:b/>
                <w:bCs/>
                <w:sz w:val="20"/>
                <w:szCs w:val="20"/>
              </w:rPr>
            </w:pPr>
            <w:r w:rsidRPr="003B2C9F">
              <w:rPr>
                <w:b/>
                <w:bCs/>
                <w:sz w:val="20"/>
                <w:szCs w:val="20"/>
              </w:rPr>
              <w:t xml:space="preserve">Prihodi od prodaje proizvoda i robe te pruženih usluga i prihodi od donacija                        </w:t>
            </w:r>
          </w:p>
        </w:tc>
        <w:tc>
          <w:tcPr>
            <w:tcW w:w="1559" w:type="dxa"/>
            <w:tcBorders>
              <w:top w:val="nil"/>
              <w:left w:val="nil"/>
              <w:bottom w:val="nil"/>
              <w:right w:val="nil"/>
            </w:tcBorders>
            <w:shd w:val="clear" w:color="auto" w:fill="auto"/>
            <w:noWrap/>
            <w:vAlign w:val="bottom"/>
            <w:hideMark/>
          </w:tcPr>
          <w:p w14:paraId="2E066BF2" w14:textId="77777777" w:rsidR="003B2C9F" w:rsidRPr="003B2C9F" w:rsidRDefault="003B2C9F" w:rsidP="003B2C9F">
            <w:pPr>
              <w:jc w:val="right"/>
              <w:rPr>
                <w:b/>
                <w:bCs/>
                <w:sz w:val="20"/>
                <w:szCs w:val="20"/>
              </w:rPr>
            </w:pPr>
            <w:r w:rsidRPr="003B2C9F">
              <w:rPr>
                <w:b/>
                <w:bCs/>
                <w:sz w:val="20"/>
                <w:szCs w:val="20"/>
              </w:rPr>
              <w:t>428.776,83</w:t>
            </w:r>
          </w:p>
        </w:tc>
        <w:tc>
          <w:tcPr>
            <w:tcW w:w="1503" w:type="dxa"/>
            <w:tcBorders>
              <w:top w:val="nil"/>
              <w:left w:val="nil"/>
              <w:bottom w:val="nil"/>
              <w:right w:val="nil"/>
            </w:tcBorders>
            <w:shd w:val="clear" w:color="auto" w:fill="auto"/>
            <w:noWrap/>
            <w:vAlign w:val="bottom"/>
            <w:hideMark/>
          </w:tcPr>
          <w:p w14:paraId="4767F436" w14:textId="77777777" w:rsidR="003B2C9F" w:rsidRPr="003B2C9F" w:rsidRDefault="003B2C9F" w:rsidP="003B2C9F">
            <w:pPr>
              <w:jc w:val="right"/>
              <w:rPr>
                <w:b/>
                <w:bCs/>
                <w:sz w:val="20"/>
                <w:szCs w:val="20"/>
              </w:rPr>
            </w:pPr>
            <w:r w:rsidRPr="003B2C9F">
              <w:rPr>
                <w:b/>
                <w:bCs/>
                <w:sz w:val="20"/>
                <w:szCs w:val="20"/>
              </w:rPr>
              <w:t>260.784,36</w:t>
            </w:r>
          </w:p>
        </w:tc>
        <w:tc>
          <w:tcPr>
            <w:tcW w:w="1366" w:type="dxa"/>
            <w:tcBorders>
              <w:top w:val="nil"/>
              <w:left w:val="nil"/>
              <w:bottom w:val="nil"/>
              <w:right w:val="nil"/>
            </w:tcBorders>
            <w:shd w:val="clear" w:color="auto" w:fill="auto"/>
            <w:noWrap/>
            <w:vAlign w:val="bottom"/>
            <w:hideMark/>
          </w:tcPr>
          <w:p w14:paraId="7A109886" w14:textId="77777777" w:rsidR="003B2C9F" w:rsidRPr="003B2C9F" w:rsidRDefault="003B2C9F" w:rsidP="003B2C9F">
            <w:pPr>
              <w:jc w:val="right"/>
              <w:rPr>
                <w:b/>
                <w:bCs/>
                <w:sz w:val="20"/>
                <w:szCs w:val="20"/>
              </w:rPr>
            </w:pPr>
            <w:r w:rsidRPr="003B2C9F">
              <w:rPr>
                <w:b/>
                <w:bCs/>
                <w:sz w:val="20"/>
                <w:szCs w:val="20"/>
              </w:rPr>
              <w:t>284.761,81</w:t>
            </w:r>
          </w:p>
        </w:tc>
        <w:tc>
          <w:tcPr>
            <w:tcW w:w="1525" w:type="dxa"/>
            <w:tcBorders>
              <w:top w:val="nil"/>
              <w:left w:val="nil"/>
              <w:bottom w:val="nil"/>
              <w:right w:val="nil"/>
            </w:tcBorders>
            <w:shd w:val="clear" w:color="auto" w:fill="auto"/>
            <w:noWrap/>
            <w:vAlign w:val="bottom"/>
            <w:hideMark/>
          </w:tcPr>
          <w:p w14:paraId="69B855DF" w14:textId="77777777" w:rsidR="003B2C9F" w:rsidRPr="003B2C9F" w:rsidRDefault="003B2C9F" w:rsidP="003B2C9F">
            <w:pPr>
              <w:jc w:val="right"/>
              <w:rPr>
                <w:b/>
                <w:bCs/>
                <w:sz w:val="20"/>
                <w:szCs w:val="20"/>
              </w:rPr>
            </w:pPr>
            <w:r w:rsidRPr="003B2C9F">
              <w:rPr>
                <w:b/>
                <w:bCs/>
                <w:sz w:val="20"/>
                <w:szCs w:val="20"/>
              </w:rPr>
              <w:t>66,41</w:t>
            </w:r>
          </w:p>
        </w:tc>
        <w:tc>
          <w:tcPr>
            <w:tcW w:w="1000" w:type="dxa"/>
            <w:tcBorders>
              <w:top w:val="nil"/>
              <w:left w:val="nil"/>
              <w:bottom w:val="nil"/>
              <w:right w:val="nil"/>
            </w:tcBorders>
            <w:shd w:val="clear" w:color="auto" w:fill="auto"/>
            <w:noWrap/>
            <w:vAlign w:val="bottom"/>
            <w:hideMark/>
          </w:tcPr>
          <w:p w14:paraId="5FC33C54" w14:textId="77777777" w:rsidR="003B2C9F" w:rsidRPr="003B2C9F" w:rsidRDefault="003B2C9F" w:rsidP="003B2C9F">
            <w:pPr>
              <w:jc w:val="right"/>
              <w:rPr>
                <w:b/>
                <w:bCs/>
                <w:sz w:val="20"/>
                <w:szCs w:val="20"/>
              </w:rPr>
            </w:pPr>
            <w:r w:rsidRPr="003B2C9F">
              <w:rPr>
                <w:b/>
                <w:bCs/>
                <w:sz w:val="20"/>
                <w:szCs w:val="20"/>
              </w:rPr>
              <w:t>109,19</w:t>
            </w:r>
          </w:p>
        </w:tc>
      </w:tr>
      <w:tr w:rsidR="003B2C9F" w:rsidRPr="003B2C9F" w14:paraId="68F3B61C" w14:textId="77777777" w:rsidTr="003B2C9F">
        <w:trPr>
          <w:trHeight w:val="300"/>
        </w:trPr>
        <w:tc>
          <w:tcPr>
            <w:tcW w:w="616" w:type="dxa"/>
            <w:tcBorders>
              <w:top w:val="nil"/>
              <w:left w:val="nil"/>
              <w:bottom w:val="nil"/>
              <w:right w:val="nil"/>
            </w:tcBorders>
            <w:shd w:val="clear" w:color="auto" w:fill="auto"/>
            <w:noWrap/>
            <w:vAlign w:val="bottom"/>
            <w:hideMark/>
          </w:tcPr>
          <w:p w14:paraId="53294E3C" w14:textId="77777777" w:rsidR="003B2C9F" w:rsidRPr="003B2C9F" w:rsidRDefault="003B2C9F" w:rsidP="003B2C9F">
            <w:pPr>
              <w:rPr>
                <w:b/>
                <w:bCs/>
                <w:sz w:val="20"/>
                <w:szCs w:val="20"/>
              </w:rPr>
            </w:pPr>
            <w:r w:rsidRPr="003B2C9F">
              <w:rPr>
                <w:b/>
                <w:bCs/>
                <w:sz w:val="20"/>
                <w:szCs w:val="20"/>
              </w:rPr>
              <w:t>661</w:t>
            </w:r>
          </w:p>
        </w:tc>
        <w:tc>
          <w:tcPr>
            <w:tcW w:w="6472" w:type="dxa"/>
            <w:tcBorders>
              <w:top w:val="nil"/>
              <w:left w:val="nil"/>
              <w:bottom w:val="nil"/>
              <w:right w:val="nil"/>
            </w:tcBorders>
            <w:shd w:val="clear" w:color="auto" w:fill="auto"/>
            <w:noWrap/>
            <w:vAlign w:val="bottom"/>
            <w:hideMark/>
          </w:tcPr>
          <w:p w14:paraId="72AB45AF" w14:textId="77777777" w:rsidR="003B2C9F" w:rsidRPr="003B2C9F" w:rsidRDefault="003B2C9F" w:rsidP="003B2C9F">
            <w:pPr>
              <w:rPr>
                <w:b/>
                <w:bCs/>
                <w:sz w:val="20"/>
                <w:szCs w:val="20"/>
              </w:rPr>
            </w:pPr>
            <w:r w:rsidRPr="003B2C9F">
              <w:rPr>
                <w:b/>
                <w:bCs/>
                <w:sz w:val="20"/>
                <w:szCs w:val="20"/>
              </w:rPr>
              <w:t xml:space="preserve">Prihodi od prodaje proizvoda i robe te pruženih usluga                                              </w:t>
            </w:r>
          </w:p>
        </w:tc>
        <w:tc>
          <w:tcPr>
            <w:tcW w:w="1559" w:type="dxa"/>
            <w:tcBorders>
              <w:top w:val="nil"/>
              <w:left w:val="nil"/>
              <w:bottom w:val="nil"/>
              <w:right w:val="nil"/>
            </w:tcBorders>
            <w:shd w:val="clear" w:color="auto" w:fill="auto"/>
            <w:noWrap/>
            <w:vAlign w:val="bottom"/>
            <w:hideMark/>
          </w:tcPr>
          <w:p w14:paraId="2F9D4E60" w14:textId="77777777" w:rsidR="003B2C9F" w:rsidRPr="003B2C9F" w:rsidRDefault="003B2C9F" w:rsidP="003B2C9F">
            <w:pPr>
              <w:jc w:val="right"/>
              <w:rPr>
                <w:b/>
                <w:bCs/>
                <w:sz w:val="20"/>
                <w:szCs w:val="20"/>
              </w:rPr>
            </w:pPr>
            <w:r w:rsidRPr="003B2C9F">
              <w:rPr>
                <w:b/>
                <w:bCs/>
                <w:sz w:val="20"/>
                <w:szCs w:val="20"/>
              </w:rPr>
              <w:t>206.022,93</w:t>
            </w:r>
          </w:p>
        </w:tc>
        <w:tc>
          <w:tcPr>
            <w:tcW w:w="1503" w:type="dxa"/>
            <w:tcBorders>
              <w:top w:val="nil"/>
              <w:left w:val="nil"/>
              <w:bottom w:val="nil"/>
              <w:right w:val="nil"/>
            </w:tcBorders>
            <w:shd w:val="clear" w:color="auto" w:fill="auto"/>
            <w:noWrap/>
            <w:vAlign w:val="bottom"/>
            <w:hideMark/>
          </w:tcPr>
          <w:p w14:paraId="40D47FD5" w14:textId="77777777" w:rsidR="003B2C9F" w:rsidRPr="003B2C9F" w:rsidRDefault="003B2C9F" w:rsidP="003B2C9F">
            <w:pPr>
              <w:jc w:val="right"/>
              <w:rPr>
                <w:b/>
                <w:bCs/>
                <w:sz w:val="20"/>
                <w:szCs w:val="20"/>
              </w:rPr>
            </w:pPr>
            <w:r w:rsidRPr="003B2C9F">
              <w:rPr>
                <w:b/>
                <w:bCs/>
                <w:sz w:val="20"/>
                <w:szCs w:val="20"/>
              </w:rPr>
              <w:t>223.000,00</w:t>
            </w:r>
          </w:p>
        </w:tc>
        <w:tc>
          <w:tcPr>
            <w:tcW w:w="1366" w:type="dxa"/>
            <w:tcBorders>
              <w:top w:val="nil"/>
              <w:left w:val="nil"/>
              <w:bottom w:val="nil"/>
              <w:right w:val="nil"/>
            </w:tcBorders>
            <w:shd w:val="clear" w:color="auto" w:fill="auto"/>
            <w:noWrap/>
            <w:vAlign w:val="bottom"/>
            <w:hideMark/>
          </w:tcPr>
          <w:p w14:paraId="3338E8BE" w14:textId="77777777" w:rsidR="003B2C9F" w:rsidRPr="003B2C9F" w:rsidRDefault="003B2C9F" w:rsidP="003B2C9F">
            <w:pPr>
              <w:jc w:val="right"/>
              <w:rPr>
                <w:b/>
                <w:bCs/>
                <w:sz w:val="20"/>
                <w:szCs w:val="20"/>
              </w:rPr>
            </w:pPr>
            <w:r w:rsidRPr="003B2C9F">
              <w:rPr>
                <w:b/>
                <w:bCs/>
                <w:sz w:val="20"/>
                <w:szCs w:val="20"/>
              </w:rPr>
              <w:t>213.294,41</w:t>
            </w:r>
          </w:p>
        </w:tc>
        <w:tc>
          <w:tcPr>
            <w:tcW w:w="1525" w:type="dxa"/>
            <w:tcBorders>
              <w:top w:val="nil"/>
              <w:left w:val="nil"/>
              <w:bottom w:val="nil"/>
              <w:right w:val="nil"/>
            </w:tcBorders>
            <w:shd w:val="clear" w:color="auto" w:fill="auto"/>
            <w:noWrap/>
            <w:vAlign w:val="bottom"/>
            <w:hideMark/>
          </w:tcPr>
          <w:p w14:paraId="29459D1D" w14:textId="77777777" w:rsidR="003B2C9F" w:rsidRPr="003B2C9F" w:rsidRDefault="003B2C9F" w:rsidP="003B2C9F">
            <w:pPr>
              <w:jc w:val="right"/>
              <w:rPr>
                <w:b/>
                <w:bCs/>
                <w:sz w:val="20"/>
                <w:szCs w:val="20"/>
              </w:rPr>
            </w:pPr>
            <w:r w:rsidRPr="003B2C9F">
              <w:rPr>
                <w:b/>
                <w:bCs/>
                <w:sz w:val="20"/>
                <w:szCs w:val="20"/>
              </w:rPr>
              <w:t>103,53</w:t>
            </w:r>
          </w:p>
        </w:tc>
        <w:tc>
          <w:tcPr>
            <w:tcW w:w="1000" w:type="dxa"/>
            <w:tcBorders>
              <w:top w:val="nil"/>
              <w:left w:val="nil"/>
              <w:bottom w:val="nil"/>
              <w:right w:val="nil"/>
            </w:tcBorders>
            <w:shd w:val="clear" w:color="auto" w:fill="auto"/>
            <w:noWrap/>
            <w:vAlign w:val="bottom"/>
            <w:hideMark/>
          </w:tcPr>
          <w:p w14:paraId="6EA91E13" w14:textId="77777777" w:rsidR="003B2C9F" w:rsidRPr="003B2C9F" w:rsidRDefault="003B2C9F" w:rsidP="003B2C9F">
            <w:pPr>
              <w:jc w:val="right"/>
              <w:rPr>
                <w:b/>
                <w:bCs/>
                <w:sz w:val="20"/>
                <w:szCs w:val="20"/>
              </w:rPr>
            </w:pPr>
            <w:r w:rsidRPr="003B2C9F">
              <w:rPr>
                <w:b/>
                <w:bCs/>
                <w:sz w:val="20"/>
                <w:szCs w:val="20"/>
              </w:rPr>
              <w:t>95,65</w:t>
            </w:r>
          </w:p>
        </w:tc>
      </w:tr>
      <w:tr w:rsidR="003B2C9F" w:rsidRPr="003B2C9F" w14:paraId="2D7BB197" w14:textId="77777777" w:rsidTr="003B2C9F">
        <w:trPr>
          <w:trHeight w:val="300"/>
        </w:trPr>
        <w:tc>
          <w:tcPr>
            <w:tcW w:w="616" w:type="dxa"/>
            <w:tcBorders>
              <w:top w:val="nil"/>
              <w:left w:val="nil"/>
              <w:bottom w:val="nil"/>
              <w:right w:val="nil"/>
            </w:tcBorders>
            <w:shd w:val="clear" w:color="auto" w:fill="auto"/>
            <w:noWrap/>
            <w:vAlign w:val="bottom"/>
            <w:hideMark/>
          </w:tcPr>
          <w:p w14:paraId="689E5013" w14:textId="77777777" w:rsidR="003B2C9F" w:rsidRPr="003B2C9F" w:rsidRDefault="003B2C9F" w:rsidP="003B2C9F">
            <w:pPr>
              <w:rPr>
                <w:sz w:val="20"/>
                <w:szCs w:val="20"/>
              </w:rPr>
            </w:pPr>
            <w:r w:rsidRPr="003B2C9F">
              <w:rPr>
                <w:sz w:val="20"/>
                <w:szCs w:val="20"/>
              </w:rPr>
              <w:t>6615</w:t>
            </w:r>
          </w:p>
        </w:tc>
        <w:tc>
          <w:tcPr>
            <w:tcW w:w="6472" w:type="dxa"/>
            <w:tcBorders>
              <w:top w:val="nil"/>
              <w:left w:val="nil"/>
              <w:bottom w:val="nil"/>
              <w:right w:val="nil"/>
            </w:tcBorders>
            <w:shd w:val="clear" w:color="auto" w:fill="auto"/>
            <w:vAlign w:val="bottom"/>
            <w:hideMark/>
          </w:tcPr>
          <w:p w14:paraId="1C72C511" w14:textId="77777777" w:rsidR="003B2C9F" w:rsidRPr="003B2C9F" w:rsidRDefault="003B2C9F" w:rsidP="003B2C9F">
            <w:pPr>
              <w:rPr>
                <w:sz w:val="20"/>
                <w:szCs w:val="20"/>
              </w:rPr>
            </w:pPr>
            <w:r w:rsidRPr="003B2C9F">
              <w:rPr>
                <w:sz w:val="20"/>
                <w:szCs w:val="20"/>
              </w:rPr>
              <w:t xml:space="preserve">Prihodi od pruženih usluga                                                                          </w:t>
            </w:r>
          </w:p>
        </w:tc>
        <w:tc>
          <w:tcPr>
            <w:tcW w:w="1559" w:type="dxa"/>
            <w:tcBorders>
              <w:top w:val="nil"/>
              <w:left w:val="nil"/>
              <w:bottom w:val="nil"/>
              <w:right w:val="nil"/>
            </w:tcBorders>
            <w:shd w:val="clear" w:color="auto" w:fill="auto"/>
            <w:noWrap/>
            <w:vAlign w:val="bottom"/>
            <w:hideMark/>
          </w:tcPr>
          <w:p w14:paraId="79FEE0AF" w14:textId="77777777" w:rsidR="003B2C9F" w:rsidRPr="003B2C9F" w:rsidRDefault="003B2C9F" w:rsidP="003B2C9F">
            <w:pPr>
              <w:jc w:val="right"/>
              <w:rPr>
                <w:sz w:val="20"/>
                <w:szCs w:val="20"/>
              </w:rPr>
            </w:pPr>
            <w:r w:rsidRPr="003B2C9F">
              <w:rPr>
                <w:sz w:val="20"/>
                <w:szCs w:val="20"/>
              </w:rPr>
              <w:t>206.022,93</w:t>
            </w:r>
          </w:p>
        </w:tc>
        <w:tc>
          <w:tcPr>
            <w:tcW w:w="1503" w:type="dxa"/>
            <w:tcBorders>
              <w:top w:val="nil"/>
              <w:left w:val="nil"/>
              <w:bottom w:val="nil"/>
              <w:right w:val="nil"/>
            </w:tcBorders>
            <w:shd w:val="clear" w:color="auto" w:fill="auto"/>
            <w:noWrap/>
            <w:vAlign w:val="bottom"/>
            <w:hideMark/>
          </w:tcPr>
          <w:p w14:paraId="41FE8CAA"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5D672F98" w14:textId="77777777" w:rsidR="003B2C9F" w:rsidRPr="003B2C9F" w:rsidRDefault="003B2C9F" w:rsidP="003B2C9F">
            <w:pPr>
              <w:jc w:val="right"/>
              <w:rPr>
                <w:sz w:val="20"/>
                <w:szCs w:val="20"/>
              </w:rPr>
            </w:pPr>
            <w:r w:rsidRPr="003B2C9F">
              <w:rPr>
                <w:sz w:val="20"/>
                <w:szCs w:val="20"/>
              </w:rPr>
              <w:t>213.294,41</w:t>
            </w:r>
          </w:p>
        </w:tc>
        <w:tc>
          <w:tcPr>
            <w:tcW w:w="1525" w:type="dxa"/>
            <w:tcBorders>
              <w:top w:val="nil"/>
              <w:left w:val="nil"/>
              <w:bottom w:val="nil"/>
              <w:right w:val="nil"/>
            </w:tcBorders>
            <w:shd w:val="clear" w:color="auto" w:fill="auto"/>
            <w:noWrap/>
            <w:vAlign w:val="bottom"/>
            <w:hideMark/>
          </w:tcPr>
          <w:p w14:paraId="5A99D241" w14:textId="77777777" w:rsidR="003B2C9F" w:rsidRPr="003B2C9F" w:rsidRDefault="003B2C9F" w:rsidP="003B2C9F">
            <w:pPr>
              <w:jc w:val="right"/>
              <w:rPr>
                <w:sz w:val="20"/>
                <w:szCs w:val="20"/>
              </w:rPr>
            </w:pPr>
            <w:r w:rsidRPr="003B2C9F">
              <w:rPr>
                <w:sz w:val="20"/>
                <w:szCs w:val="20"/>
              </w:rPr>
              <w:t>103,53</w:t>
            </w:r>
          </w:p>
        </w:tc>
        <w:tc>
          <w:tcPr>
            <w:tcW w:w="1000" w:type="dxa"/>
            <w:tcBorders>
              <w:top w:val="nil"/>
              <w:left w:val="nil"/>
              <w:bottom w:val="nil"/>
              <w:right w:val="nil"/>
            </w:tcBorders>
            <w:shd w:val="clear" w:color="auto" w:fill="auto"/>
            <w:noWrap/>
            <w:vAlign w:val="bottom"/>
            <w:hideMark/>
          </w:tcPr>
          <w:p w14:paraId="5A23E100" w14:textId="77777777" w:rsidR="003B2C9F" w:rsidRPr="003B2C9F" w:rsidRDefault="003B2C9F" w:rsidP="003B2C9F">
            <w:pPr>
              <w:jc w:val="right"/>
              <w:rPr>
                <w:sz w:val="20"/>
                <w:szCs w:val="20"/>
              </w:rPr>
            </w:pPr>
          </w:p>
        </w:tc>
      </w:tr>
      <w:tr w:rsidR="003B2C9F" w:rsidRPr="003B2C9F" w14:paraId="54220547" w14:textId="77777777" w:rsidTr="003B2C9F">
        <w:trPr>
          <w:trHeight w:val="300"/>
        </w:trPr>
        <w:tc>
          <w:tcPr>
            <w:tcW w:w="616" w:type="dxa"/>
            <w:tcBorders>
              <w:top w:val="nil"/>
              <w:left w:val="nil"/>
              <w:bottom w:val="nil"/>
              <w:right w:val="nil"/>
            </w:tcBorders>
            <w:shd w:val="clear" w:color="auto" w:fill="auto"/>
            <w:noWrap/>
            <w:vAlign w:val="bottom"/>
            <w:hideMark/>
          </w:tcPr>
          <w:p w14:paraId="7D58B99B" w14:textId="77777777" w:rsidR="003B2C9F" w:rsidRPr="003B2C9F" w:rsidRDefault="003B2C9F" w:rsidP="003B2C9F">
            <w:pPr>
              <w:rPr>
                <w:b/>
                <w:bCs/>
                <w:sz w:val="20"/>
                <w:szCs w:val="20"/>
              </w:rPr>
            </w:pPr>
            <w:r w:rsidRPr="003B2C9F">
              <w:rPr>
                <w:b/>
                <w:bCs/>
                <w:sz w:val="20"/>
                <w:szCs w:val="20"/>
              </w:rPr>
              <w:t>663</w:t>
            </w:r>
          </w:p>
        </w:tc>
        <w:tc>
          <w:tcPr>
            <w:tcW w:w="6472" w:type="dxa"/>
            <w:tcBorders>
              <w:top w:val="nil"/>
              <w:left w:val="nil"/>
              <w:bottom w:val="nil"/>
              <w:right w:val="nil"/>
            </w:tcBorders>
            <w:shd w:val="clear" w:color="auto" w:fill="auto"/>
            <w:noWrap/>
            <w:vAlign w:val="bottom"/>
            <w:hideMark/>
          </w:tcPr>
          <w:p w14:paraId="4FD561A6" w14:textId="77777777" w:rsidR="003B2C9F" w:rsidRPr="003B2C9F" w:rsidRDefault="003B2C9F" w:rsidP="003B2C9F">
            <w:pPr>
              <w:rPr>
                <w:b/>
                <w:bCs/>
                <w:sz w:val="20"/>
                <w:szCs w:val="20"/>
              </w:rPr>
            </w:pPr>
            <w:r w:rsidRPr="003B2C9F">
              <w:rPr>
                <w:b/>
                <w:bCs/>
                <w:sz w:val="20"/>
                <w:szCs w:val="20"/>
              </w:rPr>
              <w:t>Donacije od pravnih i fizičkih osoba izvan općeg proračuna</w:t>
            </w:r>
          </w:p>
        </w:tc>
        <w:tc>
          <w:tcPr>
            <w:tcW w:w="1559" w:type="dxa"/>
            <w:tcBorders>
              <w:top w:val="nil"/>
              <w:left w:val="nil"/>
              <w:bottom w:val="nil"/>
              <w:right w:val="nil"/>
            </w:tcBorders>
            <w:shd w:val="clear" w:color="auto" w:fill="auto"/>
            <w:noWrap/>
            <w:vAlign w:val="bottom"/>
            <w:hideMark/>
          </w:tcPr>
          <w:p w14:paraId="480FFE56" w14:textId="77777777" w:rsidR="003B2C9F" w:rsidRPr="003B2C9F" w:rsidRDefault="003B2C9F" w:rsidP="003B2C9F">
            <w:pPr>
              <w:jc w:val="right"/>
              <w:rPr>
                <w:b/>
                <w:bCs/>
                <w:sz w:val="20"/>
                <w:szCs w:val="20"/>
              </w:rPr>
            </w:pPr>
            <w:r w:rsidRPr="003B2C9F">
              <w:rPr>
                <w:b/>
                <w:bCs/>
                <w:sz w:val="20"/>
                <w:szCs w:val="20"/>
              </w:rPr>
              <w:t>222.753,90</w:t>
            </w:r>
          </w:p>
        </w:tc>
        <w:tc>
          <w:tcPr>
            <w:tcW w:w="1503" w:type="dxa"/>
            <w:tcBorders>
              <w:top w:val="nil"/>
              <w:left w:val="nil"/>
              <w:bottom w:val="nil"/>
              <w:right w:val="nil"/>
            </w:tcBorders>
            <w:shd w:val="clear" w:color="auto" w:fill="auto"/>
            <w:noWrap/>
            <w:vAlign w:val="bottom"/>
            <w:hideMark/>
          </w:tcPr>
          <w:p w14:paraId="289D0BB3" w14:textId="77777777" w:rsidR="003B2C9F" w:rsidRPr="003B2C9F" w:rsidRDefault="003B2C9F" w:rsidP="003B2C9F">
            <w:pPr>
              <w:jc w:val="right"/>
              <w:rPr>
                <w:b/>
                <w:bCs/>
                <w:sz w:val="20"/>
                <w:szCs w:val="20"/>
              </w:rPr>
            </w:pPr>
            <w:r w:rsidRPr="003B2C9F">
              <w:rPr>
                <w:b/>
                <w:bCs/>
                <w:sz w:val="20"/>
                <w:szCs w:val="20"/>
              </w:rPr>
              <w:t>37.784,36</w:t>
            </w:r>
          </w:p>
        </w:tc>
        <w:tc>
          <w:tcPr>
            <w:tcW w:w="1366" w:type="dxa"/>
            <w:tcBorders>
              <w:top w:val="nil"/>
              <w:left w:val="nil"/>
              <w:bottom w:val="nil"/>
              <w:right w:val="nil"/>
            </w:tcBorders>
            <w:shd w:val="clear" w:color="auto" w:fill="auto"/>
            <w:noWrap/>
            <w:vAlign w:val="bottom"/>
            <w:hideMark/>
          </w:tcPr>
          <w:p w14:paraId="2BD69F6E" w14:textId="77777777" w:rsidR="003B2C9F" w:rsidRPr="003B2C9F" w:rsidRDefault="003B2C9F" w:rsidP="003B2C9F">
            <w:pPr>
              <w:jc w:val="right"/>
              <w:rPr>
                <w:b/>
                <w:bCs/>
                <w:sz w:val="20"/>
                <w:szCs w:val="20"/>
              </w:rPr>
            </w:pPr>
            <w:r w:rsidRPr="003B2C9F">
              <w:rPr>
                <w:b/>
                <w:bCs/>
                <w:sz w:val="20"/>
                <w:szCs w:val="20"/>
              </w:rPr>
              <w:t>71.467,40</w:t>
            </w:r>
          </w:p>
        </w:tc>
        <w:tc>
          <w:tcPr>
            <w:tcW w:w="1525" w:type="dxa"/>
            <w:tcBorders>
              <w:top w:val="nil"/>
              <w:left w:val="nil"/>
              <w:bottom w:val="nil"/>
              <w:right w:val="nil"/>
            </w:tcBorders>
            <w:shd w:val="clear" w:color="auto" w:fill="auto"/>
            <w:noWrap/>
            <w:vAlign w:val="bottom"/>
            <w:hideMark/>
          </w:tcPr>
          <w:p w14:paraId="63AF0AC9" w14:textId="77777777" w:rsidR="003B2C9F" w:rsidRPr="003B2C9F" w:rsidRDefault="003B2C9F" w:rsidP="003B2C9F">
            <w:pPr>
              <w:jc w:val="right"/>
              <w:rPr>
                <w:b/>
                <w:bCs/>
                <w:sz w:val="20"/>
                <w:szCs w:val="20"/>
              </w:rPr>
            </w:pPr>
            <w:r w:rsidRPr="003B2C9F">
              <w:rPr>
                <w:b/>
                <w:bCs/>
                <w:sz w:val="20"/>
                <w:szCs w:val="20"/>
              </w:rPr>
              <w:t>32,08</w:t>
            </w:r>
          </w:p>
        </w:tc>
        <w:tc>
          <w:tcPr>
            <w:tcW w:w="1000" w:type="dxa"/>
            <w:tcBorders>
              <w:top w:val="nil"/>
              <w:left w:val="nil"/>
              <w:bottom w:val="nil"/>
              <w:right w:val="nil"/>
            </w:tcBorders>
            <w:shd w:val="clear" w:color="auto" w:fill="auto"/>
            <w:noWrap/>
            <w:vAlign w:val="bottom"/>
            <w:hideMark/>
          </w:tcPr>
          <w:p w14:paraId="4D3DBA54" w14:textId="77777777" w:rsidR="003B2C9F" w:rsidRPr="003B2C9F" w:rsidRDefault="003B2C9F" w:rsidP="003B2C9F">
            <w:pPr>
              <w:jc w:val="right"/>
              <w:rPr>
                <w:b/>
                <w:bCs/>
                <w:sz w:val="20"/>
                <w:szCs w:val="20"/>
              </w:rPr>
            </w:pPr>
            <w:r w:rsidRPr="003B2C9F">
              <w:rPr>
                <w:b/>
                <w:bCs/>
                <w:sz w:val="20"/>
                <w:szCs w:val="20"/>
              </w:rPr>
              <w:t>189,15</w:t>
            </w:r>
          </w:p>
        </w:tc>
      </w:tr>
      <w:tr w:rsidR="003B2C9F" w:rsidRPr="003B2C9F" w14:paraId="19AA61F1" w14:textId="77777777" w:rsidTr="003B2C9F">
        <w:trPr>
          <w:trHeight w:val="300"/>
        </w:trPr>
        <w:tc>
          <w:tcPr>
            <w:tcW w:w="616" w:type="dxa"/>
            <w:tcBorders>
              <w:top w:val="nil"/>
              <w:left w:val="nil"/>
              <w:bottom w:val="nil"/>
              <w:right w:val="nil"/>
            </w:tcBorders>
            <w:shd w:val="clear" w:color="auto" w:fill="auto"/>
            <w:noWrap/>
            <w:vAlign w:val="bottom"/>
            <w:hideMark/>
          </w:tcPr>
          <w:p w14:paraId="383149B0" w14:textId="77777777" w:rsidR="003B2C9F" w:rsidRPr="003B2C9F" w:rsidRDefault="003B2C9F" w:rsidP="003B2C9F">
            <w:pPr>
              <w:rPr>
                <w:sz w:val="20"/>
                <w:szCs w:val="20"/>
              </w:rPr>
            </w:pPr>
            <w:r w:rsidRPr="003B2C9F">
              <w:rPr>
                <w:sz w:val="20"/>
                <w:szCs w:val="20"/>
              </w:rPr>
              <w:t>6631</w:t>
            </w:r>
          </w:p>
        </w:tc>
        <w:tc>
          <w:tcPr>
            <w:tcW w:w="6472" w:type="dxa"/>
            <w:tcBorders>
              <w:top w:val="nil"/>
              <w:left w:val="nil"/>
              <w:bottom w:val="nil"/>
              <w:right w:val="nil"/>
            </w:tcBorders>
            <w:shd w:val="clear" w:color="auto" w:fill="auto"/>
            <w:vAlign w:val="bottom"/>
            <w:hideMark/>
          </w:tcPr>
          <w:p w14:paraId="55E4B70F" w14:textId="77777777" w:rsidR="003B2C9F" w:rsidRPr="003B2C9F" w:rsidRDefault="003B2C9F" w:rsidP="003B2C9F">
            <w:pPr>
              <w:rPr>
                <w:sz w:val="20"/>
                <w:szCs w:val="20"/>
              </w:rPr>
            </w:pPr>
            <w:r w:rsidRPr="003B2C9F">
              <w:rPr>
                <w:sz w:val="20"/>
                <w:szCs w:val="20"/>
              </w:rPr>
              <w:t xml:space="preserve">Tekuće donacije                                                                                     </w:t>
            </w:r>
          </w:p>
        </w:tc>
        <w:tc>
          <w:tcPr>
            <w:tcW w:w="1559" w:type="dxa"/>
            <w:tcBorders>
              <w:top w:val="nil"/>
              <w:left w:val="nil"/>
              <w:bottom w:val="nil"/>
              <w:right w:val="nil"/>
            </w:tcBorders>
            <w:shd w:val="clear" w:color="auto" w:fill="auto"/>
            <w:noWrap/>
            <w:vAlign w:val="bottom"/>
            <w:hideMark/>
          </w:tcPr>
          <w:p w14:paraId="424F9749" w14:textId="77777777" w:rsidR="003B2C9F" w:rsidRPr="003B2C9F" w:rsidRDefault="003B2C9F" w:rsidP="003B2C9F">
            <w:pPr>
              <w:jc w:val="right"/>
              <w:rPr>
                <w:sz w:val="20"/>
                <w:szCs w:val="20"/>
              </w:rPr>
            </w:pPr>
            <w:r w:rsidRPr="003B2C9F">
              <w:rPr>
                <w:sz w:val="20"/>
                <w:szCs w:val="20"/>
              </w:rPr>
              <w:t>3.529,10</w:t>
            </w:r>
          </w:p>
        </w:tc>
        <w:tc>
          <w:tcPr>
            <w:tcW w:w="1503" w:type="dxa"/>
            <w:tcBorders>
              <w:top w:val="nil"/>
              <w:left w:val="nil"/>
              <w:bottom w:val="nil"/>
              <w:right w:val="nil"/>
            </w:tcBorders>
            <w:shd w:val="clear" w:color="auto" w:fill="auto"/>
            <w:noWrap/>
            <w:vAlign w:val="bottom"/>
            <w:hideMark/>
          </w:tcPr>
          <w:p w14:paraId="026BA763"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77012899" w14:textId="77777777" w:rsidR="003B2C9F" w:rsidRPr="003B2C9F" w:rsidRDefault="003B2C9F" w:rsidP="003B2C9F">
            <w:pPr>
              <w:jc w:val="right"/>
              <w:rPr>
                <w:sz w:val="20"/>
                <w:szCs w:val="20"/>
              </w:rPr>
            </w:pPr>
            <w:r w:rsidRPr="003B2C9F">
              <w:rPr>
                <w:sz w:val="20"/>
                <w:szCs w:val="20"/>
              </w:rPr>
              <w:t>527,50</w:t>
            </w:r>
          </w:p>
        </w:tc>
        <w:tc>
          <w:tcPr>
            <w:tcW w:w="1525" w:type="dxa"/>
            <w:tcBorders>
              <w:top w:val="nil"/>
              <w:left w:val="nil"/>
              <w:bottom w:val="nil"/>
              <w:right w:val="nil"/>
            </w:tcBorders>
            <w:shd w:val="clear" w:color="auto" w:fill="auto"/>
            <w:noWrap/>
            <w:vAlign w:val="bottom"/>
            <w:hideMark/>
          </w:tcPr>
          <w:p w14:paraId="027F792A" w14:textId="77777777" w:rsidR="003B2C9F" w:rsidRPr="003B2C9F" w:rsidRDefault="003B2C9F" w:rsidP="003B2C9F">
            <w:pPr>
              <w:jc w:val="right"/>
              <w:rPr>
                <w:sz w:val="20"/>
                <w:szCs w:val="20"/>
              </w:rPr>
            </w:pPr>
            <w:r w:rsidRPr="003B2C9F">
              <w:rPr>
                <w:sz w:val="20"/>
                <w:szCs w:val="20"/>
              </w:rPr>
              <w:t>14,95</w:t>
            </w:r>
          </w:p>
        </w:tc>
        <w:tc>
          <w:tcPr>
            <w:tcW w:w="1000" w:type="dxa"/>
            <w:tcBorders>
              <w:top w:val="nil"/>
              <w:left w:val="nil"/>
              <w:bottom w:val="nil"/>
              <w:right w:val="nil"/>
            </w:tcBorders>
            <w:shd w:val="clear" w:color="auto" w:fill="auto"/>
            <w:noWrap/>
            <w:vAlign w:val="bottom"/>
            <w:hideMark/>
          </w:tcPr>
          <w:p w14:paraId="6F57E2F2" w14:textId="77777777" w:rsidR="003B2C9F" w:rsidRPr="003B2C9F" w:rsidRDefault="003B2C9F" w:rsidP="003B2C9F">
            <w:pPr>
              <w:jc w:val="right"/>
              <w:rPr>
                <w:sz w:val="20"/>
                <w:szCs w:val="20"/>
              </w:rPr>
            </w:pPr>
          </w:p>
        </w:tc>
      </w:tr>
      <w:tr w:rsidR="003B2C9F" w:rsidRPr="003B2C9F" w14:paraId="5565194C" w14:textId="77777777" w:rsidTr="003B2C9F">
        <w:trPr>
          <w:trHeight w:val="300"/>
        </w:trPr>
        <w:tc>
          <w:tcPr>
            <w:tcW w:w="616" w:type="dxa"/>
            <w:tcBorders>
              <w:top w:val="nil"/>
              <w:left w:val="nil"/>
              <w:bottom w:val="nil"/>
              <w:right w:val="nil"/>
            </w:tcBorders>
            <w:shd w:val="clear" w:color="auto" w:fill="auto"/>
            <w:noWrap/>
            <w:vAlign w:val="bottom"/>
            <w:hideMark/>
          </w:tcPr>
          <w:p w14:paraId="387C270E" w14:textId="77777777" w:rsidR="003B2C9F" w:rsidRPr="003B2C9F" w:rsidRDefault="003B2C9F" w:rsidP="003B2C9F">
            <w:pPr>
              <w:rPr>
                <w:sz w:val="20"/>
                <w:szCs w:val="20"/>
              </w:rPr>
            </w:pPr>
            <w:r w:rsidRPr="003B2C9F">
              <w:rPr>
                <w:sz w:val="20"/>
                <w:szCs w:val="20"/>
              </w:rPr>
              <w:t>6632</w:t>
            </w:r>
          </w:p>
        </w:tc>
        <w:tc>
          <w:tcPr>
            <w:tcW w:w="6472" w:type="dxa"/>
            <w:tcBorders>
              <w:top w:val="nil"/>
              <w:left w:val="nil"/>
              <w:bottom w:val="nil"/>
              <w:right w:val="nil"/>
            </w:tcBorders>
            <w:shd w:val="clear" w:color="auto" w:fill="auto"/>
            <w:vAlign w:val="bottom"/>
            <w:hideMark/>
          </w:tcPr>
          <w:p w14:paraId="0DF30906" w14:textId="77777777" w:rsidR="003B2C9F" w:rsidRPr="003B2C9F" w:rsidRDefault="003B2C9F" w:rsidP="003B2C9F">
            <w:pPr>
              <w:rPr>
                <w:sz w:val="20"/>
                <w:szCs w:val="20"/>
              </w:rPr>
            </w:pPr>
            <w:r w:rsidRPr="003B2C9F">
              <w:rPr>
                <w:sz w:val="20"/>
                <w:szCs w:val="20"/>
              </w:rPr>
              <w:t xml:space="preserve">Kapitalne donacije                                                                                  </w:t>
            </w:r>
          </w:p>
        </w:tc>
        <w:tc>
          <w:tcPr>
            <w:tcW w:w="1559" w:type="dxa"/>
            <w:tcBorders>
              <w:top w:val="nil"/>
              <w:left w:val="nil"/>
              <w:bottom w:val="nil"/>
              <w:right w:val="nil"/>
            </w:tcBorders>
            <w:shd w:val="clear" w:color="auto" w:fill="auto"/>
            <w:noWrap/>
            <w:vAlign w:val="bottom"/>
            <w:hideMark/>
          </w:tcPr>
          <w:p w14:paraId="3FADE2DA" w14:textId="77777777" w:rsidR="003B2C9F" w:rsidRPr="003B2C9F" w:rsidRDefault="003B2C9F" w:rsidP="003B2C9F">
            <w:pPr>
              <w:jc w:val="right"/>
              <w:rPr>
                <w:sz w:val="20"/>
                <w:szCs w:val="20"/>
              </w:rPr>
            </w:pPr>
            <w:r w:rsidRPr="003B2C9F">
              <w:rPr>
                <w:sz w:val="20"/>
                <w:szCs w:val="20"/>
              </w:rPr>
              <w:t>219.224,80</w:t>
            </w:r>
          </w:p>
        </w:tc>
        <w:tc>
          <w:tcPr>
            <w:tcW w:w="1503" w:type="dxa"/>
            <w:tcBorders>
              <w:top w:val="nil"/>
              <w:left w:val="nil"/>
              <w:bottom w:val="nil"/>
              <w:right w:val="nil"/>
            </w:tcBorders>
            <w:shd w:val="clear" w:color="auto" w:fill="auto"/>
            <w:noWrap/>
            <w:vAlign w:val="bottom"/>
            <w:hideMark/>
          </w:tcPr>
          <w:p w14:paraId="0CE49D77"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397990A8" w14:textId="77777777" w:rsidR="003B2C9F" w:rsidRPr="003B2C9F" w:rsidRDefault="003B2C9F" w:rsidP="003B2C9F">
            <w:pPr>
              <w:jc w:val="right"/>
              <w:rPr>
                <w:sz w:val="20"/>
                <w:szCs w:val="20"/>
              </w:rPr>
            </w:pPr>
            <w:r w:rsidRPr="003B2C9F">
              <w:rPr>
                <w:sz w:val="20"/>
                <w:szCs w:val="20"/>
              </w:rPr>
              <w:t>70.939,90</w:t>
            </w:r>
          </w:p>
        </w:tc>
        <w:tc>
          <w:tcPr>
            <w:tcW w:w="1525" w:type="dxa"/>
            <w:tcBorders>
              <w:top w:val="nil"/>
              <w:left w:val="nil"/>
              <w:bottom w:val="nil"/>
              <w:right w:val="nil"/>
            </w:tcBorders>
            <w:shd w:val="clear" w:color="auto" w:fill="auto"/>
            <w:noWrap/>
            <w:vAlign w:val="bottom"/>
            <w:hideMark/>
          </w:tcPr>
          <w:p w14:paraId="07AF603D" w14:textId="77777777" w:rsidR="003B2C9F" w:rsidRPr="003B2C9F" w:rsidRDefault="003B2C9F" w:rsidP="003B2C9F">
            <w:pPr>
              <w:jc w:val="right"/>
              <w:rPr>
                <w:sz w:val="20"/>
                <w:szCs w:val="20"/>
              </w:rPr>
            </w:pPr>
            <w:r w:rsidRPr="003B2C9F">
              <w:rPr>
                <w:sz w:val="20"/>
                <w:szCs w:val="20"/>
              </w:rPr>
              <w:t>32,36</w:t>
            </w:r>
          </w:p>
        </w:tc>
        <w:tc>
          <w:tcPr>
            <w:tcW w:w="1000" w:type="dxa"/>
            <w:tcBorders>
              <w:top w:val="nil"/>
              <w:left w:val="nil"/>
              <w:bottom w:val="nil"/>
              <w:right w:val="nil"/>
            </w:tcBorders>
            <w:shd w:val="clear" w:color="auto" w:fill="auto"/>
            <w:noWrap/>
            <w:vAlign w:val="bottom"/>
            <w:hideMark/>
          </w:tcPr>
          <w:p w14:paraId="6E0BCA84" w14:textId="77777777" w:rsidR="003B2C9F" w:rsidRPr="003B2C9F" w:rsidRDefault="003B2C9F" w:rsidP="003B2C9F">
            <w:pPr>
              <w:jc w:val="right"/>
              <w:rPr>
                <w:sz w:val="20"/>
                <w:szCs w:val="20"/>
              </w:rPr>
            </w:pPr>
          </w:p>
        </w:tc>
      </w:tr>
      <w:tr w:rsidR="003B2C9F" w:rsidRPr="003B2C9F" w14:paraId="2AA328A9" w14:textId="77777777" w:rsidTr="003B2C9F">
        <w:trPr>
          <w:trHeight w:val="300"/>
        </w:trPr>
        <w:tc>
          <w:tcPr>
            <w:tcW w:w="616" w:type="dxa"/>
            <w:tcBorders>
              <w:top w:val="nil"/>
              <w:left w:val="nil"/>
              <w:bottom w:val="nil"/>
              <w:right w:val="nil"/>
            </w:tcBorders>
            <w:shd w:val="clear" w:color="auto" w:fill="auto"/>
            <w:noWrap/>
            <w:vAlign w:val="bottom"/>
            <w:hideMark/>
          </w:tcPr>
          <w:p w14:paraId="22884F74" w14:textId="77777777" w:rsidR="003B2C9F" w:rsidRPr="003B2C9F" w:rsidRDefault="003B2C9F" w:rsidP="003B2C9F">
            <w:pPr>
              <w:rPr>
                <w:b/>
                <w:bCs/>
                <w:sz w:val="20"/>
                <w:szCs w:val="20"/>
              </w:rPr>
            </w:pPr>
            <w:r w:rsidRPr="003B2C9F">
              <w:rPr>
                <w:b/>
                <w:bCs/>
                <w:sz w:val="20"/>
                <w:szCs w:val="20"/>
              </w:rPr>
              <w:t>68</w:t>
            </w:r>
          </w:p>
        </w:tc>
        <w:tc>
          <w:tcPr>
            <w:tcW w:w="6472" w:type="dxa"/>
            <w:tcBorders>
              <w:top w:val="nil"/>
              <w:left w:val="nil"/>
              <w:bottom w:val="nil"/>
              <w:right w:val="nil"/>
            </w:tcBorders>
            <w:shd w:val="clear" w:color="auto" w:fill="auto"/>
            <w:noWrap/>
            <w:vAlign w:val="bottom"/>
            <w:hideMark/>
          </w:tcPr>
          <w:p w14:paraId="625CDC9F" w14:textId="77777777" w:rsidR="003B2C9F" w:rsidRPr="003B2C9F" w:rsidRDefault="003B2C9F" w:rsidP="003B2C9F">
            <w:pPr>
              <w:rPr>
                <w:b/>
                <w:bCs/>
                <w:sz w:val="20"/>
                <w:szCs w:val="20"/>
              </w:rPr>
            </w:pPr>
            <w:r w:rsidRPr="003B2C9F">
              <w:rPr>
                <w:b/>
                <w:bCs/>
                <w:sz w:val="20"/>
                <w:szCs w:val="20"/>
              </w:rPr>
              <w:t xml:space="preserve">Kazne, upravne mjere i ostali prihodi                                                               </w:t>
            </w:r>
          </w:p>
        </w:tc>
        <w:tc>
          <w:tcPr>
            <w:tcW w:w="1559" w:type="dxa"/>
            <w:tcBorders>
              <w:top w:val="nil"/>
              <w:left w:val="nil"/>
              <w:bottom w:val="nil"/>
              <w:right w:val="nil"/>
            </w:tcBorders>
            <w:shd w:val="clear" w:color="auto" w:fill="auto"/>
            <w:noWrap/>
            <w:vAlign w:val="bottom"/>
            <w:hideMark/>
          </w:tcPr>
          <w:p w14:paraId="1F88A48B" w14:textId="77777777" w:rsidR="003B2C9F" w:rsidRPr="003B2C9F" w:rsidRDefault="003B2C9F" w:rsidP="003B2C9F">
            <w:pPr>
              <w:jc w:val="right"/>
              <w:rPr>
                <w:b/>
                <w:bCs/>
                <w:sz w:val="20"/>
                <w:szCs w:val="20"/>
              </w:rPr>
            </w:pPr>
            <w:r w:rsidRPr="003B2C9F">
              <w:rPr>
                <w:b/>
                <w:bCs/>
                <w:sz w:val="20"/>
                <w:szCs w:val="20"/>
              </w:rPr>
              <w:t>45.574,09</w:t>
            </w:r>
          </w:p>
        </w:tc>
        <w:tc>
          <w:tcPr>
            <w:tcW w:w="1503" w:type="dxa"/>
            <w:tcBorders>
              <w:top w:val="nil"/>
              <w:left w:val="nil"/>
              <w:bottom w:val="nil"/>
              <w:right w:val="nil"/>
            </w:tcBorders>
            <w:shd w:val="clear" w:color="auto" w:fill="auto"/>
            <w:noWrap/>
            <w:vAlign w:val="bottom"/>
            <w:hideMark/>
          </w:tcPr>
          <w:p w14:paraId="581D27BC" w14:textId="77777777" w:rsidR="003B2C9F" w:rsidRPr="003B2C9F" w:rsidRDefault="003B2C9F" w:rsidP="003B2C9F">
            <w:pPr>
              <w:jc w:val="right"/>
              <w:rPr>
                <w:b/>
                <w:bCs/>
                <w:sz w:val="20"/>
                <w:szCs w:val="20"/>
              </w:rPr>
            </w:pPr>
            <w:r w:rsidRPr="003B2C9F">
              <w:rPr>
                <w:b/>
                <w:bCs/>
                <w:sz w:val="20"/>
                <w:szCs w:val="20"/>
              </w:rPr>
              <w:t>55.000,00</w:t>
            </w:r>
          </w:p>
        </w:tc>
        <w:tc>
          <w:tcPr>
            <w:tcW w:w="1366" w:type="dxa"/>
            <w:tcBorders>
              <w:top w:val="nil"/>
              <w:left w:val="nil"/>
              <w:bottom w:val="nil"/>
              <w:right w:val="nil"/>
            </w:tcBorders>
            <w:shd w:val="clear" w:color="auto" w:fill="auto"/>
            <w:noWrap/>
            <w:vAlign w:val="bottom"/>
            <w:hideMark/>
          </w:tcPr>
          <w:p w14:paraId="718A3CD2" w14:textId="77777777" w:rsidR="003B2C9F" w:rsidRPr="003B2C9F" w:rsidRDefault="003B2C9F" w:rsidP="003B2C9F">
            <w:pPr>
              <w:jc w:val="right"/>
              <w:rPr>
                <w:b/>
                <w:bCs/>
                <w:sz w:val="20"/>
                <w:szCs w:val="20"/>
              </w:rPr>
            </w:pPr>
            <w:r w:rsidRPr="003B2C9F">
              <w:rPr>
                <w:b/>
                <w:bCs/>
                <w:sz w:val="20"/>
                <w:szCs w:val="20"/>
              </w:rPr>
              <w:t>41.731,50</w:t>
            </w:r>
          </w:p>
        </w:tc>
        <w:tc>
          <w:tcPr>
            <w:tcW w:w="1525" w:type="dxa"/>
            <w:tcBorders>
              <w:top w:val="nil"/>
              <w:left w:val="nil"/>
              <w:bottom w:val="nil"/>
              <w:right w:val="nil"/>
            </w:tcBorders>
            <w:shd w:val="clear" w:color="auto" w:fill="auto"/>
            <w:noWrap/>
            <w:vAlign w:val="bottom"/>
            <w:hideMark/>
          </w:tcPr>
          <w:p w14:paraId="5F4C4936" w14:textId="77777777" w:rsidR="003B2C9F" w:rsidRPr="003B2C9F" w:rsidRDefault="003B2C9F" w:rsidP="003B2C9F">
            <w:pPr>
              <w:jc w:val="right"/>
              <w:rPr>
                <w:b/>
                <w:bCs/>
                <w:sz w:val="20"/>
                <w:szCs w:val="20"/>
              </w:rPr>
            </w:pPr>
            <w:r w:rsidRPr="003B2C9F">
              <w:rPr>
                <w:b/>
                <w:bCs/>
                <w:sz w:val="20"/>
                <w:szCs w:val="20"/>
              </w:rPr>
              <w:t>91,57</w:t>
            </w:r>
          </w:p>
        </w:tc>
        <w:tc>
          <w:tcPr>
            <w:tcW w:w="1000" w:type="dxa"/>
            <w:tcBorders>
              <w:top w:val="nil"/>
              <w:left w:val="nil"/>
              <w:bottom w:val="nil"/>
              <w:right w:val="nil"/>
            </w:tcBorders>
            <w:shd w:val="clear" w:color="auto" w:fill="auto"/>
            <w:noWrap/>
            <w:vAlign w:val="bottom"/>
            <w:hideMark/>
          </w:tcPr>
          <w:p w14:paraId="0CA17F73" w14:textId="77777777" w:rsidR="003B2C9F" w:rsidRPr="003B2C9F" w:rsidRDefault="003B2C9F" w:rsidP="003B2C9F">
            <w:pPr>
              <w:jc w:val="right"/>
              <w:rPr>
                <w:b/>
                <w:bCs/>
                <w:sz w:val="20"/>
                <w:szCs w:val="20"/>
              </w:rPr>
            </w:pPr>
            <w:r w:rsidRPr="003B2C9F">
              <w:rPr>
                <w:b/>
                <w:bCs/>
                <w:sz w:val="20"/>
                <w:szCs w:val="20"/>
              </w:rPr>
              <w:t>75,88</w:t>
            </w:r>
          </w:p>
        </w:tc>
      </w:tr>
      <w:tr w:rsidR="003B2C9F" w:rsidRPr="003B2C9F" w14:paraId="408A794A" w14:textId="77777777" w:rsidTr="003B2C9F">
        <w:trPr>
          <w:trHeight w:val="300"/>
        </w:trPr>
        <w:tc>
          <w:tcPr>
            <w:tcW w:w="616" w:type="dxa"/>
            <w:tcBorders>
              <w:top w:val="nil"/>
              <w:left w:val="nil"/>
              <w:bottom w:val="nil"/>
              <w:right w:val="nil"/>
            </w:tcBorders>
            <w:shd w:val="clear" w:color="auto" w:fill="auto"/>
            <w:noWrap/>
            <w:vAlign w:val="bottom"/>
            <w:hideMark/>
          </w:tcPr>
          <w:p w14:paraId="505B929E" w14:textId="77777777" w:rsidR="003B2C9F" w:rsidRPr="003B2C9F" w:rsidRDefault="003B2C9F" w:rsidP="003B2C9F">
            <w:pPr>
              <w:rPr>
                <w:b/>
                <w:bCs/>
                <w:sz w:val="20"/>
                <w:szCs w:val="20"/>
              </w:rPr>
            </w:pPr>
            <w:r w:rsidRPr="003B2C9F">
              <w:rPr>
                <w:b/>
                <w:bCs/>
                <w:sz w:val="20"/>
                <w:szCs w:val="20"/>
              </w:rPr>
              <w:t>681</w:t>
            </w:r>
          </w:p>
        </w:tc>
        <w:tc>
          <w:tcPr>
            <w:tcW w:w="6472" w:type="dxa"/>
            <w:tcBorders>
              <w:top w:val="nil"/>
              <w:left w:val="nil"/>
              <w:bottom w:val="nil"/>
              <w:right w:val="nil"/>
            </w:tcBorders>
            <w:shd w:val="clear" w:color="auto" w:fill="auto"/>
            <w:noWrap/>
            <w:vAlign w:val="bottom"/>
            <w:hideMark/>
          </w:tcPr>
          <w:p w14:paraId="64148C37" w14:textId="77777777" w:rsidR="003B2C9F" w:rsidRPr="003B2C9F" w:rsidRDefault="003B2C9F" w:rsidP="003B2C9F">
            <w:pPr>
              <w:rPr>
                <w:b/>
                <w:bCs/>
                <w:sz w:val="20"/>
                <w:szCs w:val="20"/>
              </w:rPr>
            </w:pPr>
            <w:r w:rsidRPr="003B2C9F">
              <w:rPr>
                <w:b/>
                <w:bCs/>
                <w:sz w:val="20"/>
                <w:szCs w:val="20"/>
              </w:rPr>
              <w:t xml:space="preserve">Kazne i upravne mjere                                                                               </w:t>
            </w:r>
          </w:p>
        </w:tc>
        <w:tc>
          <w:tcPr>
            <w:tcW w:w="1559" w:type="dxa"/>
            <w:tcBorders>
              <w:top w:val="nil"/>
              <w:left w:val="nil"/>
              <w:bottom w:val="nil"/>
              <w:right w:val="nil"/>
            </w:tcBorders>
            <w:shd w:val="clear" w:color="auto" w:fill="auto"/>
            <w:noWrap/>
            <w:vAlign w:val="bottom"/>
            <w:hideMark/>
          </w:tcPr>
          <w:p w14:paraId="03540B80" w14:textId="77777777" w:rsidR="003B2C9F" w:rsidRPr="003B2C9F" w:rsidRDefault="003B2C9F" w:rsidP="003B2C9F">
            <w:pPr>
              <w:jc w:val="right"/>
              <w:rPr>
                <w:b/>
                <w:bCs/>
                <w:sz w:val="20"/>
                <w:szCs w:val="20"/>
              </w:rPr>
            </w:pPr>
            <w:r w:rsidRPr="003B2C9F">
              <w:rPr>
                <w:b/>
                <w:bCs/>
                <w:sz w:val="20"/>
                <w:szCs w:val="20"/>
              </w:rPr>
              <w:t>19.182,38</w:t>
            </w:r>
          </w:p>
        </w:tc>
        <w:tc>
          <w:tcPr>
            <w:tcW w:w="1503" w:type="dxa"/>
            <w:tcBorders>
              <w:top w:val="nil"/>
              <w:left w:val="nil"/>
              <w:bottom w:val="nil"/>
              <w:right w:val="nil"/>
            </w:tcBorders>
            <w:shd w:val="clear" w:color="auto" w:fill="auto"/>
            <w:noWrap/>
            <w:vAlign w:val="bottom"/>
            <w:hideMark/>
          </w:tcPr>
          <w:p w14:paraId="4A49E818" w14:textId="77777777" w:rsidR="003B2C9F" w:rsidRPr="003B2C9F" w:rsidRDefault="003B2C9F" w:rsidP="003B2C9F">
            <w:pPr>
              <w:jc w:val="right"/>
              <w:rPr>
                <w:b/>
                <w:bCs/>
                <w:sz w:val="20"/>
                <w:szCs w:val="20"/>
              </w:rPr>
            </w:pPr>
            <w:r w:rsidRPr="003B2C9F">
              <w:rPr>
                <w:b/>
                <w:bCs/>
                <w:sz w:val="20"/>
                <w:szCs w:val="20"/>
              </w:rPr>
              <w:t>35.000,00</w:t>
            </w:r>
          </w:p>
        </w:tc>
        <w:tc>
          <w:tcPr>
            <w:tcW w:w="1366" w:type="dxa"/>
            <w:tcBorders>
              <w:top w:val="nil"/>
              <w:left w:val="nil"/>
              <w:bottom w:val="nil"/>
              <w:right w:val="nil"/>
            </w:tcBorders>
            <w:shd w:val="clear" w:color="auto" w:fill="auto"/>
            <w:noWrap/>
            <w:vAlign w:val="bottom"/>
            <w:hideMark/>
          </w:tcPr>
          <w:p w14:paraId="1059BC36" w14:textId="77777777" w:rsidR="003B2C9F" w:rsidRPr="003B2C9F" w:rsidRDefault="003B2C9F" w:rsidP="003B2C9F">
            <w:pPr>
              <w:jc w:val="right"/>
              <w:rPr>
                <w:b/>
                <w:bCs/>
                <w:sz w:val="20"/>
                <w:szCs w:val="20"/>
              </w:rPr>
            </w:pPr>
            <w:r w:rsidRPr="003B2C9F">
              <w:rPr>
                <w:b/>
                <w:bCs/>
                <w:sz w:val="20"/>
                <w:szCs w:val="20"/>
              </w:rPr>
              <w:t>26.126,59</w:t>
            </w:r>
          </w:p>
        </w:tc>
        <w:tc>
          <w:tcPr>
            <w:tcW w:w="1525" w:type="dxa"/>
            <w:tcBorders>
              <w:top w:val="nil"/>
              <w:left w:val="nil"/>
              <w:bottom w:val="nil"/>
              <w:right w:val="nil"/>
            </w:tcBorders>
            <w:shd w:val="clear" w:color="auto" w:fill="auto"/>
            <w:noWrap/>
            <w:vAlign w:val="bottom"/>
            <w:hideMark/>
          </w:tcPr>
          <w:p w14:paraId="5D9625C7" w14:textId="77777777" w:rsidR="003B2C9F" w:rsidRPr="003B2C9F" w:rsidRDefault="003B2C9F" w:rsidP="003B2C9F">
            <w:pPr>
              <w:jc w:val="right"/>
              <w:rPr>
                <w:b/>
                <w:bCs/>
                <w:sz w:val="20"/>
                <w:szCs w:val="20"/>
              </w:rPr>
            </w:pPr>
            <w:r w:rsidRPr="003B2C9F">
              <w:rPr>
                <w:b/>
                <w:bCs/>
                <w:sz w:val="20"/>
                <w:szCs w:val="20"/>
              </w:rPr>
              <w:t>136,20</w:t>
            </w:r>
          </w:p>
        </w:tc>
        <w:tc>
          <w:tcPr>
            <w:tcW w:w="1000" w:type="dxa"/>
            <w:tcBorders>
              <w:top w:val="nil"/>
              <w:left w:val="nil"/>
              <w:bottom w:val="nil"/>
              <w:right w:val="nil"/>
            </w:tcBorders>
            <w:shd w:val="clear" w:color="auto" w:fill="auto"/>
            <w:noWrap/>
            <w:vAlign w:val="bottom"/>
            <w:hideMark/>
          </w:tcPr>
          <w:p w14:paraId="64342C0A" w14:textId="77777777" w:rsidR="003B2C9F" w:rsidRPr="003B2C9F" w:rsidRDefault="003B2C9F" w:rsidP="003B2C9F">
            <w:pPr>
              <w:jc w:val="right"/>
              <w:rPr>
                <w:b/>
                <w:bCs/>
                <w:sz w:val="20"/>
                <w:szCs w:val="20"/>
              </w:rPr>
            </w:pPr>
            <w:r w:rsidRPr="003B2C9F">
              <w:rPr>
                <w:b/>
                <w:bCs/>
                <w:sz w:val="20"/>
                <w:szCs w:val="20"/>
              </w:rPr>
              <w:t>74,65</w:t>
            </w:r>
          </w:p>
        </w:tc>
      </w:tr>
      <w:tr w:rsidR="003B2C9F" w:rsidRPr="003B2C9F" w14:paraId="1BFB0117" w14:textId="77777777" w:rsidTr="003B2C9F">
        <w:trPr>
          <w:trHeight w:val="300"/>
        </w:trPr>
        <w:tc>
          <w:tcPr>
            <w:tcW w:w="616" w:type="dxa"/>
            <w:tcBorders>
              <w:top w:val="nil"/>
              <w:left w:val="nil"/>
              <w:bottom w:val="nil"/>
              <w:right w:val="nil"/>
            </w:tcBorders>
            <w:shd w:val="clear" w:color="auto" w:fill="auto"/>
            <w:noWrap/>
            <w:vAlign w:val="bottom"/>
            <w:hideMark/>
          </w:tcPr>
          <w:p w14:paraId="1B5BD6D0" w14:textId="77777777" w:rsidR="003B2C9F" w:rsidRPr="003B2C9F" w:rsidRDefault="003B2C9F" w:rsidP="003B2C9F">
            <w:pPr>
              <w:rPr>
                <w:sz w:val="20"/>
                <w:szCs w:val="20"/>
              </w:rPr>
            </w:pPr>
            <w:r w:rsidRPr="003B2C9F">
              <w:rPr>
                <w:sz w:val="20"/>
                <w:szCs w:val="20"/>
              </w:rPr>
              <w:t>6818</w:t>
            </w:r>
          </w:p>
        </w:tc>
        <w:tc>
          <w:tcPr>
            <w:tcW w:w="6472" w:type="dxa"/>
            <w:tcBorders>
              <w:top w:val="nil"/>
              <w:left w:val="nil"/>
              <w:bottom w:val="nil"/>
              <w:right w:val="nil"/>
            </w:tcBorders>
            <w:shd w:val="clear" w:color="auto" w:fill="auto"/>
            <w:vAlign w:val="bottom"/>
            <w:hideMark/>
          </w:tcPr>
          <w:p w14:paraId="2D4CB59E" w14:textId="77777777" w:rsidR="003B2C9F" w:rsidRPr="003B2C9F" w:rsidRDefault="003B2C9F" w:rsidP="003B2C9F">
            <w:pPr>
              <w:rPr>
                <w:sz w:val="20"/>
                <w:szCs w:val="20"/>
              </w:rPr>
            </w:pPr>
            <w:r w:rsidRPr="003B2C9F">
              <w:rPr>
                <w:sz w:val="20"/>
                <w:szCs w:val="20"/>
              </w:rPr>
              <w:t xml:space="preserve">Upravne mjere                                                                                       </w:t>
            </w:r>
          </w:p>
        </w:tc>
        <w:tc>
          <w:tcPr>
            <w:tcW w:w="1559" w:type="dxa"/>
            <w:tcBorders>
              <w:top w:val="nil"/>
              <w:left w:val="nil"/>
              <w:bottom w:val="nil"/>
              <w:right w:val="nil"/>
            </w:tcBorders>
            <w:shd w:val="clear" w:color="auto" w:fill="auto"/>
            <w:noWrap/>
            <w:vAlign w:val="bottom"/>
            <w:hideMark/>
          </w:tcPr>
          <w:p w14:paraId="72E02FE2" w14:textId="77777777" w:rsidR="003B2C9F" w:rsidRPr="003B2C9F" w:rsidRDefault="003B2C9F" w:rsidP="003B2C9F">
            <w:pPr>
              <w:jc w:val="right"/>
              <w:rPr>
                <w:sz w:val="20"/>
                <w:szCs w:val="20"/>
              </w:rPr>
            </w:pPr>
            <w:r w:rsidRPr="003B2C9F">
              <w:rPr>
                <w:sz w:val="20"/>
                <w:szCs w:val="20"/>
              </w:rPr>
              <w:t>0,00</w:t>
            </w:r>
          </w:p>
        </w:tc>
        <w:tc>
          <w:tcPr>
            <w:tcW w:w="1503" w:type="dxa"/>
            <w:tcBorders>
              <w:top w:val="nil"/>
              <w:left w:val="nil"/>
              <w:bottom w:val="nil"/>
              <w:right w:val="nil"/>
            </w:tcBorders>
            <w:shd w:val="clear" w:color="auto" w:fill="auto"/>
            <w:noWrap/>
            <w:vAlign w:val="bottom"/>
            <w:hideMark/>
          </w:tcPr>
          <w:p w14:paraId="1D99E7DE"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3460DF61" w14:textId="77777777" w:rsidR="003B2C9F" w:rsidRPr="003B2C9F" w:rsidRDefault="003B2C9F" w:rsidP="003B2C9F">
            <w:pPr>
              <w:jc w:val="right"/>
              <w:rPr>
                <w:sz w:val="20"/>
                <w:szCs w:val="20"/>
              </w:rPr>
            </w:pPr>
            <w:r w:rsidRPr="003B2C9F">
              <w:rPr>
                <w:sz w:val="20"/>
                <w:szCs w:val="20"/>
              </w:rPr>
              <w:t>0,00</w:t>
            </w:r>
          </w:p>
        </w:tc>
        <w:tc>
          <w:tcPr>
            <w:tcW w:w="1525" w:type="dxa"/>
            <w:tcBorders>
              <w:top w:val="nil"/>
              <w:left w:val="nil"/>
              <w:bottom w:val="nil"/>
              <w:right w:val="nil"/>
            </w:tcBorders>
            <w:shd w:val="clear" w:color="auto" w:fill="auto"/>
            <w:noWrap/>
            <w:vAlign w:val="bottom"/>
            <w:hideMark/>
          </w:tcPr>
          <w:p w14:paraId="03665AC4" w14:textId="77777777" w:rsidR="003B2C9F" w:rsidRPr="003B2C9F" w:rsidRDefault="003B2C9F" w:rsidP="003B2C9F">
            <w:pPr>
              <w:jc w:val="right"/>
              <w:rPr>
                <w:sz w:val="20"/>
                <w:szCs w:val="20"/>
              </w:rPr>
            </w:pPr>
            <w:r w:rsidRPr="003B2C9F">
              <w:rPr>
                <w:sz w:val="20"/>
                <w:szCs w:val="20"/>
              </w:rPr>
              <w:t>0,00</w:t>
            </w:r>
          </w:p>
        </w:tc>
        <w:tc>
          <w:tcPr>
            <w:tcW w:w="1000" w:type="dxa"/>
            <w:tcBorders>
              <w:top w:val="nil"/>
              <w:left w:val="nil"/>
              <w:bottom w:val="nil"/>
              <w:right w:val="nil"/>
            </w:tcBorders>
            <w:shd w:val="clear" w:color="auto" w:fill="auto"/>
            <w:noWrap/>
            <w:vAlign w:val="bottom"/>
            <w:hideMark/>
          </w:tcPr>
          <w:p w14:paraId="08B4D278" w14:textId="77777777" w:rsidR="003B2C9F" w:rsidRPr="003B2C9F" w:rsidRDefault="003B2C9F" w:rsidP="003B2C9F">
            <w:pPr>
              <w:jc w:val="right"/>
              <w:rPr>
                <w:sz w:val="20"/>
                <w:szCs w:val="20"/>
              </w:rPr>
            </w:pPr>
          </w:p>
        </w:tc>
      </w:tr>
      <w:tr w:rsidR="003B2C9F" w:rsidRPr="003B2C9F" w14:paraId="43B74585" w14:textId="77777777" w:rsidTr="003B2C9F">
        <w:trPr>
          <w:trHeight w:val="300"/>
        </w:trPr>
        <w:tc>
          <w:tcPr>
            <w:tcW w:w="616" w:type="dxa"/>
            <w:tcBorders>
              <w:top w:val="nil"/>
              <w:left w:val="nil"/>
              <w:bottom w:val="nil"/>
              <w:right w:val="nil"/>
            </w:tcBorders>
            <w:shd w:val="clear" w:color="auto" w:fill="auto"/>
            <w:noWrap/>
            <w:vAlign w:val="bottom"/>
            <w:hideMark/>
          </w:tcPr>
          <w:p w14:paraId="07658B60" w14:textId="77777777" w:rsidR="003B2C9F" w:rsidRPr="003B2C9F" w:rsidRDefault="003B2C9F" w:rsidP="003B2C9F">
            <w:pPr>
              <w:rPr>
                <w:sz w:val="20"/>
                <w:szCs w:val="20"/>
              </w:rPr>
            </w:pPr>
            <w:r w:rsidRPr="003B2C9F">
              <w:rPr>
                <w:sz w:val="20"/>
                <w:szCs w:val="20"/>
              </w:rPr>
              <w:t>6819</w:t>
            </w:r>
          </w:p>
        </w:tc>
        <w:tc>
          <w:tcPr>
            <w:tcW w:w="6472" w:type="dxa"/>
            <w:tcBorders>
              <w:top w:val="nil"/>
              <w:left w:val="nil"/>
              <w:bottom w:val="nil"/>
              <w:right w:val="nil"/>
            </w:tcBorders>
            <w:shd w:val="clear" w:color="auto" w:fill="auto"/>
            <w:vAlign w:val="bottom"/>
            <w:hideMark/>
          </w:tcPr>
          <w:p w14:paraId="5DA0A84E" w14:textId="77777777" w:rsidR="003B2C9F" w:rsidRPr="003B2C9F" w:rsidRDefault="003B2C9F" w:rsidP="003B2C9F">
            <w:pPr>
              <w:rPr>
                <w:sz w:val="20"/>
                <w:szCs w:val="20"/>
              </w:rPr>
            </w:pPr>
            <w:r w:rsidRPr="003B2C9F">
              <w:rPr>
                <w:sz w:val="20"/>
                <w:szCs w:val="20"/>
              </w:rPr>
              <w:t xml:space="preserve">Ostale kazne                                                                                        </w:t>
            </w:r>
          </w:p>
        </w:tc>
        <w:tc>
          <w:tcPr>
            <w:tcW w:w="1559" w:type="dxa"/>
            <w:tcBorders>
              <w:top w:val="nil"/>
              <w:left w:val="nil"/>
              <w:bottom w:val="nil"/>
              <w:right w:val="nil"/>
            </w:tcBorders>
            <w:shd w:val="clear" w:color="auto" w:fill="auto"/>
            <w:noWrap/>
            <w:vAlign w:val="bottom"/>
            <w:hideMark/>
          </w:tcPr>
          <w:p w14:paraId="7765AEA5" w14:textId="77777777" w:rsidR="003B2C9F" w:rsidRPr="003B2C9F" w:rsidRDefault="003B2C9F" w:rsidP="003B2C9F">
            <w:pPr>
              <w:jc w:val="right"/>
              <w:rPr>
                <w:sz w:val="20"/>
                <w:szCs w:val="20"/>
              </w:rPr>
            </w:pPr>
            <w:r w:rsidRPr="003B2C9F">
              <w:rPr>
                <w:sz w:val="20"/>
                <w:szCs w:val="20"/>
              </w:rPr>
              <w:t>19.182,38</w:t>
            </w:r>
          </w:p>
        </w:tc>
        <w:tc>
          <w:tcPr>
            <w:tcW w:w="1503" w:type="dxa"/>
            <w:tcBorders>
              <w:top w:val="nil"/>
              <w:left w:val="nil"/>
              <w:bottom w:val="nil"/>
              <w:right w:val="nil"/>
            </w:tcBorders>
            <w:shd w:val="clear" w:color="auto" w:fill="auto"/>
            <w:noWrap/>
            <w:vAlign w:val="bottom"/>
            <w:hideMark/>
          </w:tcPr>
          <w:p w14:paraId="12E9E8E1"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3297B9CF" w14:textId="77777777" w:rsidR="003B2C9F" w:rsidRPr="003B2C9F" w:rsidRDefault="003B2C9F" w:rsidP="003B2C9F">
            <w:pPr>
              <w:jc w:val="right"/>
              <w:rPr>
                <w:sz w:val="20"/>
                <w:szCs w:val="20"/>
              </w:rPr>
            </w:pPr>
            <w:r w:rsidRPr="003B2C9F">
              <w:rPr>
                <w:sz w:val="20"/>
                <w:szCs w:val="20"/>
              </w:rPr>
              <w:t>26.126,59</w:t>
            </w:r>
          </w:p>
        </w:tc>
        <w:tc>
          <w:tcPr>
            <w:tcW w:w="1525" w:type="dxa"/>
            <w:tcBorders>
              <w:top w:val="nil"/>
              <w:left w:val="nil"/>
              <w:bottom w:val="nil"/>
              <w:right w:val="nil"/>
            </w:tcBorders>
            <w:shd w:val="clear" w:color="auto" w:fill="auto"/>
            <w:noWrap/>
            <w:vAlign w:val="bottom"/>
            <w:hideMark/>
          </w:tcPr>
          <w:p w14:paraId="01C00B47" w14:textId="77777777" w:rsidR="003B2C9F" w:rsidRPr="003B2C9F" w:rsidRDefault="003B2C9F" w:rsidP="003B2C9F">
            <w:pPr>
              <w:jc w:val="right"/>
              <w:rPr>
                <w:sz w:val="20"/>
                <w:szCs w:val="20"/>
              </w:rPr>
            </w:pPr>
            <w:r w:rsidRPr="003B2C9F">
              <w:rPr>
                <w:sz w:val="20"/>
                <w:szCs w:val="20"/>
              </w:rPr>
              <w:t>136,20</w:t>
            </w:r>
          </w:p>
        </w:tc>
        <w:tc>
          <w:tcPr>
            <w:tcW w:w="1000" w:type="dxa"/>
            <w:tcBorders>
              <w:top w:val="nil"/>
              <w:left w:val="nil"/>
              <w:bottom w:val="nil"/>
              <w:right w:val="nil"/>
            </w:tcBorders>
            <w:shd w:val="clear" w:color="auto" w:fill="auto"/>
            <w:noWrap/>
            <w:vAlign w:val="bottom"/>
            <w:hideMark/>
          </w:tcPr>
          <w:p w14:paraId="3F7D4470" w14:textId="77777777" w:rsidR="003B2C9F" w:rsidRPr="003B2C9F" w:rsidRDefault="003B2C9F" w:rsidP="003B2C9F">
            <w:pPr>
              <w:jc w:val="right"/>
              <w:rPr>
                <w:sz w:val="20"/>
                <w:szCs w:val="20"/>
              </w:rPr>
            </w:pPr>
          </w:p>
        </w:tc>
      </w:tr>
      <w:tr w:rsidR="003B2C9F" w:rsidRPr="003B2C9F" w14:paraId="6942868B" w14:textId="77777777" w:rsidTr="003B2C9F">
        <w:trPr>
          <w:trHeight w:val="300"/>
        </w:trPr>
        <w:tc>
          <w:tcPr>
            <w:tcW w:w="616" w:type="dxa"/>
            <w:tcBorders>
              <w:top w:val="nil"/>
              <w:left w:val="nil"/>
              <w:bottom w:val="nil"/>
              <w:right w:val="nil"/>
            </w:tcBorders>
            <w:shd w:val="clear" w:color="auto" w:fill="auto"/>
            <w:noWrap/>
            <w:vAlign w:val="bottom"/>
            <w:hideMark/>
          </w:tcPr>
          <w:p w14:paraId="68F2DF13" w14:textId="77777777" w:rsidR="003B2C9F" w:rsidRPr="003B2C9F" w:rsidRDefault="003B2C9F" w:rsidP="003B2C9F">
            <w:pPr>
              <w:rPr>
                <w:b/>
                <w:bCs/>
                <w:sz w:val="20"/>
                <w:szCs w:val="20"/>
              </w:rPr>
            </w:pPr>
            <w:r w:rsidRPr="003B2C9F">
              <w:rPr>
                <w:b/>
                <w:bCs/>
                <w:sz w:val="20"/>
                <w:szCs w:val="20"/>
              </w:rPr>
              <w:t>683</w:t>
            </w:r>
          </w:p>
        </w:tc>
        <w:tc>
          <w:tcPr>
            <w:tcW w:w="6472" w:type="dxa"/>
            <w:tcBorders>
              <w:top w:val="nil"/>
              <w:left w:val="nil"/>
              <w:bottom w:val="nil"/>
              <w:right w:val="nil"/>
            </w:tcBorders>
            <w:shd w:val="clear" w:color="auto" w:fill="auto"/>
            <w:noWrap/>
            <w:vAlign w:val="bottom"/>
            <w:hideMark/>
          </w:tcPr>
          <w:p w14:paraId="4864BAFC" w14:textId="77777777" w:rsidR="003B2C9F" w:rsidRPr="003B2C9F" w:rsidRDefault="003B2C9F" w:rsidP="003B2C9F">
            <w:pPr>
              <w:rPr>
                <w:b/>
                <w:bCs/>
                <w:sz w:val="20"/>
                <w:szCs w:val="20"/>
              </w:rPr>
            </w:pPr>
            <w:r w:rsidRPr="003B2C9F">
              <w:rPr>
                <w:b/>
                <w:bCs/>
                <w:sz w:val="20"/>
                <w:szCs w:val="20"/>
              </w:rPr>
              <w:t xml:space="preserve">Ostali prihodi                                                                                      </w:t>
            </w:r>
          </w:p>
        </w:tc>
        <w:tc>
          <w:tcPr>
            <w:tcW w:w="1559" w:type="dxa"/>
            <w:tcBorders>
              <w:top w:val="nil"/>
              <w:left w:val="nil"/>
              <w:bottom w:val="nil"/>
              <w:right w:val="nil"/>
            </w:tcBorders>
            <w:shd w:val="clear" w:color="auto" w:fill="auto"/>
            <w:noWrap/>
            <w:vAlign w:val="bottom"/>
            <w:hideMark/>
          </w:tcPr>
          <w:p w14:paraId="5B6642A4" w14:textId="77777777" w:rsidR="003B2C9F" w:rsidRPr="003B2C9F" w:rsidRDefault="003B2C9F" w:rsidP="003B2C9F">
            <w:pPr>
              <w:jc w:val="right"/>
              <w:rPr>
                <w:b/>
                <w:bCs/>
                <w:sz w:val="20"/>
                <w:szCs w:val="20"/>
              </w:rPr>
            </w:pPr>
            <w:r w:rsidRPr="003B2C9F">
              <w:rPr>
                <w:b/>
                <w:bCs/>
                <w:sz w:val="20"/>
                <w:szCs w:val="20"/>
              </w:rPr>
              <w:t>26.391,71</w:t>
            </w:r>
          </w:p>
        </w:tc>
        <w:tc>
          <w:tcPr>
            <w:tcW w:w="1503" w:type="dxa"/>
            <w:tcBorders>
              <w:top w:val="nil"/>
              <w:left w:val="nil"/>
              <w:bottom w:val="nil"/>
              <w:right w:val="nil"/>
            </w:tcBorders>
            <w:shd w:val="clear" w:color="auto" w:fill="auto"/>
            <w:noWrap/>
            <w:vAlign w:val="bottom"/>
            <w:hideMark/>
          </w:tcPr>
          <w:p w14:paraId="7D177966" w14:textId="77777777" w:rsidR="003B2C9F" w:rsidRPr="003B2C9F" w:rsidRDefault="003B2C9F" w:rsidP="003B2C9F">
            <w:pPr>
              <w:jc w:val="right"/>
              <w:rPr>
                <w:b/>
                <w:bCs/>
                <w:sz w:val="20"/>
                <w:szCs w:val="20"/>
              </w:rPr>
            </w:pPr>
            <w:r w:rsidRPr="003B2C9F">
              <w:rPr>
                <w:b/>
                <w:bCs/>
                <w:sz w:val="20"/>
                <w:szCs w:val="20"/>
              </w:rPr>
              <w:t>20.000,00</w:t>
            </w:r>
          </w:p>
        </w:tc>
        <w:tc>
          <w:tcPr>
            <w:tcW w:w="1366" w:type="dxa"/>
            <w:tcBorders>
              <w:top w:val="nil"/>
              <w:left w:val="nil"/>
              <w:bottom w:val="nil"/>
              <w:right w:val="nil"/>
            </w:tcBorders>
            <w:shd w:val="clear" w:color="auto" w:fill="auto"/>
            <w:noWrap/>
            <w:vAlign w:val="bottom"/>
            <w:hideMark/>
          </w:tcPr>
          <w:p w14:paraId="08992682" w14:textId="77777777" w:rsidR="003B2C9F" w:rsidRPr="003B2C9F" w:rsidRDefault="003B2C9F" w:rsidP="003B2C9F">
            <w:pPr>
              <w:jc w:val="right"/>
              <w:rPr>
                <w:b/>
                <w:bCs/>
                <w:sz w:val="20"/>
                <w:szCs w:val="20"/>
              </w:rPr>
            </w:pPr>
            <w:r w:rsidRPr="003B2C9F">
              <w:rPr>
                <w:b/>
                <w:bCs/>
                <w:sz w:val="20"/>
                <w:szCs w:val="20"/>
              </w:rPr>
              <w:t>15.604,91</w:t>
            </w:r>
          </w:p>
        </w:tc>
        <w:tc>
          <w:tcPr>
            <w:tcW w:w="1525" w:type="dxa"/>
            <w:tcBorders>
              <w:top w:val="nil"/>
              <w:left w:val="nil"/>
              <w:bottom w:val="nil"/>
              <w:right w:val="nil"/>
            </w:tcBorders>
            <w:shd w:val="clear" w:color="auto" w:fill="auto"/>
            <w:noWrap/>
            <w:vAlign w:val="bottom"/>
            <w:hideMark/>
          </w:tcPr>
          <w:p w14:paraId="766704CB" w14:textId="77777777" w:rsidR="003B2C9F" w:rsidRPr="003B2C9F" w:rsidRDefault="003B2C9F" w:rsidP="003B2C9F">
            <w:pPr>
              <w:jc w:val="right"/>
              <w:rPr>
                <w:b/>
                <w:bCs/>
                <w:sz w:val="20"/>
                <w:szCs w:val="20"/>
              </w:rPr>
            </w:pPr>
            <w:r w:rsidRPr="003B2C9F">
              <w:rPr>
                <w:b/>
                <w:bCs/>
                <w:sz w:val="20"/>
                <w:szCs w:val="20"/>
              </w:rPr>
              <w:t>59,13</w:t>
            </w:r>
          </w:p>
        </w:tc>
        <w:tc>
          <w:tcPr>
            <w:tcW w:w="1000" w:type="dxa"/>
            <w:tcBorders>
              <w:top w:val="nil"/>
              <w:left w:val="nil"/>
              <w:bottom w:val="nil"/>
              <w:right w:val="nil"/>
            </w:tcBorders>
            <w:shd w:val="clear" w:color="auto" w:fill="auto"/>
            <w:noWrap/>
            <w:vAlign w:val="bottom"/>
            <w:hideMark/>
          </w:tcPr>
          <w:p w14:paraId="692FC918" w14:textId="77777777" w:rsidR="003B2C9F" w:rsidRPr="003B2C9F" w:rsidRDefault="003B2C9F" w:rsidP="003B2C9F">
            <w:pPr>
              <w:jc w:val="right"/>
              <w:rPr>
                <w:b/>
                <w:bCs/>
                <w:sz w:val="20"/>
                <w:szCs w:val="20"/>
              </w:rPr>
            </w:pPr>
            <w:r w:rsidRPr="003B2C9F">
              <w:rPr>
                <w:b/>
                <w:bCs/>
                <w:sz w:val="20"/>
                <w:szCs w:val="20"/>
              </w:rPr>
              <w:t>78,02</w:t>
            </w:r>
          </w:p>
        </w:tc>
      </w:tr>
      <w:tr w:rsidR="003B2C9F" w:rsidRPr="003B2C9F" w14:paraId="200324ED" w14:textId="77777777" w:rsidTr="003B2C9F">
        <w:trPr>
          <w:trHeight w:val="300"/>
        </w:trPr>
        <w:tc>
          <w:tcPr>
            <w:tcW w:w="616" w:type="dxa"/>
            <w:tcBorders>
              <w:top w:val="nil"/>
              <w:left w:val="nil"/>
              <w:bottom w:val="nil"/>
              <w:right w:val="nil"/>
            </w:tcBorders>
            <w:shd w:val="clear" w:color="auto" w:fill="auto"/>
            <w:noWrap/>
            <w:vAlign w:val="bottom"/>
            <w:hideMark/>
          </w:tcPr>
          <w:p w14:paraId="383060C2" w14:textId="77777777" w:rsidR="003B2C9F" w:rsidRPr="003B2C9F" w:rsidRDefault="003B2C9F" w:rsidP="003B2C9F">
            <w:pPr>
              <w:rPr>
                <w:sz w:val="20"/>
                <w:szCs w:val="20"/>
              </w:rPr>
            </w:pPr>
            <w:r w:rsidRPr="003B2C9F">
              <w:rPr>
                <w:sz w:val="20"/>
                <w:szCs w:val="20"/>
              </w:rPr>
              <w:t>6831</w:t>
            </w:r>
          </w:p>
        </w:tc>
        <w:tc>
          <w:tcPr>
            <w:tcW w:w="6472" w:type="dxa"/>
            <w:tcBorders>
              <w:top w:val="nil"/>
              <w:left w:val="nil"/>
              <w:bottom w:val="nil"/>
              <w:right w:val="nil"/>
            </w:tcBorders>
            <w:shd w:val="clear" w:color="auto" w:fill="auto"/>
            <w:vAlign w:val="bottom"/>
            <w:hideMark/>
          </w:tcPr>
          <w:p w14:paraId="32FCB949" w14:textId="77777777" w:rsidR="003B2C9F" w:rsidRPr="003B2C9F" w:rsidRDefault="003B2C9F" w:rsidP="003B2C9F">
            <w:pPr>
              <w:rPr>
                <w:sz w:val="20"/>
                <w:szCs w:val="20"/>
              </w:rPr>
            </w:pPr>
            <w:r w:rsidRPr="003B2C9F">
              <w:rPr>
                <w:sz w:val="20"/>
                <w:szCs w:val="20"/>
              </w:rPr>
              <w:t xml:space="preserve">Ostali prihodi                                                                                      </w:t>
            </w:r>
          </w:p>
        </w:tc>
        <w:tc>
          <w:tcPr>
            <w:tcW w:w="1559" w:type="dxa"/>
            <w:tcBorders>
              <w:top w:val="nil"/>
              <w:left w:val="nil"/>
              <w:bottom w:val="nil"/>
              <w:right w:val="nil"/>
            </w:tcBorders>
            <w:shd w:val="clear" w:color="auto" w:fill="auto"/>
            <w:noWrap/>
            <w:vAlign w:val="bottom"/>
            <w:hideMark/>
          </w:tcPr>
          <w:p w14:paraId="245CF1F3" w14:textId="77777777" w:rsidR="003B2C9F" w:rsidRPr="003B2C9F" w:rsidRDefault="003B2C9F" w:rsidP="003B2C9F">
            <w:pPr>
              <w:jc w:val="right"/>
              <w:rPr>
                <w:sz w:val="20"/>
                <w:szCs w:val="20"/>
              </w:rPr>
            </w:pPr>
            <w:r w:rsidRPr="003B2C9F">
              <w:rPr>
                <w:sz w:val="20"/>
                <w:szCs w:val="20"/>
              </w:rPr>
              <w:t>26.391,71</w:t>
            </w:r>
          </w:p>
        </w:tc>
        <w:tc>
          <w:tcPr>
            <w:tcW w:w="1503" w:type="dxa"/>
            <w:tcBorders>
              <w:top w:val="nil"/>
              <w:left w:val="nil"/>
              <w:bottom w:val="nil"/>
              <w:right w:val="nil"/>
            </w:tcBorders>
            <w:shd w:val="clear" w:color="auto" w:fill="auto"/>
            <w:noWrap/>
            <w:vAlign w:val="bottom"/>
            <w:hideMark/>
          </w:tcPr>
          <w:p w14:paraId="1CBAB53F"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1C7EDAE" w14:textId="77777777" w:rsidR="003B2C9F" w:rsidRPr="003B2C9F" w:rsidRDefault="003B2C9F" w:rsidP="003B2C9F">
            <w:pPr>
              <w:jc w:val="right"/>
              <w:rPr>
                <w:sz w:val="20"/>
                <w:szCs w:val="20"/>
              </w:rPr>
            </w:pPr>
            <w:r w:rsidRPr="003B2C9F">
              <w:rPr>
                <w:sz w:val="20"/>
                <w:szCs w:val="20"/>
              </w:rPr>
              <w:t>15.604,91</w:t>
            </w:r>
          </w:p>
        </w:tc>
        <w:tc>
          <w:tcPr>
            <w:tcW w:w="1525" w:type="dxa"/>
            <w:tcBorders>
              <w:top w:val="nil"/>
              <w:left w:val="nil"/>
              <w:bottom w:val="nil"/>
              <w:right w:val="nil"/>
            </w:tcBorders>
            <w:shd w:val="clear" w:color="auto" w:fill="auto"/>
            <w:noWrap/>
            <w:vAlign w:val="bottom"/>
            <w:hideMark/>
          </w:tcPr>
          <w:p w14:paraId="2DF6041A" w14:textId="77777777" w:rsidR="003B2C9F" w:rsidRPr="003B2C9F" w:rsidRDefault="003B2C9F" w:rsidP="003B2C9F">
            <w:pPr>
              <w:jc w:val="right"/>
              <w:rPr>
                <w:sz w:val="20"/>
                <w:szCs w:val="20"/>
              </w:rPr>
            </w:pPr>
            <w:r w:rsidRPr="003B2C9F">
              <w:rPr>
                <w:sz w:val="20"/>
                <w:szCs w:val="20"/>
              </w:rPr>
              <w:t>59,13</w:t>
            </w:r>
          </w:p>
        </w:tc>
        <w:tc>
          <w:tcPr>
            <w:tcW w:w="1000" w:type="dxa"/>
            <w:tcBorders>
              <w:top w:val="nil"/>
              <w:left w:val="nil"/>
              <w:bottom w:val="nil"/>
              <w:right w:val="nil"/>
            </w:tcBorders>
            <w:shd w:val="clear" w:color="auto" w:fill="auto"/>
            <w:noWrap/>
            <w:vAlign w:val="bottom"/>
            <w:hideMark/>
          </w:tcPr>
          <w:p w14:paraId="520835C2" w14:textId="77777777" w:rsidR="003B2C9F" w:rsidRPr="003B2C9F" w:rsidRDefault="003B2C9F" w:rsidP="003B2C9F">
            <w:pPr>
              <w:jc w:val="right"/>
              <w:rPr>
                <w:sz w:val="20"/>
                <w:szCs w:val="20"/>
              </w:rPr>
            </w:pPr>
          </w:p>
        </w:tc>
      </w:tr>
      <w:tr w:rsidR="003B2C9F" w:rsidRPr="003B2C9F" w14:paraId="25CB1303" w14:textId="77777777" w:rsidTr="003B2C9F">
        <w:trPr>
          <w:trHeight w:val="300"/>
        </w:trPr>
        <w:tc>
          <w:tcPr>
            <w:tcW w:w="616" w:type="dxa"/>
            <w:tcBorders>
              <w:top w:val="nil"/>
              <w:left w:val="nil"/>
              <w:bottom w:val="nil"/>
              <w:right w:val="nil"/>
            </w:tcBorders>
            <w:shd w:val="clear" w:color="auto" w:fill="auto"/>
            <w:noWrap/>
            <w:vAlign w:val="bottom"/>
            <w:hideMark/>
          </w:tcPr>
          <w:p w14:paraId="33AC5C95" w14:textId="77777777" w:rsidR="003B2C9F" w:rsidRPr="003B2C9F" w:rsidRDefault="003B2C9F" w:rsidP="003B2C9F">
            <w:pPr>
              <w:rPr>
                <w:b/>
                <w:bCs/>
                <w:sz w:val="20"/>
                <w:szCs w:val="20"/>
              </w:rPr>
            </w:pPr>
            <w:r w:rsidRPr="003B2C9F">
              <w:rPr>
                <w:b/>
                <w:bCs/>
                <w:sz w:val="20"/>
                <w:szCs w:val="20"/>
              </w:rPr>
              <w:t>7</w:t>
            </w:r>
          </w:p>
        </w:tc>
        <w:tc>
          <w:tcPr>
            <w:tcW w:w="6472" w:type="dxa"/>
            <w:tcBorders>
              <w:top w:val="nil"/>
              <w:left w:val="nil"/>
              <w:bottom w:val="nil"/>
              <w:right w:val="nil"/>
            </w:tcBorders>
            <w:shd w:val="clear" w:color="auto" w:fill="auto"/>
            <w:noWrap/>
            <w:vAlign w:val="bottom"/>
            <w:hideMark/>
          </w:tcPr>
          <w:p w14:paraId="76689AB7" w14:textId="77777777" w:rsidR="003B2C9F" w:rsidRPr="003B2C9F" w:rsidRDefault="003B2C9F" w:rsidP="003B2C9F">
            <w:pPr>
              <w:rPr>
                <w:b/>
                <w:bCs/>
                <w:sz w:val="20"/>
                <w:szCs w:val="20"/>
              </w:rPr>
            </w:pPr>
            <w:r w:rsidRPr="003B2C9F">
              <w:rPr>
                <w:b/>
                <w:bCs/>
                <w:sz w:val="20"/>
                <w:szCs w:val="20"/>
              </w:rPr>
              <w:t xml:space="preserve">Prihodi od prodaje nefinancijske imovine                                                            </w:t>
            </w:r>
          </w:p>
        </w:tc>
        <w:tc>
          <w:tcPr>
            <w:tcW w:w="1559" w:type="dxa"/>
            <w:tcBorders>
              <w:top w:val="nil"/>
              <w:left w:val="nil"/>
              <w:bottom w:val="nil"/>
              <w:right w:val="nil"/>
            </w:tcBorders>
            <w:shd w:val="clear" w:color="auto" w:fill="auto"/>
            <w:noWrap/>
            <w:vAlign w:val="bottom"/>
            <w:hideMark/>
          </w:tcPr>
          <w:p w14:paraId="26044F79" w14:textId="77777777" w:rsidR="003B2C9F" w:rsidRPr="003B2C9F" w:rsidRDefault="003B2C9F" w:rsidP="003B2C9F">
            <w:pPr>
              <w:jc w:val="right"/>
              <w:rPr>
                <w:b/>
                <w:bCs/>
                <w:sz w:val="20"/>
                <w:szCs w:val="20"/>
              </w:rPr>
            </w:pPr>
            <w:r w:rsidRPr="003B2C9F">
              <w:rPr>
                <w:b/>
                <w:bCs/>
                <w:sz w:val="20"/>
                <w:szCs w:val="20"/>
              </w:rPr>
              <w:t>4.580.232,11</w:t>
            </w:r>
          </w:p>
        </w:tc>
        <w:tc>
          <w:tcPr>
            <w:tcW w:w="1503" w:type="dxa"/>
            <w:tcBorders>
              <w:top w:val="nil"/>
              <w:left w:val="nil"/>
              <w:bottom w:val="nil"/>
              <w:right w:val="nil"/>
            </w:tcBorders>
            <w:shd w:val="clear" w:color="auto" w:fill="auto"/>
            <w:noWrap/>
            <w:vAlign w:val="bottom"/>
            <w:hideMark/>
          </w:tcPr>
          <w:p w14:paraId="0E69AB81" w14:textId="77777777" w:rsidR="003B2C9F" w:rsidRPr="003B2C9F" w:rsidRDefault="003B2C9F" w:rsidP="003B2C9F">
            <w:pPr>
              <w:jc w:val="right"/>
              <w:rPr>
                <w:b/>
                <w:bCs/>
                <w:sz w:val="20"/>
                <w:szCs w:val="20"/>
              </w:rPr>
            </w:pPr>
            <w:r w:rsidRPr="003B2C9F">
              <w:rPr>
                <w:b/>
                <w:bCs/>
                <w:sz w:val="20"/>
                <w:szCs w:val="20"/>
              </w:rPr>
              <w:t>6.100.000,00</w:t>
            </w:r>
          </w:p>
        </w:tc>
        <w:tc>
          <w:tcPr>
            <w:tcW w:w="1366" w:type="dxa"/>
            <w:tcBorders>
              <w:top w:val="nil"/>
              <w:left w:val="nil"/>
              <w:bottom w:val="nil"/>
              <w:right w:val="nil"/>
            </w:tcBorders>
            <w:shd w:val="clear" w:color="auto" w:fill="auto"/>
            <w:noWrap/>
            <w:vAlign w:val="bottom"/>
            <w:hideMark/>
          </w:tcPr>
          <w:p w14:paraId="06E51F7A" w14:textId="77777777" w:rsidR="003B2C9F" w:rsidRPr="003B2C9F" w:rsidRDefault="003B2C9F" w:rsidP="003B2C9F">
            <w:pPr>
              <w:jc w:val="right"/>
              <w:rPr>
                <w:b/>
                <w:bCs/>
                <w:sz w:val="20"/>
                <w:szCs w:val="20"/>
              </w:rPr>
            </w:pPr>
            <w:r w:rsidRPr="003B2C9F">
              <w:rPr>
                <w:b/>
                <w:bCs/>
                <w:sz w:val="20"/>
                <w:szCs w:val="20"/>
              </w:rPr>
              <w:t>3.996.473,16</w:t>
            </w:r>
          </w:p>
        </w:tc>
        <w:tc>
          <w:tcPr>
            <w:tcW w:w="1525" w:type="dxa"/>
            <w:tcBorders>
              <w:top w:val="nil"/>
              <w:left w:val="nil"/>
              <w:bottom w:val="nil"/>
              <w:right w:val="nil"/>
            </w:tcBorders>
            <w:shd w:val="clear" w:color="auto" w:fill="auto"/>
            <w:noWrap/>
            <w:vAlign w:val="bottom"/>
            <w:hideMark/>
          </w:tcPr>
          <w:p w14:paraId="1EF533DC" w14:textId="77777777" w:rsidR="003B2C9F" w:rsidRPr="003B2C9F" w:rsidRDefault="003B2C9F" w:rsidP="003B2C9F">
            <w:pPr>
              <w:jc w:val="right"/>
              <w:rPr>
                <w:b/>
                <w:bCs/>
                <w:sz w:val="20"/>
                <w:szCs w:val="20"/>
              </w:rPr>
            </w:pPr>
            <w:r w:rsidRPr="003B2C9F">
              <w:rPr>
                <w:b/>
                <w:bCs/>
                <w:sz w:val="20"/>
                <w:szCs w:val="20"/>
              </w:rPr>
              <w:t>87,25</w:t>
            </w:r>
          </w:p>
        </w:tc>
        <w:tc>
          <w:tcPr>
            <w:tcW w:w="1000" w:type="dxa"/>
            <w:tcBorders>
              <w:top w:val="nil"/>
              <w:left w:val="nil"/>
              <w:bottom w:val="nil"/>
              <w:right w:val="nil"/>
            </w:tcBorders>
            <w:shd w:val="clear" w:color="auto" w:fill="auto"/>
            <w:noWrap/>
            <w:vAlign w:val="bottom"/>
            <w:hideMark/>
          </w:tcPr>
          <w:p w14:paraId="3FD33CAA" w14:textId="77777777" w:rsidR="003B2C9F" w:rsidRPr="003B2C9F" w:rsidRDefault="003B2C9F" w:rsidP="003B2C9F">
            <w:pPr>
              <w:jc w:val="right"/>
              <w:rPr>
                <w:b/>
                <w:bCs/>
                <w:sz w:val="20"/>
                <w:szCs w:val="20"/>
              </w:rPr>
            </w:pPr>
            <w:r w:rsidRPr="003B2C9F">
              <w:rPr>
                <w:b/>
                <w:bCs/>
                <w:sz w:val="20"/>
                <w:szCs w:val="20"/>
              </w:rPr>
              <w:t>65,52</w:t>
            </w:r>
          </w:p>
        </w:tc>
      </w:tr>
      <w:tr w:rsidR="003B2C9F" w:rsidRPr="003B2C9F" w14:paraId="52599A8F" w14:textId="77777777" w:rsidTr="003B2C9F">
        <w:trPr>
          <w:trHeight w:val="300"/>
        </w:trPr>
        <w:tc>
          <w:tcPr>
            <w:tcW w:w="616" w:type="dxa"/>
            <w:tcBorders>
              <w:top w:val="nil"/>
              <w:left w:val="nil"/>
              <w:bottom w:val="nil"/>
              <w:right w:val="nil"/>
            </w:tcBorders>
            <w:shd w:val="clear" w:color="auto" w:fill="auto"/>
            <w:noWrap/>
            <w:vAlign w:val="bottom"/>
            <w:hideMark/>
          </w:tcPr>
          <w:p w14:paraId="7AA517FA" w14:textId="77777777" w:rsidR="003B2C9F" w:rsidRPr="003B2C9F" w:rsidRDefault="003B2C9F" w:rsidP="003B2C9F">
            <w:pPr>
              <w:rPr>
                <w:b/>
                <w:bCs/>
                <w:sz w:val="20"/>
                <w:szCs w:val="20"/>
              </w:rPr>
            </w:pPr>
            <w:r w:rsidRPr="003B2C9F">
              <w:rPr>
                <w:b/>
                <w:bCs/>
                <w:sz w:val="20"/>
                <w:szCs w:val="20"/>
              </w:rPr>
              <w:t>71</w:t>
            </w:r>
          </w:p>
        </w:tc>
        <w:tc>
          <w:tcPr>
            <w:tcW w:w="6472" w:type="dxa"/>
            <w:tcBorders>
              <w:top w:val="nil"/>
              <w:left w:val="nil"/>
              <w:bottom w:val="nil"/>
              <w:right w:val="nil"/>
            </w:tcBorders>
            <w:shd w:val="clear" w:color="auto" w:fill="auto"/>
            <w:noWrap/>
            <w:vAlign w:val="bottom"/>
            <w:hideMark/>
          </w:tcPr>
          <w:p w14:paraId="2A95D35F" w14:textId="741B9AE3" w:rsidR="003B2C9F" w:rsidRPr="003B2C9F" w:rsidRDefault="003B2C9F" w:rsidP="003B2C9F">
            <w:pPr>
              <w:rPr>
                <w:b/>
                <w:bCs/>
                <w:sz w:val="20"/>
                <w:szCs w:val="20"/>
              </w:rPr>
            </w:pPr>
            <w:r w:rsidRPr="003B2C9F">
              <w:rPr>
                <w:b/>
                <w:bCs/>
                <w:sz w:val="20"/>
                <w:szCs w:val="20"/>
              </w:rPr>
              <w:t xml:space="preserve">Prihodi od prodaje </w:t>
            </w:r>
            <w:proofErr w:type="spellStart"/>
            <w:r w:rsidRPr="003B2C9F">
              <w:rPr>
                <w:b/>
                <w:bCs/>
                <w:sz w:val="20"/>
                <w:szCs w:val="20"/>
              </w:rPr>
              <w:t>neproizvedene</w:t>
            </w:r>
            <w:proofErr w:type="spellEnd"/>
            <w:r w:rsidRPr="003B2C9F">
              <w:rPr>
                <w:b/>
                <w:bCs/>
                <w:sz w:val="20"/>
                <w:szCs w:val="20"/>
              </w:rPr>
              <w:t xml:space="preserve"> dugotrajne imovine                                                 </w:t>
            </w:r>
          </w:p>
        </w:tc>
        <w:tc>
          <w:tcPr>
            <w:tcW w:w="1559" w:type="dxa"/>
            <w:tcBorders>
              <w:top w:val="nil"/>
              <w:left w:val="nil"/>
              <w:bottom w:val="nil"/>
              <w:right w:val="nil"/>
            </w:tcBorders>
            <w:shd w:val="clear" w:color="auto" w:fill="auto"/>
            <w:noWrap/>
            <w:vAlign w:val="bottom"/>
            <w:hideMark/>
          </w:tcPr>
          <w:p w14:paraId="50DABF99" w14:textId="77777777" w:rsidR="003B2C9F" w:rsidRPr="003B2C9F" w:rsidRDefault="003B2C9F" w:rsidP="003B2C9F">
            <w:pPr>
              <w:jc w:val="right"/>
              <w:rPr>
                <w:b/>
                <w:bCs/>
                <w:sz w:val="20"/>
                <w:szCs w:val="20"/>
              </w:rPr>
            </w:pPr>
            <w:r w:rsidRPr="003B2C9F">
              <w:rPr>
                <w:b/>
                <w:bCs/>
                <w:sz w:val="20"/>
                <w:szCs w:val="20"/>
              </w:rPr>
              <w:t>3.471.903,68</w:t>
            </w:r>
          </w:p>
        </w:tc>
        <w:tc>
          <w:tcPr>
            <w:tcW w:w="1503" w:type="dxa"/>
            <w:tcBorders>
              <w:top w:val="nil"/>
              <w:left w:val="nil"/>
              <w:bottom w:val="nil"/>
              <w:right w:val="nil"/>
            </w:tcBorders>
            <w:shd w:val="clear" w:color="auto" w:fill="auto"/>
            <w:noWrap/>
            <w:vAlign w:val="bottom"/>
            <w:hideMark/>
          </w:tcPr>
          <w:p w14:paraId="72F5337C" w14:textId="77777777" w:rsidR="003B2C9F" w:rsidRPr="003B2C9F" w:rsidRDefault="003B2C9F" w:rsidP="003B2C9F">
            <w:pPr>
              <w:jc w:val="right"/>
              <w:rPr>
                <w:b/>
                <w:bCs/>
                <w:sz w:val="20"/>
                <w:szCs w:val="20"/>
              </w:rPr>
            </w:pPr>
            <w:r w:rsidRPr="003B2C9F">
              <w:rPr>
                <w:b/>
                <w:bCs/>
                <w:sz w:val="20"/>
                <w:szCs w:val="20"/>
              </w:rPr>
              <w:t>3.960.000,00</w:t>
            </w:r>
          </w:p>
        </w:tc>
        <w:tc>
          <w:tcPr>
            <w:tcW w:w="1366" w:type="dxa"/>
            <w:tcBorders>
              <w:top w:val="nil"/>
              <w:left w:val="nil"/>
              <w:bottom w:val="nil"/>
              <w:right w:val="nil"/>
            </w:tcBorders>
            <w:shd w:val="clear" w:color="auto" w:fill="auto"/>
            <w:noWrap/>
            <w:vAlign w:val="bottom"/>
            <w:hideMark/>
          </w:tcPr>
          <w:p w14:paraId="43C51342" w14:textId="77777777" w:rsidR="003B2C9F" w:rsidRPr="003B2C9F" w:rsidRDefault="003B2C9F" w:rsidP="003B2C9F">
            <w:pPr>
              <w:jc w:val="right"/>
              <w:rPr>
                <w:b/>
                <w:bCs/>
                <w:sz w:val="20"/>
                <w:szCs w:val="20"/>
              </w:rPr>
            </w:pPr>
            <w:r w:rsidRPr="003B2C9F">
              <w:rPr>
                <w:b/>
                <w:bCs/>
                <w:sz w:val="20"/>
                <w:szCs w:val="20"/>
              </w:rPr>
              <w:t>2.722.982,26</w:t>
            </w:r>
          </w:p>
        </w:tc>
        <w:tc>
          <w:tcPr>
            <w:tcW w:w="1525" w:type="dxa"/>
            <w:tcBorders>
              <w:top w:val="nil"/>
              <w:left w:val="nil"/>
              <w:bottom w:val="nil"/>
              <w:right w:val="nil"/>
            </w:tcBorders>
            <w:shd w:val="clear" w:color="auto" w:fill="auto"/>
            <w:noWrap/>
            <w:vAlign w:val="bottom"/>
            <w:hideMark/>
          </w:tcPr>
          <w:p w14:paraId="7A80A483" w14:textId="77777777" w:rsidR="003B2C9F" w:rsidRPr="003B2C9F" w:rsidRDefault="003B2C9F" w:rsidP="003B2C9F">
            <w:pPr>
              <w:jc w:val="right"/>
              <w:rPr>
                <w:b/>
                <w:bCs/>
                <w:sz w:val="20"/>
                <w:szCs w:val="20"/>
              </w:rPr>
            </w:pPr>
            <w:r w:rsidRPr="003B2C9F">
              <w:rPr>
                <w:b/>
                <w:bCs/>
                <w:sz w:val="20"/>
                <w:szCs w:val="20"/>
              </w:rPr>
              <w:t>78,43</w:t>
            </w:r>
          </w:p>
        </w:tc>
        <w:tc>
          <w:tcPr>
            <w:tcW w:w="1000" w:type="dxa"/>
            <w:tcBorders>
              <w:top w:val="nil"/>
              <w:left w:val="nil"/>
              <w:bottom w:val="nil"/>
              <w:right w:val="nil"/>
            </w:tcBorders>
            <w:shd w:val="clear" w:color="auto" w:fill="auto"/>
            <w:noWrap/>
            <w:vAlign w:val="bottom"/>
            <w:hideMark/>
          </w:tcPr>
          <w:p w14:paraId="3434381E" w14:textId="77777777" w:rsidR="003B2C9F" w:rsidRPr="003B2C9F" w:rsidRDefault="003B2C9F" w:rsidP="003B2C9F">
            <w:pPr>
              <w:jc w:val="right"/>
              <w:rPr>
                <w:b/>
                <w:bCs/>
                <w:sz w:val="20"/>
                <w:szCs w:val="20"/>
              </w:rPr>
            </w:pPr>
            <w:r w:rsidRPr="003B2C9F">
              <w:rPr>
                <w:b/>
                <w:bCs/>
                <w:sz w:val="20"/>
                <w:szCs w:val="20"/>
              </w:rPr>
              <w:t>68,76</w:t>
            </w:r>
          </w:p>
        </w:tc>
      </w:tr>
      <w:tr w:rsidR="003B2C9F" w:rsidRPr="003B2C9F" w14:paraId="6B6A82E9" w14:textId="77777777" w:rsidTr="003B2C9F">
        <w:trPr>
          <w:trHeight w:val="300"/>
        </w:trPr>
        <w:tc>
          <w:tcPr>
            <w:tcW w:w="616" w:type="dxa"/>
            <w:tcBorders>
              <w:top w:val="nil"/>
              <w:left w:val="nil"/>
              <w:bottom w:val="nil"/>
              <w:right w:val="nil"/>
            </w:tcBorders>
            <w:shd w:val="clear" w:color="auto" w:fill="auto"/>
            <w:noWrap/>
            <w:vAlign w:val="bottom"/>
            <w:hideMark/>
          </w:tcPr>
          <w:p w14:paraId="528B3A9D" w14:textId="77777777" w:rsidR="003B2C9F" w:rsidRPr="003B2C9F" w:rsidRDefault="003B2C9F" w:rsidP="003B2C9F">
            <w:pPr>
              <w:rPr>
                <w:b/>
                <w:bCs/>
                <w:sz w:val="20"/>
                <w:szCs w:val="20"/>
              </w:rPr>
            </w:pPr>
            <w:r w:rsidRPr="003B2C9F">
              <w:rPr>
                <w:b/>
                <w:bCs/>
                <w:sz w:val="20"/>
                <w:szCs w:val="20"/>
              </w:rPr>
              <w:t>711</w:t>
            </w:r>
          </w:p>
        </w:tc>
        <w:tc>
          <w:tcPr>
            <w:tcW w:w="6472" w:type="dxa"/>
            <w:tcBorders>
              <w:top w:val="nil"/>
              <w:left w:val="nil"/>
              <w:bottom w:val="nil"/>
              <w:right w:val="nil"/>
            </w:tcBorders>
            <w:shd w:val="clear" w:color="auto" w:fill="auto"/>
            <w:noWrap/>
            <w:vAlign w:val="bottom"/>
            <w:hideMark/>
          </w:tcPr>
          <w:p w14:paraId="42546AA2" w14:textId="77777777" w:rsidR="003B2C9F" w:rsidRPr="003B2C9F" w:rsidRDefault="003B2C9F" w:rsidP="003B2C9F">
            <w:pPr>
              <w:rPr>
                <w:b/>
                <w:bCs/>
                <w:sz w:val="20"/>
                <w:szCs w:val="20"/>
              </w:rPr>
            </w:pPr>
            <w:r w:rsidRPr="003B2C9F">
              <w:rPr>
                <w:b/>
                <w:bCs/>
                <w:sz w:val="20"/>
                <w:szCs w:val="20"/>
              </w:rPr>
              <w:t xml:space="preserve">Prihodi od prodaje materijalne imovine - prirodnih bogatstava                                       </w:t>
            </w:r>
          </w:p>
        </w:tc>
        <w:tc>
          <w:tcPr>
            <w:tcW w:w="1559" w:type="dxa"/>
            <w:tcBorders>
              <w:top w:val="nil"/>
              <w:left w:val="nil"/>
              <w:bottom w:val="nil"/>
              <w:right w:val="nil"/>
            </w:tcBorders>
            <w:shd w:val="clear" w:color="auto" w:fill="auto"/>
            <w:noWrap/>
            <w:vAlign w:val="bottom"/>
            <w:hideMark/>
          </w:tcPr>
          <w:p w14:paraId="3B8B9B46" w14:textId="77777777" w:rsidR="003B2C9F" w:rsidRPr="003B2C9F" w:rsidRDefault="003B2C9F" w:rsidP="003B2C9F">
            <w:pPr>
              <w:jc w:val="right"/>
              <w:rPr>
                <w:b/>
                <w:bCs/>
                <w:sz w:val="20"/>
                <w:szCs w:val="20"/>
              </w:rPr>
            </w:pPr>
            <w:r w:rsidRPr="003B2C9F">
              <w:rPr>
                <w:b/>
                <w:bCs/>
                <w:sz w:val="20"/>
                <w:szCs w:val="20"/>
              </w:rPr>
              <w:t>3.471.903,68</w:t>
            </w:r>
          </w:p>
        </w:tc>
        <w:tc>
          <w:tcPr>
            <w:tcW w:w="1503" w:type="dxa"/>
            <w:tcBorders>
              <w:top w:val="nil"/>
              <w:left w:val="nil"/>
              <w:bottom w:val="nil"/>
              <w:right w:val="nil"/>
            </w:tcBorders>
            <w:shd w:val="clear" w:color="auto" w:fill="auto"/>
            <w:noWrap/>
            <w:vAlign w:val="bottom"/>
            <w:hideMark/>
          </w:tcPr>
          <w:p w14:paraId="75D09EC6" w14:textId="77777777" w:rsidR="003B2C9F" w:rsidRPr="003B2C9F" w:rsidRDefault="003B2C9F" w:rsidP="003B2C9F">
            <w:pPr>
              <w:jc w:val="right"/>
              <w:rPr>
                <w:b/>
                <w:bCs/>
                <w:sz w:val="20"/>
                <w:szCs w:val="20"/>
              </w:rPr>
            </w:pPr>
            <w:r w:rsidRPr="003B2C9F">
              <w:rPr>
                <w:b/>
                <w:bCs/>
                <w:sz w:val="20"/>
                <w:szCs w:val="20"/>
              </w:rPr>
              <w:t>3.960.000,00</w:t>
            </w:r>
          </w:p>
        </w:tc>
        <w:tc>
          <w:tcPr>
            <w:tcW w:w="1366" w:type="dxa"/>
            <w:tcBorders>
              <w:top w:val="nil"/>
              <w:left w:val="nil"/>
              <w:bottom w:val="nil"/>
              <w:right w:val="nil"/>
            </w:tcBorders>
            <w:shd w:val="clear" w:color="auto" w:fill="auto"/>
            <w:noWrap/>
            <w:vAlign w:val="bottom"/>
            <w:hideMark/>
          </w:tcPr>
          <w:p w14:paraId="5F6803AB" w14:textId="77777777" w:rsidR="003B2C9F" w:rsidRPr="003B2C9F" w:rsidRDefault="003B2C9F" w:rsidP="003B2C9F">
            <w:pPr>
              <w:jc w:val="right"/>
              <w:rPr>
                <w:b/>
                <w:bCs/>
                <w:sz w:val="20"/>
                <w:szCs w:val="20"/>
              </w:rPr>
            </w:pPr>
            <w:r w:rsidRPr="003B2C9F">
              <w:rPr>
                <w:b/>
                <w:bCs/>
                <w:sz w:val="20"/>
                <w:szCs w:val="20"/>
              </w:rPr>
              <w:t>2.722.982,26</w:t>
            </w:r>
          </w:p>
        </w:tc>
        <w:tc>
          <w:tcPr>
            <w:tcW w:w="1525" w:type="dxa"/>
            <w:tcBorders>
              <w:top w:val="nil"/>
              <w:left w:val="nil"/>
              <w:bottom w:val="nil"/>
              <w:right w:val="nil"/>
            </w:tcBorders>
            <w:shd w:val="clear" w:color="auto" w:fill="auto"/>
            <w:noWrap/>
            <w:vAlign w:val="bottom"/>
            <w:hideMark/>
          </w:tcPr>
          <w:p w14:paraId="3461AD22" w14:textId="77777777" w:rsidR="003B2C9F" w:rsidRPr="003B2C9F" w:rsidRDefault="003B2C9F" w:rsidP="003B2C9F">
            <w:pPr>
              <w:jc w:val="right"/>
              <w:rPr>
                <w:b/>
                <w:bCs/>
                <w:sz w:val="20"/>
                <w:szCs w:val="20"/>
              </w:rPr>
            </w:pPr>
            <w:r w:rsidRPr="003B2C9F">
              <w:rPr>
                <w:b/>
                <w:bCs/>
                <w:sz w:val="20"/>
                <w:szCs w:val="20"/>
              </w:rPr>
              <w:t>78,43</w:t>
            </w:r>
          </w:p>
        </w:tc>
        <w:tc>
          <w:tcPr>
            <w:tcW w:w="1000" w:type="dxa"/>
            <w:tcBorders>
              <w:top w:val="nil"/>
              <w:left w:val="nil"/>
              <w:bottom w:val="nil"/>
              <w:right w:val="nil"/>
            </w:tcBorders>
            <w:shd w:val="clear" w:color="auto" w:fill="auto"/>
            <w:noWrap/>
            <w:vAlign w:val="bottom"/>
            <w:hideMark/>
          </w:tcPr>
          <w:p w14:paraId="223BCE6A" w14:textId="77777777" w:rsidR="003B2C9F" w:rsidRPr="003B2C9F" w:rsidRDefault="003B2C9F" w:rsidP="003B2C9F">
            <w:pPr>
              <w:jc w:val="right"/>
              <w:rPr>
                <w:b/>
                <w:bCs/>
                <w:sz w:val="20"/>
                <w:szCs w:val="20"/>
              </w:rPr>
            </w:pPr>
            <w:r w:rsidRPr="003B2C9F">
              <w:rPr>
                <w:b/>
                <w:bCs/>
                <w:sz w:val="20"/>
                <w:szCs w:val="20"/>
              </w:rPr>
              <w:t>68,76</w:t>
            </w:r>
          </w:p>
        </w:tc>
      </w:tr>
      <w:tr w:rsidR="003B2C9F" w:rsidRPr="003B2C9F" w14:paraId="3D223EF4" w14:textId="77777777" w:rsidTr="003B2C9F">
        <w:trPr>
          <w:trHeight w:val="300"/>
        </w:trPr>
        <w:tc>
          <w:tcPr>
            <w:tcW w:w="616" w:type="dxa"/>
            <w:tcBorders>
              <w:top w:val="nil"/>
              <w:left w:val="nil"/>
              <w:bottom w:val="nil"/>
              <w:right w:val="nil"/>
            </w:tcBorders>
            <w:shd w:val="clear" w:color="auto" w:fill="auto"/>
            <w:noWrap/>
            <w:vAlign w:val="bottom"/>
            <w:hideMark/>
          </w:tcPr>
          <w:p w14:paraId="702D0CA4" w14:textId="77777777" w:rsidR="003B2C9F" w:rsidRPr="003B2C9F" w:rsidRDefault="003B2C9F" w:rsidP="003B2C9F">
            <w:pPr>
              <w:rPr>
                <w:sz w:val="20"/>
                <w:szCs w:val="20"/>
              </w:rPr>
            </w:pPr>
            <w:r w:rsidRPr="003B2C9F">
              <w:rPr>
                <w:sz w:val="20"/>
                <w:szCs w:val="20"/>
              </w:rPr>
              <w:lastRenderedPageBreak/>
              <w:t>7111</w:t>
            </w:r>
          </w:p>
        </w:tc>
        <w:tc>
          <w:tcPr>
            <w:tcW w:w="6472" w:type="dxa"/>
            <w:tcBorders>
              <w:top w:val="nil"/>
              <w:left w:val="nil"/>
              <w:bottom w:val="nil"/>
              <w:right w:val="nil"/>
            </w:tcBorders>
            <w:shd w:val="clear" w:color="auto" w:fill="auto"/>
            <w:vAlign w:val="bottom"/>
            <w:hideMark/>
          </w:tcPr>
          <w:p w14:paraId="0B4AF448" w14:textId="77777777" w:rsidR="003B2C9F" w:rsidRPr="003B2C9F" w:rsidRDefault="003B2C9F" w:rsidP="003B2C9F">
            <w:pPr>
              <w:rPr>
                <w:sz w:val="20"/>
                <w:szCs w:val="20"/>
              </w:rPr>
            </w:pPr>
            <w:r w:rsidRPr="003B2C9F">
              <w:rPr>
                <w:sz w:val="20"/>
                <w:szCs w:val="20"/>
              </w:rPr>
              <w:t xml:space="preserve">Zemljište                                                                                           </w:t>
            </w:r>
          </w:p>
        </w:tc>
        <w:tc>
          <w:tcPr>
            <w:tcW w:w="1559" w:type="dxa"/>
            <w:tcBorders>
              <w:top w:val="nil"/>
              <w:left w:val="nil"/>
              <w:bottom w:val="nil"/>
              <w:right w:val="nil"/>
            </w:tcBorders>
            <w:shd w:val="clear" w:color="auto" w:fill="auto"/>
            <w:noWrap/>
            <w:vAlign w:val="bottom"/>
            <w:hideMark/>
          </w:tcPr>
          <w:p w14:paraId="558A15A4" w14:textId="77777777" w:rsidR="003B2C9F" w:rsidRPr="003B2C9F" w:rsidRDefault="003B2C9F" w:rsidP="003B2C9F">
            <w:pPr>
              <w:jc w:val="right"/>
              <w:rPr>
                <w:sz w:val="20"/>
                <w:szCs w:val="20"/>
              </w:rPr>
            </w:pPr>
            <w:r w:rsidRPr="003B2C9F">
              <w:rPr>
                <w:sz w:val="20"/>
                <w:szCs w:val="20"/>
              </w:rPr>
              <w:t>3.471.903,68</w:t>
            </w:r>
          </w:p>
        </w:tc>
        <w:tc>
          <w:tcPr>
            <w:tcW w:w="1503" w:type="dxa"/>
            <w:tcBorders>
              <w:top w:val="nil"/>
              <w:left w:val="nil"/>
              <w:bottom w:val="nil"/>
              <w:right w:val="nil"/>
            </w:tcBorders>
            <w:shd w:val="clear" w:color="auto" w:fill="auto"/>
            <w:noWrap/>
            <w:vAlign w:val="bottom"/>
            <w:hideMark/>
          </w:tcPr>
          <w:p w14:paraId="2D6D2A38"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FF96090" w14:textId="77777777" w:rsidR="003B2C9F" w:rsidRPr="003B2C9F" w:rsidRDefault="003B2C9F" w:rsidP="003B2C9F">
            <w:pPr>
              <w:jc w:val="right"/>
              <w:rPr>
                <w:sz w:val="20"/>
                <w:szCs w:val="20"/>
              </w:rPr>
            </w:pPr>
            <w:r w:rsidRPr="003B2C9F">
              <w:rPr>
                <w:sz w:val="20"/>
                <w:szCs w:val="20"/>
              </w:rPr>
              <w:t>2.722.982,26</w:t>
            </w:r>
          </w:p>
        </w:tc>
        <w:tc>
          <w:tcPr>
            <w:tcW w:w="1525" w:type="dxa"/>
            <w:tcBorders>
              <w:top w:val="nil"/>
              <w:left w:val="nil"/>
              <w:bottom w:val="nil"/>
              <w:right w:val="nil"/>
            </w:tcBorders>
            <w:shd w:val="clear" w:color="auto" w:fill="auto"/>
            <w:noWrap/>
            <w:vAlign w:val="bottom"/>
            <w:hideMark/>
          </w:tcPr>
          <w:p w14:paraId="2CFA5353" w14:textId="77777777" w:rsidR="003B2C9F" w:rsidRPr="003B2C9F" w:rsidRDefault="003B2C9F" w:rsidP="003B2C9F">
            <w:pPr>
              <w:jc w:val="right"/>
              <w:rPr>
                <w:sz w:val="20"/>
                <w:szCs w:val="20"/>
              </w:rPr>
            </w:pPr>
            <w:r w:rsidRPr="003B2C9F">
              <w:rPr>
                <w:sz w:val="20"/>
                <w:szCs w:val="20"/>
              </w:rPr>
              <w:t>78,43</w:t>
            </w:r>
          </w:p>
        </w:tc>
        <w:tc>
          <w:tcPr>
            <w:tcW w:w="1000" w:type="dxa"/>
            <w:tcBorders>
              <w:top w:val="nil"/>
              <w:left w:val="nil"/>
              <w:bottom w:val="nil"/>
              <w:right w:val="nil"/>
            </w:tcBorders>
            <w:shd w:val="clear" w:color="auto" w:fill="auto"/>
            <w:noWrap/>
            <w:vAlign w:val="bottom"/>
            <w:hideMark/>
          </w:tcPr>
          <w:p w14:paraId="1A5B56EB" w14:textId="77777777" w:rsidR="003B2C9F" w:rsidRPr="003B2C9F" w:rsidRDefault="003B2C9F" w:rsidP="003B2C9F">
            <w:pPr>
              <w:jc w:val="right"/>
              <w:rPr>
                <w:sz w:val="20"/>
                <w:szCs w:val="20"/>
              </w:rPr>
            </w:pPr>
          </w:p>
        </w:tc>
      </w:tr>
      <w:tr w:rsidR="003B2C9F" w:rsidRPr="003B2C9F" w14:paraId="407B5B42" w14:textId="77777777" w:rsidTr="003B2C9F">
        <w:trPr>
          <w:trHeight w:val="300"/>
        </w:trPr>
        <w:tc>
          <w:tcPr>
            <w:tcW w:w="616" w:type="dxa"/>
            <w:tcBorders>
              <w:top w:val="nil"/>
              <w:left w:val="nil"/>
              <w:bottom w:val="nil"/>
              <w:right w:val="nil"/>
            </w:tcBorders>
            <w:shd w:val="clear" w:color="auto" w:fill="auto"/>
            <w:noWrap/>
            <w:vAlign w:val="bottom"/>
            <w:hideMark/>
          </w:tcPr>
          <w:p w14:paraId="65D5D85A" w14:textId="77777777" w:rsidR="003B2C9F" w:rsidRPr="003B2C9F" w:rsidRDefault="003B2C9F" w:rsidP="003B2C9F">
            <w:pPr>
              <w:rPr>
                <w:b/>
                <w:bCs/>
                <w:sz w:val="20"/>
                <w:szCs w:val="20"/>
              </w:rPr>
            </w:pPr>
            <w:r w:rsidRPr="003B2C9F">
              <w:rPr>
                <w:b/>
                <w:bCs/>
                <w:sz w:val="20"/>
                <w:szCs w:val="20"/>
              </w:rPr>
              <w:t>72</w:t>
            </w:r>
          </w:p>
        </w:tc>
        <w:tc>
          <w:tcPr>
            <w:tcW w:w="6472" w:type="dxa"/>
            <w:tcBorders>
              <w:top w:val="nil"/>
              <w:left w:val="nil"/>
              <w:bottom w:val="nil"/>
              <w:right w:val="nil"/>
            </w:tcBorders>
            <w:shd w:val="clear" w:color="auto" w:fill="auto"/>
            <w:noWrap/>
            <w:vAlign w:val="bottom"/>
            <w:hideMark/>
          </w:tcPr>
          <w:p w14:paraId="57D9D9FF" w14:textId="77777777" w:rsidR="003B2C9F" w:rsidRPr="003B2C9F" w:rsidRDefault="003B2C9F" w:rsidP="003B2C9F">
            <w:pPr>
              <w:rPr>
                <w:b/>
                <w:bCs/>
                <w:sz w:val="20"/>
                <w:szCs w:val="20"/>
              </w:rPr>
            </w:pPr>
            <w:r w:rsidRPr="003B2C9F">
              <w:rPr>
                <w:b/>
                <w:bCs/>
                <w:sz w:val="20"/>
                <w:szCs w:val="20"/>
              </w:rPr>
              <w:t xml:space="preserve">Prihodi od prodaje proizvedene dugotrajne imovine                                                   </w:t>
            </w:r>
          </w:p>
        </w:tc>
        <w:tc>
          <w:tcPr>
            <w:tcW w:w="1559" w:type="dxa"/>
            <w:tcBorders>
              <w:top w:val="nil"/>
              <w:left w:val="nil"/>
              <w:bottom w:val="nil"/>
              <w:right w:val="nil"/>
            </w:tcBorders>
            <w:shd w:val="clear" w:color="auto" w:fill="auto"/>
            <w:noWrap/>
            <w:vAlign w:val="bottom"/>
            <w:hideMark/>
          </w:tcPr>
          <w:p w14:paraId="5B8CFBA7" w14:textId="77777777" w:rsidR="003B2C9F" w:rsidRPr="003B2C9F" w:rsidRDefault="003B2C9F" w:rsidP="003B2C9F">
            <w:pPr>
              <w:jc w:val="right"/>
              <w:rPr>
                <w:b/>
                <w:bCs/>
                <w:sz w:val="20"/>
                <w:szCs w:val="20"/>
              </w:rPr>
            </w:pPr>
            <w:r w:rsidRPr="003B2C9F">
              <w:rPr>
                <w:b/>
                <w:bCs/>
                <w:sz w:val="20"/>
                <w:szCs w:val="20"/>
              </w:rPr>
              <w:t>1.108.328,43</w:t>
            </w:r>
          </w:p>
        </w:tc>
        <w:tc>
          <w:tcPr>
            <w:tcW w:w="1503" w:type="dxa"/>
            <w:tcBorders>
              <w:top w:val="nil"/>
              <w:left w:val="nil"/>
              <w:bottom w:val="nil"/>
              <w:right w:val="nil"/>
            </w:tcBorders>
            <w:shd w:val="clear" w:color="auto" w:fill="auto"/>
            <w:noWrap/>
            <w:vAlign w:val="bottom"/>
            <w:hideMark/>
          </w:tcPr>
          <w:p w14:paraId="4A9F24B6" w14:textId="77777777" w:rsidR="003B2C9F" w:rsidRPr="003B2C9F" w:rsidRDefault="003B2C9F" w:rsidP="003B2C9F">
            <w:pPr>
              <w:jc w:val="right"/>
              <w:rPr>
                <w:b/>
                <w:bCs/>
                <w:sz w:val="20"/>
                <w:szCs w:val="20"/>
              </w:rPr>
            </w:pPr>
            <w:r w:rsidRPr="003B2C9F">
              <w:rPr>
                <w:b/>
                <w:bCs/>
                <w:sz w:val="20"/>
                <w:szCs w:val="20"/>
              </w:rPr>
              <w:t>2.140.000,00</w:t>
            </w:r>
          </w:p>
        </w:tc>
        <w:tc>
          <w:tcPr>
            <w:tcW w:w="1366" w:type="dxa"/>
            <w:tcBorders>
              <w:top w:val="nil"/>
              <w:left w:val="nil"/>
              <w:bottom w:val="nil"/>
              <w:right w:val="nil"/>
            </w:tcBorders>
            <w:shd w:val="clear" w:color="auto" w:fill="auto"/>
            <w:noWrap/>
            <w:vAlign w:val="bottom"/>
            <w:hideMark/>
          </w:tcPr>
          <w:p w14:paraId="56503B4C" w14:textId="77777777" w:rsidR="003B2C9F" w:rsidRPr="003B2C9F" w:rsidRDefault="003B2C9F" w:rsidP="003B2C9F">
            <w:pPr>
              <w:jc w:val="right"/>
              <w:rPr>
                <w:b/>
                <w:bCs/>
                <w:sz w:val="20"/>
                <w:szCs w:val="20"/>
              </w:rPr>
            </w:pPr>
            <w:r w:rsidRPr="003B2C9F">
              <w:rPr>
                <w:b/>
                <w:bCs/>
                <w:sz w:val="20"/>
                <w:szCs w:val="20"/>
              </w:rPr>
              <w:t>1.273.490,90</w:t>
            </w:r>
          </w:p>
        </w:tc>
        <w:tc>
          <w:tcPr>
            <w:tcW w:w="1525" w:type="dxa"/>
            <w:tcBorders>
              <w:top w:val="nil"/>
              <w:left w:val="nil"/>
              <w:bottom w:val="nil"/>
              <w:right w:val="nil"/>
            </w:tcBorders>
            <w:shd w:val="clear" w:color="auto" w:fill="auto"/>
            <w:noWrap/>
            <w:vAlign w:val="bottom"/>
            <w:hideMark/>
          </w:tcPr>
          <w:p w14:paraId="5EFFC300" w14:textId="77777777" w:rsidR="003B2C9F" w:rsidRPr="003B2C9F" w:rsidRDefault="003B2C9F" w:rsidP="003B2C9F">
            <w:pPr>
              <w:jc w:val="right"/>
              <w:rPr>
                <w:b/>
                <w:bCs/>
                <w:sz w:val="20"/>
                <w:szCs w:val="20"/>
              </w:rPr>
            </w:pPr>
            <w:r w:rsidRPr="003B2C9F">
              <w:rPr>
                <w:b/>
                <w:bCs/>
                <w:sz w:val="20"/>
                <w:szCs w:val="20"/>
              </w:rPr>
              <w:t>114,90</w:t>
            </w:r>
          </w:p>
        </w:tc>
        <w:tc>
          <w:tcPr>
            <w:tcW w:w="1000" w:type="dxa"/>
            <w:tcBorders>
              <w:top w:val="nil"/>
              <w:left w:val="nil"/>
              <w:bottom w:val="nil"/>
              <w:right w:val="nil"/>
            </w:tcBorders>
            <w:shd w:val="clear" w:color="auto" w:fill="auto"/>
            <w:noWrap/>
            <w:vAlign w:val="bottom"/>
            <w:hideMark/>
          </w:tcPr>
          <w:p w14:paraId="14E8C286" w14:textId="77777777" w:rsidR="003B2C9F" w:rsidRPr="003B2C9F" w:rsidRDefault="003B2C9F" w:rsidP="003B2C9F">
            <w:pPr>
              <w:jc w:val="right"/>
              <w:rPr>
                <w:b/>
                <w:bCs/>
                <w:sz w:val="20"/>
                <w:szCs w:val="20"/>
              </w:rPr>
            </w:pPr>
            <w:r w:rsidRPr="003B2C9F">
              <w:rPr>
                <w:b/>
                <w:bCs/>
                <w:sz w:val="20"/>
                <w:szCs w:val="20"/>
              </w:rPr>
              <w:t>59,51</w:t>
            </w:r>
          </w:p>
        </w:tc>
      </w:tr>
      <w:tr w:rsidR="003B2C9F" w:rsidRPr="003B2C9F" w14:paraId="34D9D5EE" w14:textId="77777777" w:rsidTr="003B2C9F">
        <w:trPr>
          <w:trHeight w:val="300"/>
        </w:trPr>
        <w:tc>
          <w:tcPr>
            <w:tcW w:w="616" w:type="dxa"/>
            <w:tcBorders>
              <w:top w:val="nil"/>
              <w:left w:val="nil"/>
              <w:bottom w:val="nil"/>
              <w:right w:val="nil"/>
            </w:tcBorders>
            <w:shd w:val="clear" w:color="auto" w:fill="auto"/>
            <w:noWrap/>
            <w:vAlign w:val="bottom"/>
            <w:hideMark/>
          </w:tcPr>
          <w:p w14:paraId="5768BEE1" w14:textId="77777777" w:rsidR="003B2C9F" w:rsidRPr="003B2C9F" w:rsidRDefault="003B2C9F" w:rsidP="003B2C9F">
            <w:pPr>
              <w:rPr>
                <w:b/>
                <w:bCs/>
                <w:sz w:val="20"/>
                <w:szCs w:val="20"/>
              </w:rPr>
            </w:pPr>
            <w:r w:rsidRPr="003B2C9F">
              <w:rPr>
                <w:b/>
                <w:bCs/>
                <w:sz w:val="20"/>
                <w:szCs w:val="20"/>
              </w:rPr>
              <w:t>721</w:t>
            </w:r>
          </w:p>
        </w:tc>
        <w:tc>
          <w:tcPr>
            <w:tcW w:w="6472" w:type="dxa"/>
            <w:tcBorders>
              <w:top w:val="nil"/>
              <w:left w:val="nil"/>
              <w:bottom w:val="nil"/>
              <w:right w:val="nil"/>
            </w:tcBorders>
            <w:shd w:val="clear" w:color="auto" w:fill="auto"/>
            <w:noWrap/>
            <w:vAlign w:val="bottom"/>
            <w:hideMark/>
          </w:tcPr>
          <w:p w14:paraId="686F97A6" w14:textId="77777777" w:rsidR="003B2C9F" w:rsidRPr="003B2C9F" w:rsidRDefault="003B2C9F" w:rsidP="003B2C9F">
            <w:pPr>
              <w:rPr>
                <w:b/>
                <w:bCs/>
                <w:sz w:val="20"/>
                <w:szCs w:val="20"/>
              </w:rPr>
            </w:pPr>
            <w:r w:rsidRPr="003B2C9F">
              <w:rPr>
                <w:b/>
                <w:bCs/>
                <w:sz w:val="20"/>
                <w:szCs w:val="20"/>
              </w:rPr>
              <w:t xml:space="preserve">Prihodi od prodaje građevinskih objekata                                                            </w:t>
            </w:r>
          </w:p>
        </w:tc>
        <w:tc>
          <w:tcPr>
            <w:tcW w:w="1559" w:type="dxa"/>
            <w:tcBorders>
              <w:top w:val="nil"/>
              <w:left w:val="nil"/>
              <w:bottom w:val="nil"/>
              <w:right w:val="nil"/>
            </w:tcBorders>
            <w:shd w:val="clear" w:color="auto" w:fill="auto"/>
            <w:noWrap/>
            <w:vAlign w:val="bottom"/>
            <w:hideMark/>
          </w:tcPr>
          <w:p w14:paraId="1C19BA50" w14:textId="77777777" w:rsidR="003B2C9F" w:rsidRPr="003B2C9F" w:rsidRDefault="003B2C9F" w:rsidP="003B2C9F">
            <w:pPr>
              <w:jc w:val="right"/>
              <w:rPr>
                <w:b/>
                <w:bCs/>
                <w:sz w:val="20"/>
                <w:szCs w:val="20"/>
              </w:rPr>
            </w:pPr>
            <w:r w:rsidRPr="003B2C9F">
              <w:rPr>
                <w:b/>
                <w:bCs/>
                <w:sz w:val="20"/>
                <w:szCs w:val="20"/>
              </w:rPr>
              <w:t>1.108.328,43</w:t>
            </w:r>
          </w:p>
        </w:tc>
        <w:tc>
          <w:tcPr>
            <w:tcW w:w="1503" w:type="dxa"/>
            <w:tcBorders>
              <w:top w:val="nil"/>
              <w:left w:val="nil"/>
              <w:bottom w:val="nil"/>
              <w:right w:val="nil"/>
            </w:tcBorders>
            <w:shd w:val="clear" w:color="auto" w:fill="auto"/>
            <w:noWrap/>
            <w:vAlign w:val="bottom"/>
            <w:hideMark/>
          </w:tcPr>
          <w:p w14:paraId="220D3DF8" w14:textId="77777777" w:rsidR="003B2C9F" w:rsidRPr="003B2C9F" w:rsidRDefault="003B2C9F" w:rsidP="003B2C9F">
            <w:pPr>
              <w:jc w:val="right"/>
              <w:rPr>
                <w:b/>
                <w:bCs/>
                <w:sz w:val="20"/>
                <w:szCs w:val="20"/>
              </w:rPr>
            </w:pPr>
            <w:r w:rsidRPr="003B2C9F">
              <w:rPr>
                <w:b/>
                <w:bCs/>
                <w:sz w:val="20"/>
                <w:szCs w:val="20"/>
              </w:rPr>
              <w:t>2.140.000,00</w:t>
            </w:r>
          </w:p>
        </w:tc>
        <w:tc>
          <w:tcPr>
            <w:tcW w:w="1366" w:type="dxa"/>
            <w:tcBorders>
              <w:top w:val="nil"/>
              <w:left w:val="nil"/>
              <w:bottom w:val="nil"/>
              <w:right w:val="nil"/>
            </w:tcBorders>
            <w:shd w:val="clear" w:color="auto" w:fill="auto"/>
            <w:noWrap/>
            <w:vAlign w:val="bottom"/>
            <w:hideMark/>
          </w:tcPr>
          <w:p w14:paraId="710F21B1" w14:textId="77777777" w:rsidR="003B2C9F" w:rsidRPr="003B2C9F" w:rsidRDefault="003B2C9F" w:rsidP="003B2C9F">
            <w:pPr>
              <w:jc w:val="right"/>
              <w:rPr>
                <w:b/>
                <w:bCs/>
                <w:sz w:val="20"/>
                <w:szCs w:val="20"/>
              </w:rPr>
            </w:pPr>
            <w:r w:rsidRPr="003B2C9F">
              <w:rPr>
                <w:b/>
                <w:bCs/>
                <w:sz w:val="20"/>
                <w:szCs w:val="20"/>
              </w:rPr>
              <w:t>1.273.490,90</w:t>
            </w:r>
          </w:p>
        </w:tc>
        <w:tc>
          <w:tcPr>
            <w:tcW w:w="1525" w:type="dxa"/>
            <w:tcBorders>
              <w:top w:val="nil"/>
              <w:left w:val="nil"/>
              <w:bottom w:val="nil"/>
              <w:right w:val="nil"/>
            </w:tcBorders>
            <w:shd w:val="clear" w:color="auto" w:fill="auto"/>
            <w:noWrap/>
            <w:vAlign w:val="bottom"/>
            <w:hideMark/>
          </w:tcPr>
          <w:p w14:paraId="6C8C71E4" w14:textId="77777777" w:rsidR="003B2C9F" w:rsidRPr="003B2C9F" w:rsidRDefault="003B2C9F" w:rsidP="003B2C9F">
            <w:pPr>
              <w:jc w:val="right"/>
              <w:rPr>
                <w:b/>
                <w:bCs/>
                <w:sz w:val="20"/>
                <w:szCs w:val="20"/>
              </w:rPr>
            </w:pPr>
            <w:r w:rsidRPr="003B2C9F">
              <w:rPr>
                <w:b/>
                <w:bCs/>
                <w:sz w:val="20"/>
                <w:szCs w:val="20"/>
              </w:rPr>
              <w:t>114,90</w:t>
            </w:r>
          </w:p>
        </w:tc>
        <w:tc>
          <w:tcPr>
            <w:tcW w:w="1000" w:type="dxa"/>
            <w:tcBorders>
              <w:top w:val="nil"/>
              <w:left w:val="nil"/>
              <w:bottom w:val="nil"/>
              <w:right w:val="nil"/>
            </w:tcBorders>
            <w:shd w:val="clear" w:color="auto" w:fill="auto"/>
            <w:noWrap/>
            <w:vAlign w:val="bottom"/>
            <w:hideMark/>
          </w:tcPr>
          <w:p w14:paraId="62FA3BED" w14:textId="77777777" w:rsidR="003B2C9F" w:rsidRPr="003B2C9F" w:rsidRDefault="003B2C9F" w:rsidP="003B2C9F">
            <w:pPr>
              <w:jc w:val="right"/>
              <w:rPr>
                <w:b/>
                <w:bCs/>
                <w:sz w:val="20"/>
                <w:szCs w:val="20"/>
              </w:rPr>
            </w:pPr>
            <w:r w:rsidRPr="003B2C9F">
              <w:rPr>
                <w:b/>
                <w:bCs/>
                <w:sz w:val="20"/>
                <w:szCs w:val="20"/>
              </w:rPr>
              <w:t>59,51</w:t>
            </w:r>
          </w:p>
        </w:tc>
      </w:tr>
      <w:tr w:rsidR="003B2C9F" w:rsidRPr="003B2C9F" w14:paraId="2AEADF1A" w14:textId="77777777" w:rsidTr="003B2C9F">
        <w:trPr>
          <w:trHeight w:val="300"/>
        </w:trPr>
        <w:tc>
          <w:tcPr>
            <w:tcW w:w="616" w:type="dxa"/>
            <w:tcBorders>
              <w:top w:val="nil"/>
              <w:left w:val="nil"/>
              <w:bottom w:val="nil"/>
              <w:right w:val="nil"/>
            </w:tcBorders>
            <w:shd w:val="clear" w:color="auto" w:fill="auto"/>
            <w:noWrap/>
            <w:vAlign w:val="bottom"/>
            <w:hideMark/>
          </w:tcPr>
          <w:p w14:paraId="23F0D558" w14:textId="77777777" w:rsidR="003B2C9F" w:rsidRPr="003B2C9F" w:rsidRDefault="003B2C9F" w:rsidP="003B2C9F">
            <w:pPr>
              <w:rPr>
                <w:sz w:val="20"/>
                <w:szCs w:val="20"/>
              </w:rPr>
            </w:pPr>
            <w:r w:rsidRPr="003B2C9F">
              <w:rPr>
                <w:sz w:val="20"/>
                <w:szCs w:val="20"/>
              </w:rPr>
              <w:t>7211</w:t>
            </w:r>
          </w:p>
        </w:tc>
        <w:tc>
          <w:tcPr>
            <w:tcW w:w="6472" w:type="dxa"/>
            <w:tcBorders>
              <w:top w:val="nil"/>
              <w:left w:val="nil"/>
              <w:bottom w:val="nil"/>
              <w:right w:val="nil"/>
            </w:tcBorders>
            <w:shd w:val="clear" w:color="auto" w:fill="auto"/>
            <w:vAlign w:val="bottom"/>
            <w:hideMark/>
          </w:tcPr>
          <w:p w14:paraId="69354830" w14:textId="77777777" w:rsidR="003B2C9F" w:rsidRPr="003B2C9F" w:rsidRDefault="003B2C9F" w:rsidP="003B2C9F">
            <w:pPr>
              <w:rPr>
                <w:sz w:val="20"/>
                <w:szCs w:val="20"/>
              </w:rPr>
            </w:pPr>
            <w:r w:rsidRPr="003B2C9F">
              <w:rPr>
                <w:sz w:val="20"/>
                <w:szCs w:val="20"/>
              </w:rPr>
              <w:t xml:space="preserve">Stambeni objekti                                                                                    </w:t>
            </w:r>
          </w:p>
        </w:tc>
        <w:tc>
          <w:tcPr>
            <w:tcW w:w="1559" w:type="dxa"/>
            <w:tcBorders>
              <w:top w:val="nil"/>
              <w:left w:val="nil"/>
              <w:bottom w:val="nil"/>
              <w:right w:val="nil"/>
            </w:tcBorders>
            <w:shd w:val="clear" w:color="auto" w:fill="auto"/>
            <w:noWrap/>
            <w:vAlign w:val="bottom"/>
            <w:hideMark/>
          </w:tcPr>
          <w:p w14:paraId="3C1F549F" w14:textId="77777777" w:rsidR="003B2C9F" w:rsidRPr="003B2C9F" w:rsidRDefault="003B2C9F" w:rsidP="003B2C9F">
            <w:pPr>
              <w:jc w:val="right"/>
              <w:rPr>
                <w:sz w:val="20"/>
                <w:szCs w:val="20"/>
              </w:rPr>
            </w:pPr>
            <w:r w:rsidRPr="003B2C9F">
              <w:rPr>
                <w:sz w:val="20"/>
                <w:szCs w:val="20"/>
              </w:rPr>
              <w:t>1.108.328,43</w:t>
            </w:r>
          </w:p>
        </w:tc>
        <w:tc>
          <w:tcPr>
            <w:tcW w:w="1503" w:type="dxa"/>
            <w:tcBorders>
              <w:top w:val="nil"/>
              <w:left w:val="nil"/>
              <w:bottom w:val="nil"/>
              <w:right w:val="nil"/>
            </w:tcBorders>
            <w:shd w:val="clear" w:color="auto" w:fill="auto"/>
            <w:noWrap/>
            <w:vAlign w:val="bottom"/>
            <w:hideMark/>
          </w:tcPr>
          <w:p w14:paraId="18FE22EB"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688E4BF6" w14:textId="77777777" w:rsidR="003B2C9F" w:rsidRPr="003B2C9F" w:rsidRDefault="003B2C9F" w:rsidP="003B2C9F">
            <w:pPr>
              <w:jc w:val="right"/>
              <w:rPr>
                <w:sz w:val="20"/>
                <w:szCs w:val="20"/>
              </w:rPr>
            </w:pPr>
            <w:r w:rsidRPr="003B2C9F">
              <w:rPr>
                <w:sz w:val="20"/>
                <w:szCs w:val="20"/>
              </w:rPr>
              <w:t>1.273.490,90</w:t>
            </w:r>
          </w:p>
        </w:tc>
        <w:tc>
          <w:tcPr>
            <w:tcW w:w="1525" w:type="dxa"/>
            <w:tcBorders>
              <w:top w:val="nil"/>
              <w:left w:val="nil"/>
              <w:bottom w:val="nil"/>
              <w:right w:val="nil"/>
            </w:tcBorders>
            <w:shd w:val="clear" w:color="auto" w:fill="auto"/>
            <w:noWrap/>
            <w:vAlign w:val="bottom"/>
            <w:hideMark/>
          </w:tcPr>
          <w:p w14:paraId="36051E38" w14:textId="77777777" w:rsidR="003B2C9F" w:rsidRPr="003B2C9F" w:rsidRDefault="003B2C9F" w:rsidP="003B2C9F">
            <w:pPr>
              <w:jc w:val="right"/>
              <w:rPr>
                <w:sz w:val="20"/>
                <w:szCs w:val="20"/>
              </w:rPr>
            </w:pPr>
            <w:r w:rsidRPr="003B2C9F">
              <w:rPr>
                <w:sz w:val="20"/>
                <w:szCs w:val="20"/>
              </w:rPr>
              <w:t>114,90</w:t>
            </w:r>
          </w:p>
        </w:tc>
        <w:tc>
          <w:tcPr>
            <w:tcW w:w="1000" w:type="dxa"/>
            <w:tcBorders>
              <w:top w:val="nil"/>
              <w:left w:val="nil"/>
              <w:bottom w:val="nil"/>
              <w:right w:val="nil"/>
            </w:tcBorders>
            <w:shd w:val="clear" w:color="auto" w:fill="auto"/>
            <w:noWrap/>
            <w:vAlign w:val="bottom"/>
            <w:hideMark/>
          </w:tcPr>
          <w:p w14:paraId="7D651BDD" w14:textId="77777777" w:rsidR="003B2C9F" w:rsidRPr="003B2C9F" w:rsidRDefault="003B2C9F" w:rsidP="003B2C9F">
            <w:pPr>
              <w:jc w:val="right"/>
              <w:rPr>
                <w:sz w:val="20"/>
                <w:szCs w:val="20"/>
              </w:rPr>
            </w:pPr>
          </w:p>
        </w:tc>
      </w:tr>
      <w:tr w:rsidR="003B2C9F" w:rsidRPr="003B2C9F" w14:paraId="51524A94" w14:textId="77777777" w:rsidTr="003B2C9F">
        <w:trPr>
          <w:trHeight w:val="255"/>
        </w:trPr>
        <w:tc>
          <w:tcPr>
            <w:tcW w:w="7088" w:type="dxa"/>
            <w:gridSpan w:val="2"/>
            <w:tcBorders>
              <w:top w:val="single" w:sz="4" w:space="0" w:color="auto"/>
              <w:left w:val="nil"/>
              <w:bottom w:val="single" w:sz="4" w:space="0" w:color="auto"/>
              <w:right w:val="nil"/>
            </w:tcBorders>
            <w:shd w:val="clear" w:color="auto" w:fill="auto"/>
            <w:noWrap/>
            <w:vAlign w:val="bottom"/>
            <w:hideMark/>
          </w:tcPr>
          <w:p w14:paraId="0F7DBEFE" w14:textId="77777777" w:rsidR="003B2C9F" w:rsidRPr="003B2C9F" w:rsidRDefault="003B2C9F" w:rsidP="003B2C9F">
            <w:pPr>
              <w:rPr>
                <w:b/>
                <w:bCs/>
                <w:sz w:val="20"/>
                <w:szCs w:val="20"/>
              </w:rPr>
            </w:pPr>
            <w:r w:rsidRPr="003B2C9F">
              <w:rPr>
                <w:b/>
                <w:bCs/>
                <w:sz w:val="20"/>
                <w:szCs w:val="20"/>
              </w:rPr>
              <w:t xml:space="preserve"> SVEUKUPNO RASHODI</w:t>
            </w:r>
          </w:p>
        </w:tc>
        <w:tc>
          <w:tcPr>
            <w:tcW w:w="1559" w:type="dxa"/>
            <w:tcBorders>
              <w:top w:val="single" w:sz="4" w:space="0" w:color="auto"/>
              <w:left w:val="nil"/>
              <w:bottom w:val="single" w:sz="4" w:space="0" w:color="auto"/>
              <w:right w:val="nil"/>
            </w:tcBorders>
            <w:shd w:val="clear" w:color="auto" w:fill="auto"/>
            <w:noWrap/>
            <w:vAlign w:val="bottom"/>
            <w:hideMark/>
          </w:tcPr>
          <w:p w14:paraId="6614C1E1" w14:textId="77777777" w:rsidR="003B2C9F" w:rsidRPr="003B2C9F" w:rsidRDefault="003B2C9F" w:rsidP="003B2C9F">
            <w:pPr>
              <w:jc w:val="right"/>
              <w:rPr>
                <w:b/>
                <w:bCs/>
                <w:sz w:val="20"/>
                <w:szCs w:val="20"/>
              </w:rPr>
            </w:pPr>
            <w:r w:rsidRPr="003B2C9F">
              <w:rPr>
                <w:b/>
                <w:bCs/>
                <w:sz w:val="20"/>
                <w:szCs w:val="20"/>
              </w:rPr>
              <w:t>35.915.045,38</w:t>
            </w:r>
          </w:p>
        </w:tc>
        <w:tc>
          <w:tcPr>
            <w:tcW w:w="1503" w:type="dxa"/>
            <w:tcBorders>
              <w:top w:val="single" w:sz="4" w:space="0" w:color="auto"/>
              <w:left w:val="nil"/>
              <w:bottom w:val="single" w:sz="4" w:space="0" w:color="auto"/>
              <w:right w:val="nil"/>
            </w:tcBorders>
            <w:shd w:val="clear" w:color="auto" w:fill="auto"/>
            <w:noWrap/>
            <w:vAlign w:val="bottom"/>
            <w:hideMark/>
          </w:tcPr>
          <w:p w14:paraId="455ECA00" w14:textId="77777777" w:rsidR="003B2C9F" w:rsidRPr="003B2C9F" w:rsidRDefault="003B2C9F" w:rsidP="003B2C9F">
            <w:pPr>
              <w:jc w:val="right"/>
              <w:rPr>
                <w:b/>
                <w:bCs/>
                <w:sz w:val="20"/>
                <w:szCs w:val="20"/>
              </w:rPr>
            </w:pPr>
            <w:r w:rsidRPr="003B2C9F">
              <w:rPr>
                <w:b/>
                <w:bCs/>
                <w:sz w:val="20"/>
                <w:szCs w:val="20"/>
              </w:rPr>
              <w:t>39.916.987,25</w:t>
            </w:r>
          </w:p>
        </w:tc>
        <w:tc>
          <w:tcPr>
            <w:tcW w:w="1366" w:type="dxa"/>
            <w:tcBorders>
              <w:top w:val="single" w:sz="4" w:space="0" w:color="auto"/>
              <w:left w:val="nil"/>
              <w:bottom w:val="single" w:sz="4" w:space="0" w:color="auto"/>
              <w:right w:val="nil"/>
            </w:tcBorders>
            <w:shd w:val="clear" w:color="auto" w:fill="auto"/>
            <w:noWrap/>
            <w:vAlign w:val="bottom"/>
            <w:hideMark/>
          </w:tcPr>
          <w:p w14:paraId="6078461A" w14:textId="77777777" w:rsidR="003B2C9F" w:rsidRPr="003B2C9F" w:rsidRDefault="003B2C9F" w:rsidP="003B2C9F">
            <w:pPr>
              <w:jc w:val="right"/>
              <w:rPr>
                <w:b/>
                <w:bCs/>
                <w:sz w:val="20"/>
                <w:szCs w:val="20"/>
              </w:rPr>
            </w:pPr>
            <w:r w:rsidRPr="003B2C9F">
              <w:rPr>
                <w:b/>
                <w:bCs/>
                <w:sz w:val="20"/>
                <w:szCs w:val="20"/>
              </w:rPr>
              <w:t>36.962.711,30</w:t>
            </w:r>
          </w:p>
        </w:tc>
        <w:tc>
          <w:tcPr>
            <w:tcW w:w="1525" w:type="dxa"/>
            <w:tcBorders>
              <w:top w:val="single" w:sz="4" w:space="0" w:color="auto"/>
              <w:left w:val="nil"/>
              <w:bottom w:val="single" w:sz="4" w:space="0" w:color="auto"/>
              <w:right w:val="nil"/>
            </w:tcBorders>
            <w:shd w:val="clear" w:color="auto" w:fill="auto"/>
            <w:noWrap/>
            <w:vAlign w:val="bottom"/>
            <w:hideMark/>
          </w:tcPr>
          <w:p w14:paraId="01264710" w14:textId="77777777" w:rsidR="003B2C9F" w:rsidRPr="003B2C9F" w:rsidRDefault="003B2C9F" w:rsidP="003B2C9F">
            <w:pPr>
              <w:jc w:val="right"/>
              <w:rPr>
                <w:b/>
                <w:bCs/>
                <w:sz w:val="20"/>
                <w:szCs w:val="20"/>
              </w:rPr>
            </w:pPr>
            <w:r w:rsidRPr="003B2C9F">
              <w:rPr>
                <w:b/>
                <w:bCs/>
                <w:sz w:val="20"/>
                <w:szCs w:val="20"/>
              </w:rPr>
              <w:t>102,92</w:t>
            </w:r>
          </w:p>
        </w:tc>
        <w:tc>
          <w:tcPr>
            <w:tcW w:w="1000" w:type="dxa"/>
            <w:tcBorders>
              <w:top w:val="single" w:sz="4" w:space="0" w:color="auto"/>
              <w:left w:val="nil"/>
              <w:bottom w:val="single" w:sz="4" w:space="0" w:color="auto"/>
              <w:right w:val="nil"/>
            </w:tcBorders>
            <w:shd w:val="clear" w:color="auto" w:fill="auto"/>
            <w:noWrap/>
            <w:vAlign w:val="bottom"/>
            <w:hideMark/>
          </w:tcPr>
          <w:p w14:paraId="3480EEB4" w14:textId="77777777" w:rsidR="003B2C9F" w:rsidRPr="003B2C9F" w:rsidRDefault="003B2C9F" w:rsidP="003B2C9F">
            <w:pPr>
              <w:jc w:val="right"/>
              <w:rPr>
                <w:b/>
                <w:bCs/>
                <w:sz w:val="20"/>
                <w:szCs w:val="20"/>
              </w:rPr>
            </w:pPr>
            <w:r w:rsidRPr="003B2C9F">
              <w:rPr>
                <w:b/>
                <w:bCs/>
                <w:sz w:val="20"/>
                <w:szCs w:val="20"/>
              </w:rPr>
              <w:t>92,60</w:t>
            </w:r>
          </w:p>
        </w:tc>
      </w:tr>
      <w:tr w:rsidR="003B2C9F" w:rsidRPr="003B2C9F" w14:paraId="5C9C69E1" w14:textId="77777777" w:rsidTr="003B2C9F">
        <w:trPr>
          <w:trHeight w:val="300"/>
        </w:trPr>
        <w:tc>
          <w:tcPr>
            <w:tcW w:w="616" w:type="dxa"/>
            <w:tcBorders>
              <w:top w:val="nil"/>
              <w:left w:val="nil"/>
              <w:bottom w:val="nil"/>
              <w:right w:val="nil"/>
            </w:tcBorders>
            <w:shd w:val="clear" w:color="auto" w:fill="auto"/>
            <w:noWrap/>
            <w:vAlign w:val="bottom"/>
            <w:hideMark/>
          </w:tcPr>
          <w:p w14:paraId="5D03F747" w14:textId="77777777" w:rsidR="003B2C9F" w:rsidRPr="003B2C9F" w:rsidRDefault="003B2C9F" w:rsidP="003B2C9F">
            <w:pPr>
              <w:rPr>
                <w:b/>
                <w:bCs/>
                <w:sz w:val="20"/>
                <w:szCs w:val="20"/>
              </w:rPr>
            </w:pPr>
            <w:r w:rsidRPr="003B2C9F">
              <w:rPr>
                <w:b/>
                <w:bCs/>
                <w:sz w:val="20"/>
                <w:szCs w:val="20"/>
              </w:rPr>
              <w:t>3</w:t>
            </w:r>
          </w:p>
        </w:tc>
        <w:tc>
          <w:tcPr>
            <w:tcW w:w="6472" w:type="dxa"/>
            <w:tcBorders>
              <w:top w:val="nil"/>
              <w:left w:val="nil"/>
              <w:bottom w:val="nil"/>
              <w:right w:val="nil"/>
            </w:tcBorders>
            <w:shd w:val="clear" w:color="auto" w:fill="auto"/>
            <w:noWrap/>
            <w:vAlign w:val="bottom"/>
            <w:hideMark/>
          </w:tcPr>
          <w:p w14:paraId="7C324956" w14:textId="77777777" w:rsidR="003B2C9F" w:rsidRPr="003B2C9F" w:rsidRDefault="003B2C9F" w:rsidP="003B2C9F">
            <w:pPr>
              <w:rPr>
                <w:b/>
                <w:bCs/>
                <w:sz w:val="20"/>
                <w:szCs w:val="20"/>
              </w:rPr>
            </w:pPr>
            <w:r w:rsidRPr="003B2C9F">
              <w:rPr>
                <w:b/>
                <w:bCs/>
                <w:sz w:val="20"/>
                <w:szCs w:val="20"/>
              </w:rPr>
              <w:t xml:space="preserve">Rashodi poslovanja                                                                                  </w:t>
            </w:r>
          </w:p>
        </w:tc>
        <w:tc>
          <w:tcPr>
            <w:tcW w:w="1559" w:type="dxa"/>
            <w:tcBorders>
              <w:top w:val="nil"/>
              <w:left w:val="nil"/>
              <w:bottom w:val="nil"/>
              <w:right w:val="nil"/>
            </w:tcBorders>
            <w:shd w:val="clear" w:color="auto" w:fill="auto"/>
            <w:noWrap/>
            <w:vAlign w:val="bottom"/>
            <w:hideMark/>
          </w:tcPr>
          <w:p w14:paraId="303473AF" w14:textId="77777777" w:rsidR="003B2C9F" w:rsidRPr="003B2C9F" w:rsidRDefault="003B2C9F" w:rsidP="003B2C9F">
            <w:pPr>
              <w:jc w:val="right"/>
              <w:rPr>
                <w:b/>
                <w:bCs/>
                <w:sz w:val="20"/>
                <w:szCs w:val="20"/>
              </w:rPr>
            </w:pPr>
            <w:r w:rsidRPr="003B2C9F">
              <w:rPr>
                <w:b/>
                <w:bCs/>
                <w:sz w:val="20"/>
                <w:szCs w:val="20"/>
              </w:rPr>
              <w:t>26.175.139,99</w:t>
            </w:r>
          </w:p>
        </w:tc>
        <w:tc>
          <w:tcPr>
            <w:tcW w:w="1503" w:type="dxa"/>
            <w:tcBorders>
              <w:top w:val="nil"/>
              <w:left w:val="nil"/>
              <w:bottom w:val="nil"/>
              <w:right w:val="nil"/>
            </w:tcBorders>
            <w:shd w:val="clear" w:color="auto" w:fill="auto"/>
            <w:noWrap/>
            <w:vAlign w:val="bottom"/>
            <w:hideMark/>
          </w:tcPr>
          <w:p w14:paraId="6746DBC3" w14:textId="77777777" w:rsidR="003B2C9F" w:rsidRPr="003B2C9F" w:rsidRDefault="003B2C9F" w:rsidP="003B2C9F">
            <w:pPr>
              <w:jc w:val="right"/>
              <w:rPr>
                <w:b/>
                <w:bCs/>
                <w:sz w:val="20"/>
                <w:szCs w:val="20"/>
              </w:rPr>
            </w:pPr>
            <w:r w:rsidRPr="003B2C9F">
              <w:rPr>
                <w:b/>
                <w:bCs/>
                <w:sz w:val="20"/>
                <w:szCs w:val="20"/>
              </w:rPr>
              <w:t>32.617.351,15</w:t>
            </w:r>
          </w:p>
        </w:tc>
        <w:tc>
          <w:tcPr>
            <w:tcW w:w="1366" w:type="dxa"/>
            <w:tcBorders>
              <w:top w:val="nil"/>
              <w:left w:val="nil"/>
              <w:bottom w:val="nil"/>
              <w:right w:val="nil"/>
            </w:tcBorders>
            <w:shd w:val="clear" w:color="auto" w:fill="auto"/>
            <w:noWrap/>
            <w:vAlign w:val="bottom"/>
            <w:hideMark/>
          </w:tcPr>
          <w:p w14:paraId="2469A3DB" w14:textId="77777777" w:rsidR="003B2C9F" w:rsidRPr="003B2C9F" w:rsidRDefault="003B2C9F" w:rsidP="003B2C9F">
            <w:pPr>
              <w:jc w:val="right"/>
              <w:rPr>
                <w:b/>
                <w:bCs/>
                <w:sz w:val="20"/>
                <w:szCs w:val="20"/>
              </w:rPr>
            </w:pPr>
            <w:r w:rsidRPr="003B2C9F">
              <w:rPr>
                <w:b/>
                <w:bCs/>
                <w:sz w:val="20"/>
                <w:szCs w:val="20"/>
              </w:rPr>
              <w:t>30.046.726,27</w:t>
            </w:r>
          </w:p>
        </w:tc>
        <w:tc>
          <w:tcPr>
            <w:tcW w:w="1525" w:type="dxa"/>
            <w:tcBorders>
              <w:top w:val="nil"/>
              <w:left w:val="nil"/>
              <w:bottom w:val="nil"/>
              <w:right w:val="nil"/>
            </w:tcBorders>
            <w:shd w:val="clear" w:color="auto" w:fill="auto"/>
            <w:noWrap/>
            <w:vAlign w:val="bottom"/>
            <w:hideMark/>
          </w:tcPr>
          <w:p w14:paraId="03BFBE23" w14:textId="77777777" w:rsidR="003B2C9F" w:rsidRPr="003B2C9F" w:rsidRDefault="003B2C9F" w:rsidP="003B2C9F">
            <w:pPr>
              <w:jc w:val="right"/>
              <w:rPr>
                <w:b/>
                <w:bCs/>
                <w:sz w:val="20"/>
                <w:szCs w:val="20"/>
              </w:rPr>
            </w:pPr>
            <w:r w:rsidRPr="003B2C9F">
              <w:rPr>
                <w:b/>
                <w:bCs/>
                <w:sz w:val="20"/>
                <w:szCs w:val="20"/>
              </w:rPr>
              <w:t>114,79</w:t>
            </w:r>
          </w:p>
        </w:tc>
        <w:tc>
          <w:tcPr>
            <w:tcW w:w="1000" w:type="dxa"/>
            <w:tcBorders>
              <w:top w:val="nil"/>
              <w:left w:val="nil"/>
              <w:bottom w:val="nil"/>
              <w:right w:val="nil"/>
            </w:tcBorders>
            <w:shd w:val="clear" w:color="auto" w:fill="auto"/>
            <w:noWrap/>
            <w:vAlign w:val="bottom"/>
            <w:hideMark/>
          </w:tcPr>
          <w:p w14:paraId="6DEDF351" w14:textId="77777777" w:rsidR="003B2C9F" w:rsidRPr="003B2C9F" w:rsidRDefault="003B2C9F" w:rsidP="003B2C9F">
            <w:pPr>
              <w:jc w:val="right"/>
              <w:rPr>
                <w:b/>
                <w:bCs/>
                <w:sz w:val="20"/>
                <w:szCs w:val="20"/>
              </w:rPr>
            </w:pPr>
            <w:r w:rsidRPr="003B2C9F">
              <w:rPr>
                <w:b/>
                <w:bCs/>
                <w:sz w:val="20"/>
                <w:szCs w:val="20"/>
              </w:rPr>
              <w:t>92,12</w:t>
            </w:r>
          </w:p>
        </w:tc>
      </w:tr>
      <w:tr w:rsidR="003B2C9F" w:rsidRPr="003B2C9F" w14:paraId="156A35FF" w14:textId="77777777" w:rsidTr="003B2C9F">
        <w:trPr>
          <w:trHeight w:val="300"/>
        </w:trPr>
        <w:tc>
          <w:tcPr>
            <w:tcW w:w="616" w:type="dxa"/>
            <w:tcBorders>
              <w:top w:val="nil"/>
              <w:left w:val="nil"/>
              <w:bottom w:val="nil"/>
              <w:right w:val="nil"/>
            </w:tcBorders>
            <w:shd w:val="clear" w:color="auto" w:fill="auto"/>
            <w:noWrap/>
            <w:vAlign w:val="bottom"/>
            <w:hideMark/>
          </w:tcPr>
          <w:p w14:paraId="7796B586" w14:textId="77777777" w:rsidR="003B2C9F" w:rsidRPr="003B2C9F" w:rsidRDefault="003B2C9F" w:rsidP="003B2C9F">
            <w:pPr>
              <w:rPr>
                <w:b/>
                <w:bCs/>
                <w:sz w:val="20"/>
                <w:szCs w:val="20"/>
              </w:rPr>
            </w:pPr>
            <w:r w:rsidRPr="003B2C9F">
              <w:rPr>
                <w:b/>
                <w:bCs/>
                <w:sz w:val="20"/>
                <w:szCs w:val="20"/>
              </w:rPr>
              <w:t>31</w:t>
            </w:r>
          </w:p>
        </w:tc>
        <w:tc>
          <w:tcPr>
            <w:tcW w:w="6472" w:type="dxa"/>
            <w:tcBorders>
              <w:top w:val="nil"/>
              <w:left w:val="nil"/>
              <w:bottom w:val="nil"/>
              <w:right w:val="nil"/>
            </w:tcBorders>
            <w:shd w:val="clear" w:color="auto" w:fill="auto"/>
            <w:noWrap/>
            <w:vAlign w:val="bottom"/>
            <w:hideMark/>
          </w:tcPr>
          <w:p w14:paraId="6BBEDF3F" w14:textId="77777777" w:rsidR="003B2C9F" w:rsidRPr="003B2C9F" w:rsidRDefault="003B2C9F" w:rsidP="003B2C9F">
            <w:pPr>
              <w:rPr>
                <w:b/>
                <w:bCs/>
                <w:sz w:val="20"/>
                <w:szCs w:val="20"/>
              </w:rPr>
            </w:pPr>
            <w:r w:rsidRPr="003B2C9F">
              <w:rPr>
                <w:b/>
                <w:bCs/>
                <w:sz w:val="20"/>
                <w:szCs w:val="20"/>
              </w:rPr>
              <w:t xml:space="preserve">Rashodi za zaposlene                                                                                </w:t>
            </w:r>
          </w:p>
        </w:tc>
        <w:tc>
          <w:tcPr>
            <w:tcW w:w="1559" w:type="dxa"/>
            <w:tcBorders>
              <w:top w:val="nil"/>
              <w:left w:val="nil"/>
              <w:bottom w:val="nil"/>
              <w:right w:val="nil"/>
            </w:tcBorders>
            <w:shd w:val="clear" w:color="auto" w:fill="auto"/>
            <w:noWrap/>
            <w:vAlign w:val="bottom"/>
            <w:hideMark/>
          </w:tcPr>
          <w:p w14:paraId="1487609C" w14:textId="77777777" w:rsidR="003B2C9F" w:rsidRPr="003B2C9F" w:rsidRDefault="003B2C9F" w:rsidP="003B2C9F">
            <w:pPr>
              <w:jc w:val="right"/>
              <w:rPr>
                <w:b/>
                <w:bCs/>
                <w:sz w:val="20"/>
                <w:szCs w:val="20"/>
              </w:rPr>
            </w:pPr>
            <w:r w:rsidRPr="003B2C9F">
              <w:rPr>
                <w:b/>
                <w:bCs/>
                <w:sz w:val="20"/>
                <w:szCs w:val="20"/>
              </w:rPr>
              <w:t>8.468.839,32</w:t>
            </w:r>
          </w:p>
        </w:tc>
        <w:tc>
          <w:tcPr>
            <w:tcW w:w="1503" w:type="dxa"/>
            <w:tcBorders>
              <w:top w:val="nil"/>
              <w:left w:val="nil"/>
              <w:bottom w:val="nil"/>
              <w:right w:val="nil"/>
            </w:tcBorders>
            <w:shd w:val="clear" w:color="auto" w:fill="auto"/>
            <w:noWrap/>
            <w:vAlign w:val="bottom"/>
            <w:hideMark/>
          </w:tcPr>
          <w:p w14:paraId="289209BB" w14:textId="77777777" w:rsidR="003B2C9F" w:rsidRPr="003B2C9F" w:rsidRDefault="003B2C9F" w:rsidP="003B2C9F">
            <w:pPr>
              <w:jc w:val="right"/>
              <w:rPr>
                <w:b/>
                <w:bCs/>
                <w:sz w:val="20"/>
                <w:szCs w:val="20"/>
              </w:rPr>
            </w:pPr>
            <w:r w:rsidRPr="003B2C9F">
              <w:rPr>
                <w:b/>
                <w:bCs/>
                <w:sz w:val="20"/>
                <w:szCs w:val="20"/>
              </w:rPr>
              <w:t>9.226.956,22</w:t>
            </w:r>
          </w:p>
        </w:tc>
        <w:tc>
          <w:tcPr>
            <w:tcW w:w="1366" w:type="dxa"/>
            <w:tcBorders>
              <w:top w:val="nil"/>
              <w:left w:val="nil"/>
              <w:bottom w:val="nil"/>
              <w:right w:val="nil"/>
            </w:tcBorders>
            <w:shd w:val="clear" w:color="auto" w:fill="auto"/>
            <w:noWrap/>
            <w:vAlign w:val="bottom"/>
            <w:hideMark/>
          </w:tcPr>
          <w:p w14:paraId="058C023C" w14:textId="77777777" w:rsidR="003B2C9F" w:rsidRPr="003B2C9F" w:rsidRDefault="003B2C9F" w:rsidP="003B2C9F">
            <w:pPr>
              <w:jc w:val="right"/>
              <w:rPr>
                <w:b/>
                <w:bCs/>
                <w:sz w:val="20"/>
                <w:szCs w:val="20"/>
              </w:rPr>
            </w:pPr>
            <w:r w:rsidRPr="003B2C9F">
              <w:rPr>
                <w:b/>
                <w:bCs/>
                <w:sz w:val="20"/>
                <w:szCs w:val="20"/>
              </w:rPr>
              <w:t>8.937.007,16</w:t>
            </w:r>
          </w:p>
        </w:tc>
        <w:tc>
          <w:tcPr>
            <w:tcW w:w="1525" w:type="dxa"/>
            <w:tcBorders>
              <w:top w:val="nil"/>
              <w:left w:val="nil"/>
              <w:bottom w:val="nil"/>
              <w:right w:val="nil"/>
            </w:tcBorders>
            <w:shd w:val="clear" w:color="auto" w:fill="auto"/>
            <w:noWrap/>
            <w:vAlign w:val="bottom"/>
            <w:hideMark/>
          </w:tcPr>
          <w:p w14:paraId="673E6D38" w14:textId="77777777" w:rsidR="003B2C9F" w:rsidRPr="003B2C9F" w:rsidRDefault="003B2C9F" w:rsidP="003B2C9F">
            <w:pPr>
              <w:jc w:val="right"/>
              <w:rPr>
                <w:b/>
                <w:bCs/>
                <w:sz w:val="20"/>
                <w:szCs w:val="20"/>
              </w:rPr>
            </w:pPr>
            <w:r w:rsidRPr="003B2C9F">
              <w:rPr>
                <w:b/>
                <w:bCs/>
                <w:sz w:val="20"/>
                <w:szCs w:val="20"/>
              </w:rPr>
              <w:t>105,53</w:t>
            </w:r>
          </w:p>
        </w:tc>
        <w:tc>
          <w:tcPr>
            <w:tcW w:w="1000" w:type="dxa"/>
            <w:tcBorders>
              <w:top w:val="nil"/>
              <w:left w:val="nil"/>
              <w:bottom w:val="nil"/>
              <w:right w:val="nil"/>
            </w:tcBorders>
            <w:shd w:val="clear" w:color="auto" w:fill="auto"/>
            <w:noWrap/>
            <w:vAlign w:val="bottom"/>
            <w:hideMark/>
          </w:tcPr>
          <w:p w14:paraId="60F0EABD" w14:textId="77777777" w:rsidR="003B2C9F" w:rsidRPr="003B2C9F" w:rsidRDefault="003B2C9F" w:rsidP="003B2C9F">
            <w:pPr>
              <w:jc w:val="right"/>
              <w:rPr>
                <w:b/>
                <w:bCs/>
                <w:sz w:val="20"/>
                <w:szCs w:val="20"/>
              </w:rPr>
            </w:pPr>
            <w:r w:rsidRPr="003B2C9F">
              <w:rPr>
                <w:b/>
                <w:bCs/>
                <w:sz w:val="20"/>
                <w:szCs w:val="20"/>
              </w:rPr>
              <w:t>96,86</w:t>
            </w:r>
          </w:p>
        </w:tc>
      </w:tr>
      <w:tr w:rsidR="003B2C9F" w:rsidRPr="003B2C9F" w14:paraId="08649A7E" w14:textId="77777777" w:rsidTr="003B2C9F">
        <w:trPr>
          <w:trHeight w:val="300"/>
        </w:trPr>
        <w:tc>
          <w:tcPr>
            <w:tcW w:w="616" w:type="dxa"/>
            <w:tcBorders>
              <w:top w:val="nil"/>
              <w:left w:val="nil"/>
              <w:bottom w:val="nil"/>
              <w:right w:val="nil"/>
            </w:tcBorders>
            <w:shd w:val="clear" w:color="auto" w:fill="auto"/>
            <w:noWrap/>
            <w:vAlign w:val="bottom"/>
            <w:hideMark/>
          </w:tcPr>
          <w:p w14:paraId="26A6293E" w14:textId="77777777" w:rsidR="003B2C9F" w:rsidRPr="003B2C9F" w:rsidRDefault="003B2C9F" w:rsidP="003B2C9F">
            <w:pPr>
              <w:rPr>
                <w:b/>
                <w:bCs/>
                <w:sz w:val="20"/>
                <w:szCs w:val="20"/>
              </w:rPr>
            </w:pPr>
            <w:r w:rsidRPr="003B2C9F">
              <w:rPr>
                <w:b/>
                <w:bCs/>
                <w:sz w:val="20"/>
                <w:szCs w:val="20"/>
              </w:rPr>
              <w:t>311</w:t>
            </w:r>
          </w:p>
        </w:tc>
        <w:tc>
          <w:tcPr>
            <w:tcW w:w="6472" w:type="dxa"/>
            <w:tcBorders>
              <w:top w:val="nil"/>
              <w:left w:val="nil"/>
              <w:bottom w:val="nil"/>
              <w:right w:val="nil"/>
            </w:tcBorders>
            <w:shd w:val="clear" w:color="auto" w:fill="auto"/>
            <w:noWrap/>
            <w:vAlign w:val="bottom"/>
            <w:hideMark/>
          </w:tcPr>
          <w:p w14:paraId="4F88EC71" w14:textId="77777777" w:rsidR="003B2C9F" w:rsidRPr="003B2C9F" w:rsidRDefault="003B2C9F" w:rsidP="003B2C9F">
            <w:pPr>
              <w:rPr>
                <w:b/>
                <w:bCs/>
                <w:sz w:val="20"/>
                <w:szCs w:val="20"/>
              </w:rPr>
            </w:pPr>
            <w:r w:rsidRPr="003B2C9F">
              <w:rPr>
                <w:b/>
                <w:bCs/>
                <w:sz w:val="20"/>
                <w:szCs w:val="20"/>
              </w:rPr>
              <w:t xml:space="preserve">Plaće (Bruto)                                                                                       </w:t>
            </w:r>
          </w:p>
        </w:tc>
        <w:tc>
          <w:tcPr>
            <w:tcW w:w="1559" w:type="dxa"/>
            <w:tcBorders>
              <w:top w:val="nil"/>
              <w:left w:val="nil"/>
              <w:bottom w:val="nil"/>
              <w:right w:val="nil"/>
            </w:tcBorders>
            <w:shd w:val="clear" w:color="auto" w:fill="auto"/>
            <w:noWrap/>
            <w:vAlign w:val="bottom"/>
            <w:hideMark/>
          </w:tcPr>
          <w:p w14:paraId="52E37860" w14:textId="77777777" w:rsidR="003B2C9F" w:rsidRPr="003B2C9F" w:rsidRDefault="003B2C9F" w:rsidP="003B2C9F">
            <w:pPr>
              <w:jc w:val="right"/>
              <w:rPr>
                <w:b/>
                <w:bCs/>
                <w:sz w:val="20"/>
                <w:szCs w:val="20"/>
              </w:rPr>
            </w:pPr>
            <w:r w:rsidRPr="003B2C9F">
              <w:rPr>
                <w:b/>
                <w:bCs/>
                <w:sz w:val="20"/>
                <w:szCs w:val="20"/>
              </w:rPr>
              <w:t>6.990.209,75</w:t>
            </w:r>
          </w:p>
        </w:tc>
        <w:tc>
          <w:tcPr>
            <w:tcW w:w="1503" w:type="dxa"/>
            <w:tcBorders>
              <w:top w:val="nil"/>
              <w:left w:val="nil"/>
              <w:bottom w:val="nil"/>
              <w:right w:val="nil"/>
            </w:tcBorders>
            <w:shd w:val="clear" w:color="auto" w:fill="auto"/>
            <w:noWrap/>
            <w:vAlign w:val="bottom"/>
            <w:hideMark/>
          </w:tcPr>
          <w:p w14:paraId="7B8DE618" w14:textId="77777777" w:rsidR="003B2C9F" w:rsidRPr="003B2C9F" w:rsidRDefault="003B2C9F" w:rsidP="003B2C9F">
            <w:pPr>
              <w:jc w:val="right"/>
              <w:rPr>
                <w:b/>
                <w:bCs/>
                <w:sz w:val="20"/>
                <w:szCs w:val="20"/>
              </w:rPr>
            </w:pPr>
            <w:r w:rsidRPr="003B2C9F">
              <w:rPr>
                <w:b/>
                <w:bCs/>
                <w:sz w:val="20"/>
                <w:szCs w:val="20"/>
              </w:rPr>
              <w:t>7.348.731,54</w:t>
            </w:r>
          </w:p>
        </w:tc>
        <w:tc>
          <w:tcPr>
            <w:tcW w:w="1366" w:type="dxa"/>
            <w:tcBorders>
              <w:top w:val="nil"/>
              <w:left w:val="nil"/>
              <w:bottom w:val="nil"/>
              <w:right w:val="nil"/>
            </w:tcBorders>
            <w:shd w:val="clear" w:color="auto" w:fill="auto"/>
            <w:noWrap/>
            <w:vAlign w:val="bottom"/>
            <w:hideMark/>
          </w:tcPr>
          <w:p w14:paraId="0DC12427" w14:textId="77777777" w:rsidR="003B2C9F" w:rsidRPr="003B2C9F" w:rsidRDefault="003B2C9F" w:rsidP="003B2C9F">
            <w:pPr>
              <w:jc w:val="right"/>
              <w:rPr>
                <w:b/>
                <w:bCs/>
                <w:sz w:val="20"/>
                <w:szCs w:val="20"/>
              </w:rPr>
            </w:pPr>
            <w:r w:rsidRPr="003B2C9F">
              <w:rPr>
                <w:b/>
                <w:bCs/>
                <w:sz w:val="20"/>
                <w:szCs w:val="20"/>
              </w:rPr>
              <w:t>7.169.361,97</w:t>
            </w:r>
          </w:p>
        </w:tc>
        <w:tc>
          <w:tcPr>
            <w:tcW w:w="1525" w:type="dxa"/>
            <w:tcBorders>
              <w:top w:val="nil"/>
              <w:left w:val="nil"/>
              <w:bottom w:val="nil"/>
              <w:right w:val="nil"/>
            </w:tcBorders>
            <w:shd w:val="clear" w:color="auto" w:fill="auto"/>
            <w:noWrap/>
            <w:vAlign w:val="bottom"/>
            <w:hideMark/>
          </w:tcPr>
          <w:p w14:paraId="4594A257" w14:textId="77777777" w:rsidR="003B2C9F" w:rsidRPr="003B2C9F" w:rsidRDefault="003B2C9F" w:rsidP="003B2C9F">
            <w:pPr>
              <w:jc w:val="right"/>
              <w:rPr>
                <w:b/>
                <w:bCs/>
                <w:sz w:val="20"/>
                <w:szCs w:val="20"/>
              </w:rPr>
            </w:pPr>
            <w:r w:rsidRPr="003B2C9F">
              <w:rPr>
                <w:b/>
                <w:bCs/>
                <w:sz w:val="20"/>
                <w:szCs w:val="20"/>
              </w:rPr>
              <w:t>102,56</w:t>
            </w:r>
          </w:p>
        </w:tc>
        <w:tc>
          <w:tcPr>
            <w:tcW w:w="1000" w:type="dxa"/>
            <w:tcBorders>
              <w:top w:val="nil"/>
              <w:left w:val="nil"/>
              <w:bottom w:val="nil"/>
              <w:right w:val="nil"/>
            </w:tcBorders>
            <w:shd w:val="clear" w:color="auto" w:fill="auto"/>
            <w:noWrap/>
            <w:vAlign w:val="bottom"/>
            <w:hideMark/>
          </w:tcPr>
          <w:p w14:paraId="7224C9F4" w14:textId="77777777" w:rsidR="003B2C9F" w:rsidRPr="003B2C9F" w:rsidRDefault="003B2C9F" w:rsidP="003B2C9F">
            <w:pPr>
              <w:jc w:val="right"/>
              <w:rPr>
                <w:b/>
                <w:bCs/>
                <w:sz w:val="20"/>
                <w:szCs w:val="20"/>
              </w:rPr>
            </w:pPr>
            <w:r w:rsidRPr="003B2C9F">
              <w:rPr>
                <w:b/>
                <w:bCs/>
                <w:sz w:val="20"/>
                <w:szCs w:val="20"/>
              </w:rPr>
              <w:t>97,56</w:t>
            </w:r>
          </w:p>
        </w:tc>
      </w:tr>
      <w:tr w:rsidR="003B2C9F" w:rsidRPr="003B2C9F" w14:paraId="7A419FF3" w14:textId="77777777" w:rsidTr="003B2C9F">
        <w:trPr>
          <w:trHeight w:val="300"/>
        </w:trPr>
        <w:tc>
          <w:tcPr>
            <w:tcW w:w="616" w:type="dxa"/>
            <w:tcBorders>
              <w:top w:val="nil"/>
              <w:left w:val="nil"/>
              <w:bottom w:val="nil"/>
              <w:right w:val="nil"/>
            </w:tcBorders>
            <w:shd w:val="clear" w:color="auto" w:fill="auto"/>
            <w:noWrap/>
            <w:vAlign w:val="bottom"/>
            <w:hideMark/>
          </w:tcPr>
          <w:p w14:paraId="16878933" w14:textId="77777777" w:rsidR="003B2C9F" w:rsidRPr="003B2C9F" w:rsidRDefault="003B2C9F" w:rsidP="003B2C9F">
            <w:pPr>
              <w:rPr>
                <w:sz w:val="20"/>
                <w:szCs w:val="20"/>
              </w:rPr>
            </w:pPr>
            <w:r w:rsidRPr="003B2C9F">
              <w:rPr>
                <w:sz w:val="20"/>
                <w:szCs w:val="20"/>
              </w:rPr>
              <w:t>3111</w:t>
            </w:r>
          </w:p>
        </w:tc>
        <w:tc>
          <w:tcPr>
            <w:tcW w:w="6472" w:type="dxa"/>
            <w:tcBorders>
              <w:top w:val="nil"/>
              <w:left w:val="nil"/>
              <w:bottom w:val="nil"/>
              <w:right w:val="nil"/>
            </w:tcBorders>
            <w:shd w:val="clear" w:color="auto" w:fill="auto"/>
            <w:vAlign w:val="bottom"/>
            <w:hideMark/>
          </w:tcPr>
          <w:p w14:paraId="68A7308F" w14:textId="77777777" w:rsidR="003B2C9F" w:rsidRPr="003B2C9F" w:rsidRDefault="003B2C9F" w:rsidP="003B2C9F">
            <w:pPr>
              <w:rPr>
                <w:sz w:val="20"/>
                <w:szCs w:val="20"/>
              </w:rPr>
            </w:pPr>
            <w:r w:rsidRPr="003B2C9F">
              <w:rPr>
                <w:sz w:val="20"/>
                <w:szCs w:val="20"/>
              </w:rPr>
              <w:t xml:space="preserve">Plaće za redovan rad                                                                                </w:t>
            </w:r>
          </w:p>
        </w:tc>
        <w:tc>
          <w:tcPr>
            <w:tcW w:w="1559" w:type="dxa"/>
            <w:tcBorders>
              <w:top w:val="nil"/>
              <w:left w:val="nil"/>
              <w:bottom w:val="nil"/>
              <w:right w:val="nil"/>
            </w:tcBorders>
            <w:shd w:val="clear" w:color="auto" w:fill="auto"/>
            <w:noWrap/>
            <w:vAlign w:val="bottom"/>
            <w:hideMark/>
          </w:tcPr>
          <w:p w14:paraId="70FEBF47" w14:textId="77777777" w:rsidR="003B2C9F" w:rsidRPr="003B2C9F" w:rsidRDefault="003B2C9F" w:rsidP="003B2C9F">
            <w:pPr>
              <w:jc w:val="right"/>
              <w:rPr>
                <w:sz w:val="20"/>
                <w:szCs w:val="20"/>
              </w:rPr>
            </w:pPr>
            <w:r w:rsidRPr="003B2C9F">
              <w:rPr>
                <w:sz w:val="20"/>
                <w:szCs w:val="20"/>
              </w:rPr>
              <w:t>6.902.635,40</w:t>
            </w:r>
          </w:p>
        </w:tc>
        <w:tc>
          <w:tcPr>
            <w:tcW w:w="1503" w:type="dxa"/>
            <w:tcBorders>
              <w:top w:val="nil"/>
              <w:left w:val="nil"/>
              <w:bottom w:val="nil"/>
              <w:right w:val="nil"/>
            </w:tcBorders>
            <w:shd w:val="clear" w:color="auto" w:fill="auto"/>
            <w:noWrap/>
            <w:vAlign w:val="bottom"/>
            <w:hideMark/>
          </w:tcPr>
          <w:p w14:paraId="77FD051E"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0BA59B1" w14:textId="77777777" w:rsidR="003B2C9F" w:rsidRPr="003B2C9F" w:rsidRDefault="003B2C9F" w:rsidP="003B2C9F">
            <w:pPr>
              <w:jc w:val="right"/>
              <w:rPr>
                <w:sz w:val="20"/>
                <w:szCs w:val="20"/>
              </w:rPr>
            </w:pPr>
            <w:r w:rsidRPr="003B2C9F">
              <w:rPr>
                <w:sz w:val="20"/>
                <w:szCs w:val="20"/>
              </w:rPr>
              <w:t>7.047.170,88</w:t>
            </w:r>
          </w:p>
        </w:tc>
        <w:tc>
          <w:tcPr>
            <w:tcW w:w="1525" w:type="dxa"/>
            <w:tcBorders>
              <w:top w:val="nil"/>
              <w:left w:val="nil"/>
              <w:bottom w:val="nil"/>
              <w:right w:val="nil"/>
            </w:tcBorders>
            <w:shd w:val="clear" w:color="auto" w:fill="auto"/>
            <w:noWrap/>
            <w:vAlign w:val="bottom"/>
            <w:hideMark/>
          </w:tcPr>
          <w:p w14:paraId="480FB6A3" w14:textId="77777777" w:rsidR="003B2C9F" w:rsidRPr="003B2C9F" w:rsidRDefault="003B2C9F" w:rsidP="003B2C9F">
            <w:pPr>
              <w:jc w:val="right"/>
              <w:rPr>
                <w:sz w:val="20"/>
                <w:szCs w:val="20"/>
              </w:rPr>
            </w:pPr>
            <w:r w:rsidRPr="003B2C9F">
              <w:rPr>
                <w:sz w:val="20"/>
                <w:szCs w:val="20"/>
              </w:rPr>
              <w:t>102,09</w:t>
            </w:r>
          </w:p>
        </w:tc>
        <w:tc>
          <w:tcPr>
            <w:tcW w:w="1000" w:type="dxa"/>
            <w:tcBorders>
              <w:top w:val="nil"/>
              <w:left w:val="nil"/>
              <w:bottom w:val="nil"/>
              <w:right w:val="nil"/>
            </w:tcBorders>
            <w:shd w:val="clear" w:color="auto" w:fill="auto"/>
            <w:noWrap/>
            <w:vAlign w:val="bottom"/>
            <w:hideMark/>
          </w:tcPr>
          <w:p w14:paraId="1DDE752A" w14:textId="77777777" w:rsidR="003B2C9F" w:rsidRPr="003B2C9F" w:rsidRDefault="003B2C9F" w:rsidP="003B2C9F">
            <w:pPr>
              <w:jc w:val="right"/>
              <w:rPr>
                <w:sz w:val="20"/>
                <w:szCs w:val="20"/>
              </w:rPr>
            </w:pPr>
          </w:p>
        </w:tc>
      </w:tr>
      <w:tr w:rsidR="003B2C9F" w:rsidRPr="003B2C9F" w14:paraId="2D68B6BA" w14:textId="77777777" w:rsidTr="003B2C9F">
        <w:trPr>
          <w:trHeight w:val="300"/>
        </w:trPr>
        <w:tc>
          <w:tcPr>
            <w:tcW w:w="616" w:type="dxa"/>
            <w:tcBorders>
              <w:top w:val="nil"/>
              <w:left w:val="nil"/>
              <w:bottom w:val="nil"/>
              <w:right w:val="nil"/>
            </w:tcBorders>
            <w:shd w:val="clear" w:color="auto" w:fill="auto"/>
            <w:noWrap/>
            <w:vAlign w:val="bottom"/>
            <w:hideMark/>
          </w:tcPr>
          <w:p w14:paraId="42A2295C" w14:textId="77777777" w:rsidR="003B2C9F" w:rsidRPr="003B2C9F" w:rsidRDefault="003B2C9F" w:rsidP="003B2C9F">
            <w:pPr>
              <w:rPr>
                <w:sz w:val="20"/>
                <w:szCs w:val="20"/>
              </w:rPr>
            </w:pPr>
            <w:r w:rsidRPr="003B2C9F">
              <w:rPr>
                <w:sz w:val="20"/>
                <w:szCs w:val="20"/>
              </w:rPr>
              <w:t>3113</w:t>
            </w:r>
          </w:p>
        </w:tc>
        <w:tc>
          <w:tcPr>
            <w:tcW w:w="6472" w:type="dxa"/>
            <w:tcBorders>
              <w:top w:val="nil"/>
              <w:left w:val="nil"/>
              <w:bottom w:val="nil"/>
              <w:right w:val="nil"/>
            </w:tcBorders>
            <w:shd w:val="clear" w:color="auto" w:fill="auto"/>
            <w:vAlign w:val="bottom"/>
            <w:hideMark/>
          </w:tcPr>
          <w:p w14:paraId="62198077" w14:textId="77777777" w:rsidR="003B2C9F" w:rsidRPr="003B2C9F" w:rsidRDefault="003B2C9F" w:rsidP="003B2C9F">
            <w:pPr>
              <w:rPr>
                <w:sz w:val="20"/>
                <w:szCs w:val="20"/>
              </w:rPr>
            </w:pPr>
            <w:r w:rsidRPr="003B2C9F">
              <w:rPr>
                <w:sz w:val="20"/>
                <w:szCs w:val="20"/>
              </w:rPr>
              <w:t xml:space="preserve">Plaće za prekovremeni rad                                                                           </w:t>
            </w:r>
          </w:p>
        </w:tc>
        <w:tc>
          <w:tcPr>
            <w:tcW w:w="1559" w:type="dxa"/>
            <w:tcBorders>
              <w:top w:val="nil"/>
              <w:left w:val="nil"/>
              <w:bottom w:val="nil"/>
              <w:right w:val="nil"/>
            </w:tcBorders>
            <w:shd w:val="clear" w:color="auto" w:fill="auto"/>
            <w:noWrap/>
            <w:vAlign w:val="bottom"/>
            <w:hideMark/>
          </w:tcPr>
          <w:p w14:paraId="07625177" w14:textId="77777777" w:rsidR="003B2C9F" w:rsidRPr="003B2C9F" w:rsidRDefault="003B2C9F" w:rsidP="003B2C9F">
            <w:pPr>
              <w:jc w:val="right"/>
              <w:rPr>
                <w:sz w:val="20"/>
                <w:szCs w:val="20"/>
              </w:rPr>
            </w:pPr>
            <w:r w:rsidRPr="003B2C9F">
              <w:rPr>
                <w:sz w:val="20"/>
                <w:szCs w:val="20"/>
              </w:rPr>
              <w:t>87.574,35</w:t>
            </w:r>
          </w:p>
        </w:tc>
        <w:tc>
          <w:tcPr>
            <w:tcW w:w="1503" w:type="dxa"/>
            <w:tcBorders>
              <w:top w:val="nil"/>
              <w:left w:val="nil"/>
              <w:bottom w:val="nil"/>
              <w:right w:val="nil"/>
            </w:tcBorders>
            <w:shd w:val="clear" w:color="auto" w:fill="auto"/>
            <w:noWrap/>
            <w:vAlign w:val="bottom"/>
            <w:hideMark/>
          </w:tcPr>
          <w:p w14:paraId="61DBFBD9"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F59A7D2" w14:textId="77777777" w:rsidR="003B2C9F" w:rsidRPr="003B2C9F" w:rsidRDefault="003B2C9F" w:rsidP="003B2C9F">
            <w:pPr>
              <w:jc w:val="right"/>
              <w:rPr>
                <w:sz w:val="20"/>
                <w:szCs w:val="20"/>
              </w:rPr>
            </w:pPr>
            <w:r w:rsidRPr="003B2C9F">
              <w:rPr>
                <w:sz w:val="20"/>
                <w:szCs w:val="20"/>
              </w:rPr>
              <w:t>122.191,09</w:t>
            </w:r>
          </w:p>
        </w:tc>
        <w:tc>
          <w:tcPr>
            <w:tcW w:w="1525" w:type="dxa"/>
            <w:tcBorders>
              <w:top w:val="nil"/>
              <w:left w:val="nil"/>
              <w:bottom w:val="nil"/>
              <w:right w:val="nil"/>
            </w:tcBorders>
            <w:shd w:val="clear" w:color="auto" w:fill="auto"/>
            <w:noWrap/>
            <w:vAlign w:val="bottom"/>
            <w:hideMark/>
          </w:tcPr>
          <w:p w14:paraId="3D880406" w14:textId="77777777" w:rsidR="003B2C9F" w:rsidRPr="003B2C9F" w:rsidRDefault="003B2C9F" w:rsidP="003B2C9F">
            <w:pPr>
              <w:jc w:val="right"/>
              <w:rPr>
                <w:sz w:val="20"/>
                <w:szCs w:val="20"/>
              </w:rPr>
            </w:pPr>
            <w:r w:rsidRPr="003B2C9F">
              <w:rPr>
                <w:sz w:val="20"/>
                <w:szCs w:val="20"/>
              </w:rPr>
              <w:t>139,53</w:t>
            </w:r>
          </w:p>
        </w:tc>
        <w:tc>
          <w:tcPr>
            <w:tcW w:w="1000" w:type="dxa"/>
            <w:tcBorders>
              <w:top w:val="nil"/>
              <w:left w:val="nil"/>
              <w:bottom w:val="nil"/>
              <w:right w:val="nil"/>
            </w:tcBorders>
            <w:shd w:val="clear" w:color="auto" w:fill="auto"/>
            <w:noWrap/>
            <w:vAlign w:val="bottom"/>
            <w:hideMark/>
          </w:tcPr>
          <w:p w14:paraId="260F20C4" w14:textId="77777777" w:rsidR="003B2C9F" w:rsidRPr="003B2C9F" w:rsidRDefault="003B2C9F" w:rsidP="003B2C9F">
            <w:pPr>
              <w:jc w:val="right"/>
              <w:rPr>
                <w:sz w:val="20"/>
                <w:szCs w:val="20"/>
              </w:rPr>
            </w:pPr>
          </w:p>
        </w:tc>
      </w:tr>
      <w:tr w:rsidR="003B2C9F" w:rsidRPr="003B2C9F" w14:paraId="27BC6CF0" w14:textId="77777777" w:rsidTr="003B2C9F">
        <w:trPr>
          <w:trHeight w:val="300"/>
        </w:trPr>
        <w:tc>
          <w:tcPr>
            <w:tcW w:w="616" w:type="dxa"/>
            <w:tcBorders>
              <w:top w:val="nil"/>
              <w:left w:val="nil"/>
              <w:bottom w:val="nil"/>
              <w:right w:val="nil"/>
            </w:tcBorders>
            <w:shd w:val="clear" w:color="auto" w:fill="auto"/>
            <w:noWrap/>
            <w:vAlign w:val="bottom"/>
            <w:hideMark/>
          </w:tcPr>
          <w:p w14:paraId="2536C7E7" w14:textId="77777777" w:rsidR="003B2C9F" w:rsidRPr="003B2C9F" w:rsidRDefault="003B2C9F" w:rsidP="003B2C9F">
            <w:pPr>
              <w:rPr>
                <w:b/>
                <w:bCs/>
                <w:sz w:val="20"/>
                <w:szCs w:val="20"/>
              </w:rPr>
            </w:pPr>
            <w:r w:rsidRPr="003B2C9F">
              <w:rPr>
                <w:b/>
                <w:bCs/>
                <w:sz w:val="20"/>
                <w:szCs w:val="20"/>
              </w:rPr>
              <w:t>312</w:t>
            </w:r>
          </w:p>
        </w:tc>
        <w:tc>
          <w:tcPr>
            <w:tcW w:w="6472" w:type="dxa"/>
            <w:tcBorders>
              <w:top w:val="nil"/>
              <w:left w:val="nil"/>
              <w:bottom w:val="nil"/>
              <w:right w:val="nil"/>
            </w:tcBorders>
            <w:shd w:val="clear" w:color="auto" w:fill="auto"/>
            <w:noWrap/>
            <w:vAlign w:val="bottom"/>
            <w:hideMark/>
          </w:tcPr>
          <w:p w14:paraId="419FA396" w14:textId="77777777" w:rsidR="003B2C9F" w:rsidRPr="003B2C9F" w:rsidRDefault="003B2C9F" w:rsidP="003B2C9F">
            <w:pPr>
              <w:rPr>
                <w:b/>
                <w:bCs/>
                <w:sz w:val="20"/>
                <w:szCs w:val="20"/>
              </w:rPr>
            </w:pPr>
            <w:r w:rsidRPr="003B2C9F">
              <w:rPr>
                <w:b/>
                <w:bCs/>
                <w:sz w:val="20"/>
                <w:szCs w:val="20"/>
              </w:rPr>
              <w:t xml:space="preserve">Ostali rashodi za zaposlene                                                                         </w:t>
            </w:r>
          </w:p>
        </w:tc>
        <w:tc>
          <w:tcPr>
            <w:tcW w:w="1559" w:type="dxa"/>
            <w:tcBorders>
              <w:top w:val="nil"/>
              <w:left w:val="nil"/>
              <w:bottom w:val="nil"/>
              <w:right w:val="nil"/>
            </w:tcBorders>
            <w:shd w:val="clear" w:color="auto" w:fill="auto"/>
            <w:noWrap/>
            <w:vAlign w:val="bottom"/>
            <w:hideMark/>
          </w:tcPr>
          <w:p w14:paraId="245393F3" w14:textId="77777777" w:rsidR="003B2C9F" w:rsidRPr="003B2C9F" w:rsidRDefault="003B2C9F" w:rsidP="003B2C9F">
            <w:pPr>
              <w:jc w:val="right"/>
              <w:rPr>
                <w:b/>
                <w:bCs/>
                <w:sz w:val="20"/>
                <w:szCs w:val="20"/>
              </w:rPr>
            </w:pPr>
            <w:r w:rsidRPr="003B2C9F">
              <w:rPr>
                <w:b/>
                <w:bCs/>
                <w:sz w:val="20"/>
                <w:szCs w:val="20"/>
              </w:rPr>
              <w:t>343.772,60</w:t>
            </w:r>
          </w:p>
        </w:tc>
        <w:tc>
          <w:tcPr>
            <w:tcW w:w="1503" w:type="dxa"/>
            <w:tcBorders>
              <w:top w:val="nil"/>
              <w:left w:val="nil"/>
              <w:bottom w:val="nil"/>
              <w:right w:val="nil"/>
            </w:tcBorders>
            <w:shd w:val="clear" w:color="auto" w:fill="auto"/>
            <w:noWrap/>
            <w:vAlign w:val="bottom"/>
            <w:hideMark/>
          </w:tcPr>
          <w:p w14:paraId="355F9EAE" w14:textId="77777777" w:rsidR="003B2C9F" w:rsidRPr="003B2C9F" w:rsidRDefault="003B2C9F" w:rsidP="003B2C9F">
            <w:pPr>
              <w:jc w:val="right"/>
              <w:rPr>
                <w:b/>
                <w:bCs/>
                <w:sz w:val="20"/>
                <w:szCs w:val="20"/>
              </w:rPr>
            </w:pPr>
            <w:r w:rsidRPr="003B2C9F">
              <w:rPr>
                <w:b/>
                <w:bCs/>
                <w:sz w:val="20"/>
                <w:szCs w:val="20"/>
              </w:rPr>
              <w:t>665.582,57</w:t>
            </w:r>
          </w:p>
        </w:tc>
        <w:tc>
          <w:tcPr>
            <w:tcW w:w="1366" w:type="dxa"/>
            <w:tcBorders>
              <w:top w:val="nil"/>
              <w:left w:val="nil"/>
              <w:bottom w:val="nil"/>
              <w:right w:val="nil"/>
            </w:tcBorders>
            <w:shd w:val="clear" w:color="auto" w:fill="auto"/>
            <w:noWrap/>
            <w:vAlign w:val="bottom"/>
            <w:hideMark/>
          </w:tcPr>
          <w:p w14:paraId="3057450A" w14:textId="77777777" w:rsidR="003B2C9F" w:rsidRPr="003B2C9F" w:rsidRDefault="003B2C9F" w:rsidP="003B2C9F">
            <w:pPr>
              <w:jc w:val="right"/>
              <w:rPr>
                <w:b/>
                <w:bCs/>
                <w:sz w:val="20"/>
                <w:szCs w:val="20"/>
              </w:rPr>
            </w:pPr>
            <w:r w:rsidRPr="003B2C9F">
              <w:rPr>
                <w:b/>
                <w:bCs/>
                <w:sz w:val="20"/>
                <w:szCs w:val="20"/>
              </w:rPr>
              <w:t>601.741,11</w:t>
            </w:r>
          </w:p>
        </w:tc>
        <w:tc>
          <w:tcPr>
            <w:tcW w:w="1525" w:type="dxa"/>
            <w:tcBorders>
              <w:top w:val="nil"/>
              <w:left w:val="nil"/>
              <w:bottom w:val="nil"/>
              <w:right w:val="nil"/>
            </w:tcBorders>
            <w:shd w:val="clear" w:color="auto" w:fill="auto"/>
            <w:noWrap/>
            <w:vAlign w:val="bottom"/>
            <w:hideMark/>
          </w:tcPr>
          <w:p w14:paraId="1F006395" w14:textId="77777777" w:rsidR="003B2C9F" w:rsidRPr="003B2C9F" w:rsidRDefault="003B2C9F" w:rsidP="003B2C9F">
            <w:pPr>
              <w:jc w:val="right"/>
              <w:rPr>
                <w:b/>
                <w:bCs/>
                <w:sz w:val="20"/>
                <w:szCs w:val="20"/>
              </w:rPr>
            </w:pPr>
            <w:r w:rsidRPr="003B2C9F">
              <w:rPr>
                <w:b/>
                <w:bCs/>
                <w:sz w:val="20"/>
                <w:szCs w:val="20"/>
              </w:rPr>
              <w:t>175,04</w:t>
            </w:r>
          </w:p>
        </w:tc>
        <w:tc>
          <w:tcPr>
            <w:tcW w:w="1000" w:type="dxa"/>
            <w:tcBorders>
              <w:top w:val="nil"/>
              <w:left w:val="nil"/>
              <w:bottom w:val="nil"/>
              <w:right w:val="nil"/>
            </w:tcBorders>
            <w:shd w:val="clear" w:color="auto" w:fill="auto"/>
            <w:noWrap/>
            <w:vAlign w:val="bottom"/>
            <w:hideMark/>
          </w:tcPr>
          <w:p w14:paraId="6CF90186" w14:textId="77777777" w:rsidR="003B2C9F" w:rsidRPr="003B2C9F" w:rsidRDefault="003B2C9F" w:rsidP="003B2C9F">
            <w:pPr>
              <w:jc w:val="right"/>
              <w:rPr>
                <w:b/>
                <w:bCs/>
                <w:sz w:val="20"/>
                <w:szCs w:val="20"/>
              </w:rPr>
            </w:pPr>
            <w:r w:rsidRPr="003B2C9F">
              <w:rPr>
                <w:b/>
                <w:bCs/>
                <w:sz w:val="20"/>
                <w:szCs w:val="20"/>
              </w:rPr>
              <w:t>90,41</w:t>
            </w:r>
          </w:p>
        </w:tc>
      </w:tr>
      <w:tr w:rsidR="003B2C9F" w:rsidRPr="003B2C9F" w14:paraId="5735C81B" w14:textId="77777777" w:rsidTr="003B2C9F">
        <w:trPr>
          <w:trHeight w:val="300"/>
        </w:trPr>
        <w:tc>
          <w:tcPr>
            <w:tcW w:w="616" w:type="dxa"/>
            <w:tcBorders>
              <w:top w:val="nil"/>
              <w:left w:val="nil"/>
              <w:bottom w:val="nil"/>
              <w:right w:val="nil"/>
            </w:tcBorders>
            <w:shd w:val="clear" w:color="auto" w:fill="auto"/>
            <w:noWrap/>
            <w:vAlign w:val="bottom"/>
            <w:hideMark/>
          </w:tcPr>
          <w:p w14:paraId="02AC0563" w14:textId="77777777" w:rsidR="003B2C9F" w:rsidRPr="003B2C9F" w:rsidRDefault="003B2C9F" w:rsidP="003B2C9F">
            <w:pPr>
              <w:rPr>
                <w:sz w:val="20"/>
                <w:szCs w:val="20"/>
              </w:rPr>
            </w:pPr>
            <w:r w:rsidRPr="003B2C9F">
              <w:rPr>
                <w:sz w:val="20"/>
                <w:szCs w:val="20"/>
              </w:rPr>
              <w:t>3121</w:t>
            </w:r>
          </w:p>
        </w:tc>
        <w:tc>
          <w:tcPr>
            <w:tcW w:w="6472" w:type="dxa"/>
            <w:tcBorders>
              <w:top w:val="nil"/>
              <w:left w:val="nil"/>
              <w:bottom w:val="nil"/>
              <w:right w:val="nil"/>
            </w:tcBorders>
            <w:shd w:val="clear" w:color="auto" w:fill="auto"/>
            <w:vAlign w:val="bottom"/>
            <w:hideMark/>
          </w:tcPr>
          <w:p w14:paraId="1C576469" w14:textId="77777777" w:rsidR="003B2C9F" w:rsidRPr="003B2C9F" w:rsidRDefault="003B2C9F" w:rsidP="003B2C9F">
            <w:pPr>
              <w:rPr>
                <w:sz w:val="20"/>
                <w:szCs w:val="20"/>
              </w:rPr>
            </w:pPr>
            <w:r w:rsidRPr="003B2C9F">
              <w:rPr>
                <w:sz w:val="20"/>
                <w:szCs w:val="20"/>
              </w:rPr>
              <w:t xml:space="preserve">Ostali rashodi za zaposlene                                                                         </w:t>
            </w:r>
          </w:p>
        </w:tc>
        <w:tc>
          <w:tcPr>
            <w:tcW w:w="1559" w:type="dxa"/>
            <w:tcBorders>
              <w:top w:val="nil"/>
              <w:left w:val="nil"/>
              <w:bottom w:val="nil"/>
              <w:right w:val="nil"/>
            </w:tcBorders>
            <w:shd w:val="clear" w:color="auto" w:fill="auto"/>
            <w:noWrap/>
            <w:vAlign w:val="bottom"/>
            <w:hideMark/>
          </w:tcPr>
          <w:p w14:paraId="5FB3C186" w14:textId="77777777" w:rsidR="003B2C9F" w:rsidRPr="003B2C9F" w:rsidRDefault="003B2C9F" w:rsidP="003B2C9F">
            <w:pPr>
              <w:jc w:val="right"/>
              <w:rPr>
                <w:sz w:val="20"/>
                <w:szCs w:val="20"/>
              </w:rPr>
            </w:pPr>
            <w:r w:rsidRPr="003B2C9F">
              <w:rPr>
                <w:sz w:val="20"/>
                <w:szCs w:val="20"/>
              </w:rPr>
              <w:t>343.772,60</w:t>
            </w:r>
          </w:p>
        </w:tc>
        <w:tc>
          <w:tcPr>
            <w:tcW w:w="1503" w:type="dxa"/>
            <w:tcBorders>
              <w:top w:val="nil"/>
              <w:left w:val="nil"/>
              <w:bottom w:val="nil"/>
              <w:right w:val="nil"/>
            </w:tcBorders>
            <w:shd w:val="clear" w:color="auto" w:fill="auto"/>
            <w:noWrap/>
            <w:vAlign w:val="bottom"/>
            <w:hideMark/>
          </w:tcPr>
          <w:p w14:paraId="0E141710"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33C56B13" w14:textId="77777777" w:rsidR="003B2C9F" w:rsidRPr="003B2C9F" w:rsidRDefault="003B2C9F" w:rsidP="003B2C9F">
            <w:pPr>
              <w:jc w:val="right"/>
              <w:rPr>
                <w:sz w:val="20"/>
                <w:szCs w:val="20"/>
              </w:rPr>
            </w:pPr>
            <w:r w:rsidRPr="003B2C9F">
              <w:rPr>
                <w:sz w:val="20"/>
                <w:szCs w:val="20"/>
              </w:rPr>
              <w:t>601.741,11</w:t>
            </w:r>
          </w:p>
        </w:tc>
        <w:tc>
          <w:tcPr>
            <w:tcW w:w="1525" w:type="dxa"/>
            <w:tcBorders>
              <w:top w:val="nil"/>
              <w:left w:val="nil"/>
              <w:bottom w:val="nil"/>
              <w:right w:val="nil"/>
            </w:tcBorders>
            <w:shd w:val="clear" w:color="auto" w:fill="auto"/>
            <w:noWrap/>
            <w:vAlign w:val="bottom"/>
            <w:hideMark/>
          </w:tcPr>
          <w:p w14:paraId="37A97C76" w14:textId="77777777" w:rsidR="003B2C9F" w:rsidRPr="003B2C9F" w:rsidRDefault="003B2C9F" w:rsidP="003B2C9F">
            <w:pPr>
              <w:jc w:val="right"/>
              <w:rPr>
                <w:sz w:val="20"/>
                <w:szCs w:val="20"/>
              </w:rPr>
            </w:pPr>
            <w:r w:rsidRPr="003B2C9F">
              <w:rPr>
                <w:sz w:val="20"/>
                <w:szCs w:val="20"/>
              </w:rPr>
              <w:t>175,04</w:t>
            </w:r>
          </w:p>
        </w:tc>
        <w:tc>
          <w:tcPr>
            <w:tcW w:w="1000" w:type="dxa"/>
            <w:tcBorders>
              <w:top w:val="nil"/>
              <w:left w:val="nil"/>
              <w:bottom w:val="nil"/>
              <w:right w:val="nil"/>
            </w:tcBorders>
            <w:shd w:val="clear" w:color="auto" w:fill="auto"/>
            <w:noWrap/>
            <w:vAlign w:val="bottom"/>
            <w:hideMark/>
          </w:tcPr>
          <w:p w14:paraId="7C189C6C" w14:textId="77777777" w:rsidR="003B2C9F" w:rsidRPr="003B2C9F" w:rsidRDefault="003B2C9F" w:rsidP="003B2C9F">
            <w:pPr>
              <w:jc w:val="right"/>
              <w:rPr>
                <w:sz w:val="20"/>
                <w:szCs w:val="20"/>
              </w:rPr>
            </w:pPr>
          </w:p>
        </w:tc>
      </w:tr>
      <w:tr w:rsidR="003B2C9F" w:rsidRPr="003B2C9F" w14:paraId="3DB6C4D6" w14:textId="77777777" w:rsidTr="003B2C9F">
        <w:trPr>
          <w:trHeight w:val="300"/>
        </w:trPr>
        <w:tc>
          <w:tcPr>
            <w:tcW w:w="616" w:type="dxa"/>
            <w:tcBorders>
              <w:top w:val="nil"/>
              <w:left w:val="nil"/>
              <w:bottom w:val="nil"/>
              <w:right w:val="nil"/>
            </w:tcBorders>
            <w:shd w:val="clear" w:color="auto" w:fill="auto"/>
            <w:noWrap/>
            <w:vAlign w:val="bottom"/>
            <w:hideMark/>
          </w:tcPr>
          <w:p w14:paraId="454A8ACD" w14:textId="77777777" w:rsidR="003B2C9F" w:rsidRPr="003B2C9F" w:rsidRDefault="003B2C9F" w:rsidP="003B2C9F">
            <w:pPr>
              <w:rPr>
                <w:b/>
                <w:bCs/>
                <w:sz w:val="20"/>
                <w:szCs w:val="20"/>
              </w:rPr>
            </w:pPr>
            <w:r w:rsidRPr="003B2C9F">
              <w:rPr>
                <w:b/>
                <w:bCs/>
                <w:sz w:val="20"/>
                <w:szCs w:val="20"/>
              </w:rPr>
              <w:t>313</w:t>
            </w:r>
          </w:p>
        </w:tc>
        <w:tc>
          <w:tcPr>
            <w:tcW w:w="6472" w:type="dxa"/>
            <w:tcBorders>
              <w:top w:val="nil"/>
              <w:left w:val="nil"/>
              <w:bottom w:val="nil"/>
              <w:right w:val="nil"/>
            </w:tcBorders>
            <w:shd w:val="clear" w:color="auto" w:fill="auto"/>
            <w:noWrap/>
            <w:vAlign w:val="bottom"/>
            <w:hideMark/>
          </w:tcPr>
          <w:p w14:paraId="57BBAFE4" w14:textId="77777777" w:rsidR="003B2C9F" w:rsidRPr="003B2C9F" w:rsidRDefault="003B2C9F" w:rsidP="003B2C9F">
            <w:pPr>
              <w:rPr>
                <w:b/>
                <w:bCs/>
                <w:sz w:val="20"/>
                <w:szCs w:val="20"/>
              </w:rPr>
            </w:pPr>
            <w:r w:rsidRPr="003B2C9F">
              <w:rPr>
                <w:b/>
                <w:bCs/>
                <w:sz w:val="20"/>
                <w:szCs w:val="20"/>
              </w:rPr>
              <w:t xml:space="preserve">Doprinosi na plaće                                                                                  </w:t>
            </w:r>
          </w:p>
        </w:tc>
        <w:tc>
          <w:tcPr>
            <w:tcW w:w="1559" w:type="dxa"/>
            <w:tcBorders>
              <w:top w:val="nil"/>
              <w:left w:val="nil"/>
              <w:bottom w:val="nil"/>
              <w:right w:val="nil"/>
            </w:tcBorders>
            <w:shd w:val="clear" w:color="auto" w:fill="auto"/>
            <w:noWrap/>
            <w:vAlign w:val="bottom"/>
            <w:hideMark/>
          </w:tcPr>
          <w:p w14:paraId="56579A5D" w14:textId="77777777" w:rsidR="003B2C9F" w:rsidRPr="003B2C9F" w:rsidRDefault="003B2C9F" w:rsidP="003B2C9F">
            <w:pPr>
              <w:jc w:val="right"/>
              <w:rPr>
                <w:b/>
                <w:bCs/>
                <w:sz w:val="20"/>
                <w:szCs w:val="20"/>
              </w:rPr>
            </w:pPr>
            <w:r w:rsidRPr="003B2C9F">
              <w:rPr>
                <w:b/>
                <w:bCs/>
                <w:sz w:val="20"/>
                <w:szCs w:val="20"/>
              </w:rPr>
              <w:t>1.134.856,97</w:t>
            </w:r>
          </w:p>
        </w:tc>
        <w:tc>
          <w:tcPr>
            <w:tcW w:w="1503" w:type="dxa"/>
            <w:tcBorders>
              <w:top w:val="nil"/>
              <w:left w:val="nil"/>
              <w:bottom w:val="nil"/>
              <w:right w:val="nil"/>
            </w:tcBorders>
            <w:shd w:val="clear" w:color="auto" w:fill="auto"/>
            <w:noWrap/>
            <w:vAlign w:val="bottom"/>
            <w:hideMark/>
          </w:tcPr>
          <w:p w14:paraId="79C9C822" w14:textId="77777777" w:rsidR="003B2C9F" w:rsidRPr="003B2C9F" w:rsidRDefault="003B2C9F" w:rsidP="003B2C9F">
            <w:pPr>
              <w:jc w:val="right"/>
              <w:rPr>
                <w:b/>
                <w:bCs/>
                <w:sz w:val="20"/>
                <w:szCs w:val="20"/>
              </w:rPr>
            </w:pPr>
            <w:r w:rsidRPr="003B2C9F">
              <w:rPr>
                <w:b/>
                <w:bCs/>
                <w:sz w:val="20"/>
                <w:szCs w:val="20"/>
              </w:rPr>
              <w:t>1.212.642,11</w:t>
            </w:r>
          </w:p>
        </w:tc>
        <w:tc>
          <w:tcPr>
            <w:tcW w:w="1366" w:type="dxa"/>
            <w:tcBorders>
              <w:top w:val="nil"/>
              <w:left w:val="nil"/>
              <w:bottom w:val="nil"/>
              <w:right w:val="nil"/>
            </w:tcBorders>
            <w:shd w:val="clear" w:color="auto" w:fill="auto"/>
            <w:noWrap/>
            <w:vAlign w:val="bottom"/>
            <w:hideMark/>
          </w:tcPr>
          <w:p w14:paraId="4D0FC533" w14:textId="77777777" w:rsidR="003B2C9F" w:rsidRPr="003B2C9F" w:rsidRDefault="003B2C9F" w:rsidP="003B2C9F">
            <w:pPr>
              <w:jc w:val="right"/>
              <w:rPr>
                <w:b/>
                <w:bCs/>
                <w:sz w:val="20"/>
                <w:szCs w:val="20"/>
              </w:rPr>
            </w:pPr>
            <w:r w:rsidRPr="003B2C9F">
              <w:rPr>
                <w:b/>
                <w:bCs/>
                <w:sz w:val="20"/>
                <w:szCs w:val="20"/>
              </w:rPr>
              <w:t>1.165.904,08</w:t>
            </w:r>
          </w:p>
        </w:tc>
        <w:tc>
          <w:tcPr>
            <w:tcW w:w="1525" w:type="dxa"/>
            <w:tcBorders>
              <w:top w:val="nil"/>
              <w:left w:val="nil"/>
              <w:bottom w:val="nil"/>
              <w:right w:val="nil"/>
            </w:tcBorders>
            <w:shd w:val="clear" w:color="auto" w:fill="auto"/>
            <w:noWrap/>
            <w:vAlign w:val="bottom"/>
            <w:hideMark/>
          </w:tcPr>
          <w:p w14:paraId="710D1150" w14:textId="77777777" w:rsidR="003B2C9F" w:rsidRPr="003B2C9F" w:rsidRDefault="003B2C9F" w:rsidP="003B2C9F">
            <w:pPr>
              <w:jc w:val="right"/>
              <w:rPr>
                <w:b/>
                <w:bCs/>
                <w:sz w:val="20"/>
                <w:szCs w:val="20"/>
              </w:rPr>
            </w:pPr>
            <w:r w:rsidRPr="003B2C9F">
              <w:rPr>
                <w:b/>
                <w:bCs/>
                <w:sz w:val="20"/>
                <w:szCs w:val="20"/>
              </w:rPr>
              <w:t>102,74</w:t>
            </w:r>
          </w:p>
        </w:tc>
        <w:tc>
          <w:tcPr>
            <w:tcW w:w="1000" w:type="dxa"/>
            <w:tcBorders>
              <w:top w:val="nil"/>
              <w:left w:val="nil"/>
              <w:bottom w:val="nil"/>
              <w:right w:val="nil"/>
            </w:tcBorders>
            <w:shd w:val="clear" w:color="auto" w:fill="auto"/>
            <w:noWrap/>
            <w:vAlign w:val="bottom"/>
            <w:hideMark/>
          </w:tcPr>
          <w:p w14:paraId="1D5E1776" w14:textId="77777777" w:rsidR="003B2C9F" w:rsidRPr="003B2C9F" w:rsidRDefault="003B2C9F" w:rsidP="003B2C9F">
            <w:pPr>
              <w:jc w:val="right"/>
              <w:rPr>
                <w:b/>
                <w:bCs/>
                <w:sz w:val="20"/>
                <w:szCs w:val="20"/>
              </w:rPr>
            </w:pPr>
            <w:r w:rsidRPr="003B2C9F">
              <w:rPr>
                <w:b/>
                <w:bCs/>
                <w:sz w:val="20"/>
                <w:szCs w:val="20"/>
              </w:rPr>
              <w:t>96,15</w:t>
            </w:r>
          </w:p>
        </w:tc>
      </w:tr>
      <w:tr w:rsidR="003B2C9F" w:rsidRPr="003B2C9F" w14:paraId="6D9BDC8C" w14:textId="77777777" w:rsidTr="003B2C9F">
        <w:trPr>
          <w:trHeight w:val="300"/>
        </w:trPr>
        <w:tc>
          <w:tcPr>
            <w:tcW w:w="616" w:type="dxa"/>
            <w:tcBorders>
              <w:top w:val="nil"/>
              <w:left w:val="nil"/>
              <w:bottom w:val="nil"/>
              <w:right w:val="nil"/>
            </w:tcBorders>
            <w:shd w:val="clear" w:color="auto" w:fill="auto"/>
            <w:noWrap/>
            <w:vAlign w:val="bottom"/>
            <w:hideMark/>
          </w:tcPr>
          <w:p w14:paraId="27AA1DB6" w14:textId="77777777" w:rsidR="003B2C9F" w:rsidRPr="003B2C9F" w:rsidRDefault="003B2C9F" w:rsidP="003B2C9F">
            <w:pPr>
              <w:rPr>
                <w:sz w:val="20"/>
                <w:szCs w:val="20"/>
              </w:rPr>
            </w:pPr>
            <w:r w:rsidRPr="003B2C9F">
              <w:rPr>
                <w:sz w:val="20"/>
                <w:szCs w:val="20"/>
              </w:rPr>
              <w:t>3132</w:t>
            </w:r>
          </w:p>
        </w:tc>
        <w:tc>
          <w:tcPr>
            <w:tcW w:w="6472" w:type="dxa"/>
            <w:tcBorders>
              <w:top w:val="nil"/>
              <w:left w:val="nil"/>
              <w:bottom w:val="nil"/>
              <w:right w:val="nil"/>
            </w:tcBorders>
            <w:shd w:val="clear" w:color="auto" w:fill="auto"/>
            <w:vAlign w:val="bottom"/>
            <w:hideMark/>
          </w:tcPr>
          <w:p w14:paraId="44428C09" w14:textId="77777777" w:rsidR="003B2C9F" w:rsidRPr="003B2C9F" w:rsidRDefault="003B2C9F" w:rsidP="003B2C9F">
            <w:pPr>
              <w:rPr>
                <w:sz w:val="20"/>
                <w:szCs w:val="20"/>
              </w:rPr>
            </w:pPr>
            <w:r w:rsidRPr="003B2C9F">
              <w:rPr>
                <w:sz w:val="20"/>
                <w:szCs w:val="20"/>
              </w:rPr>
              <w:t xml:space="preserve">Doprinosi za obvezno zdravstveno osiguranje                                                         </w:t>
            </w:r>
          </w:p>
        </w:tc>
        <w:tc>
          <w:tcPr>
            <w:tcW w:w="1559" w:type="dxa"/>
            <w:tcBorders>
              <w:top w:val="nil"/>
              <w:left w:val="nil"/>
              <w:bottom w:val="nil"/>
              <w:right w:val="nil"/>
            </w:tcBorders>
            <w:shd w:val="clear" w:color="auto" w:fill="auto"/>
            <w:noWrap/>
            <w:vAlign w:val="bottom"/>
            <w:hideMark/>
          </w:tcPr>
          <w:p w14:paraId="48030298" w14:textId="77777777" w:rsidR="003B2C9F" w:rsidRPr="003B2C9F" w:rsidRDefault="003B2C9F" w:rsidP="003B2C9F">
            <w:pPr>
              <w:jc w:val="right"/>
              <w:rPr>
                <w:sz w:val="20"/>
                <w:szCs w:val="20"/>
              </w:rPr>
            </w:pPr>
            <w:r w:rsidRPr="003B2C9F">
              <w:rPr>
                <w:sz w:val="20"/>
                <w:szCs w:val="20"/>
              </w:rPr>
              <w:t>1.134.856,97</w:t>
            </w:r>
          </w:p>
        </w:tc>
        <w:tc>
          <w:tcPr>
            <w:tcW w:w="1503" w:type="dxa"/>
            <w:tcBorders>
              <w:top w:val="nil"/>
              <w:left w:val="nil"/>
              <w:bottom w:val="nil"/>
              <w:right w:val="nil"/>
            </w:tcBorders>
            <w:shd w:val="clear" w:color="auto" w:fill="auto"/>
            <w:noWrap/>
            <w:vAlign w:val="bottom"/>
            <w:hideMark/>
          </w:tcPr>
          <w:p w14:paraId="36876C71"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0458021F" w14:textId="77777777" w:rsidR="003B2C9F" w:rsidRPr="003B2C9F" w:rsidRDefault="003B2C9F" w:rsidP="003B2C9F">
            <w:pPr>
              <w:jc w:val="right"/>
              <w:rPr>
                <w:sz w:val="20"/>
                <w:szCs w:val="20"/>
              </w:rPr>
            </w:pPr>
            <w:r w:rsidRPr="003B2C9F">
              <w:rPr>
                <w:sz w:val="20"/>
                <w:szCs w:val="20"/>
              </w:rPr>
              <w:t>1.165.904,08</w:t>
            </w:r>
          </w:p>
        </w:tc>
        <w:tc>
          <w:tcPr>
            <w:tcW w:w="1525" w:type="dxa"/>
            <w:tcBorders>
              <w:top w:val="nil"/>
              <w:left w:val="nil"/>
              <w:bottom w:val="nil"/>
              <w:right w:val="nil"/>
            </w:tcBorders>
            <w:shd w:val="clear" w:color="auto" w:fill="auto"/>
            <w:noWrap/>
            <w:vAlign w:val="bottom"/>
            <w:hideMark/>
          </w:tcPr>
          <w:p w14:paraId="3F561549" w14:textId="77777777" w:rsidR="003B2C9F" w:rsidRPr="003B2C9F" w:rsidRDefault="003B2C9F" w:rsidP="003B2C9F">
            <w:pPr>
              <w:jc w:val="right"/>
              <w:rPr>
                <w:sz w:val="20"/>
                <w:szCs w:val="20"/>
              </w:rPr>
            </w:pPr>
            <w:r w:rsidRPr="003B2C9F">
              <w:rPr>
                <w:sz w:val="20"/>
                <w:szCs w:val="20"/>
              </w:rPr>
              <w:t>102,74</w:t>
            </w:r>
          </w:p>
        </w:tc>
        <w:tc>
          <w:tcPr>
            <w:tcW w:w="1000" w:type="dxa"/>
            <w:tcBorders>
              <w:top w:val="nil"/>
              <w:left w:val="nil"/>
              <w:bottom w:val="nil"/>
              <w:right w:val="nil"/>
            </w:tcBorders>
            <w:shd w:val="clear" w:color="auto" w:fill="auto"/>
            <w:noWrap/>
            <w:vAlign w:val="bottom"/>
            <w:hideMark/>
          </w:tcPr>
          <w:p w14:paraId="647B69EF" w14:textId="77777777" w:rsidR="003B2C9F" w:rsidRPr="003B2C9F" w:rsidRDefault="003B2C9F" w:rsidP="003B2C9F">
            <w:pPr>
              <w:jc w:val="right"/>
              <w:rPr>
                <w:sz w:val="20"/>
                <w:szCs w:val="20"/>
              </w:rPr>
            </w:pPr>
          </w:p>
        </w:tc>
      </w:tr>
      <w:tr w:rsidR="003B2C9F" w:rsidRPr="003B2C9F" w14:paraId="70EDB3DF" w14:textId="77777777" w:rsidTr="003B2C9F">
        <w:trPr>
          <w:trHeight w:val="300"/>
        </w:trPr>
        <w:tc>
          <w:tcPr>
            <w:tcW w:w="616" w:type="dxa"/>
            <w:tcBorders>
              <w:top w:val="nil"/>
              <w:left w:val="nil"/>
              <w:bottom w:val="nil"/>
              <w:right w:val="nil"/>
            </w:tcBorders>
            <w:shd w:val="clear" w:color="auto" w:fill="auto"/>
            <w:noWrap/>
            <w:vAlign w:val="bottom"/>
            <w:hideMark/>
          </w:tcPr>
          <w:p w14:paraId="0F68E830" w14:textId="77777777" w:rsidR="003B2C9F" w:rsidRPr="003B2C9F" w:rsidRDefault="003B2C9F" w:rsidP="003B2C9F">
            <w:pPr>
              <w:rPr>
                <w:b/>
                <w:bCs/>
                <w:sz w:val="20"/>
                <w:szCs w:val="20"/>
              </w:rPr>
            </w:pPr>
            <w:r w:rsidRPr="003B2C9F">
              <w:rPr>
                <w:b/>
                <w:bCs/>
                <w:sz w:val="20"/>
                <w:szCs w:val="20"/>
              </w:rPr>
              <w:t>32</w:t>
            </w:r>
          </w:p>
        </w:tc>
        <w:tc>
          <w:tcPr>
            <w:tcW w:w="6472" w:type="dxa"/>
            <w:tcBorders>
              <w:top w:val="nil"/>
              <w:left w:val="nil"/>
              <w:bottom w:val="nil"/>
              <w:right w:val="nil"/>
            </w:tcBorders>
            <w:shd w:val="clear" w:color="auto" w:fill="auto"/>
            <w:noWrap/>
            <w:vAlign w:val="bottom"/>
            <w:hideMark/>
          </w:tcPr>
          <w:p w14:paraId="46A040B2" w14:textId="77777777" w:rsidR="003B2C9F" w:rsidRPr="003B2C9F" w:rsidRDefault="003B2C9F" w:rsidP="003B2C9F">
            <w:pPr>
              <w:rPr>
                <w:b/>
                <w:bCs/>
                <w:sz w:val="20"/>
                <w:szCs w:val="20"/>
              </w:rPr>
            </w:pPr>
            <w:r w:rsidRPr="003B2C9F">
              <w:rPr>
                <w:b/>
                <w:bCs/>
                <w:sz w:val="20"/>
                <w:szCs w:val="20"/>
              </w:rPr>
              <w:t xml:space="preserve">Materijalni rashodi                                                                                 </w:t>
            </w:r>
          </w:p>
        </w:tc>
        <w:tc>
          <w:tcPr>
            <w:tcW w:w="1559" w:type="dxa"/>
            <w:tcBorders>
              <w:top w:val="nil"/>
              <w:left w:val="nil"/>
              <w:bottom w:val="nil"/>
              <w:right w:val="nil"/>
            </w:tcBorders>
            <w:shd w:val="clear" w:color="auto" w:fill="auto"/>
            <w:noWrap/>
            <w:vAlign w:val="bottom"/>
            <w:hideMark/>
          </w:tcPr>
          <w:p w14:paraId="0CDEBC8B" w14:textId="77777777" w:rsidR="003B2C9F" w:rsidRPr="003B2C9F" w:rsidRDefault="003B2C9F" w:rsidP="003B2C9F">
            <w:pPr>
              <w:jc w:val="right"/>
              <w:rPr>
                <w:b/>
                <w:bCs/>
                <w:sz w:val="20"/>
                <w:szCs w:val="20"/>
              </w:rPr>
            </w:pPr>
            <w:r w:rsidRPr="003B2C9F">
              <w:rPr>
                <w:b/>
                <w:bCs/>
                <w:sz w:val="20"/>
                <w:szCs w:val="20"/>
              </w:rPr>
              <w:t>11.991.376,40</w:t>
            </w:r>
          </w:p>
        </w:tc>
        <w:tc>
          <w:tcPr>
            <w:tcW w:w="1503" w:type="dxa"/>
            <w:tcBorders>
              <w:top w:val="nil"/>
              <w:left w:val="nil"/>
              <w:bottom w:val="nil"/>
              <w:right w:val="nil"/>
            </w:tcBorders>
            <w:shd w:val="clear" w:color="auto" w:fill="auto"/>
            <w:noWrap/>
            <w:vAlign w:val="bottom"/>
            <w:hideMark/>
          </w:tcPr>
          <w:p w14:paraId="57F3C5BC" w14:textId="77777777" w:rsidR="003B2C9F" w:rsidRPr="003B2C9F" w:rsidRDefault="003B2C9F" w:rsidP="003B2C9F">
            <w:pPr>
              <w:jc w:val="right"/>
              <w:rPr>
                <w:b/>
                <w:bCs/>
                <w:sz w:val="20"/>
                <w:szCs w:val="20"/>
              </w:rPr>
            </w:pPr>
            <w:r w:rsidRPr="003B2C9F">
              <w:rPr>
                <w:b/>
                <w:bCs/>
                <w:sz w:val="20"/>
                <w:szCs w:val="20"/>
              </w:rPr>
              <w:t>16.022.561,13</w:t>
            </w:r>
          </w:p>
        </w:tc>
        <w:tc>
          <w:tcPr>
            <w:tcW w:w="1366" w:type="dxa"/>
            <w:tcBorders>
              <w:top w:val="nil"/>
              <w:left w:val="nil"/>
              <w:bottom w:val="nil"/>
              <w:right w:val="nil"/>
            </w:tcBorders>
            <w:shd w:val="clear" w:color="auto" w:fill="auto"/>
            <w:noWrap/>
            <w:vAlign w:val="bottom"/>
            <w:hideMark/>
          </w:tcPr>
          <w:p w14:paraId="3DF5A1B4" w14:textId="77777777" w:rsidR="003B2C9F" w:rsidRPr="003B2C9F" w:rsidRDefault="003B2C9F" w:rsidP="003B2C9F">
            <w:pPr>
              <w:jc w:val="right"/>
              <w:rPr>
                <w:b/>
                <w:bCs/>
                <w:sz w:val="20"/>
                <w:szCs w:val="20"/>
              </w:rPr>
            </w:pPr>
            <w:r w:rsidRPr="003B2C9F">
              <w:rPr>
                <w:b/>
                <w:bCs/>
                <w:sz w:val="20"/>
                <w:szCs w:val="20"/>
              </w:rPr>
              <w:t>15.049.798,37</w:t>
            </w:r>
          </w:p>
        </w:tc>
        <w:tc>
          <w:tcPr>
            <w:tcW w:w="1525" w:type="dxa"/>
            <w:tcBorders>
              <w:top w:val="nil"/>
              <w:left w:val="nil"/>
              <w:bottom w:val="nil"/>
              <w:right w:val="nil"/>
            </w:tcBorders>
            <w:shd w:val="clear" w:color="auto" w:fill="auto"/>
            <w:noWrap/>
            <w:vAlign w:val="bottom"/>
            <w:hideMark/>
          </w:tcPr>
          <w:p w14:paraId="13493928" w14:textId="77777777" w:rsidR="003B2C9F" w:rsidRPr="003B2C9F" w:rsidRDefault="003B2C9F" w:rsidP="003B2C9F">
            <w:pPr>
              <w:jc w:val="right"/>
              <w:rPr>
                <w:b/>
                <w:bCs/>
                <w:sz w:val="20"/>
                <w:szCs w:val="20"/>
              </w:rPr>
            </w:pPr>
            <w:r w:rsidRPr="003B2C9F">
              <w:rPr>
                <w:b/>
                <w:bCs/>
                <w:sz w:val="20"/>
                <w:szCs w:val="20"/>
              </w:rPr>
              <w:t>125,51</w:t>
            </w:r>
          </w:p>
        </w:tc>
        <w:tc>
          <w:tcPr>
            <w:tcW w:w="1000" w:type="dxa"/>
            <w:tcBorders>
              <w:top w:val="nil"/>
              <w:left w:val="nil"/>
              <w:bottom w:val="nil"/>
              <w:right w:val="nil"/>
            </w:tcBorders>
            <w:shd w:val="clear" w:color="auto" w:fill="auto"/>
            <w:noWrap/>
            <w:vAlign w:val="bottom"/>
            <w:hideMark/>
          </w:tcPr>
          <w:p w14:paraId="7B2260EF" w14:textId="77777777" w:rsidR="003B2C9F" w:rsidRPr="003B2C9F" w:rsidRDefault="003B2C9F" w:rsidP="003B2C9F">
            <w:pPr>
              <w:jc w:val="right"/>
              <w:rPr>
                <w:b/>
                <w:bCs/>
                <w:sz w:val="20"/>
                <w:szCs w:val="20"/>
              </w:rPr>
            </w:pPr>
            <w:r w:rsidRPr="003B2C9F">
              <w:rPr>
                <w:b/>
                <w:bCs/>
                <w:sz w:val="20"/>
                <w:szCs w:val="20"/>
              </w:rPr>
              <w:t>93,93</w:t>
            </w:r>
          </w:p>
        </w:tc>
      </w:tr>
      <w:tr w:rsidR="003B2C9F" w:rsidRPr="003B2C9F" w14:paraId="49428B39" w14:textId="77777777" w:rsidTr="003B2C9F">
        <w:trPr>
          <w:trHeight w:val="300"/>
        </w:trPr>
        <w:tc>
          <w:tcPr>
            <w:tcW w:w="616" w:type="dxa"/>
            <w:tcBorders>
              <w:top w:val="nil"/>
              <w:left w:val="nil"/>
              <w:bottom w:val="nil"/>
              <w:right w:val="nil"/>
            </w:tcBorders>
            <w:shd w:val="clear" w:color="auto" w:fill="auto"/>
            <w:noWrap/>
            <w:vAlign w:val="bottom"/>
            <w:hideMark/>
          </w:tcPr>
          <w:p w14:paraId="6A1A6660" w14:textId="77777777" w:rsidR="003B2C9F" w:rsidRPr="003B2C9F" w:rsidRDefault="003B2C9F" w:rsidP="003B2C9F">
            <w:pPr>
              <w:rPr>
                <w:b/>
                <w:bCs/>
                <w:sz w:val="20"/>
                <w:szCs w:val="20"/>
              </w:rPr>
            </w:pPr>
            <w:r w:rsidRPr="003B2C9F">
              <w:rPr>
                <w:b/>
                <w:bCs/>
                <w:sz w:val="20"/>
                <w:szCs w:val="20"/>
              </w:rPr>
              <w:t>321</w:t>
            </w:r>
          </w:p>
        </w:tc>
        <w:tc>
          <w:tcPr>
            <w:tcW w:w="6472" w:type="dxa"/>
            <w:tcBorders>
              <w:top w:val="nil"/>
              <w:left w:val="nil"/>
              <w:bottom w:val="nil"/>
              <w:right w:val="nil"/>
            </w:tcBorders>
            <w:shd w:val="clear" w:color="auto" w:fill="auto"/>
            <w:noWrap/>
            <w:vAlign w:val="bottom"/>
            <w:hideMark/>
          </w:tcPr>
          <w:p w14:paraId="11D64E2A" w14:textId="77777777" w:rsidR="003B2C9F" w:rsidRPr="003B2C9F" w:rsidRDefault="003B2C9F" w:rsidP="003B2C9F">
            <w:pPr>
              <w:rPr>
                <w:b/>
                <w:bCs/>
                <w:sz w:val="20"/>
                <w:szCs w:val="20"/>
              </w:rPr>
            </w:pPr>
            <w:r w:rsidRPr="003B2C9F">
              <w:rPr>
                <w:b/>
                <w:bCs/>
                <w:sz w:val="20"/>
                <w:szCs w:val="20"/>
              </w:rPr>
              <w:t xml:space="preserve">Naknade troškova zaposlenima                                                                        </w:t>
            </w:r>
          </w:p>
        </w:tc>
        <w:tc>
          <w:tcPr>
            <w:tcW w:w="1559" w:type="dxa"/>
            <w:tcBorders>
              <w:top w:val="nil"/>
              <w:left w:val="nil"/>
              <w:bottom w:val="nil"/>
              <w:right w:val="nil"/>
            </w:tcBorders>
            <w:shd w:val="clear" w:color="auto" w:fill="auto"/>
            <w:noWrap/>
            <w:vAlign w:val="bottom"/>
            <w:hideMark/>
          </w:tcPr>
          <w:p w14:paraId="65815A34" w14:textId="77777777" w:rsidR="003B2C9F" w:rsidRPr="003B2C9F" w:rsidRDefault="003B2C9F" w:rsidP="003B2C9F">
            <w:pPr>
              <w:jc w:val="right"/>
              <w:rPr>
                <w:b/>
                <w:bCs/>
                <w:sz w:val="20"/>
                <w:szCs w:val="20"/>
              </w:rPr>
            </w:pPr>
            <w:r w:rsidRPr="003B2C9F">
              <w:rPr>
                <w:b/>
                <w:bCs/>
                <w:sz w:val="20"/>
                <w:szCs w:val="20"/>
              </w:rPr>
              <w:t>473.462,88</w:t>
            </w:r>
          </w:p>
        </w:tc>
        <w:tc>
          <w:tcPr>
            <w:tcW w:w="1503" w:type="dxa"/>
            <w:tcBorders>
              <w:top w:val="nil"/>
              <w:left w:val="nil"/>
              <w:bottom w:val="nil"/>
              <w:right w:val="nil"/>
            </w:tcBorders>
            <w:shd w:val="clear" w:color="auto" w:fill="auto"/>
            <w:noWrap/>
            <w:vAlign w:val="bottom"/>
            <w:hideMark/>
          </w:tcPr>
          <w:p w14:paraId="2E6E5888" w14:textId="77777777" w:rsidR="003B2C9F" w:rsidRPr="003B2C9F" w:rsidRDefault="003B2C9F" w:rsidP="003B2C9F">
            <w:pPr>
              <w:jc w:val="right"/>
              <w:rPr>
                <w:b/>
                <w:bCs/>
                <w:sz w:val="20"/>
                <w:szCs w:val="20"/>
              </w:rPr>
            </w:pPr>
            <w:r w:rsidRPr="003B2C9F">
              <w:rPr>
                <w:b/>
                <w:bCs/>
                <w:sz w:val="20"/>
                <w:szCs w:val="20"/>
              </w:rPr>
              <w:t>551.303,00</w:t>
            </w:r>
          </w:p>
        </w:tc>
        <w:tc>
          <w:tcPr>
            <w:tcW w:w="1366" w:type="dxa"/>
            <w:tcBorders>
              <w:top w:val="nil"/>
              <w:left w:val="nil"/>
              <w:bottom w:val="nil"/>
              <w:right w:val="nil"/>
            </w:tcBorders>
            <w:shd w:val="clear" w:color="auto" w:fill="auto"/>
            <w:noWrap/>
            <w:vAlign w:val="bottom"/>
            <w:hideMark/>
          </w:tcPr>
          <w:p w14:paraId="5A471280" w14:textId="77777777" w:rsidR="003B2C9F" w:rsidRPr="003B2C9F" w:rsidRDefault="003B2C9F" w:rsidP="003B2C9F">
            <w:pPr>
              <w:jc w:val="right"/>
              <w:rPr>
                <w:b/>
                <w:bCs/>
                <w:sz w:val="20"/>
                <w:szCs w:val="20"/>
              </w:rPr>
            </w:pPr>
            <w:r w:rsidRPr="003B2C9F">
              <w:rPr>
                <w:b/>
                <w:bCs/>
                <w:sz w:val="20"/>
                <w:szCs w:val="20"/>
              </w:rPr>
              <w:t>500.596,82</w:t>
            </w:r>
          </w:p>
        </w:tc>
        <w:tc>
          <w:tcPr>
            <w:tcW w:w="1525" w:type="dxa"/>
            <w:tcBorders>
              <w:top w:val="nil"/>
              <w:left w:val="nil"/>
              <w:bottom w:val="nil"/>
              <w:right w:val="nil"/>
            </w:tcBorders>
            <w:shd w:val="clear" w:color="auto" w:fill="auto"/>
            <w:noWrap/>
            <w:vAlign w:val="bottom"/>
            <w:hideMark/>
          </w:tcPr>
          <w:p w14:paraId="739DA212" w14:textId="77777777" w:rsidR="003B2C9F" w:rsidRPr="003B2C9F" w:rsidRDefault="003B2C9F" w:rsidP="003B2C9F">
            <w:pPr>
              <w:jc w:val="right"/>
              <w:rPr>
                <w:b/>
                <w:bCs/>
                <w:sz w:val="20"/>
                <w:szCs w:val="20"/>
              </w:rPr>
            </w:pPr>
            <w:r w:rsidRPr="003B2C9F">
              <w:rPr>
                <w:b/>
                <w:bCs/>
                <w:sz w:val="20"/>
                <w:szCs w:val="20"/>
              </w:rPr>
              <w:t>105,73</w:t>
            </w:r>
          </w:p>
        </w:tc>
        <w:tc>
          <w:tcPr>
            <w:tcW w:w="1000" w:type="dxa"/>
            <w:tcBorders>
              <w:top w:val="nil"/>
              <w:left w:val="nil"/>
              <w:bottom w:val="nil"/>
              <w:right w:val="nil"/>
            </w:tcBorders>
            <w:shd w:val="clear" w:color="auto" w:fill="auto"/>
            <w:noWrap/>
            <w:vAlign w:val="bottom"/>
            <w:hideMark/>
          </w:tcPr>
          <w:p w14:paraId="015F8A1F" w14:textId="77777777" w:rsidR="003B2C9F" w:rsidRPr="003B2C9F" w:rsidRDefault="003B2C9F" w:rsidP="003B2C9F">
            <w:pPr>
              <w:jc w:val="right"/>
              <w:rPr>
                <w:b/>
                <w:bCs/>
                <w:sz w:val="20"/>
                <w:szCs w:val="20"/>
              </w:rPr>
            </w:pPr>
            <w:r w:rsidRPr="003B2C9F">
              <w:rPr>
                <w:b/>
                <w:bCs/>
                <w:sz w:val="20"/>
                <w:szCs w:val="20"/>
              </w:rPr>
              <w:t>90,80</w:t>
            </w:r>
          </w:p>
        </w:tc>
      </w:tr>
      <w:tr w:rsidR="003B2C9F" w:rsidRPr="003B2C9F" w14:paraId="2CFB97D0" w14:textId="77777777" w:rsidTr="003B2C9F">
        <w:trPr>
          <w:trHeight w:val="300"/>
        </w:trPr>
        <w:tc>
          <w:tcPr>
            <w:tcW w:w="616" w:type="dxa"/>
            <w:tcBorders>
              <w:top w:val="nil"/>
              <w:left w:val="nil"/>
              <w:bottom w:val="nil"/>
              <w:right w:val="nil"/>
            </w:tcBorders>
            <w:shd w:val="clear" w:color="auto" w:fill="auto"/>
            <w:noWrap/>
            <w:vAlign w:val="bottom"/>
            <w:hideMark/>
          </w:tcPr>
          <w:p w14:paraId="18E3D9E2" w14:textId="77777777" w:rsidR="003B2C9F" w:rsidRPr="003B2C9F" w:rsidRDefault="003B2C9F" w:rsidP="003B2C9F">
            <w:pPr>
              <w:rPr>
                <w:sz w:val="20"/>
                <w:szCs w:val="20"/>
              </w:rPr>
            </w:pPr>
            <w:r w:rsidRPr="003B2C9F">
              <w:rPr>
                <w:sz w:val="20"/>
                <w:szCs w:val="20"/>
              </w:rPr>
              <w:t>3211</w:t>
            </w:r>
          </w:p>
        </w:tc>
        <w:tc>
          <w:tcPr>
            <w:tcW w:w="6472" w:type="dxa"/>
            <w:tcBorders>
              <w:top w:val="nil"/>
              <w:left w:val="nil"/>
              <w:bottom w:val="nil"/>
              <w:right w:val="nil"/>
            </w:tcBorders>
            <w:shd w:val="clear" w:color="auto" w:fill="auto"/>
            <w:vAlign w:val="bottom"/>
            <w:hideMark/>
          </w:tcPr>
          <w:p w14:paraId="782A7FAD" w14:textId="77777777" w:rsidR="003B2C9F" w:rsidRPr="003B2C9F" w:rsidRDefault="003B2C9F" w:rsidP="003B2C9F">
            <w:pPr>
              <w:rPr>
                <w:sz w:val="20"/>
                <w:szCs w:val="20"/>
              </w:rPr>
            </w:pPr>
            <w:r w:rsidRPr="003B2C9F">
              <w:rPr>
                <w:sz w:val="20"/>
                <w:szCs w:val="20"/>
              </w:rPr>
              <w:t xml:space="preserve">Službena putovanja                                                                                  </w:t>
            </w:r>
          </w:p>
        </w:tc>
        <w:tc>
          <w:tcPr>
            <w:tcW w:w="1559" w:type="dxa"/>
            <w:tcBorders>
              <w:top w:val="nil"/>
              <w:left w:val="nil"/>
              <w:bottom w:val="nil"/>
              <w:right w:val="nil"/>
            </w:tcBorders>
            <w:shd w:val="clear" w:color="auto" w:fill="auto"/>
            <w:noWrap/>
            <w:vAlign w:val="bottom"/>
            <w:hideMark/>
          </w:tcPr>
          <w:p w14:paraId="1171021E" w14:textId="77777777" w:rsidR="003B2C9F" w:rsidRPr="003B2C9F" w:rsidRDefault="003B2C9F" w:rsidP="003B2C9F">
            <w:pPr>
              <w:jc w:val="right"/>
              <w:rPr>
                <w:sz w:val="20"/>
                <w:szCs w:val="20"/>
              </w:rPr>
            </w:pPr>
            <w:r w:rsidRPr="003B2C9F">
              <w:rPr>
                <w:sz w:val="20"/>
                <w:szCs w:val="20"/>
              </w:rPr>
              <w:t>41.810,52</w:t>
            </w:r>
          </w:p>
        </w:tc>
        <w:tc>
          <w:tcPr>
            <w:tcW w:w="1503" w:type="dxa"/>
            <w:tcBorders>
              <w:top w:val="nil"/>
              <w:left w:val="nil"/>
              <w:bottom w:val="nil"/>
              <w:right w:val="nil"/>
            </w:tcBorders>
            <w:shd w:val="clear" w:color="auto" w:fill="auto"/>
            <w:noWrap/>
            <w:vAlign w:val="bottom"/>
            <w:hideMark/>
          </w:tcPr>
          <w:p w14:paraId="376AEC86"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1C00B04A" w14:textId="77777777" w:rsidR="003B2C9F" w:rsidRPr="003B2C9F" w:rsidRDefault="003B2C9F" w:rsidP="003B2C9F">
            <w:pPr>
              <w:jc w:val="right"/>
              <w:rPr>
                <w:sz w:val="20"/>
                <w:szCs w:val="20"/>
              </w:rPr>
            </w:pPr>
            <w:r w:rsidRPr="003B2C9F">
              <w:rPr>
                <w:sz w:val="20"/>
                <w:szCs w:val="20"/>
              </w:rPr>
              <w:t>31.880,33</w:t>
            </w:r>
          </w:p>
        </w:tc>
        <w:tc>
          <w:tcPr>
            <w:tcW w:w="1525" w:type="dxa"/>
            <w:tcBorders>
              <w:top w:val="nil"/>
              <w:left w:val="nil"/>
              <w:bottom w:val="nil"/>
              <w:right w:val="nil"/>
            </w:tcBorders>
            <w:shd w:val="clear" w:color="auto" w:fill="auto"/>
            <w:noWrap/>
            <w:vAlign w:val="bottom"/>
            <w:hideMark/>
          </w:tcPr>
          <w:p w14:paraId="6177D807" w14:textId="77777777" w:rsidR="003B2C9F" w:rsidRPr="003B2C9F" w:rsidRDefault="003B2C9F" w:rsidP="003B2C9F">
            <w:pPr>
              <w:jc w:val="right"/>
              <w:rPr>
                <w:sz w:val="20"/>
                <w:szCs w:val="20"/>
              </w:rPr>
            </w:pPr>
            <w:r w:rsidRPr="003B2C9F">
              <w:rPr>
                <w:sz w:val="20"/>
                <w:szCs w:val="20"/>
              </w:rPr>
              <w:t>76,25</w:t>
            </w:r>
          </w:p>
        </w:tc>
        <w:tc>
          <w:tcPr>
            <w:tcW w:w="1000" w:type="dxa"/>
            <w:tcBorders>
              <w:top w:val="nil"/>
              <w:left w:val="nil"/>
              <w:bottom w:val="nil"/>
              <w:right w:val="nil"/>
            </w:tcBorders>
            <w:shd w:val="clear" w:color="auto" w:fill="auto"/>
            <w:noWrap/>
            <w:vAlign w:val="bottom"/>
            <w:hideMark/>
          </w:tcPr>
          <w:p w14:paraId="4DA779E1" w14:textId="77777777" w:rsidR="003B2C9F" w:rsidRPr="003B2C9F" w:rsidRDefault="003B2C9F" w:rsidP="003B2C9F">
            <w:pPr>
              <w:jc w:val="right"/>
              <w:rPr>
                <w:sz w:val="20"/>
                <w:szCs w:val="20"/>
              </w:rPr>
            </w:pPr>
          </w:p>
        </w:tc>
      </w:tr>
      <w:tr w:rsidR="003B2C9F" w:rsidRPr="003B2C9F" w14:paraId="0AB1BD02" w14:textId="77777777" w:rsidTr="003B2C9F">
        <w:trPr>
          <w:trHeight w:val="300"/>
        </w:trPr>
        <w:tc>
          <w:tcPr>
            <w:tcW w:w="616" w:type="dxa"/>
            <w:tcBorders>
              <w:top w:val="nil"/>
              <w:left w:val="nil"/>
              <w:bottom w:val="nil"/>
              <w:right w:val="nil"/>
            </w:tcBorders>
            <w:shd w:val="clear" w:color="auto" w:fill="auto"/>
            <w:noWrap/>
            <w:vAlign w:val="bottom"/>
            <w:hideMark/>
          </w:tcPr>
          <w:p w14:paraId="4AFBCFB1" w14:textId="77777777" w:rsidR="003B2C9F" w:rsidRPr="003B2C9F" w:rsidRDefault="003B2C9F" w:rsidP="003B2C9F">
            <w:pPr>
              <w:rPr>
                <w:sz w:val="20"/>
                <w:szCs w:val="20"/>
              </w:rPr>
            </w:pPr>
            <w:r w:rsidRPr="003B2C9F">
              <w:rPr>
                <w:sz w:val="20"/>
                <w:szCs w:val="20"/>
              </w:rPr>
              <w:t>3212</w:t>
            </w:r>
          </w:p>
        </w:tc>
        <w:tc>
          <w:tcPr>
            <w:tcW w:w="6472" w:type="dxa"/>
            <w:tcBorders>
              <w:top w:val="nil"/>
              <w:left w:val="nil"/>
              <w:bottom w:val="nil"/>
              <w:right w:val="nil"/>
            </w:tcBorders>
            <w:shd w:val="clear" w:color="auto" w:fill="auto"/>
            <w:vAlign w:val="bottom"/>
            <w:hideMark/>
          </w:tcPr>
          <w:p w14:paraId="395B9DEE" w14:textId="77777777" w:rsidR="003B2C9F" w:rsidRPr="003B2C9F" w:rsidRDefault="003B2C9F" w:rsidP="003B2C9F">
            <w:pPr>
              <w:rPr>
                <w:sz w:val="20"/>
                <w:szCs w:val="20"/>
              </w:rPr>
            </w:pPr>
            <w:r w:rsidRPr="003B2C9F">
              <w:rPr>
                <w:sz w:val="20"/>
                <w:szCs w:val="20"/>
              </w:rPr>
              <w:t xml:space="preserve">Naknade za prijevoz, za rad na terenu i odvojeni život                                              </w:t>
            </w:r>
          </w:p>
        </w:tc>
        <w:tc>
          <w:tcPr>
            <w:tcW w:w="1559" w:type="dxa"/>
            <w:tcBorders>
              <w:top w:val="nil"/>
              <w:left w:val="nil"/>
              <w:bottom w:val="nil"/>
              <w:right w:val="nil"/>
            </w:tcBorders>
            <w:shd w:val="clear" w:color="auto" w:fill="auto"/>
            <w:noWrap/>
            <w:vAlign w:val="bottom"/>
            <w:hideMark/>
          </w:tcPr>
          <w:p w14:paraId="0AC68B21" w14:textId="77777777" w:rsidR="003B2C9F" w:rsidRPr="003B2C9F" w:rsidRDefault="003B2C9F" w:rsidP="003B2C9F">
            <w:pPr>
              <w:jc w:val="right"/>
              <w:rPr>
                <w:sz w:val="20"/>
                <w:szCs w:val="20"/>
              </w:rPr>
            </w:pPr>
            <w:r w:rsidRPr="003B2C9F">
              <w:rPr>
                <w:sz w:val="20"/>
                <w:szCs w:val="20"/>
              </w:rPr>
              <w:t>414.785,36</w:t>
            </w:r>
          </w:p>
        </w:tc>
        <w:tc>
          <w:tcPr>
            <w:tcW w:w="1503" w:type="dxa"/>
            <w:tcBorders>
              <w:top w:val="nil"/>
              <w:left w:val="nil"/>
              <w:bottom w:val="nil"/>
              <w:right w:val="nil"/>
            </w:tcBorders>
            <w:shd w:val="clear" w:color="auto" w:fill="auto"/>
            <w:noWrap/>
            <w:vAlign w:val="bottom"/>
            <w:hideMark/>
          </w:tcPr>
          <w:p w14:paraId="7DD43864"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51845880" w14:textId="77777777" w:rsidR="003B2C9F" w:rsidRPr="003B2C9F" w:rsidRDefault="003B2C9F" w:rsidP="003B2C9F">
            <w:pPr>
              <w:jc w:val="right"/>
              <w:rPr>
                <w:sz w:val="20"/>
                <w:szCs w:val="20"/>
              </w:rPr>
            </w:pPr>
            <w:r w:rsidRPr="003B2C9F">
              <w:rPr>
                <w:sz w:val="20"/>
                <w:szCs w:val="20"/>
              </w:rPr>
              <w:t>450.912,45</w:t>
            </w:r>
          </w:p>
        </w:tc>
        <w:tc>
          <w:tcPr>
            <w:tcW w:w="1525" w:type="dxa"/>
            <w:tcBorders>
              <w:top w:val="nil"/>
              <w:left w:val="nil"/>
              <w:bottom w:val="nil"/>
              <w:right w:val="nil"/>
            </w:tcBorders>
            <w:shd w:val="clear" w:color="auto" w:fill="auto"/>
            <w:noWrap/>
            <w:vAlign w:val="bottom"/>
            <w:hideMark/>
          </w:tcPr>
          <w:p w14:paraId="5D441039" w14:textId="77777777" w:rsidR="003B2C9F" w:rsidRPr="003B2C9F" w:rsidRDefault="003B2C9F" w:rsidP="003B2C9F">
            <w:pPr>
              <w:jc w:val="right"/>
              <w:rPr>
                <w:sz w:val="20"/>
                <w:szCs w:val="20"/>
              </w:rPr>
            </w:pPr>
            <w:r w:rsidRPr="003B2C9F">
              <w:rPr>
                <w:sz w:val="20"/>
                <w:szCs w:val="20"/>
              </w:rPr>
              <w:t>108,71</w:t>
            </w:r>
          </w:p>
        </w:tc>
        <w:tc>
          <w:tcPr>
            <w:tcW w:w="1000" w:type="dxa"/>
            <w:tcBorders>
              <w:top w:val="nil"/>
              <w:left w:val="nil"/>
              <w:bottom w:val="nil"/>
              <w:right w:val="nil"/>
            </w:tcBorders>
            <w:shd w:val="clear" w:color="auto" w:fill="auto"/>
            <w:noWrap/>
            <w:vAlign w:val="bottom"/>
            <w:hideMark/>
          </w:tcPr>
          <w:p w14:paraId="172F3FDD" w14:textId="77777777" w:rsidR="003B2C9F" w:rsidRPr="003B2C9F" w:rsidRDefault="003B2C9F" w:rsidP="003B2C9F">
            <w:pPr>
              <w:jc w:val="right"/>
              <w:rPr>
                <w:sz w:val="20"/>
                <w:szCs w:val="20"/>
              </w:rPr>
            </w:pPr>
          </w:p>
        </w:tc>
      </w:tr>
      <w:tr w:rsidR="003B2C9F" w:rsidRPr="003B2C9F" w14:paraId="03DC21A8" w14:textId="77777777" w:rsidTr="003B2C9F">
        <w:trPr>
          <w:trHeight w:val="300"/>
        </w:trPr>
        <w:tc>
          <w:tcPr>
            <w:tcW w:w="616" w:type="dxa"/>
            <w:tcBorders>
              <w:top w:val="nil"/>
              <w:left w:val="nil"/>
              <w:bottom w:val="nil"/>
              <w:right w:val="nil"/>
            </w:tcBorders>
            <w:shd w:val="clear" w:color="auto" w:fill="auto"/>
            <w:noWrap/>
            <w:vAlign w:val="bottom"/>
            <w:hideMark/>
          </w:tcPr>
          <w:p w14:paraId="5FACA049" w14:textId="77777777" w:rsidR="003B2C9F" w:rsidRPr="003B2C9F" w:rsidRDefault="003B2C9F" w:rsidP="003B2C9F">
            <w:pPr>
              <w:rPr>
                <w:sz w:val="20"/>
                <w:szCs w:val="20"/>
              </w:rPr>
            </w:pPr>
            <w:r w:rsidRPr="003B2C9F">
              <w:rPr>
                <w:sz w:val="20"/>
                <w:szCs w:val="20"/>
              </w:rPr>
              <w:t>3213</w:t>
            </w:r>
          </w:p>
        </w:tc>
        <w:tc>
          <w:tcPr>
            <w:tcW w:w="6472" w:type="dxa"/>
            <w:tcBorders>
              <w:top w:val="nil"/>
              <w:left w:val="nil"/>
              <w:bottom w:val="nil"/>
              <w:right w:val="nil"/>
            </w:tcBorders>
            <w:shd w:val="clear" w:color="auto" w:fill="auto"/>
            <w:vAlign w:val="bottom"/>
            <w:hideMark/>
          </w:tcPr>
          <w:p w14:paraId="7C8DF0F3" w14:textId="77777777" w:rsidR="003B2C9F" w:rsidRPr="003B2C9F" w:rsidRDefault="003B2C9F" w:rsidP="003B2C9F">
            <w:pPr>
              <w:rPr>
                <w:sz w:val="20"/>
                <w:szCs w:val="20"/>
              </w:rPr>
            </w:pPr>
            <w:r w:rsidRPr="003B2C9F">
              <w:rPr>
                <w:sz w:val="20"/>
                <w:szCs w:val="20"/>
              </w:rPr>
              <w:t xml:space="preserve">Stručno usavršavanje zaposlenika                                                                    </w:t>
            </w:r>
          </w:p>
        </w:tc>
        <w:tc>
          <w:tcPr>
            <w:tcW w:w="1559" w:type="dxa"/>
            <w:tcBorders>
              <w:top w:val="nil"/>
              <w:left w:val="nil"/>
              <w:bottom w:val="nil"/>
              <w:right w:val="nil"/>
            </w:tcBorders>
            <w:shd w:val="clear" w:color="auto" w:fill="auto"/>
            <w:noWrap/>
            <w:vAlign w:val="bottom"/>
            <w:hideMark/>
          </w:tcPr>
          <w:p w14:paraId="6C6191B6" w14:textId="77777777" w:rsidR="003B2C9F" w:rsidRPr="003B2C9F" w:rsidRDefault="003B2C9F" w:rsidP="003B2C9F">
            <w:pPr>
              <w:jc w:val="right"/>
              <w:rPr>
                <w:sz w:val="20"/>
                <w:szCs w:val="20"/>
              </w:rPr>
            </w:pPr>
            <w:r w:rsidRPr="003B2C9F">
              <w:rPr>
                <w:sz w:val="20"/>
                <w:szCs w:val="20"/>
              </w:rPr>
              <w:t>12.660,00</w:t>
            </w:r>
          </w:p>
        </w:tc>
        <w:tc>
          <w:tcPr>
            <w:tcW w:w="1503" w:type="dxa"/>
            <w:tcBorders>
              <w:top w:val="nil"/>
              <w:left w:val="nil"/>
              <w:bottom w:val="nil"/>
              <w:right w:val="nil"/>
            </w:tcBorders>
            <w:shd w:val="clear" w:color="auto" w:fill="auto"/>
            <w:noWrap/>
            <w:vAlign w:val="bottom"/>
            <w:hideMark/>
          </w:tcPr>
          <w:p w14:paraId="761FE1A2"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020010F" w14:textId="77777777" w:rsidR="003B2C9F" w:rsidRPr="003B2C9F" w:rsidRDefault="003B2C9F" w:rsidP="003B2C9F">
            <w:pPr>
              <w:jc w:val="right"/>
              <w:rPr>
                <w:sz w:val="20"/>
                <w:szCs w:val="20"/>
              </w:rPr>
            </w:pPr>
            <w:r w:rsidRPr="003B2C9F">
              <w:rPr>
                <w:sz w:val="20"/>
                <w:szCs w:val="20"/>
              </w:rPr>
              <w:t>14.347,50</w:t>
            </w:r>
          </w:p>
        </w:tc>
        <w:tc>
          <w:tcPr>
            <w:tcW w:w="1525" w:type="dxa"/>
            <w:tcBorders>
              <w:top w:val="nil"/>
              <w:left w:val="nil"/>
              <w:bottom w:val="nil"/>
              <w:right w:val="nil"/>
            </w:tcBorders>
            <w:shd w:val="clear" w:color="auto" w:fill="auto"/>
            <w:noWrap/>
            <w:vAlign w:val="bottom"/>
            <w:hideMark/>
          </w:tcPr>
          <w:p w14:paraId="26D56402" w14:textId="77777777" w:rsidR="003B2C9F" w:rsidRPr="003B2C9F" w:rsidRDefault="003B2C9F" w:rsidP="003B2C9F">
            <w:pPr>
              <w:jc w:val="right"/>
              <w:rPr>
                <w:sz w:val="20"/>
                <w:szCs w:val="20"/>
              </w:rPr>
            </w:pPr>
            <w:r w:rsidRPr="003B2C9F">
              <w:rPr>
                <w:sz w:val="20"/>
                <w:szCs w:val="20"/>
              </w:rPr>
              <w:t>113,33</w:t>
            </w:r>
          </w:p>
        </w:tc>
        <w:tc>
          <w:tcPr>
            <w:tcW w:w="1000" w:type="dxa"/>
            <w:tcBorders>
              <w:top w:val="nil"/>
              <w:left w:val="nil"/>
              <w:bottom w:val="nil"/>
              <w:right w:val="nil"/>
            </w:tcBorders>
            <w:shd w:val="clear" w:color="auto" w:fill="auto"/>
            <w:noWrap/>
            <w:vAlign w:val="bottom"/>
            <w:hideMark/>
          </w:tcPr>
          <w:p w14:paraId="636A661C" w14:textId="77777777" w:rsidR="003B2C9F" w:rsidRPr="003B2C9F" w:rsidRDefault="003B2C9F" w:rsidP="003B2C9F">
            <w:pPr>
              <w:jc w:val="right"/>
              <w:rPr>
                <w:sz w:val="20"/>
                <w:szCs w:val="20"/>
              </w:rPr>
            </w:pPr>
          </w:p>
        </w:tc>
      </w:tr>
      <w:tr w:rsidR="003B2C9F" w:rsidRPr="003B2C9F" w14:paraId="2E7837B1" w14:textId="77777777" w:rsidTr="003B2C9F">
        <w:trPr>
          <w:trHeight w:val="300"/>
        </w:trPr>
        <w:tc>
          <w:tcPr>
            <w:tcW w:w="616" w:type="dxa"/>
            <w:tcBorders>
              <w:top w:val="nil"/>
              <w:left w:val="nil"/>
              <w:bottom w:val="nil"/>
              <w:right w:val="nil"/>
            </w:tcBorders>
            <w:shd w:val="clear" w:color="auto" w:fill="auto"/>
            <w:noWrap/>
            <w:vAlign w:val="bottom"/>
            <w:hideMark/>
          </w:tcPr>
          <w:p w14:paraId="2F03E992" w14:textId="77777777" w:rsidR="003B2C9F" w:rsidRPr="003B2C9F" w:rsidRDefault="003B2C9F" w:rsidP="003B2C9F">
            <w:pPr>
              <w:rPr>
                <w:sz w:val="20"/>
                <w:szCs w:val="20"/>
              </w:rPr>
            </w:pPr>
            <w:r w:rsidRPr="003B2C9F">
              <w:rPr>
                <w:sz w:val="20"/>
                <w:szCs w:val="20"/>
              </w:rPr>
              <w:t>3214</w:t>
            </w:r>
          </w:p>
        </w:tc>
        <w:tc>
          <w:tcPr>
            <w:tcW w:w="6472" w:type="dxa"/>
            <w:tcBorders>
              <w:top w:val="nil"/>
              <w:left w:val="nil"/>
              <w:bottom w:val="nil"/>
              <w:right w:val="nil"/>
            </w:tcBorders>
            <w:shd w:val="clear" w:color="auto" w:fill="auto"/>
            <w:vAlign w:val="bottom"/>
            <w:hideMark/>
          </w:tcPr>
          <w:p w14:paraId="44246114" w14:textId="77777777" w:rsidR="003B2C9F" w:rsidRPr="003B2C9F" w:rsidRDefault="003B2C9F" w:rsidP="003B2C9F">
            <w:pPr>
              <w:rPr>
                <w:sz w:val="20"/>
                <w:szCs w:val="20"/>
              </w:rPr>
            </w:pPr>
            <w:r w:rsidRPr="003B2C9F">
              <w:rPr>
                <w:sz w:val="20"/>
                <w:szCs w:val="20"/>
              </w:rPr>
              <w:t xml:space="preserve">Ostale naknade troškova zaposlenima                                                                 </w:t>
            </w:r>
          </w:p>
        </w:tc>
        <w:tc>
          <w:tcPr>
            <w:tcW w:w="1559" w:type="dxa"/>
            <w:tcBorders>
              <w:top w:val="nil"/>
              <w:left w:val="nil"/>
              <w:bottom w:val="nil"/>
              <w:right w:val="nil"/>
            </w:tcBorders>
            <w:shd w:val="clear" w:color="auto" w:fill="auto"/>
            <w:noWrap/>
            <w:vAlign w:val="bottom"/>
            <w:hideMark/>
          </w:tcPr>
          <w:p w14:paraId="42AD0A57" w14:textId="77777777" w:rsidR="003B2C9F" w:rsidRPr="003B2C9F" w:rsidRDefault="003B2C9F" w:rsidP="003B2C9F">
            <w:pPr>
              <w:jc w:val="right"/>
              <w:rPr>
                <w:sz w:val="20"/>
                <w:szCs w:val="20"/>
              </w:rPr>
            </w:pPr>
            <w:r w:rsidRPr="003B2C9F">
              <w:rPr>
                <w:sz w:val="20"/>
                <w:szCs w:val="20"/>
              </w:rPr>
              <w:t>4.207,00</w:t>
            </w:r>
          </w:p>
        </w:tc>
        <w:tc>
          <w:tcPr>
            <w:tcW w:w="1503" w:type="dxa"/>
            <w:tcBorders>
              <w:top w:val="nil"/>
              <w:left w:val="nil"/>
              <w:bottom w:val="nil"/>
              <w:right w:val="nil"/>
            </w:tcBorders>
            <w:shd w:val="clear" w:color="auto" w:fill="auto"/>
            <w:noWrap/>
            <w:vAlign w:val="bottom"/>
            <w:hideMark/>
          </w:tcPr>
          <w:p w14:paraId="03728FCA"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5D02E63D" w14:textId="77777777" w:rsidR="003B2C9F" w:rsidRPr="003B2C9F" w:rsidRDefault="003B2C9F" w:rsidP="003B2C9F">
            <w:pPr>
              <w:jc w:val="right"/>
              <w:rPr>
                <w:sz w:val="20"/>
                <w:szCs w:val="20"/>
              </w:rPr>
            </w:pPr>
            <w:r w:rsidRPr="003B2C9F">
              <w:rPr>
                <w:sz w:val="20"/>
                <w:szCs w:val="20"/>
              </w:rPr>
              <w:t>3.456,54</w:t>
            </w:r>
          </w:p>
        </w:tc>
        <w:tc>
          <w:tcPr>
            <w:tcW w:w="1525" w:type="dxa"/>
            <w:tcBorders>
              <w:top w:val="nil"/>
              <w:left w:val="nil"/>
              <w:bottom w:val="nil"/>
              <w:right w:val="nil"/>
            </w:tcBorders>
            <w:shd w:val="clear" w:color="auto" w:fill="auto"/>
            <w:noWrap/>
            <w:vAlign w:val="bottom"/>
            <w:hideMark/>
          </w:tcPr>
          <w:p w14:paraId="5347924B" w14:textId="77777777" w:rsidR="003B2C9F" w:rsidRPr="003B2C9F" w:rsidRDefault="003B2C9F" w:rsidP="003B2C9F">
            <w:pPr>
              <w:jc w:val="right"/>
              <w:rPr>
                <w:sz w:val="20"/>
                <w:szCs w:val="20"/>
              </w:rPr>
            </w:pPr>
            <w:r w:rsidRPr="003B2C9F">
              <w:rPr>
                <w:sz w:val="20"/>
                <w:szCs w:val="20"/>
              </w:rPr>
              <w:t>82,16</w:t>
            </w:r>
          </w:p>
        </w:tc>
        <w:tc>
          <w:tcPr>
            <w:tcW w:w="1000" w:type="dxa"/>
            <w:tcBorders>
              <w:top w:val="nil"/>
              <w:left w:val="nil"/>
              <w:bottom w:val="nil"/>
              <w:right w:val="nil"/>
            </w:tcBorders>
            <w:shd w:val="clear" w:color="auto" w:fill="auto"/>
            <w:noWrap/>
            <w:vAlign w:val="bottom"/>
            <w:hideMark/>
          </w:tcPr>
          <w:p w14:paraId="7BC422CE" w14:textId="77777777" w:rsidR="003B2C9F" w:rsidRPr="003B2C9F" w:rsidRDefault="003B2C9F" w:rsidP="003B2C9F">
            <w:pPr>
              <w:jc w:val="right"/>
              <w:rPr>
                <w:sz w:val="20"/>
                <w:szCs w:val="20"/>
              </w:rPr>
            </w:pPr>
          </w:p>
        </w:tc>
      </w:tr>
      <w:tr w:rsidR="003B2C9F" w:rsidRPr="003B2C9F" w14:paraId="36C89847" w14:textId="77777777" w:rsidTr="003B2C9F">
        <w:trPr>
          <w:trHeight w:val="300"/>
        </w:trPr>
        <w:tc>
          <w:tcPr>
            <w:tcW w:w="616" w:type="dxa"/>
            <w:tcBorders>
              <w:top w:val="nil"/>
              <w:left w:val="nil"/>
              <w:bottom w:val="nil"/>
              <w:right w:val="nil"/>
            </w:tcBorders>
            <w:shd w:val="clear" w:color="auto" w:fill="auto"/>
            <w:noWrap/>
            <w:vAlign w:val="bottom"/>
            <w:hideMark/>
          </w:tcPr>
          <w:p w14:paraId="54FD48B5" w14:textId="77777777" w:rsidR="003B2C9F" w:rsidRPr="003B2C9F" w:rsidRDefault="003B2C9F" w:rsidP="003B2C9F">
            <w:pPr>
              <w:rPr>
                <w:b/>
                <w:bCs/>
                <w:sz w:val="20"/>
                <w:szCs w:val="20"/>
              </w:rPr>
            </w:pPr>
            <w:r w:rsidRPr="003B2C9F">
              <w:rPr>
                <w:b/>
                <w:bCs/>
                <w:sz w:val="20"/>
                <w:szCs w:val="20"/>
              </w:rPr>
              <w:t>322</w:t>
            </w:r>
          </w:p>
        </w:tc>
        <w:tc>
          <w:tcPr>
            <w:tcW w:w="6472" w:type="dxa"/>
            <w:tcBorders>
              <w:top w:val="nil"/>
              <w:left w:val="nil"/>
              <w:bottom w:val="nil"/>
              <w:right w:val="nil"/>
            </w:tcBorders>
            <w:shd w:val="clear" w:color="auto" w:fill="auto"/>
            <w:noWrap/>
            <w:vAlign w:val="bottom"/>
            <w:hideMark/>
          </w:tcPr>
          <w:p w14:paraId="13DB2591" w14:textId="77777777" w:rsidR="003B2C9F" w:rsidRPr="003B2C9F" w:rsidRDefault="003B2C9F" w:rsidP="003B2C9F">
            <w:pPr>
              <w:rPr>
                <w:b/>
                <w:bCs/>
                <w:sz w:val="20"/>
                <w:szCs w:val="20"/>
              </w:rPr>
            </w:pPr>
            <w:r w:rsidRPr="003B2C9F">
              <w:rPr>
                <w:b/>
                <w:bCs/>
                <w:sz w:val="20"/>
                <w:szCs w:val="20"/>
              </w:rPr>
              <w:t xml:space="preserve">Rashodi za materijal i energiju                                                                     </w:t>
            </w:r>
          </w:p>
        </w:tc>
        <w:tc>
          <w:tcPr>
            <w:tcW w:w="1559" w:type="dxa"/>
            <w:tcBorders>
              <w:top w:val="nil"/>
              <w:left w:val="nil"/>
              <w:bottom w:val="nil"/>
              <w:right w:val="nil"/>
            </w:tcBorders>
            <w:shd w:val="clear" w:color="auto" w:fill="auto"/>
            <w:noWrap/>
            <w:vAlign w:val="bottom"/>
            <w:hideMark/>
          </w:tcPr>
          <w:p w14:paraId="593CEF09" w14:textId="77777777" w:rsidR="003B2C9F" w:rsidRPr="003B2C9F" w:rsidRDefault="003B2C9F" w:rsidP="003B2C9F">
            <w:pPr>
              <w:jc w:val="right"/>
              <w:rPr>
                <w:b/>
                <w:bCs/>
                <w:sz w:val="20"/>
                <w:szCs w:val="20"/>
              </w:rPr>
            </w:pPr>
            <w:r w:rsidRPr="003B2C9F">
              <w:rPr>
                <w:b/>
                <w:bCs/>
                <w:sz w:val="20"/>
                <w:szCs w:val="20"/>
              </w:rPr>
              <w:t>1.593.727,57</w:t>
            </w:r>
          </w:p>
        </w:tc>
        <w:tc>
          <w:tcPr>
            <w:tcW w:w="1503" w:type="dxa"/>
            <w:tcBorders>
              <w:top w:val="nil"/>
              <w:left w:val="nil"/>
              <w:bottom w:val="nil"/>
              <w:right w:val="nil"/>
            </w:tcBorders>
            <w:shd w:val="clear" w:color="auto" w:fill="auto"/>
            <w:noWrap/>
            <w:vAlign w:val="bottom"/>
            <w:hideMark/>
          </w:tcPr>
          <w:p w14:paraId="11AB116D" w14:textId="77777777" w:rsidR="003B2C9F" w:rsidRPr="003B2C9F" w:rsidRDefault="003B2C9F" w:rsidP="003B2C9F">
            <w:pPr>
              <w:jc w:val="right"/>
              <w:rPr>
                <w:b/>
                <w:bCs/>
                <w:sz w:val="20"/>
                <w:szCs w:val="20"/>
              </w:rPr>
            </w:pPr>
            <w:r w:rsidRPr="003B2C9F">
              <w:rPr>
                <w:b/>
                <w:bCs/>
                <w:sz w:val="20"/>
                <w:szCs w:val="20"/>
              </w:rPr>
              <w:t>2.251.203,86</w:t>
            </w:r>
          </w:p>
        </w:tc>
        <w:tc>
          <w:tcPr>
            <w:tcW w:w="1366" w:type="dxa"/>
            <w:tcBorders>
              <w:top w:val="nil"/>
              <w:left w:val="nil"/>
              <w:bottom w:val="nil"/>
              <w:right w:val="nil"/>
            </w:tcBorders>
            <w:shd w:val="clear" w:color="auto" w:fill="auto"/>
            <w:noWrap/>
            <w:vAlign w:val="bottom"/>
            <w:hideMark/>
          </w:tcPr>
          <w:p w14:paraId="6AC83E50" w14:textId="77777777" w:rsidR="003B2C9F" w:rsidRPr="003B2C9F" w:rsidRDefault="003B2C9F" w:rsidP="003B2C9F">
            <w:pPr>
              <w:jc w:val="right"/>
              <w:rPr>
                <w:b/>
                <w:bCs/>
                <w:sz w:val="20"/>
                <w:szCs w:val="20"/>
              </w:rPr>
            </w:pPr>
            <w:r w:rsidRPr="003B2C9F">
              <w:rPr>
                <w:b/>
                <w:bCs/>
                <w:sz w:val="20"/>
                <w:szCs w:val="20"/>
              </w:rPr>
              <w:t>2.045.549,99</w:t>
            </w:r>
          </w:p>
        </w:tc>
        <w:tc>
          <w:tcPr>
            <w:tcW w:w="1525" w:type="dxa"/>
            <w:tcBorders>
              <w:top w:val="nil"/>
              <w:left w:val="nil"/>
              <w:bottom w:val="nil"/>
              <w:right w:val="nil"/>
            </w:tcBorders>
            <w:shd w:val="clear" w:color="auto" w:fill="auto"/>
            <w:noWrap/>
            <w:vAlign w:val="bottom"/>
            <w:hideMark/>
          </w:tcPr>
          <w:p w14:paraId="1F0B7A5A" w14:textId="77777777" w:rsidR="003B2C9F" w:rsidRPr="003B2C9F" w:rsidRDefault="003B2C9F" w:rsidP="003B2C9F">
            <w:pPr>
              <w:jc w:val="right"/>
              <w:rPr>
                <w:b/>
                <w:bCs/>
                <w:sz w:val="20"/>
                <w:szCs w:val="20"/>
              </w:rPr>
            </w:pPr>
            <w:r w:rsidRPr="003B2C9F">
              <w:rPr>
                <w:b/>
                <w:bCs/>
                <w:sz w:val="20"/>
                <w:szCs w:val="20"/>
              </w:rPr>
              <w:t>128,35</w:t>
            </w:r>
          </w:p>
        </w:tc>
        <w:tc>
          <w:tcPr>
            <w:tcW w:w="1000" w:type="dxa"/>
            <w:tcBorders>
              <w:top w:val="nil"/>
              <w:left w:val="nil"/>
              <w:bottom w:val="nil"/>
              <w:right w:val="nil"/>
            </w:tcBorders>
            <w:shd w:val="clear" w:color="auto" w:fill="auto"/>
            <w:noWrap/>
            <w:vAlign w:val="bottom"/>
            <w:hideMark/>
          </w:tcPr>
          <w:p w14:paraId="166188C5" w14:textId="77777777" w:rsidR="003B2C9F" w:rsidRPr="003B2C9F" w:rsidRDefault="003B2C9F" w:rsidP="003B2C9F">
            <w:pPr>
              <w:jc w:val="right"/>
              <w:rPr>
                <w:b/>
                <w:bCs/>
                <w:sz w:val="20"/>
                <w:szCs w:val="20"/>
              </w:rPr>
            </w:pPr>
            <w:r w:rsidRPr="003B2C9F">
              <w:rPr>
                <w:b/>
                <w:bCs/>
                <w:sz w:val="20"/>
                <w:szCs w:val="20"/>
              </w:rPr>
              <w:t>90,86</w:t>
            </w:r>
          </w:p>
        </w:tc>
      </w:tr>
      <w:tr w:rsidR="003B2C9F" w:rsidRPr="003B2C9F" w14:paraId="6018255D" w14:textId="77777777" w:rsidTr="003B2C9F">
        <w:trPr>
          <w:trHeight w:val="300"/>
        </w:trPr>
        <w:tc>
          <w:tcPr>
            <w:tcW w:w="616" w:type="dxa"/>
            <w:tcBorders>
              <w:top w:val="nil"/>
              <w:left w:val="nil"/>
              <w:bottom w:val="nil"/>
              <w:right w:val="nil"/>
            </w:tcBorders>
            <w:shd w:val="clear" w:color="auto" w:fill="auto"/>
            <w:noWrap/>
            <w:vAlign w:val="bottom"/>
            <w:hideMark/>
          </w:tcPr>
          <w:p w14:paraId="4886A3CD" w14:textId="77777777" w:rsidR="003B2C9F" w:rsidRPr="003B2C9F" w:rsidRDefault="003B2C9F" w:rsidP="003B2C9F">
            <w:pPr>
              <w:rPr>
                <w:sz w:val="20"/>
                <w:szCs w:val="20"/>
              </w:rPr>
            </w:pPr>
            <w:r w:rsidRPr="003B2C9F">
              <w:rPr>
                <w:sz w:val="20"/>
                <w:szCs w:val="20"/>
              </w:rPr>
              <w:t>3221</w:t>
            </w:r>
          </w:p>
        </w:tc>
        <w:tc>
          <w:tcPr>
            <w:tcW w:w="6472" w:type="dxa"/>
            <w:tcBorders>
              <w:top w:val="nil"/>
              <w:left w:val="nil"/>
              <w:bottom w:val="nil"/>
              <w:right w:val="nil"/>
            </w:tcBorders>
            <w:shd w:val="clear" w:color="auto" w:fill="auto"/>
            <w:vAlign w:val="bottom"/>
            <w:hideMark/>
          </w:tcPr>
          <w:p w14:paraId="7046B84D" w14:textId="77777777" w:rsidR="003B2C9F" w:rsidRPr="003B2C9F" w:rsidRDefault="003B2C9F" w:rsidP="003B2C9F">
            <w:pPr>
              <w:rPr>
                <w:sz w:val="20"/>
                <w:szCs w:val="20"/>
              </w:rPr>
            </w:pPr>
            <w:r w:rsidRPr="003B2C9F">
              <w:rPr>
                <w:sz w:val="20"/>
                <w:szCs w:val="20"/>
              </w:rPr>
              <w:t xml:space="preserve">Uredski materijal i ostali materijalni rashodi                                                      </w:t>
            </w:r>
          </w:p>
        </w:tc>
        <w:tc>
          <w:tcPr>
            <w:tcW w:w="1559" w:type="dxa"/>
            <w:tcBorders>
              <w:top w:val="nil"/>
              <w:left w:val="nil"/>
              <w:bottom w:val="nil"/>
              <w:right w:val="nil"/>
            </w:tcBorders>
            <w:shd w:val="clear" w:color="auto" w:fill="auto"/>
            <w:noWrap/>
            <w:vAlign w:val="bottom"/>
            <w:hideMark/>
          </w:tcPr>
          <w:p w14:paraId="64195117" w14:textId="77777777" w:rsidR="003B2C9F" w:rsidRPr="003B2C9F" w:rsidRDefault="003B2C9F" w:rsidP="003B2C9F">
            <w:pPr>
              <w:jc w:val="right"/>
              <w:rPr>
                <w:sz w:val="20"/>
                <w:szCs w:val="20"/>
              </w:rPr>
            </w:pPr>
            <w:r w:rsidRPr="003B2C9F">
              <w:rPr>
                <w:sz w:val="20"/>
                <w:szCs w:val="20"/>
              </w:rPr>
              <w:t>281.752,27</w:t>
            </w:r>
          </w:p>
        </w:tc>
        <w:tc>
          <w:tcPr>
            <w:tcW w:w="1503" w:type="dxa"/>
            <w:tcBorders>
              <w:top w:val="nil"/>
              <w:left w:val="nil"/>
              <w:bottom w:val="nil"/>
              <w:right w:val="nil"/>
            </w:tcBorders>
            <w:shd w:val="clear" w:color="auto" w:fill="auto"/>
            <w:noWrap/>
            <w:vAlign w:val="bottom"/>
            <w:hideMark/>
          </w:tcPr>
          <w:p w14:paraId="3A48C795"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151D6C02" w14:textId="77777777" w:rsidR="003B2C9F" w:rsidRPr="003B2C9F" w:rsidRDefault="003B2C9F" w:rsidP="003B2C9F">
            <w:pPr>
              <w:jc w:val="right"/>
              <w:rPr>
                <w:sz w:val="20"/>
                <w:szCs w:val="20"/>
              </w:rPr>
            </w:pPr>
            <w:r w:rsidRPr="003B2C9F">
              <w:rPr>
                <w:sz w:val="20"/>
                <w:szCs w:val="20"/>
              </w:rPr>
              <w:t>273.223,80</w:t>
            </w:r>
          </w:p>
        </w:tc>
        <w:tc>
          <w:tcPr>
            <w:tcW w:w="1525" w:type="dxa"/>
            <w:tcBorders>
              <w:top w:val="nil"/>
              <w:left w:val="nil"/>
              <w:bottom w:val="nil"/>
              <w:right w:val="nil"/>
            </w:tcBorders>
            <w:shd w:val="clear" w:color="auto" w:fill="auto"/>
            <w:noWrap/>
            <w:vAlign w:val="bottom"/>
            <w:hideMark/>
          </w:tcPr>
          <w:p w14:paraId="24C54A24" w14:textId="77777777" w:rsidR="003B2C9F" w:rsidRPr="003B2C9F" w:rsidRDefault="003B2C9F" w:rsidP="003B2C9F">
            <w:pPr>
              <w:jc w:val="right"/>
              <w:rPr>
                <w:sz w:val="20"/>
                <w:szCs w:val="20"/>
              </w:rPr>
            </w:pPr>
            <w:r w:rsidRPr="003B2C9F">
              <w:rPr>
                <w:sz w:val="20"/>
                <w:szCs w:val="20"/>
              </w:rPr>
              <w:t>96,97</w:t>
            </w:r>
          </w:p>
        </w:tc>
        <w:tc>
          <w:tcPr>
            <w:tcW w:w="1000" w:type="dxa"/>
            <w:tcBorders>
              <w:top w:val="nil"/>
              <w:left w:val="nil"/>
              <w:bottom w:val="nil"/>
              <w:right w:val="nil"/>
            </w:tcBorders>
            <w:shd w:val="clear" w:color="auto" w:fill="auto"/>
            <w:noWrap/>
            <w:vAlign w:val="bottom"/>
            <w:hideMark/>
          </w:tcPr>
          <w:p w14:paraId="3FBA1082" w14:textId="77777777" w:rsidR="003B2C9F" w:rsidRPr="003B2C9F" w:rsidRDefault="003B2C9F" w:rsidP="003B2C9F">
            <w:pPr>
              <w:jc w:val="right"/>
              <w:rPr>
                <w:sz w:val="20"/>
                <w:szCs w:val="20"/>
              </w:rPr>
            </w:pPr>
          </w:p>
        </w:tc>
      </w:tr>
      <w:tr w:rsidR="003B2C9F" w:rsidRPr="003B2C9F" w14:paraId="13295383" w14:textId="77777777" w:rsidTr="003B2C9F">
        <w:trPr>
          <w:trHeight w:val="300"/>
        </w:trPr>
        <w:tc>
          <w:tcPr>
            <w:tcW w:w="616" w:type="dxa"/>
            <w:tcBorders>
              <w:top w:val="nil"/>
              <w:left w:val="nil"/>
              <w:bottom w:val="nil"/>
              <w:right w:val="nil"/>
            </w:tcBorders>
            <w:shd w:val="clear" w:color="auto" w:fill="auto"/>
            <w:noWrap/>
            <w:vAlign w:val="bottom"/>
            <w:hideMark/>
          </w:tcPr>
          <w:p w14:paraId="195E4E55" w14:textId="77777777" w:rsidR="003B2C9F" w:rsidRPr="003B2C9F" w:rsidRDefault="003B2C9F" w:rsidP="003B2C9F">
            <w:pPr>
              <w:rPr>
                <w:sz w:val="20"/>
                <w:szCs w:val="20"/>
              </w:rPr>
            </w:pPr>
            <w:r w:rsidRPr="003B2C9F">
              <w:rPr>
                <w:sz w:val="20"/>
                <w:szCs w:val="20"/>
              </w:rPr>
              <w:t>3222</w:t>
            </w:r>
          </w:p>
        </w:tc>
        <w:tc>
          <w:tcPr>
            <w:tcW w:w="6472" w:type="dxa"/>
            <w:tcBorders>
              <w:top w:val="nil"/>
              <w:left w:val="nil"/>
              <w:bottom w:val="nil"/>
              <w:right w:val="nil"/>
            </w:tcBorders>
            <w:shd w:val="clear" w:color="auto" w:fill="auto"/>
            <w:vAlign w:val="bottom"/>
            <w:hideMark/>
          </w:tcPr>
          <w:p w14:paraId="51EFDBC9" w14:textId="77777777" w:rsidR="003B2C9F" w:rsidRPr="003B2C9F" w:rsidRDefault="003B2C9F" w:rsidP="003B2C9F">
            <w:pPr>
              <w:rPr>
                <w:sz w:val="20"/>
                <w:szCs w:val="20"/>
              </w:rPr>
            </w:pPr>
            <w:r w:rsidRPr="003B2C9F">
              <w:rPr>
                <w:sz w:val="20"/>
                <w:szCs w:val="20"/>
              </w:rPr>
              <w:t xml:space="preserve">Materijal i sirovine                                                                                </w:t>
            </w:r>
          </w:p>
        </w:tc>
        <w:tc>
          <w:tcPr>
            <w:tcW w:w="1559" w:type="dxa"/>
            <w:tcBorders>
              <w:top w:val="nil"/>
              <w:left w:val="nil"/>
              <w:bottom w:val="nil"/>
              <w:right w:val="nil"/>
            </w:tcBorders>
            <w:shd w:val="clear" w:color="auto" w:fill="auto"/>
            <w:noWrap/>
            <w:vAlign w:val="bottom"/>
            <w:hideMark/>
          </w:tcPr>
          <w:p w14:paraId="79CF7DBD" w14:textId="77777777" w:rsidR="003B2C9F" w:rsidRPr="003B2C9F" w:rsidRDefault="003B2C9F" w:rsidP="003B2C9F">
            <w:pPr>
              <w:jc w:val="right"/>
              <w:rPr>
                <w:sz w:val="20"/>
                <w:szCs w:val="20"/>
              </w:rPr>
            </w:pPr>
            <w:r w:rsidRPr="003B2C9F">
              <w:rPr>
                <w:sz w:val="20"/>
                <w:szCs w:val="20"/>
              </w:rPr>
              <w:t>364.791,58</w:t>
            </w:r>
          </w:p>
        </w:tc>
        <w:tc>
          <w:tcPr>
            <w:tcW w:w="1503" w:type="dxa"/>
            <w:tcBorders>
              <w:top w:val="nil"/>
              <w:left w:val="nil"/>
              <w:bottom w:val="nil"/>
              <w:right w:val="nil"/>
            </w:tcBorders>
            <w:shd w:val="clear" w:color="auto" w:fill="auto"/>
            <w:noWrap/>
            <w:vAlign w:val="bottom"/>
            <w:hideMark/>
          </w:tcPr>
          <w:p w14:paraId="2817C60E"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3315CD72" w14:textId="77777777" w:rsidR="003B2C9F" w:rsidRPr="003B2C9F" w:rsidRDefault="003B2C9F" w:rsidP="003B2C9F">
            <w:pPr>
              <w:jc w:val="right"/>
              <w:rPr>
                <w:sz w:val="20"/>
                <w:szCs w:val="20"/>
              </w:rPr>
            </w:pPr>
            <w:r w:rsidRPr="003B2C9F">
              <w:rPr>
                <w:sz w:val="20"/>
                <w:szCs w:val="20"/>
              </w:rPr>
              <w:t>512.239,99</w:t>
            </w:r>
          </w:p>
        </w:tc>
        <w:tc>
          <w:tcPr>
            <w:tcW w:w="1525" w:type="dxa"/>
            <w:tcBorders>
              <w:top w:val="nil"/>
              <w:left w:val="nil"/>
              <w:bottom w:val="nil"/>
              <w:right w:val="nil"/>
            </w:tcBorders>
            <w:shd w:val="clear" w:color="auto" w:fill="auto"/>
            <w:noWrap/>
            <w:vAlign w:val="bottom"/>
            <w:hideMark/>
          </w:tcPr>
          <w:p w14:paraId="66775764" w14:textId="77777777" w:rsidR="003B2C9F" w:rsidRPr="003B2C9F" w:rsidRDefault="003B2C9F" w:rsidP="003B2C9F">
            <w:pPr>
              <w:jc w:val="right"/>
              <w:rPr>
                <w:sz w:val="20"/>
                <w:szCs w:val="20"/>
              </w:rPr>
            </w:pPr>
            <w:r w:rsidRPr="003B2C9F">
              <w:rPr>
                <w:sz w:val="20"/>
                <w:szCs w:val="20"/>
              </w:rPr>
              <w:t>140,42</w:t>
            </w:r>
          </w:p>
        </w:tc>
        <w:tc>
          <w:tcPr>
            <w:tcW w:w="1000" w:type="dxa"/>
            <w:tcBorders>
              <w:top w:val="nil"/>
              <w:left w:val="nil"/>
              <w:bottom w:val="nil"/>
              <w:right w:val="nil"/>
            </w:tcBorders>
            <w:shd w:val="clear" w:color="auto" w:fill="auto"/>
            <w:noWrap/>
            <w:vAlign w:val="bottom"/>
            <w:hideMark/>
          </w:tcPr>
          <w:p w14:paraId="0B609463" w14:textId="77777777" w:rsidR="003B2C9F" w:rsidRPr="003B2C9F" w:rsidRDefault="003B2C9F" w:rsidP="003B2C9F">
            <w:pPr>
              <w:jc w:val="right"/>
              <w:rPr>
                <w:sz w:val="20"/>
                <w:szCs w:val="20"/>
              </w:rPr>
            </w:pPr>
          </w:p>
        </w:tc>
      </w:tr>
      <w:tr w:rsidR="003B2C9F" w:rsidRPr="003B2C9F" w14:paraId="134FF002" w14:textId="77777777" w:rsidTr="003B2C9F">
        <w:trPr>
          <w:trHeight w:val="300"/>
        </w:trPr>
        <w:tc>
          <w:tcPr>
            <w:tcW w:w="616" w:type="dxa"/>
            <w:tcBorders>
              <w:top w:val="nil"/>
              <w:left w:val="nil"/>
              <w:bottom w:val="nil"/>
              <w:right w:val="nil"/>
            </w:tcBorders>
            <w:shd w:val="clear" w:color="auto" w:fill="auto"/>
            <w:noWrap/>
            <w:vAlign w:val="bottom"/>
            <w:hideMark/>
          </w:tcPr>
          <w:p w14:paraId="33758F40" w14:textId="77777777" w:rsidR="003B2C9F" w:rsidRPr="003B2C9F" w:rsidRDefault="003B2C9F" w:rsidP="003B2C9F">
            <w:pPr>
              <w:rPr>
                <w:sz w:val="20"/>
                <w:szCs w:val="20"/>
              </w:rPr>
            </w:pPr>
            <w:r w:rsidRPr="003B2C9F">
              <w:rPr>
                <w:sz w:val="20"/>
                <w:szCs w:val="20"/>
              </w:rPr>
              <w:t>3223</w:t>
            </w:r>
          </w:p>
        </w:tc>
        <w:tc>
          <w:tcPr>
            <w:tcW w:w="6472" w:type="dxa"/>
            <w:tcBorders>
              <w:top w:val="nil"/>
              <w:left w:val="nil"/>
              <w:bottom w:val="nil"/>
              <w:right w:val="nil"/>
            </w:tcBorders>
            <w:shd w:val="clear" w:color="auto" w:fill="auto"/>
            <w:vAlign w:val="bottom"/>
            <w:hideMark/>
          </w:tcPr>
          <w:p w14:paraId="400548BE" w14:textId="77777777" w:rsidR="003B2C9F" w:rsidRPr="003B2C9F" w:rsidRDefault="003B2C9F" w:rsidP="003B2C9F">
            <w:pPr>
              <w:rPr>
                <w:sz w:val="20"/>
                <w:szCs w:val="20"/>
              </w:rPr>
            </w:pPr>
            <w:r w:rsidRPr="003B2C9F">
              <w:rPr>
                <w:sz w:val="20"/>
                <w:szCs w:val="20"/>
              </w:rPr>
              <w:t xml:space="preserve">Energija                                                                                            </w:t>
            </w:r>
          </w:p>
        </w:tc>
        <w:tc>
          <w:tcPr>
            <w:tcW w:w="1559" w:type="dxa"/>
            <w:tcBorders>
              <w:top w:val="nil"/>
              <w:left w:val="nil"/>
              <w:bottom w:val="nil"/>
              <w:right w:val="nil"/>
            </w:tcBorders>
            <w:shd w:val="clear" w:color="auto" w:fill="auto"/>
            <w:noWrap/>
            <w:vAlign w:val="bottom"/>
            <w:hideMark/>
          </w:tcPr>
          <w:p w14:paraId="25C4673C" w14:textId="77777777" w:rsidR="003B2C9F" w:rsidRPr="003B2C9F" w:rsidRDefault="003B2C9F" w:rsidP="003B2C9F">
            <w:pPr>
              <w:jc w:val="right"/>
              <w:rPr>
                <w:sz w:val="20"/>
                <w:szCs w:val="20"/>
              </w:rPr>
            </w:pPr>
            <w:r w:rsidRPr="003B2C9F">
              <w:rPr>
                <w:sz w:val="20"/>
                <w:szCs w:val="20"/>
              </w:rPr>
              <w:t>795.648,19</w:t>
            </w:r>
          </w:p>
        </w:tc>
        <w:tc>
          <w:tcPr>
            <w:tcW w:w="1503" w:type="dxa"/>
            <w:tcBorders>
              <w:top w:val="nil"/>
              <w:left w:val="nil"/>
              <w:bottom w:val="nil"/>
              <w:right w:val="nil"/>
            </w:tcBorders>
            <w:shd w:val="clear" w:color="auto" w:fill="auto"/>
            <w:noWrap/>
            <w:vAlign w:val="bottom"/>
            <w:hideMark/>
          </w:tcPr>
          <w:p w14:paraId="7AB923D6"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2BA0CE0B" w14:textId="77777777" w:rsidR="003B2C9F" w:rsidRPr="003B2C9F" w:rsidRDefault="003B2C9F" w:rsidP="003B2C9F">
            <w:pPr>
              <w:jc w:val="right"/>
              <w:rPr>
                <w:sz w:val="20"/>
                <w:szCs w:val="20"/>
              </w:rPr>
            </w:pPr>
            <w:r w:rsidRPr="003B2C9F">
              <w:rPr>
                <w:sz w:val="20"/>
                <w:szCs w:val="20"/>
              </w:rPr>
              <w:t>1.158.363,62</w:t>
            </w:r>
          </w:p>
        </w:tc>
        <w:tc>
          <w:tcPr>
            <w:tcW w:w="1525" w:type="dxa"/>
            <w:tcBorders>
              <w:top w:val="nil"/>
              <w:left w:val="nil"/>
              <w:bottom w:val="nil"/>
              <w:right w:val="nil"/>
            </w:tcBorders>
            <w:shd w:val="clear" w:color="auto" w:fill="auto"/>
            <w:noWrap/>
            <w:vAlign w:val="bottom"/>
            <w:hideMark/>
          </w:tcPr>
          <w:p w14:paraId="530D34DE" w14:textId="77777777" w:rsidR="003B2C9F" w:rsidRPr="003B2C9F" w:rsidRDefault="003B2C9F" w:rsidP="003B2C9F">
            <w:pPr>
              <w:jc w:val="right"/>
              <w:rPr>
                <w:sz w:val="20"/>
                <w:szCs w:val="20"/>
              </w:rPr>
            </w:pPr>
            <w:r w:rsidRPr="003B2C9F">
              <w:rPr>
                <w:sz w:val="20"/>
                <w:szCs w:val="20"/>
              </w:rPr>
              <w:t>145,59</w:t>
            </w:r>
          </w:p>
        </w:tc>
        <w:tc>
          <w:tcPr>
            <w:tcW w:w="1000" w:type="dxa"/>
            <w:tcBorders>
              <w:top w:val="nil"/>
              <w:left w:val="nil"/>
              <w:bottom w:val="nil"/>
              <w:right w:val="nil"/>
            </w:tcBorders>
            <w:shd w:val="clear" w:color="auto" w:fill="auto"/>
            <w:noWrap/>
            <w:vAlign w:val="bottom"/>
            <w:hideMark/>
          </w:tcPr>
          <w:p w14:paraId="3CB1FD51" w14:textId="77777777" w:rsidR="003B2C9F" w:rsidRPr="003B2C9F" w:rsidRDefault="003B2C9F" w:rsidP="003B2C9F">
            <w:pPr>
              <w:jc w:val="right"/>
              <w:rPr>
                <w:sz w:val="20"/>
                <w:szCs w:val="20"/>
              </w:rPr>
            </w:pPr>
          </w:p>
        </w:tc>
      </w:tr>
      <w:tr w:rsidR="003B2C9F" w:rsidRPr="003B2C9F" w14:paraId="6ECAE9D0" w14:textId="77777777" w:rsidTr="003B2C9F">
        <w:trPr>
          <w:trHeight w:val="300"/>
        </w:trPr>
        <w:tc>
          <w:tcPr>
            <w:tcW w:w="616" w:type="dxa"/>
            <w:tcBorders>
              <w:top w:val="nil"/>
              <w:left w:val="nil"/>
              <w:bottom w:val="nil"/>
              <w:right w:val="nil"/>
            </w:tcBorders>
            <w:shd w:val="clear" w:color="auto" w:fill="auto"/>
            <w:noWrap/>
            <w:vAlign w:val="bottom"/>
            <w:hideMark/>
          </w:tcPr>
          <w:p w14:paraId="7CB73F8F" w14:textId="77777777" w:rsidR="003B2C9F" w:rsidRPr="003B2C9F" w:rsidRDefault="003B2C9F" w:rsidP="003B2C9F">
            <w:pPr>
              <w:rPr>
                <w:sz w:val="20"/>
                <w:szCs w:val="20"/>
              </w:rPr>
            </w:pPr>
            <w:r w:rsidRPr="003B2C9F">
              <w:rPr>
                <w:sz w:val="20"/>
                <w:szCs w:val="20"/>
              </w:rPr>
              <w:t>3224</w:t>
            </w:r>
          </w:p>
        </w:tc>
        <w:tc>
          <w:tcPr>
            <w:tcW w:w="6472" w:type="dxa"/>
            <w:tcBorders>
              <w:top w:val="nil"/>
              <w:left w:val="nil"/>
              <w:bottom w:val="nil"/>
              <w:right w:val="nil"/>
            </w:tcBorders>
            <w:shd w:val="clear" w:color="auto" w:fill="auto"/>
            <w:vAlign w:val="bottom"/>
            <w:hideMark/>
          </w:tcPr>
          <w:p w14:paraId="1D0E520E" w14:textId="77777777" w:rsidR="003B2C9F" w:rsidRPr="003B2C9F" w:rsidRDefault="003B2C9F" w:rsidP="003B2C9F">
            <w:pPr>
              <w:rPr>
                <w:sz w:val="20"/>
                <w:szCs w:val="20"/>
              </w:rPr>
            </w:pPr>
            <w:r w:rsidRPr="003B2C9F">
              <w:rPr>
                <w:sz w:val="20"/>
                <w:szCs w:val="20"/>
              </w:rPr>
              <w:t xml:space="preserve">Materijal i dijelovi za tekuće i investicijsko održavanje                                           </w:t>
            </w:r>
          </w:p>
        </w:tc>
        <w:tc>
          <w:tcPr>
            <w:tcW w:w="1559" w:type="dxa"/>
            <w:tcBorders>
              <w:top w:val="nil"/>
              <w:left w:val="nil"/>
              <w:bottom w:val="nil"/>
              <w:right w:val="nil"/>
            </w:tcBorders>
            <w:shd w:val="clear" w:color="auto" w:fill="auto"/>
            <w:noWrap/>
            <w:vAlign w:val="bottom"/>
            <w:hideMark/>
          </w:tcPr>
          <w:p w14:paraId="496E955D" w14:textId="77777777" w:rsidR="003B2C9F" w:rsidRPr="003B2C9F" w:rsidRDefault="003B2C9F" w:rsidP="003B2C9F">
            <w:pPr>
              <w:jc w:val="right"/>
              <w:rPr>
                <w:sz w:val="20"/>
                <w:szCs w:val="20"/>
              </w:rPr>
            </w:pPr>
            <w:r w:rsidRPr="003B2C9F">
              <w:rPr>
                <w:sz w:val="20"/>
                <w:szCs w:val="20"/>
              </w:rPr>
              <w:t>30.852,62</w:t>
            </w:r>
          </w:p>
        </w:tc>
        <w:tc>
          <w:tcPr>
            <w:tcW w:w="1503" w:type="dxa"/>
            <w:tcBorders>
              <w:top w:val="nil"/>
              <w:left w:val="nil"/>
              <w:bottom w:val="nil"/>
              <w:right w:val="nil"/>
            </w:tcBorders>
            <w:shd w:val="clear" w:color="auto" w:fill="auto"/>
            <w:noWrap/>
            <w:vAlign w:val="bottom"/>
            <w:hideMark/>
          </w:tcPr>
          <w:p w14:paraId="3264E60E"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63DA75AF" w14:textId="77777777" w:rsidR="003B2C9F" w:rsidRPr="003B2C9F" w:rsidRDefault="003B2C9F" w:rsidP="003B2C9F">
            <w:pPr>
              <w:jc w:val="right"/>
              <w:rPr>
                <w:sz w:val="20"/>
                <w:szCs w:val="20"/>
              </w:rPr>
            </w:pPr>
            <w:r w:rsidRPr="003B2C9F">
              <w:rPr>
                <w:sz w:val="20"/>
                <w:szCs w:val="20"/>
              </w:rPr>
              <w:t>32.586,06</w:t>
            </w:r>
          </w:p>
        </w:tc>
        <w:tc>
          <w:tcPr>
            <w:tcW w:w="1525" w:type="dxa"/>
            <w:tcBorders>
              <w:top w:val="nil"/>
              <w:left w:val="nil"/>
              <w:bottom w:val="nil"/>
              <w:right w:val="nil"/>
            </w:tcBorders>
            <w:shd w:val="clear" w:color="auto" w:fill="auto"/>
            <w:noWrap/>
            <w:vAlign w:val="bottom"/>
            <w:hideMark/>
          </w:tcPr>
          <w:p w14:paraId="4EE1A92B" w14:textId="77777777" w:rsidR="003B2C9F" w:rsidRPr="003B2C9F" w:rsidRDefault="003B2C9F" w:rsidP="003B2C9F">
            <w:pPr>
              <w:jc w:val="right"/>
              <w:rPr>
                <w:sz w:val="20"/>
                <w:szCs w:val="20"/>
              </w:rPr>
            </w:pPr>
            <w:r w:rsidRPr="003B2C9F">
              <w:rPr>
                <w:sz w:val="20"/>
                <w:szCs w:val="20"/>
              </w:rPr>
              <w:t>105,62</w:t>
            </w:r>
          </w:p>
        </w:tc>
        <w:tc>
          <w:tcPr>
            <w:tcW w:w="1000" w:type="dxa"/>
            <w:tcBorders>
              <w:top w:val="nil"/>
              <w:left w:val="nil"/>
              <w:bottom w:val="nil"/>
              <w:right w:val="nil"/>
            </w:tcBorders>
            <w:shd w:val="clear" w:color="auto" w:fill="auto"/>
            <w:noWrap/>
            <w:vAlign w:val="bottom"/>
            <w:hideMark/>
          </w:tcPr>
          <w:p w14:paraId="4223B45B" w14:textId="77777777" w:rsidR="003B2C9F" w:rsidRPr="003B2C9F" w:rsidRDefault="003B2C9F" w:rsidP="003B2C9F">
            <w:pPr>
              <w:jc w:val="right"/>
              <w:rPr>
                <w:sz w:val="20"/>
                <w:szCs w:val="20"/>
              </w:rPr>
            </w:pPr>
          </w:p>
        </w:tc>
      </w:tr>
      <w:tr w:rsidR="003B2C9F" w:rsidRPr="003B2C9F" w14:paraId="6A041A13" w14:textId="77777777" w:rsidTr="003B2C9F">
        <w:trPr>
          <w:trHeight w:val="300"/>
        </w:trPr>
        <w:tc>
          <w:tcPr>
            <w:tcW w:w="616" w:type="dxa"/>
            <w:tcBorders>
              <w:top w:val="nil"/>
              <w:left w:val="nil"/>
              <w:bottom w:val="nil"/>
              <w:right w:val="nil"/>
            </w:tcBorders>
            <w:shd w:val="clear" w:color="auto" w:fill="auto"/>
            <w:noWrap/>
            <w:vAlign w:val="bottom"/>
            <w:hideMark/>
          </w:tcPr>
          <w:p w14:paraId="7978B9D5" w14:textId="77777777" w:rsidR="003B2C9F" w:rsidRPr="003B2C9F" w:rsidRDefault="003B2C9F" w:rsidP="003B2C9F">
            <w:pPr>
              <w:rPr>
                <w:sz w:val="20"/>
                <w:szCs w:val="20"/>
              </w:rPr>
            </w:pPr>
            <w:r w:rsidRPr="003B2C9F">
              <w:rPr>
                <w:sz w:val="20"/>
                <w:szCs w:val="20"/>
              </w:rPr>
              <w:t>3225</w:t>
            </w:r>
          </w:p>
        </w:tc>
        <w:tc>
          <w:tcPr>
            <w:tcW w:w="6472" w:type="dxa"/>
            <w:tcBorders>
              <w:top w:val="nil"/>
              <w:left w:val="nil"/>
              <w:bottom w:val="nil"/>
              <w:right w:val="nil"/>
            </w:tcBorders>
            <w:shd w:val="clear" w:color="auto" w:fill="auto"/>
            <w:vAlign w:val="bottom"/>
            <w:hideMark/>
          </w:tcPr>
          <w:p w14:paraId="277E2887" w14:textId="77777777" w:rsidR="003B2C9F" w:rsidRPr="003B2C9F" w:rsidRDefault="003B2C9F" w:rsidP="003B2C9F">
            <w:pPr>
              <w:rPr>
                <w:sz w:val="20"/>
                <w:szCs w:val="20"/>
              </w:rPr>
            </w:pPr>
            <w:r w:rsidRPr="003B2C9F">
              <w:rPr>
                <w:sz w:val="20"/>
                <w:szCs w:val="20"/>
              </w:rPr>
              <w:t xml:space="preserve">Sitni inventar i auto gume                                                                          </w:t>
            </w:r>
          </w:p>
        </w:tc>
        <w:tc>
          <w:tcPr>
            <w:tcW w:w="1559" w:type="dxa"/>
            <w:tcBorders>
              <w:top w:val="nil"/>
              <w:left w:val="nil"/>
              <w:bottom w:val="nil"/>
              <w:right w:val="nil"/>
            </w:tcBorders>
            <w:shd w:val="clear" w:color="auto" w:fill="auto"/>
            <w:noWrap/>
            <w:vAlign w:val="bottom"/>
            <w:hideMark/>
          </w:tcPr>
          <w:p w14:paraId="2DE5782B" w14:textId="77777777" w:rsidR="003B2C9F" w:rsidRPr="003B2C9F" w:rsidRDefault="003B2C9F" w:rsidP="003B2C9F">
            <w:pPr>
              <w:jc w:val="right"/>
              <w:rPr>
                <w:sz w:val="20"/>
                <w:szCs w:val="20"/>
              </w:rPr>
            </w:pPr>
            <w:r w:rsidRPr="003B2C9F">
              <w:rPr>
                <w:sz w:val="20"/>
                <w:szCs w:val="20"/>
              </w:rPr>
              <w:t>99.059,93</w:t>
            </w:r>
          </w:p>
        </w:tc>
        <w:tc>
          <w:tcPr>
            <w:tcW w:w="1503" w:type="dxa"/>
            <w:tcBorders>
              <w:top w:val="nil"/>
              <w:left w:val="nil"/>
              <w:bottom w:val="nil"/>
              <w:right w:val="nil"/>
            </w:tcBorders>
            <w:shd w:val="clear" w:color="auto" w:fill="auto"/>
            <w:noWrap/>
            <w:vAlign w:val="bottom"/>
            <w:hideMark/>
          </w:tcPr>
          <w:p w14:paraId="573FDB24"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7C6E5E5" w14:textId="77777777" w:rsidR="003B2C9F" w:rsidRPr="003B2C9F" w:rsidRDefault="003B2C9F" w:rsidP="003B2C9F">
            <w:pPr>
              <w:jc w:val="right"/>
              <w:rPr>
                <w:sz w:val="20"/>
                <w:szCs w:val="20"/>
              </w:rPr>
            </w:pPr>
            <w:r w:rsidRPr="003B2C9F">
              <w:rPr>
                <w:sz w:val="20"/>
                <w:szCs w:val="20"/>
              </w:rPr>
              <w:t>52.484,79</w:t>
            </w:r>
          </w:p>
        </w:tc>
        <w:tc>
          <w:tcPr>
            <w:tcW w:w="1525" w:type="dxa"/>
            <w:tcBorders>
              <w:top w:val="nil"/>
              <w:left w:val="nil"/>
              <w:bottom w:val="nil"/>
              <w:right w:val="nil"/>
            </w:tcBorders>
            <w:shd w:val="clear" w:color="auto" w:fill="auto"/>
            <w:noWrap/>
            <w:vAlign w:val="bottom"/>
            <w:hideMark/>
          </w:tcPr>
          <w:p w14:paraId="346E58A9" w14:textId="77777777" w:rsidR="003B2C9F" w:rsidRPr="003B2C9F" w:rsidRDefault="003B2C9F" w:rsidP="003B2C9F">
            <w:pPr>
              <w:jc w:val="right"/>
              <w:rPr>
                <w:sz w:val="20"/>
                <w:szCs w:val="20"/>
              </w:rPr>
            </w:pPr>
            <w:r w:rsidRPr="003B2C9F">
              <w:rPr>
                <w:sz w:val="20"/>
                <w:szCs w:val="20"/>
              </w:rPr>
              <w:t>52,98</w:t>
            </w:r>
          </w:p>
        </w:tc>
        <w:tc>
          <w:tcPr>
            <w:tcW w:w="1000" w:type="dxa"/>
            <w:tcBorders>
              <w:top w:val="nil"/>
              <w:left w:val="nil"/>
              <w:bottom w:val="nil"/>
              <w:right w:val="nil"/>
            </w:tcBorders>
            <w:shd w:val="clear" w:color="auto" w:fill="auto"/>
            <w:noWrap/>
            <w:vAlign w:val="bottom"/>
            <w:hideMark/>
          </w:tcPr>
          <w:p w14:paraId="084C1667" w14:textId="77777777" w:rsidR="003B2C9F" w:rsidRPr="003B2C9F" w:rsidRDefault="003B2C9F" w:rsidP="003B2C9F">
            <w:pPr>
              <w:jc w:val="right"/>
              <w:rPr>
                <w:sz w:val="20"/>
                <w:szCs w:val="20"/>
              </w:rPr>
            </w:pPr>
          </w:p>
        </w:tc>
      </w:tr>
      <w:tr w:rsidR="003B2C9F" w:rsidRPr="003B2C9F" w14:paraId="220F4C82" w14:textId="77777777" w:rsidTr="003B2C9F">
        <w:trPr>
          <w:trHeight w:val="300"/>
        </w:trPr>
        <w:tc>
          <w:tcPr>
            <w:tcW w:w="616" w:type="dxa"/>
            <w:tcBorders>
              <w:top w:val="nil"/>
              <w:left w:val="nil"/>
              <w:bottom w:val="nil"/>
              <w:right w:val="nil"/>
            </w:tcBorders>
            <w:shd w:val="clear" w:color="auto" w:fill="auto"/>
            <w:noWrap/>
            <w:vAlign w:val="bottom"/>
            <w:hideMark/>
          </w:tcPr>
          <w:p w14:paraId="3A692EA2" w14:textId="77777777" w:rsidR="003B2C9F" w:rsidRPr="003B2C9F" w:rsidRDefault="003B2C9F" w:rsidP="003B2C9F">
            <w:pPr>
              <w:rPr>
                <w:sz w:val="20"/>
                <w:szCs w:val="20"/>
              </w:rPr>
            </w:pPr>
            <w:r w:rsidRPr="003B2C9F">
              <w:rPr>
                <w:sz w:val="20"/>
                <w:szCs w:val="20"/>
              </w:rPr>
              <w:t>3227</w:t>
            </w:r>
          </w:p>
        </w:tc>
        <w:tc>
          <w:tcPr>
            <w:tcW w:w="6472" w:type="dxa"/>
            <w:tcBorders>
              <w:top w:val="nil"/>
              <w:left w:val="nil"/>
              <w:bottom w:val="nil"/>
              <w:right w:val="nil"/>
            </w:tcBorders>
            <w:shd w:val="clear" w:color="auto" w:fill="auto"/>
            <w:vAlign w:val="bottom"/>
            <w:hideMark/>
          </w:tcPr>
          <w:p w14:paraId="702ECD9F" w14:textId="77777777" w:rsidR="003B2C9F" w:rsidRPr="003B2C9F" w:rsidRDefault="003B2C9F" w:rsidP="003B2C9F">
            <w:pPr>
              <w:rPr>
                <w:sz w:val="20"/>
                <w:szCs w:val="20"/>
              </w:rPr>
            </w:pPr>
            <w:r w:rsidRPr="003B2C9F">
              <w:rPr>
                <w:sz w:val="20"/>
                <w:szCs w:val="20"/>
              </w:rPr>
              <w:t xml:space="preserve">Službena, radna i zaštitna odjeća i obuća                                                           </w:t>
            </w:r>
          </w:p>
        </w:tc>
        <w:tc>
          <w:tcPr>
            <w:tcW w:w="1559" w:type="dxa"/>
            <w:tcBorders>
              <w:top w:val="nil"/>
              <w:left w:val="nil"/>
              <w:bottom w:val="nil"/>
              <w:right w:val="nil"/>
            </w:tcBorders>
            <w:shd w:val="clear" w:color="auto" w:fill="auto"/>
            <w:noWrap/>
            <w:vAlign w:val="bottom"/>
            <w:hideMark/>
          </w:tcPr>
          <w:p w14:paraId="4E93459F" w14:textId="77777777" w:rsidR="003B2C9F" w:rsidRPr="003B2C9F" w:rsidRDefault="003B2C9F" w:rsidP="003B2C9F">
            <w:pPr>
              <w:jc w:val="right"/>
              <w:rPr>
                <w:sz w:val="20"/>
                <w:szCs w:val="20"/>
              </w:rPr>
            </w:pPr>
            <w:r w:rsidRPr="003B2C9F">
              <w:rPr>
                <w:sz w:val="20"/>
                <w:szCs w:val="20"/>
              </w:rPr>
              <w:t>21.622,98</w:t>
            </w:r>
          </w:p>
        </w:tc>
        <w:tc>
          <w:tcPr>
            <w:tcW w:w="1503" w:type="dxa"/>
            <w:tcBorders>
              <w:top w:val="nil"/>
              <w:left w:val="nil"/>
              <w:bottom w:val="nil"/>
              <w:right w:val="nil"/>
            </w:tcBorders>
            <w:shd w:val="clear" w:color="auto" w:fill="auto"/>
            <w:noWrap/>
            <w:vAlign w:val="bottom"/>
            <w:hideMark/>
          </w:tcPr>
          <w:p w14:paraId="02E2BE28"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FA5AC64" w14:textId="77777777" w:rsidR="003B2C9F" w:rsidRPr="003B2C9F" w:rsidRDefault="003B2C9F" w:rsidP="003B2C9F">
            <w:pPr>
              <w:jc w:val="right"/>
              <w:rPr>
                <w:sz w:val="20"/>
                <w:szCs w:val="20"/>
              </w:rPr>
            </w:pPr>
            <w:r w:rsidRPr="003B2C9F">
              <w:rPr>
                <w:sz w:val="20"/>
                <w:szCs w:val="20"/>
              </w:rPr>
              <w:t>16.651,73</w:t>
            </w:r>
          </w:p>
        </w:tc>
        <w:tc>
          <w:tcPr>
            <w:tcW w:w="1525" w:type="dxa"/>
            <w:tcBorders>
              <w:top w:val="nil"/>
              <w:left w:val="nil"/>
              <w:bottom w:val="nil"/>
              <w:right w:val="nil"/>
            </w:tcBorders>
            <w:shd w:val="clear" w:color="auto" w:fill="auto"/>
            <w:noWrap/>
            <w:vAlign w:val="bottom"/>
            <w:hideMark/>
          </w:tcPr>
          <w:p w14:paraId="21D36A73" w14:textId="77777777" w:rsidR="003B2C9F" w:rsidRPr="003B2C9F" w:rsidRDefault="003B2C9F" w:rsidP="003B2C9F">
            <w:pPr>
              <w:jc w:val="right"/>
              <w:rPr>
                <w:sz w:val="20"/>
                <w:szCs w:val="20"/>
              </w:rPr>
            </w:pPr>
            <w:r w:rsidRPr="003B2C9F">
              <w:rPr>
                <w:sz w:val="20"/>
                <w:szCs w:val="20"/>
              </w:rPr>
              <w:t>77,01</w:t>
            </w:r>
          </w:p>
        </w:tc>
        <w:tc>
          <w:tcPr>
            <w:tcW w:w="1000" w:type="dxa"/>
            <w:tcBorders>
              <w:top w:val="nil"/>
              <w:left w:val="nil"/>
              <w:bottom w:val="nil"/>
              <w:right w:val="nil"/>
            </w:tcBorders>
            <w:shd w:val="clear" w:color="auto" w:fill="auto"/>
            <w:noWrap/>
            <w:vAlign w:val="bottom"/>
            <w:hideMark/>
          </w:tcPr>
          <w:p w14:paraId="46A77A65" w14:textId="77777777" w:rsidR="003B2C9F" w:rsidRPr="003B2C9F" w:rsidRDefault="003B2C9F" w:rsidP="003B2C9F">
            <w:pPr>
              <w:jc w:val="right"/>
              <w:rPr>
                <w:sz w:val="20"/>
                <w:szCs w:val="20"/>
              </w:rPr>
            </w:pPr>
          </w:p>
        </w:tc>
      </w:tr>
      <w:tr w:rsidR="003B2C9F" w:rsidRPr="003B2C9F" w14:paraId="7E0A82C8" w14:textId="77777777" w:rsidTr="003B2C9F">
        <w:trPr>
          <w:trHeight w:val="300"/>
        </w:trPr>
        <w:tc>
          <w:tcPr>
            <w:tcW w:w="616" w:type="dxa"/>
            <w:tcBorders>
              <w:top w:val="nil"/>
              <w:left w:val="nil"/>
              <w:bottom w:val="nil"/>
              <w:right w:val="nil"/>
            </w:tcBorders>
            <w:shd w:val="clear" w:color="auto" w:fill="auto"/>
            <w:noWrap/>
            <w:vAlign w:val="bottom"/>
            <w:hideMark/>
          </w:tcPr>
          <w:p w14:paraId="3FF6EC92" w14:textId="77777777" w:rsidR="003B2C9F" w:rsidRPr="003B2C9F" w:rsidRDefault="003B2C9F" w:rsidP="003B2C9F">
            <w:pPr>
              <w:rPr>
                <w:b/>
                <w:bCs/>
                <w:sz w:val="20"/>
                <w:szCs w:val="20"/>
              </w:rPr>
            </w:pPr>
            <w:r w:rsidRPr="003B2C9F">
              <w:rPr>
                <w:b/>
                <w:bCs/>
                <w:sz w:val="20"/>
                <w:szCs w:val="20"/>
              </w:rPr>
              <w:t>323</w:t>
            </w:r>
          </w:p>
        </w:tc>
        <w:tc>
          <w:tcPr>
            <w:tcW w:w="6472" w:type="dxa"/>
            <w:tcBorders>
              <w:top w:val="nil"/>
              <w:left w:val="nil"/>
              <w:bottom w:val="nil"/>
              <w:right w:val="nil"/>
            </w:tcBorders>
            <w:shd w:val="clear" w:color="auto" w:fill="auto"/>
            <w:noWrap/>
            <w:vAlign w:val="bottom"/>
            <w:hideMark/>
          </w:tcPr>
          <w:p w14:paraId="7EDE729B" w14:textId="77777777" w:rsidR="003B2C9F" w:rsidRPr="003B2C9F" w:rsidRDefault="003B2C9F" w:rsidP="003B2C9F">
            <w:pPr>
              <w:rPr>
                <w:b/>
                <w:bCs/>
                <w:sz w:val="20"/>
                <w:szCs w:val="20"/>
              </w:rPr>
            </w:pPr>
            <w:r w:rsidRPr="003B2C9F">
              <w:rPr>
                <w:b/>
                <w:bCs/>
                <w:sz w:val="20"/>
                <w:szCs w:val="20"/>
              </w:rPr>
              <w:t xml:space="preserve">Rashodi za usluge                                                                                   </w:t>
            </w:r>
          </w:p>
        </w:tc>
        <w:tc>
          <w:tcPr>
            <w:tcW w:w="1559" w:type="dxa"/>
            <w:tcBorders>
              <w:top w:val="nil"/>
              <w:left w:val="nil"/>
              <w:bottom w:val="nil"/>
              <w:right w:val="nil"/>
            </w:tcBorders>
            <w:shd w:val="clear" w:color="auto" w:fill="auto"/>
            <w:noWrap/>
            <w:vAlign w:val="bottom"/>
            <w:hideMark/>
          </w:tcPr>
          <w:p w14:paraId="36DF8EC8" w14:textId="77777777" w:rsidR="003B2C9F" w:rsidRPr="003B2C9F" w:rsidRDefault="003B2C9F" w:rsidP="003B2C9F">
            <w:pPr>
              <w:jc w:val="right"/>
              <w:rPr>
                <w:b/>
                <w:bCs/>
                <w:sz w:val="20"/>
                <w:szCs w:val="20"/>
              </w:rPr>
            </w:pPr>
            <w:r w:rsidRPr="003B2C9F">
              <w:rPr>
                <w:b/>
                <w:bCs/>
                <w:sz w:val="20"/>
                <w:szCs w:val="20"/>
              </w:rPr>
              <w:t>9.003.536,92</w:t>
            </w:r>
          </w:p>
        </w:tc>
        <w:tc>
          <w:tcPr>
            <w:tcW w:w="1503" w:type="dxa"/>
            <w:tcBorders>
              <w:top w:val="nil"/>
              <w:left w:val="nil"/>
              <w:bottom w:val="nil"/>
              <w:right w:val="nil"/>
            </w:tcBorders>
            <w:shd w:val="clear" w:color="auto" w:fill="auto"/>
            <w:noWrap/>
            <w:vAlign w:val="bottom"/>
            <w:hideMark/>
          </w:tcPr>
          <w:p w14:paraId="39756CD8" w14:textId="77777777" w:rsidR="003B2C9F" w:rsidRPr="003B2C9F" w:rsidRDefault="003B2C9F" w:rsidP="003B2C9F">
            <w:pPr>
              <w:jc w:val="right"/>
              <w:rPr>
                <w:b/>
                <w:bCs/>
                <w:sz w:val="20"/>
                <w:szCs w:val="20"/>
              </w:rPr>
            </w:pPr>
            <w:r w:rsidRPr="003B2C9F">
              <w:rPr>
                <w:b/>
                <w:bCs/>
                <w:sz w:val="20"/>
                <w:szCs w:val="20"/>
              </w:rPr>
              <w:t>12.186.174,60</w:t>
            </w:r>
          </w:p>
        </w:tc>
        <w:tc>
          <w:tcPr>
            <w:tcW w:w="1366" w:type="dxa"/>
            <w:tcBorders>
              <w:top w:val="nil"/>
              <w:left w:val="nil"/>
              <w:bottom w:val="nil"/>
              <w:right w:val="nil"/>
            </w:tcBorders>
            <w:shd w:val="clear" w:color="auto" w:fill="auto"/>
            <w:noWrap/>
            <w:vAlign w:val="bottom"/>
            <w:hideMark/>
          </w:tcPr>
          <w:p w14:paraId="68DD5A4E" w14:textId="77777777" w:rsidR="003B2C9F" w:rsidRPr="003B2C9F" w:rsidRDefault="003B2C9F" w:rsidP="003B2C9F">
            <w:pPr>
              <w:jc w:val="right"/>
              <w:rPr>
                <w:b/>
                <w:bCs/>
                <w:sz w:val="20"/>
                <w:szCs w:val="20"/>
              </w:rPr>
            </w:pPr>
            <w:r w:rsidRPr="003B2C9F">
              <w:rPr>
                <w:b/>
                <w:bCs/>
                <w:sz w:val="20"/>
                <w:szCs w:val="20"/>
              </w:rPr>
              <w:t>11.659.323,26</w:t>
            </w:r>
          </w:p>
        </w:tc>
        <w:tc>
          <w:tcPr>
            <w:tcW w:w="1525" w:type="dxa"/>
            <w:tcBorders>
              <w:top w:val="nil"/>
              <w:left w:val="nil"/>
              <w:bottom w:val="nil"/>
              <w:right w:val="nil"/>
            </w:tcBorders>
            <w:shd w:val="clear" w:color="auto" w:fill="auto"/>
            <w:noWrap/>
            <w:vAlign w:val="bottom"/>
            <w:hideMark/>
          </w:tcPr>
          <w:p w14:paraId="0EDE5940" w14:textId="77777777" w:rsidR="003B2C9F" w:rsidRPr="003B2C9F" w:rsidRDefault="003B2C9F" w:rsidP="003B2C9F">
            <w:pPr>
              <w:jc w:val="right"/>
              <w:rPr>
                <w:b/>
                <w:bCs/>
                <w:sz w:val="20"/>
                <w:szCs w:val="20"/>
              </w:rPr>
            </w:pPr>
            <w:r w:rsidRPr="003B2C9F">
              <w:rPr>
                <w:b/>
                <w:bCs/>
                <w:sz w:val="20"/>
                <w:szCs w:val="20"/>
              </w:rPr>
              <w:t>129,50</w:t>
            </w:r>
          </w:p>
        </w:tc>
        <w:tc>
          <w:tcPr>
            <w:tcW w:w="1000" w:type="dxa"/>
            <w:tcBorders>
              <w:top w:val="nil"/>
              <w:left w:val="nil"/>
              <w:bottom w:val="nil"/>
              <w:right w:val="nil"/>
            </w:tcBorders>
            <w:shd w:val="clear" w:color="auto" w:fill="auto"/>
            <w:noWrap/>
            <w:vAlign w:val="bottom"/>
            <w:hideMark/>
          </w:tcPr>
          <w:p w14:paraId="0312A9D8" w14:textId="77777777" w:rsidR="003B2C9F" w:rsidRPr="003B2C9F" w:rsidRDefault="003B2C9F" w:rsidP="003B2C9F">
            <w:pPr>
              <w:jc w:val="right"/>
              <w:rPr>
                <w:b/>
                <w:bCs/>
                <w:sz w:val="20"/>
                <w:szCs w:val="20"/>
              </w:rPr>
            </w:pPr>
            <w:r w:rsidRPr="003B2C9F">
              <w:rPr>
                <w:b/>
                <w:bCs/>
                <w:sz w:val="20"/>
                <w:szCs w:val="20"/>
              </w:rPr>
              <w:t>95,68</w:t>
            </w:r>
          </w:p>
        </w:tc>
      </w:tr>
      <w:tr w:rsidR="003B2C9F" w:rsidRPr="003B2C9F" w14:paraId="15D10929" w14:textId="77777777" w:rsidTr="003B2C9F">
        <w:trPr>
          <w:trHeight w:val="300"/>
        </w:trPr>
        <w:tc>
          <w:tcPr>
            <w:tcW w:w="616" w:type="dxa"/>
            <w:tcBorders>
              <w:top w:val="nil"/>
              <w:left w:val="nil"/>
              <w:bottom w:val="nil"/>
              <w:right w:val="nil"/>
            </w:tcBorders>
            <w:shd w:val="clear" w:color="auto" w:fill="auto"/>
            <w:noWrap/>
            <w:vAlign w:val="bottom"/>
            <w:hideMark/>
          </w:tcPr>
          <w:p w14:paraId="74481F27" w14:textId="77777777" w:rsidR="003B2C9F" w:rsidRPr="003B2C9F" w:rsidRDefault="003B2C9F" w:rsidP="003B2C9F">
            <w:pPr>
              <w:rPr>
                <w:sz w:val="20"/>
                <w:szCs w:val="20"/>
              </w:rPr>
            </w:pPr>
            <w:r w:rsidRPr="003B2C9F">
              <w:rPr>
                <w:sz w:val="20"/>
                <w:szCs w:val="20"/>
              </w:rPr>
              <w:t>3231</w:t>
            </w:r>
          </w:p>
        </w:tc>
        <w:tc>
          <w:tcPr>
            <w:tcW w:w="6472" w:type="dxa"/>
            <w:tcBorders>
              <w:top w:val="nil"/>
              <w:left w:val="nil"/>
              <w:bottom w:val="nil"/>
              <w:right w:val="nil"/>
            </w:tcBorders>
            <w:shd w:val="clear" w:color="auto" w:fill="auto"/>
            <w:vAlign w:val="bottom"/>
            <w:hideMark/>
          </w:tcPr>
          <w:p w14:paraId="0DE00CB0" w14:textId="77777777" w:rsidR="003B2C9F" w:rsidRPr="003B2C9F" w:rsidRDefault="003B2C9F" w:rsidP="003B2C9F">
            <w:pPr>
              <w:rPr>
                <w:sz w:val="20"/>
                <w:szCs w:val="20"/>
              </w:rPr>
            </w:pPr>
            <w:r w:rsidRPr="003B2C9F">
              <w:rPr>
                <w:sz w:val="20"/>
                <w:szCs w:val="20"/>
              </w:rPr>
              <w:t xml:space="preserve">Usluge telefona, pošte i prijevoza                                                                  </w:t>
            </w:r>
          </w:p>
        </w:tc>
        <w:tc>
          <w:tcPr>
            <w:tcW w:w="1559" w:type="dxa"/>
            <w:tcBorders>
              <w:top w:val="nil"/>
              <w:left w:val="nil"/>
              <w:bottom w:val="nil"/>
              <w:right w:val="nil"/>
            </w:tcBorders>
            <w:shd w:val="clear" w:color="auto" w:fill="auto"/>
            <w:noWrap/>
            <w:vAlign w:val="bottom"/>
            <w:hideMark/>
          </w:tcPr>
          <w:p w14:paraId="6753769B" w14:textId="77777777" w:rsidR="003B2C9F" w:rsidRPr="003B2C9F" w:rsidRDefault="003B2C9F" w:rsidP="003B2C9F">
            <w:pPr>
              <w:jc w:val="right"/>
              <w:rPr>
                <w:sz w:val="20"/>
                <w:szCs w:val="20"/>
              </w:rPr>
            </w:pPr>
            <w:r w:rsidRPr="003B2C9F">
              <w:rPr>
                <w:sz w:val="20"/>
                <w:szCs w:val="20"/>
              </w:rPr>
              <w:t>257.667,13</w:t>
            </w:r>
          </w:p>
        </w:tc>
        <w:tc>
          <w:tcPr>
            <w:tcW w:w="1503" w:type="dxa"/>
            <w:tcBorders>
              <w:top w:val="nil"/>
              <w:left w:val="nil"/>
              <w:bottom w:val="nil"/>
              <w:right w:val="nil"/>
            </w:tcBorders>
            <w:shd w:val="clear" w:color="auto" w:fill="auto"/>
            <w:noWrap/>
            <w:vAlign w:val="bottom"/>
            <w:hideMark/>
          </w:tcPr>
          <w:p w14:paraId="07F9FAC5"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1C15FE9B" w14:textId="77777777" w:rsidR="003B2C9F" w:rsidRPr="003B2C9F" w:rsidRDefault="003B2C9F" w:rsidP="003B2C9F">
            <w:pPr>
              <w:jc w:val="right"/>
              <w:rPr>
                <w:sz w:val="20"/>
                <w:szCs w:val="20"/>
              </w:rPr>
            </w:pPr>
            <w:r w:rsidRPr="003B2C9F">
              <w:rPr>
                <w:sz w:val="20"/>
                <w:szCs w:val="20"/>
              </w:rPr>
              <w:t>317.963,94</w:t>
            </w:r>
          </w:p>
        </w:tc>
        <w:tc>
          <w:tcPr>
            <w:tcW w:w="1525" w:type="dxa"/>
            <w:tcBorders>
              <w:top w:val="nil"/>
              <w:left w:val="nil"/>
              <w:bottom w:val="nil"/>
              <w:right w:val="nil"/>
            </w:tcBorders>
            <w:shd w:val="clear" w:color="auto" w:fill="auto"/>
            <w:noWrap/>
            <w:vAlign w:val="bottom"/>
            <w:hideMark/>
          </w:tcPr>
          <w:p w14:paraId="12D54C24" w14:textId="77777777" w:rsidR="003B2C9F" w:rsidRPr="003B2C9F" w:rsidRDefault="003B2C9F" w:rsidP="003B2C9F">
            <w:pPr>
              <w:jc w:val="right"/>
              <w:rPr>
                <w:sz w:val="20"/>
                <w:szCs w:val="20"/>
              </w:rPr>
            </w:pPr>
            <w:r w:rsidRPr="003B2C9F">
              <w:rPr>
                <w:sz w:val="20"/>
                <w:szCs w:val="20"/>
              </w:rPr>
              <w:t>123,40</w:t>
            </w:r>
          </w:p>
        </w:tc>
        <w:tc>
          <w:tcPr>
            <w:tcW w:w="1000" w:type="dxa"/>
            <w:tcBorders>
              <w:top w:val="nil"/>
              <w:left w:val="nil"/>
              <w:bottom w:val="nil"/>
              <w:right w:val="nil"/>
            </w:tcBorders>
            <w:shd w:val="clear" w:color="auto" w:fill="auto"/>
            <w:noWrap/>
            <w:vAlign w:val="bottom"/>
            <w:hideMark/>
          </w:tcPr>
          <w:p w14:paraId="1BD6ADAA" w14:textId="77777777" w:rsidR="003B2C9F" w:rsidRPr="003B2C9F" w:rsidRDefault="003B2C9F" w:rsidP="003B2C9F">
            <w:pPr>
              <w:jc w:val="right"/>
              <w:rPr>
                <w:sz w:val="20"/>
                <w:szCs w:val="20"/>
              </w:rPr>
            </w:pPr>
          </w:p>
        </w:tc>
      </w:tr>
      <w:tr w:rsidR="003B2C9F" w:rsidRPr="003B2C9F" w14:paraId="28C5525A" w14:textId="77777777" w:rsidTr="003B2C9F">
        <w:trPr>
          <w:trHeight w:val="300"/>
        </w:trPr>
        <w:tc>
          <w:tcPr>
            <w:tcW w:w="616" w:type="dxa"/>
            <w:tcBorders>
              <w:top w:val="nil"/>
              <w:left w:val="nil"/>
              <w:bottom w:val="nil"/>
              <w:right w:val="nil"/>
            </w:tcBorders>
            <w:shd w:val="clear" w:color="auto" w:fill="auto"/>
            <w:noWrap/>
            <w:vAlign w:val="bottom"/>
            <w:hideMark/>
          </w:tcPr>
          <w:p w14:paraId="0F59186E" w14:textId="77777777" w:rsidR="003B2C9F" w:rsidRPr="003B2C9F" w:rsidRDefault="003B2C9F" w:rsidP="003B2C9F">
            <w:pPr>
              <w:rPr>
                <w:sz w:val="20"/>
                <w:szCs w:val="20"/>
              </w:rPr>
            </w:pPr>
            <w:r w:rsidRPr="003B2C9F">
              <w:rPr>
                <w:sz w:val="20"/>
                <w:szCs w:val="20"/>
              </w:rPr>
              <w:t>3232</w:t>
            </w:r>
          </w:p>
        </w:tc>
        <w:tc>
          <w:tcPr>
            <w:tcW w:w="6472" w:type="dxa"/>
            <w:tcBorders>
              <w:top w:val="nil"/>
              <w:left w:val="nil"/>
              <w:bottom w:val="nil"/>
              <w:right w:val="nil"/>
            </w:tcBorders>
            <w:shd w:val="clear" w:color="auto" w:fill="auto"/>
            <w:vAlign w:val="bottom"/>
            <w:hideMark/>
          </w:tcPr>
          <w:p w14:paraId="680ADFB8" w14:textId="77777777" w:rsidR="003B2C9F" w:rsidRPr="003B2C9F" w:rsidRDefault="003B2C9F" w:rsidP="003B2C9F">
            <w:pPr>
              <w:rPr>
                <w:sz w:val="20"/>
                <w:szCs w:val="20"/>
              </w:rPr>
            </w:pPr>
            <w:r w:rsidRPr="003B2C9F">
              <w:rPr>
                <w:sz w:val="20"/>
                <w:szCs w:val="20"/>
              </w:rPr>
              <w:t xml:space="preserve">Usluge tekućeg i investicijskog održavanja                                                          </w:t>
            </w:r>
          </w:p>
        </w:tc>
        <w:tc>
          <w:tcPr>
            <w:tcW w:w="1559" w:type="dxa"/>
            <w:tcBorders>
              <w:top w:val="nil"/>
              <w:left w:val="nil"/>
              <w:bottom w:val="nil"/>
              <w:right w:val="nil"/>
            </w:tcBorders>
            <w:shd w:val="clear" w:color="auto" w:fill="auto"/>
            <w:noWrap/>
            <w:vAlign w:val="bottom"/>
            <w:hideMark/>
          </w:tcPr>
          <w:p w14:paraId="043572AF" w14:textId="77777777" w:rsidR="003B2C9F" w:rsidRPr="003B2C9F" w:rsidRDefault="003B2C9F" w:rsidP="003B2C9F">
            <w:pPr>
              <w:jc w:val="right"/>
              <w:rPr>
                <w:sz w:val="20"/>
                <w:szCs w:val="20"/>
              </w:rPr>
            </w:pPr>
            <w:r w:rsidRPr="003B2C9F">
              <w:rPr>
                <w:sz w:val="20"/>
                <w:szCs w:val="20"/>
              </w:rPr>
              <w:t>3.979.206,54</w:t>
            </w:r>
          </w:p>
        </w:tc>
        <w:tc>
          <w:tcPr>
            <w:tcW w:w="1503" w:type="dxa"/>
            <w:tcBorders>
              <w:top w:val="nil"/>
              <w:left w:val="nil"/>
              <w:bottom w:val="nil"/>
              <w:right w:val="nil"/>
            </w:tcBorders>
            <w:shd w:val="clear" w:color="auto" w:fill="auto"/>
            <w:noWrap/>
            <w:vAlign w:val="bottom"/>
            <w:hideMark/>
          </w:tcPr>
          <w:p w14:paraId="117D5914"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10CEFBE8" w14:textId="77777777" w:rsidR="003B2C9F" w:rsidRPr="003B2C9F" w:rsidRDefault="003B2C9F" w:rsidP="003B2C9F">
            <w:pPr>
              <w:jc w:val="right"/>
              <w:rPr>
                <w:sz w:val="20"/>
                <w:szCs w:val="20"/>
              </w:rPr>
            </w:pPr>
            <w:r w:rsidRPr="003B2C9F">
              <w:rPr>
                <w:sz w:val="20"/>
                <w:szCs w:val="20"/>
              </w:rPr>
              <w:t>5.064.341,60</w:t>
            </w:r>
          </w:p>
        </w:tc>
        <w:tc>
          <w:tcPr>
            <w:tcW w:w="1525" w:type="dxa"/>
            <w:tcBorders>
              <w:top w:val="nil"/>
              <w:left w:val="nil"/>
              <w:bottom w:val="nil"/>
              <w:right w:val="nil"/>
            </w:tcBorders>
            <w:shd w:val="clear" w:color="auto" w:fill="auto"/>
            <w:noWrap/>
            <w:vAlign w:val="bottom"/>
            <w:hideMark/>
          </w:tcPr>
          <w:p w14:paraId="6FA2AA20" w14:textId="77777777" w:rsidR="003B2C9F" w:rsidRPr="003B2C9F" w:rsidRDefault="003B2C9F" w:rsidP="003B2C9F">
            <w:pPr>
              <w:jc w:val="right"/>
              <w:rPr>
                <w:sz w:val="20"/>
                <w:szCs w:val="20"/>
              </w:rPr>
            </w:pPr>
            <w:r w:rsidRPr="003B2C9F">
              <w:rPr>
                <w:sz w:val="20"/>
                <w:szCs w:val="20"/>
              </w:rPr>
              <w:t>127,27</w:t>
            </w:r>
          </w:p>
        </w:tc>
        <w:tc>
          <w:tcPr>
            <w:tcW w:w="1000" w:type="dxa"/>
            <w:tcBorders>
              <w:top w:val="nil"/>
              <w:left w:val="nil"/>
              <w:bottom w:val="nil"/>
              <w:right w:val="nil"/>
            </w:tcBorders>
            <w:shd w:val="clear" w:color="auto" w:fill="auto"/>
            <w:noWrap/>
            <w:vAlign w:val="bottom"/>
            <w:hideMark/>
          </w:tcPr>
          <w:p w14:paraId="4E658C54" w14:textId="77777777" w:rsidR="003B2C9F" w:rsidRPr="003B2C9F" w:rsidRDefault="003B2C9F" w:rsidP="003B2C9F">
            <w:pPr>
              <w:jc w:val="right"/>
              <w:rPr>
                <w:sz w:val="20"/>
                <w:szCs w:val="20"/>
              </w:rPr>
            </w:pPr>
          </w:p>
        </w:tc>
      </w:tr>
      <w:tr w:rsidR="003B2C9F" w:rsidRPr="003B2C9F" w14:paraId="576FDFB2" w14:textId="77777777" w:rsidTr="003B2C9F">
        <w:trPr>
          <w:trHeight w:val="300"/>
        </w:trPr>
        <w:tc>
          <w:tcPr>
            <w:tcW w:w="616" w:type="dxa"/>
            <w:tcBorders>
              <w:top w:val="nil"/>
              <w:left w:val="nil"/>
              <w:bottom w:val="nil"/>
              <w:right w:val="nil"/>
            </w:tcBorders>
            <w:shd w:val="clear" w:color="auto" w:fill="auto"/>
            <w:noWrap/>
            <w:vAlign w:val="bottom"/>
            <w:hideMark/>
          </w:tcPr>
          <w:p w14:paraId="34F50663" w14:textId="77777777" w:rsidR="003B2C9F" w:rsidRPr="003B2C9F" w:rsidRDefault="003B2C9F" w:rsidP="003B2C9F">
            <w:pPr>
              <w:rPr>
                <w:sz w:val="20"/>
                <w:szCs w:val="20"/>
              </w:rPr>
            </w:pPr>
            <w:r w:rsidRPr="003B2C9F">
              <w:rPr>
                <w:sz w:val="20"/>
                <w:szCs w:val="20"/>
              </w:rPr>
              <w:lastRenderedPageBreak/>
              <w:t>3233</w:t>
            </w:r>
          </w:p>
        </w:tc>
        <w:tc>
          <w:tcPr>
            <w:tcW w:w="6472" w:type="dxa"/>
            <w:tcBorders>
              <w:top w:val="nil"/>
              <w:left w:val="nil"/>
              <w:bottom w:val="nil"/>
              <w:right w:val="nil"/>
            </w:tcBorders>
            <w:shd w:val="clear" w:color="auto" w:fill="auto"/>
            <w:vAlign w:val="bottom"/>
            <w:hideMark/>
          </w:tcPr>
          <w:p w14:paraId="3702C694" w14:textId="77777777" w:rsidR="003B2C9F" w:rsidRPr="003B2C9F" w:rsidRDefault="003B2C9F" w:rsidP="003B2C9F">
            <w:pPr>
              <w:rPr>
                <w:sz w:val="20"/>
                <w:szCs w:val="20"/>
              </w:rPr>
            </w:pPr>
            <w:r w:rsidRPr="003B2C9F">
              <w:rPr>
                <w:sz w:val="20"/>
                <w:szCs w:val="20"/>
              </w:rPr>
              <w:t xml:space="preserve">Usluge promidžbe i informiranja                                                                     </w:t>
            </w:r>
          </w:p>
        </w:tc>
        <w:tc>
          <w:tcPr>
            <w:tcW w:w="1559" w:type="dxa"/>
            <w:tcBorders>
              <w:top w:val="nil"/>
              <w:left w:val="nil"/>
              <w:bottom w:val="nil"/>
              <w:right w:val="nil"/>
            </w:tcBorders>
            <w:shd w:val="clear" w:color="auto" w:fill="auto"/>
            <w:noWrap/>
            <w:vAlign w:val="bottom"/>
            <w:hideMark/>
          </w:tcPr>
          <w:p w14:paraId="0088E19A" w14:textId="77777777" w:rsidR="003B2C9F" w:rsidRPr="003B2C9F" w:rsidRDefault="003B2C9F" w:rsidP="003B2C9F">
            <w:pPr>
              <w:jc w:val="right"/>
              <w:rPr>
                <w:sz w:val="20"/>
                <w:szCs w:val="20"/>
              </w:rPr>
            </w:pPr>
            <w:r w:rsidRPr="003B2C9F">
              <w:rPr>
                <w:sz w:val="20"/>
                <w:szCs w:val="20"/>
              </w:rPr>
              <w:t>352.083,25</w:t>
            </w:r>
          </w:p>
        </w:tc>
        <w:tc>
          <w:tcPr>
            <w:tcW w:w="1503" w:type="dxa"/>
            <w:tcBorders>
              <w:top w:val="nil"/>
              <w:left w:val="nil"/>
              <w:bottom w:val="nil"/>
              <w:right w:val="nil"/>
            </w:tcBorders>
            <w:shd w:val="clear" w:color="auto" w:fill="auto"/>
            <w:noWrap/>
            <w:vAlign w:val="bottom"/>
            <w:hideMark/>
          </w:tcPr>
          <w:p w14:paraId="1E438F83"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20E561C5" w14:textId="77777777" w:rsidR="003B2C9F" w:rsidRPr="003B2C9F" w:rsidRDefault="003B2C9F" w:rsidP="003B2C9F">
            <w:pPr>
              <w:jc w:val="right"/>
              <w:rPr>
                <w:sz w:val="20"/>
                <w:szCs w:val="20"/>
              </w:rPr>
            </w:pPr>
            <w:r w:rsidRPr="003B2C9F">
              <w:rPr>
                <w:sz w:val="20"/>
                <w:szCs w:val="20"/>
              </w:rPr>
              <w:t>349.495,93</w:t>
            </w:r>
          </w:p>
        </w:tc>
        <w:tc>
          <w:tcPr>
            <w:tcW w:w="1525" w:type="dxa"/>
            <w:tcBorders>
              <w:top w:val="nil"/>
              <w:left w:val="nil"/>
              <w:bottom w:val="nil"/>
              <w:right w:val="nil"/>
            </w:tcBorders>
            <w:shd w:val="clear" w:color="auto" w:fill="auto"/>
            <w:noWrap/>
            <w:vAlign w:val="bottom"/>
            <w:hideMark/>
          </w:tcPr>
          <w:p w14:paraId="1AE484FE" w14:textId="77777777" w:rsidR="003B2C9F" w:rsidRPr="003B2C9F" w:rsidRDefault="003B2C9F" w:rsidP="003B2C9F">
            <w:pPr>
              <w:jc w:val="right"/>
              <w:rPr>
                <w:sz w:val="20"/>
                <w:szCs w:val="20"/>
              </w:rPr>
            </w:pPr>
            <w:r w:rsidRPr="003B2C9F">
              <w:rPr>
                <w:sz w:val="20"/>
                <w:szCs w:val="20"/>
              </w:rPr>
              <w:t>99,27</w:t>
            </w:r>
          </w:p>
        </w:tc>
        <w:tc>
          <w:tcPr>
            <w:tcW w:w="1000" w:type="dxa"/>
            <w:tcBorders>
              <w:top w:val="nil"/>
              <w:left w:val="nil"/>
              <w:bottom w:val="nil"/>
              <w:right w:val="nil"/>
            </w:tcBorders>
            <w:shd w:val="clear" w:color="auto" w:fill="auto"/>
            <w:noWrap/>
            <w:vAlign w:val="bottom"/>
            <w:hideMark/>
          </w:tcPr>
          <w:p w14:paraId="4BCECBDE" w14:textId="77777777" w:rsidR="003B2C9F" w:rsidRPr="003B2C9F" w:rsidRDefault="003B2C9F" w:rsidP="003B2C9F">
            <w:pPr>
              <w:jc w:val="right"/>
              <w:rPr>
                <w:sz w:val="20"/>
                <w:szCs w:val="20"/>
              </w:rPr>
            </w:pPr>
          </w:p>
        </w:tc>
      </w:tr>
      <w:tr w:rsidR="003B2C9F" w:rsidRPr="003B2C9F" w14:paraId="74FEF3CF" w14:textId="77777777" w:rsidTr="003B2C9F">
        <w:trPr>
          <w:trHeight w:val="300"/>
        </w:trPr>
        <w:tc>
          <w:tcPr>
            <w:tcW w:w="616" w:type="dxa"/>
            <w:tcBorders>
              <w:top w:val="nil"/>
              <w:left w:val="nil"/>
              <w:bottom w:val="nil"/>
              <w:right w:val="nil"/>
            </w:tcBorders>
            <w:shd w:val="clear" w:color="auto" w:fill="auto"/>
            <w:noWrap/>
            <w:vAlign w:val="bottom"/>
            <w:hideMark/>
          </w:tcPr>
          <w:p w14:paraId="79E5A24D" w14:textId="77777777" w:rsidR="003B2C9F" w:rsidRPr="003B2C9F" w:rsidRDefault="003B2C9F" w:rsidP="003B2C9F">
            <w:pPr>
              <w:rPr>
                <w:sz w:val="20"/>
                <w:szCs w:val="20"/>
              </w:rPr>
            </w:pPr>
            <w:r w:rsidRPr="003B2C9F">
              <w:rPr>
                <w:sz w:val="20"/>
                <w:szCs w:val="20"/>
              </w:rPr>
              <w:t>3234</w:t>
            </w:r>
          </w:p>
        </w:tc>
        <w:tc>
          <w:tcPr>
            <w:tcW w:w="6472" w:type="dxa"/>
            <w:tcBorders>
              <w:top w:val="nil"/>
              <w:left w:val="nil"/>
              <w:bottom w:val="nil"/>
              <w:right w:val="nil"/>
            </w:tcBorders>
            <w:shd w:val="clear" w:color="auto" w:fill="auto"/>
            <w:vAlign w:val="bottom"/>
            <w:hideMark/>
          </w:tcPr>
          <w:p w14:paraId="799060BA" w14:textId="77777777" w:rsidR="003B2C9F" w:rsidRPr="003B2C9F" w:rsidRDefault="003B2C9F" w:rsidP="003B2C9F">
            <w:pPr>
              <w:rPr>
                <w:sz w:val="20"/>
                <w:szCs w:val="20"/>
              </w:rPr>
            </w:pPr>
            <w:r w:rsidRPr="003B2C9F">
              <w:rPr>
                <w:sz w:val="20"/>
                <w:szCs w:val="20"/>
              </w:rPr>
              <w:t xml:space="preserve">Komunalne usluge                                                                                    </w:t>
            </w:r>
          </w:p>
        </w:tc>
        <w:tc>
          <w:tcPr>
            <w:tcW w:w="1559" w:type="dxa"/>
            <w:tcBorders>
              <w:top w:val="nil"/>
              <w:left w:val="nil"/>
              <w:bottom w:val="nil"/>
              <w:right w:val="nil"/>
            </w:tcBorders>
            <w:shd w:val="clear" w:color="auto" w:fill="auto"/>
            <w:noWrap/>
            <w:vAlign w:val="bottom"/>
            <w:hideMark/>
          </w:tcPr>
          <w:p w14:paraId="32DBAA0B" w14:textId="77777777" w:rsidR="003B2C9F" w:rsidRPr="003B2C9F" w:rsidRDefault="003B2C9F" w:rsidP="003B2C9F">
            <w:pPr>
              <w:jc w:val="right"/>
              <w:rPr>
                <w:sz w:val="20"/>
                <w:szCs w:val="20"/>
              </w:rPr>
            </w:pPr>
            <w:r w:rsidRPr="003B2C9F">
              <w:rPr>
                <w:sz w:val="20"/>
                <w:szCs w:val="20"/>
              </w:rPr>
              <w:t>2.265.024,51</w:t>
            </w:r>
          </w:p>
        </w:tc>
        <w:tc>
          <w:tcPr>
            <w:tcW w:w="1503" w:type="dxa"/>
            <w:tcBorders>
              <w:top w:val="nil"/>
              <w:left w:val="nil"/>
              <w:bottom w:val="nil"/>
              <w:right w:val="nil"/>
            </w:tcBorders>
            <w:shd w:val="clear" w:color="auto" w:fill="auto"/>
            <w:noWrap/>
            <w:vAlign w:val="bottom"/>
            <w:hideMark/>
          </w:tcPr>
          <w:p w14:paraId="3017462F"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07EC38EB" w14:textId="77777777" w:rsidR="003B2C9F" w:rsidRPr="003B2C9F" w:rsidRDefault="003B2C9F" w:rsidP="003B2C9F">
            <w:pPr>
              <w:jc w:val="right"/>
              <w:rPr>
                <w:sz w:val="20"/>
                <w:szCs w:val="20"/>
              </w:rPr>
            </w:pPr>
            <w:r w:rsidRPr="003B2C9F">
              <w:rPr>
                <w:sz w:val="20"/>
                <w:szCs w:val="20"/>
              </w:rPr>
              <w:t>2.937.461,38</w:t>
            </w:r>
          </w:p>
        </w:tc>
        <w:tc>
          <w:tcPr>
            <w:tcW w:w="1525" w:type="dxa"/>
            <w:tcBorders>
              <w:top w:val="nil"/>
              <w:left w:val="nil"/>
              <w:bottom w:val="nil"/>
              <w:right w:val="nil"/>
            </w:tcBorders>
            <w:shd w:val="clear" w:color="auto" w:fill="auto"/>
            <w:noWrap/>
            <w:vAlign w:val="bottom"/>
            <w:hideMark/>
          </w:tcPr>
          <w:p w14:paraId="0C50398F" w14:textId="77777777" w:rsidR="003B2C9F" w:rsidRPr="003B2C9F" w:rsidRDefault="003B2C9F" w:rsidP="003B2C9F">
            <w:pPr>
              <w:jc w:val="right"/>
              <w:rPr>
                <w:sz w:val="20"/>
                <w:szCs w:val="20"/>
              </w:rPr>
            </w:pPr>
            <w:r w:rsidRPr="003B2C9F">
              <w:rPr>
                <w:sz w:val="20"/>
                <w:szCs w:val="20"/>
              </w:rPr>
              <w:t>129,69</w:t>
            </w:r>
          </w:p>
        </w:tc>
        <w:tc>
          <w:tcPr>
            <w:tcW w:w="1000" w:type="dxa"/>
            <w:tcBorders>
              <w:top w:val="nil"/>
              <w:left w:val="nil"/>
              <w:bottom w:val="nil"/>
              <w:right w:val="nil"/>
            </w:tcBorders>
            <w:shd w:val="clear" w:color="auto" w:fill="auto"/>
            <w:noWrap/>
            <w:vAlign w:val="bottom"/>
            <w:hideMark/>
          </w:tcPr>
          <w:p w14:paraId="7CBCE089" w14:textId="77777777" w:rsidR="003B2C9F" w:rsidRPr="003B2C9F" w:rsidRDefault="003B2C9F" w:rsidP="003B2C9F">
            <w:pPr>
              <w:jc w:val="right"/>
              <w:rPr>
                <w:sz w:val="20"/>
                <w:szCs w:val="20"/>
              </w:rPr>
            </w:pPr>
          </w:p>
        </w:tc>
      </w:tr>
      <w:tr w:rsidR="003B2C9F" w:rsidRPr="003B2C9F" w14:paraId="7A8C03E0" w14:textId="77777777" w:rsidTr="003B2C9F">
        <w:trPr>
          <w:trHeight w:val="300"/>
        </w:trPr>
        <w:tc>
          <w:tcPr>
            <w:tcW w:w="616" w:type="dxa"/>
            <w:tcBorders>
              <w:top w:val="nil"/>
              <w:left w:val="nil"/>
              <w:bottom w:val="nil"/>
              <w:right w:val="nil"/>
            </w:tcBorders>
            <w:shd w:val="clear" w:color="auto" w:fill="auto"/>
            <w:noWrap/>
            <w:vAlign w:val="bottom"/>
            <w:hideMark/>
          </w:tcPr>
          <w:p w14:paraId="73DC38C4" w14:textId="77777777" w:rsidR="003B2C9F" w:rsidRPr="003B2C9F" w:rsidRDefault="003B2C9F" w:rsidP="003B2C9F">
            <w:pPr>
              <w:rPr>
                <w:sz w:val="20"/>
                <w:szCs w:val="20"/>
              </w:rPr>
            </w:pPr>
            <w:r w:rsidRPr="003B2C9F">
              <w:rPr>
                <w:sz w:val="20"/>
                <w:szCs w:val="20"/>
              </w:rPr>
              <w:t>3235</w:t>
            </w:r>
          </w:p>
        </w:tc>
        <w:tc>
          <w:tcPr>
            <w:tcW w:w="6472" w:type="dxa"/>
            <w:tcBorders>
              <w:top w:val="nil"/>
              <w:left w:val="nil"/>
              <w:bottom w:val="nil"/>
              <w:right w:val="nil"/>
            </w:tcBorders>
            <w:shd w:val="clear" w:color="auto" w:fill="auto"/>
            <w:vAlign w:val="bottom"/>
            <w:hideMark/>
          </w:tcPr>
          <w:p w14:paraId="627ABF0C" w14:textId="77777777" w:rsidR="003B2C9F" w:rsidRPr="003B2C9F" w:rsidRDefault="003B2C9F" w:rsidP="003B2C9F">
            <w:pPr>
              <w:rPr>
                <w:sz w:val="20"/>
                <w:szCs w:val="20"/>
              </w:rPr>
            </w:pPr>
            <w:r w:rsidRPr="003B2C9F">
              <w:rPr>
                <w:sz w:val="20"/>
                <w:szCs w:val="20"/>
              </w:rPr>
              <w:t xml:space="preserve">Zakupnine i najamnine                                                                               </w:t>
            </w:r>
          </w:p>
        </w:tc>
        <w:tc>
          <w:tcPr>
            <w:tcW w:w="1559" w:type="dxa"/>
            <w:tcBorders>
              <w:top w:val="nil"/>
              <w:left w:val="nil"/>
              <w:bottom w:val="nil"/>
              <w:right w:val="nil"/>
            </w:tcBorders>
            <w:shd w:val="clear" w:color="auto" w:fill="auto"/>
            <w:noWrap/>
            <w:vAlign w:val="bottom"/>
            <w:hideMark/>
          </w:tcPr>
          <w:p w14:paraId="1A001557" w14:textId="77777777" w:rsidR="003B2C9F" w:rsidRPr="003B2C9F" w:rsidRDefault="003B2C9F" w:rsidP="003B2C9F">
            <w:pPr>
              <w:jc w:val="right"/>
              <w:rPr>
                <w:sz w:val="20"/>
                <w:szCs w:val="20"/>
              </w:rPr>
            </w:pPr>
            <w:r w:rsidRPr="003B2C9F">
              <w:rPr>
                <w:sz w:val="20"/>
                <w:szCs w:val="20"/>
              </w:rPr>
              <w:t>47.282,50</w:t>
            </w:r>
          </w:p>
        </w:tc>
        <w:tc>
          <w:tcPr>
            <w:tcW w:w="1503" w:type="dxa"/>
            <w:tcBorders>
              <w:top w:val="nil"/>
              <w:left w:val="nil"/>
              <w:bottom w:val="nil"/>
              <w:right w:val="nil"/>
            </w:tcBorders>
            <w:shd w:val="clear" w:color="auto" w:fill="auto"/>
            <w:noWrap/>
            <w:vAlign w:val="bottom"/>
            <w:hideMark/>
          </w:tcPr>
          <w:p w14:paraId="103F6640"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6B426F34" w14:textId="77777777" w:rsidR="003B2C9F" w:rsidRPr="003B2C9F" w:rsidRDefault="003B2C9F" w:rsidP="003B2C9F">
            <w:pPr>
              <w:jc w:val="right"/>
              <w:rPr>
                <w:sz w:val="20"/>
                <w:szCs w:val="20"/>
              </w:rPr>
            </w:pPr>
            <w:r w:rsidRPr="003B2C9F">
              <w:rPr>
                <w:sz w:val="20"/>
                <w:szCs w:val="20"/>
              </w:rPr>
              <w:t>244.339,99</w:t>
            </w:r>
          </w:p>
        </w:tc>
        <w:tc>
          <w:tcPr>
            <w:tcW w:w="1525" w:type="dxa"/>
            <w:tcBorders>
              <w:top w:val="nil"/>
              <w:left w:val="nil"/>
              <w:bottom w:val="nil"/>
              <w:right w:val="nil"/>
            </w:tcBorders>
            <w:shd w:val="clear" w:color="auto" w:fill="auto"/>
            <w:noWrap/>
            <w:vAlign w:val="bottom"/>
            <w:hideMark/>
          </w:tcPr>
          <w:p w14:paraId="6EB10271" w14:textId="77777777" w:rsidR="003B2C9F" w:rsidRPr="003B2C9F" w:rsidRDefault="003B2C9F" w:rsidP="003B2C9F">
            <w:pPr>
              <w:jc w:val="right"/>
              <w:rPr>
                <w:sz w:val="20"/>
                <w:szCs w:val="20"/>
              </w:rPr>
            </w:pPr>
            <w:r w:rsidRPr="003B2C9F">
              <w:rPr>
                <w:sz w:val="20"/>
                <w:szCs w:val="20"/>
              </w:rPr>
              <w:t>516,77</w:t>
            </w:r>
          </w:p>
        </w:tc>
        <w:tc>
          <w:tcPr>
            <w:tcW w:w="1000" w:type="dxa"/>
            <w:tcBorders>
              <w:top w:val="nil"/>
              <w:left w:val="nil"/>
              <w:bottom w:val="nil"/>
              <w:right w:val="nil"/>
            </w:tcBorders>
            <w:shd w:val="clear" w:color="auto" w:fill="auto"/>
            <w:noWrap/>
            <w:vAlign w:val="bottom"/>
            <w:hideMark/>
          </w:tcPr>
          <w:p w14:paraId="17B7A044" w14:textId="77777777" w:rsidR="003B2C9F" w:rsidRPr="003B2C9F" w:rsidRDefault="003B2C9F" w:rsidP="003B2C9F">
            <w:pPr>
              <w:jc w:val="right"/>
              <w:rPr>
                <w:sz w:val="20"/>
                <w:szCs w:val="20"/>
              </w:rPr>
            </w:pPr>
          </w:p>
        </w:tc>
      </w:tr>
      <w:tr w:rsidR="003B2C9F" w:rsidRPr="003B2C9F" w14:paraId="3E541E79" w14:textId="77777777" w:rsidTr="003B2C9F">
        <w:trPr>
          <w:trHeight w:val="300"/>
        </w:trPr>
        <w:tc>
          <w:tcPr>
            <w:tcW w:w="616" w:type="dxa"/>
            <w:tcBorders>
              <w:top w:val="nil"/>
              <w:left w:val="nil"/>
              <w:bottom w:val="nil"/>
              <w:right w:val="nil"/>
            </w:tcBorders>
            <w:shd w:val="clear" w:color="auto" w:fill="auto"/>
            <w:noWrap/>
            <w:vAlign w:val="bottom"/>
            <w:hideMark/>
          </w:tcPr>
          <w:p w14:paraId="687DAAE6" w14:textId="77777777" w:rsidR="003B2C9F" w:rsidRPr="003B2C9F" w:rsidRDefault="003B2C9F" w:rsidP="003B2C9F">
            <w:pPr>
              <w:rPr>
                <w:sz w:val="20"/>
                <w:szCs w:val="20"/>
              </w:rPr>
            </w:pPr>
            <w:r w:rsidRPr="003B2C9F">
              <w:rPr>
                <w:sz w:val="20"/>
                <w:szCs w:val="20"/>
              </w:rPr>
              <w:t>3236</w:t>
            </w:r>
          </w:p>
        </w:tc>
        <w:tc>
          <w:tcPr>
            <w:tcW w:w="6472" w:type="dxa"/>
            <w:tcBorders>
              <w:top w:val="nil"/>
              <w:left w:val="nil"/>
              <w:bottom w:val="nil"/>
              <w:right w:val="nil"/>
            </w:tcBorders>
            <w:shd w:val="clear" w:color="auto" w:fill="auto"/>
            <w:vAlign w:val="bottom"/>
            <w:hideMark/>
          </w:tcPr>
          <w:p w14:paraId="38122394" w14:textId="77777777" w:rsidR="003B2C9F" w:rsidRPr="003B2C9F" w:rsidRDefault="003B2C9F" w:rsidP="003B2C9F">
            <w:pPr>
              <w:rPr>
                <w:sz w:val="20"/>
                <w:szCs w:val="20"/>
              </w:rPr>
            </w:pPr>
            <w:r w:rsidRPr="003B2C9F">
              <w:rPr>
                <w:sz w:val="20"/>
                <w:szCs w:val="20"/>
              </w:rPr>
              <w:t xml:space="preserve">Zdravstvene i veterinarske usluge                                                                   </w:t>
            </w:r>
          </w:p>
        </w:tc>
        <w:tc>
          <w:tcPr>
            <w:tcW w:w="1559" w:type="dxa"/>
            <w:tcBorders>
              <w:top w:val="nil"/>
              <w:left w:val="nil"/>
              <w:bottom w:val="nil"/>
              <w:right w:val="nil"/>
            </w:tcBorders>
            <w:shd w:val="clear" w:color="auto" w:fill="auto"/>
            <w:noWrap/>
            <w:vAlign w:val="bottom"/>
            <w:hideMark/>
          </w:tcPr>
          <w:p w14:paraId="2AEBBF6E" w14:textId="77777777" w:rsidR="003B2C9F" w:rsidRPr="003B2C9F" w:rsidRDefault="003B2C9F" w:rsidP="003B2C9F">
            <w:pPr>
              <w:jc w:val="right"/>
              <w:rPr>
                <w:sz w:val="20"/>
                <w:szCs w:val="20"/>
              </w:rPr>
            </w:pPr>
            <w:r w:rsidRPr="003B2C9F">
              <w:rPr>
                <w:sz w:val="20"/>
                <w:szCs w:val="20"/>
              </w:rPr>
              <w:t>145.357,97</w:t>
            </w:r>
          </w:p>
        </w:tc>
        <w:tc>
          <w:tcPr>
            <w:tcW w:w="1503" w:type="dxa"/>
            <w:tcBorders>
              <w:top w:val="nil"/>
              <w:left w:val="nil"/>
              <w:bottom w:val="nil"/>
              <w:right w:val="nil"/>
            </w:tcBorders>
            <w:shd w:val="clear" w:color="auto" w:fill="auto"/>
            <w:noWrap/>
            <w:vAlign w:val="bottom"/>
            <w:hideMark/>
          </w:tcPr>
          <w:p w14:paraId="311BB08F"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0E513060" w14:textId="77777777" w:rsidR="003B2C9F" w:rsidRPr="003B2C9F" w:rsidRDefault="003B2C9F" w:rsidP="003B2C9F">
            <w:pPr>
              <w:jc w:val="right"/>
              <w:rPr>
                <w:sz w:val="20"/>
                <w:szCs w:val="20"/>
              </w:rPr>
            </w:pPr>
            <w:r w:rsidRPr="003B2C9F">
              <w:rPr>
                <w:sz w:val="20"/>
                <w:szCs w:val="20"/>
              </w:rPr>
              <w:t>255.421,76</w:t>
            </w:r>
          </w:p>
        </w:tc>
        <w:tc>
          <w:tcPr>
            <w:tcW w:w="1525" w:type="dxa"/>
            <w:tcBorders>
              <w:top w:val="nil"/>
              <w:left w:val="nil"/>
              <w:bottom w:val="nil"/>
              <w:right w:val="nil"/>
            </w:tcBorders>
            <w:shd w:val="clear" w:color="auto" w:fill="auto"/>
            <w:noWrap/>
            <w:vAlign w:val="bottom"/>
            <w:hideMark/>
          </w:tcPr>
          <w:p w14:paraId="5BB97EDB" w14:textId="77777777" w:rsidR="003B2C9F" w:rsidRPr="003B2C9F" w:rsidRDefault="003B2C9F" w:rsidP="003B2C9F">
            <w:pPr>
              <w:jc w:val="right"/>
              <w:rPr>
                <w:sz w:val="20"/>
                <w:szCs w:val="20"/>
              </w:rPr>
            </w:pPr>
            <w:r w:rsidRPr="003B2C9F">
              <w:rPr>
                <w:sz w:val="20"/>
                <w:szCs w:val="20"/>
              </w:rPr>
              <w:t>175,72</w:t>
            </w:r>
          </w:p>
        </w:tc>
        <w:tc>
          <w:tcPr>
            <w:tcW w:w="1000" w:type="dxa"/>
            <w:tcBorders>
              <w:top w:val="nil"/>
              <w:left w:val="nil"/>
              <w:bottom w:val="nil"/>
              <w:right w:val="nil"/>
            </w:tcBorders>
            <w:shd w:val="clear" w:color="auto" w:fill="auto"/>
            <w:noWrap/>
            <w:vAlign w:val="bottom"/>
            <w:hideMark/>
          </w:tcPr>
          <w:p w14:paraId="7644894C" w14:textId="77777777" w:rsidR="003B2C9F" w:rsidRPr="003B2C9F" w:rsidRDefault="003B2C9F" w:rsidP="003B2C9F">
            <w:pPr>
              <w:jc w:val="right"/>
              <w:rPr>
                <w:sz w:val="20"/>
                <w:szCs w:val="20"/>
              </w:rPr>
            </w:pPr>
          </w:p>
        </w:tc>
      </w:tr>
      <w:tr w:rsidR="003B2C9F" w:rsidRPr="003B2C9F" w14:paraId="33577360" w14:textId="77777777" w:rsidTr="003B2C9F">
        <w:trPr>
          <w:trHeight w:val="300"/>
        </w:trPr>
        <w:tc>
          <w:tcPr>
            <w:tcW w:w="616" w:type="dxa"/>
            <w:tcBorders>
              <w:top w:val="nil"/>
              <w:left w:val="nil"/>
              <w:bottom w:val="nil"/>
              <w:right w:val="nil"/>
            </w:tcBorders>
            <w:shd w:val="clear" w:color="auto" w:fill="auto"/>
            <w:noWrap/>
            <w:vAlign w:val="bottom"/>
            <w:hideMark/>
          </w:tcPr>
          <w:p w14:paraId="3C21D728" w14:textId="77777777" w:rsidR="003B2C9F" w:rsidRPr="003B2C9F" w:rsidRDefault="003B2C9F" w:rsidP="003B2C9F">
            <w:pPr>
              <w:rPr>
                <w:sz w:val="20"/>
                <w:szCs w:val="20"/>
              </w:rPr>
            </w:pPr>
            <w:r w:rsidRPr="003B2C9F">
              <w:rPr>
                <w:sz w:val="20"/>
                <w:szCs w:val="20"/>
              </w:rPr>
              <w:t>3237</w:t>
            </w:r>
          </w:p>
        </w:tc>
        <w:tc>
          <w:tcPr>
            <w:tcW w:w="6472" w:type="dxa"/>
            <w:tcBorders>
              <w:top w:val="nil"/>
              <w:left w:val="nil"/>
              <w:bottom w:val="nil"/>
              <w:right w:val="nil"/>
            </w:tcBorders>
            <w:shd w:val="clear" w:color="auto" w:fill="auto"/>
            <w:vAlign w:val="bottom"/>
            <w:hideMark/>
          </w:tcPr>
          <w:p w14:paraId="7947F324" w14:textId="77777777" w:rsidR="003B2C9F" w:rsidRPr="003B2C9F" w:rsidRDefault="003B2C9F" w:rsidP="003B2C9F">
            <w:pPr>
              <w:rPr>
                <w:sz w:val="20"/>
                <w:szCs w:val="20"/>
              </w:rPr>
            </w:pPr>
            <w:r w:rsidRPr="003B2C9F">
              <w:rPr>
                <w:sz w:val="20"/>
                <w:szCs w:val="20"/>
              </w:rPr>
              <w:t xml:space="preserve">Intelektualne i osobne usluge                                                                       </w:t>
            </w:r>
          </w:p>
        </w:tc>
        <w:tc>
          <w:tcPr>
            <w:tcW w:w="1559" w:type="dxa"/>
            <w:tcBorders>
              <w:top w:val="nil"/>
              <w:left w:val="nil"/>
              <w:bottom w:val="nil"/>
              <w:right w:val="nil"/>
            </w:tcBorders>
            <w:shd w:val="clear" w:color="auto" w:fill="auto"/>
            <w:noWrap/>
            <w:vAlign w:val="bottom"/>
            <w:hideMark/>
          </w:tcPr>
          <w:p w14:paraId="5847B592" w14:textId="77777777" w:rsidR="003B2C9F" w:rsidRPr="003B2C9F" w:rsidRDefault="003B2C9F" w:rsidP="003B2C9F">
            <w:pPr>
              <w:jc w:val="right"/>
              <w:rPr>
                <w:sz w:val="20"/>
                <w:szCs w:val="20"/>
              </w:rPr>
            </w:pPr>
            <w:r w:rsidRPr="003B2C9F">
              <w:rPr>
                <w:sz w:val="20"/>
                <w:szCs w:val="20"/>
              </w:rPr>
              <w:t>1.022.488,12</w:t>
            </w:r>
          </w:p>
        </w:tc>
        <w:tc>
          <w:tcPr>
            <w:tcW w:w="1503" w:type="dxa"/>
            <w:tcBorders>
              <w:top w:val="nil"/>
              <w:left w:val="nil"/>
              <w:bottom w:val="nil"/>
              <w:right w:val="nil"/>
            </w:tcBorders>
            <w:shd w:val="clear" w:color="auto" w:fill="auto"/>
            <w:noWrap/>
            <w:vAlign w:val="bottom"/>
            <w:hideMark/>
          </w:tcPr>
          <w:p w14:paraId="520D87DE"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6C2223B7" w14:textId="77777777" w:rsidR="003B2C9F" w:rsidRPr="003B2C9F" w:rsidRDefault="003B2C9F" w:rsidP="003B2C9F">
            <w:pPr>
              <w:jc w:val="right"/>
              <w:rPr>
                <w:sz w:val="20"/>
                <w:szCs w:val="20"/>
              </w:rPr>
            </w:pPr>
            <w:r w:rsidRPr="003B2C9F">
              <w:rPr>
                <w:sz w:val="20"/>
                <w:szCs w:val="20"/>
              </w:rPr>
              <w:t>1.435.573,67</w:t>
            </w:r>
          </w:p>
        </w:tc>
        <w:tc>
          <w:tcPr>
            <w:tcW w:w="1525" w:type="dxa"/>
            <w:tcBorders>
              <w:top w:val="nil"/>
              <w:left w:val="nil"/>
              <w:bottom w:val="nil"/>
              <w:right w:val="nil"/>
            </w:tcBorders>
            <w:shd w:val="clear" w:color="auto" w:fill="auto"/>
            <w:noWrap/>
            <w:vAlign w:val="bottom"/>
            <w:hideMark/>
          </w:tcPr>
          <w:p w14:paraId="74C11C0A" w14:textId="77777777" w:rsidR="003B2C9F" w:rsidRPr="003B2C9F" w:rsidRDefault="003B2C9F" w:rsidP="003B2C9F">
            <w:pPr>
              <w:jc w:val="right"/>
              <w:rPr>
                <w:sz w:val="20"/>
                <w:szCs w:val="20"/>
              </w:rPr>
            </w:pPr>
            <w:r w:rsidRPr="003B2C9F">
              <w:rPr>
                <w:sz w:val="20"/>
                <w:szCs w:val="20"/>
              </w:rPr>
              <w:t>140,40</w:t>
            </w:r>
          </w:p>
        </w:tc>
        <w:tc>
          <w:tcPr>
            <w:tcW w:w="1000" w:type="dxa"/>
            <w:tcBorders>
              <w:top w:val="nil"/>
              <w:left w:val="nil"/>
              <w:bottom w:val="nil"/>
              <w:right w:val="nil"/>
            </w:tcBorders>
            <w:shd w:val="clear" w:color="auto" w:fill="auto"/>
            <w:noWrap/>
            <w:vAlign w:val="bottom"/>
            <w:hideMark/>
          </w:tcPr>
          <w:p w14:paraId="2F5D8F83" w14:textId="77777777" w:rsidR="003B2C9F" w:rsidRPr="003B2C9F" w:rsidRDefault="003B2C9F" w:rsidP="003B2C9F">
            <w:pPr>
              <w:jc w:val="right"/>
              <w:rPr>
                <w:sz w:val="20"/>
                <w:szCs w:val="20"/>
              </w:rPr>
            </w:pPr>
          </w:p>
        </w:tc>
      </w:tr>
      <w:tr w:rsidR="003B2C9F" w:rsidRPr="003B2C9F" w14:paraId="7B654668" w14:textId="77777777" w:rsidTr="003B2C9F">
        <w:trPr>
          <w:trHeight w:val="300"/>
        </w:trPr>
        <w:tc>
          <w:tcPr>
            <w:tcW w:w="616" w:type="dxa"/>
            <w:tcBorders>
              <w:top w:val="nil"/>
              <w:left w:val="nil"/>
              <w:bottom w:val="nil"/>
              <w:right w:val="nil"/>
            </w:tcBorders>
            <w:shd w:val="clear" w:color="auto" w:fill="auto"/>
            <w:noWrap/>
            <w:vAlign w:val="bottom"/>
            <w:hideMark/>
          </w:tcPr>
          <w:p w14:paraId="3CF1FB19" w14:textId="77777777" w:rsidR="003B2C9F" w:rsidRPr="003B2C9F" w:rsidRDefault="003B2C9F" w:rsidP="003B2C9F">
            <w:pPr>
              <w:rPr>
                <w:sz w:val="20"/>
                <w:szCs w:val="20"/>
              </w:rPr>
            </w:pPr>
            <w:r w:rsidRPr="003B2C9F">
              <w:rPr>
                <w:sz w:val="20"/>
                <w:szCs w:val="20"/>
              </w:rPr>
              <w:t>3238</w:t>
            </w:r>
          </w:p>
        </w:tc>
        <w:tc>
          <w:tcPr>
            <w:tcW w:w="6472" w:type="dxa"/>
            <w:tcBorders>
              <w:top w:val="nil"/>
              <w:left w:val="nil"/>
              <w:bottom w:val="nil"/>
              <w:right w:val="nil"/>
            </w:tcBorders>
            <w:shd w:val="clear" w:color="auto" w:fill="auto"/>
            <w:vAlign w:val="bottom"/>
            <w:hideMark/>
          </w:tcPr>
          <w:p w14:paraId="2A3AC407" w14:textId="77777777" w:rsidR="003B2C9F" w:rsidRPr="003B2C9F" w:rsidRDefault="003B2C9F" w:rsidP="003B2C9F">
            <w:pPr>
              <w:rPr>
                <w:sz w:val="20"/>
                <w:szCs w:val="20"/>
              </w:rPr>
            </w:pPr>
            <w:r w:rsidRPr="003B2C9F">
              <w:rPr>
                <w:sz w:val="20"/>
                <w:szCs w:val="20"/>
              </w:rPr>
              <w:t xml:space="preserve">Računalne usluge                                                                                    </w:t>
            </w:r>
          </w:p>
        </w:tc>
        <w:tc>
          <w:tcPr>
            <w:tcW w:w="1559" w:type="dxa"/>
            <w:tcBorders>
              <w:top w:val="nil"/>
              <w:left w:val="nil"/>
              <w:bottom w:val="nil"/>
              <w:right w:val="nil"/>
            </w:tcBorders>
            <w:shd w:val="clear" w:color="auto" w:fill="auto"/>
            <w:noWrap/>
            <w:vAlign w:val="bottom"/>
            <w:hideMark/>
          </w:tcPr>
          <w:p w14:paraId="2B7F0122" w14:textId="77777777" w:rsidR="003B2C9F" w:rsidRPr="003B2C9F" w:rsidRDefault="003B2C9F" w:rsidP="003B2C9F">
            <w:pPr>
              <w:jc w:val="right"/>
              <w:rPr>
                <w:sz w:val="20"/>
                <w:szCs w:val="20"/>
              </w:rPr>
            </w:pPr>
            <w:r w:rsidRPr="003B2C9F">
              <w:rPr>
                <w:sz w:val="20"/>
                <w:szCs w:val="20"/>
              </w:rPr>
              <w:t>207.075,33</w:t>
            </w:r>
          </w:p>
        </w:tc>
        <w:tc>
          <w:tcPr>
            <w:tcW w:w="1503" w:type="dxa"/>
            <w:tcBorders>
              <w:top w:val="nil"/>
              <w:left w:val="nil"/>
              <w:bottom w:val="nil"/>
              <w:right w:val="nil"/>
            </w:tcBorders>
            <w:shd w:val="clear" w:color="auto" w:fill="auto"/>
            <w:noWrap/>
            <w:vAlign w:val="bottom"/>
            <w:hideMark/>
          </w:tcPr>
          <w:p w14:paraId="425B3EDB"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18738AA" w14:textId="77777777" w:rsidR="003B2C9F" w:rsidRPr="003B2C9F" w:rsidRDefault="003B2C9F" w:rsidP="003B2C9F">
            <w:pPr>
              <w:jc w:val="right"/>
              <w:rPr>
                <w:sz w:val="20"/>
                <w:szCs w:val="20"/>
              </w:rPr>
            </w:pPr>
            <w:r w:rsidRPr="003B2C9F">
              <w:rPr>
                <w:sz w:val="20"/>
                <w:szCs w:val="20"/>
              </w:rPr>
              <w:t>226.595,25</w:t>
            </w:r>
          </w:p>
        </w:tc>
        <w:tc>
          <w:tcPr>
            <w:tcW w:w="1525" w:type="dxa"/>
            <w:tcBorders>
              <w:top w:val="nil"/>
              <w:left w:val="nil"/>
              <w:bottom w:val="nil"/>
              <w:right w:val="nil"/>
            </w:tcBorders>
            <w:shd w:val="clear" w:color="auto" w:fill="auto"/>
            <w:noWrap/>
            <w:vAlign w:val="bottom"/>
            <w:hideMark/>
          </w:tcPr>
          <w:p w14:paraId="7B95BB2E" w14:textId="77777777" w:rsidR="003B2C9F" w:rsidRPr="003B2C9F" w:rsidRDefault="003B2C9F" w:rsidP="003B2C9F">
            <w:pPr>
              <w:jc w:val="right"/>
              <w:rPr>
                <w:sz w:val="20"/>
                <w:szCs w:val="20"/>
              </w:rPr>
            </w:pPr>
            <w:r w:rsidRPr="003B2C9F">
              <w:rPr>
                <w:sz w:val="20"/>
                <w:szCs w:val="20"/>
              </w:rPr>
              <w:t>109,43</w:t>
            </w:r>
          </w:p>
        </w:tc>
        <w:tc>
          <w:tcPr>
            <w:tcW w:w="1000" w:type="dxa"/>
            <w:tcBorders>
              <w:top w:val="nil"/>
              <w:left w:val="nil"/>
              <w:bottom w:val="nil"/>
              <w:right w:val="nil"/>
            </w:tcBorders>
            <w:shd w:val="clear" w:color="auto" w:fill="auto"/>
            <w:noWrap/>
            <w:vAlign w:val="bottom"/>
            <w:hideMark/>
          </w:tcPr>
          <w:p w14:paraId="3A3AC35B" w14:textId="77777777" w:rsidR="003B2C9F" w:rsidRPr="003B2C9F" w:rsidRDefault="003B2C9F" w:rsidP="003B2C9F">
            <w:pPr>
              <w:jc w:val="right"/>
              <w:rPr>
                <w:sz w:val="20"/>
                <w:szCs w:val="20"/>
              </w:rPr>
            </w:pPr>
          </w:p>
        </w:tc>
      </w:tr>
      <w:tr w:rsidR="003B2C9F" w:rsidRPr="003B2C9F" w14:paraId="29C2C7C1" w14:textId="77777777" w:rsidTr="003B2C9F">
        <w:trPr>
          <w:trHeight w:val="300"/>
        </w:trPr>
        <w:tc>
          <w:tcPr>
            <w:tcW w:w="616" w:type="dxa"/>
            <w:tcBorders>
              <w:top w:val="nil"/>
              <w:left w:val="nil"/>
              <w:bottom w:val="nil"/>
              <w:right w:val="nil"/>
            </w:tcBorders>
            <w:shd w:val="clear" w:color="auto" w:fill="auto"/>
            <w:noWrap/>
            <w:vAlign w:val="bottom"/>
            <w:hideMark/>
          </w:tcPr>
          <w:p w14:paraId="774B0781" w14:textId="77777777" w:rsidR="003B2C9F" w:rsidRPr="003B2C9F" w:rsidRDefault="003B2C9F" w:rsidP="003B2C9F">
            <w:pPr>
              <w:rPr>
                <w:sz w:val="20"/>
                <w:szCs w:val="20"/>
              </w:rPr>
            </w:pPr>
            <w:r w:rsidRPr="003B2C9F">
              <w:rPr>
                <w:sz w:val="20"/>
                <w:szCs w:val="20"/>
              </w:rPr>
              <w:t>3239</w:t>
            </w:r>
          </w:p>
        </w:tc>
        <w:tc>
          <w:tcPr>
            <w:tcW w:w="6472" w:type="dxa"/>
            <w:tcBorders>
              <w:top w:val="nil"/>
              <w:left w:val="nil"/>
              <w:bottom w:val="nil"/>
              <w:right w:val="nil"/>
            </w:tcBorders>
            <w:shd w:val="clear" w:color="auto" w:fill="auto"/>
            <w:vAlign w:val="bottom"/>
            <w:hideMark/>
          </w:tcPr>
          <w:p w14:paraId="146BC64B" w14:textId="77777777" w:rsidR="003B2C9F" w:rsidRPr="003B2C9F" w:rsidRDefault="003B2C9F" w:rsidP="003B2C9F">
            <w:pPr>
              <w:rPr>
                <w:sz w:val="20"/>
                <w:szCs w:val="20"/>
              </w:rPr>
            </w:pPr>
            <w:r w:rsidRPr="003B2C9F">
              <w:rPr>
                <w:sz w:val="20"/>
                <w:szCs w:val="20"/>
              </w:rPr>
              <w:t xml:space="preserve">Ostale usluge                                                                                       </w:t>
            </w:r>
          </w:p>
        </w:tc>
        <w:tc>
          <w:tcPr>
            <w:tcW w:w="1559" w:type="dxa"/>
            <w:tcBorders>
              <w:top w:val="nil"/>
              <w:left w:val="nil"/>
              <w:bottom w:val="nil"/>
              <w:right w:val="nil"/>
            </w:tcBorders>
            <w:shd w:val="clear" w:color="auto" w:fill="auto"/>
            <w:noWrap/>
            <w:vAlign w:val="bottom"/>
            <w:hideMark/>
          </w:tcPr>
          <w:p w14:paraId="05A2EA6A" w14:textId="77777777" w:rsidR="003B2C9F" w:rsidRPr="003B2C9F" w:rsidRDefault="003B2C9F" w:rsidP="003B2C9F">
            <w:pPr>
              <w:jc w:val="right"/>
              <w:rPr>
                <w:sz w:val="20"/>
                <w:szCs w:val="20"/>
              </w:rPr>
            </w:pPr>
            <w:r w:rsidRPr="003B2C9F">
              <w:rPr>
                <w:sz w:val="20"/>
                <w:szCs w:val="20"/>
              </w:rPr>
              <w:t>727.351,57</w:t>
            </w:r>
          </w:p>
        </w:tc>
        <w:tc>
          <w:tcPr>
            <w:tcW w:w="1503" w:type="dxa"/>
            <w:tcBorders>
              <w:top w:val="nil"/>
              <w:left w:val="nil"/>
              <w:bottom w:val="nil"/>
              <w:right w:val="nil"/>
            </w:tcBorders>
            <w:shd w:val="clear" w:color="auto" w:fill="auto"/>
            <w:noWrap/>
            <w:vAlign w:val="bottom"/>
            <w:hideMark/>
          </w:tcPr>
          <w:p w14:paraId="56079CB4"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7D138811" w14:textId="77777777" w:rsidR="003B2C9F" w:rsidRPr="003B2C9F" w:rsidRDefault="003B2C9F" w:rsidP="003B2C9F">
            <w:pPr>
              <w:jc w:val="right"/>
              <w:rPr>
                <w:sz w:val="20"/>
                <w:szCs w:val="20"/>
              </w:rPr>
            </w:pPr>
            <w:r w:rsidRPr="003B2C9F">
              <w:rPr>
                <w:sz w:val="20"/>
                <w:szCs w:val="20"/>
              </w:rPr>
              <w:t>828.129,74</w:t>
            </w:r>
          </w:p>
        </w:tc>
        <w:tc>
          <w:tcPr>
            <w:tcW w:w="1525" w:type="dxa"/>
            <w:tcBorders>
              <w:top w:val="nil"/>
              <w:left w:val="nil"/>
              <w:bottom w:val="nil"/>
              <w:right w:val="nil"/>
            </w:tcBorders>
            <w:shd w:val="clear" w:color="auto" w:fill="auto"/>
            <w:noWrap/>
            <w:vAlign w:val="bottom"/>
            <w:hideMark/>
          </w:tcPr>
          <w:p w14:paraId="7157FCD8" w14:textId="77777777" w:rsidR="003B2C9F" w:rsidRPr="003B2C9F" w:rsidRDefault="003B2C9F" w:rsidP="003B2C9F">
            <w:pPr>
              <w:jc w:val="right"/>
              <w:rPr>
                <w:sz w:val="20"/>
                <w:szCs w:val="20"/>
              </w:rPr>
            </w:pPr>
            <w:r w:rsidRPr="003B2C9F">
              <w:rPr>
                <w:sz w:val="20"/>
                <w:szCs w:val="20"/>
              </w:rPr>
              <w:t>113,86</w:t>
            </w:r>
          </w:p>
        </w:tc>
        <w:tc>
          <w:tcPr>
            <w:tcW w:w="1000" w:type="dxa"/>
            <w:tcBorders>
              <w:top w:val="nil"/>
              <w:left w:val="nil"/>
              <w:bottom w:val="nil"/>
              <w:right w:val="nil"/>
            </w:tcBorders>
            <w:shd w:val="clear" w:color="auto" w:fill="auto"/>
            <w:noWrap/>
            <w:vAlign w:val="bottom"/>
            <w:hideMark/>
          </w:tcPr>
          <w:p w14:paraId="578BD04C" w14:textId="77777777" w:rsidR="003B2C9F" w:rsidRPr="003B2C9F" w:rsidRDefault="003B2C9F" w:rsidP="003B2C9F">
            <w:pPr>
              <w:jc w:val="right"/>
              <w:rPr>
                <w:sz w:val="20"/>
                <w:szCs w:val="20"/>
              </w:rPr>
            </w:pPr>
          </w:p>
        </w:tc>
      </w:tr>
      <w:tr w:rsidR="003B2C9F" w:rsidRPr="003B2C9F" w14:paraId="2D50A8FC" w14:textId="77777777" w:rsidTr="003B2C9F">
        <w:trPr>
          <w:trHeight w:val="300"/>
        </w:trPr>
        <w:tc>
          <w:tcPr>
            <w:tcW w:w="616" w:type="dxa"/>
            <w:tcBorders>
              <w:top w:val="nil"/>
              <w:left w:val="nil"/>
              <w:bottom w:val="nil"/>
              <w:right w:val="nil"/>
            </w:tcBorders>
            <w:shd w:val="clear" w:color="auto" w:fill="auto"/>
            <w:noWrap/>
            <w:vAlign w:val="bottom"/>
            <w:hideMark/>
          </w:tcPr>
          <w:p w14:paraId="30761047" w14:textId="77777777" w:rsidR="003B2C9F" w:rsidRPr="003B2C9F" w:rsidRDefault="003B2C9F" w:rsidP="003B2C9F">
            <w:pPr>
              <w:rPr>
                <w:b/>
                <w:bCs/>
                <w:sz w:val="20"/>
                <w:szCs w:val="20"/>
              </w:rPr>
            </w:pPr>
            <w:r w:rsidRPr="003B2C9F">
              <w:rPr>
                <w:b/>
                <w:bCs/>
                <w:sz w:val="20"/>
                <w:szCs w:val="20"/>
              </w:rPr>
              <w:t>324</w:t>
            </w:r>
          </w:p>
        </w:tc>
        <w:tc>
          <w:tcPr>
            <w:tcW w:w="6472" w:type="dxa"/>
            <w:tcBorders>
              <w:top w:val="nil"/>
              <w:left w:val="nil"/>
              <w:bottom w:val="nil"/>
              <w:right w:val="nil"/>
            </w:tcBorders>
            <w:shd w:val="clear" w:color="auto" w:fill="auto"/>
            <w:noWrap/>
            <w:vAlign w:val="bottom"/>
            <w:hideMark/>
          </w:tcPr>
          <w:p w14:paraId="3C5B537A" w14:textId="77777777" w:rsidR="003B2C9F" w:rsidRPr="003B2C9F" w:rsidRDefault="003B2C9F" w:rsidP="003B2C9F">
            <w:pPr>
              <w:rPr>
                <w:b/>
                <w:bCs/>
                <w:sz w:val="20"/>
                <w:szCs w:val="20"/>
              </w:rPr>
            </w:pPr>
            <w:r w:rsidRPr="003B2C9F">
              <w:rPr>
                <w:b/>
                <w:bCs/>
                <w:sz w:val="20"/>
                <w:szCs w:val="20"/>
              </w:rPr>
              <w:t xml:space="preserve">Naknade troškova osobama izvan radnog odnosa                                                        </w:t>
            </w:r>
          </w:p>
        </w:tc>
        <w:tc>
          <w:tcPr>
            <w:tcW w:w="1559" w:type="dxa"/>
            <w:tcBorders>
              <w:top w:val="nil"/>
              <w:left w:val="nil"/>
              <w:bottom w:val="nil"/>
              <w:right w:val="nil"/>
            </w:tcBorders>
            <w:shd w:val="clear" w:color="auto" w:fill="auto"/>
            <w:noWrap/>
            <w:vAlign w:val="bottom"/>
            <w:hideMark/>
          </w:tcPr>
          <w:p w14:paraId="169E4770" w14:textId="77777777" w:rsidR="003B2C9F" w:rsidRPr="003B2C9F" w:rsidRDefault="003B2C9F" w:rsidP="003B2C9F">
            <w:pPr>
              <w:jc w:val="right"/>
              <w:rPr>
                <w:b/>
                <w:bCs/>
                <w:sz w:val="20"/>
                <w:szCs w:val="20"/>
              </w:rPr>
            </w:pPr>
            <w:r w:rsidRPr="003B2C9F">
              <w:rPr>
                <w:b/>
                <w:bCs/>
                <w:sz w:val="20"/>
                <w:szCs w:val="20"/>
              </w:rPr>
              <w:t>8.244,00</w:t>
            </w:r>
          </w:p>
        </w:tc>
        <w:tc>
          <w:tcPr>
            <w:tcW w:w="1503" w:type="dxa"/>
            <w:tcBorders>
              <w:top w:val="nil"/>
              <w:left w:val="nil"/>
              <w:bottom w:val="nil"/>
              <w:right w:val="nil"/>
            </w:tcBorders>
            <w:shd w:val="clear" w:color="auto" w:fill="auto"/>
            <w:noWrap/>
            <w:vAlign w:val="bottom"/>
            <w:hideMark/>
          </w:tcPr>
          <w:p w14:paraId="51275E8A" w14:textId="77777777" w:rsidR="003B2C9F" w:rsidRPr="003B2C9F" w:rsidRDefault="003B2C9F" w:rsidP="003B2C9F">
            <w:pPr>
              <w:jc w:val="right"/>
              <w:rPr>
                <w:b/>
                <w:bCs/>
                <w:sz w:val="20"/>
                <w:szCs w:val="20"/>
              </w:rPr>
            </w:pPr>
            <w:r w:rsidRPr="003B2C9F">
              <w:rPr>
                <w:b/>
                <w:bCs/>
                <w:sz w:val="20"/>
                <w:szCs w:val="20"/>
              </w:rPr>
              <w:t>8.000,00</w:t>
            </w:r>
          </w:p>
        </w:tc>
        <w:tc>
          <w:tcPr>
            <w:tcW w:w="1366" w:type="dxa"/>
            <w:tcBorders>
              <w:top w:val="nil"/>
              <w:left w:val="nil"/>
              <w:bottom w:val="nil"/>
              <w:right w:val="nil"/>
            </w:tcBorders>
            <w:shd w:val="clear" w:color="auto" w:fill="auto"/>
            <w:noWrap/>
            <w:vAlign w:val="bottom"/>
            <w:hideMark/>
          </w:tcPr>
          <w:p w14:paraId="6E62BF94" w14:textId="77777777" w:rsidR="003B2C9F" w:rsidRPr="003B2C9F" w:rsidRDefault="003B2C9F" w:rsidP="003B2C9F">
            <w:pPr>
              <w:jc w:val="right"/>
              <w:rPr>
                <w:b/>
                <w:bCs/>
                <w:sz w:val="20"/>
                <w:szCs w:val="20"/>
              </w:rPr>
            </w:pPr>
            <w:r w:rsidRPr="003B2C9F">
              <w:rPr>
                <w:b/>
                <w:bCs/>
                <w:sz w:val="20"/>
                <w:szCs w:val="20"/>
              </w:rPr>
              <w:t>4.269,00</w:t>
            </w:r>
          </w:p>
        </w:tc>
        <w:tc>
          <w:tcPr>
            <w:tcW w:w="1525" w:type="dxa"/>
            <w:tcBorders>
              <w:top w:val="nil"/>
              <w:left w:val="nil"/>
              <w:bottom w:val="nil"/>
              <w:right w:val="nil"/>
            </w:tcBorders>
            <w:shd w:val="clear" w:color="auto" w:fill="auto"/>
            <w:noWrap/>
            <w:vAlign w:val="bottom"/>
            <w:hideMark/>
          </w:tcPr>
          <w:p w14:paraId="5D5C7CBC" w14:textId="77777777" w:rsidR="003B2C9F" w:rsidRPr="003B2C9F" w:rsidRDefault="003B2C9F" w:rsidP="003B2C9F">
            <w:pPr>
              <w:jc w:val="right"/>
              <w:rPr>
                <w:b/>
                <w:bCs/>
                <w:sz w:val="20"/>
                <w:szCs w:val="20"/>
              </w:rPr>
            </w:pPr>
            <w:r w:rsidRPr="003B2C9F">
              <w:rPr>
                <w:b/>
                <w:bCs/>
                <w:sz w:val="20"/>
                <w:szCs w:val="20"/>
              </w:rPr>
              <w:t>51,78</w:t>
            </w:r>
          </w:p>
        </w:tc>
        <w:tc>
          <w:tcPr>
            <w:tcW w:w="1000" w:type="dxa"/>
            <w:tcBorders>
              <w:top w:val="nil"/>
              <w:left w:val="nil"/>
              <w:bottom w:val="nil"/>
              <w:right w:val="nil"/>
            </w:tcBorders>
            <w:shd w:val="clear" w:color="auto" w:fill="auto"/>
            <w:noWrap/>
            <w:vAlign w:val="bottom"/>
            <w:hideMark/>
          </w:tcPr>
          <w:p w14:paraId="402A2EC2" w14:textId="77777777" w:rsidR="003B2C9F" w:rsidRPr="003B2C9F" w:rsidRDefault="003B2C9F" w:rsidP="003B2C9F">
            <w:pPr>
              <w:jc w:val="right"/>
              <w:rPr>
                <w:b/>
                <w:bCs/>
                <w:sz w:val="20"/>
                <w:szCs w:val="20"/>
              </w:rPr>
            </w:pPr>
            <w:r w:rsidRPr="003B2C9F">
              <w:rPr>
                <w:b/>
                <w:bCs/>
                <w:sz w:val="20"/>
                <w:szCs w:val="20"/>
              </w:rPr>
              <w:t>53,36</w:t>
            </w:r>
          </w:p>
        </w:tc>
      </w:tr>
      <w:tr w:rsidR="003B2C9F" w:rsidRPr="003B2C9F" w14:paraId="36173CF2" w14:textId="77777777" w:rsidTr="003B2C9F">
        <w:trPr>
          <w:trHeight w:val="300"/>
        </w:trPr>
        <w:tc>
          <w:tcPr>
            <w:tcW w:w="616" w:type="dxa"/>
            <w:tcBorders>
              <w:top w:val="nil"/>
              <w:left w:val="nil"/>
              <w:bottom w:val="nil"/>
              <w:right w:val="nil"/>
            </w:tcBorders>
            <w:shd w:val="clear" w:color="auto" w:fill="auto"/>
            <w:noWrap/>
            <w:vAlign w:val="bottom"/>
            <w:hideMark/>
          </w:tcPr>
          <w:p w14:paraId="0A6FA397" w14:textId="77777777" w:rsidR="003B2C9F" w:rsidRPr="003B2C9F" w:rsidRDefault="003B2C9F" w:rsidP="003B2C9F">
            <w:pPr>
              <w:rPr>
                <w:sz w:val="20"/>
                <w:szCs w:val="20"/>
              </w:rPr>
            </w:pPr>
            <w:r w:rsidRPr="003B2C9F">
              <w:rPr>
                <w:sz w:val="20"/>
                <w:szCs w:val="20"/>
              </w:rPr>
              <w:t>3241</w:t>
            </w:r>
          </w:p>
        </w:tc>
        <w:tc>
          <w:tcPr>
            <w:tcW w:w="6472" w:type="dxa"/>
            <w:tcBorders>
              <w:top w:val="nil"/>
              <w:left w:val="nil"/>
              <w:bottom w:val="nil"/>
              <w:right w:val="nil"/>
            </w:tcBorders>
            <w:shd w:val="clear" w:color="auto" w:fill="auto"/>
            <w:vAlign w:val="bottom"/>
            <w:hideMark/>
          </w:tcPr>
          <w:p w14:paraId="77E39BBD" w14:textId="77777777" w:rsidR="003B2C9F" w:rsidRPr="003B2C9F" w:rsidRDefault="003B2C9F" w:rsidP="003B2C9F">
            <w:pPr>
              <w:rPr>
                <w:sz w:val="20"/>
                <w:szCs w:val="20"/>
              </w:rPr>
            </w:pPr>
            <w:r w:rsidRPr="003B2C9F">
              <w:rPr>
                <w:sz w:val="20"/>
                <w:szCs w:val="20"/>
              </w:rPr>
              <w:t xml:space="preserve">Naknade troškova osobama izvan radnog odnosa                                                        </w:t>
            </w:r>
          </w:p>
        </w:tc>
        <w:tc>
          <w:tcPr>
            <w:tcW w:w="1559" w:type="dxa"/>
            <w:tcBorders>
              <w:top w:val="nil"/>
              <w:left w:val="nil"/>
              <w:bottom w:val="nil"/>
              <w:right w:val="nil"/>
            </w:tcBorders>
            <w:shd w:val="clear" w:color="auto" w:fill="auto"/>
            <w:noWrap/>
            <w:vAlign w:val="bottom"/>
            <w:hideMark/>
          </w:tcPr>
          <w:p w14:paraId="71DA913A" w14:textId="77777777" w:rsidR="003B2C9F" w:rsidRPr="003B2C9F" w:rsidRDefault="003B2C9F" w:rsidP="003B2C9F">
            <w:pPr>
              <w:jc w:val="right"/>
              <w:rPr>
                <w:sz w:val="20"/>
                <w:szCs w:val="20"/>
              </w:rPr>
            </w:pPr>
            <w:r w:rsidRPr="003B2C9F">
              <w:rPr>
                <w:sz w:val="20"/>
                <w:szCs w:val="20"/>
              </w:rPr>
              <w:t>8.244,00</w:t>
            </w:r>
          </w:p>
        </w:tc>
        <w:tc>
          <w:tcPr>
            <w:tcW w:w="1503" w:type="dxa"/>
            <w:tcBorders>
              <w:top w:val="nil"/>
              <w:left w:val="nil"/>
              <w:bottom w:val="nil"/>
              <w:right w:val="nil"/>
            </w:tcBorders>
            <w:shd w:val="clear" w:color="auto" w:fill="auto"/>
            <w:noWrap/>
            <w:vAlign w:val="bottom"/>
            <w:hideMark/>
          </w:tcPr>
          <w:p w14:paraId="690249BD"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17D3D89D" w14:textId="77777777" w:rsidR="003B2C9F" w:rsidRPr="003B2C9F" w:rsidRDefault="003B2C9F" w:rsidP="003B2C9F">
            <w:pPr>
              <w:jc w:val="right"/>
              <w:rPr>
                <w:sz w:val="20"/>
                <w:szCs w:val="20"/>
              </w:rPr>
            </w:pPr>
            <w:r w:rsidRPr="003B2C9F">
              <w:rPr>
                <w:sz w:val="20"/>
                <w:szCs w:val="20"/>
              </w:rPr>
              <w:t>4.269,00</w:t>
            </w:r>
          </w:p>
        </w:tc>
        <w:tc>
          <w:tcPr>
            <w:tcW w:w="1525" w:type="dxa"/>
            <w:tcBorders>
              <w:top w:val="nil"/>
              <w:left w:val="nil"/>
              <w:bottom w:val="nil"/>
              <w:right w:val="nil"/>
            </w:tcBorders>
            <w:shd w:val="clear" w:color="auto" w:fill="auto"/>
            <w:noWrap/>
            <w:vAlign w:val="bottom"/>
            <w:hideMark/>
          </w:tcPr>
          <w:p w14:paraId="3529C9AA" w14:textId="77777777" w:rsidR="003B2C9F" w:rsidRPr="003B2C9F" w:rsidRDefault="003B2C9F" w:rsidP="003B2C9F">
            <w:pPr>
              <w:jc w:val="right"/>
              <w:rPr>
                <w:sz w:val="20"/>
                <w:szCs w:val="20"/>
              </w:rPr>
            </w:pPr>
            <w:r w:rsidRPr="003B2C9F">
              <w:rPr>
                <w:sz w:val="20"/>
                <w:szCs w:val="20"/>
              </w:rPr>
              <w:t>51,78</w:t>
            </w:r>
          </w:p>
        </w:tc>
        <w:tc>
          <w:tcPr>
            <w:tcW w:w="1000" w:type="dxa"/>
            <w:tcBorders>
              <w:top w:val="nil"/>
              <w:left w:val="nil"/>
              <w:bottom w:val="nil"/>
              <w:right w:val="nil"/>
            </w:tcBorders>
            <w:shd w:val="clear" w:color="auto" w:fill="auto"/>
            <w:noWrap/>
            <w:vAlign w:val="bottom"/>
            <w:hideMark/>
          </w:tcPr>
          <w:p w14:paraId="1F2A554D" w14:textId="77777777" w:rsidR="003B2C9F" w:rsidRPr="003B2C9F" w:rsidRDefault="003B2C9F" w:rsidP="003B2C9F">
            <w:pPr>
              <w:jc w:val="right"/>
              <w:rPr>
                <w:sz w:val="20"/>
                <w:szCs w:val="20"/>
              </w:rPr>
            </w:pPr>
          </w:p>
        </w:tc>
      </w:tr>
      <w:tr w:rsidR="003B2C9F" w:rsidRPr="003B2C9F" w14:paraId="213B943A" w14:textId="77777777" w:rsidTr="003B2C9F">
        <w:trPr>
          <w:trHeight w:val="300"/>
        </w:trPr>
        <w:tc>
          <w:tcPr>
            <w:tcW w:w="616" w:type="dxa"/>
            <w:tcBorders>
              <w:top w:val="nil"/>
              <w:left w:val="nil"/>
              <w:bottom w:val="nil"/>
              <w:right w:val="nil"/>
            </w:tcBorders>
            <w:shd w:val="clear" w:color="auto" w:fill="auto"/>
            <w:noWrap/>
            <w:vAlign w:val="bottom"/>
            <w:hideMark/>
          </w:tcPr>
          <w:p w14:paraId="3489DED1" w14:textId="77777777" w:rsidR="003B2C9F" w:rsidRPr="003B2C9F" w:rsidRDefault="003B2C9F" w:rsidP="003B2C9F">
            <w:pPr>
              <w:rPr>
                <w:b/>
                <w:bCs/>
                <w:sz w:val="20"/>
                <w:szCs w:val="20"/>
              </w:rPr>
            </w:pPr>
            <w:r w:rsidRPr="003B2C9F">
              <w:rPr>
                <w:b/>
                <w:bCs/>
                <w:sz w:val="20"/>
                <w:szCs w:val="20"/>
              </w:rPr>
              <w:t>329</w:t>
            </w:r>
          </w:p>
        </w:tc>
        <w:tc>
          <w:tcPr>
            <w:tcW w:w="6472" w:type="dxa"/>
            <w:tcBorders>
              <w:top w:val="nil"/>
              <w:left w:val="nil"/>
              <w:bottom w:val="nil"/>
              <w:right w:val="nil"/>
            </w:tcBorders>
            <w:shd w:val="clear" w:color="auto" w:fill="auto"/>
            <w:noWrap/>
            <w:vAlign w:val="bottom"/>
            <w:hideMark/>
          </w:tcPr>
          <w:p w14:paraId="2835B5AB" w14:textId="77777777" w:rsidR="003B2C9F" w:rsidRPr="003B2C9F" w:rsidRDefault="003B2C9F" w:rsidP="003B2C9F">
            <w:pPr>
              <w:rPr>
                <w:b/>
                <w:bCs/>
                <w:sz w:val="20"/>
                <w:szCs w:val="20"/>
              </w:rPr>
            </w:pPr>
            <w:r w:rsidRPr="003B2C9F">
              <w:rPr>
                <w:b/>
                <w:bCs/>
                <w:sz w:val="20"/>
                <w:szCs w:val="20"/>
              </w:rPr>
              <w:t xml:space="preserve">Ostali nespomenuti rashodi poslovanja                                                               </w:t>
            </w:r>
          </w:p>
        </w:tc>
        <w:tc>
          <w:tcPr>
            <w:tcW w:w="1559" w:type="dxa"/>
            <w:tcBorders>
              <w:top w:val="nil"/>
              <w:left w:val="nil"/>
              <w:bottom w:val="nil"/>
              <w:right w:val="nil"/>
            </w:tcBorders>
            <w:shd w:val="clear" w:color="auto" w:fill="auto"/>
            <w:noWrap/>
            <w:vAlign w:val="bottom"/>
            <w:hideMark/>
          </w:tcPr>
          <w:p w14:paraId="2F872E60" w14:textId="77777777" w:rsidR="003B2C9F" w:rsidRPr="003B2C9F" w:rsidRDefault="003B2C9F" w:rsidP="003B2C9F">
            <w:pPr>
              <w:jc w:val="right"/>
              <w:rPr>
                <w:b/>
                <w:bCs/>
                <w:sz w:val="20"/>
                <w:szCs w:val="20"/>
              </w:rPr>
            </w:pPr>
            <w:r w:rsidRPr="003B2C9F">
              <w:rPr>
                <w:b/>
                <w:bCs/>
                <w:sz w:val="20"/>
                <w:szCs w:val="20"/>
              </w:rPr>
              <w:t>912.405,03</w:t>
            </w:r>
          </w:p>
        </w:tc>
        <w:tc>
          <w:tcPr>
            <w:tcW w:w="1503" w:type="dxa"/>
            <w:tcBorders>
              <w:top w:val="nil"/>
              <w:left w:val="nil"/>
              <w:bottom w:val="nil"/>
              <w:right w:val="nil"/>
            </w:tcBorders>
            <w:shd w:val="clear" w:color="auto" w:fill="auto"/>
            <w:noWrap/>
            <w:vAlign w:val="bottom"/>
            <w:hideMark/>
          </w:tcPr>
          <w:p w14:paraId="700AD6C3" w14:textId="77777777" w:rsidR="003B2C9F" w:rsidRPr="003B2C9F" w:rsidRDefault="003B2C9F" w:rsidP="003B2C9F">
            <w:pPr>
              <w:jc w:val="right"/>
              <w:rPr>
                <w:b/>
                <w:bCs/>
                <w:sz w:val="20"/>
                <w:szCs w:val="20"/>
              </w:rPr>
            </w:pPr>
            <w:r w:rsidRPr="003B2C9F">
              <w:rPr>
                <w:b/>
                <w:bCs/>
                <w:sz w:val="20"/>
                <w:szCs w:val="20"/>
              </w:rPr>
              <w:t>1.025.879,67</w:t>
            </w:r>
          </w:p>
        </w:tc>
        <w:tc>
          <w:tcPr>
            <w:tcW w:w="1366" w:type="dxa"/>
            <w:tcBorders>
              <w:top w:val="nil"/>
              <w:left w:val="nil"/>
              <w:bottom w:val="nil"/>
              <w:right w:val="nil"/>
            </w:tcBorders>
            <w:shd w:val="clear" w:color="auto" w:fill="auto"/>
            <w:noWrap/>
            <w:vAlign w:val="bottom"/>
            <w:hideMark/>
          </w:tcPr>
          <w:p w14:paraId="6ADDF863" w14:textId="77777777" w:rsidR="003B2C9F" w:rsidRPr="003B2C9F" w:rsidRDefault="003B2C9F" w:rsidP="003B2C9F">
            <w:pPr>
              <w:jc w:val="right"/>
              <w:rPr>
                <w:b/>
                <w:bCs/>
                <w:sz w:val="20"/>
                <w:szCs w:val="20"/>
              </w:rPr>
            </w:pPr>
            <w:r w:rsidRPr="003B2C9F">
              <w:rPr>
                <w:b/>
                <w:bCs/>
                <w:sz w:val="20"/>
                <w:szCs w:val="20"/>
              </w:rPr>
              <w:t>840.059,30</w:t>
            </w:r>
          </w:p>
        </w:tc>
        <w:tc>
          <w:tcPr>
            <w:tcW w:w="1525" w:type="dxa"/>
            <w:tcBorders>
              <w:top w:val="nil"/>
              <w:left w:val="nil"/>
              <w:bottom w:val="nil"/>
              <w:right w:val="nil"/>
            </w:tcBorders>
            <w:shd w:val="clear" w:color="auto" w:fill="auto"/>
            <w:noWrap/>
            <w:vAlign w:val="bottom"/>
            <w:hideMark/>
          </w:tcPr>
          <w:p w14:paraId="608EF06A" w14:textId="77777777" w:rsidR="003B2C9F" w:rsidRPr="003B2C9F" w:rsidRDefault="003B2C9F" w:rsidP="003B2C9F">
            <w:pPr>
              <w:jc w:val="right"/>
              <w:rPr>
                <w:b/>
                <w:bCs/>
                <w:sz w:val="20"/>
                <w:szCs w:val="20"/>
              </w:rPr>
            </w:pPr>
            <w:r w:rsidRPr="003B2C9F">
              <w:rPr>
                <w:b/>
                <w:bCs/>
                <w:sz w:val="20"/>
                <w:szCs w:val="20"/>
              </w:rPr>
              <w:t>92,07</w:t>
            </w:r>
          </w:p>
        </w:tc>
        <w:tc>
          <w:tcPr>
            <w:tcW w:w="1000" w:type="dxa"/>
            <w:tcBorders>
              <w:top w:val="nil"/>
              <w:left w:val="nil"/>
              <w:bottom w:val="nil"/>
              <w:right w:val="nil"/>
            </w:tcBorders>
            <w:shd w:val="clear" w:color="auto" w:fill="auto"/>
            <w:noWrap/>
            <w:vAlign w:val="bottom"/>
            <w:hideMark/>
          </w:tcPr>
          <w:p w14:paraId="66A9F57C" w14:textId="77777777" w:rsidR="003B2C9F" w:rsidRPr="003B2C9F" w:rsidRDefault="003B2C9F" w:rsidP="003B2C9F">
            <w:pPr>
              <w:jc w:val="right"/>
              <w:rPr>
                <w:b/>
                <w:bCs/>
                <w:sz w:val="20"/>
                <w:szCs w:val="20"/>
              </w:rPr>
            </w:pPr>
            <w:r w:rsidRPr="003B2C9F">
              <w:rPr>
                <w:b/>
                <w:bCs/>
                <w:sz w:val="20"/>
                <w:szCs w:val="20"/>
              </w:rPr>
              <w:t>81,89</w:t>
            </w:r>
          </w:p>
        </w:tc>
      </w:tr>
      <w:tr w:rsidR="003B2C9F" w:rsidRPr="003B2C9F" w14:paraId="74047005" w14:textId="77777777" w:rsidTr="00953AE7">
        <w:trPr>
          <w:trHeight w:val="249"/>
        </w:trPr>
        <w:tc>
          <w:tcPr>
            <w:tcW w:w="616" w:type="dxa"/>
            <w:tcBorders>
              <w:top w:val="nil"/>
              <w:left w:val="nil"/>
              <w:bottom w:val="nil"/>
              <w:right w:val="nil"/>
            </w:tcBorders>
            <w:shd w:val="clear" w:color="auto" w:fill="auto"/>
            <w:noWrap/>
            <w:vAlign w:val="bottom"/>
            <w:hideMark/>
          </w:tcPr>
          <w:p w14:paraId="05B24A6B" w14:textId="77777777" w:rsidR="003B2C9F" w:rsidRPr="003B2C9F" w:rsidRDefault="003B2C9F" w:rsidP="003B2C9F">
            <w:pPr>
              <w:rPr>
                <w:sz w:val="20"/>
                <w:szCs w:val="20"/>
              </w:rPr>
            </w:pPr>
            <w:r w:rsidRPr="003B2C9F">
              <w:rPr>
                <w:sz w:val="20"/>
                <w:szCs w:val="20"/>
              </w:rPr>
              <w:t>3291</w:t>
            </w:r>
          </w:p>
        </w:tc>
        <w:tc>
          <w:tcPr>
            <w:tcW w:w="6472" w:type="dxa"/>
            <w:tcBorders>
              <w:top w:val="nil"/>
              <w:left w:val="nil"/>
              <w:bottom w:val="nil"/>
              <w:right w:val="nil"/>
            </w:tcBorders>
            <w:shd w:val="clear" w:color="auto" w:fill="auto"/>
            <w:vAlign w:val="bottom"/>
            <w:hideMark/>
          </w:tcPr>
          <w:p w14:paraId="23DD9A14" w14:textId="77777777" w:rsidR="003B2C9F" w:rsidRPr="003B2C9F" w:rsidRDefault="003B2C9F" w:rsidP="003B2C9F">
            <w:pPr>
              <w:rPr>
                <w:sz w:val="20"/>
                <w:szCs w:val="20"/>
              </w:rPr>
            </w:pPr>
            <w:r w:rsidRPr="003B2C9F">
              <w:rPr>
                <w:sz w:val="20"/>
                <w:szCs w:val="20"/>
              </w:rPr>
              <w:t xml:space="preserve">Naknade za rad predstavničkih i izvršnih tijela, povjerenstava i slično                             </w:t>
            </w:r>
          </w:p>
        </w:tc>
        <w:tc>
          <w:tcPr>
            <w:tcW w:w="1559" w:type="dxa"/>
            <w:tcBorders>
              <w:top w:val="nil"/>
              <w:left w:val="nil"/>
              <w:bottom w:val="nil"/>
              <w:right w:val="nil"/>
            </w:tcBorders>
            <w:shd w:val="clear" w:color="auto" w:fill="auto"/>
            <w:noWrap/>
            <w:vAlign w:val="bottom"/>
            <w:hideMark/>
          </w:tcPr>
          <w:p w14:paraId="076CB561" w14:textId="77777777" w:rsidR="003B2C9F" w:rsidRPr="003B2C9F" w:rsidRDefault="003B2C9F" w:rsidP="003B2C9F">
            <w:pPr>
              <w:jc w:val="right"/>
              <w:rPr>
                <w:sz w:val="20"/>
                <w:szCs w:val="20"/>
              </w:rPr>
            </w:pPr>
            <w:r w:rsidRPr="003B2C9F">
              <w:rPr>
                <w:sz w:val="20"/>
                <w:szCs w:val="20"/>
              </w:rPr>
              <w:t>320.854,88</w:t>
            </w:r>
          </w:p>
        </w:tc>
        <w:tc>
          <w:tcPr>
            <w:tcW w:w="1503" w:type="dxa"/>
            <w:tcBorders>
              <w:top w:val="nil"/>
              <w:left w:val="nil"/>
              <w:bottom w:val="nil"/>
              <w:right w:val="nil"/>
            </w:tcBorders>
            <w:shd w:val="clear" w:color="auto" w:fill="auto"/>
            <w:noWrap/>
            <w:vAlign w:val="bottom"/>
            <w:hideMark/>
          </w:tcPr>
          <w:p w14:paraId="707701FB"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2093FFC8" w14:textId="77777777" w:rsidR="003B2C9F" w:rsidRPr="003B2C9F" w:rsidRDefault="003B2C9F" w:rsidP="003B2C9F">
            <w:pPr>
              <w:jc w:val="right"/>
              <w:rPr>
                <w:sz w:val="20"/>
                <w:szCs w:val="20"/>
              </w:rPr>
            </w:pPr>
            <w:r w:rsidRPr="003B2C9F">
              <w:rPr>
                <w:sz w:val="20"/>
                <w:szCs w:val="20"/>
              </w:rPr>
              <w:t>153.406,63</w:t>
            </w:r>
          </w:p>
        </w:tc>
        <w:tc>
          <w:tcPr>
            <w:tcW w:w="1525" w:type="dxa"/>
            <w:tcBorders>
              <w:top w:val="nil"/>
              <w:left w:val="nil"/>
              <w:bottom w:val="nil"/>
              <w:right w:val="nil"/>
            </w:tcBorders>
            <w:shd w:val="clear" w:color="auto" w:fill="auto"/>
            <w:noWrap/>
            <w:vAlign w:val="bottom"/>
            <w:hideMark/>
          </w:tcPr>
          <w:p w14:paraId="68C87066" w14:textId="77777777" w:rsidR="003B2C9F" w:rsidRPr="003B2C9F" w:rsidRDefault="003B2C9F" w:rsidP="003B2C9F">
            <w:pPr>
              <w:jc w:val="right"/>
              <w:rPr>
                <w:sz w:val="20"/>
                <w:szCs w:val="20"/>
              </w:rPr>
            </w:pPr>
            <w:r w:rsidRPr="003B2C9F">
              <w:rPr>
                <w:sz w:val="20"/>
                <w:szCs w:val="20"/>
              </w:rPr>
              <w:t>47,81</w:t>
            </w:r>
          </w:p>
        </w:tc>
        <w:tc>
          <w:tcPr>
            <w:tcW w:w="1000" w:type="dxa"/>
            <w:tcBorders>
              <w:top w:val="nil"/>
              <w:left w:val="nil"/>
              <w:bottom w:val="nil"/>
              <w:right w:val="nil"/>
            </w:tcBorders>
            <w:shd w:val="clear" w:color="auto" w:fill="auto"/>
            <w:noWrap/>
            <w:vAlign w:val="bottom"/>
            <w:hideMark/>
          </w:tcPr>
          <w:p w14:paraId="6C8CE39A" w14:textId="77777777" w:rsidR="003B2C9F" w:rsidRPr="003B2C9F" w:rsidRDefault="003B2C9F" w:rsidP="003B2C9F">
            <w:pPr>
              <w:jc w:val="right"/>
              <w:rPr>
                <w:sz w:val="20"/>
                <w:szCs w:val="20"/>
              </w:rPr>
            </w:pPr>
          </w:p>
        </w:tc>
      </w:tr>
      <w:tr w:rsidR="003B2C9F" w:rsidRPr="003B2C9F" w14:paraId="074EB176" w14:textId="77777777" w:rsidTr="003B2C9F">
        <w:trPr>
          <w:trHeight w:val="300"/>
        </w:trPr>
        <w:tc>
          <w:tcPr>
            <w:tcW w:w="616" w:type="dxa"/>
            <w:tcBorders>
              <w:top w:val="nil"/>
              <w:left w:val="nil"/>
              <w:bottom w:val="nil"/>
              <w:right w:val="nil"/>
            </w:tcBorders>
            <w:shd w:val="clear" w:color="auto" w:fill="auto"/>
            <w:noWrap/>
            <w:vAlign w:val="bottom"/>
            <w:hideMark/>
          </w:tcPr>
          <w:p w14:paraId="694A715D" w14:textId="77777777" w:rsidR="003B2C9F" w:rsidRPr="003B2C9F" w:rsidRDefault="003B2C9F" w:rsidP="003B2C9F">
            <w:pPr>
              <w:rPr>
                <w:sz w:val="20"/>
                <w:szCs w:val="20"/>
              </w:rPr>
            </w:pPr>
            <w:r w:rsidRPr="003B2C9F">
              <w:rPr>
                <w:sz w:val="20"/>
                <w:szCs w:val="20"/>
              </w:rPr>
              <w:t>3292</w:t>
            </w:r>
          </w:p>
        </w:tc>
        <w:tc>
          <w:tcPr>
            <w:tcW w:w="6472" w:type="dxa"/>
            <w:tcBorders>
              <w:top w:val="nil"/>
              <w:left w:val="nil"/>
              <w:bottom w:val="nil"/>
              <w:right w:val="nil"/>
            </w:tcBorders>
            <w:shd w:val="clear" w:color="auto" w:fill="auto"/>
            <w:vAlign w:val="bottom"/>
            <w:hideMark/>
          </w:tcPr>
          <w:p w14:paraId="67EBFF3C" w14:textId="77777777" w:rsidR="003B2C9F" w:rsidRPr="003B2C9F" w:rsidRDefault="003B2C9F" w:rsidP="003B2C9F">
            <w:pPr>
              <w:rPr>
                <w:sz w:val="20"/>
                <w:szCs w:val="20"/>
              </w:rPr>
            </w:pPr>
            <w:r w:rsidRPr="003B2C9F">
              <w:rPr>
                <w:sz w:val="20"/>
                <w:szCs w:val="20"/>
              </w:rPr>
              <w:t xml:space="preserve">Premije osiguranja                                                                                  </w:t>
            </w:r>
          </w:p>
        </w:tc>
        <w:tc>
          <w:tcPr>
            <w:tcW w:w="1559" w:type="dxa"/>
            <w:tcBorders>
              <w:top w:val="nil"/>
              <w:left w:val="nil"/>
              <w:bottom w:val="nil"/>
              <w:right w:val="nil"/>
            </w:tcBorders>
            <w:shd w:val="clear" w:color="auto" w:fill="auto"/>
            <w:noWrap/>
            <w:vAlign w:val="bottom"/>
            <w:hideMark/>
          </w:tcPr>
          <w:p w14:paraId="63AB83B3" w14:textId="77777777" w:rsidR="003B2C9F" w:rsidRPr="003B2C9F" w:rsidRDefault="003B2C9F" w:rsidP="003B2C9F">
            <w:pPr>
              <w:jc w:val="right"/>
              <w:rPr>
                <w:sz w:val="20"/>
                <w:szCs w:val="20"/>
              </w:rPr>
            </w:pPr>
            <w:r w:rsidRPr="003B2C9F">
              <w:rPr>
                <w:sz w:val="20"/>
                <w:szCs w:val="20"/>
              </w:rPr>
              <w:t>137.511,87</w:t>
            </w:r>
          </w:p>
        </w:tc>
        <w:tc>
          <w:tcPr>
            <w:tcW w:w="1503" w:type="dxa"/>
            <w:tcBorders>
              <w:top w:val="nil"/>
              <w:left w:val="nil"/>
              <w:bottom w:val="nil"/>
              <w:right w:val="nil"/>
            </w:tcBorders>
            <w:shd w:val="clear" w:color="auto" w:fill="auto"/>
            <w:noWrap/>
            <w:vAlign w:val="bottom"/>
            <w:hideMark/>
          </w:tcPr>
          <w:p w14:paraId="45E8613D"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7EE73A9F" w14:textId="77777777" w:rsidR="003B2C9F" w:rsidRPr="003B2C9F" w:rsidRDefault="003B2C9F" w:rsidP="003B2C9F">
            <w:pPr>
              <w:jc w:val="right"/>
              <w:rPr>
                <w:sz w:val="20"/>
                <w:szCs w:val="20"/>
              </w:rPr>
            </w:pPr>
            <w:r w:rsidRPr="003B2C9F">
              <w:rPr>
                <w:sz w:val="20"/>
                <w:szCs w:val="20"/>
              </w:rPr>
              <w:t>101.302,46</w:t>
            </w:r>
          </w:p>
        </w:tc>
        <w:tc>
          <w:tcPr>
            <w:tcW w:w="1525" w:type="dxa"/>
            <w:tcBorders>
              <w:top w:val="nil"/>
              <w:left w:val="nil"/>
              <w:bottom w:val="nil"/>
              <w:right w:val="nil"/>
            </w:tcBorders>
            <w:shd w:val="clear" w:color="auto" w:fill="auto"/>
            <w:noWrap/>
            <w:vAlign w:val="bottom"/>
            <w:hideMark/>
          </w:tcPr>
          <w:p w14:paraId="07C0E152" w14:textId="77777777" w:rsidR="003B2C9F" w:rsidRPr="003B2C9F" w:rsidRDefault="003B2C9F" w:rsidP="003B2C9F">
            <w:pPr>
              <w:jc w:val="right"/>
              <w:rPr>
                <w:sz w:val="20"/>
                <w:szCs w:val="20"/>
              </w:rPr>
            </w:pPr>
            <w:r w:rsidRPr="003B2C9F">
              <w:rPr>
                <w:sz w:val="20"/>
                <w:szCs w:val="20"/>
              </w:rPr>
              <w:t>73,67</w:t>
            </w:r>
          </w:p>
        </w:tc>
        <w:tc>
          <w:tcPr>
            <w:tcW w:w="1000" w:type="dxa"/>
            <w:tcBorders>
              <w:top w:val="nil"/>
              <w:left w:val="nil"/>
              <w:bottom w:val="nil"/>
              <w:right w:val="nil"/>
            </w:tcBorders>
            <w:shd w:val="clear" w:color="auto" w:fill="auto"/>
            <w:noWrap/>
            <w:vAlign w:val="bottom"/>
            <w:hideMark/>
          </w:tcPr>
          <w:p w14:paraId="0D90CE80" w14:textId="77777777" w:rsidR="003B2C9F" w:rsidRPr="003B2C9F" w:rsidRDefault="003B2C9F" w:rsidP="003B2C9F">
            <w:pPr>
              <w:jc w:val="right"/>
              <w:rPr>
                <w:sz w:val="20"/>
                <w:szCs w:val="20"/>
              </w:rPr>
            </w:pPr>
          </w:p>
        </w:tc>
      </w:tr>
      <w:tr w:rsidR="003B2C9F" w:rsidRPr="003B2C9F" w14:paraId="65323FF1" w14:textId="77777777" w:rsidTr="003B2C9F">
        <w:trPr>
          <w:trHeight w:val="300"/>
        </w:trPr>
        <w:tc>
          <w:tcPr>
            <w:tcW w:w="616" w:type="dxa"/>
            <w:tcBorders>
              <w:top w:val="nil"/>
              <w:left w:val="nil"/>
              <w:bottom w:val="nil"/>
              <w:right w:val="nil"/>
            </w:tcBorders>
            <w:shd w:val="clear" w:color="auto" w:fill="auto"/>
            <w:noWrap/>
            <w:vAlign w:val="bottom"/>
            <w:hideMark/>
          </w:tcPr>
          <w:p w14:paraId="70FAAEBE" w14:textId="77777777" w:rsidR="003B2C9F" w:rsidRPr="003B2C9F" w:rsidRDefault="003B2C9F" w:rsidP="003B2C9F">
            <w:pPr>
              <w:rPr>
                <w:sz w:val="20"/>
                <w:szCs w:val="20"/>
              </w:rPr>
            </w:pPr>
            <w:r w:rsidRPr="003B2C9F">
              <w:rPr>
                <w:sz w:val="20"/>
                <w:szCs w:val="20"/>
              </w:rPr>
              <w:t>3293</w:t>
            </w:r>
          </w:p>
        </w:tc>
        <w:tc>
          <w:tcPr>
            <w:tcW w:w="6472" w:type="dxa"/>
            <w:tcBorders>
              <w:top w:val="nil"/>
              <w:left w:val="nil"/>
              <w:bottom w:val="nil"/>
              <w:right w:val="nil"/>
            </w:tcBorders>
            <w:shd w:val="clear" w:color="auto" w:fill="auto"/>
            <w:vAlign w:val="bottom"/>
            <w:hideMark/>
          </w:tcPr>
          <w:p w14:paraId="5C0E95AC" w14:textId="77777777" w:rsidR="003B2C9F" w:rsidRPr="003B2C9F" w:rsidRDefault="003B2C9F" w:rsidP="003B2C9F">
            <w:pPr>
              <w:rPr>
                <w:sz w:val="20"/>
                <w:szCs w:val="20"/>
              </w:rPr>
            </w:pPr>
            <w:r w:rsidRPr="003B2C9F">
              <w:rPr>
                <w:sz w:val="20"/>
                <w:szCs w:val="20"/>
              </w:rPr>
              <w:t xml:space="preserve">Reprezentacija                                                                                      </w:t>
            </w:r>
          </w:p>
        </w:tc>
        <w:tc>
          <w:tcPr>
            <w:tcW w:w="1559" w:type="dxa"/>
            <w:tcBorders>
              <w:top w:val="nil"/>
              <w:left w:val="nil"/>
              <w:bottom w:val="nil"/>
              <w:right w:val="nil"/>
            </w:tcBorders>
            <w:shd w:val="clear" w:color="auto" w:fill="auto"/>
            <w:noWrap/>
            <w:vAlign w:val="bottom"/>
            <w:hideMark/>
          </w:tcPr>
          <w:p w14:paraId="3690E1FE" w14:textId="77777777" w:rsidR="003B2C9F" w:rsidRPr="003B2C9F" w:rsidRDefault="003B2C9F" w:rsidP="003B2C9F">
            <w:pPr>
              <w:jc w:val="right"/>
              <w:rPr>
                <w:sz w:val="20"/>
                <w:szCs w:val="20"/>
              </w:rPr>
            </w:pPr>
            <w:r w:rsidRPr="003B2C9F">
              <w:rPr>
                <w:sz w:val="20"/>
                <w:szCs w:val="20"/>
              </w:rPr>
              <w:t>225.398,11</w:t>
            </w:r>
          </w:p>
        </w:tc>
        <w:tc>
          <w:tcPr>
            <w:tcW w:w="1503" w:type="dxa"/>
            <w:tcBorders>
              <w:top w:val="nil"/>
              <w:left w:val="nil"/>
              <w:bottom w:val="nil"/>
              <w:right w:val="nil"/>
            </w:tcBorders>
            <w:shd w:val="clear" w:color="auto" w:fill="auto"/>
            <w:noWrap/>
            <w:vAlign w:val="bottom"/>
            <w:hideMark/>
          </w:tcPr>
          <w:p w14:paraId="6F3AA670"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380FF65F" w14:textId="77777777" w:rsidR="003B2C9F" w:rsidRPr="003B2C9F" w:rsidRDefault="003B2C9F" w:rsidP="003B2C9F">
            <w:pPr>
              <w:jc w:val="right"/>
              <w:rPr>
                <w:sz w:val="20"/>
                <w:szCs w:val="20"/>
              </w:rPr>
            </w:pPr>
            <w:r w:rsidRPr="003B2C9F">
              <w:rPr>
                <w:sz w:val="20"/>
                <w:szCs w:val="20"/>
              </w:rPr>
              <w:t>360.328,20</w:t>
            </w:r>
          </w:p>
        </w:tc>
        <w:tc>
          <w:tcPr>
            <w:tcW w:w="1525" w:type="dxa"/>
            <w:tcBorders>
              <w:top w:val="nil"/>
              <w:left w:val="nil"/>
              <w:bottom w:val="nil"/>
              <w:right w:val="nil"/>
            </w:tcBorders>
            <w:shd w:val="clear" w:color="auto" w:fill="auto"/>
            <w:noWrap/>
            <w:vAlign w:val="bottom"/>
            <w:hideMark/>
          </w:tcPr>
          <w:p w14:paraId="576B72B4" w14:textId="77777777" w:rsidR="003B2C9F" w:rsidRPr="003B2C9F" w:rsidRDefault="003B2C9F" w:rsidP="003B2C9F">
            <w:pPr>
              <w:jc w:val="right"/>
              <w:rPr>
                <w:sz w:val="20"/>
                <w:szCs w:val="20"/>
              </w:rPr>
            </w:pPr>
            <w:r w:rsidRPr="003B2C9F">
              <w:rPr>
                <w:sz w:val="20"/>
                <w:szCs w:val="20"/>
              </w:rPr>
              <w:t>159,86</w:t>
            </w:r>
          </w:p>
        </w:tc>
        <w:tc>
          <w:tcPr>
            <w:tcW w:w="1000" w:type="dxa"/>
            <w:tcBorders>
              <w:top w:val="nil"/>
              <w:left w:val="nil"/>
              <w:bottom w:val="nil"/>
              <w:right w:val="nil"/>
            </w:tcBorders>
            <w:shd w:val="clear" w:color="auto" w:fill="auto"/>
            <w:noWrap/>
            <w:vAlign w:val="bottom"/>
            <w:hideMark/>
          </w:tcPr>
          <w:p w14:paraId="501C3536" w14:textId="77777777" w:rsidR="003B2C9F" w:rsidRPr="003B2C9F" w:rsidRDefault="003B2C9F" w:rsidP="003B2C9F">
            <w:pPr>
              <w:jc w:val="right"/>
              <w:rPr>
                <w:sz w:val="20"/>
                <w:szCs w:val="20"/>
              </w:rPr>
            </w:pPr>
          </w:p>
        </w:tc>
      </w:tr>
      <w:tr w:rsidR="003B2C9F" w:rsidRPr="003B2C9F" w14:paraId="477A1BD1" w14:textId="77777777" w:rsidTr="003B2C9F">
        <w:trPr>
          <w:trHeight w:val="300"/>
        </w:trPr>
        <w:tc>
          <w:tcPr>
            <w:tcW w:w="616" w:type="dxa"/>
            <w:tcBorders>
              <w:top w:val="nil"/>
              <w:left w:val="nil"/>
              <w:bottom w:val="nil"/>
              <w:right w:val="nil"/>
            </w:tcBorders>
            <w:shd w:val="clear" w:color="auto" w:fill="auto"/>
            <w:noWrap/>
            <w:vAlign w:val="bottom"/>
            <w:hideMark/>
          </w:tcPr>
          <w:p w14:paraId="53CBECE5" w14:textId="77777777" w:rsidR="003B2C9F" w:rsidRPr="003B2C9F" w:rsidRDefault="003B2C9F" w:rsidP="003B2C9F">
            <w:pPr>
              <w:rPr>
                <w:sz w:val="20"/>
                <w:szCs w:val="20"/>
              </w:rPr>
            </w:pPr>
            <w:r w:rsidRPr="003B2C9F">
              <w:rPr>
                <w:sz w:val="20"/>
                <w:szCs w:val="20"/>
              </w:rPr>
              <w:t>3294</w:t>
            </w:r>
          </w:p>
        </w:tc>
        <w:tc>
          <w:tcPr>
            <w:tcW w:w="6472" w:type="dxa"/>
            <w:tcBorders>
              <w:top w:val="nil"/>
              <w:left w:val="nil"/>
              <w:bottom w:val="nil"/>
              <w:right w:val="nil"/>
            </w:tcBorders>
            <w:shd w:val="clear" w:color="auto" w:fill="auto"/>
            <w:vAlign w:val="bottom"/>
            <w:hideMark/>
          </w:tcPr>
          <w:p w14:paraId="514C000E" w14:textId="77777777" w:rsidR="003B2C9F" w:rsidRPr="003B2C9F" w:rsidRDefault="003B2C9F" w:rsidP="003B2C9F">
            <w:pPr>
              <w:rPr>
                <w:sz w:val="20"/>
                <w:szCs w:val="20"/>
              </w:rPr>
            </w:pPr>
            <w:r w:rsidRPr="003B2C9F">
              <w:rPr>
                <w:sz w:val="20"/>
                <w:szCs w:val="20"/>
              </w:rPr>
              <w:t>Članarine i norme</w:t>
            </w:r>
          </w:p>
        </w:tc>
        <w:tc>
          <w:tcPr>
            <w:tcW w:w="1559" w:type="dxa"/>
            <w:tcBorders>
              <w:top w:val="nil"/>
              <w:left w:val="nil"/>
              <w:bottom w:val="nil"/>
              <w:right w:val="nil"/>
            </w:tcBorders>
            <w:shd w:val="clear" w:color="auto" w:fill="auto"/>
            <w:noWrap/>
            <w:vAlign w:val="bottom"/>
            <w:hideMark/>
          </w:tcPr>
          <w:p w14:paraId="6BAB0462" w14:textId="77777777" w:rsidR="003B2C9F" w:rsidRPr="003B2C9F" w:rsidRDefault="003B2C9F" w:rsidP="003B2C9F">
            <w:pPr>
              <w:jc w:val="right"/>
              <w:rPr>
                <w:sz w:val="20"/>
                <w:szCs w:val="20"/>
              </w:rPr>
            </w:pPr>
            <w:r w:rsidRPr="003B2C9F">
              <w:rPr>
                <w:sz w:val="20"/>
                <w:szCs w:val="20"/>
              </w:rPr>
              <w:t>54.748,66</w:t>
            </w:r>
          </w:p>
        </w:tc>
        <w:tc>
          <w:tcPr>
            <w:tcW w:w="1503" w:type="dxa"/>
            <w:tcBorders>
              <w:top w:val="nil"/>
              <w:left w:val="nil"/>
              <w:bottom w:val="nil"/>
              <w:right w:val="nil"/>
            </w:tcBorders>
            <w:shd w:val="clear" w:color="auto" w:fill="auto"/>
            <w:noWrap/>
            <w:vAlign w:val="bottom"/>
            <w:hideMark/>
          </w:tcPr>
          <w:p w14:paraId="1AD401A4"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524FA28E" w14:textId="77777777" w:rsidR="003B2C9F" w:rsidRPr="003B2C9F" w:rsidRDefault="003B2C9F" w:rsidP="003B2C9F">
            <w:pPr>
              <w:jc w:val="right"/>
              <w:rPr>
                <w:sz w:val="20"/>
                <w:szCs w:val="20"/>
              </w:rPr>
            </w:pPr>
            <w:r w:rsidRPr="003B2C9F">
              <w:rPr>
                <w:sz w:val="20"/>
                <w:szCs w:val="20"/>
              </w:rPr>
              <w:t>45.059,23</w:t>
            </w:r>
          </w:p>
        </w:tc>
        <w:tc>
          <w:tcPr>
            <w:tcW w:w="1525" w:type="dxa"/>
            <w:tcBorders>
              <w:top w:val="nil"/>
              <w:left w:val="nil"/>
              <w:bottom w:val="nil"/>
              <w:right w:val="nil"/>
            </w:tcBorders>
            <w:shd w:val="clear" w:color="auto" w:fill="auto"/>
            <w:noWrap/>
            <w:vAlign w:val="bottom"/>
            <w:hideMark/>
          </w:tcPr>
          <w:p w14:paraId="541C0158" w14:textId="77777777" w:rsidR="003B2C9F" w:rsidRPr="003B2C9F" w:rsidRDefault="003B2C9F" w:rsidP="003B2C9F">
            <w:pPr>
              <w:jc w:val="right"/>
              <w:rPr>
                <w:sz w:val="20"/>
                <w:szCs w:val="20"/>
              </w:rPr>
            </w:pPr>
            <w:r w:rsidRPr="003B2C9F">
              <w:rPr>
                <w:sz w:val="20"/>
                <w:szCs w:val="20"/>
              </w:rPr>
              <w:t>82,30</w:t>
            </w:r>
          </w:p>
        </w:tc>
        <w:tc>
          <w:tcPr>
            <w:tcW w:w="1000" w:type="dxa"/>
            <w:tcBorders>
              <w:top w:val="nil"/>
              <w:left w:val="nil"/>
              <w:bottom w:val="nil"/>
              <w:right w:val="nil"/>
            </w:tcBorders>
            <w:shd w:val="clear" w:color="auto" w:fill="auto"/>
            <w:noWrap/>
            <w:vAlign w:val="bottom"/>
            <w:hideMark/>
          </w:tcPr>
          <w:p w14:paraId="516C6C0D" w14:textId="77777777" w:rsidR="003B2C9F" w:rsidRPr="003B2C9F" w:rsidRDefault="003B2C9F" w:rsidP="003B2C9F">
            <w:pPr>
              <w:jc w:val="right"/>
              <w:rPr>
                <w:sz w:val="20"/>
                <w:szCs w:val="20"/>
              </w:rPr>
            </w:pPr>
          </w:p>
        </w:tc>
      </w:tr>
      <w:tr w:rsidR="003B2C9F" w:rsidRPr="003B2C9F" w14:paraId="3EF7308C" w14:textId="77777777" w:rsidTr="003B2C9F">
        <w:trPr>
          <w:trHeight w:val="300"/>
        </w:trPr>
        <w:tc>
          <w:tcPr>
            <w:tcW w:w="616" w:type="dxa"/>
            <w:tcBorders>
              <w:top w:val="nil"/>
              <w:left w:val="nil"/>
              <w:bottom w:val="nil"/>
              <w:right w:val="nil"/>
            </w:tcBorders>
            <w:shd w:val="clear" w:color="auto" w:fill="auto"/>
            <w:noWrap/>
            <w:vAlign w:val="bottom"/>
            <w:hideMark/>
          </w:tcPr>
          <w:p w14:paraId="328A0CC0" w14:textId="77777777" w:rsidR="003B2C9F" w:rsidRPr="003B2C9F" w:rsidRDefault="003B2C9F" w:rsidP="003B2C9F">
            <w:pPr>
              <w:rPr>
                <w:sz w:val="20"/>
                <w:szCs w:val="20"/>
              </w:rPr>
            </w:pPr>
            <w:r w:rsidRPr="003B2C9F">
              <w:rPr>
                <w:sz w:val="20"/>
                <w:szCs w:val="20"/>
              </w:rPr>
              <w:t>3295</w:t>
            </w:r>
          </w:p>
        </w:tc>
        <w:tc>
          <w:tcPr>
            <w:tcW w:w="6472" w:type="dxa"/>
            <w:tcBorders>
              <w:top w:val="nil"/>
              <w:left w:val="nil"/>
              <w:bottom w:val="nil"/>
              <w:right w:val="nil"/>
            </w:tcBorders>
            <w:shd w:val="clear" w:color="auto" w:fill="auto"/>
            <w:vAlign w:val="bottom"/>
            <w:hideMark/>
          </w:tcPr>
          <w:p w14:paraId="7517E3D5" w14:textId="77777777" w:rsidR="003B2C9F" w:rsidRPr="003B2C9F" w:rsidRDefault="003B2C9F" w:rsidP="003B2C9F">
            <w:pPr>
              <w:rPr>
                <w:sz w:val="20"/>
                <w:szCs w:val="20"/>
              </w:rPr>
            </w:pPr>
            <w:r w:rsidRPr="003B2C9F">
              <w:rPr>
                <w:sz w:val="20"/>
                <w:szCs w:val="20"/>
              </w:rPr>
              <w:t xml:space="preserve">Pristojbe i naknade                                                                                 </w:t>
            </w:r>
          </w:p>
        </w:tc>
        <w:tc>
          <w:tcPr>
            <w:tcW w:w="1559" w:type="dxa"/>
            <w:tcBorders>
              <w:top w:val="nil"/>
              <w:left w:val="nil"/>
              <w:bottom w:val="nil"/>
              <w:right w:val="nil"/>
            </w:tcBorders>
            <w:shd w:val="clear" w:color="auto" w:fill="auto"/>
            <w:noWrap/>
            <w:vAlign w:val="bottom"/>
            <w:hideMark/>
          </w:tcPr>
          <w:p w14:paraId="308C6A86" w14:textId="77777777" w:rsidR="003B2C9F" w:rsidRPr="003B2C9F" w:rsidRDefault="003B2C9F" w:rsidP="003B2C9F">
            <w:pPr>
              <w:jc w:val="right"/>
              <w:rPr>
                <w:sz w:val="20"/>
                <w:szCs w:val="20"/>
              </w:rPr>
            </w:pPr>
            <w:r w:rsidRPr="003B2C9F">
              <w:rPr>
                <w:sz w:val="20"/>
                <w:szCs w:val="20"/>
              </w:rPr>
              <w:t>103.799,85</w:t>
            </w:r>
          </w:p>
        </w:tc>
        <w:tc>
          <w:tcPr>
            <w:tcW w:w="1503" w:type="dxa"/>
            <w:tcBorders>
              <w:top w:val="nil"/>
              <w:left w:val="nil"/>
              <w:bottom w:val="nil"/>
              <w:right w:val="nil"/>
            </w:tcBorders>
            <w:shd w:val="clear" w:color="auto" w:fill="auto"/>
            <w:noWrap/>
            <w:vAlign w:val="bottom"/>
            <w:hideMark/>
          </w:tcPr>
          <w:p w14:paraId="15DF722C"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382BAD25" w14:textId="77777777" w:rsidR="003B2C9F" w:rsidRPr="003B2C9F" w:rsidRDefault="003B2C9F" w:rsidP="003B2C9F">
            <w:pPr>
              <w:jc w:val="right"/>
              <w:rPr>
                <w:sz w:val="20"/>
                <w:szCs w:val="20"/>
              </w:rPr>
            </w:pPr>
            <w:r w:rsidRPr="003B2C9F">
              <w:rPr>
                <w:sz w:val="20"/>
                <w:szCs w:val="20"/>
              </w:rPr>
              <w:t>57.202,43</w:t>
            </w:r>
          </w:p>
        </w:tc>
        <w:tc>
          <w:tcPr>
            <w:tcW w:w="1525" w:type="dxa"/>
            <w:tcBorders>
              <w:top w:val="nil"/>
              <w:left w:val="nil"/>
              <w:bottom w:val="nil"/>
              <w:right w:val="nil"/>
            </w:tcBorders>
            <w:shd w:val="clear" w:color="auto" w:fill="auto"/>
            <w:noWrap/>
            <w:vAlign w:val="bottom"/>
            <w:hideMark/>
          </w:tcPr>
          <w:p w14:paraId="7E9E2FE4" w14:textId="77777777" w:rsidR="003B2C9F" w:rsidRPr="003B2C9F" w:rsidRDefault="003B2C9F" w:rsidP="003B2C9F">
            <w:pPr>
              <w:jc w:val="right"/>
              <w:rPr>
                <w:sz w:val="20"/>
                <w:szCs w:val="20"/>
              </w:rPr>
            </w:pPr>
            <w:r w:rsidRPr="003B2C9F">
              <w:rPr>
                <w:sz w:val="20"/>
                <w:szCs w:val="20"/>
              </w:rPr>
              <w:t>55,11</w:t>
            </w:r>
          </w:p>
        </w:tc>
        <w:tc>
          <w:tcPr>
            <w:tcW w:w="1000" w:type="dxa"/>
            <w:tcBorders>
              <w:top w:val="nil"/>
              <w:left w:val="nil"/>
              <w:bottom w:val="nil"/>
              <w:right w:val="nil"/>
            </w:tcBorders>
            <w:shd w:val="clear" w:color="auto" w:fill="auto"/>
            <w:noWrap/>
            <w:vAlign w:val="bottom"/>
            <w:hideMark/>
          </w:tcPr>
          <w:p w14:paraId="15A03AA9" w14:textId="77777777" w:rsidR="003B2C9F" w:rsidRPr="003B2C9F" w:rsidRDefault="003B2C9F" w:rsidP="003B2C9F">
            <w:pPr>
              <w:jc w:val="right"/>
              <w:rPr>
                <w:sz w:val="20"/>
                <w:szCs w:val="20"/>
              </w:rPr>
            </w:pPr>
          </w:p>
        </w:tc>
      </w:tr>
      <w:tr w:rsidR="003B2C9F" w:rsidRPr="003B2C9F" w14:paraId="3DA04FCA" w14:textId="77777777" w:rsidTr="003B2C9F">
        <w:trPr>
          <w:trHeight w:val="300"/>
        </w:trPr>
        <w:tc>
          <w:tcPr>
            <w:tcW w:w="616" w:type="dxa"/>
            <w:tcBorders>
              <w:top w:val="nil"/>
              <w:left w:val="nil"/>
              <w:bottom w:val="nil"/>
              <w:right w:val="nil"/>
            </w:tcBorders>
            <w:shd w:val="clear" w:color="auto" w:fill="auto"/>
            <w:noWrap/>
            <w:vAlign w:val="bottom"/>
            <w:hideMark/>
          </w:tcPr>
          <w:p w14:paraId="2C0E4BD1" w14:textId="77777777" w:rsidR="003B2C9F" w:rsidRPr="003B2C9F" w:rsidRDefault="003B2C9F" w:rsidP="003B2C9F">
            <w:pPr>
              <w:rPr>
                <w:sz w:val="20"/>
                <w:szCs w:val="20"/>
              </w:rPr>
            </w:pPr>
            <w:r w:rsidRPr="003B2C9F">
              <w:rPr>
                <w:sz w:val="20"/>
                <w:szCs w:val="20"/>
              </w:rPr>
              <w:t>3296</w:t>
            </w:r>
          </w:p>
        </w:tc>
        <w:tc>
          <w:tcPr>
            <w:tcW w:w="6472" w:type="dxa"/>
            <w:tcBorders>
              <w:top w:val="nil"/>
              <w:left w:val="nil"/>
              <w:bottom w:val="nil"/>
              <w:right w:val="nil"/>
            </w:tcBorders>
            <w:shd w:val="clear" w:color="auto" w:fill="auto"/>
            <w:vAlign w:val="bottom"/>
            <w:hideMark/>
          </w:tcPr>
          <w:p w14:paraId="3B7F6C6A" w14:textId="77777777" w:rsidR="003B2C9F" w:rsidRPr="003B2C9F" w:rsidRDefault="003B2C9F" w:rsidP="003B2C9F">
            <w:pPr>
              <w:rPr>
                <w:sz w:val="20"/>
                <w:szCs w:val="20"/>
              </w:rPr>
            </w:pPr>
            <w:r w:rsidRPr="003B2C9F">
              <w:rPr>
                <w:sz w:val="20"/>
                <w:szCs w:val="20"/>
              </w:rPr>
              <w:t>Troškovi sudskih postupaka</w:t>
            </w:r>
          </w:p>
        </w:tc>
        <w:tc>
          <w:tcPr>
            <w:tcW w:w="1559" w:type="dxa"/>
            <w:tcBorders>
              <w:top w:val="nil"/>
              <w:left w:val="nil"/>
              <w:bottom w:val="nil"/>
              <w:right w:val="nil"/>
            </w:tcBorders>
            <w:shd w:val="clear" w:color="auto" w:fill="auto"/>
            <w:noWrap/>
            <w:vAlign w:val="bottom"/>
            <w:hideMark/>
          </w:tcPr>
          <w:p w14:paraId="226EF008" w14:textId="77777777" w:rsidR="003B2C9F" w:rsidRPr="003B2C9F" w:rsidRDefault="003B2C9F" w:rsidP="003B2C9F">
            <w:pPr>
              <w:jc w:val="right"/>
              <w:rPr>
                <w:sz w:val="20"/>
                <w:szCs w:val="20"/>
              </w:rPr>
            </w:pPr>
            <w:r w:rsidRPr="003B2C9F">
              <w:rPr>
                <w:sz w:val="20"/>
                <w:szCs w:val="20"/>
              </w:rPr>
              <w:t>7.691,92</w:t>
            </w:r>
          </w:p>
        </w:tc>
        <w:tc>
          <w:tcPr>
            <w:tcW w:w="1503" w:type="dxa"/>
            <w:tcBorders>
              <w:top w:val="nil"/>
              <w:left w:val="nil"/>
              <w:bottom w:val="nil"/>
              <w:right w:val="nil"/>
            </w:tcBorders>
            <w:shd w:val="clear" w:color="auto" w:fill="auto"/>
            <w:noWrap/>
            <w:vAlign w:val="bottom"/>
            <w:hideMark/>
          </w:tcPr>
          <w:p w14:paraId="14FB2E5D"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032E55E5" w14:textId="77777777" w:rsidR="003B2C9F" w:rsidRPr="003B2C9F" w:rsidRDefault="003B2C9F" w:rsidP="003B2C9F">
            <w:pPr>
              <w:jc w:val="right"/>
              <w:rPr>
                <w:sz w:val="20"/>
                <w:szCs w:val="20"/>
              </w:rPr>
            </w:pPr>
            <w:r w:rsidRPr="003B2C9F">
              <w:rPr>
                <w:sz w:val="20"/>
                <w:szCs w:val="20"/>
              </w:rPr>
              <w:t>8.082,13</w:t>
            </w:r>
          </w:p>
        </w:tc>
        <w:tc>
          <w:tcPr>
            <w:tcW w:w="1525" w:type="dxa"/>
            <w:tcBorders>
              <w:top w:val="nil"/>
              <w:left w:val="nil"/>
              <w:bottom w:val="nil"/>
              <w:right w:val="nil"/>
            </w:tcBorders>
            <w:shd w:val="clear" w:color="auto" w:fill="auto"/>
            <w:noWrap/>
            <w:vAlign w:val="bottom"/>
            <w:hideMark/>
          </w:tcPr>
          <w:p w14:paraId="23A1D6D5" w14:textId="77777777" w:rsidR="003B2C9F" w:rsidRPr="003B2C9F" w:rsidRDefault="003B2C9F" w:rsidP="003B2C9F">
            <w:pPr>
              <w:jc w:val="right"/>
              <w:rPr>
                <w:sz w:val="20"/>
                <w:szCs w:val="20"/>
              </w:rPr>
            </w:pPr>
            <w:r w:rsidRPr="003B2C9F">
              <w:rPr>
                <w:sz w:val="20"/>
                <w:szCs w:val="20"/>
              </w:rPr>
              <w:t>105,07</w:t>
            </w:r>
          </w:p>
        </w:tc>
        <w:tc>
          <w:tcPr>
            <w:tcW w:w="1000" w:type="dxa"/>
            <w:tcBorders>
              <w:top w:val="nil"/>
              <w:left w:val="nil"/>
              <w:bottom w:val="nil"/>
              <w:right w:val="nil"/>
            </w:tcBorders>
            <w:shd w:val="clear" w:color="auto" w:fill="auto"/>
            <w:noWrap/>
            <w:vAlign w:val="bottom"/>
            <w:hideMark/>
          </w:tcPr>
          <w:p w14:paraId="12BB7C68" w14:textId="77777777" w:rsidR="003B2C9F" w:rsidRPr="003B2C9F" w:rsidRDefault="003B2C9F" w:rsidP="003B2C9F">
            <w:pPr>
              <w:jc w:val="right"/>
              <w:rPr>
                <w:sz w:val="20"/>
                <w:szCs w:val="20"/>
              </w:rPr>
            </w:pPr>
          </w:p>
        </w:tc>
      </w:tr>
      <w:tr w:rsidR="003B2C9F" w:rsidRPr="003B2C9F" w14:paraId="27448BB1" w14:textId="77777777" w:rsidTr="003B2C9F">
        <w:trPr>
          <w:trHeight w:val="300"/>
        </w:trPr>
        <w:tc>
          <w:tcPr>
            <w:tcW w:w="616" w:type="dxa"/>
            <w:tcBorders>
              <w:top w:val="nil"/>
              <w:left w:val="nil"/>
              <w:bottom w:val="nil"/>
              <w:right w:val="nil"/>
            </w:tcBorders>
            <w:shd w:val="clear" w:color="auto" w:fill="auto"/>
            <w:noWrap/>
            <w:vAlign w:val="bottom"/>
            <w:hideMark/>
          </w:tcPr>
          <w:p w14:paraId="4A21C017" w14:textId="77777777" w:rsidR="003B2C9F" w:rsidRPr="003B2C9F" w:rsidRDefault="003B2C9F" w:rsidP="003B2C9F">
            <w:pPr>
              <w:rPr>
                <w:sz w:val="20"/>
                <w:szCs w:val="20"/>
              </w:rPr>
            </w:pPr>
            <w:r w:rsidRPr="003B2C9F">
              <w:rPr>
                <w:sz w:val="20"/>
                <w:szCs w:val="20"/>
              </w:rPr>
              <w:t>3299</w:t>
            </w:r>
          </w:p>
        </w:tc>
        <w:tc>
          <w:tcPr>
            <w:tcW w:w="6472" w:type="dxa"/>
            <w:tcBorders>
              <w:top w:val="nil"/>
              <w:left w:val="nil"/>
              <w:bottom w:val="nil"/>
              <w:right w:val="nil"/>
            </w:tcBorders>
            <w:shd w:val="clear" w:color="auto" w:fill="auto"/>
            <w:vAlign w:val="bottom"/>
            <w:hideMark/>
          </w:tcPr>
          <w:p w14:paraId="0BD305AE" w14:textId="77777777" w:rsidR="003B2C9F" w:rsidRPr="003B2C9F" w:rsidRDefault="003B2C9F" w:rsidP="003B2C9F">
            <w:pPr>
              <w:rPr>
                <w:sz w:val="20"/>
                <w:szCs w:val="20"/>
              </w:rPr>
            </w:pPr>
            <w:r w:rsidRPr="003B2C9F">
              <w:rPr>
                <w:sz w:val="20"/>
                <w:szCs w:val="20"/>
              </w:rPr>
              <w:t xml:space="preserve">Ostali nespomenuti rashodi poslovanja                                                               </w:t>
            </w:r>
          </w:p>
        </w:tc>
        <w:tc>
          <w:tcPr>
            <w:tcW w:w="1559" w:type="dxa"/>
            <w:tcBorders>
              <w:top w:val="nil"/>
              <w:left w:val="nil"/>
              <w:bottom w:val="nil"/>
              <w:right w:val="nil"/>
            </w:tcBorders>
            <w:shd w:val="clear" w:color="auto" w:fill="auto"/>
            <w:noWrap/>
            <w:vAlign w:val="bottom"/>
            <w:hideMark/>
          </w:tcPr>
          <w:p w14:paraId="398D9717" w14:textId="77777777" w:rsidR="003B2C9F" w:rsidRPr="003B2C9F" w:rsidRDefault="003B2C9F" w:rsidP="003B2C9F">
            <w:pPr>
              <w:jc w:val="right"/>
              <w:rPr>
                <w:sz w:val="20"/>
                <w:szCs w:val="20"/>
              </w:rPr>
            </w:pPr>
            <w:r w:rsidRPr="003B2C9F">
              <w:rPr>
                <w:sz w:val="20"/>
                <w:szCs w:val="20"/>
              </w:rPr>
              <w:t>62.399,74</w:t>
            </w:r>
          </w:p>
        </w:tc>
        <w:tc>
          <w:tcPr>
            <w:tcW w:w="1503" w:type="dxa"/>
            <w:tcBorders>
              <w:top w:val="nil"/>
              <w:left w:val="nil"/>
              <w:bottom w:val="nil"/>
              <w:right w:val="nil"/>
            </w:tcBorders>
            <w:shd w:val="clear" w:color="auto" w:fill="auto"/>
            <w:noWrap/>
            <w:vAlign w:val="bottom"/>
            <w:hideMark/>
          </w:tcPr>
          <w:p w14:paraId="07EA0DA6"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391A46F0" w14:textId="77777777" w:rsidR="003B2C9F" w:rsidRPr="003B2C9F" w:rsidRDefault="003B2C9F" w:rsidP="003B2C9F">
            <w:pPr>
              <w:jc w:val="right"/>
              <w:rPr>
                <w:sz w:val="20"/>
                <w:szCs w:val="20"/>
              </w:rPr>
            </w:pPr>
            <w:r w:rsidRPr="003B2C9F">
              <w:rPr>
                <w:sz w:val="20"/>
                <w:szCs w:val="20"/>
              </w:rPr>
              <w:t>114.678,22</w:t>
            </w:r>
          </w:p>
        </w:tc>
        <w:tc>
          <w:tcPr>
            <w:tcW w:w="1525" w:type="dxa"/>
            <w:tcBorders>
              <w:top w:val="nil"/>
              <w:left w:val="nil"/>
              <w:bottom w:val="nil"/>
              <w:right w:val="nil"/>
            </w:tcBorders>
            <w:shd w:val="clear" w:color="auto" w:fill="auto"/>
            <w:noWrap/>
            <w:vAlign w:val="bottom"/>
            <w:hideMark/>
          </w:tcPr>
          <w:p w14:paraId="4020306A" w14:textId="77777777" w:rsidR="003B2C9F" w:rsidRPr="003B2C9F" w:rsidRDefault="003B2C9F" w:rsidP="003B2C9F">
            <w:pPr>
              <w:jc w:val="right"/>
              <w:rPr>
                <w:sz w:val="20"/>
                <w:szCs w:val="20"/>
              </w:rPr>
            </w:pPr>
            <w:r w:rsidRPr="003B2C9F">
              <w:rPr>
                <w:sz w:val="20"/>
                <w:szCs w:val="20"/>
              </w:rPr>
              <w:t>183,78</w:t>
            </w:r>
          </w:p>
        </w:tc>
        <w:tc>
          <w:tcPr>
            <w:tcW w:w="1000" w:type="dxa"/>
            <w:tcBorders>
              <w:top w:val="nil"/>
              <w:left w:val="nil"/>
              <w:bottom w:val="nil"/>
              <w:right w:val="nil"/>
            </w:tcBorders>
            <w:shd w:val="clear" w:color="auto" w:fill="auto"/>
            <w:noWrap/>
            <w:vAlign w:val="bottom"/>
            <w:hideMark/>
          </w:tcPr>
          <w:p w14:paraId="2DEE3A6F" w14:textId="77777777" w:rsidR="003B2C9F" w:rsidRPr="003B2C9F" w:rsidRDefault="003B2C9F" w:rsidP="003B2C9F">
            <w:pPr>
              <w:jc w:val="right"/>
              <w:rPr>
                <w:sz w:val="20"/>
                <w:szCs w:val="20"/>
              </w:rPr>
            </w:pPr>
          </w:p>
        </w:tc>
      </w:tr>
      <w:tr w:rsidR="003B2C9F" w:rsidRPr="003B2C9F" w14:paraId="5D5CD4E1" w14:textId="77777777" w:rsidTr="003B2C9F">
        <w:trPr>
          <w:trHeight w:val="300"/>
        </w:trPr>
        <w:tc>
          <w:tcPr>
            <w:tcW w:w="616" w:type="dxa"/>
            <w:tcBorders>
              <w:top w:val="nil"/>
              <w:left w:val="nil"/>
              <w:bottom w:val="nil"/>
              <w:right w:val="nil"/>
            </w:tcBorders>
            <w:shd w:val="clear" w:color="auto" w:fill="auto"/>
            <w:noWrap/>
            <w:vAlign w:val="bottom"/>
            <w:hideMark/>
          </w:tcPr>
          <w:p w14:paraId="0BAFD733" w14:textId="77777777" w:rsidR="003B2C9F" w:rsidRPr="003B2C9F" w:rsidRDefault="003B2C9F" w:rsidP="003B2C9F">
            <w:pPr>
              <w:rPr>
                <w:b/>
                <w:bCs/>
                <w:sz w:val="20"/>
                <w:szCs w:val="20"/>
              </w:rPr>
            </w:pPr>
            <w:r w:rsidRPr="003B2C9F">
              <w:rPr>
                <w:b/>
                <w:bCs/>
                <w:sz w:val="20"/>
                <w:szCs w:val="20"/>
              </w:rPr>
              <w:t>34</w:t>
            </w:r>
          </w:p>
        </w:tc>
        <w:tc>
          <w:tcPr>
            <w:tcW w:w="6472" w:type="dxa"/>
            <w:tcBorders>
              <w:top w:val="nil"/>
              <w:left w:val="nil"/>
              <w:bottom w:val="nil"/>
              <w:right w:val="nil"/>
            </w:tcBorders>
            <w:shd w:val="clear" w:color="auto" w:fill="auto"/>
            <w:noWrap/>
            <w:vAlign w:val="bottom"/>
            <w:hideMark/>
          </w:tcPr>
          <w:p w14:paraId="73DF8775" w14:textId="77777777" w:rsidR="003B2C9F" w:rsidRPr="003B2C9F" w:rsidRDefault="003B2C9F" w:rsidP="003B2C9F">
            <w:pPr>
              <w:rPr>
                <w:b/>
                <w:bCs/>
                <w:sz w:val="20"/>
                <w:szCs w:val="20"/>
              </w:rPr>
            </w:pPr>
            <w:r w:rsidRPr="003B2C9F">
              <w:rPr>
                <w:b/>
                <w:bCs/>
                <w:sz w:val="20"/>
                <w:szCs w:val="20"/>
              </w:rPr>
              <w:t xml:space="preserve">Financijski rashodi                                                                                 </w:t>
            </w:r>
          </w:p>
        </w:tc>
        <w:tc>
          <w:tcPr>
            <w:tcW w:w="1559" w:type="dxa"/>
            <w:tcBorders>
              <w:top w:val="nil"/>
              <w:left w:val="nil"/>
              <w:bottom w:val="nil"/>
              <w:right w:val="nil"/>
            </w:tcBorders>
            <w:shd w:val="clear" w:color="auto" w:fill="auto"/>
            <w:noWrap/>
            <w:vAlign w:val="bottom"/>
            <w:hideMark/>
          </w:tcPr>
          <w:p w14:paraId="615C7BBA" w14:textId="77777777" w:rsidR="003B2C9F" w:rsidRPr="003B2C9F" w:rsidRDefault="003B2C9F" w:rsidP="003B2C9F">
            <w:pPr>
              <w:jc w:val="right"/>
              <w:rPr>
                <w:b/>
                <w:bCs/>
                <w:sz w:val="20"/>
                <w:szCs w:val="20"/>
              </w:rPr>
            </w:pPr>
            <w:r w:rsidRPr="003B2C9F">
              <w:rPr>
                <w:b/>
                <w:bCs/>
                <w:sz w:val="20"/>
                <w:szCs w:val="20"/>
              </w:rPr>
              <w:t>140.025,16</w:t>
            </w:r>
          </w:p>
        </w:tc>
        <w:tc>
          <w:tcPr>
            <w:tcW w:w="1503" w:type="dxa"/>
            <w:tcBorders>
              <w:top w:val="nil"/>
              <w:left w:val="nil"/>
              <w:bottom w:val="nil"/>
              <w:right w:val="nil"/>
            </w:tcBorders>
            <w:shd w:val="clear" w:color="auto" w:fill="auto"/>
            <w:noWrap/>
            <w:vAlign w:val="bottom"/>
            <w:hideMark/>
          </w:tcPr>
          <w:p w14:paraId="340381E3" w14:textId="77777777" w:rsidR="003B2C9F" w:rsidRPr="003B2C9F" w:rsidRDefault="003B2C9F" w:rsidP="003B2C9F">
            <w:pPr>
              <w:jc w:val="right"/>
              <w:rPr>
                <w:b/>
                <w:bCs/>
                <w:sz w:val="20"/>
                <w:szCs w:val="20"/>
              </w:rPr>
            </w:pPr>
            <w:r w:rsidRPr="003B2C9F">
              <w:rPr>
                <w:b/>
                <w:bCs/>
                <w:sz w:val="20"/>
                <w:szCs w:val="20"/>
              </w:rPr>
              <w:t>167.350,00</w:t>
            </w:r>
          </w:p>
        </w:tc>
        <w:tc>
          <w:tcPr>
            <w:tcW w:w="1366" w:type="dxa"/>
            <w:tcBorders>
              <w:top w:val="nil"/>
              <w:left w:val="nil"/>
              <w:bottom w:val="nil"/>
              <w:right w:val="nil"/>
            </w:tcBorders>
            <w:shd w:val="clear" w:color="auto" w:fill="auto"/>
            <w:noWrap/>
            <w:vAlign w:val="bottom"/>
            <w:hideMark/>
          </w:tcPr>
          <w:p w14:paraId="059AA9D9" w14:textId="77777777" w:rsidR="003B2C9F" w:rsidRPr="003B2C9F" w:rsidRDefault="003B2C9F" w:rsidP="003B2C9F">
            <w:pPr>
              <w:jc w:val="right"/>
              <w:rPr>
                <w:b/>
                <w:bCs/>
                <w:sz w:val="20"/>
                <w:szCs w:val="20"/>
              </w:rPr>
            </w:pPr>
            <w:r w:rsidRPr="003B2C9F">
              <w:rPr>
                <w:b/>
                <w:bCs/>
                <w:sz w:val="20"/>
                <w:szCs w:val="20"/>
              </w:rPr>
              <w:t>149.033,67</w:t>
            </w:r>
          </w:p>
        </w:tc>
        <w:tc>
          <w:tcPr>
            <w:tcW w:w="1525" w:type="dxa"/>
            <w:tcBorders>
              <w:top w:val="nil"/>
              <w:left w:val="nil"/>
              <w:bottom w:val="nil"/>
              <w:right w:val="nil"/>
            </w:tcBorders>
            <w:shd w:val="clear" w:color="auto" w:fill="auto"/>
            <w:noWrap/>
            <w:vAlign w:val="bottom"/>
            <w:hideMark/>
          </w:tcPr>
          <w:p w14:paraId="1972AF25" w14:textId="77777777" w:rsidR="003B2C9F" w:rsidRPr="003B2C9F" w:rsidRDefault="003B2C9F" w:rsidP="003B2C9F">
            <w:pPr>
              <w:jc w:val="right"/>
              <w:rPr>
                <w:b/>
                <w:bCs/>
                <w:sz w:val="20"/>
                <w:szCs w:val="20"/>
              </w:rPr>
            </w:pPr>
            <w:r w:rsidRPr="003B2C9F">
              <w:rPr>
                <w:b/>
                <w:bCs/>
                <w:sz w:val="20"/>
                <w:szCs w:val="20"/>
              </w:rPr>
              <w:t>106,43</w:t>
            </w:r>
          </w:p>
        </w:tc>
        <w:tc>
          <w:tcPr>
            <w:tcW w:w="1000" w:type="dxa"/>
            <w:tcBorders>
              <w:top w:val="nil"/>
              <w:left w:val="nil"/>
              <w:bottom w:val="nil"/>
              <w:right w:val="nil"/>
            </w:tcBorders>
            <w:shd w:val="clear" w:color="auto" w:fill="auto"/>
            <w:noWrap/>
            <w:vAlign w:val="bottom"/>
            <w:hideMark/>
          </w:tcPr>
          <w:p w14:paraId="5FB5D297" w14:textId="77777777" w:rsidR="003B2C9F" w:rsidRPr="003B2C9F" w:rsidRDefault="003B2C9F" w:rsidP="003B2C9F">
            <w:pPr>
              <w:jc w:val="right"/>
              <w:rPr>
                <w:b/>
                <w:bCs/>
                <w:sz w:val="20"/>
                <w:szCs w:val="20"/>
              </w:rPr>
            </w:pPr>
            <w:r w:rsidRPr="003B2C9F">
              <w:rPr>
                <w:b/>
                <w:bCs/>
                <w:sz w:val="20"/>
                <w:szCs w:val="20"/>
              </w:rPr>
              <w:t>89,06</w:t>
            </w:r>
          </w:p>
        </w:tc>
      </w:tr>
      <w:tr w:rsidR="003B2C9F" w:rsidRPr="003B2C9F" w14:paraId="699C8CB3" w14:textId="77777777" w:rsidTr="003B2C9F">
        <w:trPr>
          <w:trHeight w:val="300"/>
        </w:trPr>
        <w:tc>
          <w:tcPr>
            <w:tcW w:w="616" w:type="dxa"/>
            <w:tcBorders>
              <w:top w:val="nil"/>
              <w:left w:val="nil"/>
              <w:bottom w:val="nil"/>
              <w:right w:val="nil"/>
            </w:tcBorders>
            <w:shd w:val="clear" w:color="auto" w:fill="auto"/>
            <w:noWrap/>
            <w:vAlign w:val="bottom"/>
            <w:hideMark/>
          </w:tcPr>
          <w:p w14:paraId="4D5F9667" w14:textId="77777777" w:rsidR="003B2C9F" w:rsidRPr="003B2C9F" w:rsidRDefault="003B2C9F" w:rsidP="003B2C9F">
            <w:pPr>
              <w:rPr>
                <w:b/>
                <w:bCs/>
                <w:sz w:val="20"/>
                <w:szCs w:val="20"/>
              </w:rPr>
            </w:pPr>
            <w:r w:rsidRPr="003B2C9F">
              <w:rPr>
                <w:b/>
                <w:bCs/>
                <w:sz w:val="20"/>
                <w:szCs w:val="20"/>
              </w:rPr>
              <w:t>342</w:t>
            </w:r>
          </w:p>
        </w:tc>
        <w:tc>
          <w:tcPr>
            <w:tcW w:w="6472" w:type="dxa"/>
            <w:tcBorders>
              <w:top w:val="nil"/>
              <w:left w:val="nil"/>
              <w:bottom w:val="nil"/>
              <w:right w:val="nil"/>
            </w:tcBorders>
            <w:shd w:val="clear" w:color="auto" w:fill="auto"/>
            <w:noWrap/>
            <w:vAlign w:val="bottom"/>
            <w:hideMark/>
          </w:tcPr>
          <w:p w14:paraId="6719BF03" w14:textId="77777777" w:rsidR="003B2C9F" w:rsidRPr="003B2C9F" w:rsidRDefault="003B2C9F" w:rsidP="003B2C9F">
            <w:pPr>
              <w:rPr>
                <w:b/>
                <w:bCs/>
                <w:sz w:val="20"/>
                <w:szCs w:val="20"/>
              </w:rPr>
            </w:pPr>
            <w:r w:rsidRPr="003B2C9F">
              <w:rPr>
                <w:b/>
                <w:bCs/>
                <w:sz w:val="20"/>
                <w:szCs w:val="20"/>
              </w:rPr>
              <w:t xml:space="preserve">Kamate za primljene kredite i zajmove                                                               </w:t>
            </w:r>
          </w:p>
        </w:tc>
        <w:tc>
          <w:tcPr>
            <w:tcW w:w="1559" w:type="dxa"/>
            <w:tcBorders>
              <w:top w:val="nil"/>
              <w:left w:val="nil"/>
              <w:bottom w:val="nil"/>
              <w:right w:val="nil"/>
            </w:tcBorders>
            <w:shd w:val="clear" w:color="auto" w:fill="auto"/>
            <w:noWrap/>
            <w:vAlign w:val="bottom"/>
            <w:hideMark/>
          </w:tcPr>
          <w:p w14:paraId="61C1CEDF" w14:textId="77777777" w:rsidR="003B2C9F" w:rsidRPr="003B2C9F" w:rsidRDefault="003B2C9F" w:rsidP="003B2C9F">
            <w:pPr>
              <w:jc w:val="right"/>
              <w:rPr>
                <w:b/>
                <w:bCs/>
                <w:sz w:val="20"/>
                <w:szCs w:val="20"/>
              </w:rPr>
            </w:pPr>
            <w:r w:rsidRPr="003B2C9F">
              <w:rPr>
                <w:b/>
                <w:bCs/>
                <w:sz w:val="20"/>
                <w:szCs w:val="20"/>
              </w:rPr>
              <w:t>67.421,33</w:t>
            </w:r>
          </w:p>
        </w:tc>
        <w:tc>
          <w:tcPr>
            <w:tcW w:w="1503" w:type="dxa"/>
            <w:tcBorders>
              <w:top w:val="nil"/>
              <w:left w:val="nil"/>
              <w:bottom w:val="nil"/>
              <w:right w:val="nil"/>
            </w:tcBorders>
            <w:shd w:val="clear" w:color="auto" w:fill="auto"/>
            <w:noWrap/>
            <w:vAlign w:val="bottom"/>
            <w:hideMark/>
          </w:tcPr>
          <w:p w14:paraId="632A39B8" w14:textId="77777777" w:rsidR="003B2C9F" w:rsidRPr="003B2C9F" w:rsidRDefault="003B2C9F" w:rsidP="003B2C9F">
            <w:pPr>
              <w:jc w:val="right"/>
              <w:rPr>
                <w:b/>
                <w:bCs/>
                <w:sz w:val="20"/>
                <w:szCs w:val="20"/>
              </w:rPr>
            </w:pPr>
            <w:r w:rsidRPr="003B2C9F">
              <w:rPr>
                <w:b/>
                <w:bCs/>
                <w:sz w:val="20"/>
                <w:szCs w:val="20"/>
              </w:rPr>
              <w:t>64.500,00</w:t>
            </w:r>
          </w:p>
        </w:tc>
        <w:tc>
          <w:tcPr>
            <w:tcW w:w="1366" w:type="dxa"/>
            <w:tcBorders>
              <w:top w:val="nil"/>
              <w:left w:val="nil"/>
              <w:bottom w:val="nil"/>
              <w:right w:val="nil"/>
            </w:tcBorders>
            <w:shd w:val="clear" w:color="auto" w:fill="auto"/>
            <w:noWrap/>
            <w:vAlign w:val="bottom"/>
            <w:hideMark/>
          </w:tcPr>
          <w:p w14:paraId="65F53995" w14:textId="77777777" w:rsidR="003B2C9F" w:rsidRPr="003B2C9F" w:rsidRDefault="003B2C9F" w:rsidP="003B2C9F">
            <w:pPr>
              <w:jc w:val="right"/>
              <w:rPr>
                <w:b/>
                <w:bCs/>
                <w:sz w:val="20"/>
                <w:szCs w:val="20"/>
              </w:rPr>
            </w:pPr>
            <w:r w:rsidRPr="003B2C9F">
              <w:rPr>
                <w:b/>
                <w:bCs/>
                <w:sz w:val="20"/>
                <w:szCs w:val="20"/>
              </w:rPr>
              <w:t>64.020,17</w:t>
            </w:r>
          </w:p>
        </w:tc>
        <w:tc>
          <w:tcPr>
            <w:tcW w:w="1525" w:type="dxa"/>
            <w:tcBorders>
              <w:top w:val="nil"/>
              <w:left w:val="nil"/>
              <w:bottom w:val="nil"/>
              <w:right w:val="nil"/>
            </w:tcBorders>
            <w:shd w:val="clear" w:color="auto" w:fill="auto"/>
            <w:noWrap/>
            <w:vAlign w:val="bottom"/>
            <w:hideMark/>
          </w:tcPr>
          <w:p w14:paraId="0BAEFEFF" w14:textId="77777777" w:rsidR="003B2C9F" w:rsidRPr="003B2C9F" w:rsidRDefault="003B2C9F" w:rsidP="003B2C9F">
            <w:pPr>
              <w:jc w:val="right"/>
              <w:rPr>
                <w:b/>
                <w:bCs/>
                <w:sz w:val="20"/>
                <w:szCs w:val="20"/>
              </w:rPr>
            </w:pPr>
            <w:r w:rsidRPr="003B2C9F">
              <w:rPr>
                <w:b/>
                <w:bCs/>
                <w:sz w:val="20"/>
                <w:szCs w:val="20"/>
              </w:rPr>
              <w:t>94,96</w:t>
            </w:r>
          </w:p>
        </w:tc>
        <w:tc>
          <w:tcPr>
            <w:tcW w:w="1000" w:type="dxa"/>
            <w:tcBorders>
              <w:top w:val="nil"/>
              <w:left w:val="nil"/>
              <w:bottom w:val="nil"/>
              <w:right w:val="nil"/>
            </w:tcBorders>
            <w:shd w:val="clear" w:color="auto" w:fill="auto"/>
            <w:noWrap/>
            <w:vAlign w:val="bottom"/>
            <w:hideMark/>
          </w:tcPr>
          <w:p w14:paraId="53792566" w14:textId="77777777" w:rsidR="003B2C9F" w:rsidRPr="003B2C9F" w:rsidRDefault="003B2C9F" w:rsidP="003B2C9F">
            <w:pPr>
              <w:jc w:val="right"/>
              <w:rPr>
                <w:b/>
                <w:bCs/>
                <w:sz w:val="20"/>
                <w:szCs w:val="20"/>
              </w:rPr>
            </w:pPr>
            <w:r w:rsidRPr="003B2C9F">
              <w:rPr>
                <w:b/>
                <w:bCs/>
                <w:sz w:val="20"/>
                <w:szCs w:val="20"/>
              </w:rPr>
              <w:t>99,26</w:t>
            </w:r>
          </w:p>
        </w:tc>
      </w:tr>
      <w:tr w:rsidR="003B2C9F" w:rsidRPr="003B2C9F" w14:paraId="7913D2D9" w14:textId="77777777" w:rsidTr="003B2C9F">
        <w:trPr>
          <w:trHeight w:val="525"/>
        </w:trPr>
        <w:tc>
          <w:tcPr>
            <w:tcW w:w="616" w:type="dxa"/>
            <w:tcBorders>
              <w:top w:val="nil"/>
              <w:left w:val="nil"/>
              <w:bottom w:val="nil"/>
              <w:right w:val="nil"/>
            </w:tcBorders>
            <w:shd w:val="clear" w:color="auto" w:fill="auto"/>
            <w:noWrap/>
            <w:vAlign w:val="bottom"/>
            <w:hideMark/>
          </w:tcPr>
          <w:p w14:paraId="35CE9648" w14:textId="77777777" w:rsidR="003B2C9F" w:rsidRPr="003B2C9F" w:rsidRDefault="003B2C9F" w:rsidP="003B2C9F">
            <w:pPr>
              <w:rPr>
                <w:sz w:val="20"/>
                <w:szCs w:val="20"/>
              </w:rPr>
            </w:pPr>
            <w:r w:rsidRPr="003B2C9F">
              <w:rPr>
                <w:sz w:val="20"/>
                <w:szCs w:val="20"/>
              </w:rPr>
              <w:t>3422</w:t>
            </w:r>
          </w:p>
        </w:tc>
        <w:tc>
          <w:tcPr>
            <w:tcW w:w="6472" w:type="dxa"/>
            <w:tcBorders>
              <w:top w:val="nil"/>
              <w:left w:val="nil"/>
              <w:bottom w:val="nil"/>
              <w:right w:val="nil"/>
            </w:tcBorders>
            <w:shd w:val="clear" w:color="auto" w:fill="auto"/>
            <w:vAlign w:val="bottom"/>
            <w:hideMark/>
          </w:tcPr>
          <w:p w14:paraId="5168072C" w14:textId="77777777" w:rsidR="003B2C9F" w:rsidRPr="003B2C9F" w:rsidRDefault="003B2C9F" w:rsidP="003B2C9F">
            <w:pPr>
              <w:rPr>
                <w:sz w:val="20"/>
                <w:szCs w:val="20"/>
              </w:rPr>
            </w:pPr>
            <w:r w:rsidRPr="003B2C9F">
              <w:rPr>
                <w:sz w:val="20"/>
                <w:szCs w:val="20"/>
              </w:rPr>
              <w:t>Kamate za primljene kredite i zajmove od kreditnih i ostalih financijskih institucija u javnom sekto</w:t>
            </w:r>
          </w:p>
        </w:tc>
        <w:tc>
          <w:tcPr>
            <w:tcW w:w="1559" w:type="dxa"/>
            <w:tcBorders>
              <w:top w:val="nil"/>
              <w:left w:val="nil"/>
              <w:bottom w:val="nil"/>
              <w:right w:val="nil"/>
            </w:tcBorders>
            <w:shd w:val="clear" w:color="auto" w:fill="auto"/>
            <w:noWrap/>
            <w:vAlign w:val="bottom"/>
            <w:hideMark/>
          </w:tcPr>
          <w:p w14:paraId="1EE7F39C" w14:textId="77777777" w:rsidR="003B2C9F" w:rsidRPr="003B2C9F" w:rsidRDefault="003B2C9F" w:rsidP="003B2C9F">
            <w:pPr>
              <w:jc w:val="right"/>
              <w:rPr>
                <w:sz w:val="20"/>
                <w:szCs w:val="20"/>
              </w:rPr>
            </w:pPr>
            <w:r w:rsidRPr="003B2C9F">
              <w:rPr>
                <w:sz w:val="20"/>
                <w:szCs w:val="20"/>
              </w:rPr>
              <w:t>6.752,89</w:t>
            </w:r>
          </w:p>
        </w:tc>
        <w:tc>
          <w:tcPr>
            <w:tcW w:w="1503" w:type="dxa"/>
            <w:tcBorders>
              <w:top w:val="nil"/>
              <w:left w:val="nil"/>
              <w:bottom w:val="nil"/>
              <w:right w:val="nil"/>
            </w:tcBorders>
            <w:shd w:val="clear" w:color="auto" w:fill="auto"/>
            <w:noWrap/>
            <w:vAlign w:val="bottom"/>
            <w:hideMark/>
          </w:tcPr>
          <w:p w14:paraId="43796C3B"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2439F4FE" w14:textId="77777777" w:rsidR="003B2C9F" w:rsidRPr="003B2C9F" w:rsidRDefault="003B2C9F" w:rsidP="003B2C9F">
            <w:pPr>
              <w:jc w:val="right"/>
              <w:rPr>
                <w:sz w:val="20"/>
                <w:szCs w:val="20"/>
              </w:rPr>
            </w:pPr>
            <w:r w:rsidRPr="003B2C9F">
              <w:rPr>
                <w:sz w:val="20"/>
                <w:szCs w:val="20"/>
              </w:rPr>
              <w:t>7.532,62</w:t>
            </w:r>
          </w:p>
        </w:tc>
        <w:tc>
          <w:tcPr>
            <w:tcW w:w="1525" w:type="dxa"/>
            <w:tcBorders>
              <w:top w:val="nil"/>
              <w:left w:val="nil"/>
              <w:bottom w:val="nil"/>
              <w:right w:val="nil"/>
            </w:tcBorders>
            <w:shd w:val="clear" w:color="auto" w:fill="auto"/>
            <w:noWrap/>
            <w:vAlign w:val="bottom"/>
            <w:hideMark/>
          </w:tcPr>
          <w:p w14:paraId="5E787AC8" w14:textId="77777777" w:rsidR="003B2C9F" w:rsidRPr="003B2C9F" w:rsidRDefault="003B2C9F" w:rsidP="003B2C9F">
            <w:pPr>
              <w:jc w:val="right"/>
              <w:rPr>
                <w:sz w:val="20"/>
                <w:szCs w:val="20"/>
              </w:rPr>
            </w:pPr>
            <w:r w:rsidRPr="003B2C9F">
              <w:rPr>
                <w:sz w:val="20"/>
                <w:szCs w:val="20"/>
              </w:rPr>
              <w:t>111,55</w:t>
            </w:r>
          </w:p>
        </w:tc>
        <w:tc>
          <w:tcPr>
            <w:tcW w:w="1000" w:type="dxa"/>
            <w:tcBorders>
              <w:top w:val="nil"/>
              <w:left w:val="nil"/>
              <w:bottom w:val="nil"/>
              <w:right w:val="nil"/>
            </w:tcBorders>
            <w:shd w:val="clear" w:color="auto" w:fill="auto"/>
            <w:noWrap/>
            <w:vAlign w:val="bottom"/>
            <w:hideMark/>
          </w:tcPr>
          <w:p w14:paraId="4F0B2193" w14:textId="77777777" w:rsidR="003B2C9F" w:rsidRPr="003B2C9F" w:rsidRDefault="003B2C9F" w:rsidP="003B2C9F">
            <w:pPr>
              <w:jc w:val="right"/>
              <w:rPr>
                <w:sz w:val="20"/>
                <w:szCs w:val="20"/>
              </w:rPr>
            </w:pPr>
          </w:p>
        </w:tc>
      </w:tr>
      <w:tr w:rsidR="003B2C9F" w:rsidRPr="003B2C9F" w14:paraId="1B9CE89C" w14:textId="77777777" w:rsidTr="003B2C9F">
        <w:trPr>
          <w:trHeight w:val="525"/>
        </w:trPr>
        <w:tc>
          <w:tcPr>
            <w:tcW w:w="616" w:type="dxa"/>
            <w:tcBorders>
              <w:top w:val="nil"/>
              <w:left w:val="nil"/>
              <w:bottom w:val="nil"/>
              <w:right w:val="nil"/>
            </w:tcBorders>
            <w:shd w:val="clear" w:color="auto" w:fill="auto"/>
            <w:noWrap/>
            <w:vAlign w:val="bottom"/>
            <w:hideMark/>
          </w:tcPr>
          <w:p w14:paraId="088CD5DB" w14:textId="77777777" w:rsidR="003B2C9F" w:rsidRPr="003B2C9F" w:rsidRDefault="003B2C9F" w:rsidP="003B2C9F">
            <w:pPr>
              <w:rPr>
                <w:sz w:val="20"/>
                <w:szCs w:val="20"/>
              </w:rPr>
            </w:pPr>
            <w:r w:rsidRPr="003B2C9F">
              <w:rPr>
                <w:sz w:val="20"/>
                <w:szCs w:val="20"/>
              </w:rPr>
              <w:t>3423</w:t>
            </w:r>
          </w:p>
        </w:tc>
        <w:tc>
          <w:tcPr>
            <w:tcW w:w="6472" w:type="dxa"/>
            <w:tcBorders>
              <w:top w:val="nil"/>
              <w:left w:val="nil"/>
              <w:bottom w:val="nil"/>
              <w:right w:val="nil"/>
            </w:tcBorders>
            <w:shd w:val="clear" w:color="auto" w:fill="auto"/>
            <w:vAlign w:val="bottom"/>
            <w:hideMark/>
          </w:tcPr>
          <w:p w14:paraId="1DF4F253" w14:textId="77777777" w:rsidR="003B2C9F" w:rsidRPr="003B2C9F" w:rsidRDefault="003B2C9F" w:rsidP="003B2C9F">
            <w:pPr>
              <w:rPr>
                <w:sz w:val="20"/>
                <w:szCs w:val="20"/>
              </w:rPr>
            </w:pPr>
            <w:r w:rsidRPr="003B2C9F">
              <w:rPr>
                <w:sz w:val="20"/>
                <w:szCs w:val="20"/>
              </w:rPr>
              <w:t>Kamate za primljene kredite i zajmove od kreditnih i ostalih financijskih institucija izvan javnog s</w:t>
            </w:r>
          </w:p>
        </w:tc>
        <w:tc>
          <w:tcPr>
            <w:tcW w:w="1559" w:type="dxa"/>
            <w:tcBorders>
              <w:top w:val="nil"/>
              <w:left w:val="nil"/>
              <w:bottom w:val="nil"/>
              <w:right w:val="nil"/>
            </w:tcBorders>
            <w:shd w:val="clear" w:color="auto" w:fill="auto"/>
            <w:noWrap/>
            <w:vAlign w:val="bottom"/>
            <w:hideMark/>
          </w:tcPr>
          <w:p w14:paraId="590123BB" w14:textId="77777777" w:rsidR="003B2C9F" w:rsidRPr="003B2C9F" w:rsidRDefault="003B2C9F" w:rsidP="003B2C9F">
            <w:pPr>
              <w:jc w:val="right"/>
              <w:rPr>
                <w:sz w:val="20"/>
                <w:szCs w:val="20"/>
              </w:rPr>
            </w:pPr>
            <w:r w:rsidRPr="003B2C9F">
              <w:rPr>
                <w:sz w:val="20"/>
                <w:szCs w:val="20"/>
              </w:rPr>
              <w:t>60.668,44</w:t>
            </w:r>
          </w:p>
        </w:tc>
        <w:tc>
          <w:tcPr>
            <w:tcW w:w="1503" w:type="dxa"/>
            <w:tcBorders>
              <w:top w:val="nil"/>
              <w:left w:val="nil"/>
              <w:bottom w:val="nil"/>
              <w:right w:val="nil"/>
            </w:tcBorders>
            <w:shd w:val="clear" w:color="auto" w:fill="auto"/>
            <w:noWrap/>
            <w:vAlign w:val="bottom"/>
            <w:hideMark/>
          </w:tcPr>
          <w:p w14:paraId="1BC4A503"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61FB2307" w14:textId="77777777" w:rsidR="003B2C9F" w:rsidRPr="003B2C9F" w:rsidRDefault="003B2C9F" w:rsidP="003B2C9F">
            <w:pPr>
              <w:jc w:val="right"/>
              <w:rPr>
                <w:sz w:val="20"/>
                <w:szCs w:val="20"/>
              </w:rPr>
            </w:pPr>
            <w:r w:rsidRPr="003B2C9F">
              <w:rPr>
                <w:sz w:val="20"/>
                <w:szCs w:val="20"/>
              </w:rPr>
              <w:t>56.487,55</w:t>
            </w:r>
          </w:p>
        </w:tc>
        <w:tc>
          <w:tcPr>
            <w:tcW w:w="1525" w:type="dxa"/>
            <w:tcBorders>
              <w:top w:val="nil"/>
              <w:left w:val="nil"/>
              <w:bottom w:val="nil"/>
              <w:right w:val="nil"/>
            </w:tcBorders>
            <w:shd w:val="clear" w:color="auto" w:fill="auto"/>
            <w:noWrap/>
            <w:vAlign w:val="bottom"/>
            <w:hideMark/>
          </w:tcPr>
          <w:p w14:paraId="7A7BB38F" w14:textId="77777777" w:rsidR="003B2C9F" w:rsidRPr="003B2C9F" w:rsidRDefault="003B2C9F" w:rsidP="003B2C9F">
            <w:pPr>
              <w:jc w:val="right"/>
              <w:rPr>
                <w:sz w:val="20"/>
                <w:szCs w:val="20"/>
              </w:rPr>
            </w:pPr>
            <w:r w:rsidRPr="003B2C9F">
              <w:rPr>
                <w:sz w:val="20"/>
                <w:szCs w:val="20"/>
              </w:rPr>
              <w:t>93,11</w:t>
            </w:r>
          </w:p>
        </w:tc>
        <w:tc>
          <w:tcPr>
            <w:tcW w:w="1000" w:type="dxa"/>
            <w:tcBorders>
              <w:top w:val="nil"/>
              <w:left w:val="nil"/>
              <w:bottom w:val="nil"/>
              <w:right w:val="nil"/>
            </w:tcBorders>
            <w:shd w:val="clear" w:color="auto" w:fill="auto"/>
            <w:noWrap/>
            <w:vAlign w:val="bottom"/>
            <w:hideMark/>
          </w:tcPr>
          <w:p w14:paraId="76A463FD" w14:textId="77777777" w:rsidR="003B2C9F" w:rsidRPr="003B2C9F" w:rsidRDefault="003B2C9F" w:rsidP="003B2C9F">
            <w:pPr>
              <w:jc w:val="right"/>
              <w:rPr>
                <w:sz w:val="20"/>
                <w:szCs w:val="20"/>
              </w:rPr>
            </w:pPr>
          </w:p>
        </w:tc>
      </w:tr>
      <w:tr w:rsidR="003B2C9F" w:rsidRPr="003B2C9F" w14:paraId="56809D8D" w14:textId="77777777" w:rsidTr="003B2C9F">
        <w:trPr>
          <w:trHeight w:val="300"/>
        </w:trPr>
        <w:tc>
          <w:tcPr>
            <w:tcW w:w="616" w:type="dxa"/>
            <w:tcBorders>
              <w:top w:val="nil"/>
              <w:left w:val="nil"/>
              <w:bottom w:val="nil"/>
              <w:right w:val="nil"/>
            </w:tcBorders>
            <w:shd w:val="clear" w:color="auto" w:fill="auto"/>
            <w:noWrap/>
            <w:vAlign w:val="bottom"/>
            <w:hideMark/>
          </w:tcPr>
          <w:p w14:paraId="6D945A59" w14:textId="77777777" w:rsidR="003B2C9F" w:rsidRPr="003B2C9F" w:rsidRDefault="003B2C9F" w:rsidP="003B2C9F">
            <w:pPr>
              <w:rPr>
                <w:b/>
                <w:bCs/>
                <w:sz w:val="20"/>
                <w:szCs w:val="20"/>
              </w:rPr>
            </w:pPr>
            <w:r w:rsidRPr="003B2C9F">
              <w:rPr>
                <w:b/>
                <w:bCs/>
                <w:sz w:val="20"/>
                <w:szCs w:val="20"/>
              </w:rPr>
              <w:t>343</w:t>
            </w:r>
          </w:p>
        </w:tc>
        <w:tc>
          <w:tcPr>
            <w:tcW w:w="6472" w:type="dxa"/>
            <w:tcBorders>
              <w:top w:val="nil"/>
              <w:left w:val="nil"/>
              <w:bottom w:val="nil"/>
              <w:right w:val="nil"/>
            </w:tcBorders>
            <w:shd w:val="clear" w:color="auto" w:fill="auto"/>
            <w:noWrap/>
            <w:vAlign w:val="bottom"/>
            <w:hideMark/>
          </w:tcPr>
          <w:p w14:paraId="6F5AF294" w14:textId="77777777" w:rsidR="003B2C9F" w:rsidRPr="003B2C9F" w:rsidRDefault="003B2C9F" w:rsidP="003B2C9F">
            <w:pPr>
              <w:rPr>
                <w:b/>
                <w:bCs/>
                <w:sz w:val="20"/>
                <w:szCs w:val="20"/>
              </w:rPr>
            </w:pPr>
            <w:r w:rsidRPr="003B2C9F">
              <w:rPr>
                <w:b/>
                <w:bCs/>
                <w:sz w:val="20"/>
                <w:szCs w:val="20"/>
              </w:rPr>
              <w:t xml:space="preserve">Ostali financijski rashodi                                                                          </w:t>
            </w:r>
          </w:p>
        </w:tc>
        <w:tc>
          <w:tcPr>
            <w:tcW w:w="1559" w:type="dxa"/>
            <w:tcBorders>
              <w:top w:val="nil"/>
              <w:left w:val="nil"/>
              <w:bottom w:val="nil"/>
              <w:right w:val="nil"/>
            </w:tcBorders>
            <w:shd w:val="clear" w:color="auto" w:fill="auto"/>
            <w:noWrap/>
            <w:vAlign w:val="bottom"/>
            <w:hideMark/>
          </w:tcPr>
          <w:p w14:paraId="0F19077D" w14:textId="77777777" w:rsidR="003B2C9F" w:rsidRPr="003B2C9F" w:rsidRDefault="003B2C9F" w:rsidP="003B2C9F">
            <w:pPr>
              <w:jc w:val="right"/>
              <w:rPr>
                <w:b/>
                <w:bCs/>
                <w:sz w:val="20"/>
                <w:szCs w:val="20"/>
              </w:rPr>
            </w:pPr>
            <w:r w:rsidRPr="003B2C9F">
              <w:rPr>
                <w:b/>
                <w:bCs/>
                <w:sz w:val="20"/>
                <w:szCs w:val="20"/>
              </w:rPr>
              <w:t>72.603,83</w:t>
            </w:r>
          </w:p>
        </w:tc>
        <w:tc>
          <w:tcPr>
            <w:tcW w:w="1503" w:type="dxa"/>
            <w:tcBorders>
              <w:top w:val="nil"/>
              <w:left w:val="nil"/>
              <w:bottom w:val="nil"/>
              <w:right w:val="nil"/>
            </w:tcBorders>
            <w:shd w:val="clear" w:color="auto" w:fill="auto"/>
            <w:noWrap/>
            <w:vAlign w:val="bottom"/>
            <w:hideMark/>
          </w:tcPr>
          <w:p w14:paraId="4E40F34B" w14:textId="77777777" w:rsidR="003B2C9F" w:rsidRPr="003B2C9F" w:rsidRDefault="003B2C9F" w:rsidP="003B2C9F">
            <w:pPr>
              <w:jc w:val="right"/>
              <w:rPr>
                <w:b/>
                <w:bCs/>
                <w:sz w:val="20"/>
                <w:szCs w:val="20"/>
              </w:rPr>
            </w:pPr>
            <w:r w:rsidRPr="003B2C9F">
              <w:rPr>
                <w:b/>
                <w:bCs/>
                <w:sz w:val="20"/>
                <w:szCs w:val="20"/>
              </w:rPr>
              <w:t>102.850,00</w:t>
            </w:r>
          </w:p>
        </w:tc>
        <w:tc>
          <w:tcPr>
            <w:tcW w:w="1366" w:type="dxa"/>
            <w:tcBorders>
              <w:top w:val="nil"/>
              <w:left w:val="nil"/>
              <w:bottom w:val="nil"/>
              <w:right w:val="nil"/>
            </w:tcBorders>
            <w:shd w:val="clear" w:color="auto" w:fill="auto"/>
            <w:noWrap/>
            <w:vAlign w:val="bottom"/>
            <w:hideMark/>
          </w:tcPr>
          <w:p w14:paraId="2CC25685" w14:textId="77777777" w:rsidR="003B2C9F" w:rsidRPr="003B2C9F" w:rsidRDefault="003B2C9F" w:rsidP="003B2C9F">
            <w:pPr>
              <w:jc w:val="right"/>
              <w:rPr>
                <w:b/>
                <w:bCs/>
                <w:sz w:val="20"/>
                <w:szCs w:val="20"/>
              </w:rPr>
            </w:pPr>
            <w:r w:rsidRPr="003B2C9F">
              <w:rPr>
                <w:b/>
                <w:bCs/>
                <w:sz w:val="20"/>
                <w:szCs w:val="20"/>
              </w:rPr>
              <w:t>85.013,50</w:t>
            </w:r>
          </w:p>
        </w:tc>
        <w:tc>
          <w:tcPr>
            <w:tcW w:w="1525" w:type="dxa"/>
            <w:tcBorders>
              <w:top w:val="nil"/>
              <w:left w:val="nil"/>
              <w:bottom w:val="nil"/>
              <w:right w:val="nil"/>
            </w:tcBorders>
            <w:shd w:val="clear" w:color="auto" w:fill="auto"/>
            <w:noWrap/>
            <w:vAlign w:val="bottom"/>
            <w:hideMark/>
          </w:tcPr>
          <w:p w14:paraId="367DF0BA" w14:textId="77777777" w:rsidR="003B2C9F" w:rsidRPr="003B2C9F" w:rsidRDefault="003B2C9F" w:rsidP="003B2C9F">
            <w:pPr>
              <w:jc w:val="right"/>
              <w:rPr>
                <w:b/>
                <w:bCs/>
                <w:sz w:val="20"/>
                <w:szCs w:val="20"/>
              </w:rPr>
            </w:pPr>
            <w:r w:rsidRPr="003B2C9F">
              <w:rPr>
                <w:b/>
                <w:bCs/>
                <w:sz w:val="20"/>
                <w:szCs w:val="20"/>
              </w:rPr>
              <w:t>117,09</w:t>
            </w:r>
          </w:p>
        </w:tc>
        <w:tc>
          <w:tcPr>
            <w:tcW w:w="1000" w:type="dxa"/>
            <w:tcBorders>
              <w:top w:val="nil"/>
              <w:left w:val="nil"/>
              <w:bottom w:val="nil"/>
              <w:right w:val="nil"/>
            </w:tcBorders>
            <w:shd w:val="clear" w:color="auto" w:fill="auto"/>
            <w:noWrap/>
            <w:vAlign w:val="bottom"/>
            <w:hideMark/>
          </w:tcPr>
          <w:p w14:paraId="1888E331" w14:textId="77777777" w:rsidR="003B2C9F" w:rsidRPr="003B2C9F" w:rsidRDefault="003B2C9F" w:rsidP="003B2C9F">
            <w:pPr>
              <w:jc w:val="right"/>
              <w:rPr>
                <w:b/>
                <w:bCs/>
                <w:sz w:val="20"/>
                <w:szCs w:val="20"/>
              </w:rPr>
            </w:pPr>
            <w:r w:rsidRPr="003B2C9F">
              <w:rPr>
                <w:b/>
                <w:bCs/>
                <w:sz w:val="20"/>
                <w:szCs w:val="20"/>
              </w:rPr>
              <w:t>82,66</w:t>
            </w:r>
          </w:p>
        </w:tc>
      </w:tr>
      <w:tr w:rsidR="003B2C9F" w:rsidRPr="003B2C9F" w14:paraId="2D58F1A1" w14:textId="77777777" w:rsidTr="003B2C9F">
        <w:trPr>
          <w:trHeight w:val="300"/>
        </w:trPr>
        <w:tc>
          <w:tcPr>
            <w:tcW w:w="616" w:type="dxa"/>
            <w:tcBorders>
              <w:top w:val="nil"/>
              <w:left w:val="nil"/>
              <w:bottom w:val="nil"/>
              <w:right w:val="nil"/>
            </w:tcBorders>
            <w:shd w:val="clear" w:color="auto" w:fill="auto"/>
            <w:noWrap/>
            <w:vAlign w:val="bottom"/>
            <w:hideMark/>
          </w:tcPr>
          <w:p w14:paraId="1F290064" w14:textId="77777777" w:rsidR="003B2C9F" w:rsidRPr="003B2C9F" w:rsidRDefault="003B2C9F" w:rsidP="003B2C9F">
            <w:pPr>
              <w:rPr>
                <w:sz w:val="20"/>
                <w:szCs w:val="20"/>
              </w:rPr>
            </w:pPr>
            <w:r w:rsidRPr="003B2C9F">
              <w:rPr>
                <w:sz w:val="20"/>
                <w:szCs w:val="20"/>
              </w:rPr>
              <w:t>3431</w:t>
            </w:r>
          </w:p>
        </w:tc>
        <w:tc>
          <w:tcPr>
            <w:tcW w:w="6472" w:type="dxa"/>
            <w:tcBorders>
              <w:top w:val="nil"/>
              <w:left w:val="nil"/>
              <w:bottom w:val="nil"/>
              <w:right w:val="nil"/>
            </w:tcBorders>
            <w:shd w:val="clear" w:color="auto" w:fill="auto"/>
            <w:vAlign w:val="bottom"/>
            <w:hideMark/>
          </w:tcPr>
          <w:p w14:paraId="0300D1D3" w14:textId="77777777" w:rsidR="003B2C9F" w:rsidRPr="003B2C9F" w:rsidRDefault="003B2C9F" w:rsidP="003B2C9F">
            <w:pPr>
              <w:rPr>
                <w:sz w:val="20"/>
                <w:szCs w:val="20"/>
              </w:rPr>
            </w:pPr>
            <w:r w:rsidRPr="003B2C9F">
              <w:rPr>
                <w:sz w:val="20"/>
                <w:szCs w:val="20"/>
              </w:rPr>
              <w:t xml:space="preserve">Bankarske usluge i usluge platnog prometa                                                           </w:t>
            </w:r>
          </w:p>
        </w:tc>
        <w:tc>
          <w:tcPr>
            <w:tcW w:w="1559" w:type="dxa"/>
            <w:tcBorders>
              <w:top w:val="nil"/>
              <w:left w:val="nil"/>
              <w:bottom w:val="nil"/>
              <w:right w:val="nil"/>
            </w:tcBorders>
            <w:shd w:val="clear" w:color="auto" w:fill="auto"/>
            <w:noWrap/>
            <w:vAlign w:val="bottom"/>
            <w:hideMark/>
          </w:tcPr>
          <w:p w14:paraId="517E48CB" w14:textId="77777777" w:rsidR="003B2C9F" w:rsidRPr="003B2C9F" w:rsidRDefault="003B2C9F" w:rsidP="003B2C9F">
            <w:pPr>
              <w:jc w:val="right"/>
              <w:rPr>
                <w:sz w:val="20"/>
                <w:szCs w:val="20"/>
              </w:rPr>
            </w:pPr>
            <w:r w:rsidRPr="003B2C9F">
              <w:rPr>
                <w:sz w:val="20"/>
                <w:szCs w:val="20"/>
              </w:rPr>
              <w:t>61.427,70</w:t>
            </w:r>
          </w:p>
        </w:tc>
        <w:tc>
          <w:tcPr>
            <w:tcW w:w="1503" w:type="dxa"/>
            <w:tcBorders>
              <w:top w:val="nil"/>
              <w:left w:val="nil"/>
              <w:bottom w:val="nil"/>
              <w:right w:val="nil"/>
            </w:tcBorders>
            <w:shd w:val="clear" w:color="auto" w:fill="auto"/>
            <w:noWrap/>
            <w:vAlign w:val="bottom"/>
            <w:hideMark/>
          </w:tcPr>
          <w:p w14:paraId="74BB75FA"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56A9EDAE" w14:textId="77777777" w:rsidR="003B2C9F" w:rsidRPr="003B2C9F" w:rsidRDefault="003B2C9F" w:rsidP="003B2C9F">
            <w:pPr>
              <w:jc w:val="right"/>
              <w:rPr>
                <w:sz w:val="20"/>
                <w:szCs w:val="20"/>
              </w:rPr>
            </w:pPr>
            <w:r w:rsidRPr="003B2C9F">
              <w:rPr>
                <w:sz w:val="20"/>
                <w:szCs w:val="20"/>
              </w:rPr>
              <w:t>66.399,90</w:t>
            </w:r>
          </w:p>
        </w:tc>
        <w:tc>
          <w:tcPr>
            <w:tcW w:w="1525" w:type="dxa"/>
            <w:tcBorders>
              <w:top w:val="nil"/>
              <w:left w:val="nil"/>
              <w:bottom w:val="nil"/>
              <w:right w:val="nil"/>
            </w:tcBorders>
            <w:shd w:val="clear" w:color="auto" w:fill="auto"/>
            <w:noWrap/>
            <w:vAlign w:val="bottom"/>
            <w:hideMark/>
          </w:tcPr>
          <w:p w14:paraId="501021C6" w14:textId="77777777" w:rsidR="003B2C9F" w:rsidRPr="003B2C9F" w:rsidRDefault="003B2C9F" w:rsidP="003B2C9F">
            <w:pPr>
              <w:jc w:val="right"/>
              <w:rPr>
                <w:sz w:val="20"/>
                <w:szCs w:val="20"/>
              </w:rPr>
            </w:pPr>
            <w:r w:rsidRPr="003B2C9F">
              <w:rPr>
                <w:sz w:val="20"/>
                <w:szCs w:val="20"/>
              </w:rPr>
              <w:t>108,09</w:t>
            </w:r>
          </w:p>
        </w:tc>
        <w:tc>
          <w:tcPr>
            <w:tcW w:w="1000" w:type="dxa"/>
            <w:tcBorders>
              <w:top w:val="nil"/>
              <w:left w:val="nil"/>
              <w:bottom w:val="nil"/>
              <w:right w:val="nil"/>
            </w:tcBorders>
            <w:shd w:val="clear" w:color="auto" w:fill="auto"/>
            <w:noWrap/>
            <w:vAlign w:val="bottom"/>
            <w:hideMark/>
          </w:tcPr>
          <w:p w14:paraId="15EC828C" w14:textId="77777777" w:rsidR="003B2C9F" w:rsidRPr="003B2C9F" w:rsidRDefault="003B2C9F" w:rsidP="003B2C9F">
            <w:pPr>
              <w:jc w:val="right"/>
              <w:rPr>
                <w:sz w:val="20"/>
                <w:szCs w:val="20"/>
              </w:rPr>
            </w:pPr>
          </w:p>
        </w:tc>
      </w:tr>
      <w:tr w:rsidR="003B2C9F" w:rsidRPr="003B2C9F" w14:paraId="73E5A14F" w14:textId="77777777" w:rsidTr="003B2C9F">
        <w:trPr>
          <w:trHeight w:val="300"/>
        </w:trPr>
        <w:tc>
          <w:tcPr>
            <w:tcW w:w="616" w:type="dxa"/>
            <w:tcBorders>
              <w:top w:val="nil"/>
              <w:left w:val="nil"/>
              <w:bottom w:val="nil"/>
              <w:right w:val="nil"/>
            </w:tcBorders>
            <w:shd w:val="clear" w:color="auto" w:fill="auto"/>
            <w:noWrap/>
            <w:vAlign w:val="bottom"/>
            <w:hideMark/>
          </w:tcPr>
          <w:p w14:paraId="483A6CE1" w14:textId="77777777" w:rsidR="003B2C9F" w:rsidRPr="003B2C9F" w:rsidRDefault="003B2C9F" w:rsidP="003B2C9F">
            <w:pPr>
              <w:rPr>
                <w:sz w:val="20"/>
                <w:szCs w:val="20"/>
              </w:rPr>
            </w:pPr>
            <w:r w:rsidRPr="003B2C9F">
              <w:rPr>
                <w:sz w:val="20"/>
                <w:szCs w:val="20"/>
              </w:rPr>
              <w:t>3432</w:t>
            </w:r>
          </w:p>
        </w:tc>
        <w:tc>
          <w:tcPr>
            <w:tcW w:w="6472" w:type="dxa"/>
            <w:tcBorders>
              <w:top w:val="nil"/>
              <w:left w:val="nil"/>
              <w:bottom w:val="nil"/>
              <w:right w:val="nil"/>
            </w:tcBorders>
            <w:shd w:val="clear" w:color="auto" w:fill="auto"/>
            <w:vAlign w:val="bottom"/>
            <w:hideMark/>
          </w:tcPr>
          <w:p w14:paraId="046FC0D8" w14:textId="77777777" w:rsidR="003B2C9F" w:rsidRPr="003B2C9F" w:rsidRDefault="003B2C9F" w:rsidP="003B2C9F">
            <w:pPr>
              <w:rPr>
                <w:sz w:val="20"/>
                <w:szCs w:val="20"/>
              </w:rPr>
            </w:pPr>
            <w:r w:rsidRPr="003B2C9F">
              <w:rPr>
                <w:sz w:val="20"/>
                <w:szCs w:val="20"/>
              </w:rPr>
              <w:t xml:space="preserve">Negativne tečajne razlike i razlike zbog primjene valutne klauzule                                  </w:t>
            </w:r>
          </w:p>
        </w:tc>
        <w:tc>
          <w:tcPr>
            <w:tcW w:w="1559" w:type="dxa"/>
            <w:tcBorders>
              <w:top w:val="nil"/>
              <w:left w:val="nil"/>
              <w:bottom w:val="nil"/>
              <w:right w:val="nil"/>
            </w:tcBorders>
            <w:shd w:val="clear" w:color="auto" w:fill="auto"/>
            <w:noWrap/>
            <w:vAlign w:val="bottom"/>
            <w:hideMark/>
          </w:tcPr>
          <w:p w14:paraId="4E45CE6C" w14:textId="77777777" w:rsidR="003B2C9F" w:rsidRPr="003B2C9F" w:rsidRDefault="003B2C9F" w:rsidP="003B2C9F">
            <w:pPr>
              <w:jc w:val="right"/>
              <w:rPr>
                <w:sz w:val="20"/>
                <w:szCs w:val="20"/>
              </w:rPr>
            </w:pPr>
            <w:r w:rsidRPr="003B2C9F">
              <w:rPr>
                <w:sz w:val="20"/>
                <w:szCs w:val="20"/>
              </w:rPr>
              <w:t>481,71</w:t>
            </w:r>
          </w:p>
        </w:tc>
        <w:tc>
          <w:tcPr>
            <w:tcW w:w="1503" w:type="dxa"/>
            <w:tcBorders>
              <w:top w:val="nil"/>
              <w:left w:val="nil"/>
              <w:bottom w:val="nil"/>
              <w:right w:val="nil"/>
            </w:tcBorders>
            <w:shd w:val="clear" w:color="auto" w:fill="auto"/>
            <w:noWrap/>
            <w:vAlign w:val="bottom"/>
            <w:hideMark/>
          </w:tcPr>
          <w:p w14:paraId="670CE8AA"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75469D04" w14:textId="77777777" w:rsidR="003B2C9F" w:rsidRPr="003B2C9F" w:rsidRDefault="003B2C9F" w:rsidP="003B2C9F">
            <w:pPr>
              <w:jc w:val="right"/>
              <w:rPr>
                <w:sz w:val="20"/>
                <w:szCs w:val="20"/>
              </w:rPr>
            </w:pPr>
            <w:r w:rsidRPr="003B2C9F">
              <w:rPr>
                <w:sz w:val="20"/>
                <w:szCs w:val="20"/>
              </w:rPr>
              <w:t>115,10</w:t>
            </w:r>
          </w:p>
        </w:tc>
        <w:tc>
          <w:tcPr>
            <w:tcW w:w="1525" w:type="dxa"/>
            <w:tcBorders>
              <w:top w:val="nil"/>
              <w:left w:val="nil"/>
              <w:bottom w:val="nil"/>
              <w:right w:val="nil"/>
            </w:tcBorders>
            <w:shd w:val="clear" w:color="auto" w:fill="auto"/>
            <w:noWrap/>
            <w:vAlign w:val="bottom"/>
            <w:hideMark/>
          </w:tcPr>
          <w:p w14:paraId="3102ABCC" w14:textId="77777777" w:rsidR="003B2C9F" w:rsidRPr="003B2C9F" w:rsidRDefault="003B2C9F" w:rsidP="003B2C9F">
            <w:pPr>
              <w:jc w:val="right"/>
              <w:rPr>
                <w:sz w:val="20"/>
                <w:szCs w:val="20"/>
              </w:rPr>
            </w:pPr>
            <w:r w:rsidRPr="003B2C9F">
              <w:rPr>
                <w:sz w:val="20"/>
                <w:szCs w:val="20"/>
              </w:rPr>
              <w:t>23,89</w:t>
            </w:r>
          </w:p>
        </w:tc>
        <w:tc>
          <w:tcPr>
            <w:tcW w:w="1000" w:type="dxa"/>
            <w:tcBorders>
              <w:top w:val="nil"/>
              <w:left w:val="nil"/>
              <w:bottom w:val="nil"/>
              <w:right w:val="nil"/>
            </w:tcBorders>
            <w:shd w:val="clear" w:color="auto" w:fill="auto"/>
            <w:noWrap/>
            <w:vAlign w:val="bottom"/>
            <w:hideMark/>
          </w:tcPr>
          <w:p w14:paraId="4E858900" w14:textId="77777777" w:rsidR="003B2C9F" w:rsidRPr="003B2C9F" w:rsidRDefault="003B2C9F" w:rsidP="003B2C9F">
            <w:pPr>
              <w:jc w:val="right"/>
              <w:rPr>
                <w:sz w:val="20"/>
                <w:szCs w:val="20"/>
              </w:rPr>
            </w:pPr>
          </w:p>
        </w:tc>
      </w:tr>
      <w:tr w:rsidR="003B2C9F" w:rsidRPr="003B2C9F" w14:paraId="7046711F" w14:textId="77777777" w:rsidTr="003B2C9F">
        <w:trPr>
          <w:trHeight w:val="300"/>
        </w:trPr>
        <w:tc>
          <w:tcPr>
            <w:tcW w:w="616" w:type="dxa"/>
            <w:tcBorders>
              <w:top w:val="nil"/>
              <w:left w:val="nil"/>
              <w:bottom w:val="nil"/>
              <w:right w:val="nil"/>
            </w:tcBorders>
            <w:shd w:val="clear" w:color="auto" w:fill="auto"/>
            <w:noWrap/>
            <w:vAlign w:val="bottom"/>
            <w:hideMark/>
          </w:tcPr>
          <w:p w14:paraId="4B6A4B82" w14:textId="77777777" w:rsidR="003B2C9F" w:rsidRPr="003B2C9F" w:rsidRDefault="003B2C9F" w:rsidP="003B2C9F">
            <w:pPr>
              <w:rPr>
                <w:sz w:val="20"/>
                <w:szCs w:val="20"/>
              </w:rPr>
            </w:pPr>
            <w:r w:rsidRPr="003B2C9F">
              <w:rPr>
                <w:sz w:val="20"/>
                <w:szCs w:val="20"/>
              </w:rPr>
              <w:t>3433</w:t>
            </w:r>
          </w:p>
        </w:tc>
        <w:tc>
          <w:tcPr>
            <w:tcW w:w="6472" w:type="dxa"/>
            <w:tcBorders>
              <w:top w:val="nil"/>
              <w:left w:val="nil"/>
              <w:bottom w:val="nil"/>
              <w:right w:val="nil"/>
            </w:tcBorders>
            <w:shd w:val="clear" w:color="auto" w:fill="auto"/>
            <w:vAlign w:val="bottom"/>
            <w:hideMark/>
          </w:tcPr>
          <w:p w14:paraId="47DFA526" w14:textId="77777777" w:rsidR="003B2C9F" w:rsidRPr="003B2C9F" w:rsidRDefault="003B2C9F" w:rsidP="003B2C9F">
            <w:pPr>
              <w:rPr>
                <w:sz w:val="20"/>
                <w:szCs w:val="20"/>
              </w:rPr>
            </w:pPr>
            <w:r w:rsidRPr="003B2C9F">
              <w:rPr>
                <w:sz w:val="20"/>
                <w:szCs w:val="20"/>
              </w:rPr>
              <w:t xml:space="preserve">Zatezne kamate                                                                                      </w:t>
            </w:r>
          </w:p>
        </w:tc>
        <w:tc>
          <w:tcPr>
            <w:tcW w:w="1559" w:type="dxa"/>
            <w:tcBorders>
              <w:top w:val="nil"/>
              <w:left w:val="nil"/>
              <w:bottom w:val="nil"/>
              <w:right w:val="nil"/>
            </w:tcBorders>
            <w:shd w:val="clear" w:color="auto" w:fill="auto"/>
            <w:noWrap/>
            <w:vAlign w:val="bottom"/>
            <w:hideMark/>
          </w:tcPr>
          <w:p w14:paraId="69CF845C" w14:textId="77777777" w:rsidR="003B2C9F" w:rsidRPr="003B2C9F" w:rsidRDefault="003B2C9F" w:rsidP="003B2C9F">
            <w:pPr>
              <w:jc w:val="right"/>
              <w:rPr>
                <w:sz w:val="20"/>
                <w:szCs w:val="20"/>
              </w:rPr>
            </w:pPr>
            <w:r w:rsidRPr="003B2C9F">
              <w:rPr>
                <w:sz w:val="20"/>
                <w:szCs w:val="20"/>
              </w:rPr>
              <w:t>712,22</w:t>
            </w:r>
          </w:p>
        </w:tc>
        <w:tc>
          <w:tcPr>
            <w:tcW w:w="1503" w:type="dxa"/>
            <w:tcBorders>
              <w:top w:val="nil"/>
              <w:left w:val="nil"/>
              <w:bottom w:val="nil"/>
              <w:right w:val="nil"/>
            </w:tcBorders>
            <w:shd w:val="clear" w:color="auto" w:fill="auto"/>
            <w:noWrap/>
            <w:vAlign w:val="bottom"/>
            <w:hideMark/>
          </w:tcPr>
          <w:p w14:paraId="5915AA4B"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2F32D62A" w14:textId="77777777" w:rsidR="003B2C9F" w:rsidRPr="003B2C9F" w:rsidRDefault="003B2C9F" w:rsidP="003B2C9F">
            <w:pPr>
              <w:jc w:val="right"/>
              <w:rPr>
                <w:sz w:val="20"/>
                <w:szCs w:val="20"/>
              </w:rPr>
            </w:pPr>
            <w:r w:rsidRPr="003B2C9F">
              <w:rPr>
                <w:sz w:val="20"/>
                <w:szCs w:val="20"/>
              </w:rPr>
              <w:t>99,26</w:t>
            </w:r>
          </w:p>
        </w:tc>
        <w:tc>
          <w:tcPr>
            <w:tcW w:w="1525" w:type="dxa"/>
            <w:tcBorders>
              <w:top w:val="nil"/>
              <w:left w:val="nil"/>
              <w:bottom w:val="nil"/>
              <w:right w:val="nil"/>
            </w:tcBorders>
            <w:shd w:val="clear" w:color="auto" w:fill="auto"/>
            <w:noWrap/>
            <w:vAlign w:val="bottom"/>
            <w:hideMark/>
          </w:tcPr>
          <w:p w14:paraId="4C4ED7B5" w14:textId="77777777" w:rsidR="003B2C9F" w:rsidRPr="003B2C9F" w:rsidRDefault="003B2C9F" w:rsidP="003B2C9F">
            <w:pPr>
              <w:jc w:val="right"/>
              <w:rPr>
                <w:sz w:val="20"/>
                <w:szCs w:val="20"/>
              </w:rPr>
            </w:pPr>
            <w:r w:rsidRPr="003B2C9F">
              <w:rPr>
                <w:sz w:val="20"/>
                <w:szCs w:val="20"/>
              </w:rPr>
              <w:t>13,94</w:t>
            </w:r>
          </w:p>
        </w:tc>
        <w:tc>
          <w:tcPr>
            <w:tcW w:w="1000" w:type="dxa"/>
            <w:tcBorders>
              <w:top w:val="nil"/>
              <w:left w:val="nil"/>
              <w:bottom w:val="nil"/>
              <w:right w:val="nil"/>
            </w:tcBorders>
            <w:shd w:val="clear" w:color="auto" w:fill="auto"/>
            <w:noWrap/>
            <w:vAlign w:val="bottom"/>
            <w:hideMark/>
          </w:tcPr>
          <w:p w14:paraId="07B61B6A" w14:textId="77777777" w:rsidR="003B2C9F" w:rsidRPr="003B2C9F" w:rsidRDefault="003B2C9F" w:rsidP="003B2C9F">
            <w:pPr>
              <w:jc w:val="right"/>
              <w:rPr>
                <w:sz w:val="20"/>
                <w:szCs w:val="20"/>
              </w:rPr>
            </w:pPr>
          </w:p>
        </w:tc>
      </w:tr>
      <w:tr w:rsidR="003B2C9F" w:rsidRPr="003B2C9F" w14:paraId="6E744026" w14:textId="77777777" w:rsidTr="003B2C9F">
        <w:trPr>
          <w:trHeight w:val="300"/>
        </w:trPr>
        <w:tc>
          <w:tcPr>
            <w:tcW w:w="616" w:type="dxa"/>
            <w:tcBorders>
              <w:top w:val="nil"/>
              <w:left w:val="nil"/>
              <w:bottom w:val="nil"/>
              <w:right w:val="nil"/>
            </w:tcBorders>
            <w:shd w:val="clear" w:color="auto" w:fill="auto"/>
            <w:noWrap/>
            <w:vAlign w:val="bottom"/>
            <w:hideMark/>
          </w:tcPr>
          <w:p w14:paraId="596E9444" w14:textId="77777777" w:rsidR="003B2C9F" w:rsidRPr="003B2C9F" w:rsidRDefault="003B2C9F" w:rsidP="003B2C9F">
            <w:pPr>
              <w:rPr>
                <w:sz w:val="20"/>
                <w:szCs w:val="20"/>
              </w:rPr>
            </w:pPr>
            <w:r w:rsidRPr="003B2C9F">
              <w:rPr>
                <w:sz w:val="20"/>
                <w:szCs w:val="20"/>
              </w:rPr>
              <w:t>3434</w:t>
            </w:r>
          </w:p>
        </w:tc>
        <w:tc>
          <w:tcPr>
            <w:tcW w:w="6472" w:type="dxa"/>
            <w:tcBorders>
              <w:top w:val="nil"/>
              <w:left w:val="nil"/>
              <w:bottom w:val="nil"/>
              <w:right w:val="nil"/>
            </w:tcBorders>
            <w:shd w:val="clear" w:color="auto" w:fill="auto"/>
            <w:vAlign w:val="bottom"/>
            <w:hideMark/>
          </w:tcPr>
          <w:p w14:paraId="023AE506" w14:textId="77777777" w:rsidR="003B2C9F" w:rsidRPr="003B2C9F" w:rsidRDefault="003B2C9F" w:rsidP="003B2C9F">
            <w:pPr>
              <w:rPr>
                <w:sz w:val="20"/>
                <w:szCs w:val="20"/>
              </w:rPr>
            </w:pPr>
            <w:r w:rsidRPr="003B2C9F">
              <w:rPr>
                <w:sz w:val="20"/>
                <w:szCs w:val="20"/>
              </w:rPr>
              <w:t xml:space="preserve">Ostali nespomenuti financijski rashodi                                                              </w:t>
            </w:r>
          </w:p>
        </w:tc>
        <w:tc>
          <w:tcPr>
            <w:tcW w:w="1559" w:type="dxa"/>
            <w:tcBorders>
              <w:top w:val="nil"/>
              <w:left w:val="nil"/>
              <w:bottom w:val="nil"/>
              <w:right w:val="nil"/>
            </w:tcBorders>
            <w:shd w:val="clear" w:color="auto" w:fill="auto"/>
            <w:noWrap/>
            <w:vAlign w:val="bottom"/>
            <w:hideMark/>
          </w:tcPr>
          <w:p w14:paraId="2870D55F" w14:textId="77777777" w:rsidR="003B2C9F" w:rsidRPr="003B2C9F" w:rsidRDefault="003B2C9F" w:rsidP="003B2C9F">
            <w:pPr>
              <w:jc w:val="right"/>
              <w:rPr>
                <w:sz w:val="20"/>
                <w:szCs w:val="20"/>
              </w:rPr>
            </w:pPr>
            <w:r w:rsidRPr="003B2C9F">
              <w:rPr>
                <w:sz w:val="20"/>
                <w:szCs w:val="20"/>
              </w:rPr>
              <w:t>9.982,20</w:t>
            </w:r>
          </w:p>
        </w:tc>
        <w:tc>
          <w:tcPr>
            <w:tcW w:w="1503" w:type="dxa"/>
            <w:tcBorders>
              <w:top w:val="nil"/>
              <w:left w:val="nil"/>
              <w:bottom w:val="nil"/>
              <w:right w:val="nil"/>
            </w:tcBorders>
            <w:shd w:val="clear" w:color="auto" w:fill="auto"/>
            <w:noWrap/>
            <w:vAlign w:val="bottom"/>
            <w:hideMark/>
          </w:tcPr>
          <w:p w14:paraId="0BB66E37"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70AEF025" w14:textId="77777777" w:rsidR="003B2C9F" w:rsidRPr="003B2C9F" w:rsidRDefault="003B2C9F" w:rsidP="003B2C9F">
            <w:pPr>
              <w:jc w:val="right"/>
              <w:rPr>
                <w:sz w:val="20"/>
                <w:szCs w:val="20"/>
              </w:rPr>
            </w:pPr>
            <w:r w:rsidRPr="003B2C9F">
              <w:rPr>
                <w:sz w:val="20"/>
                <w:szCs w:val="20"/>
              </w:rPr>
              <w:t>18.399,24</w:t>
            </w:r>
          </w:p>
        </w:tc>
        <w:tc>
          <w:tcPr>
            <w:tcW w:w="1525" w:type="dxa"/>
            <w:tcBorders>
              <w:top w:val="nil"/>
              <w:left w:val="nil"/>
              <w:bottom w:val="nil"/>
              <w:right w:val="nil"/>
            </w:tcBorders>
            <w:shd w:val="clear" w:color="auto" w:fill="auto"/>
            <w:noWrap/>
            <w:vAlign w:val="bottom"/>
            <w:hideMark/>
          </w:tcPr>
          <w:p w14:paraId="023FB62E" w14:textId="77777777" w:rsidR="003B2C9F" w:rsidRPr="003B2C9F" w:rsidRDefault="003B2C9F" w:rsidP="003B2C9F">
            <w:pPr>
              <w:jc w:val="right"/>
              <w:rPr>
                <w:sz w:val="20"/>
                <w:szCs w:val="20"/>
              </w:rPr>
            </w:pPr>
            <w:r w:rsidRPr="003B2C9F">
              <w:rPr>
                <w:sz w:val="20"/>
                <w:szCs w:val="20"/>
              </w:rPr>
              <w:t>184,32</w:t>
            </w:r>
          </w:p>
        </w:tc>
        <w:tc>
          <w:tcPr>
            <w:tcW w:w="1000" w:type="dxa"/>
            <w:tcBorders>
              <w:top w:val="nil"/>
              <w:left w:val="nil"/>
              <w:bottom w:val="nil"/>
              <w:right w:val="nil"/>
            </w:tcBorders>
            <w:shd w:val="clear" w:color="auto" w:fill="auto"/>
            <w:noWrap/>
            <w:vAlign w:val="bottom"/>
            <w:hideMark/>
          </w:tcPr>
          <w:p w14:paraId="613CA434" w14:textId="77777777" w:rsidR="003B2C9F" w:rsidRPr="003B2C9F" w:rsidRDefault="003B2C9F" w:rsidP="003B2C9F">
            <w:pPr>
              <w:jc w:val="right"/>
              <w:rPr>
                <w:sz w:val="20"/>
                <w:szCs w:val="20"/>
              </w:rPr>
            </w:pPr>
          </w:p>
        </w:tc>
      </w:tr>
      <w:tr w:rsidR="003B2C9F" w:rsidRPr="003B2C9F" w14:paraId="045EE140" w14:textId="77777777" w:rsidTr="003B2C9F">
        <w:trPr>
          <w:trHeight w:val="300"/>
        </w:trPr>
        <w:tc>
          <w:tcPr>
            <w:tcW w:w="616" w:type="dxa"/>
            <w:tcBorders>
              <w:top w:val="nil"/>
              <w:left w:val="nil"/>
              <w:bottom w:val="nil"/>
              <w:right w:val="nil"/>
            </w:tcBorders>
            <w:shd w:val="clear" w:color="auto" w:fill="auto"/>
            <w:noWrap/>
            <w:vAlign w:val="bottom"/>
            <w:hideMark/>
          </w:tcPr>
          <w:p w14:paraId="7CCDD9CD" w14:textId="77777777" w:rsidR="003B2C9F" w:rsidRPr="003B2C9F" w:rsidRDefault="003B2C9F" w:rsidP="003B2C9F">
            <w:pPr>
              <w:rPr>
                <w:b/>
                <w:bCs/>
                <w:sz w:val="20"/>
                <w:szCs w:val="20"/>
              </w:rPr>
            </w:pPr>
            <w:r w:rsidRPr="003B2C9F">
              <w:rPr>
                <w:b/>
                <w:bCs/>
                <w:sz w:val="20"/>
                <w:szCs w:val="20"/>
              </w:rPr>
              <w:t>35</w:t>
            </w:r>
          </w:p>
        </w:tc>
        <w:tc>
          <w:tcPr>
            <w:tcW w:w="6472" w:type="dxa"/>
            <w:tcBorders>
              <w:top w:val="nil"/>
              <w:left w:val="nil"/>
              <w:bottom w:val="nil"/>
              <w:right w:val="nil"/>
            </w:tcBorders>
            <w:shd w:val="clear" w:color="auto" w:fill="auto"/>
            <w:noWrap/>
            <w:vAlign w:val="bottom"/>
            <w:hideMark/>
          </w:tcPr>
          <w:p w14:paraId="0029922D" w14:textId="77777777" w:rsidR="003B2C9F" w:rsidRPr="003B2C9F" w:rsidRDefault="003B2C9F" w:rsidP="003B2C9F">
            <w:pPr>
              <w:rPr>
                <w:b/>
                <w:bCs/>
                <w:sz w:val="20"/>
                <w:szCs w:val="20"/>
              </w:rPr>
            </w:pPr>
            <w:r w:rsidRPr="003B2C9F">
              <w:rPr>
                <w:b/>
                <w:bCs/>
                <w:sz w:val="20"/>
                <w:szCs w:val="20"/>
              </w:rPr>
              <w:t xml:space="preserve">Subvencije                                                                                          </w:t>
            </w:r>
          </w:p>
        </w:tc>
        <w:tc>
          <w:tcPr>
            <w:tcW w:w="1559" w:type="dxa"/>
            <w:tcBorders>
              <w:top w:val="nil"/>
              <w:left w:val="nil"/>
              <w:bottom w:val="nil"/>
              <w:right w:val="nil"/>
            </w:tcBorders>
            <w:shd w:val="clear" w:color="auto" w:fill="auto"/>
            <w:noWrap/>
            <w:vAlign w:val="bottom"/>
            <w:hideMark/>
          </w:tcPr>
          <w:p w14:paraId="55D96FD5" w14:textId="77777777" w:rsidR="003B2C9F" w:rsidRPr="003B2C9F" w:rsidRDefault="003B2C9F" w:rsidP="003B2C9F">
            <w:pPr>
              <w:jc w:val="right"/>
              <w:rPr>
                <w:b/>
                <w:bCs/>
                <w:sz w:val="20"/>
                <w:szCs w:val="20"/>
              </w:rPr>
            </w:pPr>
            <w:r w:rsidRPr="003B2C9F">
              <w:rPr>
                <w:b/>
                <w:bCs/>
                <w:sz w:val="20"/>
                <w:szCs w:val="20"/>
              </w:rPr>
              <w:t>12.762,05</w:t>
            </w:r>
          </w:p>
        </w:tc>
        <w:tc>
          <w:tcPr>
            <w:tcW w:w="1503" w:type="dxa"/>
            <w:tcBorders>
              <w:top w:val="nil"/>
              <w:left w:val="nil"/>
              <w:bottom w:val="nil"/>
              <w:right w:val="nil"/>
            </w:tcBorders>
            <w:shd w:val="clear" w:color="auto" w:fill="auto"/>
            <w:noWrap/>
            <w:vAlign w:val="bottom"/>
            <w:hideMark/>
          </w:tcPr>
          <w:p w14:paraId="11A43405" w14:textId="77777777" w:rsidR="003B2C9F" w:rsidRPr="003B2C9F" w:rsidRDefault="003B2C9F" w:rsidP="003B2C9F">
            <w:pPr>
              <w:jc w:val="right"/>
              <w:rPr>
                <w:b/>
                <w:bCs/>
                <w:sz w:val="20"/>
                <w:szCs w:val="20"/>
              </w:rPr>
            </w:pPr>
            <w:r w:rsidRPr="003B2C9F">
              <w:rPr>
                <w:b/>
                <w:bCs/>
                <w:sz w:val="20"/>
                <w:szCs w:val="20"/>
              </w:rPr>
              <w:t>530.000,00</w:t>
            </w:r>
          </w:p>
        </w:tc>
        <w:tc>
          <w:tcPr>
            <w:tcW w:w="1366" w:type="dxa"/>
            <w:tcBorders>
              <w:top w:val="nil"/>
              <w:left w:val="nil"/>
              <w:bottom w:val="nil"/>
              <w:right w:val="nil"/>
            </w:tcBorders>
            <w:shd w:val="clear" w:color="auto" w:fill="auto"/>
            <w:noWrap/>
            <w:vAlign w:val="bottom"/>
            <w:hideMark/>
          </w:tcPr>
          <w:p w14:paraId="636C6C6C" w14:textId="77777777" w:rsidR="003B2C9F" w:rsidRPr="003B2C9F" w:rsidRDefault="003B2C9F" w:rsidP="003B2C9F">
            <w:pPr>
              <w:jc w:val="right"/>
              <w:rPr>
                <w:b/>
                <w:bCs/>
                <w:sz w:val="20"/>
                <w:szCs w:val="20"/>
              </w:rPr>
            </w:pPr>
            <w:r w:rsidRPr="003B2C9F">
              <w:rPr>
                <w:b/>
                <w:bCs/>
                <w:sz w:val="20"/>
                <w:szCs w:val="20"/>
              </w:rPr>
              <w:t>23.983,43</w:t>
            </w:r>
          </w:p>
        </w:tc>
        <w:tc>
          <w:tcPr>
            <w:tcW w:w="1525" w:type="dxa"/>
            <w:tcBorders>
              <w:top w:val="nil"/>
              <w:left w:val="nil"/>
              <w:bottom w:val="nil"/>
              <w:right w:val="nil"/>
            </w:tcBorders>
            <w:shd w:val="clear" w:color="auto" w:fill="auto"/>
            <w:noWrap/>
            <w:vAlign w:val="bottom"/>
            <w:hideMark/>
          </w:tcPr>
          <w:p w14:paraId="51884573" w14:textId="77777777" w:rsidR="003B2C9F" w:rsidRPr="003B2C9F" w:rsidRDefault="003B2C9F" w:rsidP="003B2C9F">
            <w:pPr>
              <w:jc w:val="right"/>
              <w:rPr>
                <w:b/>
                <w:bCs/>
                <w:sz w:val="20"/>
                <w:szCs w:val="20"/>
              </w:rPr>
            </w:pPr>
            <w:r w:rsidRPr="003B2C9F">
              <w:rPr>
                <w:b/>
                <w:bCs/>
                <w:sz w:val="20"/>
                <w:szCs w:val="20"/>
              </w:rPr>
              <w:t>187,93</w:t>
            </w:r>
          </w:p>
        </w:tc>
        <w:tc>
          <w:tcPr>
            <w:tcW w:w="1000" w:type="dxa"/>
            <w:tcBorders>
              <w:top w:val="nil"/>
              <w:left w:val="nil"/>
              <w:bottom w:val="nil"/>
              <w:right w:val="nil"/>
            </w:tcBorders>
            <w:shd w:val="clear" w:color="auto" w:fill="auto"/>
            <w:noWrap/>
            <w:vAlign w:val="bottom"/>
            <w:hideMark/>
          </w:tcPr>
          <w:p w14:paraId="73DD1AED" w14:textId="77777777" w:rsidR="003B2C9F" w:rsidRPr="003B2C9F" w:rsidRDefault="003B2C9F" w:rsidP="003B2C9F">
            <w:pPr>
              <w:jc w:val="right"/>
              <w:rPr>
                <w:b/>
                <w:bCs/>
                <w:sz w:val="20"/>
                <w:szCs w:val="20"/>
              </w:rPr>
            </w:pPr>
            <w:r w:rsidRPr="003B2C9F">
              <w:rPr>
                <w:b/>
                <w:bCs/>
                <w:sz w:val="20"/>
                <w:szCs w:val="20"/>
              </w:rPr>
              <w:t>4,53</w:t>
            </w:r>
          </w:p>
        </w:tc>
      </w:tr>
      <w:tr w:rsidR="003B2C9F" w:rsidRPr="003B2C9F" w14:paraId="1980BF82" w14:textId="77777777" w:rsidTr="003B2C9F">
        <w:trPr>
          <w:trHeight w:val="300"/>
        </w:trPr>
        <w:tc>
          <w:tcPr>
            <w:tcW w:w="616" w:type="dxa"/>
            <w:tcBorders>
              <w:top w:val="nil"/>
              <w:left w:val="nil"/>
              <w:bottom w:val="nil"/>
              <w:right w:val="nil"/>
            </w:tcBorders>
            <w:shd w:val="clear" w:color="auto" w:fill="auto"/>
            <w:noWrap/>
            <w:vAlign w:val="bottom"/>
            <w:hideMark/>
          </w:tcPr>
          <w:p w14:paraId="46F3FE23" w14:textId="77777777" w:rsidR="003B2C9F" w:rsidRPr="003B2C9F" w:rsidRDefault="003B2C9F" w:rsidP="003B2C9F">
            <w:pPr>
              <w:rPr>
                <w:b/>
                <w:bCs/>
                <w:sz w:val="20"/>
                <w:szCs w:val="20"/>
              </w:rPr>
            </w:pPr>
            <w:r w:rsidRPr="003B2C9F">
              <w:rPr>
                <w:b/>
                <w:bCs/>
                <w:sz w:val="20"/>
                <w:szCs w:val="20"/>
              </w:rPr>
              <w:t>352</w:t>
            </w:r>
          </w:p>
        </w:tc>
        <w:tc>
          <w:tcPr>
            <w:tcW w:w="6472" w:type="dxa"/>
            <w:tcBorders>
              <w:top w:val="nil"/>
              <w:left w:val="nil"/>
              <w:bottom w:val="nil"/>
              <w:right w:val="nil"/>
            </w:tcBorders>
            <w:shd w:val="clear" w:color="auto" w:fill="auto"/>
            <w:noWrap/>
            <w:vAlign w:val="bottom"/>
            <w:hideMark/>
          </w:tcPr>
          <w:p w14:paraId="19694CCC" w14:textId="77777777" w:rsidR="003B2C9F" w:rsidRPr="003B2C9F" w:rsidRDefault="003B2C9F" w:rsidP="003B2C9F">
            <w:pPr>
              <w:rPr>
                <w:b/>
                <w:bCs/>
                <w:sz w:val="20"/>
                <w:szCs w:val="20"/>
              </w:rPr>
            </w:pPr>
            <w:r w:rsidRPr="003B2C9F">
              <w:rPr>
                <w:b/>
                <w:bCs/>
                <w:sz w:val="20"/>
                <w:szCs w:val="20"/>
              </w:rPr>
              <w:t>Subvencije trgovačkim društvima, zadrugama, poljoprivrednicima i obrtnicima izvan javnog sektora</w:t>
            </w:r>
          </w:p>
        </w:tc>
        <w:tc>
          <w:tcPr>
            <w:tcW w:w="1559" w:type="dxa"/>
            <w:tcBorders>
              <w:top w:val="nil"/>
              <w:left w:val="nil"/>
              <w:bottom w:val="nil"/>
              <w:right w:val="nil"/>
            </w:tcBorders>
            <w:shd w:val="clear" w:color="auto" w:fill="auto"/>
            <w:noWrap/>
            <w:vAlign w:val="bottom"/>
            <w:hideMark/>
          </w:tcPr>
          <w:p w14:paraId="77B3FDE8" w14:textId="77777777" w:rsidR="003B2C9F" w:rsidRPr="003B2C9F" w:rsidRDefault="003B2C9F" w:rsidP="003B2C9F">
            <w:pPr>
              <w:jc w:val="right"/>
              <w:rPr>
                <w:b/>
                <w:bCs/>
                <w:sz w:val="20"/>
                <w:szCs w:val="20"/>
              </w:rPr>
            </w:pPr>
            <w:r w:rsidRPr="003B2C9F">
              <w:rPr>
                <w:b/>
                <w:bCs/>
                <w:sz w:val="20"/>
                <w:szCs w:val="20"/>
              </w:rPr>
              <w:t>12.762,05</w:t>
            </w:r>
          </w:p>
        </w:tc>
        <w:tc>
          <w:tcPr>
            <w:tcW w:w="1503" w:type="dxa"/>
            <w:tcBorders>
              <w:top w:val="nil"/>
              <w:left w:val="nil"/>
              <w:bottom w:val="nil"/>
              <w:right w:val="nil"/>
            </w:tcBorders>
            <w:shd w:val="clear" w:color="auto" w:fill="auto"/>
            <w:noWrap/>
            <w:vAlign w:val="bottom"/>
            <w:hideMark/>
          </w:tcPr>
          <w:p w14:paraId="4F209847" w14:textId="77777777" w:rsidR="003B2C9F" w:rsidRPr="003B2C9F" w:rsidRDefault="003B2C9F" w:rsidP="003B2C9F">
            <w:pPr>
              <w:jc w:val="right"/>
              <w:rPr>
                <w:b/>
                <w:bCs/>
                <w:sz w:val="20"/>
                <w:szCs w:val="20"/>
              </w:rPr>
            </w:pPr>
            <w:r w:rsidRPr="003B2C9F">
              <w:rPr>
                <w:b/>
                <w:bCs/>
                <w:sz w:val="20"/>
                <w:szCs w:val="20"/>
              </w:rPr>
              <w:t>530.000,00</w:t>
            </w:r>
          </w:p>
        </w:tc>
        <w:tc>
          <w:tcPr>
            <w:tcW w:w="1366" w:type="dxa"/>
            <w:tcBorders>
              <w:top w:val="nil"/>
              <w:left w:val="nil"/>
              <w:bottom w:val="nil"/>
              <w:right w:val="nil"/>
            </w:tcBorders>
            <w:shd w:val="clear" w:color="auto" w:fill="auto"/>
            <w:noWrap/>
            <w:vAlign w:val="bottom"/>
            <w:hideMark/>
          </w:tcPr>
          <w:p w14:paraId="307EC452" w14:textId="77777777" w:rsidR="003B2C9F" w:rsidRPr="003B2C9F" w:rsidRDefault="003B2C9F" w:rsidP="003B2C9F">
            <w:pPr>
              <w:jc w:val="right"/>
              <w:rPr>
                <w:b/>
                <w:bCs/>
                <w:sz w:val="20"/>
                <w:szCs w:val="20"/>
              </w:rPr>
            </w:pPr>
            <w:r w:rsidRPr="003B2C9F">
              <w:rPr>
                <w:b/>
                <w:bCs/>
                <w:sz w:val="20"/>
                <w:szCs w:val="20"/>
              </w:rPr>
              <w:t>23.983,43</w:t>
            </w:r>
          </w:p>
        </w:tc>
        <w:tc>
          <w:tcPr>
            <w:tcW w:w="1525" w:type="dxa"/>
            <w:tcBorders>
              <w:top w:val="nil"/>
              <w:left w:val="nil"/>
              <w:bottom w:val="nil"/>
              <w:right w:val="nil"/>
            </w:tcBorders>
            <w:shd w:val="clear" w:color="auto" w:fill="auto"/>
            <w:noWrap/>
            <w:vAlign w:val="bottom"/>
            <w:hideMark/>
          </w:tcPr>
          <w:p w14:paraId="0A3E402E" w14:textId="77777777" w:rsidR="003B2C9F" w:rsidRPr="003B2C9F" w:rsidRDefault="003B2C9F" w:rsidP="003B2C9F">
            <w:pPr>
              <w:jc w:val="right"/>
              <w:rPr>
                <w:b/>
                <w:bCs/>
                <w:sz w:val="20"/>
                <w:szCs w:val="20"/>
              </w:rPr>
            </w:pPr>
            <w:r w:rsidRPr="003B2C9F">
              <w:rPr>
                <w:b/>
                <w:bCs/>
                <w:sz w:val="20"/>
                <w:szCs w:val="20"/>
              </w:rPr>
              <w:t>187,93</w:t>
            </w:r>
          </w:p>
        </w:tc>
        <w:tc>
          <w:tcPr>
            <w:tcW w:w="1000" w:type="dxa"/>
            <w:tcBorders>
              <w:top w:val="nil"/>
              <w:left w:val="nil"/>
              <w:bottom w:val="nil"/>
              <w:right w:val="nil"/>
            </w:tcBorders>
            <w:shd w:val="clear" w:color="auto" w:fill="auto"/>
            <w:noWrap/>
            <w:vAlign w:val="bottom"/>
            <w:hideMark/>
          </w:tcPr>
          <w:p w14:paraId="1130D5A4" w14:textId="77777777" w:rsidR="003B2C9F" w:rsidRPr="003B2C9F" w:rsidRDefault="003B2C9F" w:rsidP="003B2C9F">
            <w:pPr>
              <w:jc w:val="right"/>
              <w:rPr>
                <w:b/>
                <w:bCs/>
                <w:sz w:val="20"/>
                <w:szCs w:val="20"/>
              </w:rPr>
            </w:pPr>
            <w:r w:rsidRPr="003B2C9F">
              <w:rPr>
                <w:b/>
                <w:bCs/>
                <w:sz w:val="20"/>
                <w:szCs w:val="20"/>
              </w:rPr>
              <w:t>4,53</w:t>
            </w:r>
          </w:p>
        </w:tc>
      </w:tr>
      <w:tr w:rsidR="003B2C9F" w:rsidRPr="003B2C9F" w14:paraId="7EFFC1C2" w14:textId="77777777" w:rsidTr="003B2C9F">
        <w:trPr>
          <w:trHeight w:val="525"/>
        </w:trPr>
        <w:tc>
          <w:tcPr>
            <w:tcW w:w="616" w:type="dxa"/>
            <w:tcBorders>
              <w:top w:val="nil"/>
              <w:left w:val="nil"/>
              <w:bottom w:val="nil"/>
              <w:right w:val="nil"/>
            </w:tcBorders>
            <w:shd w:val="clear" w:color="auto" w:fill="auto"/>
            <w:noWrap/>
            <w:vAlign w:val="bottom"/>
            <w:hideMark/>
          </w:tcPr>
          <w:p w14:paraId="7B3FAA47" w14:textId="77777777" w:rsidR="003B2C9F" w:rsidRPr="003B2C9F" w:rsidRDefault="003B2C9F" w:rsidP="003B2C9F">
            <w:pPr>
              <w:rPr>
                <w:sz w:val="20"/>
                <w:szCs w:val="20"/>
              </w:rPr>
            </w:pPr>
            <w:r w:rsidRPr="003B2C9F">
              <w:rPr>
                <w:sz w:val="20"/>
                <w:szCs w:val="20"/>
              </w:rPr>
              <w:lastRenderedPageBreak/>
              <w:t>3522</w:t>
            </w:r>
          </w:p>
        </w:tc>
        <w:tc>
          <w:tcPr>
            <w:tcW w:w="6472" w:type="dxa"/>
            <w:tcBorders>
              <w:top w:val="nil"/>
              <w:left w:val="nil"/>
              <w:bottom w:val="nil"/>
              <w:right w:val="nil"/>
            </w:tcBorders>
            <w:shd w:val="clear" w:color="auto" w:fill="auto"/>
            <w:vAlign w:val="bottom"/>
            <w:hideMark/>
          </w:tcPr>
          <w:p w14:paraId="54744DA5" w14:textId="77777777" w:rsidR="003B2C9F" w:rsidRPr="003B2C9F" w:rsidRDefault="003B2C9F" w:rsidP="003B2C9F">
            <w:pPr>
              <w:rPr>
                <w:sz w:val="20"/>
                <w:szCs w:val="20"/>
              </w:rPr>
            </w:pPr>
            <w:r w:rsidRPr="003B2C9F">
              <w:rPr>
                <w:sz w:val="20"/>
                <w:szCs w:val="20"/>
              </w:rPr>
              <w:t>Subvencije trgovačkim društvima i zadrugama izvan javnog sektora</w:t>
            </w:r>
          </w:p>
        </w:tc>
        <w:tc>
          <w:tcPr>
            <w:tcW w:w="1559" w:type="dxa"/>
            <w:tcBorders>
              <w:top w:val="nil"/>
              <w:left w:val="nil"/>
              <w:bottom w:val="nil"/>
              <w:right w:val="nil"/>
            </w:tcBorders>
            <w:shd w:val="clear" w:color="auto" w:fill="auto"/>
            <w:noWrap/>
            <w:vAlign w:val="bottom"/>
            <w:hideMark/>
          </w:tcPr>
          <w:p w14:paraId="0CD3837E" w14:textId="77777777" w:rsidR="003B2C9F" w:rsidRPr="003B2C9F" w:rsidRDefault="003B2C9F" w:rsidP="003B2C9F">
            <w:pPr>
              <w:jc w:val="right"/>
              <w:rPr>
                <w:sz w:val="20"/>
                <w:szCs w:val="20"/>
              </w:rPr>
            </w:pPr>
            <w:r w:rsidRPr="003B2C9F">
              <w:rPr>
                <w:sz w:val="20"/>
                <w:szCs w:val="20"/>
              </w:rPr>
              <w:t>12.762,05</w:t>
            </w:r>
          </w:p>
        </w:tc>
        <w:tc>
          <w:tcPr>
            <w:tcW w:w="1503" w:type="dxa"/>
            <w:tcBorders>
              <w:top w:val="nil"/>
              <w:left w:val="nil"/>
              <w:bottom w:val="nil"/>
              <w:right w:val="nil"/>
            </w:tcBorders>
            <w:shd w:val="clear" w:color="auto" w:fill="auto"/>
            <w:noWrap/>
            <w:vAlign w:val="bottom"/>
            <w:hideMark/>
          </w:tcPr>
          <w:p w14:paraId="2968365E"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1DFA7377" w14:textId="77777777" w:rsidR="003B2C9F" w:rsidRPr="003B2C9F" w:rsidRDefault="003B2C9F" w:rsidP="003B2C9F">
            <w:pPr>
              <w:jc w:val="right"/>
              <w:rPr>
                <w:sz w:val="20"/>
                <w:szCs w:val="20"/>
              </w:rPr>
            </w:pPr>
            <w:r w:rsidRPr="003B2C9F">
              <w:rPr>
                <w:sz w:val="20"/>
                <w:szCs w:val="20"/>
              </w:rPr>
              <w:t>23.983,43</w:t>
            </w:r>
          </w:p>
        </w:tc>
        <w:tc>
          <w:tcPr>
            <w:tcW w:w="1525" w:type="dxa"/>
            <w:tcBorders>
              <w:top w:val="nil"/>
              <w:left w:val="nil"/>
              <w:bottom w:val="nil"/>
              <w:right w:val="nil"/>
            </w:tcBorders>
            <w:shd w:val="clear" w:color="auto" w:fill="auto"/>
            <w:noWrap/>
            <w:vAlign w:val="bottom"/>
            <w:hideMark/>
          </w:tcPr>
          <w:p w14:paraId="2C2C625D" w14:textId="77777777" w:rsidR="003B2C9F" w:rsidRPr="003B2C9F" w:rsidRDefault="003B2C9F" w:rsidP="003B2C9F">
            <w:pPr>
              <w:jc w:val="right"/>
              <w:rPr>
                <w:sz w:val="20"/>
                <w:szCs w:val="20"/>
              </w:rPr>
            </w:pPr>
            <w:r w:rsidRPr="003B2C9F">
              <w:rPr>
                <w:sz w:val="20"/>
                <w:szCs w:val="20"/>
              </w:rPr>
              <w:t>187,93</w:t>
            </w:r>
          </w:p>
        </w:tc>
        <w:tc>
          <w:tcPr>
            <w:tcW w:w="1000" w:type="dxa"/>
            <w:tcBorders>
              <w:top w:val="nil"/>
              <w:left w:val="nil"/>
              <w:bottom w:val="nil"/>
              <w:right w:val="nil"/>
            </w:tcBorders>
            <w:shd w:val="clear" w:color="auto" w:fill="auto"/>
            <w:noWrap/>
            <w:vAlign w:val="bottom"/>
            <w:hideMark/>
          </w:tcPr>
          <w:p w14:paraId="3DC66439" w14:textId="77777777" w:rsidR="003B2C9F" w:rsidRPr="003B2C9F" w:rsidRDefault="003B2C9F" w:rsidP="003B2C9F">
            <w:pPr>
              <w:jc w:val="right"/>
              <w:rPr>
                <w:sz w:val="20"/>
                <w:szCs w:val="20"/>
              </w:rPr>
            </w:pPr>
          </w:p>
        </w:tc>
      </w:tr>
      <w:tr w:rsidR="003B2C9F" w:rsidRPr="003B2C9F" w14:paraId="5CF734D6" w14:textId="77777777" w:rsidTr="003B2C9F">
        <w:trPr>
          <w:trHeight w:val="300"/>
        </w:trPr>
        <w:tc>
          <w:tcPr>
            <w:tcW w:w="616" w:type="dxa"/>
            <w:tcBorders>
              <w:top w:val="nil"/>
              <w:left w:val="nil"/>
              <w:bottom w:val="nil"/>
              <w:right w:val="nil"/>
            </w:tcBorders>
            <w:shd w:val="clear" w:color="auto" w:fill="auto"/>
            <w:noWrap/>
            <w:vAlign w:val="bottom"/>
            <w:hideMark/>
          </w:tcPr>
          <w:p w14:paraId="34B934A0" w14:textId="77777777" w:rsidR="003B2C9F" w:rsidRPr="003B2C9F" w:rsidRDefault="003B2C9F" w:rsidP="003B2C9F">
            <w:pPr>
              <w:rPr>
                <w:sz w:val="20"/>
                <w:szCs w:val="20"/>
              </w:rPr>
            </w:pPr>
            <w:r w:rsidRPr="003B2C9F">
              <w:rPr>
                <w:sz w:val="20"/>
                <w:szCs w:val="20"/>
              </w:rPr>
              <w:t>3523</w:t>
            </w:r>
          </w:p>
        </w:tc>
        <w:tc>
          <w:tcPr>
            <w:tcW w:w="6472" w:type="dxa"/>
            <w:tcBorders>
              <w:top w:val="nil"/>
              <w:left w:val="nil"/>
              <w:bottom w:val="nil"/>
              <w:right w:val="nil"/>
            </w:tcBorders>
            <w:shd w:val="clear" w:color="auto" w:fill="auto"/>
            <w:vAlign w:val="bottom"/>
            <w:hideMark/>
          </w:tcPr>
          <w:p w14:paraId="4024AF6C" w14:textId="77777777" w:rsidR="003B2C9F" w:rsidRPr="003B2C9F" w:rsidRDefault="003B2C9F" w:rsidP="003B2C9F">
            <w:pPr>
              <w:rPr>
                <w:sz w:val="20"/>
                <w:szCs w:val="20"/>
              </w:rPr>
            </w:pPr>
            <w:r w:rsidRPr="003B2C9F">
              <w:rPr>
                <w:sz w:val="20"/>
                <w:szCs w:val="20"/>
              </w:rPr>
              <w:t xml:space="preserve">Subvencije poljoprivrednicima i obrtnicima                                                          </w:t>
            </w:r>
          </w:p>
        </w:tc>
        <w:tc>
          <w:tcPr>
            <w:tcW w:w="1559" w:type="dxa"/>
            <w:tcBorders>
              <w:top w:val="nil"/>
              <w:left w:val="nil"/>
              <w:bottom w:val="nil"/>
              <w:right w:val="nil"/>
            </w:tcBorders>
            <w:shd w:val="clear" w:color="auto" w:fill="auto"/>
            <w:noWrap/>
            <w:vAlign w:val="bottom"/>
            <w:hideMark/>
          </w:tcPr>
          <w:p w14:paraId="5A6A9F25" w14:textId="77777777" w:rsidR="003B2C9F" w:rsidRPr="003B2C9F" w:rsidRDefault="003B2C9F" w:rsidP="003B2C9F">
            <w:pPr>
              <w:jc w:val="right"/>
              <w:rPr>
                <w:sz w:val="20"/>
                <w:szCs w:val="20"/>
              </w:rPr>
            </w:pPr>
            <w:r w:rsidRPr="003B2C9F">
              <w:rPr>
                <w:sz w:val="20"/>
                <w:szCs w:val="20"/>
              </w:rPr>
              <w:t>0,00</w:t>
            </w:r>
          </w:p>
        </w:tc>
        <w:tc>
          <w:tcPr>
            <w:tcW w:w="1503" w:type="dxa"/>
            <w:tcBorders>
              <w:top w:val="nil"/>
              <w:left w:val="nil"/>
              <w:bottom w:val="nil"/>
              <w:right w:val="nil"/>
            </w:tcBorders>
            <w:shd w:val="clear" w:color="auto" w:fill="auto"/>
            <w:noWrap/>
            <w:vAlign w:val="bottom"/>
            <w:hideMark/>
          </w:tcPr>
          <w:p w14:paraId="47683146"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03371450" w14:textId="77777777" w:rsidR="003B2C9F" w:rsidRPr="003B2C9F" w:rsidRDefault="003B2C9F" w:rsidP="003B2C9F">
            <w:pPr>
              <w:jc w:val="right"/>
              <w:rPr>
                <w:sz w:val="20"/>
                <w:szCs w:val="20"/>
              </w:rPr>
            </w:pPr>
            <w:r w:rsidRPr="003B2C9F">
              <w:rPr>
                <w:sz w:val="20"/>
                <w:szCs w:val="20"/>
              </w:rPr>
              <w:t>0,00</w:t>
            </w:r>
          </w:p>
        </w:tc>
        <w:tc>
          <w:tcPr>
            <w:tcW w:w="1525" w:type="dxa"/>
            <w:tcBorders>
              <w:top w:val="nil"/>
              <w:left w:val="nil"/>
              <w:bottom w:val="nil"/>
              <w:right w:val="nil"/>
            </w:tcBorders>
            <w:shd w:val="clear" w:color="auto" w:fill="auto"/>
            <w:noWrap/>
            <w:vAlign w:val="bottom"/>
            <w:hideMark/>
          </w:tcPr>
          <w:p w14:paraId="7312F848" w14:textId="77777777" w:rsidR="003B2C9F" w:rsidRPr="003B2C9F" w:rsidRDefault="003B2C9F" w:rsidP="003B2C9F">
            <w:pPr>
              <w:jc w:val="right"/>
              <w:rPr>
                <w:sz w:val="20"/>
                <w:szCs w:val="20"/>
              </w:rPr>
            </w:pPr>
            <w:r w:rsidRPr="003B2C9F">
              <w:rPr>
                <w:sz w:val="20"/>
                <w:szCs w:val="20"/>
              </w:rPr>
              <w:t>0,00</w:t>
            </w:r>
          </w:p>
        </w:tc>
        <w:tc>
          <w:tcPr>
            <w:tcW w:w="1000" w:type="dxa"/>
            <w:tcBorders>
              <w:top w:val="nil"/>
              <w:left w:val="nil"/>
              <w:bottom w:val="nil"/>
              <w:right w:val="nil"/>
            </w:tcBorders>
            <w:shd w:val="clear" w:color="auto" w:fill="auto"/>
            <w:noWrap/>
            <w:vAlign w:val="bottom"/>
            <w:hideMark/>
          </w:tcPr>
          <w:p w14:paraId="39CBDD57" w14:textId="77777777" w:rsidR="003B2C9F" w:rsidRPr="003B2C9F" w:rsidRDefault="003B2C9F" w:rsidP="003B2C9F">
            <w:pPr>
              <w:jc w:val="right"/>
              <w:rPr>
                <w:sz w:val="20"/>
                <w:szCs w:val="20"/>
              </w:rPr>
            </w:pPr>
          </w:p>
        </w:tc>
      </w:tr>
      <w:tr w:rsidR="003B2C9F" w:rsidRPr="003B2C9F" w14:paraId="5D44717A" w14:textId="77777777" w:rsidTr="003B2C9F">
        <w:trPr>
          <w:trHeight w:val="300"/>
        </w:trPr>
        <w:tc>
          <w:tcPr>
            <w:tcW w:w="616" w:type="dxa"/>
            <w:tcBorders>
              <w:top w:val="nil"/>
              <w:left w:val="nil"/>
              <w:bottom w:val="nil"/>
              <w:right w:val="nil"/>
            </w:tcBorders>
            <w:shd w:val="clear" w:color="auto" w:fill="auto"/>
            <w:noWrap/>
            <w:vAlign w:val="bottom"/>
            <w:hideMark/>
          </w:tcPr>
          <w:p w14:paraId="12B2D49B" w14:textId="77777777" w:rsidR="003B2C9F" w:rsidRPr="003B2C9F" w:rsidRDefault="003B2C9F" w:rsidP="003B2C9F">
            <w:pPr>
              <w:rPr>
                <w:b/>
                <w:bCs/>
                <w:sz w:val="20"/>
                <w:szCs w:val="20"/>
              </w:rPr>
            </w:pPr>
            <w:r w:rsidRPr="003B2C9F">
              <w:rPr>
                <w:b/>
                <w:bCs/>
                <w:sz w:val="20"/>
                <w:szCs w:val="20"/>
              </w:rPr>
              <w:t>36</w:t>
            </w:r>
          </w:p>
        </w:tc>
        <w:tc>
          <w:tcPr>
            <w:tcW w:w="6472" w:type="dxa"/>
            <w:tcBorders>
              <w:top w:val="nil"/>
              <w:left w:val="nil"/>
              <w:bottom w:val="nil"/>
              <w:right w:val="nil"/>
            </w:tcBorders>
            <w:shd w:val="clear" w:color="auto" w:fill="auto"/>
            <w:noWrap/>
            <w:vAlign w:val="bottom"/>
            <w:hideMark/>
          </w:tcPr>
          <w:p w14:paraId="7192F022" w14:textId="77777777" w:rsidR="003B2C9F" w:rsidRPr="003B2C9F" w:rsidRDefault="003B2C9F" w:rsidP="003B2C9F">
            <w:pPr>
              <w:rPr>
                <w:b/>
                <w:bCs/>
                <w:sz w:val="20"/>
                <w:szCs w:val="20"/>
              </w:rPr>
            </w:pPr>
            <w:r w:rsidRPr="003B2C9F">
              <w:rPr>
                <w:b/>
                <w:bCs/>
                <w:sz w:val="20"/>
                <w:szCs w:val="20"/>
              </w:rPr>
              <w:t>Pomoći dane u inozemstvo i unutar općeg proračuna</w:t>
            </w:r>
          </w:p>
        </w:tc>
        <w:tc>
          <w:tcPr>
            <w:tcW w:w="1559" w:type="dxa"/>
            <w:tcBorders>
              <w:top w:val="nil"/>
              <w:left w:val="nil"/>
              <w:bottom w:val="nil"/>
              <w:right w:val="nil"/>
            </w:tcBorders>
            <w:shd w:val="clear" w:color="auto" w:fill="auto"/>
            <w:noWrap/>
            <w:vAlign w:val="bottom"/>
            <w:hideMark/>
          </w:tcPr>
          <w:p w14:paraId="2D13408A" w14:textId="77777777" w:rsidR="003B2C9F" w:rsidRPr="003B2C9F" w:rsidRDefault="003B2C9F" w:rsidP="003B2C9F">
            <w:pPr>
              <w:jc w:val="right"/>
              <w:rPr>
                <w:b/>
                <w:bCs/>
                <w:sz w:val="20"/>
                <w:szCs w:val="20"/>
              </w:rPr>
            </w:pPr>
            <w:r w:rsidRPr="003B2C9F">
              <w:rPr>
                <w:b/>
                <w:bCs/>
                <w:sz w:val="20"/>
                <w:szCs w:val="20"/>
              </w:rPr>
              <w:t>3.070.657,72</w:t>
            </w:r>
          </w:p>
        </w:tc>
        <w:tc>
          <w:tcPr>
            <w:tcW w:w="1503" w:type="dxa"/>
            <w:tcBorders>
              <w:top w:val="nil"/>
              <w:left w:val="nil"/>
              <w:bottom w:val="nil"/>
              <w:right w:val="nil"/>
            </w:tcBorders>
            <w:shd w:val="clear" w:color="auto" w:fill="auto"/>
            <w:noWrap/>
            <w:vAlign w:val="bottom"/>
            <w:hideMark/>
          </w:tcPr>
          <w:p w14:paraId="569FAF18" w14:textId="77777777" w:rsidR="003B2C9F" w:rsidRPr="003B2C9F" w:rsidRDefault="003B2C9F" w:rsidP="003B2C9F">
            <w:pPr>
              <w:jc w:val="right"/>
              <w:rPr>
                <w:b/>
                <w:bCs/>
                <w:sz w:val="20"/>
                <w:szCs w:val="20"/>
              </w:rPr>
            </w:pPr>
            <w:r w:rsidRPr="003B2C9F">
              <w:rPr>
                <w:b/>
                <w:bCs/>
                <w:sz w:val="20"/>
                <w:szCs w:val="20"/>
              </w:rPr>
              <w:t>2.673.424,95</w:t>
            </w:r>
          </w:p>
        </w:tc>
        <w:tc>
          <w:tcPr>
            <w:tcW w:w="1366" w:type="dxa"/>
            <w:tcBorders>
              <w:top w:val="nil"/>
              <w:left w:val="nil"/>
              <w:bottom w:val="nil"/>
              <w:right w:val="nil"/>
            </w:tcBorders>
            <w:shd w:val="clear" w:color="auto" w:fill="auto"/>
            <w:noWrap/>
            <w:vAlign w:val="bottom"/>
            <w:hideMark/>
          </w:tcPr>
          <w:p w14:paraId="470D1811" w14:textId="77777777" w:rsidR="003B2C9F" w:rsidRPr="003B2C9F" w:rsidRDefault="003B2C9F" w:rsidP="003B2C9F">
            <w:pPr>
              <w:jc w:val="right"/>
              <w:rPr>
                <w:b/>
                <w:bCs/>
                <w:sz w:val="20"/>
                <w:szCs w:val="20"/>
              </w:rPr>
            </w:pPr>
            <w:r w:rsidRPr="003B2C9F">
              <w:rPr>
                <w:b/>
                <w:bCs/>
                <w:sz w:val="20"/>
                <w:szCs w:val="20"/>
              </w:rPr>
              <w:t>2.586.255,73</w:t>
            </w:r>
          </w:p>
        </w:tc>
        <w:tc>
          <w:tcPr>
            <w:tcW w:w="1525" w:type="dxa"/>
            <w:tcBorders>
              <w:top w:val="nil"/>
              <w:left w:val="nil"/>
              <w:bottom w:val="nil"/>
              <w:right w:val="nil"/>
            </w:tcBorders>
            <w:shd w:val="clear" w:color="auto" w:fill="auto"/>
            <w:noWrap/>
            <w:vAlign w:val="bottom"/>
            <w:hideMark/>
          </w:tcPr>
          <w:p w14:paraId="5C6110AD" w14:textId="77777777" w:rsidR="003B2C9F" w:rsidRPr="003B2C9F" w:rsidRDefault="003B2C9F" w:rsidP="003B2C9F">
            <w:pPr>
              <w:jc w:val="right"/>
              <w:rPr>
                <w:b/>
                <w:bCs/>
                <w:sz w:val="20"/>
                <w:szCs w:val="20"/>
              </w:rPr>
            </w:pPr>
            <w:r w:rsidRPr="003B2C9F">
              <w:rPr>
                <w:b/>
                <w:bCs/>
                <w:sz w:val="20"/>
                <w:szCs w:val="20"/>
              </w:rPr>
              <w:t>84,22</w:t>
            </w:r>
          </w:p>
        </w:tc>
        <w:tc>
          <w:tcPr>
            <w:tcW w:w="1000" w:type="dxa"/>
            <w:tcBorders>
              <w:top w:val="nil"/>
              <w:left w:val="nil"/>
              <w:bottom w:val="nil"/>
              <w:right w:val="nil"/>
            </w:tcBorders>
            <w:shd w:val="clear" w:color="auto" w:fill="auto"/>
            <w:noWrap/>
            <w:vAlign w:val="bottom"/>
            <w:hideMark/>
          </w:tcPr>
          <w:p w14:paraId="12C9A826" w14:textId="77777777" w:rsidR="003B2C9F" w:rsidRPr="003B2C9F" w:rsidRDefault="003B2C9F" w:rsidP="003B2C9F">
            <w:pPr>
              <w:jc w:val="right"/>
              <w:rPr>
                <w:b/>
                <w:bCs/>
                <w:sz w:val="20"/>
                <w:szCs w:val="20"/>
              </w:rPr>
            </w:pPr>
            <w:r w:rsidRPr="003B2C9F">
              <w:rPr>
                <w:b/>
                <w:bCs/>
                <w:sz w:val="20"/>
                <w:szCs w:val="20"/>
              </w:rPr>
              <w:t>96,74</w:t>
            </w:r>
          </w:p>
        </w:tc>
      </w:tr>
      <w:tr w:rsidR="003B2C9F" w:rsidRPr="003B2C9F" w14:paraId="5CA28362" w14:textId="77777777" w:rsidTr="003B2C9F">
        <w:trPr>
          <w:trHeight w:val="300"/>
        </w:trPr>
        <w:tc>
          <w:tcPr>
            <w:tcW w:w="616" w:type="dxa"/>
            <w:tcBorders>
              <w:top w:val="nil"/>
              <w:left w:val="nil"/>
              <w:bottom w:val="nil"/>
              <w:right w:val="nil"/>
            </w:tcBorders>
            <w:shd w:val="clear" w:color="auto" w:fill="auto"/>
            <w:noWrap/>
            <w:vAlign w:val="bottom"/>
            <w:hideMark/>
          </w:tcPr>
          <w:p w14:paraId="25C22D96" w14:textId="77777777" w:rsidR="003B2C9F" w:rsidRPr="003B2C9F" w:rsidRDefault="003B2C9F" w:rsidP="003B2C9F">
            <w:pPr>
              <w:rPr>
                <w:b/>
                <w:bCs/>
                <w:sz w:val="20"/>
                <w:szCs w:val="20"/>
              </w:rPr>
            </w:pPr>
            <w:r w:rsidRPr="003B2C9F">
              <w:rPr>
                <w:b/>
                <w:bCs/>
                <w:sz w:val="20"/>
                <w:szCs w:val="20"/>
              </w:rPr>
              <w:t>363</w:t>
            </w:r>
          </w:p>
        </w:tc>
        <w:tc>
          <w:tcPr>
            <w:tcW w:w="6472" w:type="dxa"/>
            <w:tcBorders>
              <w:top w:val="nil"/>
              <w:left w:val="nil"/>
              <w:bottom w:val="nil"/>
              <w:right w:val="nil"/>
            </w:tcBorders>
            <w:shd w:val="clear" w:color="auto" w:fill="auto"/>
            <w:noWrap/>
            <w:vAlign w:val="bottom"/>
            <w:hideMark/>
          </w:tcPr>
          <w:p w14:paraId="255BAC49" w14:textId="77777777" w:rsidR="003B2C9F" w:rsidRPr="003B2C9F" w:rsidRDefault="003B2C9F" w:rsidP="003B2C9F">
            <w:pPr>
              <w:rPr>
                <w:b/>
                <w:bCs/>
                <w:sz w:val="20"/>
                <w:szCs w:val="20"/>
              </w:rPr>
            </w:pPr>
            <w:r w:rsidRPr="003B2C9F">
              <w:rPr>
                <w:b/>
                <w:bCs/>
                <w:sz w:val="20"/>
                <w:szCs w:val="20"/>
              </w:rPr>
              <w:t xml:space="preserve">Pomoći unutar općeg proračuna                                                                       </w:t>
            </w:r>
          </w:p>
        </w:tc>
        <w:tc>
          <w:tcPr>
            <w:tcW w:w="1559" w:type="dxa"/>
            <w:tcBorders>
              <w:top w:val="nil"/>
              <w:left w:val="nil"/>
              <w:bottom w:val="nil"/>
              <w:right w:val="nil"/>
            </w:tcBorders>
            <w:shd w:val="clear" w:color="auto" w:fill="auto"/>
            <w:noWrap/>
            <w:vAlign w:val="bottom"/>
            <w:hideMark/>
          </w:tcPr>
          <w:p w14:paraId="48ED295C" w14:textId="77777777" w:rsidR="003B2C9F" w:rsidRPr="003B2C9F" w:rsidRDefault="003B2C9F" w:rsidP="003B2C9F">
            <w:pPr>
              <w:jc w:val="right"/>
              <w:rPr>
                <w:b/>
                <w:bCs/>
                <w:sz w:val="20"/>
                <w:szCs w:val="20"/>
              </w:rPr>
            </w:pPr>
            <w:r w:rsidRPr="003B2C9F">
              <w:rPr>
                <w:b/>
                <w:bCs/>
                <w:sz w:val="20"/>
                <w:szCs w:val="20"/>
              </w:rPr>
              <w:t>1.080.605,69</w:t>
            </w:r>
          </w:p>
        </w:tc>
        <w:tc>
          <w:tcPr>
            <w:tcW w:w="1503" w:type="dxa"/>
            <w:tcBorders>
              <w:top w:val="nil"/>
              <w:left w:val="nil"/>
              <w:bottom w:val="nil"/>
              <w:right w:val="nil"/>
            </w:tcBorders>
            <w:shd w:val="clear" w:color="auto" w:fill="auto"/>
            <w:noWrap/>
            <w:vAlign w:val="bottom"/>
            <w:hideMark/>
          </w:tcPr>
          <w:p w14:paraId="4D589B24" w14:textId="77777777" w:rsidR="003B2C9F" w:rsidRPr="003B2C9F" w:rsidRDefault="003B2C9F" w:rsidP="003B2C9F">
            <w:pPr>
              <w:jc w:val="right"/>
              <w:rPr>
                <w:b/>
                <w:bCs/>
                <w:sz w:val="20"/>
                <w:szCs w:val="20"/>
              </w:rPr>
            </w:pPr>
            <w:r w:rsidRPr="003B2C9F">
              <w:rPr>
                <w:b/>
                <w:bCs/>
                <w:sz w:val="20"/>
                <w:szCs w:val="20"/>
              </w:rPr>
              <w:t>378.186,36</w:t>
            </w:r>
          </w:p>
        </w:tc>
        <w:tc>
          <w:tcPr>
            <w:tcW w:w="1366" w:type="dxa"/>
            <w:tcBorders>
              <w:top w:val="nil"/>
              <w:left w:val="nil"/>
              <w:bottom w:val="nil"/>
              <w:right w:val="nil"/>
            </w:tcBorders>
            <w:shd w:val="clear" w:color="auto" w:fill="auto"/>
            <w:noWrap/>
            <w:vAlign w:val="bottom"/>
            <w:hideMark/>
          </w:tcPr>
          <w:p w14:paraId="5B44A36C" w14:textId="77777777" w:rsidR="003B2C9F" w:rsidRPr="003B2C9F" w:rsidRDefault="003B2C9F" w:rsidP="003B2C9F">
            <w:pPr>
              <w:jc w:val="right"/>
              <w:rPr>
                <w:b/>
                <w:bCs/>
                <w:sz w:val="20"/>
                <w:szCs w:val="20"/>
              </w:rPr>
            </w:pPr>
            <w:r w:rsidRPr="003B2C9F">
              <w:rPr>
                <w:b/>
                <w:bCs/>
                <w:sz w:val="20"/>
                <w:szCs w:val="20"/>
              </w:rPr>
              <w:t>376.186,36</w:t>
            </w:r>
          </w:p>
        </w:tc>
        <w:tc>
          <w:tcPr>
            <w:tcW w:w="1525" w:type="dxa"/>
            <w:tcBorders>
              <w:top w:val="nil"/>
              <w:left w:val="nil"/>
              <w:bottom w:val="nil"/>
              <w:right w:val="nil"/>
            </w:tcBorders>
            <w:shd w:val="clear" w:color="auto" w:fill="auto"/>
            <w:noWrap/>
            <w:vAlign w:val="bottom"/>
            <w:hideMark/>
          </w:tcPr>
          <w:p w14:paraId="733E3CEC" w14:textId="77777777" w:rsidR="003B2C9F" w:rsidRPr="003B2C9F" w:rsidRDefault="003B2C9F" w:rsidP="003B2C9F">
            <w:pPr>
              <w:jc w:val="right"/>
              <w:rPr>
                <w:b/>
                <w:bCs/>
                <w:sz w:val="20"/>
                <w:szCs w:val="20"/>
              </w:rPr>
            </w:pPr>
            <w:r w:rsidRPr="003B2C9F">
              <w:rPr>
                <w:b/>
                <w:bCs/>
                <w:sz w:val="20"/>
                <w:szCs w:val="20"/>
              </w:rPr>
              <w:t>34,81</w:t>
            </w:r>
          </w:p>
        </w:tc>
        <w:tc>
          <w:tcPr>
            <w:tcW w:w="1000" w:type="dxa"/>
            <w:tcBorders>
              <w:top w:val="nil"/>
              <w:left w:val="nil"/>
              <w:bottom w:val="nil"/>
              <w:right w:val="nil"/>
            </w:tcBorders>
            <w:shd w:val="clear" w:color="auto" w:fill="auto"/>
            <w:noWrap/>
            <w:vAlign w:val="bottom"/>
            <w:hideMark/>
          </w:tcPr>
          <w:p w14:paraId="35B43002" w14:textId="77777777" w:rsidR="003B2C9F" w:rsidRPr="003B2C9F" w:rsidRDefault="003B2C9F" w:rsidP="003B2C9F">
            <w:pPr>
              <w:jc w:val="right"/>
              <w:rPr>
                <w:b/>
                <w:bCs/>
                <w:sz w:val="20"/>
                <w:szCs w:val="20"/>
              </w:rPr>
            </w:pPr>
            <w:r w:rsidRPr="003B2C9F">
              <w:rPr>
                <w:b/>
                <w:bCs/>
                <w:sz w:val="20"/>
                <w:szCs w:val="20"/>
              </w:rPr>
              <w:t>99,47</w:t>
            </w:r>
          </w:p>
        </w:tc>
      </w:tr>
      <w:tr w:rsidR="003B2C9F" w:rsidRPr="003B2C9F" w14:paraId="69D9015F" w14:textId="77777777" w:rsidTr="003B2C9F">
        <w:trPr>
          <w:trHeight w:val="300"/>
        </w:trPr>
        <w:tc>
          <w:tcPr>
            <w:tcW w:w="616" w:type="dxa"/>
            <w:tcBorders>
              <w:top w:val="nil"/>
              <w:left w:val="nil"/>
              <w:bottom w:val="nil"/>
              <w:right w:val="nil"/>
            </w:tcBorders>
            <w:shd w:val="clear" w:color="auto" w:fill="auto"/>
            <w:noWrap/>
            <w:vAlign w:val="bottom"/>
            <w:hideMark/>
          </w:tcPr>
          <w:p w14:paraId="61972B74" w14:textId="77777777" w:rsidR="003B2C9F" w:rsidRPr="003B2C9F" w:rsidRDefault="003B2C9F" w:rsidP="003B2C9F">
            <w:pPr>
              <w:rPr>
                <w:sz w:val="20"/>
                <w:szCs w:val="20"/>
              </w:rPr>
            </w:pPr>
            <w:r w:rsidRPr="003B2C9F">
              <w:rPr>
                <w:sz w:val="20"/>
                <w:szCs w:val="20"/>
              </w:rPr>
              <w:t>3631</w:t>
            </w:r>
          </w:p>
        </w:tc>
        <w:tc>
          <w:tcPr>
            <w:tcW w:w="6472" w:type="dxa"/>
            <w:tcBorders>
              <w:top w:val="nil"/>
              <w:left w:val="nil"/>
              <w:bottom w:val="nil"/>
              <w:right w:val="nil"/>
            </w:tcBorders>
            <w:shd w:val="clear" w:color="auto" w:fill="auto"/>
            <w:vAlign w:val="bottom"/>
            <w:hideMark/>
          </w:tcPr>
          <w:p w14:paraId="7F6AEDB5" w14:textId="77777777" w:rsidR="003B2C9F" w:rsidRPr="003B2C9F" w:rsidRDefault="003B2C9F" w:rsidP="003B2C9F">
            <w:pPr>
              <w:rPr>
                <w:sz w:val="20"/>
                <w:szCs w:val="20"/>
              </w:rPr>
            </w:pPr>
            <w:r w:rsidRPr="003B2C9F">
              <w:rPr>
                <w:sz w:val="20"/>
                <w:szCs w:val="20"/>
              </w:rPr>
              <w:t xml:space="preserve">Tekuće pomoći unutar općeg proračuna                                                                </w:t>
            </w:r>
          </w:p>
        </w:tc>
        <w:tc>
          <w:tcPr>
            <w:tcW w:w="1559" w:type="dxa"/>
            <w:tcBorders>
              <w:top w:val="nil"/>
              <w:left w:val="nil"/>
              <w:bottom w:val="nil"/>
              <w:right w:val="nil"/>
            </w:tcBorders>
            <w:shd w:val="clear" w:color="auto" w:fill="auto"/>
            <w:noWrap/>
            <w:vAlign w:val="bottom"/>
            <w:hideMark/>
          </w:tcPr>
          <w:p w14:paraId="442E4086" w14:textId="77777777" w:rsidR="003B2C9F" w:rsidRPr="003B2C9F" w:rsidRDefault="003B2C9F" w:rsidP="003B2C9F">
            <w:pPr>
              <w:jc w:val="right"/>
              <w:rPr>
                <w:sz w:val="20"/>
                <w:szCs w:val="20"/>
              </w:rPr>
            </w:pPr>
            <w:r w:rsidRPr="003B2C9F">
              <w:rPr>
                <w:sz w:val="20"/>
                <w:szCs w:val="20"/>
              </w:rPr>
              <w:t>580.000,00</w:t>
            </w:r>
          </w:p>
        </w:tc>
        <w:tc>
          <w:tcPr>
            <w:tcW w:w="1503" w:type="dxa"/>
            <w:tcBorders>
              <w:top w:val="nil"/>
              <w:left w:val="nil"/>
              <w:bottom w:val="nil"/>
              <w:right w:val="nil"/>
            </w:tcBorders>
            <w:shd w:val="clear" w:color="auto" w:fill="auto"/>
            <w:noWrap/>
            <w:vAlign w:val="bottom"/>
            <w:hideMark/>
          </w:tcPr>
          <w:p w14:paraId="3D6E339D"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7BEED32" w14:textId="77777777" w:rsidR="003B2C9F" w:rsidRPr="003B2C9F" w:rsidRDefault="003B2C9F" w:rsidP="003B2C9F">
            <w:pPr>
              <w:jc w:val="right"/>
              <w:rPr>
                <w:sz w:val="20"/>
                <w:szCs w:val="20"/>
              </w:rPr>
            </w:pPr>
            <w:r w:rsidRPr="003B2C9F">
              <w:rPr>
                <w:sz w:val="20"/>
                <w:szCs w:val="20"/>
              </w:rPr>
              <w:t>68.000,00</w:t>
            </w:r>
          </w:p>
        </w:tc>
        <w:tc>
          <w:tcPr>
            <w:tcW w:w="1525" w:type="dxa"/>
            <w:tcBorders>
              <w:top w:val="nil"/>
              <w:left w:val="nil"/>
              <w:bottom w:val="nil"/>
              <w:right w:val="nil"/>
            </w:tcBorders>
            <w:shd w:val="clear" w:color="auto" w:fill="auto"/>
            <w:noWrap/>
            <w:vAlign w:val="bottom"/>
            <w:hideMark/>
          </w:tcPr>
          <w:p w14:paraId="029E64DE" w14:textId="77777777" w:rsidR="003B2C9F" w:rsidRPr="003B2C9F" w:rsidRDefault="003B2C9F" w:rsidP="003B2C9F">
            <w:pPr>
              <w:jc w:val="right"/>
              <w:rPr>
                <w:sz w:val="20"/>
                <w:szCs w:val="20"/>
              </w:rPr>
            </w:pPr>
            <w:r w:rsidRPr="003B2C9F">
              <w:rPr>
                <w:sz w:val="20"/>
                <w:szCs w:val="20"/>
              </w:rPr>
              <w:t>11,72</w:t>
            </w:r>
          </w:p>
        </w:tc>
        <w:tc>
          <w:tcPr>
            <w:tcW w:w="1000" w:type="dxa"/>
            <w:tcBorders>
              <w:top w:val="nil"/>
              <w:left w:val="nil"/>
              <w:bottom w:val="nil"/>
              <w:right w:val="nil"/>
            </w:tcBorders>
            <w:shd w:val="clear" w:color="auto" w:fill="auto"/>
            <w:noWrap/>
            <w:vAlign w:val="bottom"/>
            <w:hideMark/>
          </w:tcPr>
          <w:p w14:paraId="119059FD" w14:textId="77777777" w:rsidR="003B2C9F" w:rsidRPr="003B2C9F" w:rsidRDefault="003B2C9F" w:rsidP="003B2C9F">
            <w:pPr>
              <w:jc w:val="right"/>
              <w:rPr>
                <w:sz w:val="20"/>
                <w:szCs w:val="20"/>
              </w:rPr>
            </w:pPr>
          </w:p>
        </w:tc>
      </w:tr>
      <w:tr w:rsidR="003B2C9F" w:rsidRPr="003B2C9F" w14:paraId="59C9A3A5" w14:textId="77777777" w:rsidTr="003B2C9F">
        <w:trPr>
          <w:trHeight w:val="300"/>
        </w:trPr>
        <w:tc>
          <w:tcPr>
            <w:tcW w:w="616" w:type="dxa"/>
            <w:tcBorders>
              <w:top w:val="nil"/>
              <w:left w:val="nil"/>
              <w:bottom w:val="nil"/>
              <w:right w:val="nil"/>
            </w:tcBorders>
            <w:shd w:val="clear" w:color="auto" w:fill="auto"/>
            <w:noWrap/>
            <w:vAlign w:val="bottom"/>
            <w:hideMark/>
          </w:tcPr>
          <w:p w14:paraId="45168EC6" w14:textId="77777777" w:rsidR="003B2C9F" w:rsidRPr="003B2C9F" w:rsidRDefault="003B2C9F" w:rsidP="003B2C9F">
            <w:pPr>
              <w:rPr>
                <w:sz w:val="20"/>
                <w:szCs w:val="20"/>
              </w:rPr>
            </w:pPr>
            <w:r w:rsidRPr="003B2C9F">
              <w:rPr>
                <w:sz w:val="20"/>
                <w:szCs w:val="20"/>
              </w:rPr>
              <w:t>3632</w:t>
            </w:r>
          </w:p>
        </w:tc>
        <w:tc>
          <w:tcPr>
            <w:tcW w:w="6472" w:type="dxa"/>
            <w:tcBorders>
              <w:top w:val="nil"/>
              <w:left w:val="nil"/>
              <w:bottom w:val="nil"/>
              <w:right w:val="nil"/>
            </w:tcBorders>
            <w:shd w:val="clear" w:color="auto" w:fill="auto"/>
            <w:vAlign w:val="bottom"/>
            <w:hideMark/>
          </w:tcPr>
          <w:p w14:paraId="0D70260A" w14:textId="77777777" w:rsidR="003B2C9F" w:rsidRPr="003B2C9F" w:rsidRDefault="003B2C9F" w:rsidP="003B2C9F">
            <w:pPr>
              <w:rPr>
                <w:sz w:val="20"/>
                <w:szCs w:val="20"/>
              </w:rPr>
            </w:pPr>
            <w:r w:rsidRPr="003B2C9F">
              <w:rPr>
                <w:sz w:val="20"/>
                <w:szCs w:val="20"/>
              </w:rPr>
              <w:t xml:space="preserve">Kapitalne pomoći unutar općeg proračuna                                                             </w:t>
            </w:r>
          </w:p>
        </w:tc>
        <w:tc>
          <w:tcPr>
            <w:tcW w:w="1559" w:type="dxa"/>
            <w:tcBorders>
              <w:top w:val="nil"/>
              <w:left w:val="nil"/>
              <w:bottom w:val="nil"/>
              <w:right w:val="nil"/>
            </w:tcBorders>
            <w:shd w:val="clear" w:color="auto" w:fill="auto"/>
            <w:noWrap/>
            <w:vAlign w:val="bottom"/>
            <w:hideMark/>
          </w:tcPr>
          <w:p w14:paraId="226FF486" w14:textId="77777777" w:rsidR="003B2C9F" w:rsidRPr="003B2C9F" w:rsidRDefault="003B2C9F" w:rsidP="003B2C9F">
            <w:pPr>
              <w:jc w:val="right"/>
              <w:rPr>
                <w:sz w:val="20"/>
                <w:szCs w:val="20"/>
              </w:rPr>
            </w:pPr>
            <w:r w:rsidRPr="003B2C9F">
              <w:rPr>
                <w:sz w:val="20"/>
                <w:szCs w:val="20"/>
              </w:rPr>
              <w:t>500.605,69</w:t>
            </w:r>
          </w:p>
        </w:tc>
        <w:tc>
          <w:tcPr>
            <w:tcW w:w="1503" w:type="dxa"/>
            <w:tcBorders>
              <w:top w:val="nil"/>
              <w:left w:val="nil"/>
              <w:bottom w:val="nil"/>
              <w:right w:val="nil"/>
            </w:tcBorders>
            <w:shd w:val="clear" w:color="auto" w:fill="auto"/>
            <w:noWrap/>
            <w:vAlign w:val="bottom"/>
            <w:hideMark/>
          </w:tcPr>
          <w:p w14:paraId="3C047692"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12459A3B" w14:textId="77777777" w:rsidR="003B2C9F" w:rsidRPr="003B2C9F" w:rsidRDefault="003B2C9F" w:rsidP="003B2C9F">
            <w:pPr>
              <w:jc w:val="right"/>
              <w:rPr>
                <w:sz w:val="20"/>
                <w:szCs w:val="20"/>
              </w:rPr>
            </w:pPr>
            <w:r w:rsidRPr="003B2C9F">
              <w:rPr>
                <w:sz w:val="20"/>
                <w:szCs w:val="20"/>
              </w:rPr>
              <w:t>308.186,36</w:t>
            </w:r>
          </w:p>
        </w:tc>
        <w:tc>
          <w:tcPr>
            <w:tcW w:w="1525" w:type="dxa"/>
            <w:tcBorders>
              <w:top w:val="nil"/>
              <w:left w:val="nil"/>
              <w:bottom w:val="nil"/>
              <w:right w:val="nil"/>
            </w:tcBorders>
            <w:shd w:val="clear" w:color="auto" w:fill="auto"/>
            <w:noWrap/>
            <w:vAlign w:val="bottom"/>
            <w:hideMark/>
          </w:tcPr>
          <w:p w14:paraId="133A7F16" w14:textId="77777777" w:rsidR="003B2C9F" w:rsidRPr="003B2C9F" w:rsidRDefault="003B2C9F" w:rsidP="003B2C9F">
            <w:pPr>
              <w:jc w:val="right"/>
              <w:rPr>
                <w:sz w:val="20"/>
                <w:szCs w:val="20"/>
              </w:rPr>
            </w:pPr>
            <w:r w:rsidRPr="003B2C9F">
              <w:rPr>
                <w:sz w:val="20"/>
                <w:szCs w:val="20"/>
              </w:rPr>
              <w:t>61,56</w:t>
            </w:r>
          </w:p>
        </w:tc>
        <w:tc>
          <w:tcPr>
            <w:tcW w:w="1000" w:type="dxa"/>
            <w:tcBorders>
              <w:top w:val="nil"/>
              <w:left w:val="nil"/>
              <w:bottom w:val="nil"/>
              <w:right w:val="nil"/>
            </w:tcBorders>
            <w:shd w:val="clear" w:color="auto" w:fill="auto"/>
            <w:noWrap/>
            <w:vAlign w:val="bottom"/>
            <w:hideMark/>
          </w:tcPr>
          <w:p w14:paraId="462A2491" w14:textId="77777777" w:rsidR="003B2C9F" w:rsidRPr="003B2C9F" w:rsidRDefault="003B2C9F" w:rsidP="003B2C9F">
            <w:pPr>
              <w:jc w:val="right"/>
              <w:rPr>
                <w:sz w:val="20"/>
                <w:szCs w:val="20"/>
              </w:rPr>
            </w:pPr>
          </w:p>
        </w:tc>
      </w:tr>
      <w:tr w:rsidR="003B2C9F" w:rsidRPr="003B2C9F" w14:paraId="6E5AC694" w14:textId="77777777" w:rsidTr="003B2C9F">
        <w:trPr>
          <w:trHeight w:val="300"/>
        </w:trPr>
        <w:tc>
          <w:tcPr>
            <w:tcW w:w="616" w:type="dxa"/>
            <w:tcBorders>
              <w:top w:val="nil"/>
              <w:left w:val="nil"/>
              <w:bottom w:val="nil"/>
              <w:right w:val="nil"/>
            </w:tcBorders>
            <w:shd w:val="clear" w:color="auto" w:fill="auto"/>
            <w:noWrap/>
            <w:vAlign w:val="bottom"/>
            <w:hideMark/>
          </w:tcPr>
          <w:p w14:paraId="2797CA08" w14:textId="77777777" w:rsidR="003B2C9F" w:rsidRPr="003B2C9F" w:rsidRDefault="003B2C9F" w:rsidP="003B2C9F">
            <w:pPr>
              <w:rPr>
                <w:b/>
                <w:bCs/>
                <w:sz w:val="20"/>
                <w:szCs w:val="20"/>
              </w:rPr>
            </w:pPr>
            <w:r w:rsidRPr="003B2C9F">
              <w:rPr>
                <w:b/>
                <w:bCs/>
                <w:sz w:val="20"/>
                <w:szCs w:val="20"/>
              </w:rPr>
              <w:t>366</w:t>
            </w:r>
          </w:p>
        </w:tc>
        <w:tc>
          <w:tcPr>
            <w:tcW w:w="6472" w:type="dxa"/>
            <w:tcBorders>
              <w:top w:val="nil"/>
              <w:left w:val="nil"/>
              <w:bottom w:val="nil"/>
              <w:right w:val="nil"/>
            </w:tcBorders>
            <w:shd w:val="clear" w:color="auto" w:fill="auto"/>
            <w:noWrap/>
            <w:vAlign w:val="bottom"/>
            <w:hideMark/>
          </w:tcPr>
          <w:p w14:paraId="052E6DA0" w14:textId="77777777" w:rsidR="003B2C9F" w:rsidRPr="003B2C9F" w:rsidRDefault="003B2C9F" w:rsidP="003B2C9F">
            <w:pPr>
              <w:rPr>
                <w:b/>
                <w:bCs/>
                <w:sz w:val="20"/>
                <w:szCs w:val="20"/>
              </w:rPr>
            </w:pPr>
            <w:r w:rsidRPr="003B2C9F">
              <w:rPr>
                <w:b/>
                <w:bCs/>
                <w:sz w:val="20"/>
                <w:szCs w:val="20"/>
              </w:rPr>
              <w:t>Pomoći proračunskim korisnicima drugih proračuna</w:t>
            </w:r>
          </w:p>
        </w:tc>
        <w:tc>
          <w:tcPr>
            <w:tcW w:w="1559" w:type="dxa"/>
            <w:tcBorders>
              <w:top w:val="nil"/>
              <w:left w:val="nil"/>
              <w:bottom w:val="nil"/>
              <w:right w:val="nil"/>
            </w:tcBorders>
            <w:shd w:val="clear" w:color="auto" w:fill="auto"/>
            <w:noWrap/>
            <w:vAlign w:val="bottom"/>
            <w:hideMark/>
          </w:tcPr>
          <w:p w14:paraId="613048FF" w14:textId="77777777" w:rsidR="003B2C9F" w:rsidRPr="003B2C9F" w:rsidRDefault="003B2C9F" w:rsidP="003B2C9F">
            <w:pPr>
              <w:jc w:val="right"/>
              <w:rPr>
                <w:b/>
                <w:bCs/>
                <w:sz w:val="20"/>
                <w:szCs w:val="20"/>
              </w:rPr>
            </w:pPr>
            <w:r w:rsidRPr="003B2C9F">
              <w:rPr>
                <w:b/>
                <w:bCs/>
                <w:sz w:val="20"/>
                <w:szCs w:val="20"/>
              </w:rPr>
              <w:t>1.990.052,03</w:t>
            </w:r>
          </w:p>
        </w:tc>
        <w:tc>
          <w:tcPr>
            <w:tcW w:w="1503" w:type="dxa"/>
            <w:tcBorders>
              <w:top w:val="nil"/>
              <w:left w:val="nil"/>
              <w:bottom w:val="nil"/>
              <w:right w:val="nil"/>
            </w:tcBorders>
            <w:shd w:val="clear" w:color="auto" w:fill="auto"/>
            <w:noWrap/>
            <w:vAlign w:val="bottom"/>
            <w:hideMark/>
          </w:tcPr>
          <w:p w14:paraId="146D4F7B" w14:textId="77777777" w:rsidR="003B2C9F" w:rsidRPr="003B2C9F" w:rsidRDefault="003B2C9F" w:rsidP="003B2C9F">
            <w:pPr>
              <w:jc w:val="right"/>
              <w:rPr>
                <w:b/>
                <w:bCs/>
                <w:sz w:val="20"/>
                <w:szCs w:val="20"/>
              </w:rPr>
            </w:pPr>
            <w:r w:rsidRPr="003B2C9F">
              <w:rPr>
                <w:b/>
                <w:bCs/>
                <w:sz w:val="20"/>
                <w:szCs w:val="20"/>
              </w:rPr>
              <w:t>2.295.238,59</w:t>
            </w:r>
          </w:p>
        </w:tc>
        <w:tc>
          <w:tcPr>
            <w:tcW w:w="1366" w:type="dxa"/>
            <w:tcBorders>
              <w:top w:val="nil"/>
              <w:left w:val="nil"/>
              <w:bottom w:val="nil"/>
              <w:right w:val="nil"/>
            </w:tcBorders>
            <w:shd w:val="clear" w:color="auto" w:fill="auto"/>
            <w:noWrap/>
            <w:vAlign w:val="bottom"/>
            <w:hideMark/>
          </w:tcPr>
          <w:p w14:paraId="408EEA4A" w14:textId="77777777" w:rsidR="003B2C9F" w:rsidRPr="003B2C9F" w:rsidRDefault="003B2C9F" w:rsidP="003B2C9F">
            <w:pPr>
              <w:jc w:val="right"/>
              <w:rPr>
                <w:b/>
                <w:bCs/>
                <w:sz w:val="20"/>
                <w:szCs w:val="20"/>
              </w:rPr>
            </w:pPr>
            <w:r w:rsidRPr="003B2C9F">
              <w:rPr>
                <w:b/>
                <w:bCs/>
                <w:sz w:val="20"/>
                <w:szCs w:val="20"/>
              </w:rPr>
              <w:t>2.210.069,37</w:t>
            </w:r>
          </w:p>
        </w:tc>
        <w:tc>
          <w:tcPr>
            <w:tcW w:w="1525" w:type="dxa"/>
            <w:tcBorders>
              <w:top w:val="nil"/>
              <w:left w:val="nil"/>
              <w:bottom w:val="nil"/>
              <w:right w:val="nil"/>
            </w:tcBorders>
            <w:shd w:val="clear" w:color="auto" w:fill="auto"/>
            <w:noWrap/>
            <w:vAlign w:val="bottom"/>
            <w:hideMark/>
          </w:tcPr>
          <w:p w14:paraId="45BEF319" w14:textId="77777777" w:rsidR="003B2C9F" w:rsidRPr="003B2C9F" w:rsidRDefault="003B2C9F" w:rsidP="003B2C9F">
            <w:pPr>
              <w:jc w:val="right"/>
              <w:rPr>
                <w:b/>
                <w:bCs/>
                <w:sz w:val="20"/>
                <w:szCs w:val="20"/>
              </w:rPr>
            </w:pPr>
            <w:r w:rsidRPr="003B2C9F">
              <w:rPr>
                <w:b/>
                <w:bCs/>
                <w:sz w:val="20"/>
                <w:szCs w:val="20"/>
              </w:rPr>
              <w:t>111,06</w:t>
            </w:r>
          </w:p>
        </w:tc>
        <w:tc>
          <w:tcPr>
            <w:tcW w:w="1000" w:type="dxa"/>
            <w:tcBorders>
              <w:top w:val="nil"/>
              <w:left w:val="nil"/>
              <w:bottom w:val="nil"/>
              <w:right w:val="nil"/>
            </w:tcBorders>
            <w:shd w:val="clear" w:color="auto" w:fill="auto"/>
            <w:noWrap/>
            <w:vAlign w:val="bottom"/>
            <w:hideMark/>
          </w:tcPr>
          <w:p w14:paraId="4980D43B" w14:textId="77777777" w:rsidR="003B2C9F" w:rsidRPr="003B2C9F" w:rsidRDefault="003B2C9F" w:rsidP="003B2C9F">
            <w:pPr>
              <w:jc w:val="right"/>
              <w:rPr>
                <w:b/>
                <w:bCs/>
                <w:sz w:val="20"/>
                <w:szCs w:val="20"/>
              </w:rPr>
            </w:pPr>
            <w:r w:rsidRPr="003B2C9F">
              <w:rPr>
                <w:b/>
                <w:bCs/>
                <w:sz w:val="20"/>
                <w:szCs w:val="20"/>
              </w:rPr>
              <w:t>96,29</w:t>
            </w:r>
          </w:p>
        </w:tc>
      </w:tr>
      <w:tr w:rsidR="003B2C9F" w:rsidRPr="003B2C9F" w14:paraId="30D7A48E" w14:textId="77777777" w:rsidTr="003B2C9F">
        <w:trPr>
          <w:trHeight w:val="300"/>
        </w:trPr>
        <w:tc>
          <w:tcPr>
            <w:tcW w:w="616" w:type="dxa"/>
            <w:tcBorders>
              <w:top w:val="nil"/>
              <w:left w:val="nil"/>
              <w:bottom w:val="nil"/>
              <w:right w:val="nil"/>
            </w:tcBorders>
            <w:shd w:val="clear" w:color="auto" w:fill="auto"/>
            <w:noWrap/>
            <w:vAlign w:val="bottom"/>
            <w:hideMark/>
          </w:tcPr>
          <w:p w14:paraId="2B81123B" w14:textId="77777777" w:rsidR="003B2C9F" w:rsidRPr="003B2C9F" w:rsidRDefault="003B2C9F" w:rsidP="003B2C9F">
            <w:pPr>
              <w:rPr>
                <w:sz w:val="20"/>
                <w:szCs w:val="20"/>
              </w:rPr>
            </w:pPr>
            <w:r w:rsidRPr="003B2C9F">
              <w:rPr>
                <w:sz w:val="20"/>
                <w:szCs w:val="20"/>
              </w:rPr>
              <w:t>3661</w:t>
            </w:r>
          </w:p>
        </w:tc>
        <w:tc>
          <w:tcPr>
            <w:tcW w:w="6472" w:type="dxa"/>
            <w:tcBorders>
              <w:top w:val="nil"/>
              <w:left w:val="nil"/>
              <w:bottom w:val="nil"/>
              <w:right w:val="nil"/>
            </w:tcBorders>
            <w:shd w:val="clear" w:color="auto" w:fill="auto"/>
            <w:vAlign w:val="bottom"/>
            <w:hideMark/>
          </w:tcPr>
          <w:p w14:paraId="11A51BA8" w14:textId="77777777" w:rsidR="003B2C9F" w:rsidRPr="003B2C9F" w:rsidRDefault="003B2C9F" w:rsidP="003B2C9F">
            <w:pPr>
              <w:rPr>
                <w:sz w:val="20"/>
                <w:szCs w:val="20"/>
              </w:rPr>
            </w:pPr>
            <w:r w:rsidRPr="003B2C9F">
              <w:rPr>
                <w:sz w:val="20"/>
                <w:szCs w:val="20"/>
              </w:rPr>
              <w:t>Tekuće pomoći proračunskim korisnicima drugih proračuna</w:t>
            </w:r>
          </w:p>
        </w:tc>
        <w:tc>
          <w:tcPr>
            <w:tcW w:w="1559" w:type="dxa"/>
            <w:tcBorders>
              <w:top w:val="nil"/>
              <w:left w:val="nil"/>
              <w:bottom w:val="nil"/>
              <w:right w:val="nil"/>
            </w:tcBorders>
            <w:shd w:val="clear" w:color="auto" w:fill="auto"/>
            <w:noWrap/>
            <w:vAlign w:val="bottom"/>
            <w:hideMark/>
          </w:tcPr>
          <w:p w14:paraId="0622B4AE" w14:textId="77777777" w:rsidR="003B2C9F" w:rsidRPr="003B2C9F" w:rsidRDefault="003B2C9F" w:rsidP="003B2C9F">
            <w:pPr>
              <w:jc w:val="right"/>
              <w:rPr>
                <w:sz w:val="20"/>
                <w:szCs w:val="20"/>
              </w:rPr>
            </w:pPr>
            <w:r w:rsidRPr="003B2C9F">
              <w:rPr>
                <w:sz w:val="20"/>
                <w:szCs w:val="20"/>
              </w:rPr>
              <w:t>1.990.052,03</w:t>
            </w:r>
          </w:p>
        </w:tc>
        <w:tc>
          <w:tcPr>
            <w:tcW w:w="1503" w:type="dxa"/>
            <w:tcBorders>
              <w:top w:val="nil"/>
              <w:left w:val="nil"/>
              <w:bottom w:val="nil"/>
              <w:right w:val="nil"/>
            </w:tcBorders>
            <w:shd w:val="clear" w:color="auto" w:fill="auto"/>
            <w:noWrap/>
            <w:vAlign w:val="bottom"/>
            <w:hideMark/>
          </w:tcPr>
          <w:p w14:paraId="7C7A36F9"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779BDE66" w14:textId="77777777" w:rsidR="003B2C9F" w:rsidRPr="003B2C9F" w:rsidRDefault="003B2C9F" w:rsidP="003B2C9F">
            <w:pPr>
              <w:jc w:val="right"/>
              <w:rPr>
                <w:sz w:val="20"/>
                <w:szCs w:val="20"/>
              </w:rPr>
            </w:pPr>
            <w:r w:rsidRPr="003B2C9F">
              <w:rPr>
                <w:sz w:val="20"/>
                <w:szCs w:val="20"/>
              </w:rPr>
              <w:t>2.210.069,37</w:t>
            </w:r>
          </w:p>
        </w:tc>
        <w:tc>
          <w:tcPr>
            <w:tcW w:w="1525" w:type="dxa"/>
            <w:tcBorders>
              <w:top w:val="nil"/>
              <w:left w:val="nil"/>
              <w:bottom w:val="nil"/>
              <w:right w:val="nil"/>
            </w:tcBorders>
            <w:shd w:val="clear" w:color="auto" w:fill="auto"/>
            <w:noWrap/>
            <w:vAlign w:val="bottom"/>
            <w:hideMark/>
          </w:tcPr>
          <w:p w14:paraId="31AFD748" w14:textId="77777777" w:rsidR="003B2C9F" w:rsidRPr="003B2C9F" w:rsidRDefault="003B2C9F" w:rsidP="003B2C9F">
            <w:pPr>
              <w:jc w:val="right"/>
              <w:rPr>
                <w:sz w:val="20"/>
                <w:szCs w:val="20"/>
              </w:rPr>
            </w:pPr>
            <w:r w:rsidRPr="003B2C9F">
              <w:rPr>
                <w:sz w:val="20"/>
                <w:szCs w:val="20"/>
              </w:rPr>
              <w:t>111,06</w:t>
            </w:r>
          </w:p>
        </w:tc>
        <w:tc>
          <w:tcPr>
            <w:tcW w:w="1000" w:type="dxa"/>
            <w:tcBorders>
              <w:top w:val="nil"/>
              <w:left w:val="nil"/>
              <w:bottom w:val="nil"/>
              <w:right w:val="nil"/>
            </w:tcBorders>
            <w:shd w:val="clear" w:color="auto" w:fill="auto"/>
            <w:noWrap/>
            <w:vAlign w:val="bottom"/>
            <w:hideMark/>
          </w:tcPr>
          <w:p w14:paraId="41E2B21C" w14:textId="77777777" w:rsidR="003B2C9F" w:rsidRPr="003B2C9F" w:rsidRDefault="003B2C9F" w:rsidP="003B2C9F">
            <w:pPr>
              <w:jc w:val="right"/>
              <w:rPr>
                <w:sz w:val="20"/>
                <w:szCs w:val="20"/>
              </w:rPr>
            </w:pPr>
          </w:p>
        </w:tc>
      </w:tr>
      <w:tr w:rsidR="003B2C9F" w:rsidRPr="003B2C9F" w14:paraId="28B1C4FE" w14:textId="77777777" w:rsidTr="003B2C9F">
        <w:trPr>
          <w:trHeight w:val="300"/>
        </w:trPr>
        <w:tc>
          <w:tcPr>
            <w:tcW w:w="616" w:type="dxa"/>
            <w:tcBorders>
              <w:top w:val="nil"/>
              <w:left w:val="nil"/>
              <w:bottom w:val="nil"/>
              <w:right w:val="nil"/>
            </w:tcBorders>
            <w:shd w:val="clear" w:color="auto" w:fill="auto"/>
            <w:noWrap/>
            <w:vAlign w:val="bottom"/>
            <w:hideMark/>
          </w:tcPr>
          <w:p w14:paraId="5BD0A0E5" w14:textId="77777777" w:rsidR="003B2C9F" w:rsidRPr="003B2C9F" w:rsidRDefault="003B2C9F" w:rsidP="003B2C9F">
            <w:pPr>
              <w:rPr>
                <w:sz w:val="20"/>
                <w:szCs w:val="20"/>
              </w:rPr>
            </w:pPr>
            <w:r w:rsidRPr="003B2C9F">
              <w:rPr>
                <w:sz w:val="20"/>
                <w:szCs w:val="20"/>
              </w:rPr>
              <w:t>3662</w:t>
            </w:r>
          </w:p>
        </w:tc>
        <w:tc>
          <w:tcPr>
            <w:tcW w:w="6472" w:type="dxa"/>
            <w:tcBorders>
              <w:top w:val="nil"/>
              <w:left w:val="nil"/>
              <w:bottom w:val="nil"/>
              <w:right w:val="nil"/>
            </w:tcBorders>
            <w:shd w:val="clear" w:color="auto" w:fill="auto"/>
            <w:vAlign w:val="bottom"/>
            <w:hideMark/>
          </w:tcPr>
          <w:p w14:paraId="6DB94BB4" w14:textId="77777777" w:rsidR="003B2C9F" w:rsidRPr="003B2C9F" w:rsidRDefault="003B2C9F" w:rsidP="003B2C9F">
            <w:pPr>
              <w:rPr>
                <w:sz w:val="20"/>
                <w:szCs w:val="20"/>
              </w:rPr>
            </w:pPr>
            <w:r w:rsidRPr="003B2C9F">
              <w:rPr>
                <w:sz w:val="20"/>
                <w:szCs w:val="20"/>
              </w:rPr>
              <w:t>Kapitalne pomoći proračunskim korisnicima drugih proračuna</w:t>
            </w:r>
          </w:p>
        </w:tc>
        <w:tc>
          <w:tcPr>
            <w:tcW w:w="1559" w:type="dxa"/>
            <w:tcBorders>
              <w:top w:val="nil"/>
              <w:left w:val="nil"/>
              <w:bottom w:val="nil"/>
              <w:right w:val="nil"/>
            </w:tcBorders>
            <w:shd w:val="clear" w:color="auto" w:fill="auto"/>
            <w:noWrap/>
            <w:vAlign w:val="bottom"/>
            <w:hideMark/>
          </w:tcPr>
          <w:p w14:paraId="789A2269" w14:textId="77777777" w:rsidR="003B2C9F" w:rsidRPr="003B2C9F" w:rsidRDefault="003B2C9F" w:rsidP="003B2C9F">
            <w:pPr>
              <w:jc w:val="right"/>
              <w:rPr>
                <w:sz w:val="20"/>
                <w:szCs w:val="20"/>
              </w:rPr>
            </w:pPr>
            <w:r w:rsidRPr="003B2C9F">
              <w:rPr>
                <w:sz w:val="20"/>
                <w:szCs w:val="20"/>
              </w:rPr>
              <w:t>0,00</w:t>
            </w:r>
          </w:p>
        </w:tc>
        <w:tc>
          <w:tcPr>
            <w:tcW w:w="1503" w:type="dxa"/>
            <w:tcBorders>
              <w:top w:val="nil"/>
              <w:left w:val="nil"/>
              <w:bottom w:val="nil"/>
              <w:right w:val="nil"/>
            </w:tcBorders>
            <w:shd w:val="clear" w:color="auto" w:fill="auto"/>
            <w:noWrap/>
            <w:vAlign w:val="bottom"/>
            <w:hideMark/>
          </w:tcPr>
          <w:p w14:paraId="4C27173F"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12B3A488" w14:textId="77777777" w:rsidR="003B2C9F" w:rsidRPr="003B2C9F" w:rsidRDefault="003B2C9F" w:rsidP="003B2C9F">
            <w:pPr>
              <w:jc w:val="right"/>
              <w:rPr>
                <w:sz w:val="20"/>
                <w:szCs w:val="20"/>
              </w:rPr>
            </w:pPr>
            <w:r w:rsidRPr="003B2C9F">
              <w:rPr>
                <w:sz w:val="20"/>
                <w:szCs w:val="20"/>
              </w:rPr>
              <w:t>0,00</w:t>
            </w:r>
          </w:p>
        </w:tc>
        <w:tc>
          <w:tcPr>
            <w:tcW w:w="1525" w:type="dxa"/>
            <w:tcBorders>
              <w:top w:val="nil"/>
              <w:left w:val="nil"/>
              <w:bottom w:val="nil"/>
              <w:right w:val="nil"/>
            </w:tcBorders>
            <w:shd w:val="clear" w:color="auto" w:fill="auto"/>
            <w:noWrap/>
            <w:vAlign w:val="bottom"/>
            <w:hideMark/>
          </w:tcPr>
          <w:p w14:paraId="10BBA451" w14:textId="77777777" w:rsidR="003B2C9F" w:rsidRPr="003B2C9F" w:rsidRDefault="003B2C9F" w:rsidP="003B2C9F">
            <w:pPr>
              <w:jc w:val="right"/>
              <w:rPr>
                <w:sz w:val="20"/>
                <w:szCs w:val="20"/>
              </w:rPr>
            </w:pPr>
            <w:r w:rsidRPr="003B2C9F">
              <w:rPr>
                <w:sz w:val="20"/>
                <w:szCs w:val="20"/>
              </w:rPr>
              <w:t>0,00</w:t>
            </w:r>
          </w:p>
        </w:tc>
        <w:tc>
          <w:tcPr>
            <w:tcW w:w="1000" w:type="dxa"/>
            <w:tcBorders>
              <w:top w:val="nil"/>
              <w:left w:val="nil"/>
              <w:bottom w:val="nil"/>
              <w:right w:val="nil"/>
            </w:tcBorders>
            <w:shd w:val="clear" w:color="auto" w:fill="auto"/>
            <w:noWrap/>
            <w:vAlign w:val="bottom"/>
            <w:hideMark/>
          </w:tcPr>
          <w:p w14:paraId="099B5FAA" w14:textId="77777777" w:rsidR="003B2C9F" w:rsidRPr="003B2C9F" w:rsidRDefault="003B2C9F" w:rsidP="003B2C9F">
            <w:pPr>
              <w:jc w:val="right"/>
              <w:rPr>
                <w:sz w:val="20"/>
                <w:szCs w:val="20"/>
              </w:rPr>
            </w:pPr>
          </w:p>
        </w:tc>
      </w:tr>
      <w:tr w:rsidR="003B2C9F" w:rsidRPr="003B2C9F" w14:paraId="5E7EB7AD" w14:textId="77777777" w:rsidTr="003B2C9F">
        <w:trPr>
          <w:trHeight w:val="300"/>
        </w:trPr>
        <w:tc>
          <w:tcPr>
            <w:tcW w:w="616" w:type="dxa"/>
            <w:tcBorders>
              <w:top w:val="nil"/>
              <w:left w:val="nil"/>
              <w:bottom w:val="nil"/>
              <w:right w:val="nil"/>
            </w:tcBorders>
            <w:shd w:val="clear" w:color="auto" w:fill="auto"/>
            <w:noWrap/>
            <w:vAlign w:val="bottom"/>
            <w:hideMark/>
          </w:tcPr>
          <w:p w14:paraId="46DEFBA5" w14:textId="77777777" w:rsidR="003B2C9F" w:rsidRPr="003B2C9F" w:rsidRDefault="003B2C9F" w:rsidP="003B2C9F">
            <w:pPr>
              <w:rPr>
                <w:b/>
                <w:bCs/>
                <w:sz w:val="20"/>
                <w:szCs w:val="20"/>
              </w:rPr>
            </w:pPr>
            <w:r w:rsidRPr="003B2C9F">
              <w:rPr>
                <w:b/>
                <w:bCs/>
                <w:sz w:val="20"/>
                <w:szCs w:val="20"/>
              </w:rPr>
              <w:t>37</w:t>
            </w:r>
          </w:p>
        </w:tc>
        <w:tc>
          <w:tcPr>
            <w:tcW w:w="6472" w:type="dxa"/>
            <w:tcBorders>
              <w:top w:val="nil"/>
              <w:left w:val="nil"/>
              <w:bottom w:val="nil"/>
              <w:right w:val="nil"/>
            </w:tcBorders>
            <w:shd w:val="clear" w:color="auto" w:fill="auto"/>
            <w:noWrap/>
            <w:vAlign w:val="bottom"/>
            <w:hideMark/>
          </w:tcPr>
          <w:p w14:paraId="7368CBB2" w14:textId="77777777" w:rsidR="003B2C9F" w:rsidRPr="003B2C9F" w:rsidRDefault="003B2C9F" w:rsidP="003B2C9F">
            <w:pPr>
              <w:rPr>
                <w:b/>
                <w:bCs/>
                <w:sz w:val="20"/>
                <w:szCs w:val="20"/>
              </w:rPr>
            </w:pPr>
            <w:r w:rsidRPr="003B2C9F">
              <w:rPr>
                <w:b/>
                <w:bCs/>
                <w:sz w:val="20"/>
                <w:szCs w:val="20"/>
              </w:rPr>
              <w:t xml:space="preserve">Naknade građanima i kućanstvima na temelju osiguranja i druge naknade                               </w:t>
            </w:r>
          </w:p>
        </w:tc>
        <w:tc>
          <w:tcPr>
            <w:tcW w:w="1559" w:type="dxa"/>
            <w:tcBorders>
              <w:top w:val="nil"/>
              <w:left w:val="nil"/>
              <w:bottom w:val="nil"/>
              <w:right w:val="nil"/>
            </w:tcBorders>
            <w:shd w:val="clear" w:color="auto" w:fill="auto"/>
            <w:noWrap/>
            <w:vAlign w:val="bottom"/>
            <w:hideMark/>
          </w:tcPr>
          <w:p w14:paraId="165B54F1" w14:textId="77777777" w:rsidR="003B2C9F" w:rsidRPr="003B2C9F" w:rsidRDefault="003B2C9F" w:rsidP="003B2C9F">
            <w:pPr>
              <w:jc w:val="right"/>
              <w:rPr>
                <w:b/>
                <w:bCs/>
                <w:sz w:val="20"/>
                <w:szCs w:val="20"/>
              </w:rPr>
            </w:pPr>
            <w:r w:rsidRPr="003B2C9F">
              <w:rPr>
                <w:b/>
                <w:bCs/>
                <w:sz w:val="20"/>
                <w:szCs w:val="20"/>
              </w:rPr>
              <w:t>567.416,98</w:t>
            </w:r>
          </w:p>
        </w:tc>
        <w:tc>
          <w:tcPr>
            <w:tcW w:w="1503" w:type="dxa"/>
            <w:tcBorders>
              <w:top w:val="nil"/>
              <w:left w:val="nil"/>
              <w:bottom w:val="nil"/>
              <w:right w:val="nil"/>
            </w:tcBorders>
            <w:shd w:val="clear" w:color="auto" w:fill="auto"/>
            <w:noWrap/>
            <w:vAlign w:val="bottom"/>
            <w:hideMark/>
          </w:tcPr>
          <w:p w14:paraId="48D65CF8" w14:textId="77777777" w:rsidR="003B2C9F" w:rsidRPr="003B2C9F" w:rsidRDefault="003B2C9F" w:rsidP="003B2C9F">
            <w:pPr>
              <w:jc w:val="right"/>
              <w:rPr>
                <w:b/>
                <w:bCs/>
                <w:sz w:val="20"/>
                <w:szCs w:val="20"/>
              </w:rPr>
            </w:pPr>
            <w:r w:rsidRPr="003B2C9F">
              <w:rPr>
                <w:b/>
                <w:bCs/>
                <w:sz w:val="20"/>
                <w:szCs w:val="20"/>
              </w:rPr>
              <w:t>781.000,00</w:t>
            </w:r>
          </w:p>
        </w:tc>
        <w:tc>
          <w:tcPr>
            <w:tcW w:w="1366" w:type="dxa"/>
            <w:tcBorders>
              <w:top w:val="nil"/>
              <w:left w:val="nil"/>
              <w:bottom w:val="nil"/>
              <w:right w:val="nil"/>
            </w:tcBorders>
            <w:shd w:val="clear" w:color="auto" w:fill="auto"/>
            <w:noWrap/>
            <w:vAlign w:val="bottom"/>
            <w:hideMark/>
          </w:tcPr>
          <w:p w14:paraId="62B97181" w14:textId="77777777" w:rsidR="003B2C9F" w:rsidRPr="003B2C9F" w:rsidRDefault="003B2C9F" w:rsidP="003B2C9F">
            <w:pPr>
              <w:jc w:val="right"/>
              <w:rPr>
                <w:b/>
                <w:bCs/>
                <w:sz w:val="20"/>
                <w:szCs w:val="20"/>
              </w:rPr>
            </w:pPr>
            <w:r w:rsidRPr="003B2C9F">
              <w:rPr>
                <w:b/>
                <w:bCs/>
                <w:sz w:val="20"/>
                <w:szCs w:val="20"/>
              </w:rPr>
              <w:t>604.251,07</w:t>
            </w:r>
          </w:p>
        </w:tc>
        <w:tc>
          <w:tcPr>
            <w:tcW w:w="1525" w:type="dxa"/>
            <w:tcBorders>
              <w:top w:val="nil"/>
              <w:left w:val="nil"/>
              <w:bottom w:val="nil"/>
              <w:right w:val="nil"/>
            </w:tcBorders>
            <w:shd w:val="clear" w:color="auto" w:fill="auto"/>
            <w:noWrap/>
            <w:vAlign w:val="bottom"/>
            <w:hideMark/>
          </w:tcPr>
          <w:p w14:paraId="7F4452C7" w14:textId="77777777" w:rsidR="003B2C9F" w:rsidRPr="003B2C9F" w:rsidRDefault="003B2C9F" w:rsidP="003B2C9F">
            <w:pPr>
              <w:jc w:val="right"/>
              <w:rPr>
                <w:b/>
                <w:bCs/>
                <w:sz w:val="20"/>
                <w:szCs w:val="20"/>
              </w:rPr>
            </w:pPr>
            <w:r w:rsidRPr="003B2C9F">
              <w:rPr>
                <w:b/>
                <w:bCs/>
                <w:sz w:val="20"/>
                <w:szCs w:val="20"/>
              </w:rPr>
              <w:t>106,49</w:t>
            </w:r>
          </w:p>
        </w:tc>
        <w:tc>
          <w:tcPr>
            <w:tcW w:w="1000" w:type="dxa"/>
            <w:tcBorders>
              <w:top w:val="nil"/>
              <w:left w:val="nil"/>
              <w:bottom w:val="nil"/>
              <w:right w:val="nil"/>
            </w:tcBorders>
            <w:shd w:val="clear" w:color="auto" w:fill="auto"/>
            <w:noWrap/>
            <w:vAlign w:val="bottom"/>
            <w:hideMark/>
          </w:tcPr>
          <w:p w14:paraId="7B28923A" w14:textId="77777777" w:rsidR="003B2C9F" w:rsidRPr="003B2C9F" w:rsidRDefault="003B2C9F" w:rsidP="003B2C9F">
            <w:pPr>
              <w:jc w:val="right"/>
              <w:rPr>
                <w:b/>
                <w:bCs/>
                <w:sz w:val="20"/>
                <w:szCs w:val="20"/>
              </w:rPr>
            </w:pPr>
            <w:r w:rsidRPr="003B2C9F">
              <w:rPr>
                <w:b/>
                <w:bCs/>
                <w:sz w:val="20"/>
                <w:szCs w:val="20"/>
              </w:rPr>
              <w:t>77,37</w:t>
            </w:r>
          </w:p>
        </w:tc>
      </w:tr>
      <w:tr w:rsidR="003B2C9F" w:rsidRPr="003B2C9F" w14:paraId="52FFB922" w14:textId="77777777" w:rsidTr="003B2C9F">
        <w:trPr>
          <w:trHeight w:val="300"/>
        </w:trPr>
        <w:tc>
          <w:tcPr>
            <w:tcW w:w="616" w:type="dxa"/>
            <w:tcBorders>
              <w:top w:val="nil"/>
              <w:left w:val="nil"/>
              <w:bottom w:val="nil"/>
              <w:right w:val="nil"/>
            </w:tcBorders>
            <w:shd w:val="clear" w:color="auto" w:fill="auto"/>
            <w:noWrap/>
            <w:vAlign w:val="bottom"/>
            <w:hideMark/>
          </w:tcPr>
          <w:p w14:paraId="3E594462" w14:textId="77777777" w:rsidR="003B2C9F" w:rsidRPr="003B2C9F" w:rsidRDefault="003B2C9F" w:rsidP="003B2C9F">
            <w:pPr>
              <w:rPr>
                <w:b/>
                <w:bCs/>
                <w:sz w:val="20"/>
                <w:szCs w:val="20"/>
              </w:rPr>
            </w:pPr>
            <w:r w:rsidRPr="003B2C9F">
              <w:rPr>
                <w:b/>
                <w:bCs/>
                <w:sz w:val="20"/>
                <w:szCs w:val="20"/>
              </w:rPr>
              <w:t>372</w:t>
            </w:r>
          </w:p>
        </w:tc>
        <w:tc>
          <w:tcPr>
            <w:tcW w:w="6472" w:type="dxa"/>
            <w:tcBorders>
              <w:top w:val="nil"/>
              <w:left w:val="nil"/>
              <w:bottom w:val="nil"/>
              <w:right w:val="nil"/>
            </w:tcBorders>
            <w:shd w:val="clear" w:color="auto" w:fill="auto"/>
            <w:noWrap/>
            <w:vAlign w:val="bottom"/>
            <w:hideMark/>
          </w:tcPr>
          <w:p w14:paraId="01A149F5" w14:textId="77777777" w:rsidR="003B2C9F" w:rsidRPr="003B2C9F" w:rsidRDefault="003B2C9F" w:rsidP="003B2C9F">
            <w:pPr>
              <w:rPr>
                <w:b/>
                <w:bCs/>
                <w:sz w:val="20"/>
                <w:szCs w:val="20"/>
              </w:rPr>
            </w:pPr>
            <w:r w:rsidRPr="003B2C9F">
              <w:rPr>
                <w:b/>
                <w:bCs/>
                <w:sz w:val="20"/>
                <w:szCs w:val="20"/>
              </w:rPr>
              <w:t xml:space="preserve">Ostale naknade građanima i kućanstvima iz proračuna                                                 </w:t>
            </w:r>
          </w:p>
        </w:tc>
        <w:tc>
          <w:tcPr>
            <w:tcW w:w="1559" w:type="dxa"/>
            <w:tcBorders>
              <w:top w:val="nil"/>
              <w:left w:val="nil"/>
              <w:bottom w:val="nil"/>
              <w:right w:val="nil"/>
            </w:tcBorders>
            <w:shd w:val="clear" w:color="auto" w:fill="auto"/>
            <w:noWrap/>
            <w:vAlign w:val="bottom"/>
            <w:hideMark/>
          </w:tcPr>
          <w:p w14:paraId="239EF421" w14:textId="77777777" w:rsidR="003B2C9F" w:rsidRPr="003B2C9F" w:rsidRDefault="003B2C9F" w:rsidP="003B2C9F">
            <w:pPr>
              <w:jc w:val="right"/>
              <w:rPr>
                <w:b/>
                <w:bCs/>
                <w:sz w:val="20"/>
                <w:szCs w:val="20"/>
              </w:rPr>
            </w:pPr>
            <w:r w:rsidRPr="003B2C9F">
              <w:rPr>
                <w:b/>
                <w:bCs/>
                <w:sz w:val="20"/>
                <w:szCs w:val="20"/>
              </w:rPr>
              <w:t>567.416,98</w:t>
            </w:r>
          </w:p>
        </w:tc>
        <w:tc>
          <w:tcPr>
            <w:tcW w:w="1503" w:type="dxa"/>
            <w:tcBorders>
              <w:top w:val="nil"/>
              <w:left w:val="nil"/>
              <w:bottom w:val="nil"/>
              <w:right w:val="nil"/>
            </w:tcBorders>
            <w:shd w:val="clear" w:color="auto" w:fill="auto"/>
            <w:noWrap/>
            <w:vAlign w:val="bottom"/>
            <w:hideMark/>
          </w:tcPr>
          <w:p w14:paraId="24084B57" w14:textId="77777777" w:rsidR="003B2C9F" w:rsidRPr="003B2C9F" w:rsidRDefault="003B2C9F" w:rsidP="003B2C9F">
            <w:pPr>
              <w:jc w:val="right"/>
              <w:rPr>
                <w:b/>
                <w:bCs/>
                <w:sz w:val="20"/>
                <w:szCs w:val="20"/>
              </w:rPr>
            </w:pPr>
            <w:r w:rsidRPr="003B2C9F">
              <w:rPr>
                <w:b/>
                <w:bCs/>
                <w:sz w:val="20"/>
                <w:szCs w:val="20"/>
              </w:rPr>
              <w:t>781.000,00</w:t>
            </w:r>
          </w:p>
        </w:tc>
        <w:tc>
          <w:tcPr>
            <w:tcW w:w="1366" w:type="dxa"/>
            <w:tcBorders>
              <w:top w:val="nil"/>
              <w:left w:val="nil"/>
              <w:bottom w:val="nil"/>
              <w:right w:val="nil"/>
            </w:tcBorders>
            <w:shd w:val="clear" w:color="auto" w:fill="auto"/>
            <w:noWrap/>
            <w:vAlign w:val="bottom"/>
            <w:hideMark/>
          </w:tcPr>
          <w:p w14:paraId="6D3F142B" w14:textId="77777777" w:rsidR="003B2C9F" w:rsidRPr="003B2C9F" w:rsidRDefault="003B2C9F" w:rsidP="003B2C9F">
            <w:pPr>
              <w:jc w:val="right"/>
              <w:rPr>
                <w:b/>
                <w:bCs/>
                <w:sz w:val="20"/>
                <w:szCs w:val="20"/>
              </w:rPr>
            </w:pPr>
            <w:r w:rsidRPr="003B2C9F">
              <w:rPr>
                <w:b/>
                <w:bCs/>
                <w:sz w:val="20"/>
                <w:szCs w:val="20"/>
              </w:rPr>
              <w:t>604.251,07</w:t>
            </w:r>
          </w:p>
        </w:tc>
        <w:tc>
          <w:tcPr>
            <w:tcW w:w="1525" w:type="dxa"/>
            <w:tcBorders>
              <w:top w:val="nil"/>
              <w:left w:val="nil"/>
              <w:bottom w:val="nil"/>
              <w:right w:val="nil"/>
            </w:tcBorders>
            <w:shd w:val="clear" w:color="auto" w:fill="auto"/>
            <w:noWrap/>
            <w:vAlign w:val="bottom"/>
            <w:hideMark/>
          </w:tcPr>
          <w:p w14:paraId="27F5A9B9" w14:textId="77777777" w:rsidR="003B2C9F" w:rsidRPr="003B2C9F" w:rsidRDefault="003B2C9F" w:rsidP="003B2C9F">
            <w:pPr>
              <w:jc w:val="right"/>
              <w:rPr>
                <w:b/>
                <w:bCs/>
                <w:sz w:val="20"/>
                <w:szCs w:val="20"/>
              </w:rPr>
            </w:pPr>
            <w:r w:rsidRPr="003B2C9F">
              <w:rPr>
                <w:b/>
                <w:bCs/>
                <w:sz w:val="20"/>
                <w:szCs w:val="20"/>
              </w:rPr>
              <w:t>106,49</w:t>
            </w:r>
          </w:p>
        </w:tc>
        <w:tc>
          <w:tcPr>
            <w:tcW w:w="1000" w:type="dxa"/>
            <w:tcBorders>
              <w:top w:val="nil"/>
              <w:left w:val="nil"/>
              <w:bottom w:val="nil"/>
              <w:right w:val="nil"/>
            </w:tcBorders>
            <w:shd w:val="clear" w:color="auto" w:fill="auto"/>
            <w:noWrap/>
            <w:vAlign w:val="bottom"/>
            <w:hideMark/>
          </w:tcPr>
          <w:p w14:paraId="167CF640" w14:textId="77777777" w:rsidR="003B2C9F" w:rsidRPr="003B2C9F" w:rsidRDefault="003B2C9F" w:rsidP="003B2C9F">
            <w:pPr>
              <w:jc w:val="right"/>
              <w:rPr>
                <w:b/>
                <w:bCs/>
                <w:sz w:val="20"/>
                <w:szCs w:val="20"/>
              </w:rPr>
            </w:pPr>
            <w:r w:rsidRPr="003B2C9F">
              <w:rPr>
                <w:b/>
                <w:bCs/>
                <w:sz w:val="20"/>
                <w:szCs w:val="20"/>
              </w:rPr>
              <w:t>77,37</w:t>
            </w:r>
          </w:p>
        </w:tc>
      </w:tr>
      <w:tr w:rsidR="003B2C9F" w:rsidRPr="003B2C9F" w14:paraId="5D536720" w14:textId="77777777" w:rsidTr="003B2C9F">
        <w:trPr>
          <w:trHeight w:val="300"/>
        </w:trPr>
        <w:tc>
          <w:tcPr>
            <w:tcW w:w="616" w:type="dxa"/>
            <w:tcBorders>
              <w:top w:val="nil"/>
              <w:left w:val="nil"/>
              <w:bottom w:val="nil"/>
              <w:right w:val="nil"/>
            </w:tcBorders>
            <w:shd w:val="clear" w:color="auto" w:fill="auto"/>
            <w:noWrap/>
            <w:vAlign w:val="bottom"/>
            <w:hideMark/>
          </w:tcPr>
          <w:p w14:paraId="376E3CEC" w14:textId="77777777" w:rsidR="003B2C9F" w:rsidRPr="003B2C9F" w:rsidRDefault="003B2C9F" w:rsidP="003B2C9F">
            <w:pPr>
              <w:rPr>
                <w:sz w:val="20"/>
                <w:szCs w:val="20"/>
              </w:rPr>
            </w:pPr>
            <w:r w:rsidRPr="003B2C9F">
              <w:rPr>
                <w:sz w:val="20"/>
                <w:szCs w:val="20"/>
              </w:rPr>
              <w:t>3721</w:t>
            </w:r>
          </w:p>
        </w:tc>
        <w:tc>
          <w:tcPr>
            <w:tcW w:w="6472" w:type="dxa"/>
            <w:tcBorders>
              <w:top w:val="nil"/>
              <w:left w:val="nil"/>
              <w:bottom w:val="nil"/>
              <w:right w:val="nil"/>
            </w:tcBorders>
            <w:shd w:val="clear" w:color="auto" w:fill="auto"/>
            <w:vAlign w:val="bottom"/>
            <w:hideMark/>
          </w:tcPr>
          <w:p w14:paraId="1B23EEF8" w14:textId="77777777" w:rsidR="003B2C9F" w:rsidRPr="003B2C9F" w:rsidRDefault="003B2C9F" w:rsidP="003B2C9F">
            <w:pPr>
              <w:rPr>
                <w:sz w:val="20"/>
                <w:szCs w:val="20"/>
              </w:rPr>
            </w:pPr>
            <w:r w:rsidRPr="003B2C9F">
              <w:rPr>
                <w:sz w:val="20"/>
                <w:szCs w:val="20"/>
              </w:rPr>
              <w:t xml:space="preserve">Naknade građanima i kućanstvima u novcu                                                             </w:t>
            </w:r>
          </w:p>
        </w:tc>
        <w:tc>
          <w:tcPr>
            <w:tcW w:w="1559" w:type="dxa"/>
            <w:tcBorders>
              <w:top w:val="nil"/>
              <w:left w:val="nil"/>
              <w:bottom w:val="nil"/>
              <w:right w:val="nil"/>
            </w:tcBorders>
            <w:shd w:val="clear" w:color="auto" w:fill="auto"/>
            <w:noWrap/>
            <w:vAlign w:val="bottom"/>
            <w:hideMark/>
          </w:tcPr>
          <w:p w14:paraId="4C9373A3" w14:textId="77777777" w:rsidR="003B2C9F" w:rsidRPr="003B2C9F" w:rsidRDefault="003B2C9F" w:rsidP="003B2C9F">
            <w:pPr>
              <w:jc w:val="right"/>
              <w:rPr>
                <w:sz w:val="20"/>
                <w:szCs w:val="20"/>
              </w:rPr>
            </w:pPr>
            <w:r w:rsidRPr="003B2C9F">
              <w:rPr>
                <w:sz w:val="20"/>
                <w:szCs w:val="20"/>
              </w:rPr>
              <w:t>360.204,96</w:t>
            </w:r>
          </w:p>
        </w:tc>
        <w:tc>
          <w:tcPr>
            <w:tcW w:w="1503" w:type="dxa"/>
            <w:tcBorders>
              <w:top w:val="nil"/>
              <w:left w:val="nil"/>
              <w:bottom w:val="nil"/>
              <w:right w:val="nil"/>
            </w:tcBorders>
            <w:shd w:val="clear" w:color="auto" w:fill="auto"/>
            <w:noWrap/>
            <w:vAlign w:val="bottom"/>
            <w:hideMark/>
          </w:tcPr>
          <w:p w14:paraId="4FC8225C"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BDAFDB6" w14:textId="77777777" w:rsidR="003B2C9F" w:rsidRPr="003B2C9F" w:rsidRDefault="003B2C9F" w:rsidP="003B2C9F">
            <w:pPr>
              <w:jc w:val="right"/>
              <w:rPr>
                <w:sz w:val="20"/>
                <w:szCs w:val="20"/>
              </w:rPr>
            </w:pPr>
            <w:r w:rsidRPr="003B2C9F">
              <w:rPr>
                <w:sz w:val="20"/>
                <w:szCs w:val="20"/>
              </w:rPr>
              <w:t>408.559,50</w:t>
            </w:r>
          </w:p>
        </w:tc>
        <w:tc>
          <w:tcPr>
            <w:tcW w:w="1525" w:type="dxa"/>
            <w:tcBorders>
              <w:top w:val="nil"/>
              <w:left w:val="nil"/>
              <w:bottom w:val="nil"/>
              <w:right w:val="nil"/>
            </w:tcBorders>
            <w:shd w:val="clear" w:color="auto" w:fill="auto"/>
            <w:noWrap/>
            <w:vAlign w:val="bottom"/>
            <w:hideMark/>
          </w:tcPr>
          <w:p w14:paraId="2B44043D" w14:textId="77777777" w:rsidR="003B2C9F" w:rsidRPr="003B2C9F" w:rsidRDefault="003B2C9F" w:rsidP="003B2C9F">
            <w:pPr>
              <w:jc w:val="right"/>
              <w:rPr>
                <w:sz w:val="20"/>
                <w:szCs w:val="20"/>
              </w:rPr>
            </w:pPr>
            <w:r w:rsidRPr="003B2C9F">
              <w:rPr>
                <w:sz w:val="20"/>
                <w:szCs w:val="20"/>
              </w:rPr>
              <w:t>113,42</w:t>
            </w:r>
          </w:p>
        </w:tc>
        <w:tc>
          <w:tcPr>
            <w:tcW w:w="1000" w:type="dxa"/>
            <w:tcBorders>
              <w:top w:val="nil"/>
              <w:left w:val="nil"/>
              <w:bottom w:val="nil"/>
              <w:right w:val="nil"/>
            </w:tcBorders>
            <w:shd w:val="clear" w:color="auto" w:fill="auto"/>
            <w:noWrap/>
            <w:vAlign w:val="bottom"/>
            <w:hideMark/>
          </w:tcPr>
          <w:p w14:paraId="6B6358D2" w14:textId="77777777" w:rsidR="003B2C9F" w:rsidRPr="003B2C9F" w:rsidRDefault="003B2C9F" w:rsidP="003B2C9F">
            <w:pPr>
              <w:jc w:val="right"/>
              <w:rPr>
                <w:sz w:val="20"/>
                <w:szCs w:val="20"/>
              </w:rPr>
            </w:pPr>
          </w:p>
        </w:tc>
      </w:tr>
      <w:tr w:rsidR="003B2C9F" w:rsidRPr="003B2C9F" w14:paraId="14FFF8C9" w14:textId="77777777" w:rsidTr="003B2C9F">
        <w:trPr>
          <w:trHeight w:val="300"/>
        </w:trPr>
        <w:tc>
          <w:tcPr>
            <w:tcW w:w="616" w:type="dxa"/>
            <w:tcBorders>
              <w:top w:val="nil"/>
              <w:left w:val="nil"/>
              <w:bottom w:val="nil"/>
              <w:right w:val="nil"/>
            </w:tcBorders>
            <w:shd w:val="clear" w:color="auto" w:fill="auto"/>
            <w:noWrap/>
            <w:vAlign w:val="bottom"/>
            <w:hideMark/>
          </w:tcPr>
          <w:p w14:paraId="63A813C2" w14:textId="77777777" w:rsidR="003B2C9F" w:rsidRPr="003B2C9F" w:rsidRDefault="003B2C9F" w:rsidP="003B2C9F">
            <w:pPr>
              <w:rPr>
                <w:sz w:val="20"/>
                <w:szCs w:val="20"/>
              </w:rPr>
            </w:pPr>
            <w:r w:rsidRPr="003B2C9F">
              <w:rPr>
                <w:sz w:val="20"/>
                <w:szCs w:val="20"/>
              </w:rPr>
              <w:t>3722</w:t>
            </w:r>
          </w:p>
        </w:tc>
        <w:tc>
          <w:tcPr>
            <w:tcW w:w="6472" w:type="dxa"/>
            <w:tcBorders>
              <w:top w:val="nil"/>
              <w:left w:val="nil"/>
              <w:bottom w:val="nil"/>
              <w:right w:val="nil"/>
            </w:tcBorders>
            <w:shd w:val="clear" w:color="auto" w:fill="auto"/>
            <w:vAlign w:val="bottom"/>
            <w:hideMark/>
          </w:tcPr>
          <w:p w14:paraId="420AF136" w14:textId="77777777" w:rsidR="003B2C9F" w:rsidRPr="003B2C9F" w:rsidRDefault="003B2C9F" w:rsidP="003B2C9F">
            <w:pPr>
              <w:rPr>
                <w:sz w:val="20"/>
                <w:szCs w:val="20"/>
              </w:rPr>
            </w:pPr>
            <w:r w:rsidRPr="003B2C9F">
              <w:rPr>
                <w:sz w:val="20"/>
                <w:szCs w:val="20"/>
              </w:rPr>
              <w:t xml:space="preserve">Naknade građanima i kućanstvima u naravi                                                            </w:t>
            </w:r>
          </w:p>
        </w:tc>
        <w:tc>
          <w:tcPr>
            <w:tcW w:w="1559" w:type="dxa"/>
            <w:tcBorders>
              <w:top w:val="nil"/>
              <w:left w:val="nil"/>
              <w:bottom w:val="nil"/>
              <w:right w:val="nil"/>
            </w:tcBorders>
            <w:shd w:val="clear" w:color="auto" w:fill="auto"/>
            <w:noWrap/>
            <w:vAlign w:val="bottom"/>
            <w:hideMark/>
          </w:tcPr>
          <w:p w14:paraId="38D4887F" w14:textId="77777777" w:rsidR="003B2C9F" w:rsidRPr="003B2C9F" w:rsidRDefault="003B2C9F" w:rsidP="003B2C9F">
            <w:pPr>
              <w:jc w:val="right"/>
              <w:rPr>
                <w:sz w:val="20"/>
                <w:szCs w:val="20"/>
              </w:rPr>
            </w:pPr>
            <w:r w:rsidRPr="003B2C9F">
              <w:rPr>
                <w:sz w:val="20"/>
                <w:szCs w:val="20"/>
              </w:rPr>
              <w:t>207.212,02</w:t>
            </w:r>
          </w:p>
        </w:tc>
        <w:tc>
          <w:tcPr>
            <w:tcW w:w="1503" w:type="dxa"/>
            <w:tcBorders>
              <w:top w:val="nil"/>
              <w:left w:val="nil"/>
              <w:bottom w:val="nil"/>
              <w:right w:val="nil"/>
            </w:tcBorders>
            <w:shd w:val="clear" w:color="auto" w:fill="auto"/>
            <w:noWrap/>
            <w:vAlign w:val="bottom"/>
            <w:hideMark/>
          </w:tcPr>
          <w:p w14:paraId="4C854ED8"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312EA516" w14:textId="77777777" w:rsidR="003B2C9F" w:rsidRPr="003B2C9F" w:rsidRDefault="003B2C9F" w:rsidP="003B2C9F">
            <w:pPr>
              <w:jc w:val="right"/>
              <w:rPr>
                <w:sz w:val="20"/>
                <w:szCs w:val="20"/>
              </w:rPr>
            </w:pPr>
            <w:r w:rsidRPr="003B2C9F">
              <w:rPr>
                <w:sz w:val="20"/>
                <w:szCs w:val="20"/>
              </w:rPr>
              <w:t>195.691,57</w:t>
            </w:r>
          </w:p>
        </w:tc>
        <w:tc>
          <w:tcPr>
            <w:tcW w:w="1525" w:type="dxa"/>
            <w:tcBorders>
              <w:top w:val="nil"/>
              <w:left w:val="nil"/>
              <w:bottom w:val="nil"/>
              <w:right w:val="nil"/>
            </w:tcBorders>
            <w:shd w:val="clear" w:color="auto" w:fill="auto"/>
            <w:noWrap/>
            <w:vAlign w:val="bottom"/>
            <w:hideMark/>
          </w:tcPr>
          <w:p w14:paraId="6580170E" w14:textId="77777777" w:rsidR="003B2C9F" w:rsidRPr="003B2C9F" w:rsidRDefault="003B2C9F" w:rsidP="003B2C9F">
            <w:pPr>
              <w:jc w:val="right"/>
              <w:rPr>
                <w:sz w:val="20"/>
                <w:szCs w:val="20"/>
              </w:rPr>
            </w:pPr>
            <w:r w:rsidRPr="003B2C9F">
              <w:rPr>
                <w:sz w:val="20"/>
                <w:szCs w:val="20"/>
              </w:rPr>
              <w:t>94,44</w:t>
            </w:r>
          </w:p>
        </w:tc>
        <w:tc>
          <w:tcPr>
            <w:tcW w:w="1000" w:type="dxa"/>
            <w:tcBorders>
              <w:top w:val="nil"/>
              <w:left w:val="nil"/>
              <w:bottom w:val="nil"/>
              <w:right w:val="nil"/>
            </w:tcBorders>
            <w:shd w:val="clear" w:color="auto" w:fill="auto"/>
            <w:noWrap/>
            <w:vAlign w:val="bottom"/>
            <w:hideMark/>
          </w:tcPr>
          <w:p w14:paraId="7E015AA9" w14:textId="77777777" w:rsidR="003B2C9F" w:rsidRPr="003B2C9F" w:rsidRDefault="003B2C9F" w:rsidP="003B2C9F">
            <w:pPr>
              <w:jc w:val="right"/>
              <w:rPr>
                <w:sz w:val="20"/>
                <w:szCs w:val="20"/>
              </w:rPr>
            </w:pPr>
          </w:p>
        </w:tc>
      </w:tr>
      <w:tr w:rsidR="003B2C9F" w:rsidRPr="003B2C9F" w14:paraId="5AEAE238" w14:textId="77777777" w:rsidTr="003B2C9F">
        <w:trPr>
          <w:trHeight w:val="300"/>
        </w:trPr>
        <w:tc>
          <w:tcPr>
            <w:tcW w:w="616" w:type="dxa"/>
            <w:tcBorders>
              <w:top w:val="nil"/>
              <w:left w:val="nil"/>
              <w:bottom w:val="nil"/>
              <w:right w:val="nil"/>
            </w:tcBorders>
            <w:shd w:val="clear" w:color="auto" w:fill="auto"/>
            <w:noWrap/>
            <w:vAlign w:val="bottom"/>
            <w:hideMark/>
          </w:tcPr>
          <w:p w14:paraId="3AF8065F" w14:textId="77777777" w:rsidR="003B2C9F" w:rsidRPr="003B2C9F" w:rsidRDefault="003B2C9F" w:rsidP="003B2C9F">
            <w:pPr>
              <w:rPr>
                <w:b/>
                <w:bCs/>
                <w:sz w:val="20"/>
                <w:szCs w:val="20"/>
              </w:rPr>
            </w:pPr>
            <w:r w:rsidRPr="003B2C9F">
              <w:rPr>
                <w:b/>
                <w:bCs/>
                <w:sz w:val="20"/>
                <w:szCs w:val="20"/>
              </w:rPr>
              <w:t>38</w:t>
            </w:r>
          </w:p>
        </w:tc>
        <w:tc>
          <w:tcPr>
            <w:tcW w:w="6472" w:type="dxa"/>
            <w:tcBorders>
              <w:top w:val="nil"/>
              <w:left w:val="nil"/>
              <w:bottom w:val="nil"/>
              <w:right w:val="nil"/>
            </w:tcBorders>
            <w:shd w:val="clear" w:color="auto" w:fill="auto"/>
            <w:noWrap/>
            <w:vAlign w:val="bottom"/>
            <w:hideMark/>
          </w:tcPr>
          <w:p w14:paraId="58192BB3" w14:textId="77777777" w:rsidR="003B2C9F" w:rsidRPr="003B2C9F" w:rsidRDefault="003B2C9F" w:rsidP="003B2C9F">
            <w:pPr>
              <w:rPr>
                <w:b/>
                <w:bCs/>
                <w:sz w:val="20"/>
                <w:szCs w:val="20"/>
              </w:rPr>
            </w:pPr>
            <w:r w:rsidRPr="003B2C9F">
              <w:rPr>
                <w:b/>
                <w:bCs/>
                <w:sz w:val="20"/>
                <w:szCs w:val="20"/>
              </w:rPr>
              <w:t xml:space="preserve">Ostali rashodi                                                                                      </w:t>
            </w:r>
          </w:p>
        </w:tc>
        <w:tc>
          <w:tcPr>
            <w:tcW w:w="1559" w:type="dxa"/>
            <w:tcBorders>
              <w:top w:val="nil"/>
              <w:left w:val="nil"/>
              <w:bottom w:val="nil"/>
              <w:right w:val="nil"/>
            </w:tcBorders>
            <w:shd w:val="clear" w:color="auto" w:fill="auto"/>
            <w:noWrap/>
            <w:vAlign w:val="bottom"/>
            <w:hideMark/>
          </w:tcPr>
          <w:p w14:paraId="58AE4CEA" w14:textId="77777777" w:rsidR="003B2C9F" w:rsidRPr="003B2C9F" w:rsidRDefault="003B2C9F" w:rsidP="003B2C9F">
            <w:pPr>
              <w:jc w:val="right"/>
              <w:rPr>
                <w:b/>
                <w:bCs/>
                <w:sz w:val="20"/>
                <w:szCs w:val="20"/>
              </w:rPr>
            </w:pPr>
            <w:r w:rsidRPr="003B2C9F">
              <w:rPr>
                <w:b/>
                <w:bCs/>
                <w:sz w:val="20"/>
                <w:szCs w:val="20"/>
              </w:rPr>
              <w:t>1.924.062,36</w:t>
            </w:r>
          </w:p>
        </w:tc>
        <w:tc>
          <w:tcPr>
            <w:tcW w:w="1503" w:type="dxa"/>
            <w:tcBorders>
              <w:top w:val="nil"/>
              <w:left w:val="nil"/>
              <w:bottom w:val="nil"/>
              <w:right w:val="nil"/>
            </w:tcBorders>
            <w:shd w:val="clear" w:color="auto" w:fill="auto"/>
            <w:noWrap/>
            <w:vAlign w:val="bottom"/>
            <w:hideMark/>
          </w:tcPr>
          <w:p w14:paraId="31C99383" w14:textId="77777777" w:rsidR="003B2C9F" w:rsidRPr="003B2C9F" w:rsidRDefault="003B2C9F" w:rsidP="003B2C9F">
            <w:pPr>
              <w:jc w:val="right"/>
              <w:rPr>
                <w:b/>
                <w:bCs/>
                <w:sz w:val="20"/>
                <w:szCs w:val="20"/>
              </w:rPr>
            </w:pPr>
            <w:r w:rsidRPr="003B2C9F">
              <w:rPr>
                <w:b/>
                <w:bCs/>
                <w:sz w:val="20"/>
                <w:szCs w:val="20"/>
              </w:rPr>
              <w:t>3.216.058,85</w:t>
            </w:r>
          </w:p>
        </w:tc>
        <w:tc>
          <w:tcPr>
            <w:tcW w:w="1366" w:type="dxa"/>
            <w:tcBorders>
              <w:top w:val="nil"/>
              <w:left w:val="nil"/>
              <w:bottom w:val="nil"/>
              <w:right w:val="nil"/>
            </w:tcBorders>
            <w:shd w:val="clear" w:color="auto" w:fill="auto"/>
            <w:noWrap/>
            <w:vAlign w:val="bottom"/>
            <w:hideMark/>
          </w:tcPr>
          <w:p w14:paraId="1D2CCEA6" w14:textId="77777777" w:rsidR="003B2C9F" w:rsidRPr="003B2C9F" w:rsidRDefault="003B2C9F" w:rsidP="003B2C9F">
            <w:pPr>
              <w:jc w:val="right"/>
              <w:rPr>
                <w:b/>
                <w:bCs/>
                <w:sz w:val="20"/>
                <w:szCs w:val="20"/>
              </w:rPr>
            </w:pPr>
            <w:r w:rsidRPr="003B2C9F">
              <w:rPr>
                <w:b/>
                <w:bCs/>
                <w:sz w:val="20"/>
                <w:szCs w:val="20"/>
              </w:rPr>
              <w:t>2.696.396,84</w:t>
            </w:r>
          </w:p>
        </w:tc>
        <w:tc>
          <w:tcPr>
            <w:tcW w:w="1525" w:type="dxa"/>
            <w:tcBorders>
              <w:top w:val="nil"/>
              <w:left w:val="nil"/>
              <w:bottom w:val="nil"/>
              <w:right w:val="nil"/>
            </w:tcBorders>
            <w:shd w:val="clear" w:color="auto" w:fill="auto"/>
            <w:noWrap/>
            <w:vAlign w:val="bottom"/>
            <w:hideMark/>
          </w:tcPr>
          <w:p w14:paraId="5B0089C6" w14:textId="77777777" w:rsidR="003B2C9F" w:rsidRPr="003B2C9F" w:rsidRDefault="003B2C9F" w:rsidP="003B2C9F">
            <w:pPr>
              <w:jc w:val="right"/>
              <w:rPr>
                <w:b/>
                <w:bCs/>
                <w:sz w:val="20"/>
                <w:szCs w:val="20"/>
              </w:rPr>
            </w:pPr>
            <w:r w:rsidRPr="003B2C9F">
              <w:rPr>
                <w:b/>
                <w:bCs/>
                <w:sz w:val="20"/>
                <w:szCs w:val="20"/>
              </w:rPr>
              <w:t>140,14</w:t>
            </w:r>
          </w:p>
        </w:tc>
        <w:tc>
          <w:tcPr>
            <w:tcW w:w="1000" w:type="dxa"/>
            <w:tcBorders>
              <w:top w:val="nil"/>
              <w:left w:val="nil"/>
              <w:bottom w:val="nil"/>
              <w:right w:val="nil"/>
            </w:tcBorders>
            <w:shd w:val="clear" w:color="auto" w:fill="auto"/>
            <w:noWrap/>
            <w:vAlign w:val="bottom"/>
            <w:hideMark/>
          </w:tcPr>
          <w:p w14:paraId="3EB2581B" w14:textId="77777777" w:rsidR="003B2C9F" w:rsidRPr="003B2C9F" w:rsidRDefault="003B2C9F" w:rsidP="003B2C9F">
            <w:pPr>
              <w:jc w:val="right"/>
              <w:rPr>
                <w:b/>
                <w:bCs/>
                <w:sz w:val="20"/>
                <w:szCs w:val="20"/>
              </w:rPr>
            </w:pPr>
            <w:r w:rsidRPr="003B2C9F">
              <w:rPr>
                <w:b/>
                <w:bCs/>
                <w:sz w:val="20"/>
                <w:szCs w:val="20"/>
              </w:rPr>
              <w:t>83,84</w:t>
            </w:r>
          </w:p>
        </w:tc>
      </w:tr>
      <w:tr w:rsidR="003B2C9F" w:rsidRPr="003B2C9F" w14:paraId="47085032" w14:textId="77777777" w:rsidTr="003B2C9F">
        <w:trPr>
          <w:trHeight w:val="300"/>
        </w:trPr>
        <w:tc>
          <w:tcPr>
            <w:tcW w:w="616" w:type="dxa"/>
            <w:tcBorders>
              <w:top w:val="nil"/>
              <w:left w:val="nil"/>
              <w:bottom w:val="nil"/>
              <w:right w:val="nil"/>
            </w:tcBorders>
            <w:shd w:val="clear" w:color="auto" w:fill="auto"/>
            <w:noWrap/>
            <w:vAlign w:val="bottom"/>
            <w:hideMark/>
          </w:tcPr>
          <w:p w14:paraId="7FF55316" w14:textId="77777777" w:rsidR="003B2C9F" w:rsidRPr="003B2C9F" w:rsidRDefault="003B2C9F" w:rsidP="003B2C9F">
            <w:pPr>
              <w:rPr>
                <w:b/>
                <w:bCs/>
                <w:sz w:val="20"/>
                <w:szCs w:val="20"/>
              </w:rPr>
            </w:pPr>
            <w:r w:rsidRPr="003B2C9F">
              <w:rPr>
                <w:b/>
                <w:bCs/>
                <w:sz w:val="20"/>
                <w:szCs w:val="20"/>
              </w:rPr>
              <w:t>381</w:t>
            </w:r>
          </w:p>
        </w:tc>
        <w:tc>
          <w:tcPr>
            <w:tcW w:w="6472" w:type="dxa"/>
            <w:tcBorders>
              <w:top w:val="nil"/>
              <w:left w:val="nil"/>
              <w:bottom w:val="nil"/>
              <w:right w:val="nil"/>
            </w:tcBorders>
            <w:shd w:val="clear" w:color="auto" w:fill="auto"/>
            <w:noWrap/>
            <w:vAlign w:val="bottom"/>
            <w:hideMark/>
          </w:tcPr>
          <w:p w14:paraId="01815D8B" w14:textId="77777777" w:rsidR="003B2C9F" w:rsidRPr="003B2C9F" w:rsidRDefault="003B2C9F" w:rsidP="003B2C9F">
            <w:pPr>
              <w:rPr>
                <w:b/>
                <w:bCs/>
                <w:sz w:val="20"/>
                <w:szCs w:val="20"/>
              </w:rPr>
            </w:pPr>
            <w:r w:rsidRPr="003B2C9F">
              <w:rPr>
                <w:b/>
                <w:bCs/>
                <w:sz w:val="20"/>
                <w:szCs w:val="20"/>
              </w:rPr>
              <w:t xml:space="preserve">Tekuće donacije                                                                                     </w:t>
            </w:r>
          </w:p>
        </w:tc>
        <w:tc>
          <w:tcPr>
            <w:tcW w:w="1559" w:type="dxa"/>
            <w:tcBorders>
              <w:top w:val="nil"/>
              <w:left w:val="nil"/>
              <w:bottom w:val="nil"/>
              <w:right w:val="nil"/>
            </w:tcBorders>
            <w:shd w:val="clear" w:color="auto" w:fill="auto"/>
            <w:noWrap/>
            <w:vAlign w:val="bottom"/>
            <w:hideMark/>
          </w:tcPr>
          <w:p w14:paraId="5AEE5C5C" w14:textId="77777777" w:rsidR="003B2C9F" w:rsidRPr="003B2C9F" w:rsidRDefault="003B2C9F" w:rsidP="003B2C9F">
            <w:pPr>
              <w:jc w:val="right"/>
              <w:rPr>
                <w:b/>
                <w:bCs/>
                <w:sz w:val="20"/>
                <w:szCs w:val="20"/>
              </w:rPr>
            </w:pPr>
            <w:r w:rsidRPr="003B2C9F">
              <w:rPr>
                <w:b/>
                <w:bCs/>
                <w:sz w:val="20"/>
                <w:szCs w:val="20"/>
              </w:rPr>
              <w:t>1.760.924,86</w:t>
            </w:r>
          </w:p>
        </w:tc>
        <w:tc>
          <w:tcPr>
            <w:tcW w:w="1503" w:type="dxa"/>
            <w:tcBorders>
              <w:top w:val="nil"/>
              <w:left w:val="nil"/>
              <w:bottom w:val="nil"/>
              <w:right w:val="nil"/>
            </w:tcBorders>
            <w:shd w:val="clear" w:color="auto" w:fill="auto"/>
            <w:noWrap/>
            <w:vAlign w:val="bottom"/>
            <w:hideMark/>
          </w:tcPr>
          <w:p w14:paraId="055A1E7A" w14:textId="77777777" w:rsidR="003B2C9F" w:rsidRPr="003B2C9F" w:rsidRDefault="003B2C9F" w:rsidP="003B2C9F">
            <w:pPr>
              <w:jc w:val="right"/>
              <w:rPr>
                <w:b/>
                <w:bCs/>
                <w:sz w:val="20"/>
                <w:szCs w:val="20"/>
              </w:rPr>
            </w:pPr>
            <w:r w:rsidRPr="003B2C9F">
              <w:rPr>
                <w:b/>
                <w:bCs/>
                <w:sz w:val="20"/>
                <w:szCs w:val="20"/>
              </w:rPr>
              <w:t>2.386.012,97</w:t>
            </w:r>
          </w:p>
        </w:tc>
        <w:tc>
          <w:tcPr>
            <w:tcW w:w="1366" w:type="dxa"/>
            <w:tcBorders>
              <w:top w:val="nil"/>
              <w:left w:val="nil"/>
              <w:bottom w:val="nil"/>
              <w:right w:val="nil"/>
            </w:tcBorders>
            <w:shd w:val="clear" w:color="auto" w:fill="auto"/>
            <w:noWrap/>
            <w:vAlign w:val="bottom"/>
            <w:hideMark/>
          </w:tcPr>
          <w:p w14:paraId="6D4FE038" w14:textId="77777777" w:rsidR="003B2C9F" w:rsidRPr="003B2C9F" w:rsidRDefault="003B2C9F" w:rsidP="003B2C9F">
            <w:pPr>
              <w:jc w:val="right"/>
              <w:rPr>
                <w:b/>
                <w:bCs/>
                <w:sz w:val="20"/>
                <w:szCs w:val="20"/>
              </w:rPr>
            </w:pPr>
            <w:r w:rsidRPr="003B2C9F">
              <w:rPr>
                <w:b/>
                <w:bCs/>
                <w:sz w:val="20"/>
                <w:szCs w:val="20"/>
              </w:rPr>
              <w:t>2.374.350,96</w:t>
            </w:r>
          </w:p>
        </w:tc>
        <w:tc>
          <w:tcPr>
            <w:tcW w:w="1525" w:type="dxa"/>
            <w:tcBorders>
              <w:top w:val="nil"/>
              <w:left w:val="nil"/>
              <w:bottom w:val="nil"/>
              <w:right w:val="nil"/>
            </w:tcBorders>
            <w:shd w:val="clear" w:color="auto" w:fill="auto"/>
            <w:noWrap/>
            <w:vAlign w:val="bottom"/>
            <w:hideMark/>
          </w:tcPr>
          <w:p w14:paraId="2C59C380" w14:textId="77777777" w:rsidR="003B2C9F" w:rsidRPr="003B2C9F" w:rsidRDefault="003B2C9F" w:rsidP="003B2C9F">
            <w:pPr>
              <w:jc w:val="right"/>
              <w:rPr>
                <w:b/>
                <w:bCs/>
                <w:sz w:val="20"/>
                <w:szCs w:val="20"/>
              </w:rPr>
            </w:pPr>
            <w:r w:rsidRPr="003B2C9F">
              <w:rPr>
                <w:b/>
                <w:bCs/>
                <w:sz w:val="20"/>
                <w:szCs w:val="20"/>
              </w:rPr>
              <w:t>134,84</w:t>
            </w:r>
          </w:p>
        </w:tc>
        <w:tc>
          <w:tcPr>
            <w:tcW w:w="1000" w:type="dxa"/>
            <w:tcBorders>
              <w:top w:val="nil"/>
              <w:left w:val="nil"/>
              <w:bottom w:val="nil"/>
              <w:right w:val="nil"/>
            </w:tcBorders>
            <w:shd w:val="clear" w:color="auto" w:fill="auto"/>
            <w:noWrap/>
            <w:vAlign w:val="bottom"/>
            <w:hideMark/>
          </w:tcPr>
          <w:p w14:paraId="0AADC26C" w14:textId="77777777" w:rsidR="003B2C9F" w:rsidRPr="003B2C9F" w:rsidRDefault="003B2C9F" w:rsidP="003B2C9F">
            <w:pPr>
              <w:jc w:val="right"/>
              <w:rPr>
                <w:b/>
                <w:bCs/>
                <w:sz w:val="20"/>
                <w:szCs w:val="20"/>
              </w:rPr>
            </w:pPr>
            <w:r w:rsidRPr="003B2C9F">
              <w:rPr>
                <w:b/>
                <w:bCs/>
                <w:sz w:val="20"/>
                <w:szCs w:val="20"/>
              </w:rPr>
              <w:t>99,51</w:t>
            </w:r>
          </w:p>
        </w:tc>
      </w:tr>
      <w:tr w:rsidR="003B2C9F" w:rsidRPr="003B2C9F" w14:paraId="0932BAA7" w14:textId="77777777" w:rsidTr="003B2C9F">
        <w:trPr>
          <w:trHeight w:val="300"/>
        </w:trPr>
        <w:tc>
          <w:tcPr>
            <w:tcW w:w="616" w:type="dxa"/>
            <w:tcBorders>
              <w:top w:val="nil"/>
              <w:left w:val="nil"/>
              <w:bottom w:val="nil"/>
              <w:right w:val="nil"/>
            </w:tcBorders>
            <w:shd w:val="clear" w:color="auto" w:fill="auto"/>
            <w:noWrap/>
            <w:vAlign w:val="bottom"/>
            <w:hideMark/>
          </w:tcPr>
          <w:p w14:paraId="24F97963" w14:textId="77777777" w:rsidR="003B2C9F" w:rsidRPr="003B2C9F" w:rsidRDefault="003B2C9F" w:rsidP="003B2C9F">
            <w:pPr>
              <w:rPr>
                <w:sz w:val="20"/>
                <w:szCs w:val="20"/>
              </w:rPr>
            </w:pPr>
            <w:r w:rsidRPr="003B2C9F">
              <w:rPr>
                <w:sz w:val="20"/>
                <w:szCs w:val="20"/>
              </w:rPr>
              <w:t>3811</w:t>
            </w:r>
          </w:p>
        </w:tc>
        <w:tc>
          <w:tcPr>
            <w:tcW w:w="6472" w:type="dxa"/>
            <w:tcBorders>
              <w:top w:val="nil"/>
              <w:left w:val="nil"/>
              <w:bottom w:val="nil"/>
              <w:right w:val="nil"/>
            </w:tcBorders>
            <w:shd w:val="clear" w:color="auto" w:fill="auto"/>
            <w:vAlign w:val="bottom"/>
            <w:hideMark/>
          </w:tcPr>
          <w:p w14:paraId="11B2A209" w14:textId="77777777" w:rsidR="003B2C9F" w:rsidRPr="003B2C9F" w:rsidRDefault="003B2C9F" w:rsidP="003B2C9F">
            <w:pPr>
              <w:rPr>
                <w:sz w:val="20"/>
                <w:szCs w:val="20"/>
              </w:rPr>
            </w:pPr>
            <w:r w:rsidRPr="003B2C9F">
              <w:rPr>
                <w:sz w:val="20"/>
                <w:szCs w:val="20"/>
              </w:rPr>
              <w:t xml:space="preserve">Tekuće donacije u novcu                                                                             </w:t>
            </w:r>
          </w:p>
        </w:tc>
        <w:tc>
          <w:tcPr>
            <w:tcW w:w="1559" w:type="dxa"/>
            <w:tcBorders>
              <w:top w:val="nil"/>
              <w:left w:val="nil"/>
              <w:bottom w:val="nil"/>
              <w:right w:val="nil"/>
            </w:tcBorders>
            <w:shd w:val="clear" w:color="auto" w:fill="auto"/>
            <w:noWrap/>
            <w:vAlign w:val="bottom"/>
            <w:hideMark/>
          </w:tcPr>
          <w:p w14:paraId="0CFEE94C" w14:textId="77777777" w:rsidR="003B2C9F" w:rsidRPr="003B2C9F" w:rsidRDefault="003B2C9F" w:rsidP="003B2C9F">
            <w:pPr>
              <w:jc w:val="right"/>
              <w:rPr>
                <w:sz w:val="20"/>
                <w:szCs w:val="20"/>
              </w:rPr>
            </w:pPr>
            <w:r w:rsidRPr="003B2C9F">
              <w:rPr>
                <w:sz w:val="20"/>
                <w:szCs w:val="20"/>
              </w:rPr>
              <w:t>1.760.924,86</w:t>
            </w:r>
          </w:p>
        </w:tc>
        <w:tc>
          <w:tcPr>
            <w:tcW w:w="1503" w:type="dxa"/>
            <w:tcBorders>
              <w:top w:val="nil"/>
              <w:left w:val="nil"/>
              <w:bottom w:val="nil"/>
              <w:right w:val="nil"/>
            </w:tcBorders>
            <w:shd w:val="clear" w:color="auto" w:fill="auto"/>
            <w:noWrap/>
            <w:vAlign w:val="bottom"/>
            <w:hideMark/>
          </w:tcPr>
          <w:p w14:paraId="2A48BAAA"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32DCC1F" w14:textId="77777777" w:rsidR="003B2C9F" w:rsidRPr="003B2C9F" w:rsidRDefault="003B2C9F" w:rsidP="003B2C9F">
            <w:pPr>
              <w:jc w:val="right"/>
              <w:rPr>
                <w:sz w:val="20"/>
                <w:szCs w:val="20"/>
              </w:rPr>
            </w:pPr>
            <w:r w:rsidRPr="003B2C9F">
              <w:rPr>
                <w:sz w:val="20"/>
                <w:szCs w:val="20"/>
              </w:rPr>
              <w:t>2.374.350,96</w:t>
            </w:r>
          </w:p>
        </w:tc>
        <w:tc>
          <w:tcPr>
            <w:tcW w:w="1525" w:type="dxa"/>
            <w:tcBorders>
              <w:top w:val="nil"/>
              <w:left w:val="nil"/>
              <w:bottom w:val="nil"/>
              <w:right w:val="nil"/>
            </w:tcBorders>
            <w:shd w:val="clear" w:color="auto" w:fill="auto"/>
            <w:noWrap/>
            <w:vAlign w:val="bottom"/>
            <w:hideMark/>
          </w:tcPr>
          <w:p w14:paraId="4EFC9C39" w14:textId="77777777" w:rsidR="003B2C9F" w:rsidRPr="003B2C9F" w:rsidRDefault="003B2C9F" w:rsidP="003B2C9F">
            <w:pPr>
              <w:jc w:val="right"/>
              <w:rPr>
                <w:sz w:val="20"/>
                <w:szCs w:val="20"/>
              </w:rPr>
            </w:pPr>
            <w:r w:rsidRPr="003B2C9F">
              <w:rPr>
                <w:sz w:val="20"/>
                <w:szCs w:val="20"/>
              </w:rPr>
              <w:t>134,84</w:t>
            </w:r>
          </w:p>
        </w:tc>
        <w:tc>
          <w:tcPr>
            <w:tcW w:w="1000" w:type="dxa"/>
            <w:tcBorders>
              <w:top w:val="nil"/>
              <w:left w:val="nil"/>
              <w:bottom w:val="nil"/>
              <w:right w:val="nil"/>
            </w:tcBorders>
            <w:shd w:val="clear" w:color="auto" w:fill="auto"/>
            <w:noWrap/>
            <w:vAlign w:val="bottom"/>
            <w:hideMark/>
          </w:tcPr>
          <w:p w14:paraId="4C02242D" w14:textId="77777777" w:rsidR="003B2C9F" w:rsidRPr="003B2C9F" w:rsidRDefault="003B2C9F" w:rsidP="003B2C9F">
            <w:pPr>
              <w:jc w:val="right"/>
              <w:rPr>
                <w:sz w:val="20"/>
                <w:szCs w:val="20"/>
              </w:rPr>
            </w:pPr>
          </w:p>
        </w:tc>
      </w:tr>
      <w:tr w:rsidR="003B2C9F" w:rsidRPr="003B2C9F" w14:paraId="083B81A9" w14:textId="77777777" w:rsidTr="003B2C9F">
        <w:trPr>
          <w:trHeight w:val="300"/>
        </w:trPr>
        <w:tc>
          <w:tcPr>
            <w:tcW w:w="616" w:type="dxa"/>
            <w:tcBorders>
              <w:top w:val="nil"/>
              <w:left w:val="nil"/>
              <w:bottom w:val="nil"/>
              <w:right w:val="nil"/>
            </w:tcBorders>
            <w:shd w:val="clear" w:color="auto" w:fill="auto"/>
            <w:noWrap/>
            <w:vAlign w:val="bottom"/>
            <w:hideMark/>
          </w:tcPr>
          <w:p w14:paraId="7A2F4625" w14:textId="77777777" w:rsidR="003B2C9F" w:rsidRPr="003B2C9F" w:rsidRDefault="003B2C9F" w:rsidP="003B2C9F">
            <w:pPr>
              <w:rPr>
                <w:b/>
                <w:bCs/>
                <w:sz w:val="20"/>
                <w:szCs w:val="20"/>
              </w:rPr>
            </w:pPr>
            <w:r w:rsidRPr="003B2C9F">
              <w:rPr>
                <w:b/>
                <w:bCs/>
                <w:sz w:val="20"/>
                <w:szCs w:val="20"/>
              </w:rPr>
              <w:t>382</w:t>
            </w:r>
          </w:p>
        </w:tc>
        <w:tc>
          <w:tcPr>
            <w:tcW w:w="6472" w:type="dxa"/>
            <w:tcBorders>
              <w:top w:val="nil"/>
              <w:left w:val="nil"/>
              <w:bottom w:val="nil"/>
              <w:right w:val="nil"/>
            </w:tcBorders>
            <w:shd w:val="clear" w:color="auto" w:fill="auto"/>
            <w:noWrap/>
            <w:vAlign w:val="bottom"/>
            <w:hideMark/>
          </w:tcPr>
          <w:p w14:paraId="02A30377" w14:textId="77777777" w:rsidR="003B2C9F" w:rsidRPr="003B2C9F" w:rsidRDefault="003B2C9F" w:rsidP="003B2C9F">
            <w:pPr>
              <w:rPr>
                <w:b/>
                <w:bCs/>
                <w:sz w:val="20"/>
                <w:szCs w:val="20"/>
              </w:rPr>
            </w:pPr>
            <w:r w:rsidRPr="003B2C9F">
              <w:rPr>
                <w:b/>
                <w:bCs/>
                <w:sz w:val="20"/>
                <w:szCs w:val="20"/>
              </w:rPr>
              <w:t xml:space="preserve">Kapitalne donacije                                                                                  </w:t>
            </w:r>
          </w:p>
        </w:tc>
        <w:tc>
          <w:tcPr>
            <w:tcW w:w="1559" w:type="dxa"/>
            <w:tcBorders>
              <w:top w:val="nil"/>
              <w:left w:val="nil"/>
              <w:bottom w:val="nil"/>
              <w:right w:val="nil"/>
            </w:tcBorders>
            <w:shd w:val="clear" w:color="auto" w:fill="auto"/>
            <w:noWrap/>
            <w:vAlign w:val="bottom"/>
            <w:hideMark/>
          </w:tcPr>
          <w:p w14:paraId="42C88FD2" w14:textId="77777777" w:rsidR="003B2C9F" w:rsidRPr="003B2C9F" w:rsidRDefault="003B2C9F" w:rsidP="003B2C9F">
            <w:pPr>
              <w:jc w:val="right"/>
              <w:rPr>
                <w:sz w:val="20"/>
                <w:szCs w:val="20"/>
              </w:rPr>
            </w:pPr>
            <w:r w:rsidRPr="003B2C9F">
              <w:rPr>
                <w:sz w:val="20"/>
                <w:szCs w:val="20"/>
              </w:rPr>
              <w:t>0,00</w:t>
            </w:r>
          </w:p>
        </w:tc>
        <w:tc>
          <w:tcPr>
            <w:tcW w:w="1503" w:type="dxa"/>
            <w:tcBorders>
              <w:top w:val="nil"/>
              <w:left w:val="nil"/>
              <w:bottom w:val="nil"/>
              <w:right w:val="nil"/>
            </w:tcBorders>
            <w:shd w:val="clear" w:color="auto" w:fill="auto"/>
            <w:noWrap/>
            <w:vAlign w:val="bottom"/>
            <w:hideMark/>
          </w:tcPr>
          <w:p w14:paraId="23424FD9" w14:textId="77777777" w:rsidR="003B2C9F" w:rsidRPr="003B2C9F" w:rsidRDefault="003B2C9F" w:rsidP="003B2C9F">
            <w:pPr>
              <w:jc w:val="right"/>
              <w:rPr>
                <w:b/>
                <w:bCs/>
                <w:sz w:val="20"/>
                <w:szCs w:val="20"/>
              </w:rPr>
            </w:pPr>
            <w:r w:rsidRPr="003B2C9F">
              <w:rPr>
                <w:b/>
                <w:bCs/>
                <w:sz w:val="20"/>
                <w:szCs w:val="20"/>
              </w:rPr>
              <w:t>60.000,00</w:t>
            </w:r>
          </w:p>
        </w:tc>
        <w:tc>
          <w:tcPr>
            <w:tcW w:w="1366" w:type="dxa"/>
            <w:tcBorders>
              <w:top w:val="nil"/>
              <w:left w:val="nil"/>
              <w:bottom w:val="nil"/>
              <w:right w:val="nil"/>
            </w:tcBorders>
            <w:shd w:val="clear" w:color="auto" w:fill="auto"/>
            <w:noWrap/>
            <w:vAlign w:val="bottom"/>
            <w:hideMark/>
          </w:tcPr>
          <w:p w14:paraId="41FDF92B" w14:textId="77777777" w:rsidR="003B2C9F" w:rsidRPr="003B2C9F" w:rsidRDefault="003B2C9F" w:rsidP="003B2C9F">
            <w:pPr>
              <w:jc w:val="right"/>
              <w:rPr>
                <w:b/>
                <w:bCs/>
                <w:sz w:val="20"/>
                <w:szCs w:val="20"/>
              </w:rPr>
            </w:pPr>
            <w:r w:rsidRPr="003B2C9F">
              <w:rPr>
                <w:b/>
                <w:bCs/>
                <w:sz w:val="20"/>
                <w:szCs w:val="20"/>
              </w:rPr>
              <w:t>0,00</w:t>
            </w:r>
          </w:p>
        </w:tc>
        <w:tc>
          <w:tcPr>
            <w:tcW w:w="1525" w:type="dxa"/>
            <w:tcBorders>
              <w:top w:val="nil"/>
              <w:left w:val="nil"/>
              <w:bottom w:val="nil"/>
              <w:right w:val="nil"/>
            </w:tcBorders>
            <w:shd w:val="clear" w:color="auto" w:fill="auto"/>
            <w:noWrap/>
            <w:vAlign w:val="bottom"/>
            <w:hideMark/>
          </w:tcPr>
          <w:p w14:paraId="474CCF72" w14:textId="77777777" w:rsidR="003B2C9F" w:rsidRPr="003B2C9F" w:rsidRDefault="003B2C9F" w:rsidP="003B2C9F">
            <w:pPr>
              <w:jc w:val="right"/>
              <w:rPr>
                <w:b/>
                <w:bCs/>
                <w:sz w:val="20"/>
                <w:szCs w:val="20"/>
              </w:rPr>
            </w:pPr>
            <w:r w:rsidRPr="003B2C9F">
              <w:rPr>
                <w:b/>
                <w:bCs/>
                <w:sz w:val="20"/>
                <w:szCs w:val="20"/>
              </w:rPr>
              <w:t>0,00</w:t>
            </w:r>
          </w:p>
        </w:tc>
        <w:tc>
          <w:tcPr>
            <w:tcW w:w="1000" w:type="dxa"/>
            <w:tcBorders>
              <w:top w:val="nil"/>
              <w:left w:val="nil"/>
              <w:bottom w:val="nil"/>
              <w:right w:val="nil"/>
            </w:tcBorders>
            <w:shd w:val="clear" w:color="auto" w:fill="auto"/>
            <w:noWrap/>
            <w:vAlign w:val="bottom"/>
            <w:hideMark/>
          </w:tcPr>
          <w:p w14:paraId="68BF26AC" w14:textId="77777777" w:rsidR="003B2C9F" w:rsidRPr="003B2C9F" w:rsidRDefault="003B2C9F" w:rsidP="003B2C9F">
            <w:pPr>
              <w:jc w:val="right"/>
              <w:rPr>
                <w:b/>
                <w:bCs/>
                <w:sz w:val="20"/>
                <w:szCs w:val="20"/>
              </w:rPr>
            </w:pPr>
            <w:r w:rsidRPr="003B2C9F">
              <w:rPr>
                <w:b/>
                <w:bCs/>
                <w:sz w:val="20"/>
                <w:szCs w:val="20"/>
              </w:rPr>
              <w:t>0,00</w:t>
            </w:r>
          </w:p>
        </w:tc>
      </w:tr>
      <w:tr w:rsidR="003B2C9F" w:rsidRPr="003B2C9F" w14:paraId="7E62095E" w14:textId="77777777" w:rsidTr="003B2C9F">
        <w:trPr>
          <w:trHeight w:val="300"/>
        </w:trPr>
        <w:tc>
          <w:tcPr>
            <w:tcW w:w="616" w:type="dxa"/>
            <w:tcBorders>
              <w:top w:val="nil"/>
              <w:left w:val="nil"/>
              <w:bottom w:val="nil"/>
              <w:right w:val="nil"/>
            </w:tcBorders>
            <w:shd w:val="clear" w:color="auto" w:fill="auto"/>
            <w:noWrap/>
            <w:vAlign w:val="bottom"/>
            <w:hideMark/>
          </w:tcPr>
          <w:p w14:paraId="6DE9D675" w14:textId="77777777" w:rsidR="003B2C9F" w:rsidRPr="003B2C9F" w:rsidRDefault="003B2C9F" w:rsidP="003B2C9F">
            <w:pPr>
              <w:rPr>
                <w:sz w:val="20"/>
                <w:szCs w:val="20"/>
              </w:rPr>
            </w:pPr>
            <w:r w:rsidRPr="003B2C9F">
              <w:rPr>
                <w:sz w:val="20"/>
                <w:szCs w:val="20"/>
              </w:rPr>
              <w:t>3822</w:t>
            </w:r>
          </w:p>
        </w:tc>
        <w:tc>
          <w:tcPr>
            <w:tcW w:w="6472" w:type="dxa"/>
            <w:tcBorders>
              <w:top w:val="nil"/>
              <w:left w:val="nil"/>
              <w:bottom w:val="nil"/>
              <w:right w:val="nil"/>
            </w:tcBorders>
            <w:shd w:val="clear" w:color="auto" w:fill="auto"/>
            <w:vAlign w:val="bottom"/>
            <w:hideMark/>
          </w:tcPr>
          <w:p w14:paraId="3ED52AD5" w14:textId="77777777" w:rsidR="003B2C9F" w:rsidRPr="003B2C9F" w:rsidRDefault="003B2C9F" w:rsidP="003B2C9F">
            <w:pPr>
              <w:rPr>
                <w:sz w:val="20"/>
                <w:szCs w:val="20"/>
              </w:rPr>
            </w:pPr>
            <w:r w:rsidRPr="003B2C9F">
              <w:rPr>
                <w:sz w:val="20"/>
                <w:szCs w:val="20"/>
              </w:rPr>
              <w:t xml:space="preserve">Kapitalne donacije građanima i kućanstvima                                                          </w:t>
            </w:r>
          </w:p>
        </w:tc>
        <w:tc>
          <w:tcPr>
            <w:tcW w:w="1559" w:type="dxa"/>
            <w:tcBorders>
              <w:top w:val="nil"/>
              <w:left w:val="nil"/>
              <w:bottom w:val="nil"/>
              <w:right w:val="nil"/>
            </w:tcBorders>
            <w:shd w:val="clear" w:color="auto" w:fill="auto"/>
            <w:noWrap/>
            <w:vAlign w:val="bottom"/>
            <w:hideMark/>
          </w:tcPr>
          <w:p w14:paraId="12D90F9D" w14:textId="77777777" w:rsidR="003B2C9F" w:rsidRPr="003B2C9F" w:rsidRDefault="003B2C9F" w:rsidP="003B2C9F">
            <w:pPr>
              <w:jc w:val="right"/>
              <w:rPr>
                <w:sz w:val="20"/>
                <w:szCs w:val="20"/>
              </w:rPr>
            </w:pPr>
            <w:r w:rsidRPr="003B2C9F">
              <w:rPr>
                <w:sz w:val="20"/>
                <w:szCs w:val="20"/>
              </w:rPr>
              <w:t>0,00</w:t>
            </w:r>
          </w:p>
        </w:tc>
        <w:tc>
          <w:tcPr>
            <w:tcW w:w="1503" w:type="dxa"/>
            <w:tcBorders>
              <w:top w:val="nil"/>
              <w:left w:val="nil"/>
              <w:bottom w:val="nil"/>
              <w:right w:val="nil"/>
            </w:tcBorders>
            <w:shd w:val="clear" w:color="auto" w:fill="auto"/>
            <w:noWrap/>
            <w:vAlign w:val="bottom"/>
            <w:hideMark/>
          </w:tcPr>
          <w:p w14:paraId="2C38B288"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1625E39A" w14:textId="77777777" w:rsidR="003B2C9F" w:rsidRPr="003B2C9F" w:rsidRDefault="003B2C9F" w:rsidP="003B2C9F">
            <w:pPr>
              <w:jc w:val="right"/>
              <w:rPr>
                <w:sz w:val="20"/>
                <w:szCs w:val="20"/>
              </w:rPr>
            </w:pPr>
            <w:r w:rsidRPr="003B2C9F">
              <w:rPr>
                <w:sz w:val="20"/>
                <w:szCs w:val="20"/>
              </w:rPr>
              <w:t>0,00</w:t>
            </w:r>
          </w:p>
        </w:tc>
        <w:tc>
          <w:tcPr>
            <w:tcW w:w="1525" w:type="dxa"/>
            <w:tcBorders>
              <w:top w:val="nil"/>
              <w:left w:val="nil"/>
              <w:bottom w:val="nil"/>
              <w:right w:val="nil"/>
            </w:tcBorders>
            <w:shd w:val="clear" w:color="auto" w:fill="auto"/>
            <w:noWrap/>
            <w:vAlign w:val="bottom"/>
            <w:hideMark/>
          </w:tcPr>
          <w:p w14:paraId="46993667" w14:textId="77777777" w:rsidR="003B2C9F" w:rsidRPr="003B2C9F" w:rsidRDefault="003B2C9F" w:rsidP="003B2C9F">
            <w:pPr>
              <w:jc w:val="right"/>
              <w:rPr>
                <w:sz w:val="20"/>
                <w:szCs w:val="20"/>
              </w:rPr>
            </w:pPr>
            <w:r w:rsidRPr="003B2C9F">
              <w:rPr>
                <w:sz w:val="20"/>
                <w:szCs w:val="20"/>
              </w:rPr>
              <w:t>0,00</w:t>
            </w:r>
          </w:p>
        </w:tc>
        <w:tc>
          <w:tcPr>
            <w:tcW w:w="1000" w:type="dxa"/>
            <w:tcBorders>
              <w:top w:val="nil"/>
              <w:left w:val="nil"/>
              <w:bottom w:val="nil"/>
              <w:right w:val="nil"/>
            </w:tcBorders>
            <w:shd w:val="clear" w:color="auto" w:fill="auto"/>
            <w:noWrap/>
            <w:vAlign w:val="bottom"/>
            <w:hideMark/>
          </w:tcPr>
          <w:p w14:paraId="7EC8F4BE" w14:textId="77777777" w:rsidR="003B2C9F" w:rsidRPr="003B2C9F" w:rsidRDefault="003B2C9F" w:rsidP="003B2C9F">
            <w:pPr>
              <w:jc w:val="right"/>
              <w:rPr>
                <w:sz w:val="20"/>
                <w:szCs w:val="20"/>
              </w:rPr>
            </w:pPr>
          </w:p>
        </w:tc>
      </w:tr>
      <w:tr w:rsidR="003B2C9F" w:rsidRPr="003B2C9F" w14:paraId="3A9C4F7A" w14:textId="77777777" w:rsidTr="003B2C9F">
        <w:trPr>
          <w:trHeight w:val="300"/>
        </w:trPr>
        <w:tc>
          <w:tcPr>
            <w:tcW w:w="616" w:type="dxa"/>
            <w:tcBorders>
              <w:top w:val="nil"/>
              <w:left w:val="nil"/>
              <w:bottom w:val="nil"/>
              <w:right w:val="nil"/>
            </w:tcBorders>
            <w:shd w:val="clear" w:color="auto" w:fill="auto"/>
            <w:noWrap/>
            <w:vAlign w:val="bottom"/>
            <w:hideMark/>
          </w:tcPr>
          <w:p w14:paraId="120E4E2B" w14:textId="77777777" w:rsidR="003B2C9F" w:rsidRPr="003B2C9F" w:rsidRDefault="003B2C9F" w:rsidP="003B2C9F">
            <w:pPr>
              <w:rPr>
                <w:b/>
                <w:bCs/>
                <w:sz w:val="20"/>
                <w:szCs w:val="20"/>
              </w:rPr>
            </w:pPr>
            <w:r w:rsidRPr="003B2C9F">
              <w:rPr>
                <w:b/>
                <w:bCs/>
                <w:sz w:val="20"/>
                <w:szCs w:val="20"/>
              </w:rPr>
              <w:t>383</w:t>
            </w:r>
          </w:p>
        </w:tc>
        <w:tc>
          <w:tcPr>
            <w:tcW w:w="6472" w:type="dxa"/>
            <w:tcBorders>
              <w:top w:val="nil"/>
              <w:left w:val="nil"/>
              <w:bottom w:val="nil"/>
              <w:right w:val="nil"/>
            </w:tcBorders>
            <w:shd w:val="clear" w:color="auto" w:fill="auto"/>
            <w:noWrap/>
            <w:vAlign w:val="bottom"/>
            <w:hideMark/>
          </w:tcPr>
          <w:p w14:paraId="49D97434" w14:textId="77777777" w:rsidR="003B2C9F" w:rsidRPr="003B2C9F" w:rsidRDefault="003B2C9F" w:rsidP="003B2C9F">
            <w:pPr>
              <w:rPr>
                <w:b/>
                <w:bCs/>
                <w:sz w:val="20"/>
                <w:szCs w:val="20"/>
              </w:rPr>
            </w:pPr>
            <w:r w:rsidRPr="003B2C9F">
              <w:rPr>
                <w:b/>
                <w:bCs/>
                <w:sz w:val="20"/>
                <w:szCs w:val="20"/>
              </w:rPr>
              <w:t xml:space="preserve">Kazne, penali i naknade štete                                                                       </w:t>
            </w:r>
          </w:p>
        </w:tc>
        <w:tc>
          <w:tcPr>
            <w:tcW w:w="1559" w:type="dxa"/>
            <w:tcBorders>
              <w:top w:val="nil"/>
              <w:left w:val="nil"/>
              <w:bottom w:val="nil"/>
              <w:right w:val="nil"/>
            </w:tcBorders>
            <w:shd w:val="clear" w:color="auto" w:fill="auto"/>
            <w:noWrap/>
            <w:vAlign w:val="bottom"/>
            <w:hideMark/>
          </w:tcPr>
          <w:p w14:paraId="364BCBA7" w14:textId="77777777" w:rsidR="003B2C9F" w:rsidRPr="003B2C9F" w:rsidRDefault="003B2C9F" w:rsidP="003B2C9F">
            <w:pPr>
              <w:jc w:val="right"/>
              <w:rPr>
                <w:b/>
                <w:bCs/>
                <w:sz w:val="20"/>
                <w:szCs w:val="20"/>
              </w:rPr>
            </w:pPr>
            <w:r w:rsidRPr="003B2C9F">
              <w:rPr>
                <w:b/>
                <w:bCs/>
                <w:sz w:val="20"/>
                <w:szCs w:val="20"/>
              </w:rPr>
              <w:t>163.137,50</w:t>
            </w:r>
          </w:p>
        </w:tc>
        <w:tc>
          <w:tcPr>
            <w:tcW w:w="1503" w:type="dxa"/>
            <w:tcBorders>
              <w:top w:val="nil"/>
              <w:left w:val="nil"/>
              <w:bottom w:val="nil"/>
              <w:right w:val="nil"/>
            </w:tcBorders>
            <w:shd w:val="clear" w:color="auto" w:fill="auto"/>
            <w:noWrap/>
            <w:vAlign w:val="bottom"/>
            <w:hideMark/>
          </w:tcPr>
          <w:p w14:paraId="14D09A91" w14:textId="77777777" w:rsidR="003B2C9F" w:rsidRPr="003B2C9F" w:rsidRDefault="003B2C9F" w:rsidP="003B2C9F">
            <w:pPr>
              <w:jc w:val="right"/>
              <w:rPr>
                <w:b/>
                <w:bCs/>
                <w:sz w:val="20"/>
                <w:szCs w:val="20"/>
              </w:rPr>
            </w:pPr>
            <w:r w:rsidRPr="003B2C9F">
              <w:rPr>
                <w:b/>
                <w:bCs/>
                <w:sz w:val="20"/>
                <w:szCs w:val="20"/>
              </w:rPr>
              <w:t>322.045,88</w:t>
            </w:r>
          </w:p>
        </w:tc>
        <w:tc>
          <w:tcPr>
            <w:tcW w:w="1366" w:type="dxa"/>
            <w:tcBorders>
              <w:top w:val="nil"/>
              <w:left w:val="nil"/>
              <w:bottom w:val="nil"/>
              <w:right w:val="nil"/>
            </w:tcBorders>
            <w:shd w:val="clear" w:color="auto" w:fill="auto"/>
            <w:noWrap/>
            <w:vAlign w:val="bottom"/>
            <w:hideMark/>
          </w:tcPr>
          <w:p w14:paraId="21C65870" w14:textId="77777777" w:rsidR="003B2C9F" w:rsidRPr="003B2C9F" w:rsidRDefault="003B2C9F" w:rsidP="003B2C9F">
            <w:pPr>
              <w:jc w:val="right"/>
              <w:rPr>
                <w:b/>
                <w:bCs/>
                <w:sz w:val="20"/>
                <w:szCs w:val="20"/>
              </w:rPr>
            </w:pPr>
            <w:r w:rsidRPr="003B2C9F">
              <w:rPr>
                <w:b/>
                <w:bCs/>
                <w:sz w:val="20"/>
                <w:szCs w:val="20"/>
              </w:rPr>
              <w:t>322.045,88</w:t>
            </w:r>
          </w:p>
        </w:tc>
        <w:tc>
          <w:tcPr>
            <w:tcW w:w="1525" w:type="dxa"/>
            <w:tcBorders>
              <w:top w:val="nil"/>
              <w:left w:val="nil"/>
              <w:bottom w:val="nil"/>
              <w:right w:val="nil"/>
            </w:tcBorders>
            <w:shd w:val="clear" w:color="auto" w:fill="auto"/>
            <w:noWrap/>
            <w:vAlign w:val="bottom"/>
            <w:hideMark/>
          </w:tcPr>
          <w:p w14:paraId="513B7729" w14:textId="77777777" w:rsidR="003B2C9F" w:rsidRPr="003B2C9F" w:rsidRDefault="003B2C9F" w:rsidP="003B2C9F">
            <w:pPr>
              <w:jc w:val="right"/>
              <w:rPr>
                <w:b/>
                <w:bCs/>
                <w:sz w:val="20"/>
                <w:szCs w:val="20"/>
              </w:rPr>
            </w:pPr>
            <w:r w:rsidRPr="003B2C9F">
              <w:rPr>
                <w:b/>
                <w:bCs/>
                <w:sz w:val="20"/>
                <w:szCs w:val="20"/>
              </w:rPr>
              <w:t>197,41</w:t>
            </w:r>
          </w:p>
        </w:tc>
        <w:tc>
          <w:tcPr>
            <w:tcW w:w="1000" w:type="dxa"/>
            <w:tcBorders>
              <w:top w:val="nil"/>
              <w:left w:val="nil"/>
              <w:bottom w:val="nil"/>
              <w:right w:val="nil"/>
            </w:tcBorders>
            <w:shd w:val="clear" w:color="auto" w:fill="auto"/>
            <w:noWrap/>
            <w:vAlign w:val="bottom"/>
            <w:hideMark/>
          </w:tcPr>
          <w:p w14:paraId="71573BC1" w14:textId="77777777" w:rsidR="003B2C9F" w:rsidRPr="003B2C9F" w:rsidRDefault="003B2C9F" w:rsidP="003B2C9F">
            <w:pPr>
              <w:jc w:val="right"/>
              <w:rPr>
                <w:b/>
                <w:bCs/>
                <w:sz w:val="20"/>
                <w:szCs w:val="20"/>
              </w:rPr>
            </w:pPr>
            <w:r w:rsidRPr="003B2C9F">
              <w:rPr>
                <w:b/>
                <w:bCs/>
                <w:sz w:val="20"/>
                <w:szCs w:val="20"/>
              </w:rPr>
              <w:t>100,00</w:t>
            </w:r>
          </w:p>
        </w:tc>
      </w:tr>
      <w:tr w:rsidR="003B2C9F" w:rsidRPr="003B2C9F" w14:paraId="6A7FEE40" w14:textId="77777777" w:rsidTr="003B2C9F">
        <w:trPr>
          <w:trHeight w:val="300"/>
        </w:trPr>
        <w:tc>
          <w:tcPr>
            <w:tcW w:w="616" w:type="dxa"/>
            <w:tcBorders>
              <w:top w:val="nil"/>
              <w:left w:val="nil"/>
              <w:bottom w:val="nil"/>
              <w:right w:val="nil"/>
            </w:tcBorders>
            <w:shd w:val="clear" w:color="auto" w:fill="auto"/>
            <w:noWrap/>
            <w:vAlign w:val="bottom"/>
            <w:hideMark/>
          </w:tcPr>
          <w:p w14:paraId="19A1D89C" w14:textId="77777777" w:rsidR="003B2C9F" w:rsidRPr="003B2C9F" w:rsidRDefault="003B2C9F" w:rsidP="003B2C9F">
            <w:pPr>
              <w:rPr>
                <w:sz w:val="20"/>
                <w:szCs w:val="20"/>
              </w:rPr>
            </w:pPr>
            <w:r w:rsidRPr="003B2C9F">
              <w:rPr>
                <w:sz w:val="20"/>
                <w:szCs w:val="20"/>
              </w:rPr>
              <w:t>3831</w:t>
            </w:r>
          </w:p>
        </w:tc>
        <w:tc>
          <w:tcPr>
            <w:tcW w:w="6472" w:type="dxa"/>
            <w:tcBorders>
              <w:top w:val="nil"/>
              <w:left w:val="nil"/>
              <w:bottom w:val="nil"/>
              <w:right w:val="nil"/>
            </w:tcBorders>
            <w:shd w:val="clear" w:color="auto" w:fill="auto"/>
            <w:vAlign w:val="bottom"/>
            <w:hideMark/>
          </w:tcPr>
          <w:p w14:paraId="70FF919D" w14:textId="77777777" w:rsidR="003B2C9F" w:rsidRPr="003B2C9F" w:rsidRDefault="003B2C9F" w:rsidP="003B2C9F">
            <w:pPr>
              <w:rPr>
                <w:sz w:val="20"/>
                <w:szCs w:val="20"/>
              </w:rPr>
            </w:pPr>
            <w:r w:rsidRPr="003B2C9F">
              <w:rPr>
                <w:sz w:val="20"/>
                <w:szCs w:val="20"/>
              </w:rPr>
              <w:t xml:space="preserve">Naknade šteta pravnim i fizičkim osobama                                                            </w:t>
            </w:r>
          </w:p>
        </w:tc>
        <w:tc>
          <w:tcPr>
            <w:tcW w:w="1559" w:type="dxa"/>
            <w:tcBorders>
              <w:top w:val="nil"/>
              <w:left w:val="nil"/>
              <w:bottom w:val="nil"/>
              <w:right w:val="nil"/>
            </w:tcBorders>
            <w:shd w:val="clear" w:color="auto" w:fill="auto"/>
            <w:noWrap/>
            <w:vAlign w:val="bottom"/>
            <w:hideMark/>
          </w:tcPr>
          <w:p w14:paraId="1782360A" w14:textId="77777777" w:rsidR="003B2C9F" w:rsidRPr="003B2C9F" w:rsidRDefault="003B2C9F" w:rsidP="003B2C9F">
            <w:pPr>
              <w:jc w:val="right"/>
              <w:rPr>
                <w:sz w:val="20"/>
                <w:szCs w:val="20"/>
              </w:rPr>
            </w:pPr>
            <w:r w:rsidRPr="003B2C9F">
              <w:rPr>
                <w:sz w:val="20"/>
                <w:szCs w:val="20"/>
              </w:rPr>
              <w:t>163.137,50</w:t>
            </w:r>
          </w:p>
        </w:tc>
        <w:tc>
          <w:tcPr>
            <w:tcW w:w="1503" w:type="dxa"/>
            <w:tcBorders>
              <w:top w:val="nil"/>
              <w:left w:val="nil"/>
              <w:bottom w:val="nil"/>
              <w:right w:val="nil"/>
            </w:tcBorders>
            <w:shd w:val="clear" w:color="auto" w:fill="auto"/>
            <w:noWrap/>
            <w:vAlign w:val="bottom"/>
            <w:hideMark/>
          </w:tcPr>
          <w:p w14:paraId="795FD6CD"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6CC06703" w14:textId="77777777" w:rsidR="003B2C9F" w:rsidRPr="003B2C9F" w:rsidRDefault="003B2C9F" w:rsidP="003B2C9F">
            <w:pPr>
              <w:jc w:val="right"/>
              <w:rPr>
                <w:sz w:val="20"/>
                <w:szCs w:val="20"/>
              </w:rPr>
            </w:pPr>
            <w:r w:rsidRPr="003B2C9F">
              <w:rPr>
                <w:sz w:val="20"/>
                <w:szCs w:val="20"/>
              </w:rPr>
              <w:t>322.045,88</w:t>
            </w:r>
          </w:p>
        </w:tc>
        <w:tc>
          <w:tcPr>
            <w:tcW w:w="1525" w:type="dxa"/>
            <w:tcBorders>
              <w:top w:val="nil"/>
              <w:left w:val="nil"/>
              <w:bottom w:val="nil"/>
              <w:right w:val="nil"/>
            </w:tcBorders>
            <w:shd w:val="clear" w:color="auto" w:fill="auto"/>
            <w:noWrap/>
            <w:vAlign w:val="bottom"/>
            <w:hideMark/>
          </w:tcPr>
          <w:p w14:paraId="2C3CD7B3" w14:textId="77777777" w:rsidR="003B2C9F" w:rsidRPr="003B2C9F" w:rsidRDefault="003B2C9F" w:rsidP="003B2C9F">
            <w:pPr>
              <w:jc w:val="right"/>
              <w:rPr>
                <w:sz w:val="20"/>
                <w:szCs w:val="20"/>
              </w:rPr>
            </w:pPr>
            <w:r w:rsidRPr="003B2C9F">
              <w:rPr>
                <w:sz w:val="20"/>
                <w:szCs w:val="20"/>
              </w:rPr>
              <w:t>197,41</w:t>
            </w:r>
          </w:p>
        </w:tc>
        <w:tc>
          <w:tcPr>
            <w:tcW w:w="1000" w:type="dxa"/>
            <w:tcBorders>
              <w:top w:val="nil"/>
              <w:left w:val="nil"/>
              <w:bottom w:val="nil"/>
              <w:right w:val="nil"/>
            </w:tcBorders>
            <w:shd w:val="clear" w:color="auto" w:fill="auto"/>
            <w:noWrap/>
            <w:vAlign w:val="bottom"/>
            <w:hideMark/>
          </w:tcPr>
          <w:p w14:paraId="352BC060" w14:textId="77777777" w:rsidR="003B2C9F" w:rsidRPr="003B2C9F" w:rsidRDefault="003B2C9F" w:rsidP="003B2C9F">
            <w:pPr>
              <w:jc w:val="right"/>
              <w:rPr>
                <w:sz w:val="20"/>
                <w:szCs w:val="20"/>
              </w:rPr>
            </w:pPr>
          </w:p>
        </w:tc>
      </w:tr>
      <w:tr w:rsidR="003B2C9F" w:rsidRPr="003B2C9F" w14:paraId="12F9B3E8" w14:textId="77777777" w:rsidTr="003B2C9F">
        <w:trPr>
          <w:trHeight w:val="300"/>
        </w:trPr>
        <w:tc>
          <w:tcPr>
            <w:tcW w:w="616" w:type="dxa"/>
            <w:tcBorders>
              <w:top w:val="nil"/>
              <w:left w:val="nil"/>
              <w:bottom w:val="nil"/>
              <w:right w:val="nil"/>
            </w:tcBorders>
            <w:shd w:val="clear" w:color="auto" w:fill="auto"/>
            <w:noWrap/>
            <w:vAlign w:val="bottom"/>
            <w:hideMark/>
          </w:tcPr>
          <w:p w14:paraId="48E4031D" w14:textId="77777777" w:rsidR="003B2C9F" w:rsidRPr="003B2C9F" w:rsidRDefault="003B2C9F" w:rsidP="003B2C9F">
            <w:pPr>
              <w:rPr>
                <w:sz w:val="20"/>
                <w:szCs w:val="20"/>
              </w:rPr>
            </w:pPr>
            <w:r w:rsidRPr="003B2C9F">
              <w:rPr>
                <w:sz w:val="20"/>
                <w:szCs w:val="20"/>
              </w:rPr>
              <w:t>3835</w:t>
            </w:r>
          </w:p>
        </w:tc>
        <w:tc>
          <w:tcPr>
            <w:tcW w:w="6472" w:type="dxa"/>
            <w:tcBorders>
              <w:top w:val="nil"/>
              <w:left w:val="nil"/>
              <w:bottom w:val="nil"/>
              <w:right w:val="nil"/>
            </w:tcBorders>
            <w:shd w:val="clear" w:color="auto" w:fill="auto"/>
            <w:vAlign w:val="bottom"/>
            <w:hideMark/>
          </w:tcPr>
          <w:p w14:paraId="6E583EA8" w14:textId="77777777" w:rsidR="003B2C9F" w:rsidRPr="003B2C9F" w:rsidRDefault="003B2C9F" w:rsidP="003B2C9F">
            <w:pPr>
              <w:rPr>
                <w:sz w:val="20"/>
                <w:szCs w:val="20"/>
              </w:rPr>
            </w:pPr>
            <w:r w:rsidRPr="003B2C9F">
              <w:rPr>
                <w:sz w:val="20"/>
                <w:szCs w:val="20"/>
              </w:rPr>
              <w:t>Ostale kazne</w:t>
            </w:r>
          </w:p>
        </w:tc>
        <w:tc>
          <w:tcPr>
            <w:tcW w:w="1559" w:type="dxa"/>
            <w:tcBorders>
              <w:top w:val="nil"/>
              <w:left w:val="nil"/>
              <w:bottom w:val="nil"/>
              <w:right w:val="nil"/>
            </w:tcBorders>
            <w:shd w:val="clear" w:color="auto" w:fill="auto"/>
            <w:noWrap/>
            <w:vAlign w:val="bottom"/>
            <w:hideMark/>
          </w:tcPr>
          <w:p w14:paraId="4A68AC0A" w14:textId="77777777" w:rsidR="003B2C9F" w:rsidRPr="003B2C9F" w:rsidRDefault="003B2C9F" w:rsidP="003B2C9F">
            <w:pPr>
              <w:jc w:val="right"/>
              <w:rPr>
                <w:sz w:val="20"/>
                <w:szCs w:val="20"/>
              </w:rPr>
            </w:pPr>
            <w:r w:rsidRPr="003B2C9F">
              <w:rPr>
                <w:sz w:val="20"/>
                <w:szCs w:val="20"/>
              </w:rPr>
              <w:t>0,00</w:t>
            </w:r>
          </w:p>
        </w:tc>
        <w:tc>
          <w:tcPr>
            <w:tcW w:w="1503" w:type="dxa"/>
            <w:tcBorders>
              <w:top w:val="nil"/>
              <w:left w:val="nil"/>
              <w:bottom w:val="nil"/>
              <w:right w:val="nil"/>
            </w:tcBorders>
            <w:shd w:val="clear" w:color="auto" w:fill="auto"/>
            <w:noWrap/>
            <w:vAlign w:val="bottom"/>
            <w:hideMark/>
          </w:tcPr>
          <w:p w14:paraId="2C9CE2F6"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19BBBD5A" w14:textId="77777777" w:rsidR="003B2C9F" w:rsidRPr="003B2C9F" w:rsidRDefault="003B2C9F" w:rsidP="003B2C9F">
            <w:pPr>
              <w:jc w:val="right"/>
              <w:rPr>
                <w:sz w:val="20"/>
                <w:szCs w:val="20"/>
              </w:rPr>
            </w:pPr>
            <w:r w:rsidRPr="003B2C9F">
              <w:rPr>
                <w:sz w:val="20"/>
                <w:szCs w:val="20"/>
              </w:rPr>
              <w:t>0,00</w:t>
            </w:r>
          </w:p>
        </w:tc>
        <w:tc>
          <w:tcPr>
            <w:tcW w:w="1525" w:type="dxa"/>
            <w:tcBorders>
              <w:top w:val="nil"/>
              <w:left w:val="nil"/>
              <w:bottom w:val="nil"/>
              <w:right w:val="nil"/>
            </w:tcBorders>
            <w:shd w:val="clear" w:color="auto" w:fill="auto"/>
            <w:noWrap/>
            <w:vAlign w:val="bottom"/>
            <w:hideMark/>
          </w:tcPr>
          <w:p w14:paraId="525BF232" w14:textId="77777777" w:rsidR="003B2C9F" w:rsidRPr="003B2C9F" w:rsidRDefault="003B2C9F" w:rsidP="003B2C9F">
            <w:pPr>
              <w:jc w:val="right"/>
              <w:rPr>
                <w:sz w:val="20"/>
                <w:szCs w:val="20"/>
              </w:rPr>
            </w:pPr>
            <w:r w:rsidRPr="003B2C9F">
              <w:rPr>
                <w:sz w:val="20"/>
                <w:szCs w:val="20"/>
              </w:rPr>
              <w:t>0,00</w:t>
            </w:r>
          </w:p>
        </w:tc>
        <w:tc>
          <w:tcPr>
            <w:tcW w:w="1000" w:type="dxa"/>
            <w:tcBorders>
              <w:top w:val="nil"/>
              <w:left w:val="nil"/>
              <w:bottom w:val="nil"/>
              <w:right w:val="nil"/>
            </w:tcBorders>
            <w:shd w:val="clear" w:color="auto" w:fill="auto"/>
            <w:noWrap/>
            <w:vAlign w:val="bottom"/>
            <w:hideMark/>
          </w:tcPr>
          <w:p w14:paraId="2C675377" w14:textId="77777777" w:rsidR="003B2C9F" w:rsidRPr="003B2C9F" w:rsidRDefault="003B2C9F" w:rsidP="003B2C9F">
            <w:pPr>
              <w:jc w:val="right"/>
              <w:rPr>
                <w:sz w:val="20"/>
                <w:szCs w:val="20"/>
              </w:rPr>
            </w:pPr>
          </w:p>
        </w:tc>
      </w:tr>
      <w:tr w:rsidR="003B2C9F" w:rsidRPr="003B2C9F" w14:paraId="5E9241EF" w14:textId="77777777" w:rsidTr="003B2C9F">
        <w:trPr>
          <w:trHeight w:val="300"/>
        </w:trPr>
        <w:tc>
          <w:tcPr>
            <w:tcW w:w="616" w:type="dxa"/>
            <w:tcBorders>
              <w:top w:val="nil"/>
              <w:left w:val="nil"/>
              <w:bottom w:val="nil"/>
              <w:right w:val="nil"/>
            </w:tcBorders>
            <w:shd w:val="clear" w:color="auto" w:fill="auto"/>
            <w:noWrap/>
            <w:vAlign w:val="bottom"/>
            <w:hideMark/>
          </w:tcPr>
          <w:p w14:paraId="10777D30" w14:textId="77777777" w:rsidR="003B2C9F" w:rsidRPr="003B2C9F" w:rsidRDefault="003B2C9F" w:rsidP="003B2C9F">
            <w:pPr>
              <w:rPr>
                <w:b/>
                <w:bCs/>
                <w:sz w:val="20"/>
                <w:szCs w:val="20"/>
              </w:rPr>
            </w:pPr>
            <w:r w:rsidRPr="003B2C9F">
              <w:rPr>
                <w:b/>
                <w:bCs/>
                <w:sz w:val="20"/>
                <w:szCs w:val="20"/>
              </w:rPr>
              <w:t>385</w:t>
            </w:r>
          </w:p>
        </w:tc>
        <w:tc>
          <w:tcPr>
            <w:tcW w:w="6472" w:type="dxa"/>
            <w:tcBorders>
              <w:top w:val="nil"/>
              <w:left w:val="nil"/>
              <w:bottom w:val="nil"/>
              <w:right w:val="nil"/>
            </w:tcBorders>
            <w:shd w:val="clear" w:color="auto" w:fill="auto"/>
            <w:noWrap/>
            <w:vAlign w:val="bottom"/>
            <w:hideMark/>
          </w:tcPr>
          <w:p w14:paraId="530A4CDD" w14:textId="77777777" w:rsidR="003B2C9F" w:rsidRPr="003B2C9F" w:rsidRDefault="003B2C9F" w:rsidP="003B2C9F">
            <w:pPr>
              <w:rPr>
                <w:b/>
                <w:bCs/>
                <w:sz w:val="20"/>
                <w:szCs w:val="20"/>
              </w:rPr>
            </w:pPr>
            <w:r w:rsidRPr="003B2C9F">
              <w:rPr>
                <w:b/>
                <w:bCs/>
                <w:sz w:val="20"/>
                <w:szCs w:val="20"/>
              </w:rPr>
              <w:t>Izvanredni rashodi</w:t>
            </w:r>
          </w:p>
        </w:tc>
        <w:tc>
          <w:tcPr>
            <w:tcW w:w="1559" w:type="dxa"/>
            <w:tcBorders>
              <w:top w:val="nil"/>
              <w:left w:val="nil"/>
              <w:bottom w:val="nil"/>
              <w:right w:val="nil"/>
            </w:tcBorders>
            <w:shd w:val="clear" w:color="auto" w:fill="auto"/>
            <w:noWrap/>
            <w:vAlign w:val="bottom"/>
            <w:hideMark/>
          </w:tcPr>
          <w:p w14:paraId="4D339D7D" w14:textId="77777777" w:rsidR="003B2C9F" w:rsidRPr="003B2C9F" w:rsidRDefault="003B2C9F" w:rsidP="003B2C9F">
            <w:pPr>
              <w:jc w:val="right"/>
              <w:rPr>
                <w:b/>
                <w:bCs/>
                <w:sz w:val="20"/>
                <w:szCs w:val="20"/>
              </w:rPr>
            </w:pPr>
            <w:r w:rsidRPr="003B2C9F">
              <w:rPr>
                <w:b/>
                <w:bCs/>
                <w:sz w:val="20"/>
                <w:szCs w:val="20"/>
              </w:rPr>
              <w:t>0,00</w:t>
            </w:r>
          </w:p>
        </w:tc>
        <w:tc>
          <w:tcPr>
            <w:tcW w:w="1503" w:type="dxa"/>
            <w:tcBorders>
              <w:top w:val="nil"/>
              <w:left w:val="nil"/>
              <w:bottom w:val="nil"/>
              <w:right w:val="nil"/>
            </w:tcBorders>
            <w:shd w:val="clear" w:color="auto" w:fill="auto"/>
            <w:noWrap/>
            <w:vAlign w:val="bottom"/>
            <w:hideMark/>
          </w:tcPr>
          <w:p w14:paraId="502DB121" w14:textId="77777777" w:rsidR="003B2C9F" w:rsidRPr="003B2C9F" w:rsidRDefault="003B2C9F" w:rsidP="003B2C9F">
            <w:pPr>
              <w:jc w:val="right"/>
              <w:rPr>
                <w:b/>
                <w:bCs/>
                <w:sz w:val="20"/>
                <w:szCs w:val="20"/>
              </w:rPr>
            </w:pPr>
            <w:r w:rsidRPr="003B2C9F">
              <w:rPr>
                <w:b/>
                <w:bCs/>
                <w:sz w:val="20"/>
                <w:szCs w:val="20"/>
              </w:rPr>
              <w:t>100.000,00</w:t>
            </w:r>
          </w:p>
        </w:tc>
        <w:tc>
          <w:tcPr>
            <w:tcW w:w="1366" w:type="dxa"/>
            <w:tcBorders>
              <w:top w:val="nil"/>
              <w:left w:val="nil"/>
              <w:bottom w:val="nil"/>
              <w:right w:val="nil"/>
            </w:tcBorders>
            <w:shd w:val="clear" w:color="auto" w:fill="auto"/>
            <w:noWrap/>
            <w:vAlign w:val="bottom"/>
            <w:hideMark/>
          </w:tcPr>
          <w:p w14:paraId="03F12E56" w14:textId="77777777" w:rsidR="003B2C9F" w:rsidRPr="003B2C9F" w:rsidRDefault="003B2C9F" w:rsidP="003B2C9F">
            <w:pPr>
              <w:jc w:val="right"/>
              <w:rPr>
                <w:b/>
                <w:bCs/>
                <w:sz w:val="20"/>
                <w:szCs w:val="20"/>
              </w:rPr>
            </w:pPr>
            <w:r w:rsidRPr="003B2C9F">
              <w:rPr>
                <w:b/>
                <w:bCs/>
                <w:sz w:val="20"/>
                <w:szCs w:val="20"/>
              </w:rPr>
              <w:t>0,00</w:t>
            </w:r>
          </w:p>
        </w:tc>
        <w:tc>
          <w:tcPr>
            <w:tcW w:w="1525" w:type="dxa"/>
            <w:tcBorders>
              <w:top w:val="nil"/>
              <w:left w:val="nil"/>
              <w:bottom w:val="nil"/>
              <w:right w:val="nil"/>
            </w:tcBorders>
            <w:shd w:val="clear" w:color="auto" w:fill="auto"/>
            <w:noWrap/>
            <w:vAlign w:val="bottom"/>
            <w:hideMark/>
          </w:tcPr>
          <w:p w14:paraId="568B4992" w14:textId="77777777" w:rsidR="003B2C9F" w:rsidRPr="003B2C9F" w:rsidRDefault="003B2C9F" w:rsidP="003B2C9F">
            <w:pPr>
              <w:jc w:val="right"/>
              <w:rPr>
                <w:b/>
                <w:bCs/>
                <w:sz w:val="20"/>
                <w:szCs w:val="20"/>
              </w:rPr>
            </w:pPr>
            <w:r w:rsidRPr="003B2C9F">
              <w:rPr>
                <w:b/>
                <w:bCs/>
                <w:sz w:val="20"/>
                <w:szCs w:val="20"/>
              </w:rPr>
              <w:t>0,00</w:t>
            </w:r>
          </w:p>
        </w:tc>
        <w:tc>
          <w:tcPr>
            <w:tcW w:w="1000" w:type="dxa"/>
            <w:tcBorders>
              <w:top w:val="nil"/>
              <w:left w:val="nil"/>
              <w:bottom w:val="nil"/>
              <w:right w:val="nil"/>
            </w:tcBorders>
            <w:shd w:val="clear" w:color="auto" w:fill="auto"/>
            <w:noWrap/>
            <w:vAlign w:val="bottom"/>
            <w:hideMark/>
          </w:tcPr>
          <w:p w14:paraId="389245F3" w14:textId="77777777" w:rsidR="003B2C9F" w:rsidRPr="003B2C9F" w:rsidRDefault="003B2C9F" w:rsidP="003B2C9F">
            <w:pPr>
              <w:jc w:val="right"/>
              <w:rPr>
                <w:b/>
                <w:bCs/>
                <w:sz w:val="20"/>
                <w:szCs w:val="20"/>
              </w:rPr>
            </w:pPr>
            <w:r w:rsidRPr="003B2C9F">
              <w:rPr>
                <w:b/>
                <w:bCs/>
                <w:sz w:val="20"/>
                <w:szCs w:val="20"/>
              </w:rPr>
              <w:t>0,00</w:t>
            </w:r>
          </w:p>
        </w:tc>
      </w:tr>
      <w:tr w:rsidR="003B2C9F" w:rsidRPr="003B2C9F" w14:paraId="3C6EAFEB" w14:textId="77777777" w:rsidTr="003B2C9F">
        <w:trPr>
          <w:trHeight w:val="300"/>
        </w:trPr>
        <w:tc>
          <w:tcPr>
            <w:tcW w:w="616" w:type="dxa"/>
            <w:tcBorders>
              <w:top w:val="nil"/>
              <w:left w:val="nil"/>
              <w:bottom w:val="nil"/>
              <w:right w:val="nil"/>
            </w:tcBorders>
            <w:shd w:val="clear" w:color="auto" w:fill="auto"/>
            <w:noWrap/>
            <w:vAlign w:val="bottom"/>
            <w:hideMark/>
          </w:tcPr>
          <w:p w14:paraId="2BF852AE" w14:textId="77777777" w:rsidR="003B2C9F" w:rsidRPr="003B2C9F" w:rsidRDefault="003B2C9F" w:rsidP="003B2C9F">
            <w:pPr>
              <w:rPr>
                <w:sz w:val="20"/>
                <w:szCs w:val="20"/>
              </w:rPr>
            </w:pPr>
            <w:r w:rsidRPr="003B2C9F">
              <w:rPr>
                <w:sz w:val="20"/>
                <w:szCs w:val="20"/>
              </w:rPr>
              <w:t>3851</w:t>
            </w:r>
          </w:p>
        </w:tc>
        <w:tc>
          <w:tcPr>
            <w:tcW w:w="6472" w:type="dxa"/>
            <w:tcBorders>
              <w:top w:val="nil"/>
              <w:left w:val="nil"/>
              <w:bottom w:val="nil"/>
              <w:right w:val="nil"/>
            </w:tcBorders>
            <w:shd w:val="clear" w:color="auto" w:fill="auto"/>
            <w:vAlign w:val="bottom"/>
            <w:hideMark/>
          </w:tcPr>
          <w:p w14:paraId="7088A36B" w14:textId="77777777" w:rsidR="003B2C9F" w:rsidRPr="003B2C9F" w:rsidRDefault="003B2C9F" w:rsidP="003B2C9F">
            <w:pPr>
              <w:rPr>
                <w:sz w:val="20"/>
                <w:szCs w:val="20"/>
              </w:rPr>
            </w:pPr>
            <w:r w:rsidRPr="003B2C9F">
              <w:rPr>
                <w:sz w:val="20"/>
                <w:szCs w:val="20"/>
              </w:rPr>
              <w:t>Nepredviđeni rashodi do visine proračunske pričuve</w:t>
            </w:r>
          </w:p>
        </w:tc>
        <w:tc>
          <w:tcPr>
            <w:tcW w:w="1559" w:type="dxa"/>
            <w:tcBorders>
              <w:top w:val="nil"/>
              <w:left w:val="nil"/>
              <w:bottom w:val="nil"/>
              <w:right w:val="nil"/>
            </w:tcBorders>
            <w:shd w:val="clear" w:color="auto" w:fill="auto"/>
            <w:noWrap/>
            <w:vAlign w:val="bottom"/>
            <w:hideMark/>
          </w:tcPr>
          <w:p w14:paraId="44F22147" w14:textId="77777777" w:rsidR="003B2C9F" w:rsidRPr="003B2C9F" w:rsidRDefault="003B2C9F" w:rsidP="003B2C9F">
            <w:pPr>
              <w:jc w:val="right"/>
              <w:rPr>
                <w:sz w:val="20"/>
                <w:szCs w:val="20"/>
              </w:rPr>
            </w:pPr>
            <w:r w:rsidRPr="003B2C9F">
              <w:rPr>
                <w:sz w:val="20"/>
                <w:szCs w:val="20"/>
              </w:rPr>
              <w:t>0,00</w:t>
            </w:r>
          </w:p>
        </w:tc>
        <w:tc>
          <w:tcPr>
            <w:tcW w:w="1503" w:type="dxa"/>
            <w:tcBorders>
              <w:top w:val="nil"/>
              <w:left w:val="nil"/>
              <w:bottom w:val="nil"/>
              <w:right w:val="nil"/>
            </w:tcBorders>
            <w:shd w:val="clear" w:color="auto" w:fill="auto"/>
            <w:noWrap/>
            <w:vAlign w:val="bottom"/>
            <w:hideMark/>
          </w:tcPr>
          <w:p w14:paraId="17F37FBB"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7377E1BA" w14:textId="77777777" w:rsidR="003B2C9F" w:rsidRPr="003B2C9F" w:rsidRDefault="003B2C9F" w:rsidP="003B2C9F">
            <w:pPr>
              <w:jc w:val="right"/>
              <w:rPr>
                <w:sz w:val="20"/>
                <w:szCs w:val="20"/>
              </w:rPr>
            </w:pPr>
            <w:r w:rsidRPr="003B2C9F">
              <w:rPr>
                <w:sz w:val="20"/>
                <w:szCs w:val="20"/>
              </w:rPr>
              <w:t>0,00</w:t>
            </w:r>
          </w:p>
        </w:tc>
        <w:tc>
          <w:tcPr>
            <w:tcW w:w="1525" w:type="dxa"/>
            <w:tcBorders>
              <w:top w:val="nil"/>
              <w:left w:val="nil"/>
              <w:bottom w:val="nil"/>
              <w:right w:val="nil"/>
            </w:tcBorders>
            <w:shd w:val="clear" w:color="auto" w:fill="auto"/>
            <w:noWrap/>
            <w:vAlign w:val="bottom"/>
            <w:hideMark/>
          </w:tcPr>
          <w:p w14:paraId="591B90A2" w14:textId="77777777" w:rsidR="003B2C9F" w:rsidRPr="003B2C9F" w:rsidRDefault="003B2C9F" w:rsidP="003B2C9F">
            <w:pPr>
              <w:jc w:val="right"/>
              <w:rPr>
                <w:sz w:val="20"/>
                <w:szCs w:val="20"/>
              </w:rPr>
            </w:pPr>
            <w:r w:rsidRPr="003B2C9F">
              <w:rPr>
                <w:sz w:val="20"/>
                <w:szCs w:val="20"/>
              </w:rPr>
              <w:t>0,00</w:t>
            </w:r>
          </w:p>
        </w:tc>
        <w:tc>
          <w:tcPr>
            <w:tcW w:w="1000" w:type="dxa"/>
            <w:tcBorders>
              <w:top w:val="nil"/>
              <w:left w:val="nil"/>
              <w:bottom w:val="nil"/>
              <w:right w:val="nil"/>
            </w:tcBorders>
            <w:shd w:val="clear" w:color="auto" w:fill="auto"/>
            <w:noWrap/>
            <w:vAlign w:val="bottom"/>
            <w:hideMark/>
          </w:tcPr>
          <w:p w14:paraId="11887EA1" w14:textId="77777777" w:rsidR="003B2C9F" w:rsidRPr="003B2C9F" w:rsidRDefault="003B2C9F" w:rsidP="003B2C9F">
            <w:pPr>
              <w:jc w:val="right"/>
              <w:rPr>
                <w:sz w:val="20"/>
                <w:szCs w:val="20"/>
              </w:rPr>
            </w:pPr>
          </w:p>
        </w:tc>
      </w:tr>
      <w:tr w:rsidR="003B2C9F" w:rsidRPr="003B2C9F" w14:paraId="12C6F33C" w14:textId="77777777" w:rsidTr="003B2C9F">
        <w:trPr>
          <w:trHeight w:val="300"/>
        </w:trPr>
        <w:tc>
          <w:tcPr>
            <w:tcW w:w="616" w:type="dxa"/>
            <w:tcBorders>
              <w:top w:val="nil"/>
              <w:left w:val="nil"/>
              <w:bottom w:val="nil"/>
              <w:right w:val="nil"/>
            </w:tcBorders>
            <w:shd w:val="clear" w:color="auto" w:fill="auto"/>
            <w:noWrap/>
            <w:vAlign w:val="bottom"/>
            <w:hideMark/>
          </w:tcPr>
          <w:p w14:paraId="7D5FA482" w14:textId="77777777" w:rsidR="003B2C9F" w:rsidRPr="003B2C9F" w:rsidRDefault="003B2C9F" w:rsidP="003B2C9F">
            <w:pPr>
              <w:rPr>
                <w:b/>
                <w:bCs/>
                <w:sz w:val="20"/>
                <w:szCs w:val="20"/>
              </w:rPr>
            </w:pPr>
            <w:r w:rsidRPr="003B2C9F">
              <w:rPr>
                <w:b/>
                <w:bCs/>
                <w:sz w:val="20"/>
                <w:szCs w:val="20"/>
              </w:rPr>
              <w:t>386</w:t>
            </w:r>
          </w:p>
        </w:tc>
        <w:tc>
          <w:tcPr>
            <w:tcW w:w="6472" w:type="dxa"/>
            <w:tcBorders>
              <w:top w:val="nil"/>
              <w:left w:val="nil"/>
              <w:bottom w:val="nil"/>
              <w:right w:val="nil"/>
            </w:tcBorders>
            <w:shd w:val="clear" w:color="auto" w:fill="auto"/>
            <w:noWrap/>
            <w:vAlign w:val="bottom"/>
            <w:hideMark/>
          </w:tcPr>
          <w:p w14:paraId="5936FCC5" w14:textId="77777777" w:rsidR="003B2C9F" w:rsidRPr="003B2C9F" w:rsidRDefault="003B2C9F" w:rsidP="003B2C9F">
            <w:pPr>
              <w:rPr>
                <w:b/>
                <w:bCs/>
                <w:sz w:val="20"/>
                <w:szCs w:val="20"/>
              </w:rPr>
            </w:pPr>
            <w:r w:rsidRPr="003B2C9F">
              <w:rPr>
                <w:b/>
                <w:bCs/>
                <w:sz w:val="20"/>
                <w:szCs w:val="20"/>
              </w:rPr>
              <w:t xml:space="preserve">Kapitalne pomoći                                                                                    </w:t>
            </w:r>
          </w:p>
        </w:tc>
        <w:tc>
          <w:tcPr>
            <w:tcW w:w="1559" w:type="dxa"/>
            <w:tcBorders>
              <w:top w:val="nil"/>
              <w:left w:val="nil"/>
              <w:bottom w:val="nil"/>
              <w:right w:val="nil"/>
            </w:tcBorders>
            <w:shd w:val="clear" w:color="auto" w:fill="auto"/>
            <w:noWrap/>
            <w:vAlign w:val="bottom"/>
            <w:hideMark/>
          </w:tcPr>
          <w:p w14:paraId="2D8C00FC" w14:textId="77777777" w:rsidR="003B2C9F" w:rsidRPr="003B2C9F" w:rsidRDefault="003B2C9F" w:rsidP="003B2C9F">
            <w:pPr>
              <w:jc w:val="right"/>
              <w:rPr>
                <w:b/>
                <w:bCs/>
                <w:sz w:val="20"/>
                <w:szCs w:val="20"/>
              </w:rPr>
            </w:pPr>
            <w:r w:rsidRPr="003B2C9F">
              <w:rPr>
                <w:b/>
                <w:bCs/>
                <w:sz w:val="20"/>
                <w:szCs w:val="20"/>
              </w:rPr>
              <w:t>0,00</w:t>
            </w:r>
          </w:p>
        </w:tc>
        <w:tc>
          <w:tcPr>
            <w:tcW w:w="1503" w:type="dxa"/>
            <w:tcBorders>
              <w:top w:val="nil"/>
              <w:left w:val="nil"/>
              <w:bottom w:val="nil"/>
              <w:right w:val="nil"/>
            </w:tcBorders>
            <w:shd w:val="clear" w:color="auto" w:fill="auto"/>
            <w:noWrap/>
            <w:vAlign w:val="bottom"/>
            <w:hideMark/>
          </w:tcPr>
          <w:p w14:paraId="6F0EA134" w14:textId="77777777" w:rsidR="003B2C9F" w:rsidRPr="003B2C9F" w:rsidRDefault="003B2C9F" w:rsidP="003B2C9F">
            <w:pPr>
              <w:jc w:val="right"/>
              <w:rPr>
                <w:b/>
                <w:bCs/>
                <w:sz w:val="20"/>
                <w:szCs w:val="20"/>
              </w:rPr>
            </w:pPr>
            <w:r w:rsidRPr="003B2C9F">
              <w:rPr>
                <w:b/>
                <w:bCs/>
                <w:sz w:val="20"/>
                <w:szCs w:val="20"/>
              </w:rPr>
              <w:t>348.000,00</w:t>
            </w:r>
          </w:p>
        </w:tc>
        <w:tc>
          <w:tcPr>
            <w:tcW w:w="1366" w:type="dxa"/>
            <w:tcBorders>
              <w:top w:val="nil"/>
              <w:left w:val="nil"/>
              <w:bottom w:val="nil"/>
              <w:right w:val="nil"/>
            </w:tcBorders>
            <w:shd w:val="clear" w:color="auto" w:fill="auto"/>
            <w:noWrap/>
            <w:vAlign w:val="bottom"/>
            <w:hideMark/>
          </w:tcPr>
          <w:p w14:paraId="1F4B4A0B" w14:textId="77777777" w:rsidR="003B2C9F" w:rsidRPr="003B2C9F" w:rsidRDefault="003B2C9F" w:rsidP="003B2C9F">
            <w:pPr>
              <w:jc w:val="right"/>
              <w:rPr>
                <w:b/>
                <w:bCs/>
                <w:sz w:val="20"/>
                <w:szCs w:val="20"/>
              </w:rPr>
            </w:pPr>
            <w:r w:rsidRPr="003B2C9F">
              <w:rPr>
                <w:b/>
                <w:bCs/>
                <w:sz w:val="20"/>
                <w:szCs w:val="20"/>
              </w:rPr>
              <w:t>0,00</w:t>
            </w:r>
          </w:p>
        </w:tc>
        <w:tc>
          <w:tcPr>
            <w:tcW w:w="1525" w:type="dxa"/>
            <w:tcBorders>
              <w:top w:val="nil"/>
              <w:left w:val="nil"/>
              <w:bottom w:val="nil"/>
              <w:right w:val="nil"/>
            </w:tcBorders>
            <w:shd w:val="clear" w:color="auto" w:fill="auto"/>
            <w:noWrap/>
            <w:vAlign w:val="bottom"/>
            <w:hideMark/>
          </w:tcPr>
          <w:p w14:paraId="26644F1B" w14:textId="77777777" w:rsidR="003B2C9F" w:rsidRPr="003B2C9F" w:rsidRDefault="003B2C9F" w:rsidP="003B2C9F">
            <w:pPr>
              <w:jc w:val="right"/>
              <w:rPr>
                <w:b/>
                <w:bCs/>
                <w:sz w:val="20"/>
                <w:szCs w:val="20"/>
              </w:rPr>
            </w:pPr>
            <w:r w:rsidRPr="003B2C9F">
              <w:rPr>
                <w:b/>
                <w:bCs/>
                <w:sz w:val="20"/>
                <w:szCs w:val="20"/>
              </w:rPr>
              <w:t>0,00</w:t>
            </w:r>
          </w:p>
        </w:tc>
        <w:tc>
          <w:tcPr>
            <w:tcW w:w="1000" w:type="dxa"/>
            <w:tcBorders>
              <w:top w:val="nil"/>
              <w:left w:val="nil"/>
              <w:bottom w:val="nil"/>
              <w:right w:val="nil"/>
            </w:tcBorders>
            <w:shd w:val="clear" w:color="auto" w:fill="auto"/>
            <w:noWrap/>
            <w:vAlign w:val="bottom"/>
            <w:hideMark/>
          </w:tcPr>
          <w:p w14:paraId="713B80BE" w14:textId="77777777" w:rsidR="003B2C9F" w:rsidRPr="003B2C9F" w:rsidRDefault="003B2C9F" w:rsidP="003B2C9F">
            <w:pPr>
              <w:jc w:val="right"/>
              <w:rPr>
                <w:b/>
                <w:bCs/>
                <w:sz w:val="20"/>
                <w:szCs w:val="20"/>
              </w:rPr>
            </w:pPr>
            <w:r w:rsidRPr="003B2C9F">
              <w:rPr>
                <w:b/>
                <w:bCs/>
                <w:sz w:val="20"/>
                <w:szCs w:val="20"/>
              </w:rPr>
              <w:t>0,00</w:t>
            </w:r>
          </w:p>
        </w:tc>
      </w:tr>
      <w:tr w:rsidR="003B2C9F" w:rsidRPr="003B2C9F" w14:paraId="0974D4D0" w14:textId="77777777" w:rsidTr="003B2C9F">
        <w:trPr>
          <w:trHeight w:val="525"/>
        </w:trPr>
        <w:tc>
          <w:tcPr>
            <w:tcW w:w="616" w:type="dxa"/>
            <w:tcBorders>
              <w:top w:val="nil"/>
              <w:left w:val="nil"/>
              <w:bottom w:val="nil"/>
              <w:right w:val="nil"/>
            </w:tcBorders>
            <w:shd w:val="clear" w:color="auto" w:fill="auto"/>
            <w:noWrap/>
            <w:vAlign w:val="bottom"/>
            <w:hideMark/>
          </w:tcPr>
          <w:p w14:paraId="756E0229" w14:textId="77777777" w:rsidR="003B2C9F" w:rsidRPr="003B2C9F" w:rsidRDefault="003B2C9F" w:rsidP="003B2C9F">
            <w:pPr>
              <w:rPr>
                <w:sz w:val="20"/>
                <w:szCs w:val="20"/>
              </w:rPr>
            </w:pPr>
            <w:r w:rsidRPr="003B2C9F">
              <w:rPr>
                <w:sz w:val="20"/>
                <w:szCs w:val="20"/>
              </w:rPr>
              <w:t>3861</w:t>
            </w:r>
          </w:p>
        </w:tc>
        <w:tc>
          <w:tcPr>
            <w:tcW w:w="6472" w:type="dxa"/>
            <w:tcBorders>
              <w:top w:val="nil"/>
              <w:left w:val="nil"/>
              <w:bottom w:val="nil"/>
              <w:right w:val="nil"/>
            </w:tcBorders>
            <w:shd w:val="clear" w:color="auto" w:fill="auto"/>
            <w:vAlign w:val="bottom"/>
            <w:hideMark/>
          </w:tcPr>
          <w:p w14:paraId="1855D609" w14:textId="3F34A75B" w:rsidR="003B2C9F" w:rsidRPr="003B2C9F" w:rsidRDefault="003B2C9F" w:rsidP="003B2C9F">
            <w:pPr>
              <w:rPr>
                <w:sz w:val="20"/>
                <w:szCs w:val="20"/>
              </w:rPr>
            </w:pPr>
            <w:r w:rsidRPr="003B2C9F">
              <w:rPr>
                <w:sz w:val="20"/>
                <w:szCs w:val="20"/>
              </w:rPr>
              <w:t>Kapitalne pomoći kreditnim i ostalim financijskim institucijama te trgovačkim društvima u javnom sek</w:t>
            </w:r>
            <w:r w:rsidR="00C462A3">
              <w:rPr>
                <w:sz w:val="20"/>
                <w:szCs w:val="20"/>
              </w:rPr>
              <w:t>toru</w:t>
            </w:r>
          </w:p>
        </w:tc>
        <w:tc>
          <w:tcPr>
            <w:tcW w:w="1559" w:type="dxa"/>
            <w:tcBorders>
              <w:top w:val="nil"/>
              <w:left w:val="nil"/>
              <w:bottom w:val="nil"/>
              <w:right w:val="nil"/>
            </w:tcBorders>
            <w:shd w:val="clear" w:color="auto" w:fill="auto"/>
            <w:noWrap/>
            <w:vAlign w:val="bottom"/>
            <w:hideMark/>
          </w:tcPr>
          <w:p w14:paraId="3000C38E" w14:textId="77777777" w:rsidR="003B2C9F" w:rsidRPr="003B2C9F" w:rsidRDefault="003B2C9F" w:rsidP="003B2C9F">
            <w:pPr>
              <w:jc w:val="right"/>
              <w:rPr>
                <w:sz w:val="20"/>
                <w:szCs w:val="20"/>
              </w:rPr>
            </w:pPr>
            <w:r w:rsidRPr="003B2C9F">
              <w:rPr>
                <w:sz w:val="20"/>
                <w:szCs w:val="20"/>
              </w:rPr>
              <w:t>0,00</w:t>
            </w:r>
          </w:p>
        </w:tc>
        <w:tc>
          <w:tcPr>
            <w:tcW w:w="1503" w:type="dxa"/>
            <w:tcBorders>
              <w:top w:val="nil"/>
              <w:left w:val="nil"/>
              <w:bottom w:val="nil"/>
              <w:right w:val="nil"/>
            </w:tcBorders>
            <w:shd w:val="clear" w:color="auto" w:fill="auto"/>
            <w:noWrap/>
            <w:vAlign w:val="bottom"/>
            <w:hideMark/>
          </w:tcPr>
          <w:p w14:paraId="285ADF7A"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13C0A56" w14:textId="77777777" w:rsidR="003B2C9F" w:rsidRPr="003B2C9F" w:rsidRDefault="003B2C9F" w:rsidP="003B2C9F">
            <w:pPr>
              <w:jc w:val="right"/>
              <w:rPr>
                <w:sz w:val="20"/>
                <w:szCs w:val="20"/>
              </w:rPr>
            </w:pPr>
            <w:r w:rsidRPr="003B2C9F">
              <w:rPr>
                <w:sz w:val="20"/>
                <w:szCs w:val="20"/>
              </w:rPr>
              <w:t>0,00</w:t>
            </w:r>
          </w:p>
        </w:tc>
        <w:tc>
          <w:tcPr>
            <w:tcW w:w="1525" w:type="dxa"/>
            <w:tcBorders>
              <w:top w:val="nil"/>
              <w:left w:val="nil"/>
              <w:bottom w:val="nil"/>
              <w:right w:val="nil"/>
            </w:tcBorders>
            <w:shd w:val="clear" w:color="auto" w:fill="auto"/>
            <w:noWrap/>
            <w:vAlign w:val="bottom"/>
            <w:hideMark/>
          </w:tcPr>
          <w:p w14:paraId="376555DE" w14:textId="77777777" w:rsidR="003B2C9F" w:rsidRPr="003B2C9F" w:rsidRDefault="003B2C9F" w:rsidP="003B2C9F">
            <w:pPr>
              <w:jc w:val="right"/>
              <w:rPr>
                <w:sz w:val="20"/>
                <w:szCs w:val="20"/>
              </w:rPr>
            </w:pPr>
            <w:r w:rsidRPr="003B2C9F">
              <w:rPr>
                <w:sz w:val="20"/>
                <w:szCs w:val="20"/>
              </w:rPr>
              <w:t>0,00</w:t>
            </w:r>
          </w:p>
        </w:tc>
        <w:tc>
          <w:tcPr>
            <w:tcW w:w="1000" w:type="dxa"/>
            <w:tcBorders>
              <w:top w:val="nil"/>
              <w:left w:val="nil"/>
              <w:bottom w:val="nil"/>
              <w:right w:val="nil"/>
            </w:tcBorders>
            <w:shd w:val="clear" w:color="auto" w:fill="auto"/>
            <w:noWrap/>
            <w:vAlign w:val="bottom"/>
            <w:hideMark/>
          </w:tcPr>
          <w:p w14:paraId="459BEA35" w14:textId="77777777" w:rsidR="003B2C9F" w:rsidRPr="003B2C9F" w:rsidRDefault="003B2C9F" w:rsidP="003B2C9F">
            <w:pPr>
              <w:jc w:val="right"/>
              <w:rPr>
                <w:sz w:val="20"/>
                <w:szCs w:val="20"/>
              </w:rPr>
            </w:pPr>
          </w:p>
        </w:tc>
      </w:tr>
      <w:tr w:rsidR="003B2C9F" w:rsidRPr="003B2C9F" w14:paraId="5E8ADF95" w14:textId="77777777" w:rsidTr="003B2C9F">
        <w:trPr>
          <w:trHeight w:val="300"/>
        </w:trPr>
        <w:tc>
          <w:tcPr>
            <w:tcW w:w="616" w:type="dxa"/>
            <w:tcBorders>
              <w:top w:val="nil"/>
              <w:left w:val="nil"/>
              <w:bottom w:val="nil"/>
              <w:right w:val="nil"/>
            </w:tcBorders>
            <w:shd w:val="clear" w:color="auto" w:fill="auto"/>
            <w:noWrap/>
            <w:vAlign w:val="bottom"/>
            <w:hideMark/>
          </w:tcPr>
          <w:p w14:paraId="6214F611" w14:textId="77777777" w:rsidR="003B2C9F" w:rsidRPr="003B2C9F" w:rsidRDefault="003B2C9F" w:rsidP="003B2C9F">
            <w:pPr>
              <w:rPr>
                <w:b/>
                <w:bCs/>
                <w:sz w:val="20"/>
                <w:szCs w:val="20"/>
              </w:rPr>
            </w:pPr>
            <w:r w:rsidRPr="003B2C9F">
              <w:rPr>
                <w:b/>
                <w:bCs/>
                <w:sz w:val="20"/>
                <w:szCs w:val="20"/>
              </w:rPr>
              <w:t>4</w:t>
            </w:r>
          </w:p>
        </w:tc>
        <w:tc>
          <w:tcPr>
            <w:tcW w:w="6472" w:type="dxa"/>
            <w:tcBorders>
              <w:top w:val="nil"/>
              <w:left w:val="nil"/>
              <w:bottom w:val="nil"/>
              <w:right w:val="nil"/>
            </w:tcBorders>
            <w:shd w:val="clear" w:color="auto" w:fill="auto"/>
            <w:noWrap/>
            <w:vAlign w:val="bottom"/>
            <w:hideMark/>
          </w:tcPr>
          <w:p w14:paraId="5930E774" w14:textId="77777777" w:rsidR="003B2C9F" w:rsidRPr="003B2C9F" w:rsidRDefault="003B2C9F" w:rsidP="003B2C9F">
            <w:pPr>
              <w:rPr>
                <w:b/>
                <w:bCs/>
                <w:sz w:val="20"/>
                <w:szCs w:val="20"/>
              </w:rPr>
            </w:pPr>
            <w:r w:rsidRPr="003B2C9F">
              <w:rPr>
                <w:b/>
                <w:bCs/>
                <w:sz w:val="20"/>
                <w:szCs w:val="20"/>
              </w:rPr>
              <w:t xml:space="preserve">Rashodi za nabavu nefinancijske imovine                                                             </w:t>
            </w:r>
          </w:p>
        </w:tc>
        <w:tc>
          <w:tcPr>
            <w:tcW w:w="1559" w:type="dxa"/>
            <w:tcBorders>
              <w:top w:val="nil"/>
              <w:left w:val="nil"/>
              <w:bottom w:val="nil"/>
              <w:right w:val="nil"/>
            </w:tcBorders>
            <w:shd w:val="clear" w:color="auto" w:fill="auto"/>
            <w:noWrap/>
            <w:vAlign w:val="bottom"/>
            <w:hideMark/>
          </w:tcPr>
          <w:p w14:paraId="442C41F4" w14:textId="77777777" w:rsidR="003B2C9F" w:rsidRPr="003B2C9F" w:rsidRDefault="003B2C9F" w:rsidP="003B2C9F">
            <w:pPr>
              <w:jc w:val="right"/>
              <w:rPr>
                <w:b/>
                <w:bCs/>
                <w:sz w:val="20"/>
                <w:szCs w:val="20"/>
              </w:rPr>
            </w:pPr>
            <w:r w:rsidRPr="003B2C9F">
              <w:rPr>
                <w:b/>
                <w:bCs/>
                <w:sz w:val="20"/>
                <w:szCs w:val="20"/>
              </w:rPr>
              <w:t>9.739.905,39</w:t>
            </w:r>
          </w:p>
        </w:tc>
        <w:tc>
          <w:tcPr>
            <w:tcW w:w="1503" w:type="dxa"/>
            <w:tcBorders>
              <w:top w:val="nil"/>
              <w:left w:val="nil"/>
              <w:bottom w:val="nil"/>
              <w:right w:val="nil"/>
            </w:tcBorders>
            <w:shd w:val="clear" w:color="auto" w:fill="auto"/>
            <w:noWrap/>
            <w:vAlign w:val="bottom"/>
            <w:hideMark/>
          </w:tcPr>
          <w:p w14:paraId="70EB0E4C" w14:textId="77777777" w:rsidR="003B2C9F" w:rsidRPr="003B2C9F" w:rsidRDefault="003B2C9F" w:rsidP="003B2C9F">
            <w:pPr>
              <w:jc w:val="right"/>
              <w:rPr>
                <w:b/>
                <w:bCs/>
                <w:sz w:val="20"/>
                <w:szCs w:val="20"/>
              </w:rPr>
            </w:pPr>
            <w:r w:rsidRPr="003B2C9F">
              <w:rPr>
                <w:b/>
                <w:bCs/>
                <w:sz w:val="20"/>
                <w:szCs w:val="20"/>
              </w:rPr>
              <w:t>7.299.636,10</w:t>
            </w:r>
          </w:p>
        </w:tc>
        <w:tc>
          <w:tcPr>
            <w:tcW w:w="1366" w:type="dxa"/>
            <w:tcBorders>
              <w:top w:val="nil"/>
              <w:left w:val="nil"/>
              <w:bottom w:val="nil"/>
              <w:right w:val="nil"/>
            </w:tcBorders>
            <w:shd w:val="clear" w:color="auto" w:fill="auto"/>
            <w:noWrap/>
            <w:vAlign w:val="bottom"/>
            <w:hideMark/>
          </w:tcPr>
          <w:p w14:paraId="04905F97" w14:textId="77777777" w:rsidR="003B2C9F" w:rsidRPr="003B2C9F" w:rsidRDefault="003B2C9F" w:rsidP="003B2C9F">
            <w:pPr>
              <w:jc w:val="right"/>
              <w:rPr>
                <w:b/>
                <w:bCs/>
                <w:sz w:val="20"/>
                <w:szCs w:val="20"/>
              </w:rPr>
            </w:pPr>
            <w:r w:rsidRPr="003B2C9F">
              <w:rPr>
                <w:b/>
                <w:bCs/>
                <w:sz w:val="20"/>
                <w:szCs w:val="20"/>
              </w:rPr>
              <w:t>6.915.985,03</w:t>
            </w:r>
          </w:p>
        </w:tc>
        <w:tc>
          <w:tcPr>
            <w:tcW w:w="1525" w:type="dxa"/>
            <w:tcBorders>
              <w:top w:val="nil"/>
              <w:left w:val="nil"/>
              <w:bottom w:val="nil"/>
              <w:right w:val="nil"/>
            </w:tcBorders>
            <w:shd w:val="clear" w:color="auto" w:fill="auto"/>
            <w:noWrap/>
            <w:vAlign w:val="bottom"/>
            <w:hideMark/>
          </w:tcPr>
          <w:p w14:paraId="31AFDF93" w14:textId="77777777" w:rsidR="003B2C9F" w:rsidRPr="003B2C9F" w:rsidRDefault="003B2C9F" w:rsidP="003B2C9F">
            <w:pPr>
              <w:jc w:val="right"/>
              <w:rPr>
                <w:b/>
                <w:bCs/>
                <w:sz w:val="20"/>
                <w:szCs w:val="20"/>
              </w:rPr>
            </w:pPr>
            <w:r w:rsidRPr="003B2C9F">
              <w:rPr>
                <w:b/>
                <w:bCs/>
                <w:sz w:val="20"/>
                <w:szCs w:val="20"/>
              </w:rPr>
              <w:t>71,01</w:t>
            </w:r>
          </w:p>
        </w:tc>
        <w:tc>
          <w:tcPr>
            <w:tcW w:w="1000" w:type="dxa"/>
            <w:tcBorders>
              <w:top w:val="nil"/>
              <w:left w:val="nil"/>
              <w:bottom w:val="nil"/>
              <w:right w:val="nil"/>
            </w:tcBorders>
            <w:shd w:val="clear" w:color="auto" w:fill="auto"/>
            <w:noWrap/>
            <w:vAlign w:val="bottom"/>
            <w:hideMark/>
          </w:tcPr>
          <w:p w14:paraId="4320DB53" w14:textId="77777777" w:rsidR="003B2C9F" w:rsidRPr="003B2C9F" w:rsidRDefault="003B2C9F" w:rsidP="003B2C9F">
            <w:pPr>
              <w:jc w:val="right"/>
              <w:rPr>
                <w:b/>
                <w:bCs/>
                <w:sz w:val="20"/>
                <w:szCs w:val="20"/>
              </w:rPr>
            </w:pPr>
            <w:r w:rsidRPr="003B2C9F">
              <w:rPr>
                <w:b/>
                <w:bCs/>
                <w:sz w:val="20"/>
                <w:szCs w:val="20"/>
              </w:rPr>
              <w:t>94,74</w:t>
            </w:r>
          </w:p>
        </w:tc>
      </w:tr>
      <w:tr w:rsidR="003B2C9F" w:rsidRPr="003B2C9F" w14:paraId="1CB08A61" w14:textId="77777777" w:rsidTr="003B2C9F">
        <w:trPr>
          <w:trHeight w:val="300"/>
        </w:trPr>
        <w:tc>
          <w:tcPr>
            <w:tcW w:w="616" w:type="dxa"/>
            <w:tcBorders>
              <w:top w:val="nil"/>
              <w:left w:val="nil"/>
              <w:bottom w:val="nil"/>
              <w:right w:val="nil"/>
            </w:tcBorders>
            <w:shd w:val="clear" w:color="auto" w:fill="auto"/>
            <w:noWrap/>
            <w:vAlign w:val="bottom"/>
            <w:hideMark/>
          </w:tcPr>
          <w:p w14:paraId="10B04E91" w14:textId="77777777" w:rsidR="003B2C9F" w:rsidRPr="003B2C9F" w:rsidRDefault="003B2C9F" w:rsidP="003B2C9F">
            <w:pPr>
              <w:rPr>
                <w:b/>
                <w:bCs/>
                <w:sz w:val="20"/>
                <w:szCs w:val="20"/>
              </w:rPr>
            </w:pPr>
            <w:r w:rsidRPr="003B2C9F">
              <w:rPr>
                <w:b/>
                <w:bCs/>
                <w:sz w:val="20"/>
                <w:szCs w:val="20"/>
              </w:rPr>
              <w:t>41</w:t>
            </w:r>
          </w:p>
        </w:tc>
        <w:tc>
          <w:tcPr>
            <w:tcW w:w="6472" w:type="dxa"/>
            <w:tcBorders>
              <w:top w:val="nil"/>
              <w:left w:val="nil"/>
              <w:bottom w:val="nil"/>
              <w:right w:val="nil"/>
            </w:tcBorders>
            <w:shd w:val="clear" w:color="auto" w:fill="auto"/>
            <w:noWrap/>
            <w:vAlign w:val="bottom"/>
            <w:hideMark/>
          </w:tcPr>
          <w:p w14:paraId="56C2D8AE" w14:textId="77777777" w:rsidR="003B2C9F" w:rsidRPr="003B2C9F" w:rsidRDefault="003B2C9F" w:rsidP="003B2C9F">
            <w:pPr>
              <w:rPr>
                <w:b/>
                <w:bCs/>
                <w:sz w:val="20"/>
                <w:szCs w:val="20"/>
              </w:rPr>
            </w:pPr>
            <w:r w:rsidRPr="003B2C9F">
              <w:rPr>
                <w:b/>
                <w:bCs/>
                <w:sz w:val="20"/>
                <w:szCs w:val="20"/>
              </w:rPr>
              <w:t xml:space="preserve">Rashodi za nabavu </w:t>
            </w:r>
            <w:proofErr w:type="spellStart"/>
            <w:r w:rsidRPr="003B2C9F">
              <w:rPr>
                <w:b/>
                <w:bCs/>
                <w:sz w:val="20"/>
                <w:szCs w:val="20"/>
              </w:rPr>
              <w:t>neproizvedene</w:t>
            </w:r>
            <w:proofErr w:type="spellEnd"/>
            <w:r w:rsidRPr="003B2C9F">
              <w:rPr>
                <w:b/>
                <w:bCs/>
                <w:sz w:val="20"/>
                <w:szCs w:val="20"/>
              </w:rPr>
              <w:t xml:space="preserve"> dugotrajne imovine                                                  </w:t>
            </w:r>
          </w:p>
        </w:tc>
        <w:tc>
          <w:tcPr>
            <w:tcW w:w="1559" w:type="dxa"/>
            <w:tcBorders>
              <w:top w:val="nil"/>
              <w:left w:val="nil"/>
              <w:bottom w:val="nil"/>
              <w:right w:val="nil"/>
            </w:tcBorders>
            <w:shd w:val="clear" w:color="auto" w:fill="auto"/>
            <w:noWrap/>
            <w:vAlign w:val="bottom"/>
            <w:hideMark/>
          </w:tcPr>
          <w:p w14:paraId="0BFF7A68" w14:textId="77777777" w:rsidR="003B2C9F" w:rsidRPr="003B2C9F" w:rsidRDefault="003B2C9F" w:rsidP="003B2C9F">
            <w:pPr>
              <w:jc w:val="right"/>
              <w:rPr>
                <w:b/>
                <w:bCs/>
                <w:sz w:val="20"/>
                <w:szCs w:val="20"/>
              </w:rPr>
            </w:pPr>
            <w:r w:rsidRPr="003B2C9F">
              <w:rPr>
                <w:b/>
                <w:bCs/>
                <w:sz w:val="20"/>
                <w:szCs w:val="20"/>
              </w:rPr>
              <w:t>282.606,52</w:t>
            </w:r>
          </w:p>
        </w:tc>
        <w:tc>
          <w:tcPr>
            <w:tcW w:w="1503" w:type="dxa"/>
            <w:tcBorders>
              <w:top w:val="nil"/>
              <w:left w:val="nil"/>
              <w:bottom w:val="nil"/>
              <w:right w:val="nil"/>
            </w:tcBorders>
            <w:shd w:val="clear" w:color="auto" w:fill="auto"/>
            <w:noWrap/>
            <w:vAlign w:val="bottom"/>
            <w:hideMark/>
          </w:tcPr>
          <w:p w14:paraId="6307B089" w14:textId="77777777" w:rsidR="003B2C9F" w:rsidRPr="003B2C9F" w:rsidRDefault="003B2C9F" w:rsidP="003B2C9F">
            <w:pPr>
              <w:jc w:val="right"/>
              <w:rPr>
                <w:b/>
                <w:bCs/>
                <w:sz w:val="20"/>
                <w:szCs w:val="20"/>
              </w:rPr>
            </w:pPr>
            <w:r w:rsidRPr="003B2C9F">
              <w:rPr>
                <w:b/>
                <w:bCs/>
                <w:sz w:val="20"/>
                <w:szCs w:val="20"/>
              </w:rPr>
              <w:t>517.909,20</w:t>
            </w:r>
          </w:p>
        </w:tc>
        <w:tc>
          <w:tcPr>
            <w:tcW w:w="1366" w:type="dxa"/>
            <w:tcBorders>
              <w:top w:val="nil"/>
              <w:left w:val="nil"/>
              <w:bottom w:val="nil"/>
              <w:right w:val="nil"/>
            </w:tcBorders>
            <w:shd w:val="clear" w:color="auto" w:fill="auto"/>
            <w:noWrap/>
            <w:vAlign w:val="bottom"/>
            <w:hideMark/>
          </w:tcPr>
          <w:p w14:paraId="390C5FEC" w14:textId="77777777" w:rsidR="003B2C9F" w:rsidRPr="003B2C9F" w:rsidRDefault="003B2C9F" w:rsidP="003B2C9F">
            <w:pPr>
              <w:jc w:val="right"/>
              <w:rPr>
                <w:b/>
                <w:bCs/>
                <w:sz w:val="20"/>
                <w:szCs w:val="20"/>
              </w:rPr>
            </w:pPr>
            <w:r w:rsidRPr="003B2C9F">
              <w:rPr>
                <w:b/>
                <w:bCs/>
                <w:sz w:val="20"/>
                <w:szCs w:val="20"/>
              </w:rPr>
              <w:t>517.909,20</w:t>
            </w:r>
          </w:p>
        </w:tc>
        <w:tc>
          <w:tcPr>
            <w:tcW w:w="1525" w:type="dxa"/>
            <w:tcBorders>
              <w:top w:val="nil"/>
              <w:left w:val="nil"/>
              <w:bottom w:val="nil"/>
              <w:right w:val="nil"/>
            </w:tcBorders>
            <w:shd w:val="clear" w:color="auto" w:fill="auto"/>
            <w:noWrap/>
            <w:vAlign w:val="bottom"/>
            <w:hideMark/>
          </w:tcPr>
          <w:p w14:paraId="2AC8A6A5" w14:textId="77777777" w:rsidR="003B2C9F" w:rsidRPr="003B2C9F" w:rsidRDefault="003B2C9F" w:rsidP="003B2C9F">
            <w:pPr>
              <w:jc w:val="right"/>
              <w:rPr>
                <w:b/>
                <w:bCs/>
                <w:sz w:val="20"/>
                <w:szCs w:val="20"/>
              </w:rPr>
            </w:pPr>
            <w:r w:rsidRPr="003B2C9F">
              <w:rPr>
                <w:b/>
                <w:bCs/>
                <w:sz w:val="20"/>
                <w:szCs w:val="20"/>
              </w:rPr>
              <w:t>183,26</w:t>
            </w:r>
          </w:p>
        </w:tc>
        <w:tc>
          <w:tcPr>
            <w:tcW w:w="1000" w:type="dxa"/>
            <w:tcBorders>
              <w:top w:val="nil"/>
              <w:left w:val="nil"/>
              <w:bottom w:val="nil"/>
              <w:right w:val="nil"/>
            </w:tcBorders>
            <w:shd w:val="clear" w:color="auto" w:fill="auto"/>
            <w:noWrap/>
            <w:vAlign w:val="bottom"/>
            <w:hideMark/>
          </w:tcPr>
          <w:p w14:paraId="6EADCD79" w14:textId="77777777" w:rsidR="003B2C9F" w:rsidRPr="003B2C9F" w:rsidRDefault="003B2C9F" w:rsidP="003B2C9F">
            <w:pPr>
              <w:jc w:val="right"/>
              <w:rPr>
                <w:b/>
                <w:bCs/>
                <w:sz w:val="20"/>
                <w:szCs w:val="20"/>
              </w:rPr>
            </w:pPr>
            <w:r w:rsidRPr="003B2C9F">
              <w:rPr>
                <w:b/>
                <w:bCs/>
                <w:sz w:val="20"/>
                <w:szCs w:val="20"/>
              </w:rPr>
              <w:t>100,00</w:t>
            </w:r>
          </w:p>
        </w:tc>
      </w:tr>
      <w:tr w:rsidR="003B2C9F" w:rsidRPr="003B2C9F" w14:paraId="5E0E8B6B" w14:textId="77777777" w:rsidTr="003B2C9F">
        <w:trPr>
          <w:trHeight w:val="300"/>
        </w:trPr>
        <w:tc>
          <w:tcPr>
            <w:tcW w:w="616" w:type="dxa"/>
            <w:tcBorders>
              <w:top w:val="nil"/>
              <w:left w:val="nil"/>
              <w:bottom w:val="nil"/>
              <w:right w:val="nil"/>
            </w:tcBorders>
            <w:shd w:val="clear" w:color="auto" w:fill="auto"/>
            <w:noWrap/>
            <w:vAlign w:val="bottom"/>
            <w:hideMark/>
          </w:tcPr>
          <w:p w14:paraId="3BB9629C" w14:textId="77777777" w:rsidR="003B2C9F" w:rsidRPr="003B2C9F" w:rsidRDefault="003B2C9F" w:rsidP="003B2C9F">
            <w:pPr>
              <w:rPr>
                <w:b/>
                <w:bCs/>
                <w:sz w:val="20"/>
                <w:szCs w:val="20"/>
              </w:rPr>
            </w:pPr>
            <w:r w:rsidRPr="003B2C9F">
              <w:rPr>
                <w:b/>
                <w:bCs/>
                <w:sz w:val="20"/>
                <w:szCs w:val="20"/>
              </w:rPr>
              <w:t>411</w:t>
            </w:r>
          </w:p>
        </w:tc>
        <w:tc>
          <w:tcPr>
            <w:tcW w:w="6472" w:type="dxa"/>
            <w:tcBorders>
              <w:top w:val="nil"/>
              <w:left w:val="nil"/>
              <w:bottom w:val="nil"/>
              <w:right w:val="nil"/>
            </w:tcBorders>
            <w:shd w:val="clear" w:color="auto" w:fill="auto"/>
            <w:noWrap/>
            <w:vAlign w:val="bottom"/>
            <w:hideMark/>
          </w:tcPr>
          <w:p w14:paraId="5208DD6D" w14:textId="77777777" w:rsidR="003B2C9F" w:rsidRPr="003B2C9F" w:rsidRDefault="003B2C9F" w:rsidP="003B2C9F">
            <w:pPr>
              <w:rPr>
                <w:b/>
                <w:bCs/>
                <w:sz w:val="20"/>
                <w:szCs w:val="20"/>
              </w:rPr>
            </w:pPr>
            <w:r w:rsidRPr="003B2C9F">
              <w:rPr>
                <w:b/>
                <w:bCs/>
                <w:sz w:val="20"/>
                <w:szCs w:val="20"/>
              </w:rPr>
              <w:t xml:space="preserve">Materijalna imovina - prirodna bogatstva                                                            </w:t>
            </w:r>
          </w:p>
        </w:tc>
        <w:tc>
          <w:tcPr>
            <w:tcW w:w="1559" w:type="dxa"/>
            <w:tcBorders>
              <w:top w:val="nil"/>
              <w:left w:val="nil"/>
              <w:bottom w:val="nil"/>
              <w:right w:val="nil"/>
            </w:tcBorders>
            <w:shd w:val="clear" w:color="auto" w:fill="auto"/>
            <w:noWrap/>
            <w:vAlign w:val="bottom"/>
            <w:hideMark/>
          </w:tcPr>
          <w:p w14:paraId="392387DF" w14:textId="77777777" w:rsidR="003B2C9F" w:rsidRPr="003B2C9F" w:rsidRDefault="003B2C9F" w:rsidP="003B2C9F">
            <w:pPr>
              <w:jc w:val="right"/>
              <w:rPr>
                <w:b/>
                <w:bCs/>
                <w:sz w:val="20"/>
                <w:szCs w:val="20"/>
              </w:rPr>
            </w:pPr>
            <w:r w:rsidRPr="003B2C9F">
              <w:rPr>
                <w:b/>
                <w:bCs/>
                <w:sz w:val="20"/>
                <w:szCs w:val="20"/>
              </w:rPr>
              <w:t>282.606,52</w:t>
            </w:r>
          </w:p>
        </w:tc>
        <w:tc>
          <w:tcPr>
            <w:tcW w:w="1503" w:type="dxa"/>
            <w:tcBorders>
              <w:top w:val="nil"/>
              <w:left w:val="nil"/>
              <w:bottom w:val="nil"/>
              <w:right w:val="nil"/>
            </w:tcBorders>
            <w:shd w:val="clear" w:color="auto" w:fill="auto"/>
            <w:noWrap/>
            <w:vAlign w:val="bottom"/>
            <w:hideMark/>
          </w:tcPr>
          <w:p w14:paraId="232057B8" w14:textId="77777777" w:rsidR="003B2C9F" w:rsidRPr="003B2C9F" w:rsidRDefault="003B2C9F" w:rsidP="003B2C9F">
            <w:pPr>
              <w:jc w:val="right"/>
              <w:rPr>
                <w:b/>
                <w:bCs/>
                <w:sz w:val="20"/>
                <w:szCs w:val="20"/>
              </w:rPr>
            </w:pPr>
            <w:r w:rsidRPr="003B2C9F">
              <w:rPr>
                <w:b/>
                <w:bCs/>
                <w:sz w:val="20"/>
                <w:szCs w:val="20"/>
              </w:rPr>
              <w:t>217.909,20</w:t>
            </w:r>
          </w:p>
        </w:tc>
        <w:tc>
          <w:tcPr>
            <w:tcW w:w="1366" w:type="dxa"/>
            <w:tcBorders>
              <w:top w:val="nil"/>
              <w:left w:val="nil"/>
              <w:bottom w:val="nil"/>
              <w:right w:val="nil"/>
            </w:tcBorders>
            <w:shd w:val="clear" w:color="auto" w:fill="auto"/>
            <w:noWrap/>
            <w:vAlign w:val="bottom"/>
            <w:hideMark/>
          </w:tcPr>
          <w:p w14:paraId="2AD2024A" w14:textId="77777777" w:rsidR="003B2C9F" w:rsidRPr="003B2C9F" w:rsidRDefault="003B2C9F" w:rsidP="003B2C9F">
            <w:pPr>
              <w:jc w:val="right"/>
              <w:rPr>
                <w:b/>
                <w:bCs/>
                <w:sz w:val="20"/>
                <w:szCs w:val="20"/>
              </w:rPr>
            </w:pPr>
            <w:r w:rsidRPr="003B2C9F">
              <w:rPr>
                <w:b/>
                <w:bCs/>
                <w:sz w:val="20"/>
                <w:szCs w:val="20"/>
              </w:rPr>
              <w:t>217.909,20</w:t>
            </w:r>
          </w:p>
        </w:tc>
        <w:tc>
          <w:tcPr>
            <w:tcW w:w="1525" w:type="dxa"/>
            <w:tcBorders>
              <w:top w:val="nil"/>
              <w:left w:val="nil"/>
              <w:bottom w:val="nil"/>
              <w:right w:val="nil"/>
            </w:tcBorders>
            <w:shd w:val="clear" w:color="auto" w:fill="auto"/>
            <w:noWrap/>
            <w:vAlign w:val="bottom"/>
            <w:hideMark/>
          </w:tcPr>
          <w:p w14:paraId="55AE9F8E" w14:textId="77777777" w:rsidR="003B2C9F" w:rsidRPr="003B2C9F" w:rsidRDefault="003B2C9F" w:rsidP="003B2C9F">
            <w:pPr>
              <w:jc w:val="right"/>
              <w:rPr>
                <w:b/>
                <w:bCs/>
                <w:sz w:val="20"/>
                <w:szCs w:val="20"/>
              </w:rPr>
            </w:pPr>
            <w:r w:rsidRPr="003B2C9F">
              <w:rPr>
                <w:b/>
                <w:bCs/>
                <w:sz w:val="20"/>
                <w:szCs w:val="20"/>
              </w:rPr>
              <w:t>77,11</w:t>
            </w:r>
          </w:p>
        </w:tc>
        <w:tc>
          <w:tcPr>
            <w:tcW w:w="1000" w:type="dxa"/>
            <w:tcBorders>
              <w:top w:val="nil"/>
              <w:left w:val="nil"/>
              <w:bottom w:val="nil"/>
              <w:right w:val="nil"/>
            </w:tcBorders>
            <w:shd w:val="clear" w:color="auto" w:fill="auto"/>
            <w:noWrap/>
            <w:vAlign w:val="bottom"/>
            <w:hideMark/>
          </w:tcPr>
          <w:p w14:paraId="272C0026" w14:textId="77777777" w:rsidR="003B2C9F" w:rsidRPr="003B2C9F" w:rsidRDefault="003B2C9F" w:rsidP="003B2C9F">
            <w:pPr>
              <w:jc w:val="right"/>
              <w:rPr>
                <w:b/>
                <w:bCs/>
                <w:sz w:val="20"/>
                <w:szCs w:val="20"/>
              </w:rPr>
            </w:pPr>
            <w:r w:rsidRPr="003B2C9F">
              <w:rPr>
                <w:b/>
                <w:bCs/>
                <w:sz w:val="20"/>
                <w:szCs w:val="20"/>
              </w:rPr>
              <w:t>100,00</w:t>
            </w:r>
          </w:p>
        </w:tc>
      </w:tr>
      <w:tr w:rsidR="003B2C9F" w:rsidRPr="003B2C9F" w14:paraId="185FED61" w14:textId="77777777" w:rsidTr="003B2C9F">
        <w:trPr>
          <w:trHeight w:val="300"/>
        </w:trPr>
        <w:tc>
          <w:tcPr>
            <w:tcW w:w="616" w:type="dxa"/>
            <w:tcBorders>
              <w:top w:val="nil"/>
              <w:left w:val="nil"/>
              <w:bottom w:val="nil"/>
              <w:right w:val="nil"/>
            </w:tcBorders>
            <w:shd w:val="clear" w:color="auto" w:fill="auto"/>
            <w:noWrap/>
            <w:vAlign w:val="bottom"/>
            <w:hideMark/>
          </w:tcPr>
          <w:p w14:paraId="6F076B00" w14:textId="77777777" w:rsidR="003B2C9F" w:rsidRPr="003B2C9F" w:rsidRDefault="003B2C9F" w:rsidP="003B2C9F">
            <w:pPr>
              <w:rPr>
                <w:sz w:val="20"/>
                <w:szCs w:val="20"/>
              </w:rPr>
            </w:pPr>
            <w:r w:rsidRPr="003B2C9F">
              <w:rPr>
                <w:sz w:val="20"/>
                <w:szCs w:val="20"/>
              </w:rPr>
              <w:lastRenderedPageBreak/>
              <w:t>4111</w:t>
            </w:r>
          </w:p>
        </w:tc>
        <w:tc>
          <w:tcPr>
            <w:tcW w:w="6472" w:type="dxa"/>
            <w:tcBorders>
              <w:top w:val="nil"/>
              <w:left w:val="nil"/>
              <w:bottom w:val="nil"/>
              <w:right w:val="nil"/>
            </w:tcBorders>
            <w:shd w:val="clear" w:color="auto" w:fill="auto"/>
            <w:vAlign w:val="bottom"/>
            <w:hideMark/>
          </w:tcPr>
          <w:p w14:paraId="0AA0C4C2" w14:textId="77777777" w:rsidR="003B2C9F" w:rsidRPr="003B2C9F" w:rsidRDefault="003B2C9F" w:rsidP="003B2C9F">
            <w:pPr>
              <w:rPr>
                <w:sz w:val="20"/>
                <w:szCs w:val="20"/>
              </w:rPr>
            </w:pPr>
            <w:r w:rsidRPr="003B2C9F">
              <w:rPr>
                <w:sz w:val="20"/>
                <w:szCs w:val="20"/>
              </w:rPr>
              <w:t xml:space="preserve">Zemljište                                                                                           </w:t>
            </w:r>
          </w:p>
        </w:tc>
        <w:tc>
          <w:tcPr>
            <w:tcW w:w="1559" w:type="dxa"/>
            <w:tcBorders>
              <w:top w:val="nil"/>
              <w:left w:val="nil"/>
              <w:bottom w:val="nil"/>
              <w:right w:val="nil"/>
            </w:tcBorders>
            <w:shd w:val="clear" w:color="auto" w:fill="auto"/>
            <w:noWrap/>
            <w:vAlign w:val="bottom"/>
            <w:hideMark/>
          </w:tcPr>
          <w:p w14:paraId="54A8ED5D" w14:textId="77777777" w:rsidR="003B2C9F" w:rsidRPr="003B2C9F" w:rsidRDefault="003B2C9F" w:rsidP="003B2C9F">
            <w:pPr>
              <w:jc w:val="right"/>
              <w:rPr>
                <w:sz w:val="20"/>
                <w:szCs w:val="20"/>
              </w:rPr>
            </w:pPr>
            <w:r w:rsidRPr="003B2C9F">
              <w:rPr>
                <w:sz w:val="20"/>
                <w:szCs w:val="20"/>
              </w:rPr>
              <w:t>282.606,52</w:t>
            </w:r>
          </w:p>
        </w:tc>
        <w:tc>
          <w:tcPr>
            <w:tcW w:w="1503" w:type="dxa"/>
            <w:tcBorders>
              <w:top w:val="nil"/>
              <w:left w:val="nil"/>
              <w:bottom w:val="nil"/>
              <w:right w:val="nil"/>
            </w:tcBorders>
            <w:shd w:val="clear" w:color="auto" w:fill="auto"/>
            <w:noWrap/>
            <w:vAlign w:val="bottom"/>
            <w:hideMark/>
          </w:tcPr>
          <w:p w14:paraId="6FA6ED09"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71E073D1" w14:textId="77777777" w:rsidR="003B2C9F" w:rsidRPr="003B2C9F" w:rsidRDefault="003B2C9F" w:rsidP="003B2C9F">
            <w:pPr>
              <w:jc w:val="right"/>
              <w:rPr>
                <w:sz w:val="20"/>
                <w:szCs w:val="20"/>
              </w:rPr>
            </w:pPr>
            <w:r w:rsidRPr="003B2C9F">
              <w:rPr>
                <w:sz w:val="20"/>
                <w:szCs w:val="20"/>
              </w:rPr>
              <w:t>217.909,20</w:t>
            </w:r>
          </w:p>
        </w:tc>
        <w:tc>
          <w:tcPr>
            <w:tcW w:w="1525" w:type="dxa"/>
            <w:tcBorders>
              <w:top w:val="nil"/>
              <w:left w:val="nil"/>
              <w:bottom w:val="nil"/>
              <w:right w:val="nil"/>
            </w:tcBorders>
            <w:shd w:val="clear" w:color="auto" w:fill="auto"/>
            <w:noWrap/>
            <w:vAlign w:val="bottom"/>
            <w:hideMark/>
          </w:tcPr>
          <w:p w14:paraId="4AC81B60" w14:textId="77777777" w:rsidR="003B2C9F" w:rsidRPr="003B2C9F" w:rsidRDefault="003B2C9F" w:rsidP="003B2C9F">
            <w:pPr>
              <w:jc w:val="right"/>
              <w:rPr>
                <w:sz w:val="20"/>
                <w:szCs w:val="20"/>
              </w:rPr>
            </w:pPr>
            <w:r w:rsidRPr="003B2C9F">
              <w:rPr>
                <w:sz w:val="20"/>
                <w:szCs w:val="20"/>
              </w:rPr>
              <w:t>77,11</w:t>
            </w:r>
          </w:p>
        </w:tc>
        <w:tc>
          <w:tcPr>
            <w:tcW w:w="1000" w:type="dxa"/>
            <w:tcBorders>
              <w:top w:val="nil"/>
              <w:left w:val="nil"/>
              <w:bottom w:val="nil"/>
              <w:right w:val="nil"/>
            </w:tcBorders>
            <w:shd w:val="clear" w:color="auto" w:fill="auto"/>
            <w:noWrap/>
            <w:vAlign w:val="bottom"/>
            <w:hideMark/>
          </w:tcPr>
          <w:p w14:paraId="79CF14DA" w14:textId="77777777" w:rsidR="003B2C9F" w:rsidRPr="003B2C9F" w:rsidRDefault="003B2C9F" w:rsidP="003B2C9F">
            <w:pPr>
              <w:jc w:val="right"/>
              <w:rPr>
                <w:sz w:val="20"/>
                <w:szCs w:val="20"/>
              </w:rPr>
            </w:pPr>
          </w:p>
        </w:tc>
      </w:tr>
      <w:tr w:rsidR="003B2C9F" w:rsidRPr="003B2C9F" w14:paraId="75792376" w14:textId="77777777" w:rsidTr="003B2C9F">
        <w:trPr>
          <w:trHeight w:val="300"/>
        </w:trPr>
        <w:tc>
          <w:tcPr>
            <w:tcW w:w="616" w:type="dxa"/>
            <w:tcBorders>
              <w:top w:val="nil"/>
              <w:left w:val="nil"/>
              <w:bottom w:val="nil"/>
              <w:right w:val="nil"/>
            </w:tcBorders>
            <w:shd w:val="clear" w:color="auto" w:fill="auto"/>
            <w:noWrap/>
            <w:vAlign w:val="bottom"/>
            <w:hideMark/>
          </w:tcPr>
          <w:p w14:paraId="33225138" w14:textId="77777777" w:rsidR="003B2C9F" w:rsidRPr="003B2C9F" w:rsidRDefault="003B2C9F" w:rsidP="003B2C9F">
            <w:pPr>
              <w:rPr>
                <w:b/>
                <w:bCs/>
                <w:sz w:val="20"/>
                <w:szCs w:val="20"/>
              </w:rPr>
            </w:pPr>
            <w:r w:rsidRPr="003B2C9F">
              <w:rPr>
                <w:b/>
                <w:bCs/>
                <w:sz w:val="20"/>
                <w:szCs w:val="20"/>
              </w:rPr>
              <w:t>412</w:t>
            </w:r>
          </w:p>
        </w:tc>
        <w:tc>
          <w:tcPr>
            <w:tcW w:w="6472" w:type="dxa"/>
            <w:tcBorders>
              <w:top w:val="nil"/>
              <w:left w:val="nil"/>
              <w:bottom w:val="nil"/>
              <w:right w:val="nil"/>
            </w:tcBorders>
            <w:shd w:val="clear" w:color="auto" w:fill="auto"/>
            <w:noWrap/>
            <w:vAlign w:val="bottom"/>
            <w:hideMark/>
          </w:tcPr>
          <w:p w14:paraId="4692A6E9" w14:textId="77777777" w:rsidR="003B2C9F" w:rsidRPr="003B2C9F" w:rsidRDefault="003B2C9F" w:rsidP="003B2C9F">
            <w:pPr>
              <w:rPr>
                <w:b/>
                <w:bCs/>
                <w:sz w:val="20"/>
                <w:szCs w:val="20"/>
              </w:rPr>
            </w:pPr>
            <w:r w:rsidRPr="003B2C9F">
              <w:rPr>
                <w:b/>
                <w:bCs/>
                <w:sz w:val="20"/>
                <w:szCs w:val="20"/>
              </w:rPr>
              <w:t xml:space="preserve">Nematerijalna imovina                                                                               </w:t>
            </w:r>
          </w:p>
        </w:tc>
        <w:tc>
          <w:tcPr>
            <w:tcW w:w="1559" w:type="dxa"/>
            <w:tcBorders>
              <w:top w:val="nil"/>
              <w:left w:val="nil"/>
              <w:bottom w:val="nil"/>
              <w:right w:val="nil"/>
            </w:tcBorders>
            <w:shd w:val="clear" w:color="auto" w:fill="auto"/>
            <w:noWrap/>
            <w:vAlign w:val="bottom"/>
            <w:hideMark/>
          </w:tcPr>
          <w:p w14:paraId="031A231F" w14:textId="77777777" w:rsidR="003B2C9F" w:rsidRPr="003B2C9F" w:rsidRDefault="003B2C9F" w:rsidP="003B2C9F">
            <w:pPr>
              <w:jc w:val="right"/>
              <w:rPr>
                <w:b/>
                <w:bCs/>
                <w:sz w:val="20"/>
                <w:szCs w:val="20"/>
              </w:rPr>
            </w:pPr>
            <w:r w:rsidRPr="003B2C9F">
              <w:rPr>
                <w:b/>
                <w:bCs/>
                <w:sz w:val="20"/>
                <w:szCs w:val="20"/>
              </w:rPr>
              <w:t>0,00</w:t>
            </w:r>
          </w:p>
        </w:tc>
        <w:tc>
          <w:tcPr>
            <w:tcW w:w="1503" w:type="dxa"/>
            <w:tcBorders>
              <w:top w:val="nil"/>
              <w:left w:val="nil"/>
              <w:bottom w:val="nil"/>
              <w:right w:val="nil"/>
            </w:tcBorders>
            <w:shd w:val="clear" w:color="auto" w:fill="auto"/>
            <w:noWrap/>
            <w:vAlign w:val="bottom"/>
            <w:hideMark/>
          </w:tcPr>
          <w:p w14:paraId="1CC21403" w14:textId="77777777" w:rsidR="003B2C9F" w:rsidRPr="003B2C9F" w:rsidRDefault="003B2C9F" w:rsidP="003B2C9F">
            <w:pPr>
              <w:jc w:val="right"/>
              <w:rPr>
                <w:b/>
                <w:bCs/>
                <w:sz w:val="20"/>
                <w:szCs w:val="20"/>
              </w:rPr>
            </w:pPr>
            <w:r w:rsidRPr="003B2C9F">
              <w:rPr>
                <w:b/>
                <w:bCs/>
                <w:sz w:val="20"/>
                <w:szCs w:val="20"/>
              </w:rPr>
              <w:t>300.000,00</w:t>
            </w:r>
          </w:p>
        </w:tc>
        <w:tc>
          <w:tcPr>
            <w:tcW w:w="1366" w:type="dxa"/>
            <w:tcBorders>
              <w:top w:val="nil"/>
              <w:left w:val="nil"/>
              <w:bottom w:val="nil"/>
              <w:right w:val="nil"/>
            </w:tcBorders>
            <w:shd w:val="clear" w:color="auto" w:fill="auto"/>
            <w:noWrap/>
            <w:vAlign w:val="bottom"/>
            <w:hideMark/>
          </w:tcPr>
          <w:p w14:paraId="5C866FF6" w14:textId="77777777" w:rsidR="003B2C9F" w:rsidRPr="003B2C9F" w:rsidRDefault="003B2C9F" w:rsidP="003B2C9F">
            <w:pPr>
              <w:jc w:val="right"/>
              <w:rPr>
                <w:b/>
                <w:bCs/>
                <w:sz w:val="20"/>
                <w:szCs w:val="20"/>
              </w:rPr>
            </w:pPr>
            <w:r w:rsidRPr="003B2C9F">
              <w:rPr>
                <w:b/>
                <w:bCs/>
                <w:sz w:val="20"/>
                <w:szCs w:val="20"/>
              </w:rPr>
              <w:t>300.000,00</w:t>
            </w:r>
          </w:p>
        </w:tc>
        <w:tc>
          <w:tcPr>
            <w:tcW w:w="1525" w:type="dxa"/>
            <w:tcBorders>
              <w:top w:val="nil"/>
              <w:left w:val="nil"/>
              <w:bottom w:val="nil"/>
              <w:right w:val="nil"/>
            </w:tcBorders>
            <w:shd w:val="clear" w:color="auto" w:fill="auto"/>
            <w:noWrap/>
            <w:vAlign w:val="bottom"/>
            <w:hideMark/>
          </w:tcPr>
          <w:p w14:paraId="2C821C0A" w14:textId="77777777" w:rsidR="003B2C9F" w:rsidRPr="003B2C9F" w:rsidRDefault="003B2C9F" w:rsidP="003B2C9F">
            <w:pPr>
              <w:jc w:val="right"/>
              <w:rPr>
                <w:b/>
                <w:bCs/>
                <w:sz w:val="20"/>
                <w:szCs w:val="20"/>
              </w:rPr>
            </w:pPr>
            <w:r w:rsidRPr="003B2C9F">
              <w:rPr>
                <w:b/>
                <w:bCs/>
                <w:sz w:val="20"/>
                <w:szCs w:val="20"/>
              </w:rPr>
              <w:t>0,00</w:t>
            </w:r>
          </w:p>
        </w:tc>
        <w:tc>
          <w:tcPr>
            <w:tcW w:w="1000" w:type="dxa"/>
            <w:tcBorders>
              <w:top w:val="nil"/>
              <w:left w:val="nil"/>
              <w:bottom w:val="nil"/>
              <w:right w:val="nil"/>
            </w:tcBorders>
            <w:shd w:val="clear" w:color="auto" w:fill="auto"/>
            <w:noWrap/>
            <w:vAlign w:val="bottom"/>
            <w:hideMark/>
          </w:tcPr>
          <w:p w14:paraId="167A8626" w14:textId="77777777" w:rsidR="003B2C9F" w:rsidRPr="003B2C9F" w:rsidRDefault="003B2C9F" w:rsidP="003B2C9F">
            <w:pPr>
              <w:jc w:val="right"/>
              <w:rPr>
                <w:b/>
                <w:bCs/>
                <w:sz w:val="20"/>
                <w:szCs w:val="20"/>
              </w:rPr>
            </w:pPr>
            <w:r w:rsidRPr="003B2C9F">
              <w:rPr>
                <w:b/>
                <w:bCs/>
                <w:sz w:val="20"/>
                <w:szCs w:val="20"/>
              </w:rPr>
              <w:t>100,00</w:t>
            </w:r>
          </w:p>
        </w:tc>
      </w:tr>
      <w:tr w:rsidR="003B2C9F" w:rsidRPr="003B2C9F" w14:paraId="6A2F9480" w14:textId="77777777" w:rsidTr="003B2C9F">
        <w:trPr>
          <w:trHeight w:val="300"/>
        </w:trPr>
        <w:tc>
          <w:tcPr>
            <w:tcW w:w="616" w:type="dxa"/>
            <w:tcBorders>
              <w:top w:val="nil"/>
              <w:left w:val="nil"/>
              <w:bottom w:val="nil"/>
              <w:right w:val="nil"/>
            </w:tcBorders>
            <w:shd w:val="clear" w:color="auto" w:fill="auto"/>
            <w:noWrap/>
            <w:vAlign w:val="bottom"/>
            <w:hideMark/>
          </w:tcPr>
          <w:p w14:paraId="435266E5" w14:textId="77777777" w:rsidR="003B2C9F" w:rsidRPr="003B2C9F" w:rsidRDefault="003B2C9F" w:rsidP="003B2C9F">
            <w:pPr>
              <w:rPr>
                <w:sz w:val="20"/>
                <w:szCs w:val="20"/>
              </w:rPr>
            </w:pPr>
            <w:r w:rsidRPr="003B2C9F">
              <w:rPr>
                <w:sz w:val="20"/>
                <w:szCs w:val="20"/>
              </w:rPr>
              <w:t>4124</w:t>
            </w:r>
          </w:p>
        </w:tc>
        <w:tc>
          <w:tcPr>
            <w:tcW w:w="6472" w:type="dxa"/>
            <w:tcBorders>
              <w:top w:val="nil"/>
              <w:left w:val="nil"/>
              <w:bottom w:val="nil"/>
              <w:right w:val="nil"/>
            </w:tcBorders>
            <w:shd w:val="clear" w:color="auto" w:fill="auto"/>
            <w:vAlign w:val="bottom"/>
            <w:hideMark/>
          </w:tcPr>
          <w:p w14:paraId="4B4230F0" w14:textId="77777777" w:rsidR="003B2C9F" w:rsidRPr="003B2C9F" w:rsidRDefault="003B2C9F" w:rsidP="003B2C9F">
            <w:pPr>
              <w:rPr>
                <w:sz w:val="20"/>
                <w:szCs w:val="20"/>
              </w:rPr>
            </w:pPr>
            <w:r w:rsidRPr="003B2C9F">
              <w:rPr>
                <w:sz w:val="20"/>
                <w:szCs w:val="20"/>
              </w:rPr>
              <w:t xml:space="preserve">Ostala prava                                                                                        </w:t>
            </w:r>
          </w:p>
        </w:tc>
        <w:tc>
          <w:tcPr>
            <w:tcW w:w="1559" w:type="dxa"/>
            <w:tcBorders>
              <w:top w:val="nil"/>
              <w:left w:val="nil"/>
              <w:bottom w:val="nil"/>
              <w:right w:val="nil"/>
            </w:tcBorders>
            <w:shd w:val="clear" w:color="auto" w:fill="auto"/>
            <w:noWrap/>
            <w:vAlign w:val="bottom"/>
            <w:hideMark/>
          </w:tcPr>
          <w:p w14:paraId="455C478C" w14:textId="77777777" w:rsidR="003B2C9F" w:rsidRPr="003B2C9F" w:rsidRDefault="003B2C9F" w:rsidP="003B2C9F">
            <w:pPr>
              <w:jc w:val="right"/>
              <w:rPr>
                <w:sz w:val="20"/>
                <w:szCs w:val="20"/>
              </w:rPr>
            </w:pPr>
            <w:r w:rsidRPr="003B2C9F">
              <w:rPr>
                <w:sz w:val="20"/>
                <w:szCs w:val="20"/>
              </w:rPr>
              <w:t>0,00</w:t>
            </w:r>
          </w:p>
        </w:tc>
        <w:tc>
          <w:tcPr>
            <w:tcW w:w="1503" w:type="dxa"/>
            <w:tcBorders>
              <w:top w:val="nil"/>
              <w:left w:val="nil"/>
              <w:bottom w:val="nil"/>
              <w:right w:val="nil"/>
            </w:tcBorders>
            <w:shd w:val="clear" w:color="auto" w:fill="auto"/>
            <w:noWrap/>
            <w:vAlign w:val="bottom"/>
            <w:hideMark/>
          </w:tcPr>
          <w:p w14:paraId="00318FF8"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086CC2DD" w14:textId="77777777" w:rsidR="003B2C9F" w:rsidRPr="003B2C9F" w:rsidRDefault="003B2C9F" w:rsidP="003B2C9F">
            <w:pPr>
              <w:jc w:val="right"/>
              <w:rPr>
                <w:sz w:val="20"/>
                <w:szCs w:val="20"/>
              </w:rPr>
            </w:pPr>
            <w:r w:rsidRPr="003B2C9F">
              <w:rPr>
                <w:sz w:val="20"/>
                <w:szCs w:val="20"/>
              </w:rPr>
              <w:t>300.000,00</w:t>
            </w:r>
          </w:p>
        </w:tc>
        <w:tc>
          <w:tcPr>
            <w:tcW w:w="1525" w:type="dxa"/>
            <w:tcBorders>
              <w:top w:val="nil"/>
              <w:left w:val="nil"/>
              <w:bottom w:val="nil"/>
              <w:right w:val="nil"/>
            </w:tcBorders>
            <w:shd w:val="clear" w:color="auto" w:fill="auto"/>
            <w:noWrap/>
            <w:vAlign w:val="bottom"/>
            <w:hideMark/>
          </w:tcPr>
          <w:p w14:paraId="4F7C3A61" w14:textId="77777777" w:rsidR="003B2C9F" w:rsidRPr="003B2C9F" w:rsidRDefault="003B2C9F" w:rsidP="003B2C9F">
            <w:pPr>
              <w:jc w:val="right"/>
              <w:rPr>
                <w:sz w:val="20"/>
                <w:szCs w:val="20"/>
              </w:rPr>
            </w:pPr>
            <w:r w:rsidRPr="003B2C9F">
              <w:rPr>
                <w:sz w:val="20"/>
                <w:szCs w:val="20"/>
              </w:rPr>
              <w:t>0,00</w:t>
            </w:r>
          </w:p>
        </w:tc>
        <w:tc>
          <w:tcPr>
            <w:tcW w:w="1000" w:type="dxa"/>
            <w:tcBorders>
              <w:top w:val="nil"/>
              <w:left w:val="nil"/>
              <w:bottom w:val="nil"/>
              <w:right w:val="nil"/>
            </w:tcBorders>
            <w:shd w:val="clear" w:color="auto" w:fill="auto"/>
            <w:noWrap/>
            <w:vAlign w:val="bottom"/>
            <w:hideMark/>
          </w:tcPr>
          <w:p w14:paraId="6BD875E4" w14:textId="77777777" w:rsidR="003B2C9F" w:rsidRPr="003B2C9F" w:rsidRDefault="003B2C9F" w:rsidP="003B2C9F">
            <w:pPr>
              <w:jc w:val="right"/>
              <w:rPr>
                <w:sz w:val="20"/>
                <w:szCs w:val="20"/>
              </w:rPr>
            </w:pPr>
          </w:p>
        </w:tc>
      </w:tr>
      <w:tr w:rsidR="003B2C9F" w:rsidRPr="003B2C9F" w14:paraId="1F1285DD" w14:textId="77777777" w:rsidTr="003B2C9F">
        <w:trPr>
          <w:trHeight w:val="300"/>
        </w:trPr>
        <w:tc>
          <w:tcPr>
            <w:tcW w:w="616" w:type="dxa"/>
            <w:tcBorders>
              <w:top w:val="nil"/>
              <w:left w:val="nil"/>
              <w:bottom w:val="nil"/>
              <w:right w:val="nil"/>
            </w:tcBorders>
            <w:shd w:val="clear" w:color="auto" w:fill="auto"/>
            <w:noWrap/>
            <w:vAlign w:val="bottom"/>
            <w:hideMark/>
          </w:tcPr>
          <w:p w14:paraId="3E60E943" w14:textId="77777777" w:rsidR="003B2C9F" w:rsidRPr="003B2C9F" w:rsidRDefault="003B2C9F" w:rsidP="003B2C9F">
            <w:pPr>
              <w:rPr>
                <w:b/>
                <w:bCs/>
                <w:sz w:val="20"/>
                <w:szCs w:val="20"/>
              </w:rPr>
            </w:pPr>
            <w:r w:rsidRPr="003B2C9F">
              <w:rPr>
                <w:b/>
                <w:bCs/>
                <w:sz w:val="20"/>
                <w:szCs w:val="20"/>
              </w:rPr>
              <w:t>42</w:t>
            </w:r>
          </w:p>
        </w:tc>
        <w:tc>
          <w:tcPr>
            <w:tcW w:w="6472" w:type="dxa"/>
            <w:tcBorders>
              <w:top w:val="nil"/>
              <w:left w:val="nil"/>
              <w:bottom w:val="nil"/>
              <w:right w:val="nil"/>
            </w:tcBorders>
            <w:shd w:val="clear" w:color="auto" w:fill="auto"/>
            <w:noWrap/>
            <w:vAlign w:val="bottom"/>
            <w:hideMark/>
          </w:tcPr>
          <w:p w14:paraId="26E1855C" w14:textId="77777777" w:rsidR="003B2C9F" w:rsidRPr="003B2C9F" w:rsidRDefault="003B2C9F" w:rsidP="003B2C9F">
            <w:pPr>
              <w:rPr>
                <w:b/>
                <w:bCs/>
                <w:sz w:val="20"/>
                <w:szCs w:val="20"/>
              </w:rPr>
            </w:pPr>
            <w:r w:rsidRPr="003B2C9F">
              <w:rPr>
                <w:b/>
                <w:bCs/>
                <w:sz w:val="20"/>
                <w:szCs w:val="20"/>
              </w:rPr>
              <w:t xml:space="preserve">Rashodi za nabavu proizvedene dugotrajne imovine                                                    </w:t>
            </w:r>
          </w:p>
        </w:tc>
        <w:tc>
          <w:tcPr>
            <w:tcW w:w="1559" w:type="dxa"/>
            <w:tcBorders>
              <w:top w:val="nil"/>
              <w:left w:val="nil"/>
              <w:bottom w:val="nil"/>
              <w:right w:val="nil"/>
            </w:tcBorders>
            <w:shd w:val="clear" w:color="auto" w:fill="auto"/>
            <w:noWrap/>
            <w:vAlign w:val="bottom"/>
            <w:hideMark/>
          </w:tcPr>
          <w:p w14:paraId="34C5E1FB" w14:textId="77777777" w:rsidR="003B2C9F" w:rsidRPr="003B2C9F" w:rsidRDefault="003B2C9F" w:rsidP="003B2C9F">
            <w:pPr>
              <w:jc w:val="right"/>
              <w:rPr>
                <w:b/>
                <w:bCs/>
                <w:sz w:val="20"/>
                <w:szCs w:val="20"/>
              </w:rPr>
            </w:pPr>
            <w:r w:rsidRPr="003B2C9F">
              <w:rPr>
                <w:b/>
                <w:bCs/>
                <w:sz w:val="20"/>
                <w:szCs w:val="20"/>
              </w:rPr>
              <w:t>3.885.873,41</w:t>
            </w:r>
          </w:p>
        </w:tc>
        <w:tc>
          <w:tcPr>
            <w:tcW w:w="1503" w:type="dxa"/>
            <w:tcBorders>
              <w:top w:val="nil"/>
              <w:left w:val="nil"/>
              <w:bottom w:val="nil"/>
              <w:right w:val="nil"/>
            </w:tcBorders>
            <w:shd w:val="clear" w:color="auto" w:fill="auto"/>
            <w:noWrap/>
            <w:vAlign w:val="bottom"/>
            <w:hideMark/>
          </w:tcPr>
          <w:p w14:paraId="267B1F92" w14:textId="77777777" w:rsidR="003B2C9F" w:rsidRPr="003B2C9F" w:rsidRDefault="003B2C9F" w:rsidP="003B2C9F">
            <w:pPr>
              <w:jc w:val="right"/>
              <w:rPr>
                <w:b/>
                <w:bCs/>
                <w:sz w:val="20"/>
                <w:szCs w:val="20"/>
              </w:rPr>
            </w:pPr>
            <w:r w:rsidRPr="003B2C9F">
              <w:rPr>
                <w:b/>
                <w:bCs/>
                <w:sz w:val="20"/>
                <w:szCs w:val="20"/>
              </w:rPr>
              <w:t>5.193.855,87</w:t>
            </w:r>
          </w:p>
        </w:tc>
        <w:tc>
          <w:tcPr>
            <w:tcW w:w="1366" w:type="dxa"/>
            <w:tcBorders>
              <w:top w:val="nil"/>
              <w:left w:val="nil"/>
              <w:bottom w:val="nil"/>
              <w:right w:val="nil"/>
            </w:tcBorders>
            <w:shd w:val="clear" w:color="auto" w:fill="auto"/>
            <w:noWrap/>
            <w:vAlign w:val="bottom"/>
            <w:hideMark/>
          </w:tcPr>
          <w:p w14:paraId="5C76DF28" w14:textId="77777777" w:rsidR="003B2C9F" w:rsidRPr="003B2C9F" w:rsidRDefault="003B2C9F" w:rsidP="003B2C9F">
            <w:pPr>
              <w:jc w:val="right"/>
              <w:rPr>
                <w:b/>
                <w:bCs/>
                <w:sz w:val="20"/>
                <w:szCs w:val="20"/>
              </w:rPr>
            </w:pPr>
            <w:r w:rsidRPr="003B2C9F">
              <w:rPr>
                <w:b/>
                <w:bCs/>
                <w:sz w:val="20"/>
                <w:szCs w:val="20"/>
              </w:rPr>
              <w:t>4.883.999,17</w:t>
            </w:r>
          </w:p>
        </w:tc>
        <w:tc>
          <w:tcPr>
            <w:tcW w:w="1525" w:type="dxa"/>
            <w:tcBorders>
              <w:top w:val="nil"/>
              <w:left w:val="nil"/>
              <w:bottom w:val="nil"/>
              <w:right w:val="nil"/>
            </w:tcBorders>
            <w:shd w:val="clear" w:color="auto" w:fill="auto"/>
            <w:noWrap/>
            <w:vAlign w:val="bottom"/>
            <w:hideMark/>
          </w:tcPr>
          <w:p w14:paraId="575BE76F" w14:textId="77777777" w:rsidR="003B2C9F" w:rsidRPr="003B2C9F" w:rsidRDefault="003B2C9F" w:rsidP="003B2C9F">
            <w:pPr>
              <w:jc w:val="right"/>
              <w:rPr>
                <w:b/>
                <w:bCs/>
                <w:sz w:val="20"/>
                <w:szCs w:val="20"/>
              </w:rPr>
            </w:pPr>
            <w:r w:rsidRPr="003B2C9F">
              <w:rPr>
                <w:b/>
                <w:bCs/>
                <w:sz w:val="20"/>
                <w:szCs w:val="20"/>
              </w:rPr>
              <w:t>125,69</w:t>
            </w:r>
          </w:p>
        </w:tc>
        <w:tc>
          <w:tcPr>
            <w:tcW w:w="1000" w:type="dxa"/>
            <w:tcBorders>
              <w:top w:val="nil"/>
              <w:left w:val="nil"/>
              <w:bottom w:val="nil"/>
              <w:right w:val="nil"/>
            </w:tcBorders>
            <w:shd w:val="clear" w:color="auto" w:fill="auto"/>
            <w:noWrap/>
            <w:vAlign w:val="bottom"/>
            <w:hideMark/>
          </w:tcPr>
          <w:p w14:paraId="7BCA685C" w14:textId="77777777" w:rsidR="003B2C9F" w:rsidRPr="003B2C9F" w:rsidRDefault="003B2C9F" w:rsidP="003B2C9F">
            <w:pPr>
              <w:jc w:val="right"/>
              <w:rPr>
                <w:b/>
                <w:bCs/>
                <w:sz w:val="20"/>
                <w:szCs w:val="20"/>
              </w:rPr>
            </w:pPr>
            <w:r w:rsidRPr="003B2C9F">
              <w:rPr>
                <w:b/>
                <w:bCs/>
                <w:sz w:val="20"/>
                <w:szCs w:val="20"/>
              </w:rPr>
              <w:t>94,03</w:t>
            </w:r>
          </w:p>
        </w:tc>
      </w:tr>
      <w:tr w:rsidR="003B2C9F" w:rsidRPr="003B2C9F" w14:paraId="37A42F87" w14:textId="77777777" w:rsidTr="003B2C9F">
        <w:trPr>
          <w:trHeight w:val="300"/>
        </w:trPr>
        <w:tc>
          <w:tcPr>
            <w:tcW w:w="616" w:type="dxa"/>
            <w:tcBorders>
              <w:top w:val="nil"/>
              <w:left w:val="nil"/>
              <w:bottom w:val="nil"/>
              <w:right w:val="nil"/>
            </w:tcBorders>
            <w:shd w:val="clear" w:color="auto" w:fill="auto"/>
            <w:noWrap/>
            <w:vAlign w:val="bottom"/>
            <w:hideMark/>
          </w:tcPr>
          <w:p w14:paraId="24A62D41" w14:textId="77777777" w:rsidR="003B2C9F" w:rsidRPr="003B2C9F" w:rsidRDefault="003B2C9F" w:rsidP="003B2C9F">
            <w:pPr>
              <w:rPr>
                <w:b/>
                <w:bCs/>
                <w:sz w:val="20"/>
                <w:szCs w:val="20"/>
              </w:rPr>
            </w:pPr>
            <w:r w:rsidRPr="003B2C9F">
              <w:rPr>
                <w:b/>
                <w:bCs/>
                <w:sz w:val="20"/>
                <w:szCs w:val="20"/>
              </w:rPr>
              <w:t>421</w:t>
            </w:r>
          </w:p>
        </w:tc>
        <w:tc>
          <w:tcPr>
            <w:tcW w:w="6472" w:type="dxa"/>
            <w:tcBorders>
              <w:top w:val="nil"/>
              <w:left w:val="nil"/>
              <w:bottom w:val="nil"/>
              <w:right w:val="nil"/>
            </w:tcBorders>
            <w:shd w:val="clear" w:color="auto" w:fill="auto"/>
            <w:noWrap/>
            <w:vAlign w:val="bottom"/>
            <w:hideMark/>
          </w:tcPr>
          <w:p w14:paraId="1622D269" w14:textId="77777777" w:rsidR="003B2C9F" w:rsidRPr="003B2C9F" w:rsidRDefault="003B2C9F" w:rsidP="003B2C9F">
            <w:pPr>
              <w:rPr>
                <w:b/>
                <w:bCs/>
                <w:sz w:val="20"/>
                <w:szCs w:val="20"/>
              </w:rPr>
            </w:pPr>
            <w:r w:rsidRPr="003B2C9F">
              <w:rPr>
                <w:b/>
                <w:bCs/>
                <w:sz w:val="20"/>
                <w:szCs w:val="20"/>
              </w:rPr>
              <w:t xml:space="preserve">Građevinski objekti                                                                                 </w:t>
            </w:r>
          </w:p>
        </w:tc>
        <w:tc>
          <w:tcPr>
            <w:tcW w:w="1559" w:type="dxa"/>
            <w:tcBorders>
              <w:top w:val="nil"/>
              <w:left w:val="nil"/>
              <w:bottom w:val="nil"/>
              <w:right w:val="nil"/>
            </w:tcBorders>
            <w:shd w:val="clear" w:color="auto" w:fill="auto"/>
            <w:noWrap/>
            <w:vAlign w:val="bottom"/>
            <w:hideMark/>
          </w:tcPr>
          <w:p w14:paraId="50EEB7AC" w14:textId="77777777" w:rsidR="003B2C9F" w:rsidRPr="003B2C9F" w:rsidRDefault="003B2C9F" w:rsidP="003B2C9F">
            <w:pPr>
              <w:jc w:val="right"/>
              <w:rPr>
                <w:b/>
                <w:bCs/>
                <w:sz w:val="20"/>
                <w:szCs w:val="20"/>
              </w:rPr>
            </w:pPr>
            <w:r w:rsidRPr="003B2C9F">
              <w:rPr>
                <w:b/>
                <w:bCs/>
                <w:sz w:val="20"/>
                <w:szCs w:val="20"/>
              </w:rPr>
              <w:t>3.131.765,98</w:t>
            </w:r>
          </w:p>
        </w:tc>
        <w:tc>
          <w:tcPr>
            <w:tcW w:w="1503" w:type="dxa"/>
            <w:tcBorders>
              <w:top w:val="nil"/>
              <w:left w:val="nil"/>
              <w:bottom w:val="nil"/>
              <w:right w:val="nil"/>
            </w:tcBorders>
            <w:shd w:val="clear" w:color="auto" w:fill="auto"/>
            <w:noWrap/>
            <w:vAlign w:val="bottom"/>
            <w:hideMark/>
          </w:tcPr>
          <w:p w14:paraId="71091DCB" w14:textId="77777777" w:rsidR="003B2C9F" w:rsidRPr="003B2C9F" w:rsidRDefault="003B2C9F" w:rsidP="003B2C9F">
            <w:pPr>
              <w:jc w:val="right"/>
              <w:rPr>
                <w:b/>
                <w:bCs/>
                <w:sz w:val="20"/>
                <w:szCs w:val="20"/>
              </w:rPr>
            </w:pPr>
            <w:r w:rsidRPr="003B2C9F">
              <w:rPr>
                <w:b/>
                <w:bCs/>
                <w:sz w:val="20"/>
                <w:szCs w:val="20"/>
              </w:rPr>
              <w:t>4.151.643,91</w:t>
            </w:r>
          </w:p>
        </w:tc>
        <w:tc>
          <w:tcPr>
            <w:tcW w:w="1366" w:type="dxa"/>
            <w:tcBorders>
              <w:top w:val="nil"/>
              <w:left w:val="nil"/>
              <w:bottom w:val="nil"/>
              <w:right w:val="nil"/>
            </w:tcBorders>
            <w:shd w:val="clear" w:color="auto" w:fill="auto"/>
            <w:noWrap/>
            <w:vAlign w:val="bottom"/>
            <w:hideMark/>
          </w:tcPr>
          <w:p w14:paraId="05C8EC8F" w14:textId="77777777" w:rsidR="003B2C9F" w:rsidRPr="003B2C9F" w:rsidRDefault="003B2C9F" w:rsidP="003B2C9F">
            <w:pPr>
              <w:jc w:val="right"/>
              <w:rPr>
                <w:b/>
                <w:bCs/>
                <w:sz w:val="20"/>
                <w:szCs w:val="20"/>
              </w:rPr>
            </w:pPr>
            <w:r w:rsidRPr="003B2C9F">
              <w:rPr>
                <w:b/>
                <w:bCs/>
                <w:sz w:val="20"/>
                <w:szCs w:val="20"/>
              </w:rPr>
              <w:t>3.701.300,65</w:t>
            </w:r>
          </w:p>
        </w:tc>
        <w:tc>
          <w:tcPr>
            <w:tcW w:w="1525" w:type="dxa"/>
            <w:tcBorders>
              <w:top w:val="nil"/>
              <w:left w:val="nil"/>
              <w:bottom w:val="nil"/>
              <w:right w:val="nil"/>
            </w:tcBorders>
            <w:shd w:val="clear" w:color="auto" w:fill="auto"/>
            <w:noWrap/>
            <w:vAlign w:val="bottom"/>
            <w:hideMark/>
          </w:tcPr>
          <w:p w14:paraId="0827EE83" w14:textId="77777777" w:rsidR="003B2C9F" w:rsidRPr="003B2C9F" w:rsidRDefault="003B2C9F" w:rsidP="003B2C9F">
            <w:pPr>
              <w:jc w:val="right"/>
              <w:rPr>
                <w:b/>
                <w:bCs/>
                <w:sz w:val="20"/>
                <w:szCs w:val="20"/>
              </w:rPr>
            </w:pPr>
            <w:r w:rsidRPr="003B2C9F">
              <w:rPr>
                <w:b/>
                <w:bCs/>
                <w:sz w:val="20"/>
                <w:szCs w:val="20"/>
              </w:rPr>
              <w:t>118,19</w:t>
            </w:r>
          </w:p>
        </w:tc>
        <w:tc>
          <w:tcPr>
            <w:tcW w:w="1000" w:type="dxa"/>
            <w:tcBorders>
              <w:top w:val="nil"/>
              <w:left w:val="nil"/>
              <w:bottom w:val="nil"/>
              <w:right w:val="nil"/>
            </w:tcBorders>
            <w:shd w:val="clear" w:color="auto" w:fill="auto"/>
            <w:noWrap/>
            <w:vAlign w:val="bottom"/>
            <w:hideMark/>
          </w:tcPr>
          <w:p w14:paraId="7EF5D2C8" w14:textId="77777777" w:rsidR="003B2C9F" w:rsidRPr="003B2C9F" w:rsidRDefault="003B2C9F" w:rsidP="003B2C9F">
            <w:pPr>
              <w:jc w:val="right"/>
              <w:rPr>
                <w:b/>
                <w:bCs/>
                <w:sz w:val="20"/>
                <w:szCs w:val="20"/>
              </w:rPr>
            </w:pPr>
            <w:r w:rsidRPr="003B2C9F">
              <w:rPr>
                <w:b/>
                <w:bCs/>
                <w:sz w:val="20"/>
                <w:szCs w:val="20"/>
              </w:rPr>
              <w:t>89,15</w:t>
            </w:r>
          </w:p>
        </w:tc>
      </w:tr>
      <w:tr w:rsidR="003B2C9F" w:rsidRPr="003B2C9F" w14:paraId="24AE85DE" w14:textId="77777777" w:rsidTr="003B2C9F">
        <w:trPr>
          <w:trHeight w:val="300"/>
        </w:trPr>
        <w:tc>
          <w:tcPr>
            <w:tcW w:w="616" w:type="dxa"/>
            <w:tcBorders>
              <w:top w:val="nil"/>
              <w:left w:val="nil"/>
              <w:bottom w:val="nil"/>
              <w:right w:val="nil"/>
            </w:tcBorders>
            <w:shd w:val="clear" w:color="auto" w:fill="auto"/>
            <w:noWrap/>
            <w:vAlign w:val="bottom"/>
            <w:hideMark/>
          </w:tcPr>
          <w:p w14:paraId="30C02509" w14:textId="77777777" w:rsidR="003B2C9F" w:rsidRPr="003B2C9F" w:rsidRDefault="003B2C9F" w:rsidP="003B2C9F">
            <w:pPr>
              <w:rPr>
                <w:sz w:val="20"/>
                <w:szCs w:val="20"/>
              </w:rPr>
            </w:pPr>
            <w:r w:rsidRPr="003B2C9F">
              <w:rPr>
                <w:sz w:val="20"/>
                <w:szCs w:val="20"/>
              </w:rPr>
              <w:t>4212</w:t>
            </w:r>
          </w:p>
        </w:tc>
        <w:tc>
          <w:tcPr>
            <w:tcW w:w="6472" w:type="dxa"/>
            <w:tcBorders>
              <w:top w:val="nil"/>
              <w:left w:val="nil"/>
              <w:bottom w:val="nil"/>
              <w:right w:val="nil"/>
            </w:tcBorders>
            <w:shd w:val="clear" w:color="auto" w:fill="auto"/>
            <w:vAlign w:val="bottom"/>
            <w:hideMark/>
          </w:tcPr>
          <w:p w14:paraId="56599FB0" w14:textId="77777777" w:rsidR="003B2C9F" w:rsidRPr="003B2C9F" w:rsidRDefault="003B2C9F" w:rsidP="003B2C9F">
            <w:pPr>
              <w:rPr>
                <w:sz w:val="20"/>
                <w:szCs w:val="20"/>
              </w:rPr>
            </w:pPr>
            <w:r w:rsidRPr="003B2C9F">
              <w:rPr>
                <w:sz w:val="20"/>
                <w:szCs w:val="20"/>
              </w:rPr>
              <w:t xml:space="preserve">Poslovni objekti                                                                                    </w:t>
            </w:r>
          </w:p>
        </w:tc>
        <w:tc>
          <w:tcPr>
            <w:tcW w:w="1559" w:type="dxa"/>
            <w:tcBorders>
              <w:top w:val="nil"/>
              <w:left w:val="nil"/>
              <w:bottom w:val="nil"/>
              <w:right w:val="nil"/>
            </w:tcBorders>
            <w:shd w:val="clear" w:color="auto" w:fill="auto"/>
            <w:noWrap/>
            <w:vAlign w:val="bottom"/>
            <w:hideMark/>
          </w:tcPr>
          <w:p w14:paraId="474FFF79" w14:textId="77777777" w:rsidR="003B2C9F" w:rsidRPr="003B2C9F" w:rsidRDefault="003B2C9F" w:rsidP="003B2C9F">
            <w:pPr>
              <w:jc w:val="right"/>
              <w:rPr>
                <w:sz w:val="20"/>
                <w:szCs w:val="20"/>
              </w:rPr>
            </w:pPr>
            <w:r w:rsidRPr="003B2C9F">
              <w:rPr>
                <w:sz w:val="20"/>
                <w:szCs w:val="20"/>
              </w:rPr>
              <w:t>0,00</w:t>
            </w:r>
          </w:p>
        </w:tc>
        <w:tc>
          <w:tcPr>
            <w:tcW w:w="1503" w:type="dxa"/>
            <w:tcBorders>
              <w:top w:val="nil"/>
              <w:left w:val="nil"/>
              <w:bottom w:val="nil"/>
              <w:right w:val="nil"/>
            </w:tcBorders>
            <w:shd w:val="clear" w:color="auto" w:fill="auto"/>
            <w:noWrap/>
            <w:vAlign w:val="bottom"/>
            <w:hideMark/>
          </w:tcPr>
          <w:p w14:paraId="6308AB4F"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5EA0D42F" w14:textId="77777777" w:rsidR="003B2C9F" w:rsidRPr="003B2C9F" w:rsidRDefault="003B2C9F" w:rsidP="003B2C9F">
            <w:pPr>
              <w:jc w:val="right"/>
              <w:rPr>
                <w:sz w:val="20"/>
                <w:szCs w:val="20"/>
              </w:rPr>
            </w:pPr>
            <w:r w:rsidRPr="003B2C9F">
              <w:rPr>
                <w:sz w:val="20"/>
                <w:szCs w:val="20"/>
              </w:rPr>
              <w:t>228.130,73</w:t>
            </w:r>
          </w:p>
        </w:tc>
        <w:tc>
          <w:tcPr>
            <w:tcW w:w="1525" w:type="dxa"/>
            <w:tcBorders>
              <w:top w:val="nil"/>
              <w:left w:val="nil"/>
              <w:bottom w:val="nil"/>
              <w:right w:val="nil"/>
            </w:tcBorders>
            <w:shd w:val="clear" w:color="auto" w:fill="auto"/>
            <w:noWrap/>
            <w:vAlign w:val="bottom"/>
            <w:hideMark/>
          </w:tcPr>
          <w:p w14:paraId="5AF8EAC9" w14:textId="77777777" w:rsidR="003B2C9F" w:rsidRPr="003B2C9F" w:rsidRDefault="003B2C9F" w:rsidP="003B2C9F">
            <w:pPr>
              <w:jc w:val="right"/>
              <w:rPr>
                <w:sz w:val="20"/>
                <w:szCs w:val="20"/>
              </w:rPr>
            </w:pPr>
            <w:r w:rsidRPr="003B2C9F">
              <w:rPr>
                <w:sz w:val="20"/>
                <w:szCs w:val="20"/>
              </w:rPr>
              <w:t>0,00</w:t>
            </w:r>
          </w:p>
        </w:tc>
        <w:tc>
          <w:tcPr>
            <w:tcW w:w="1000" w:type="dxa"/>
            <w:tcBorders>
              <w:top w:val="nil"/>
              <w:left w:val="nil"/>
              <w:bottom w:val="nil"/>
              <w:right w:val="nil"/>
            </w:tcBorders>
            <w:shd w:val="clear" w:color="auto" w:fill="auto"/>
            <w:noWrap/>
            <w:vAlign w:val="bottom"/>
            <w:hideMark/>
          </w:tcPr>
          <w:p w14:paraId="1A540773" w14:textId="77777777" w:rsidR="003B2C9F" w:rsidRPr="003B2C9F" w:rsidRDefault="003B2C9F" w:rsidP="003B2C9F">
            <w:pPr>
              <w:jc w:val="right"/>
              <w:rPr>
                <w:sz w:val="20"/>
                <w:szCs w:val="20"/>
              </w:rPr>
            </w:pPr>
          </w:p>
        </w:tc>
      </w:tr>
      <w:tr w:rsidR="003B2C9F" w:rsidRPr="003B2C9F" w14:paraId="56C4A1F7" w14:textId="77777777" w:rsidTr="003B2C9F">
        <w:trPr>
          <w:trHeight w:val="300"/>
        </w:trPr>
        <w:tc>
          <w:tcPr>
            <w:tcW w:w="616" w:type="dxa"/>
            <w:tcBorders>
              <w:top w:val="nil"/>
              <w:left w:val="nil"/>
              <w:bottom w:val="nil"/>
              <w:right w:val="nil"/>
            </w:tcBorders>
            <w:shd w:val="clear" w:color="auto" w:fill="auto"/>
            <w:noWrap/>
            <w:vAlign w:val="bottom"/>
            <w:hideMark/>
          </w:tcPr>
          <w:p w14:paraId="56526D3D" w14:textId="77777777" w:rsidR="003B2C9F" w:rsidRPr="003B2C9F" w:rsidRDefault="003B2C9F" w:rsidP="003B2C9F">
            <w:pPr>
              <w:rPr>
                <w:sz w:val="20"/>
                <w:szCs w:val="20"/>
              </w:rPr>
            </w:pPr>
            <w:r w:rsidRPr="003B2C9F">
              <w:rPr>
                <w:sz w:val="20"/>
                <w:szCs w:val="20"/>
              </w:rPr>
              <w:t>4213</w:t>
            </w:r>
          </w:p>
        </w:tc>
        <w:tc>
          <w:tcPr>
            <w:tcW w:w="6472" w:type="dxa"/>
            <w:tcBorders>
              <w:top w:val="nil"/>
              <w:left w:val="nil"/>
              <w:bottom w:val="nil"/>
              <w:right w:val="nil"/>
            </w:tcBorders>
            <w:shd w:val="clear" w:color="auto" w:fill="auto"/>
            <w:vAlign w:val="bottom"/>
            <w:hideMark/>
          </w:tcPr>
          <w:p w14:paraId="3335A3F6" w14:textId="77777777" w:rsidR="003B2C9F" w:rsidRPr="003B2C9F" w:rsidRDefault="003B2C9F" w:rsidP="003B2C9F">
            <w:pPr>
              <w:rPr>
                <w:sz w:val="20"/>
                <w:szCs w:val="20"/>
              </w:rPr>
            </w:pPr>
            <w:r w:rsidRPr="003B2C9F">
              <w:rPr>
                <w:sz w:val="20"/>
                <w:szCs w:val="20"/>
              </w:rPr>
              <w:t xml:space="preserve">Ceste, željeznice i ostali prometni objekti                                                         </w:t>
            </w:r>
          </w:p>
        </w:tc>
        <w:tc>
          <w:tcPr>
            <w:tcW w:w="1559" w:type="dxa"/>
            <w:tcBorders>
              <w:top w:val="nil"/>
              <w:left w:val="nil"/>
              <w:bottom w:val="nil"/>
              <w:right w:val="nil"/>
            </w:tcBorders>
            <w:shd w:val="clear" w:color="auto" w:fill="auto"/>
            <w:noWrap/>
            <w:vAlign w:val="bottom"/>
            <w:hideMark/>
          </w:tcPr>
          <w:p w14:paraId="2BDFF64D" w14:textId="77777777" w:rsidR="003B2C9F" w:rsidRPr="003B2C9F" w:rsidRDefault="003B2C9F" w:rsidP="003B2C9F">
            <w:pPr>
              <w:jc w:val="right"/>
              <w:rPr>
                <w:sz w:val="20"/>
                <w:szCs w:val="20"/>
              </w:rPr>
            </w:pPr>
            <w:r w:rsidRPr="003B2C9F">
              <w:rPr>
                <w:sz w:val="20"/>
                <w:szCs w:val="20"/>
              </w:rPr>
              <w:t>2.342.117,74</w:t>
            </w:r>
          </w:p>
        </w:tc>
        <w:tc>
          <w:tcPr>
            <w:tcW w:w="1503" w:type="dxa"/>
            <w:tcBorders>
              <w:top w:val="nil"/>
              <w:left w:val="nil"/>
              <w:bottom w:val="nil"/>
              <w:right w:val="nil"/>
            </w:tcBorders>
            <w:shd w:val="clear" w:color="auto" w:fill="auto"/>
            <w:noWrap/>
            <w:vAlign w:val="bottom"/>
            <w:hideMark/>
          </w:tcPr>
          <w:p w14:paraId="49F8AAF5"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63C361AD" w14:textId="77777777" w:rsidR="003B2C9F" w:rsidRPr="003B2C9F" w:rsidRDefault="003B2C9F" w:rsidP="003B2C9F">
            <w:pPr>
              <w:jc w:val="right"/>
              <w:rPr>
                <w:sz w:val="20"/>
                <w:szCs w:val="20"/>
              </w:rPr>
            </w:pPr>
            <w:r w:rsidRPr="003B2C9F">
              <w:rPr>
                <w:sz w:val="20"/>
                <w:szCs w:val="20"/>
              </w:rPr>
              <w:t>3.053.694,92</w:t>
            </w:r>
          </w:p>
        </w:tc>
        <w:tc>
          <w:tcPr>
            <w:tcW w:w="1525" w:type="dxa"/>
            <w:tcBorders>
              <w:top w:val="nil"/>
              <w:left w:val="nil"/>
              <w:bottom w:val="nil"/>
              <w:right w:val="nil"/>
            </w:tcBorders>
            <w:shd w:val="clear" w:color="auto" w:fill="auto"/>
            <w:noWrap/>
            <w:vAlign w:val="bottom"/>
            <w:hideMark/>
          </w:tcPr>
          <w:p w14:paraId="59872088" w14:textId="77777777" w:rsidR="003B2C9F" w:rsidRPr="003B2C9F" w:rsidRDefault="003B2C9F" w:rsidP="003B2C9F">
            <w:pPr>
              <w:jc w:val="right"/>
              <w:rPr>
                <w:sz w:val="20"/>
                <w:szCs w:val="20"/>
              </w:rPr>
            </w:pPr>
            <w:r w:rsidRPr="003B2C9F">
              <w:rPr>
                <w:sz w:val="20"/>
                <w:szCs w:val="20"/>
              </w:rPr>
              <w:t>130,38</w:t>
            </w:r>
          </w:p>
        </w:tc>
        <w:tc>
          <w:tcPr>
            <w:tcW w:w="1000" w:type="dxa"/>
            <w:tcBorders>
              <w:top w:val="nil"/>
              <w:left w:val="nil"/>
              <w:bottom w:val="nil"/>
              <w:right w:val="nil"/>
            </w:tcBorders>
            <w:shd w:val="clear" w:color="auto" w:fill="auto"/>
            <w:noWrap/>
            <w:vAlign w:val="bottom"/>
            <w:hideMark/>
          </w:tcPr>
          <w:p w14:paraId="2FF7F6D2" w14:textId="77777777" w:rsidR="003B2C9F" w:rsidRPr="003B2C9F" w:rsidRDefault="003B2C9F" w:rsidP="003B2C9F">
            <w:pPr>
              <w:jc w:val="right"/>
              <w:rPr>
                <w:sz w:val="20"/>
                <w:szCs w:val="20"/>
              </w:rPr>
            </w:pPr>
          </w:p>
        </w:tc>
      </w:tr>
      <w:tr w:rsidR="003B2C9F" w:rsidRPr="003B2C9F" w14:paraId="38D559CB" w14:textId="77777777" w:rsidTr="003B2C9F">
        <w:trPr>
          <w:trHeight w:val="300"/>
        </w:trPr>
        <w:tc>
          <w:tcPr>
            <w:tcW w:w="616" w:type="dxa"/>
            <w:tcBorders>
              <w:top w:val="nil"/>
              <w:left w:val="nil"/>
              <w:bottom w:val="nil"/>
              <w:right w:val="nil"/>
            </w:tcBorders>
            <w:shd w:val="clear" w:color="auto" w:fill="auto"/>
            <w:noWrap/>
            <w:vAlign w:val="bottom"/>
            <w:hideMark/>
          </w:tcPr>
          <w:p w14:paraId="50866C1A" w14:textId="77777777" w:rsidR="003B2C9F" w:rsidRPr="003B2C9F" w:rsidRDefault="003B2C9F" w:rsidP="003B2C9F">
            <w:pPr>
              <w:rPr>
                <w:sz w:val="20"/>
                <w:szCs w:val="20"/>
              </w:rPr>
            </w:pPr>
            <w:r w:rsidRPr="003B2C9F">
              <w:rPr>
                <w:sz w:val="20"/>
                <w:szCs w:val="20"/>
              </w:rPr>
              <w:t>4214</w:t>
            </w:r>
          </w:p>
        </w:tc>
        <w:tc>
          <w:tcPr>
            <w:tcW w:w="6472" w:type="dxa"/>
            <w:tcBorders>
              <w:top w:val="nil"/>
              <w:left w:val="nil"/>
              <w:bottom w:val="nil"/>
              <w:right w:val="nil"/>
            </w:tcBorders>
            <w:shd w:val="clear" w:color="auto" w:fill="auto"/>
            <w:vAlign w:val="bottom"/>
            <w:hideMark/>
          </w:tcPr>
          <w:p w14:paraId="4FEE0673" w14:textId="77777777" w:rsidR="003B2C9F" w:rsidRPr="003B2C9F" w:rsidRDefault="003B2C9F" w:rsidP="003B2C9F">
            <w:pPr>
              <w:rPr>
                <w:sz w:val="20"/>
                <w:szCs w:val="20"/>
              </w:rPr>
            </w:pPr>
            <w:r w:rsidRPr="003B2C9F">
              <w:rPr>
                <w:sz w:val="20"/>
                <w:szCs w:val="20"/>
              </w:rPr>
              <w:t xml:space="preserve">Ostali građevinski objekti                                                                          </w:t>
            </w:r>
          </w:p>
        </w:tc>
        <w:tc>
          <w:tcPr>
            <w:tcW w:w="1559" w:type="dxa"/>
            <w:tcBorders>
              <w:top w:val="nil"/>
              <w:left w:val="nil"/>
              <w:bottom w:val="nil"/>
              <w:right w:val="nil"/>
            </w:tcBorders>
            <w:shd w:val="clear" w:color="auto" w:fill="auto"/>
            <w:noWrap/>
            <w:vAlign w:val="bottom"/>
            <w:hideMark/>
          </w:tcPr>
          <w:p w14:paraId="797A3DEB" w14:textId="77777777" w:rsidR="003B2C9F" w:rsidRPr="003B2C9F" w:rsidRDefault="003B2C9F" w:rsidP="003B2C9F">
            <w:pPr>
              <w:jc w:val="right"/>
              <w:rPr>
                <w:sz w:val="20"/>
                <w:szCs w:val="20"/>
              </w:rPr>
            </w:pPr>
            <w:r w:rsidRPr="003B2C9F">
              <w:rPr>
                <w:sz w:val="20"/>
                <w:szCs w:val="20"/>
              </w:rPr>
              <w:t>789.648,24</w:t>
            </w:r>
          </w:p>
        </w:tc>
        <w:tc>
          <w:tcPr>
            <w:tcW w:w="1503" w:type="dxa"/>
            <w:tcBorders>
              <w:top w:val="nil"/>
              <w:left w:val="nil"/>
              <w:bottom w:val="nil"/>
              <w:right w:val="nil"/>
            </w:tcBorders>
            <w:shd w:val="clear" w:color="auto" w:fill="auto"/>
            <w:noWrap/>
            <w:vAlign w:val="bottom"/>
            <w:hideMark/>
          </w:tcPr>
          <w:p w14:paraId="61A65FE6"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6B9DA63" w14:textId="77777777" w:rsidR="003B2C9F" w:rsidRPr="003B2C9F" w:rsidRDefault="003B2C9F" w:rsidP="003B2C9F">
            <w:pPr>
              <w:jc w:val="right"/>
              <w:rPr>
                <w:sz w:val="20"/>
                <w:szCs w:val="20"/>
              </w:rPr>
            </w:pPr>
            <w:r w:rsidRPr="003B2C9F">
              <w:rPr>
                <w:sz w:val="20"/>
                <w:szCs w:val="20"/>
              </w:rPr>
              <w:t>419.475,00</w:t>
            </w:r>
          </w:p>
        </w:tc>
        <w:tc>
          <w:tcPr>
            <w:tcW w:w="1525" w:type="dxa"/>
            <w:tcBorders>
              <w:top w:val="nil"/>
              <w:left w:val="nil"/>
              <w:bottom w:val="nil"/>
              <w:right w:val="nil"/>
            </w:tcBorders>
            <w:shd w:val="clear" w:color="auto" w:fill="auto"/>
            <w:noWrap/>
            <w:vAlign w:val="bottom"/>
            <w:hideMark/>
          </w:tcPr>
          <w:p w14:paraId="62FBEE04" w14:textId="77777777" w:rsidR="003B2C9F" w:rsidRPr="003B2C9F" w:rsidRDefault="003B2C9F" w:rsidP="003B2C9F">
            <w:pPr>
              <w:jc w:val="right"/>
              <w:rPr>
                <w:sz w:val="20"/>
                <w:szCs w:val="20"/>
              </w:rPr>
            </w:pPr>
            <w:r w:rsidRPr="003B2C9F">
              <w:rPr>
                <w:sz w:val="20"/>
                <w:szCs w:val="20"/>
              </w:rPr>
              <w:t>53,12</w:t>
            </w:r>
          </w:p>
        </w:tc>
        <w:tc>
          <w:tcPr>
            <w:tcW w:w="1000" w:type="dxa"/>
            <w:tcBorders>
              <w:top w:val="nil"/>
              <w:left w:val="nil"/>
              <w:bottom w:val="nil"/>
              <w:right w:val="nil"/>
            </w:tcBorders>
            <w:shd w:val="clear" w:color="auto" w:fill="auto"/>
            <w:noWrap/>
            <w:vAlign w:val="bottom"/>
            <w:hideMark/>
          </w:tcPr>
          <w:p w14:paraId="75E6F86D" w14:textId="77777777" w:rsidR="003B2C9F" w:rsidRPr="003B2C9F" w:rsidRDefault="003B2C9F" w:rsidP="003B2C9F">
            <w:pPr>
              <w:jc w:val="right"/>
              <w:rPr>
                <w:sz w:val="20"/>
                <w:szCs w:val="20"/>
              </w:rPr>
            </w:pPr>
          </w:p>
        </w:tc>
      </w:tr>
      <w:tr w:rsidR="003B2C9F" w:rsidRPr="003B2C9F" w14:paraId="6EB87B82" w14:textId="77777777" w:rsidTr="003B2C9F">
        <w:trPr>
          <w:trHeight w:val="300"/>
        </w:trPr>
        <w:tc>
          <w:tcPr>
            <w:tcW w:w="616" w:type="dxa"/>
            <w:tcBorders>
              <w:top w:val="nil"/>
              <w:left w:val="nil"/>
              <w:bottom w:val="nil"/>
              <w:right w:val="nil"/>
            </w:tcBorders>
            <w:shd w:val="clear" w:color="auto" w:fill="auto"/>
            <w:noWrap/>
            <w:vAlign w:val="bottom"/>
            <w:hideMark/>
          </w:tcPr>
          <w:p w14:paraId="6BE2A5AC" w14:textId="77777777" w:rsidR="003B2C9F" w:rsidRPr="003B2C9F" w:rsidRDefault="003B2C9F" w:rsidP="003B2C9F">
            <w:pPr>
              <w:rPr>
                <w:b/>
                <w:bCs/>
                <w:sz w:val="20"/>
                <w:szCs w:val="20"/>
              </w:rPr>
            </w:pPr>
            <w:r w:rsidRPr="003B2C9F">
              <w:rPr>
                <w:b/>
                <w:bCs/>
                <w:sz w:val="20"/>
                <w:szCs w:val="20"/>
              </w:rPr>
              <w:t>422</w:t>
            </w:r>
          </w:p>
        </w:tc>
        <w:tc>
          <w:tcPr>
            <w:tcW w:w="6472" w:type="dxa"/>
            <w:tcBorders>
              <w:top w:val="nil"/>
              <w:left w:val="nil"/>
              <w:bottom w:val="nil"/>
              <w:right w:val="nil"/>
            </w:tcBorders>
            <w:shd w:val="clear" w:color="auto" w:fill="auto"/>
            <w:noWrap/>
            <w:vAlign w:val="bottom"/>
            <w:hideMark/>
          </w:tcPr>
          <w:p w14:paraId="70FAAB05" w14:textId="77777777" w:rsidR="003B2C9F" w:rsidRPr="003B2C9F" w:rsidRDefault="003B2C9F" w:rsidP="003B2C9F">
            <w:pPr>
              <w:rPr>
                <w:b/>
                <w:bCs/>
                <w:sz w:val="20"/>
                <w:szCs w:val="20"/>
              </w:rPr>
            </w:pPr>
            <w:r w:rsidRPr="003B2C9F">
              <w:rPr>
                <w:b/>
                <w:bCs/>
                <w:sz w:val="20"/>
                <w:szCs w:val="20"/>
              </w:rPr>
              <w:t xml:space="preserve">Postrojenja i oprema                                                                                </w:t>
            </w:r>
          </w:p>
        </w:tc>
        <w:tc>
          <w:tcPr>
            <w:tcW w:w="1559" w:type="dxa"/>
            <w:tcBorders>
              <w:top w:val="nil"/>
              <w:left w:val="nil"/>
              <w:bottom w:val="nil"/>
              <w:right w:val="nil"/>
            </w:tcBorders>
            <w:shd w:val="clear" w:color="auto" w:fill="auto"/>
            <w:noWrap/>
            <w:vAlign w:val="bottom"/>
            <w:hideMark/>
          </w:tcPr>
          <w:p w14:paraId="5B7FE29D" w14:textId="77777777" w:rsidR="003B2C9F" w:rsidRPr="003B2C9F" w:rsidRDefault="003B2C9F" w:rsidP="003B2C9F">
            <w:pPr>
              <w:jc w:val="right"/>
              <w:rPr>
                <w:b/>
                <w:bCs/>
                <w:sz w:val="20"/>
                <w:szCs w:val="20"/>
              </w:rPr>
            </w:pPr>
            <w:r w:rsidRPr="003B2C9F">
              <w:rPr>
                <w:b/>
                <w:bCs/>
                <w:sz w:val="20"/>
                <w:szCs w:val="20"/>
              </w:rPr>
              <w:t>330.351,26</w:t>
            </w:r>
          </w:p>
        </w:tc>
        <w:tc>
          <w:tcPr>
            <w:tcW w:w="1503" w:type="dxa"/>
            <w:tcBorders>
              <w:top w:val="nil"/>
              <w:left w:val="nil"/>
              <w:bottom w:val="nil"/>
              <w:right w:val="nil"/>
            </w:tcBorders>
            <w:shd w:val="clear" w:color="auto" w:fill="auto"/>
            <w:noWrap/>
            <w:vAlign w:val="bottom"/>
            <w:hideMark/>
          </w:tcPr>
          <w:p w14:paraId="54258E5B" w14:textId="77777777" w:rsidR="003B2C9F" w:rsidRPr="003B2C9F" w:rsidRDefault="003B2C9F" w:rsidP="003B2C9F">
            <w:pPr>
              <w:jc w:val="right"/>
              <w:rPr>
                <w:b/>
                <w:bCs/>
                <w:sz w:val="20"/>
                <w:szCs w:val="20"/>
              </w:rPr>
            </w:pPr>
            <w:r w:rsidRPr="003B2C9F">
              <w:rPr>
                <w:b/>
                <w:bCs/>
                <w:sz w:val="20"/>
                <w:szCs w:val="20"/>
              </w:rPr>
              <w:t>459.248,60</w:t>
            </w:r>
          </w:p>
        </w:tc>
        <w:tc>
          <w:tcPr>
            <w:tcW w:w="1366" w:type="dxa"/>
            <w:tcBorders>
              <w:top w:val="nil"/>
              <w:left w:val="nil"/>
              <w:bottom w:val="nil"/>
              <w:right w:val="nil"/>
            </w:tcBorders>
            <w:shd w:val="clear" w:color="auto" w:fill="auto"/>
            <w:noWrap/>
            <w:vAlign w:val="bottom"/>
            <w:hideMark/>
          </w:tcPr>
          <w:p w14:paraId="3FD3136C" w14:textId="77777777" w:rsidR="003B2C9F" w:rsidRPr="003B2C9F" w:rsidRDefault="003B2C9F" w:rsidP="003B2C9F">
            <w:pPr>
              <w:jc w:val="right"/>
              <w:rPr>
                <w:b/>
                <w:bCs/>
                <w:sz w:val="20"/>
                <w:szCs w:val="20"/>
              </w:rPr>
            </w:pPr>
            <w:r w:rsidRPr="003B2C9F">
              <w:rPr>
                <w:b/>
                <w:bCs/>
                <w:sz w:val="20"/>
                <w:szCs w:val="20"/>
              </w:rPr>
              <w:t>686.728,20</w:t>
            </w:r>
          </w:p>
        </w:tc>
        <w:tc>
          <w:tcPr>
            <w:tcW w:w="1525" w:type="dxa"/>
            <w:tcBorders>
              <w:top w:val="nil"/>
              <w:left w:val="nil"/>
              <w:bottom w:val="nil"/>
              <w:right w:val="nil"/>
            </w:tcBorders>
            <w:shd w:val="clear" w:color="auto" w:fill="auto"/>
            <w:noWrap/>
            <w:vAlign w:val="bottom"/>
            <w:hideMark/>
          </w:tcPr>
          <w:p w14:paraId="1F9CF253" w14:textId="77777777" w:rsidR="003B2C9F" w:rsidRPr="003B2C9F" w:rsidRDefault="003B2C9F" w:rsidP="003B2C9F">
            <w:pPr>
              <w:jc w:val="right"/>
              <w:rPr>
                <w:b/>
                <w:bCs/>
                <w:sz w:val="20"/>
                <w:szCs w:val="20"/>
              </w:rPr>
            </w:pPr>
            <w:r w:rsidRPr="003B2C9F">
              <w:rPr>
                <w:b/>
                <w:bCs/>
                <w:sz w:val="20"/>
                <w:szCs w:val="20"/>
              </w:rPr>
              <w:t>207,88</w:t>
            </w:r>
          </w:p>
        </w:tc>
        <w:tc>
          <w:tcPr>
            <w:tcW w:w="1000" w:type="dxa"/>
            <w:tcBorders>
              <w:top w:val="nil"/>
              <w:left w:val="nil"/>
              <w:bottom w:val="nil"/>
              <w:right w:val="nil"/>
            </w:tcBorders>
            <w:shd w:val="clear" w:color="auto" w:fill="auto"/>
            <w:noWrap/>
            <w:vAlign w:val="bottom"/>
            <w:hideMark/>
          </w:tcPr>
          <w:p w14:paraId="630916B1" w14:textId="77777777" w:rsidR="003B2C9F" w:rsidRPr="003B2C9F" w:rsidRDefault="003B2C9F" w:rsidP="003B2C9F">
            <w:pPr>
              <w:jc w:val="right"/>
              <w:rPr>
                <w:b/>
                <w:bCs/>
                <w:sz w:val="20"/>
                <w:szCs w:val="20"/>
              </w:rPr>
            </w:pPr>
            <w:r w:rsidRPr="003B2C9F">
              <w:rPr>
                <w:b/>
                <w:bCs/>
                <w:sz w:val="20"/>
                <w:szCs w:val="20"/>
              </w:rPr>
              <w:t>149,53</w:t>
            </w:r>
          </w:p>
        </w:tc>
      </w:tr>
      <w:tr w:rsidR="003B2C9F" w:rsidRPr="003B2C9F" w14:paraId="7A59BA1F" w14:textId="77777777" w:rsidTr="003B2C9F">
        <w:trPr>
          <w:trHeight w:val="300"/>
        </w:trPr>
        <w:tc>
          <w:tcPr>
            <w:tcW w:w="616" w:type="dxa"/>
            <w:tcBorders>
              <w:top w:val="nil"/>
              <w:left w:val="nil"/>
              <w:bottom w:val="nil"/>
              <w:right w:val="nil"/>
            </w:tcBorders>
            <w:shd w:val="clear" w:color="auto" w:fill="auto"/>
            <w:noWrap/>
            <w:vAlign w:val="bottom"/>
            <w:hideMark/>
          </w:tcPr>
          <w:p w14:paraId="36672A0E" w14:textId="77777777" w:rsidR="003B2C9F" w:rsidRPr="003B2C9F" w:rsidRDefault="003B2C9F" w:rsidP="003B2C9F">
            <w:pPr>
              <w:rPr>
                <w:sz w:val="20"/>
                <w:szCs w:val="20"/>
              </w:rPr>
            </w:pPr>
            <w:r w:rsidRPr="003B2C9F">
              <w:rPr>
                <w:sz w:val="20"/>
                <w:szCs w:val="20"/>
              </w:rPr>
              <w:t>4221</w:t>
            </w:r>
          </w:p>
        </w:tc>
        <w:tc>
          <w:tcPr>
            <w:tcW w:w="6472" w:type="dxa"/>
            <w:tcBorders>
              <w:top w:val="nil"/>
              <w:left w:val="nil"/>
              <w:bottom w:val="nil"/>
              <w:right w:val="nil"/>
            </w:tcBorders>
            <w:shd w:val="clear" w:color="auto" w:fill="auto"/>
            <w:vAlign w:val="bottom"/>
            <w:hideMark/>
          </w:tcPr>
          <w:p w14:paraId="2EC5306E" w14:textId="77777777" w:rsidR="003B2C9F" w:rsidRPr="003B2C9F" w:rsidRDefault="003B2C9F" w:rsidP="003B2C9F">
            <w:pPr>
              <w:rPr>
                <w:sz w:val="20"/>
                <w:szCs w:val="20"/>
              </w:rPr>
            </w:pPr>
            <w:r w:rsidRPr="003B2C9F">
              <w:rPr>
                <w:sz w:val="20"/>
                <w:szCs w:val="20"/>
              </w:rPr>
              <w:t xml:space="preserve">Uredska oprema i namještaj                                                                          </w:t>
            </w:r>
          </w:p>
        </w:tc>
        <w:tc>
          <w:tcPr>
            <w:tcW w:w="1559" w:type="dxa"/>
            <w:tcBorders>
              <w:top w:val="nil"/>
              <w:left w:val="nil"/>
              <w:bottom w:val="nil"/>
              <w:right w:val="nil"/>
            </w:tcBorders>
            <w:shd w:val="clear" w:color="auto" w:fill="auto"/>
            <w:noWrap/>
            <w:vAlign w:val="bottom"/>
            <w:hideMark/>
          </w:tcPr>
          <w:p w14:paraId="5DDFC187" w14:textId="77777777" w:rsidR="003B2C9F" w:rsidRPr="003B2C9F" w:rsidRDefault="003B2C9F" w:rsidP="003B2C9F">
            <w:pPr>
              <w:jc w:val="right"/>
              <w:rPr>
                <w:sz w:val="20"/>
                <w:szCs w:val="20"/>
              </w:rPr>
            </w:pPr>
            <w:r w:rsidRPr="003B2C9F">
              <w:rPr>
                <w:sz w:val="20"/>
                <w:szCs w:val="20"/>
              </w:rPr>
              <w:t>111.014,69</w:t>
            </w:r>
          </w:p>
        </w:tc>
        <w:tc>
          <w:tcPr>
            <w:tcW w:w="1503" w:type="dxa"/>
            <w:tcBorders>
              <w:top w:val="nil"/>
              <w:left w:val="nil"/>
              <w:bottom w:val="nil"/>
              <w:right w:val="nil"/>
            </w:tcBorders>
            <w:shd w:val="clear" w:color="auto" w:fill="auto"/>
            <w:noWrap/>
            <w:vAlign w:val="bottom"/>
            <w:hideMark/>
          </w:tcPr>
          <w:p w14:paraId="6C104284"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6D4A010" w14:textId="77777777" w:rsidR="003B2C9F" w:rsidRPr="003B2C9F" w:rsidRDefault="003B2C9F" w:rsidP="003B2C9F">
            <w:pPr>
              <w:jc w:val="right"/>
              <w:rPr>
                <w:sz w:val="20"/>
                <w:szCs w:val="20"/>
              </w:rPr>
            </w:pPr>
            <w:r w:rsidRPr="003B2C9F">
              <w:rPr>
                <w:sz w:val="20"/>
                <w:szCs w:val="20"/>
              </w:rPr>
              <w:t>185.657,07</w:t>
            </w:r>
          </w:p>
        </w:tc>
        <w:tc>
          <w:tcPr>
            <w:tcW w:w="1525" w:type="dxa"/>
            <w:tcBorders>
              <w:top w:val="nil"/>
              <w:left w:val="nil"/>
              <w:bottom w:val="nil"/>
              <w:right w:val="nil"/>
            </w:tcBorders>
            <w:shd w:val="clear" w:color="auto" w:fill="auto"/>
            <w:noWrap/>
            <w:vAlign w:val="bottom"/>
            <w:hideMark/>
          </w:tcPr>
          <w:p w14:paraId="660D650B" w14:textId="77777777" w:rsidR="003B2C9F" w:rsidRPr="003B2C9F" w:rsidRDefault="003B2C9F" w:rsidP="003B2C9F">
            <w:pPr>
              <w:jc w:val="right"/>
              <w:rPr>
                <w:sz w:val="20"/>
                <w:szCs w:val="20"/>
              </w:rPr>
            </w:pPr>
            <w:r w:rsidRPr="003B2C9F">
              <w:rPr>
                <w:sz w:val="20"/>
                <w:szCs w:val="20"/>
              </w:rPr>
              <w:t>167,24</w:t>
            </w:r>
          </w:p>
        </w:tc>
        <w:tc>
          <w:tcPr>
            <w:tcW w:w="1000" w:type="dxa"/>
            <w:tcBorders>
              <w:top w:val="nil"/>
              <w:left w:val="nil"/>
              <w:bottom w:val="nil"/>
              <w:right w:val="nil"/>
            </w:tcBorders>
            <w:shd w:val="clear" w:color="auto" w:fill="auto"/>
            <w:noWrap/>
            <w:vAlign w:val="bottom"/>
            <w:hideMark/>
          </w:tcPr>
          <w:p w14:paraId="2AEA5208" w14:textId="77777777" w:rsidR="003B2C9F" w:rsidRPr="003B2C9F" w:rsidRDefault="003B2C9F" w:rsidP="003B2C9F">
            <w:pPr>
              <w:jc w:val="right"/>
              <w:rPr>
                <w:sz w:val="20"/>
                <w:szCs w:val="20"/>
              </w:rPr>
            </w:pPr>
          </w:p>
        </w:tc>
      </w:tr>
      <w:tr w:rsidR="003B2C9F" w:rsidRPr="003B2C9F" w14:paraId="1FD063FB" w14:textId="77777777" w:rsidTr="003B2C9F">
        <w:trPr>
          <w:trHeight w:val="300"/>
        </w:trPr>
        <w:tc>
          <w:tcPr>
            <w:tcW w:w="616" w:type="dxa"/>
            <w:tcBorders>
              <w:top w:val="nil"/>
              <w:left w:val="nil"/>
              <w:bottom w:val="nil"/>
              <w:right w:val="nil"/>
            </w:tcBorders>
            <w:shd w:val="clear" w:color="auto" w:fill="auto"/>
            <w:noWrap/>
            <w:vAlign w:val="bottom"/>
            <w:hideMark/>
          </w:tcPr>
          <w:p w14:paraId="5F462076" w14:textId="77777777" w:rsidR="003B2C9F" w:rsidRPr="003B2C9F" w:rsidRDefault="003B2C9F" w:rsidP="003B2C9F">
            <w:pPr>
              <w:rPr>
                <w:sz w:val="20"/>
                <w:szCs w:val="20"/>
              </w:rPr>
            </w:pPr>
            <w:r w:rsidRPr="003B2C9F">
              <w:rPr>
                <w:sz w:val="20"/>
                <w:szCs w:val="20"/>
              </w:rPr>
              <w:t>4222</w:t>
            </w:r>
          </w:p>
        </w:tc>
        <w:tc>
          <w:tcPr>
            <w:tcW w:w="6472" w:type="dxa"/>
            <w:tcBorders>
              <w:top w:val="nil"/>
              <w:left w:val="nil"/>
              <w:bottom w:val="nil"/>
              <w:right w:val="nil"/>
            </w:tcBorders>
            <w:shd w:val="clear" w:color="auto" w:fill="auto"/>
            <w:vAlign w:val="bottom"/>
            <w:hideMark/>
          </w:tcPr>
          <w:p w14:paraId="2058299C" w14:textId="77777777" w:rsidR="003B2C9F" w:rsidRPr="003B2C9F" w:rsidRDefault="003B2C9F" w:rsidP="003B2C9F">
            <w:pPr>
              <w:rPr>
                <w:sz w:val="20"/>
                <w:szCs w:val="20"/>
              </w:rPr>
            </w:pPr>
            <w:r w:rsidRPr="003B2C9F">
              <w:rPr>
                <w:sz w:val="20"/>
                <w:szCs w:val="20"/>
              </w:rPr>
              <w:t xml:space="preserve">Komunikacijska oprema                                                                               </w:t>
            </w:r>
          </w:p>
        </w:tc>
        <w:tc>
          <w:tcPr>
            <w:tcW w:w="1559" w:type="dxa"/>
            <w:tcBorders>
              <w:top w:val="nil"/>
              <w:left w:val="nil"/>
              <w:bottom w:val="nil"/>
              <w:right w:val="nil"/>
            </w:tcBorders>
            <w:shd w:val="clear" w:color="auto" w:fill="auto"/>
            <w:noWrap/>
            <w:vAlign w:val="bottom"/>
            <w:hideMark/>
          </w:tcPr>
          <w:p w14:paraId="7140F7DF" w14:textId="77777777" w:rsidR="003B2C9F" w:rsidRPr="003B2C9F" w:rsidRDefault="003B2C9F" w:rsidP="003B2C9F">
            <w:pPr>
              <w:jc w:val="right"/>
              <w:rPr>
                <w:sz w:val="20"/>
                <w:szCs w:val="20"/>
              </w:rPr>
            </w:pPr>
            <w:r w:rsidRPr="003B2C9F">
              <w:rPr>
                <w:sz w:val="20"/>
                <w:szCs w:val="20"/>
              </w:rPr>
              <w:t>0,00</w:t>
            </w:r>
          </w:p>
        </w:tc>
        <w:tc>
          <w:tcPr>
            <w:tcW w:w="1503" w:type="dxa"/>
            <w:tcBorders>
              <w:top w:val="nil"/>
              <w:left w:val="nil"/>
              <w:bottom w:val="nil"/>
              <w:right w:val="nil"/>
            </w:tcBorders>
            <w:shd w:val="clear" w:color="auto" w:fill="auto"/>
            <w:noWrap/>
            <w:vAlign w:val="bottom"/>
            <w:hideMark/>
          </w:tcPr>
          <w:p w14:paraId="64721AAC"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087631A6" w14:textId="77777777" w:rsidR="003B2C9F" w:rsidRPr="003B2C9F" w:rsidRDefault="003B2C9F" w:rsidP="003B2C9F">
            <w:pPr>
              <w:jc w:val="right"/>
              <w:rPr>
                <w:sz w:val="20"/>
                <w:szCs w:val="20"/>
              </w:rPr>
            </w:pPr>
            <w:r w:rsidRPr="003B2C9F">
              <w:rPr>
                <w:sz w:val="20"/>
                <w:szCs w:val="20"/>
              </w:rPr>
              <w:t>55.846,25</w:t>
            </w:r>
          </w:p>
        </w:tc>
        <w:tc>
          <w:tcPr>
            <w:tcW w:w="1525" w:type="dxa"/>
            <w:tcBorders>
              <w:top w:val="nil"/>
              <w:left w:val="nil"/>
              <w:bottom w:val="nil"/>
              <w:right w:val="nil"/>
            </w:tcBorders>
            <w:shd w:val="clear" w:color="auto" w:fill="auto"/>
            <w:noWrap/>
            <w:vAlign w:val="bottom"/>
            <w:hideMark/>
          </w:tcPr>
          <w:p w14:paraId="395B55C4" w14:textId="77777777" w:rsidR="003B2C9F" w:rsidRPr="003B2C9F" w:rsidRDefault="003B2C9F" w:rsidP="003B2C9F">
            <w:pPr>
              <w:jc w:val="right"/>
              <w:rPr>
                <w:sz w:val="20"/>
                <w:szCs w:val="20"/>
              </w:rPr>
            </w:pPr>
            <w:r w:rsidRPr="003B2C9F">
              <w:rPr>
                <w:sz w:val="20"/>
                <w:szCs w:val="20"/>
              </w:rPr>
              <w:t>0,00</w:t>
            </w:r>
          </w:p>
        </w:tc>
        <w:tc>
          <w:tcPr>
            <w:tcW w:w="1000" w:type="dxa"/>
            <w:tcBorders>
              <w:top w:val="nil"/>
              <w:left w:val="nil"/>
              <w:bottom w:val="nil"/>
              <w:right w:val="nil"/>
            </w:tcBorders>
            <w:shd w:val="clear" w:color="auto" w:fill="auto"/>
            <w:noWrap/>
            <w:vAlign w:val="bottom"/>
            <w:hideMark/>
          </w:tcPr>
          <w:p w14:paraId="7FF61D56" w14:textId="77777777" w:rsidR="003B2C9F" w:rsidRPr="003B2C9F" w:rsidRDefault="003B2C9F" w:rsidP="003B2C9F">
            <w:pPr>
              <w:jc w:val="right"/>
              <w:rPr>
                <w:sz w:val="20"/>
                <w:szCs w:val="20"/>
              </w:rPr>
            </w:pPr>
          </w:p>
        </w:tc>
      </w:tr>
      <w:tr w:rsidR="003B2C9F" w:rsidRPr="003B2C9F" w14:paraId="225F12D0" w14:textId="77777777" w:rsidTr="003B2C9F">
        <w:trPr>
          <w:trHeight w:val="300"/>
        </w:trPr>
        <w:tc>
          <w:tcPr>
            <w:tcW w:w="616" w:type="dxa"/>
            <w:tcBorders>
              <w:top w:val="nil"/>
              <w:left w:val="nil"/>
              <w:bottom w:val="nil"/>
              <w:right w:val="nil"/>
            </w:tcBorders>
            <w:shd w:val="clear" w:color="auto" w:fill="auto"/>
            <w:noWrap/>
            <w:vAlign w:val="bottom"/>
            <w:hideMark/>
          </w:tcPr>
          <w:p w14:paraId="189851DA" w14:textId="77777777" w:rsidR="003B2C9F" w:rsidRPr="003B2C9F" w:rsidRDefault="003B2C9F" w:rsidP="003B2C9F">
            <w:pPr>
              <w:rPr>
                <w:sz w:val="20"/>
                <w:szCs w:val="20"/>
              </w:rPr>
            </w:pPr>
            <w:r w:rsidRPr="003B2C9F">
              <w:rPr>
                <w:sz w:val="20"/>
                <w:szCs w:val="20"/>
              </w:rPr>
              <w:t>4223</w:t>
            </w:r>
          </w:p>
        </w:tc>
        <w:tc>
          <w:tcPr>
            <w:tcW w:w="6472" w:type="dxa"/>
            <w:tcBorders>
              <w:top w:val="nil"/>
              <w:left w:val="nil"/>
              <w:bottom w:val="nil"/>
              <w:right w:val="nil"/>
            </w:tcBorders>
            <w:shd w:val="clear" w:color="auto" w:fill="auto"/>
            <w:vAlign w:val="bottom"/>
            <w:hideMark/>
          </w:tcPr>
          <w:p w14:paraId="2688DE7B" w14:textId="77777777" w:rsidR="003B2C9F" w:rsidRPr="003B2C9F" w:rsidRDefault="003B2C9F" w:rsidP="003B2C9F">
            <w:pPr>
              <w:rPr>
                <w:sz w:val="20"/>
                <w:szCs w:val="20"/>
              </w:rPr>
            </w:pPr>
            <w:r w:rsidRPr="003B2C9F">
              <w:rPr>
                <w:sz w:val="20"/>
                <w:szCs w:val="20"/>
              </w:rPr>
              <w:t xml:space="preserve">Oprema za održavanje i zaštitu                                                                      </w:t>
            </w:r>
          </w:p>
        </w:tc>
        <w:tc>
          <w:tcPr>
            <w:tcW w:w="1559" w:type="dxa"/>
            <w:tcBorders>
              <w:top w:val="nil"/>
              <w:left w:val="nil"/>
              <w:bottom w:val="nil"/>
              <w:right w:val="nil"/>
            </w:tcBorders>
            <w:shd w:val="clear" w:color="auto" w:fill="auto"/>
            <w:noWrap/>
            <w:vAlign w:val="bottom"/>
            <w:hideMark/>
          </w:tcPr>
          <w:p w14:paraId="6BCBD6B1" w14:textId="77777777" w:rsidR="003B2C9F" w:rsidRPr="003B2C9F" w:rsidRDefault="003B2C9F" w:rsidP="003B2C9F">
            <w:pPr>
              <w:jc w:val="right"/>
              <w:rPr>
                <w:sz w:val="20"/>
                <w:szCs w:val="20"/>
              </w:rPr>
            </w:pPr>
            <w:r w:rsidRPr="003B2C9F">
              <w:rPr>
                <w:sz w:val="20"/>
                <w:szCs w:val="20"/>
              </w:rPr>
              <w:t>28.935,20</w:t>
            </w:r>
          </w:p>
        </w:tc>
        <w:tc>
          <w:tcPr>
            <w:tcW w:w="1503" w:type="dxa"/>
            <w:tcBorders>
              <w:top w:val="nil"/>
              <w:left w:val="nil"/>
              <w:bottom w:val="nil"/>
              <w:right w:val="nil"/>
            </w:tcBorders>
            <w:shd w:val="clear" w:color="auto" w:fill="auto"/>
            <w:noWrap/>
            <w:vAlign w:val="bottom"/>
            <w:hideMark/>
          </w:tcPr>
          <w:p w14:paraId="05F8457B"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208E38DB" w14:textId="77777777" w:rsidR="003B2C9F" w:rsidRPr="003B2C9F" w:rsidRDefault="003B2C9F" w:rsidP="003B2C9F">
            <w:pPr>
              <w:jc w:val="right"/>
              <w:rPr>
                <w:sz w:val="20"/>
                <w:szCs w:val="20"/>
              </w:rPr>
            </w:pPr>
            <w:r w:rsidRPr="003B2C9F">
              <w:rPr>
                <w:sz w:val="20"/>
                <w:szCs w:val="20"/>
              </w:rPr>
              <w:t>5.670,00</w:t>
            </w:r>
          </w:p>
        </w:tc>
        <w:tc>
          <w:tcPr>
            <w:tcW w:w="1525" w:type="dxa"/>
            <w:tcBorders>
              <w:top w:val="nil"/>
              <w:left w:val="nil"/>
              <w:bottom w:val="nil"/>
              <w:right w:val="nil"/>
            </w:tcBorders>
            <w:shd w:val="clear" w:color="auto" w:fill="auto"/>
            <w:noWrap/>
            <w:vAlign w:val="bottom"/>
            <w:hideMark/>
          </w:tcPr>
          <w:p w14:paraId="0B27F3BE" w14:textId="77777777" w:rsidR="003B2C9F" w:rsidRPr="003B2C9F" w:rsidRDefault="003B2C9F" w:rsidP="003B2C9F">
            <w:pPr>
              <w:jc w:val="right"/>
              <w:rPr>
                <w:sz w:val="20"/>
                <w:szCs w:val="20"/>
              </w:rPr>
            </w:pPr>
            <w:r w:rsidRPr="003B2C9F">
              <w:rPr>
                <w:sz w:val="20"/>
                <w:szCs w:val="20"/>
              </w:rPr>
              <w:t>19,60</w:t>
            </w:r>
          </w:p>
        </w:tc>
        <w:tc>
          <w:tcPr>
            <w:tcW w:w="1000" w:type="dxa"/>
            <w:tcBorders>
              <w:top w:val="nil"/>
              <w:left w:val="nil"/>
              <w:bottom w:val="nil"/>
              <w:right w:val="nil"/>
            </w:tcBorders>
            <w:shd w:val="clear" w:color="auto" w:fill="auto"/>
            <w:noWrap/>
            <w:vAlign w:val="bottom"/>
            <w:hideMark/>
          </w:tcPr>
          <w:p w14:paraId="16BE6CC2" w14:textId="77777777" w:rsidR="003B2C9F" w:rsidRPr="003B2C9F" w:rsidRDefault="003B2C9F" w:rsidP="003B2C9F">
            <w:pPr>
              <w:jc w:val="right"/>
              <w:rPr>
                <w:sz w:val="20"/>
                <w:szCs w:val="20"/>
              </w:rPr>
            </w:pPr>
          </w:p>
        </w:tc>
      </w:tr>
      <w:tr w:rsidR="003B2C9F" w:rsidRPr="003B2C9F" w14:paraId="58EAD763" w14:textId="77777777" w:rsidTr="003B2C9F">
        <w:trPr>
          <w:trHeight w:val="300"/>
        </w:trPr>
        <w:tc>
          <w:tcPr>
            <w:tcW w:w="616" w:type="dxa"/>
            <w:tcBorders>
              <w:top w:val="nil"/>
              <w:left w:val="nil"/>
              <w:bottom w:val="nil"/>
              <w:right w:val="nil"/>
            </w:tcBorders>
            <w:shd w:val="clear" w:color="auto" w:fill="auto"/>
            <w:noWrap/>
            <w:vAlign w:val="bottom"/>
            <w:hideMark/>
          </w:tcPr>
          <w:p w14:paraId="34618237" w14:textId="77777777" w:rsidR="003B2C9F" w:rsidRPr="003B2C9F" w:rsidRDefault="003B2C9F" w:rsidP="003B2C9F">
            <w:pPr>
              <w:rPr>
                <w:sz w:val="20"/>
                <w:szCs w:val="20"/>
              </w:rPr>
            </w:pPr>
            <w:r w:rsidRPr="003B2C9F">
              <w:rPr>
                <w:sz w:val="20"/>
                <w:szCs w:val="20"/>
              </w:rPr>
              <w:t>4226</w:t>
            </w:r>
          </w:p>
        </w:tc>
        <w:tc>
          <w:tcPr>
            <w:tcW w:w="6472" w:type="dxa"/>
            <w:tcBorders>
              <w:top w:val="nil"/>
              <w:left w:val="nil"/>
              <w:bottom w:val="nil"/>
              <w:right w:val="nil"/>
            </w:tcBorders>
            <w:shd w:val="clear" w:color="auto" w:fill="auto"/>
            <w:vAlign w:val="bottom"/>
            <w:hideMark/>
          </w:tcPr>
          <w:p w14:paraId="1BCD4ADB" w14:textId="77777777" w:rsidR="003B2C9F" w:rsidRPr="003B2C9F" w:rsidRDefault="003B2C9F" w:rsidP="003B2C9F">
            <w:pPr>
              <w:rPr>
                <w:sz w:val="20"/>
                <w:szCs w:val="20"/>
              </w:rPr>
            </w:pPr>
            <w:r w:rsidRPr="003B2C9F">
              <w:rPr>
                <w:sz w:val="20"/>
                <w:szCs w:val="20"/>
              </w:rPr>
              <w:t xml:space="preserve">Sportska i glazbena oprema                                                                          </w:t>
            </w:r>
          </w:p>
        </w:tc>
        <w:tc>
          <w:tcPr>
            <w:tcW w:w="1559" w:type="dxa"/>
            <w:tcBorders>
              <w:top w:val="nil"/>
              <w:left w:val="nil"/>
              <w:bottom w:val="nil"/>
              <w:right w:val="nil"/>
            </w:tcBorders>
            <w:shd w:val="clear" w:color="auto" w:fill="auto"/>
            <w:noWrap/>
            <w:vAlign w:val="bottom"/>
            <w:hideMark/>
          </w:tcPr>
          <w:p w14:paraId="2DBD62FD" w14:textId="77777777" w:rsidR="003B2C9F" w:rsidRPr="003B2C9F" w:rsidRDefault="003B2C9F" w:rsidP="003B2C9F">
            <w:pPr>
              <w:jc w:val="right"/>
              <w:rPr>
                <w:sz w:val="20"/>
                <w:szCs w:val="20"/>
              </w:rPr>
            </w:pPr>
            <w:r w:rsidRPr="003B2C9F">
              <w:rPr>
                <w:sz w:val="20"/>
                <w:szCs w:val="20"/>
              </w:rPr>
              <w:t>0,00</w:t>
            </w:r>
          </w:p>
        </w:tc>
        <w:tc>
          <w:tcPr>
            <w:tcW w:w="1503" w:type="dxa"/>
            <w:tcBorders>
              <w:top w:val="nil"/>
              <w:left w:val="nil"/>
              <w:bottom w:val="nil"/>
              <w:right w:val="nil"/>
            </w:tcBorders>
            <w:shd w:val="clear" w:color="auto" w:fill="auto"/>
            <w:noWrap/>
            <w:vAlign w:val="bottom"/>
            <w:hideMark/>
          </w:tcPr>
          <w:p w14:paraId="558B5CED"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5E78C1D8" w14:textId="77777777" w:rsidR="003B2C9F" w:rsidRPr="003B2C9F" w:rsidRDefault="003B2C9F" w:rsidP="003B2C9F">
            <w:pPr>
              <w:jc w:val="right"/>
              <w:rPr>
                <w:sz w:val="20"/>
                <w:szCs w:val="20"/>
              </w:rPr>
            </w:pPr>
            <w:r w:rsidRPr="003B2C9F">
              <w:rPr>
                <w:sz w:val="20"/>
                <w:szCs w:val="20"/>
              </w:rPr>
              <w:t>7.000,00</w:t>
            </w:r>
          </w:p>
        </w:tc>
        <w:tc>
          <w:tcPr>
            <w:tcW w:w="1525" w:type="dxa"/>
            <w:tcBorders>
              <w:top w:val="nil"/>
              <w:left w:val="nil"/>
              <w:bottom w:val="nil"/>
              <w:right w:val="nil"/>
            </w:tcBorders>
            <w:shd w:val="clear" w:color="auto" w:fill="auto"/>
            <w:noWrap/>
            <w:vAlign w:val="bottom"/>
            <w:hideMark/>
          </w:tcPr>
          <w:p w14:paraId="59B15BD3" w14:textId="77777777" w:rsidR="003B2C9F" w:rsidRPr="003B2C9F" w:rsidRDefault="003B2C9F" w:rsidP="003B2C9F">
            <w:pPr>
              <w:jc w:val="right"/>
              <w:rPr>
                <w:sz w:val="20"/>
                <w:szCs w:val="20"/>
              </w:rPr>
            </w:pPr>
            <w:r w:rsidRPr="003B2C9F">
              <w:rPr>
                <w:sz w:val="20"/>
                <w:szCs w:val="20"/>
              </w:rPr>
              <w:t>0,00</w:t>
            </w:r>
          </w:p>
        </w:tc>
        <w:tc>
          <w:tcPr>
            <w:tcW w:w="1000" w:type="dxa"/>
            <w:tcBorders>
              <w:top w:val="nil"/>
              <w:left w:val="nil"/>
              <w:bottom w:val="nil"/>
              <w:right w:val="nil"/>
            </w:tcBorders>
            <w:shd w:val="clear" w:color="auto" w:fill="auto"/>
            <w:noWrap/>
            <w:vAlign w:val="bottom"/>
            <w:hideMark/>
          </w:tcPr>
          <w:p w14:paraId="041C9E20" w14:textId="77777777" w:rsidR="003B2C9F" w:rsidRPr="003B2C9F" w:rsidRDefault="003B2C9F" w:rsidP="003B2C9F">
            <w:pPr>
              <w:jc w:val="right"/>
              <w:rPr>
                <w:sz w:val="20"/>
                <w:szCs w:val="20"/>
              </w:rPr>
            </w:pPr>
          </w:p>
        </w:tc>
      </w:tr>
      <w:tr w:rsidR="003B2C9F" w:rsidRPr="003B2C9F" w14:paraId="6CB484D9" w14:textId="77777777" w:rsidTr="003B2C9F">
        <w:trPr>
          <w:trHeight w:val="300"/>
        </w:trPr>
        <w:tc>
          <w:tcPr>
            <w:tcW w:w="616" w:type="dxa"/>
            <w:tcBorders>
              <w:top w:val="nil"/>
              <w:left w:val="nil"/>
              <w:bottom w:val="nil"/>
              <w:right w:val="nil"/>
            </w:tcBorders>
            <w:shd w:val="clear" w:color="auto" w:fill="auto"/>
            <w:noWrap/>
            <w:vAlign w:val="bottom"/>
            <w:hideMark/>
          </w:tcPr>
          <w:p w14:paraId="4455DFC9" w14:textId="77777777" w:rsidR="003B2C9F" w:rsidRPr="003B2C9F" w:rsidRDefault="003B2C9F" w:rsidP="003B2C9F">
            <w:pPr>
              <w:rPr>
                <w:sz w:val="20"/>
                <w:szCs w:val="20"/>
              </w:rPr>
            </w:pPr>
            <w:r w:rsidRPr="003B2C9F">
              <w:rPr>
                <w:sz w:val="20"/>
                <w:szCs w:val="20"/>
              </w:rPr>
              <w:t>4227</w:t>
            </w:r>
          </w:p>
        </w:tc>
        <w:tc>
          <w:tcPr>
            <w:tcW w:w="6472" w:type="dxa"/>
            <w:tcBorders>
              <w:top w:val="nil"/>
              <w:left w:val="nil"/>
              <w:bottom w:val="nil"/>
              <w:right w:val="nil"/>
            </w:tcBorders>
            <w:shd w:val="clear" w:color="auto" w:fill="auto"/>
            <w:vAlign w:val="bottom"/>
            <w:hideMark/>
          </w:tcPr>
          <w:p w14:paraId="2D76EE4C" w14:textId="77777777" w:rsidR="003B2C9F" w:rsidRPr="003B2C9F" w:rsidRDefault="003B2C9F" w:rsidP="003B2C9F">
            <w:pPr>
              <w:rPr>
                <w:sz w:val="20"/>
                <w:szCs w:val="20"/>
              </w:rPr>
            </w:pPr>
            <w:r w:rsidRPr="003B2C9F">
              <w:rPr>
                <w:sz w:val="20"/>
                <w:szCs w:val="20"/>
              </w:rPr>
              <w:t xml:space="preserve">Uređaji, strojevi i oprema za ostale namjene                                                        </w:t>
            </w:r>
          </w:p>
        </w:tc>
        <w:tc>
          <w:tcPr>
            <w:tcW w:w="1559" w:type="dxa"/>
            <w:tcBorders>
              <w:top w:val="nil"/>
              <w:left w:val="nil"/>
              <w:bottom w:val="nil"/>
              <w:right w:val="nil"/>
            </w:tcBorders>
            <w:shd w:val="clear" w:color="auto" w:fill="auto"/>
            <w:noWrap/>
            <w:vAlign w:val="bottom"/>
            <w:hideMark/>
          </w:tcPr>
          <w:p w14:paraId="46A0B000" w14:textId="77777777" w:rsidR="003B2C9F" w:rsidRPr="003B2C9F" w:rsidRDefault="003B2C9F" w:rsidP="003B2C9F">
            <w:pPr>
              <w:jc w:val="right"/>
              <w:rPr>
                <w:sz w:val="20"/>
                <w:szCs w:val="20"/>
              </w:rPr>
            </w:pPr>
            <w:r w:rsidRPr="003B2C9F">
              <w:rPr>
                <w:sz w:val="20"/>
                <w:szCs w:val="20"/>
              </w:rPr>
              <w:t>190.401,37</w:t>
            </w:r>
          </w:p>
        </w:tc>
        <w:tc>
          <w:tcPr>
            <w:tcW w:w="1503" w:type="dxa"/>
            <w:tcBorders>
              <w:top w:val="nil"/>
              <w:left w:val="nil"/>
              <w:bottom w:val="nil"/>
              <w:right w:val="nil"/>
            </w:tcBorders>
            <w:shd w:val="clear" w:color="auto" w:fill="auto"/>
            <w:noWrap/>
            <w:vAlign w:val="bottom"/>
            <w:hideMark/>
          </w:tcPr>
          <w:p w14:paraId="1D8CDA67"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3FA35232" w14:textId="77777777" w:rsidR="003B2C9F" w:rsidRPr="003B2C9F" w:rsidRDefault="003B2C9F" w:rsidP="003B2C9F">
            <w:pPr>
              <w:jc w:val="right"/>
              <w:rPr>
                <w:sz w:val="20"/>
                <w:szCs w:val="20"/>
              </w:rPr>
            </w:pPr>
            <w:r w:rsidRPr="003B2C9F">
              <w:rPr>
                <w:sz w:val="20"/>
                <w:szCs w:val="20"/>
              </w:rPr>
              <w:t>432.554,88</w:t>
            </w:r>
          </w:p>
        </w:tc>
        <w:tc>
          <w:tcPr>
            <w:tcW w:w="1525" w:type="dxa"/>
            <w:tcBorders>
              <w:top w:val="nil"/>
              <w:left w:val="nil"/>
              <w:bottom w:val="nil"/>
              <w:right w:val="nil"/>
            </w:tcBorders>
            <w:shd w:val="clear" w:color="auto" w:fill="auto"/>
            <w:noWrap/>
            <w:vAlign w:val="bottom"/>
            <w:hideMark/>
          </w:tcPr>
          <w:p w14:paraId="77952B84" w14:textId="77777777" w:rsidR="003B2C9F" w:rsidRPr="003B2C9F" w:rsidRDefault="003B2C9F" w:rsidP="003B2C9F">
            <w:pPr>
              <w:jc w:val="right"/>
              <w:rPr>
                <w:sz w:val="20"/>
                <w:szCs w:val="20"/>
              </w:rPr>
            </w:pPr>
            <w:r w:rsidRPr="003B2C9F">
              <w:rPr>
                <w:sz w:val="20"/>
                <w:szCs w:val="20"/>
              </w:rPr>
              <w:t>227,18</w:t>
            </w:r>
          </w:p>
        </w:tc>
        <w:tc>
          <w:tcPr>
            <w:tcW w:w="1000" w:type="dxa"/>
            <w:tcBorders>
              <w:top w:val="nil"/>
              <w:left w:val="nil"/>
              <w:bottom w:val="nil"/>
              <w:right w:val="nil"/>
            </w:tcBorders>
            <w:shd w:val="clear" w:color="auto" w:fill="auto"/>
            <w:noWrap/>
            <w:vAlign w:val="bottom"/>
            <w:hideMark/>
          </w:tcPr>
          <w:p w14:paraId="30B3619D" w14:textId="77777777" w:rsidR="003B2C9F" w:rsidRPr="003B2C9F" w:rsidRDefault="003B2C9F" w:rsidP="003B2C9F">
            <w:pPr>
              <w:jc w:val="right"/>
              <w:rPr>
                <w:sz w:val="20"/>
                <w:szCs w:val="20"/>
              </w:rPr>
            </w:pPr>
          </w:p>
        </w:tc>
      </w:tr>
      <w:tr w:rsidR="003B2C9F" w:rsidRPr="003B2C9F" w14:paraId="6A833DF9" w14:textId="77777777" w:rsidTr="003B2C9F">
        <w:trPr>
          <w:trHeight w:val="300"/>
        </w:trPr>
        <w:tc>
          <w:tcPr>
            <w:tcW w:w="616" w:type="dxa"/>
            <w:tcBorders>
              <w:top w:val="nil"/>
              <w:left w:val="nil"/>
              <w:bottom w:val="nil"/>
              <w:right w:val="nil"/>
            </w:tcBorders>
            <w:shd w:val="clear" w:color="auto" w:fill="auto"/>
            <w:noWrap/>
            <w:vAlign w:val="bottom"/>
            <w:hideMark/>
          </w:tcPr>
          <w:p w14:paraId="6459573D" w14:textId="77777777" w:rsidR="003B2C9F" w:rsidRPr="003B2C9F" w:rsidRDefault="003B2C9F" w:rsidP="003B2C9F">
            <w:pPr>
              <w:rPr>
                <w:b/>
                <w:bCs/>
                <w:sz w:val="20"/>
                <w:szCs w:val="20"/>
              </w:rPr>
            </w:pPr>
            <w:r w:rsidRPr="003B2C9F">
              <w:rPr>
                <w:b/>
                <w:bCs/>
                <w:sz w:val="20"/>
                <w:szCs w:val="20"/>
              </w:rPr>
              <w:t>424</w:t>
            </w:r>
          </w:p>
        </w:tc>
        <w:tc>
          <w:tcPr>
            <w:tcW w:w="6472" w:type="dxa"/>
            <w:tcBorders>
              <w:top w:val="nil"/>
              <w:left w:val="nil"/>
              <w:bottom w:val="nil"/>
              <w:right w:val="nil"/>
            </w:tcBorders>
            <w:shd w:val="clear" w:color="auto" w:fill="auto"/>
            <w:noWrap/>
            <w:vAlign w:val="bottom"/>
            <w:hideMark/>
          </w:tcPr>
          <w:p w14:paraId="5274BA44" w14:textId="77777777" w:rsidR="003B2C9F" w:rsidRPr="003B2C9F" w:rsidRDefault="003B2C9F" w:rsidP="003B2C9F">
            <w:pPr>
              <w:rPr>
                <w:b/>
                <w:bCs/>
                <w:sz w:val="20"/>
                <w:szCs w:val="20"/>
              </w:rPr>
            </w:pPr>
            <w:r w:rsidRPr="003B2C9F">
              <w:rPr>
                <w:b/>
                <w:bCs/>
                <w:sz w:val="20"/>
                <w:szCs w:val="20"/>
              </w:rPr>
              <w:t>Knjige, umjetnička djela i ostale izložbene vrijednosti</w:t>
            </w:r>
          </w:p>
        </w:tc>
        <w:tc>
          <w:tcPr>
            <w:tcW w:w="1559" w:type="dxa"/>
            <w:tcBorders>
              <w:top w:val="nil"/>
              <w:left w:val="nil"/>
              <w:bottom w:val="nil"/>
              <w:right w:val="nil"/>
            </w:tcBorders>
            <w:shd w:val="clear" w:color="auto" w:fill="auto"/>
            <w:noWrap/>
            <w:vAlign w:val="bottom"/>
            <w:hideMark/>
          </w:tcPr>
          <w:p w14:paraId="631AAD40" w14:textId="77777777" w:rsidR="003B2C9F" w:rsidRPr="003B2C9F" w:rsidRDefault="003B2C9F" w:rsidP="003B2C9F">
            <w:pPr>
              <w:jc w:val="right"/>
              <w:rPr>
                <w:b/>
                <w:bCs/>
                <w:sz w:val="20"/>
                <w:szCs w:val="20"/>
              </w:rPr>
            </w:pPr>
            <w:r w:rsidRPr="003B2C9F">
              <w:rPr>
                <w:b/>
                <w:bCs/>
                <w:sz w:val="20"/>
                <w:szCs w:val="20"/>
              </w:rPr>
              <w:t>46.034,92</w:t>
            </w:r>
          </w:p>
        </w:tc>
        <w:tc>
          <w:tcPr>
            <w:tcW w:w="1503" w:type="dxa"/>
            <w:tcBorders>
              <w:top w:val="nil"/>
              <w:left w:val="nil"/>
              <w:bottom w:val="nil"/>
              <w:right w:val="nil"/>
            </w:tcBorders>
            <w:shd w:val="clear" w:color="auto" w:fill="auto"/>
            <w:noWrap/>
            <w:vAlign w:val="bottom"/>
            <w:hideMark/>
          </w:tcPr>
          <w:p w14:paraId="11755555" w14:textId="77777777" w:rsidR="003B2C9F" w:rsidRPr="003B2C9F" w:rsidRDefault="003B2C9F" w:rsidP="003B2C9F">
            <w:pPr>
              <w:jc w:val="right"/>
              <w:rPr>
                <w:b/>
                <w:bCs/>
                <w:sz w:val="20"/>
                <w:szCs w:val="20"/>
              </w:rPr>
            </w:pPr>
            <w:r w:rsidRPr="003B2C9F">
              <w:rPr>
                <w:b/>
                <w:bCs/>
                <w:sz w:val="20"/>
                <w:szCs w:val="20"/>
              </w:rPr>
              <w:t>56.076,36</w:t>
            </w:r>
          </w:p>
        </w:tc>
        <w:tc>
          <w:tcPr>
            <w:tcW w:w="1366" w:type="dxa"/>
            <w:tcBorders>
              <w:top w:val="nil"/>
              <w:left w:val="nil"/>
              <w:bottom w:val="nil"/>
              <w:right w:val="nil"/>
            </w:tcBorders>
            <w:shd w:val="clear" w:color="auto" w:fill="auto"/>
            <w:noWrap/>
            <w:vAlign w:val="bottom"/>
            <w:hideMark/>
          </w:tcPr>
          <w:p w14:paraId="5D5752A1" w14:textId="77777777" w:rsidR="003B2C9F" w:rsidRPr="003B2C9F" w:rsidRDefault="003B2C9F" w:rsidP="003B2C9F">
            <w:pPr>
              <w:jc w:val="right"/>
              <w:rPr>
                <w:b/>
                <w:bCs/>
                <w:sz w:val="20"/>
                <w:szCs w:val="20"/>
              </w:rPr>
            </w:pPr>
            <w:r w:rsidRPr="003B2C9F">
              <w:rPr>
                <w:b/>
                <w:bCs/>
                <w:sz w:val="20"/>
                <w:szCs w:val="20"/>
              </w:rPr>
              <w:t>37.382,82</w:t>
            </w:r>
          </w:p>
        </w:tc>
        <w:tc>
          <w:tcPr>
            <w:tcW w:w="1525" w:type="dxa"/>
            <w:tcBorders>
              <w:top w:val="nil"/>
              <w:left w:val="nil"/>
              <w:bottom w:val="nil"/>
              <w:right w:val="nil"/>
            </w:tcBorders>
            <w:shd w:val="clear" w:color="auto" w:fill="auto"/>
            <w:noWrap/>
            <w:vAlign w:val="bottom"/>
            <w:hideMark/>
          </w:tcPr>
          <w:p w14:paraId="7A09BF87" w14:textId="77777777" w:rsidR="003B2C9F" w:rsidRPr="003B2C9F" w:rsidRDefault="003B2C9F" w:rsidP="003B2C9F">
            <w:pPr>
              <w:jc w:val="right"/>
              <w:rPr>
                <w:b/>
                <w:bCs/>
                <w:sz w:val="20"/>
                <w:szCs w:val="20"/>
              </w:rPr>
            </w:pPr>
            <w:r w:rsidRPr="003B2C9F">
              <w:rPr>
                <w:b/>
                <w:bCs/>
                <w:sz w:val="20"/>
                <w:szCs w:val="20"/>
              </w:rPr>
              <w:t>81,21</w:t>
            </w:r>
          </w:p>
        </w:tc>
        <w:tc>
          <w:tcPr>
            <w:tcW w:w="1000" w:type="dxa"/>
            <w:tcBorders>
              <w:top w:val="nil"/>
              <w:left w:val="nil"/>
              <w:bottom w:val="nil"/>
              <w:right w:val="nil"/>
            </w:tcBorders>
            <w:shd w:val="clear" w:color="auto" w:fill="auto"/>
            <w:noWrap/>
            <w:vAlign w:val="bottom"/>
            <w:hideMark/>
          </w:tcPr>
          <w:p w14:paraId="6305A476" w14:textId="77777777" w:rsidR="003B2C9F" w:rsidRPr="003B2C9F" w:rsidRDefault="003B2C9F" w:rsidP="003B2C9F">
            <w:pPr>
              <w:jc w:val="right"/>
              <w:rPr>
                <w:b/>
                <w:bCs/>
                <w:sz w:val="20"/>
                <w:szCs w:val="20"/>
              </w:rPr>
            </w:pPr>
            <w:r w:rsidRPr="003B2C9F">
              <w:rPr>
                <w:b/>
                <w:bCs/>
                <w:sz w:val="20"/>
                <w:szCs w:val="20"/>
              </w:rPr>
              <w:t>66,66</w:t>
            </w:r>
          </w:p>
        </w:tc>
      </w:tr>
      <w:tr w:rsidR="003B2C9F" w:rsidRPr="003B2C9F" w14:paraId="31C4187E" w14:textId="77777777" w:rsidTr="003B2C9F">
        <w:trPr>
          <w:trHeight w:val="300"/>
        </w:trPr>
        <w:tc>
          <w:tcPr>
            <w:tcW w:w="616" w:type="dxa"/>
            <w:tcBorders>
              <w:top w:val="nil"/>
              <w:left w:val="nil"/>
              <w:bottom w:val="nil"/>
              <w:right w:val="nil"/>
            </w:tcBorders>
            <w:shd w:val="clear" w:color="auto" w:fill="auto"/>
            <w:noWrap/>
            <w:vAlign w:val="bottom"/>
            <w:hideMark/>
          </w:tcPr>
          <w:p w14:paraId="47ED6401" w14:textId="77777777" w:rsidR="003B2C9F" w:rsidRPr="003B2C9F" w:rsidRDefault="003B2C9F" w:rsidP="003B2C9F">
            <w:pPr>
              <w:rPr>
                <w:sz w:val="20"/>
                <w:szCs w:val="20"/>
              </w:rPr>
            </w:pPr>
            <w:r w:rsidRPr="003B2C9F">
              <w:rPr>
                <w:sz w:val="20"/>
                <w:szCs w:val="20"/>
              </w:rPr>
              <w:t>4241</w:t>
            </w:r>
          </w:p>
        </w:tc>
        <w:tc>
          <w:tcPr>
            <w:tcW w:w="6472" w:type="dxa"/>
            <w:tcBorders>
              <w:top w:val="nil"/>
              <w:left w:val="nil"/>
              <w:bottom w:val="nil"/>
              <w:right w:val="nil"/>
            </w:tcBorders>
            <w:shd w:val="clear" w:color="auto" w:fill="auto"/>
            <w:vAlign w:val="bottom"/>
            <w:hideMark/>
          </w:tcPr>
          <w:p w14:paraId="79225F70" w14:textId="77777777" w:rsidR="003B2C9F" w:rsidRPr="003B2C9F" w:rsidRDefault="003B2C9F" w:rsidP="003B2C9F">
            <w:pPr>
              <w:rPr>
                <w:sz w:val="20"/>
                <w:szCs w:val="20"/>
              </w:rPr>
            </w:pPr>
            <w:r w:rsidRPr="003B2C9F">
              <w:rPr>
                <w:sz w:val="20"/>
                <w:szCs w:val="20"/>
              </w:rPr>
              <w:t xml:space="preserve">Knjige                                                                                              </w:t>
            </w:r>
          </w:p>
        </w:tc>
        <w:tc>
          <w:tcPr>
            <w:tcW w:w="1559" w:type="dxa"/>
            <w:tcBorders>
              <w:top w:val="nil"/>
              <w:left w:val="nil"/>
              <w:bottom w:val="nil"/>
              <w:right w:val="nil"/>
            </w:tcBorders>
            <w:shd w:val="clear" w:color="auto" w:fill="auto"/>
            <w:noWrap/>
            <w:vAlign w:val="bottom"/>
            <w:hideMark/>
          </w:tcPr>
          <w:p w14:paraId="36B44D2A" w14:textId="77777777" w:rsidR="003B2C9F" w:rsidRPr="003B2C9F" w:rsidRDefault="003B2C9F" w:rsidP="003B2C9F">
            <w:pPr>
              <w:jc w:val="right"/>
              <w:rPr>
                <w:sz w:val="20"/>
                <w:szCs w:val="20"/>
              </w:rPr>
            </w:pPr>
            <w:r w:rsidRPr="003B2C9F">
              <w:rPr>
                <w:sz w:val="20"/>
                <w:szCs w:val="20"/>
              </w:rPr>
              <w:t>46.034,92</w:t>
            </w:r>
          </w:p>
        </w:tc>
        <w:tc>
          <w:tcPr>
            <w:tcW w:w="1503" w:type="dxa"/>
            <w:tcBorders>
              <w:top w:val="nil"/>
              <w:left w:val="nil"/>
              <w:bottom w:val="nil"/>
              <w:right w:val="nil"/>
            </w:tcBorders>
            <w:shd w:val="clear" w:color="auto" w:fill="auto"/>
            <w:noWrap/>
            <w:vAlign w:val="bottom"/>
            <w:hideMark/>
          </w:tcPr>
          <w:p w14:paraId="3E01194D"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B347F08" w14:textId="77777777" w:rsidR="003B2C9F" w:rsidRPr="003B2C9F" w:rsidRDefault="003B2C9F" w:rsidP="003B2C9F">
            <w:pPr>
              <w:jc w:val="right"/>
              <w:rPr>
                <w:sz w:val="20"/>
                <w:szCs w:val="20"/>
              </w:rPr>
            </w:pPr>
            <w:r w:rsidRPr="003B2C9F">
              <w:rPr>
                <w:sz w:val="20"/>
                <w:szCs w:val="20"/>
              </w:rPr>
              <w:t>37.382,82</w:t>
            </w:r>
          </w:p>
        </w:tc>
        <w:tc>
          <w:tcPr>
            <w:tcW w:w="1525" w:type="dxa"/>
            <w:tcBorders>
              <w:top w:val="nil"/>
              <w:left w:val="nil"/>
              <w:bottom w:val="nil"/>
              <w:right w:val="nil"/>
            </w:tcBorders>
            <w:shd w:val="clear" w:color="auto" w:fill="auto"/>
            <w:noWrap/>
            <w:vAlign w:val="bottom"/>
            <w:hideMark/>
          </w:tcPr>
          <w:p w14:paraId="37FA2A80" w14:textId="77777777" w:rsidR="003B2C9F" w:rsidRPr="003B2C9F" w:rsidRDefault="003B2C9F" w:rsidP="003B2C9F">
            <w:pPr>
              <w:jc w:val="right"/>
              <w:rPr>
                <w:sz w:val="20"/>
                <w:szCs w:val="20"/>
              </w:rPr>
            </w:pPr>
            <w:r w:rsidRPr="003B2C9F">
              <w:rPr>
                <w:sz w:val="20"/>
                <w:szCs w:val="20"/>
              </w:rPr>
              <w:t>81,21</w:t>
            </w:r>
          </w:p>
        </w:tc>
        <w:tc>
          <w:tcPr>
            <w:tcW w:w="1000" w:type="dxa"/>
            <w:tcBorders>
              <w:top w:val="nil"/>
              <w:left w:val="nil"/>
              <w:bottom w:val="nil"/>
              <w:right w:val="nil"/>
            </w:tcBorders>
            <w:shd w:val="clear" w:color="auto" w:fill="auto"/>
            <w:noWrap/>
            <w:vAlign w:val="bottom"/>
            <w:hideMark/>
          </w:tcPr>
          <w:p w14:paraId="133D4D1D" w14:textId="77777777" w:rsidR="003B2C9F" w:rsidRPr="003B2C9F" w:rsidRDefault="003B2C9F" w:rsidP="003B2C9F">
            <w:pPr>
              <w:jc w:val="right"/>
              <w:rPr>
                <w:sz w:val="20"/>
                <w:szCs w:val="20"/>
              </w:rPr>
            </w:pPr>
          </w:p>
        </w:tc>
      </w:tr>
      <w:tr w:rsidR="003B2C9F" w:rsidRPr="003B2C9F" w14:paraId="77F0D6BE" w14:textId="77777777" w:rsidTr="003B2C9F">
        <w:trPr>
          <w:trHeight w:val="300"/>
        </w:trPr>
        <w:tc>
          <w:tcPr>
            <w:tcW w:w="616" w:type="dxa"/>
            <w:tcBorders>
              <w:top w:val="nil"/>
              <w:left w:val="nil"/>
              <w:bottom w:val="nil"/>
              <w:right w:val="nil"/>
            </w:tcBorders>
            <w:shd w:val="clear" w:color="auto" w:fill="auto"/>
            <w:noWrap/>
            <w:vAlign w:val="bottom"/>
            <w:hideMark/>
          </w:tcPr>
          <w:p w14:paraId="4AEC7423" w14:textId="77777777" w:rsidR="003B2C9F" w:rsidRPr="003B2C9F" w:rsidRDefault="003B2C9F" w:rsidP="003B2C9F">
            <w:pPr>
              <w:rPr>
                <w:sz w:val="20"/>
                <w:szCs w:val="20"/>
              </w:rPr>
            </w:pPr>
            <w:r w:rsidRPr="003B2C9F">
              <w:rPr>
                <w:sz w:val="20"/>
                <w:szCs w:val="20"/>
              </w:rPr>
              <w:t>4242</w:t>
            </w:r>
          </w:p>
        </w:tc>
        <w:tc>
          <w:tcPr>
            <w:tcW w:w="6472" w:type="dxa"/>
            <w:tcBorders>
              <w:top w:val="nil"/>
              <w:left w:val="nil"/>
              <w:bottom w:val="nil"/>
              <w:right w:val="nil"/>
            </w:tcBorders>
            <w:shd w:val="clear" w:color="auto" w:fill="auto"/>
            <w:vAlign w:val="bottom"/>
            <w:hideMark/>
          </w:tcPr>
          <w:p w14:paraId="6C303ECD" w14:textId="77777777" w:rsidR="003B2C9F" w:rsidRPr="003B2C9F" w:rsidRDefault="003B2C9F" w:rsidP="003B2C9F">
            <w:pPr>
              <w:rPr>
                <w:sz w:val="20"/>
                <w:szCs w:val="20"/>
              </w:rPr>
            </w:pPr>
            <w:r w:rsidRPr="003B2C9F">
              <w:rPr>
                <w:sz w:val="20"/>
                <w:szCs w:val="20"/>
              </w:rPr>
              <w:t>Umjetnička djela (izložena u galerijama, muzejima i slično)</w:t>
            </w:r>
          </w:p>
        </w:tc>
        <w:tc>
          <w:tcPr>
            <w:tcW w:w="1559" w:type="dxa"/>
            <w:tcBorders>
              <w:top w:val="nil"/>
              <w:left w:val="nil"/>
              <w:bottom w:val="nil"/>
              <w:right w:val="nil"/>
            </w:tcBorders>
            <w:shd w:val="clear" w:color="auto" w:fill="auto"/>
            <w:noWrap/>
            <w:vAlign w:val="bottom"/>
            <w:hideMark/>
          </w:tcPr>
          <w:p w14:paraId="11E62162" w14:textId="77777777" w:rsidR="003B2C9F" w:rsidRPr="003B2C9F" w:rsidRDefault="003B2C9F" w:rsidP="003B2C9F">
            <w:pPr>
              <w:jc w:val="right"/>
              <w:rPr>
                <w:sz w:val="20"/>
                <w:szCs w:val="20"/>
              </w:rPr>
            </w:pPr>
            <w:r w:rsidRPr="003B2C9F">
              <w:rPr>
                <w:sz w:val="20"/>
                <w:szCs w:val="20"/>
              </w:rPr>
              <w:t>0,00</w:t>
            </w:r>
          </w:p>
        </w:tc>
        <w:tc>
          <w:tcPr>
            <w:tcW w:w="1503" w:type="dxa"/>
            <w:tcBorders>
              <w:top w:val="nil"/>
              <w:left w:val="nil"/>
              <w:bottom w:val="nil"/>
              <w:right w:val="nil"/>
            </w:tcBorders>
            <w:shd w:val="clear" w:color="auto" w:fill="auto"/>
            <w:noWrap/>
            <w:vAlign w:val="bottom"/>
            <w:hideMark/>
          </w:tcPr>
          <w:p w14:paraId="449B5716"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1668C076" w14:textId="77777777" w:rsidR="003B2C9F" w:rsidRPr="003B2C9F" w:rsidRDefault="003B2C9F" w:rsidP="003B2C9F">
            <w:pPr>
              <w:jc w:val="right"/>
              <w:rPr>
                <w:sz w:val="20"/>
                <w:szCs w:val="20"/>
              </w:rPr>
            </w:pPr>
            <w:r w:rsidRPr="003B2C9F">
              <w:rPr>
                <w:sz w:val="20"/>
                <w:szCs w:val="20"/>
              </w:rPr>
              <w:t>0,00</w:t>
            </w:r>
          </w:p>
        </w:tc>
        <w:tc>
          <w:tcPr>
            <w:tcW w:w="1525" w:type="dxa"/>
            <w:tcBorders>
              <w:top w:val="nil"/>
              <w:left w:val="nil"/>
              <w:bottom w:val="nil"/>
              <w:right w:val="nil"/>
            </w:tcBorders>
            <w:shd w:val="clear" w:color="auto" w:fill="auto"/>
            <w:noWrap/>
            <w:vAlign w:val="bottom"/>
            <w:hideMark/>
          </w:tcPr>
          <w:p w14:paraId="4BAC1DB2" w14:textId="77777777" w:rsidR="003B2C9F" w:rsidRPr="003B2C9F" w:rsidRDefault="003B2C9F" w:rsidP="003B2C9F">
            <w:pPr>
              <w:jc w:val="right"/>
              <w:rPr>
                <w:sz w:val="20"/>
                <w:szCs w:val="20"/>
              </w:rPr>
            </w:pPr>
            <w:r w:rsidRPr="003B2C9F">
              <w:rPr>
                <w:sz w:val="20"/>
                <w:szCs w:val="20"/>
              </w:rPr>
              <w:t>0,00</w:t>
            </w:r>
          </w:p>
        </w:tc>
        <w:tc>
          <w:tcPr>
            <w:tcW w:w="1000" w:type="dxa"/>
            <w:tcBorders>
              <w:top w:val="nil"/>
              <w:left w:val="nil"/>
              <w:bottom w:val="nil"/>
              <w:right w:val="nil"/>
            </w:tcBorders>
            <w:shd w:val="clear" w:color="auto" w:fill="auto"/>
            <w:noWrap/>
            <w:vAlign w:val="bottom"/>
            <w:hideMark/>
          </w:tcPr>
          <w:p w14:paraId="24FC23A9" w14:textId="77777777" w:rsidR="003B2C9F" w:rsidRPr="003B2C9F" w:rsidRDefault="003B2C9F" w:rsidP="003B2C9F">
            <w:pPr>
              <w:jc w:val="right"/>
              <w:rPr>
                <w:sz w:val="20"/>
                <w:szCs w:val="20"/>
              </w:rPr>
            </w:pPr>
          </w:p>
        </w:tc>
      </w:tr>
      <w:tr w:rsidR="003B2C9F" w:rsidRPr="003B2C9F" w14:paraId="4C162810" w14:textId="77777777" w:rsidTr="003B2C9F">
        <w:trPr>
          <w:trHeight w:val="300"/>
        </w:trPr>
        <w:tc>
          <w:tcPr>
            <w:tcW w:w="616" w:type="dxa"/>
            <w:tcBorders>
              <w:top w:val="nil"/>
              <w:left w:val="nil"/>
              <w:bottom w:val="nil"/>
              <w:right w:val="nil"/>
            </w:tcBorders>
            <w:shd w:val="clear" w:color="auto" w:fill="auto"/>
            <w:noWrap/>
            <w:vAlign w:val="bottom"/>
            <w:hideMark/>
          </w:tcPr>
          <w:p w14:paraId="6D6B3ABF" w14:textId="77777777" w:rsidR="003B2C9F" w:rsidRPr="003B2C9F" w:rsidRDefault="003B2C9F" w:rsidP="003B2C9F">
            <w:pPr>
              <w:rPr>
                <w:b/>
                <w:bCs/>
                <w:sz w:val="20"/>
                <w:szCs w:val="20"/>
              </w:rPr>
            </w:pPr>
            <w:r w:rsidRPr="003B2C9F">
              <w:rPr>
                <w:b/>
                <w:bCs/>
                <w:sz w:val="20"/>
                <w:szCs w:val="20"/>
              </w:rPr>
              <w:t>425</w:t>
            </w:r>
          </w:p>
        </w:tc>
        <w:tc>
          <w:tcPr>
            <w:tcW w:w="6472" w:type="dxa"/>
            <w:tcBorders>
              <w:top w:val="nil"/>
              <w:left w:val="nil"/>
              <w:bottom w:val="nil"/>
              <w:right w:val="nil"/>
            </w:tcBorders>
            <w:shd w:val="clear" w:color="auto" w:fill="auto"/>
            <w:noWrap/>
            <w:vAlign w:val="bottom"/>
            <w:hideMark/>
          </w:tcPr>
          <w:p w14:paraId="45B997D0" w14:textId="77777777" w:rsidR="003B2C9F" w:rsidRPr="003B2C9F" w:rsidRDefault="003B2C9F" w:rsidP="003B2C9F">
            <w:pPr>
              <w:rPr>
                <w:b/>
                <w:bCs/>
                <w:sz w:val="20"/>
                <w:szCs w:val="20"/>
              </w:rPr>
            </w:pPr>
            <w:r w:rsidRPr="003B2C9F">
              <w:rPr>
                <w:b/>
                <w:bCs/>
                <w:sz w:val="20"/>
                <w:szCs w:val="20"/>
              </w:rPr>
              <w:t xml:space="preserve">Višegodišnji nasadi i osnovno stado                                                                 </w:t>
            </w:r>
          </w:p>
        </w:tc>
        <w:tc>
          <w:tcPr>
            <w:tcW w:w="1559" w:type="dxa"/>
            <w:tcBorders>
              <w:top w:val="nil"/>
              <w:left w:val="nil"/>
              <w:bottom w:val="nil"/>
              <w:right w:val="nil"/>
            </w:tcBorders>
            <w:shd w:val="clear" w:color="auto" w:fill="auto"/>
            <w:noWrap/>
            <w:vAlign w:val="bottom"/>
            <w:hideMark/>
          </w:tcPr>
          <w:p w14:paraId="7C01EC16" w14:textId="77777777" w:rsidR="003B2C9F" w:rsidRPr="003B2C9F" w:rsidRDefault="003B2C9F" w:rsidP="003B2C9F">
            <w:pPr>
              <w:jc w:val="right"/>
              <w:rPr>
                <w:b/>
                <w:bCs/>
                <w:sz w:val="20"/>
                <w:szCs w:val="20"/>
              </w:rPr>
            </w:pPr>
            <w:r w:rsidRPr="003B2C9F">
              <w:rPr>
                <w:b/>
                <w:bCs/>
                <w:sz w:val="20"/>
                <w:szCs w:val="20"/>
              </w:rPr>
              <w:t>0,00</w:t>
            </w:r>
          </w:p>
        </w:tc>
        <w:tc>
          <w:tcPr>
            <w:tcW w:w="1503" w:type="dxa"/>
            <w:tcBorders>
              <w:top w:val="nil"/>
              <w:left w:val="nil"/>
              <w:bottom w:val="nil"/>
              <w:right w:val="nil"/>
            </w:tcBorders>
            <w:shd w:val="clear" w:color="auto" w:fill="auto"/>
            <w:noWrap/>
            <w:vAlign w:val="bottom"/>
            <w:hideMark/>
          </w:tcPr>
          <w:p w14:paraId="70CB0CEA" w14:textId="77777777" w:rsidR="003B2C9F" w:rsidRPr="003B2C9F" w:rsidRDefault="003B2C9F" w:rsidP="003B2C9F">
            <w:pPr>
              <w:jc w:val="right"/>
              <w:rPr>
                <w:b/>
                <w:bCs/>
                <w:sz w:val="20"/>
                <w:szCs w:val="20"/>
              </w:rPr>
            </w:pPr>
            <w:r w:rsidRPr="003B2C9F">
              <w:rPr>
                <w:b/>
                <w:bCs/>
                <w:sz w:val="20"/>
                <w:szCs w:val="20"/>
              </w:rPr>
              <w:t>0,00</w:t>
            </w:r>
          </w:p>
        </w:tc>
        <w:tc>
          <w:tcPr>
            <w:tcW w:w="1366" w:type="dxa"/>
            <w:tcBorders>
              <w:top w:val="nil"/>
              <w:left w:val="nil"/>
              <w:bottom w:val="nil"/>
              <w:right w:val="nil"/>
            </w:tcBorders>
            <w:shd w:val="clear" w:color="auto" w:fill="auto"/>
            <w:noWrap/>
            <w:vAlign w:val="bottom"/>
            <w:hideMark/>
          </w:tcPr>
          <w:p w14:paraId="38BB4FD7" w14:textId="77777777" w:rsidR="003B2C9F" w:rsidRPr="003B2C9F" w:rsidRDefault="003B2C9F" w:rsidP="003B2C9F">
            <w:pPr>
              <w:jc w:val="right"/>
              <w:rPr>
                <w:b/>
                <w:bCs/>
                <w:sz w:val="20"/>
                <w:szCs w:val="20"/>
              </w:rPr>
            </w:pPr>
            <w:r w:rsidRPr="003B2C9F">
              <w:rPr>
                <w:b/>
                <w:bCs/>
                <w:sz w:val="20"/>
                <w:szCs w:val="20"/>
              </w:rPr>
              <w:t>0,00</w:t>
            </w:r>
          </w:p>
        </w:tc>
        <w:tc>
          <w:tcPr>
            <w:tcW w:w="1525" w:type="dxa"/>
            <w:tcBorders>
              <w:top w:val="nil"/>
              <w:left w:val="nil"/>
              <w:bottom w:val="nil"/>
              <w:right w:val="nil"/>
            </w:tcBorders>
            <w:shd w:val="clear" w:color="auto" w:fill="auto"/>
            <w:noWrap/>
            <w:vAlign w:val="bottom"/>
            <w:hideMark/>
          </w:tcPr>
          <w:p w14:paraId="04F2B510" w14:textId="77777777" w:rsidR="003B2C9F" w:rsidRPr="003B2C9F" w:rsidRDefault="003B2C9F" w:rsidP="003B2C9F">
            <w:pPr>
              <w:jc w:val="right"/>
              <w:rPr>
                <w:b/>
                <w:bCs/>
                <w:sz w:val="20"/>
                <w:szCs w:val="20"/>
              </w:rPr>
            </w:pPr>
            <w:r w:rsidRPr="003B2C9F">
              <w:rPr>
                <w:b/>
                <w:bCs/>
                <w:sz w:val="20"/>
                <w:szCs w:val="20"/>
              </w:rPr>
              <w:t>0,00</w:t>
            </w:r>
          </w:p>
        </w:tc>
        <w:tc>
          <w:tcPr>
            <w:tcW w:w="1000" w:type="dxa"/>
            <w:tcBorders>
              <w:top w:val="nil"/>
              <w:left w:val="nil"/>
              <w:bottom w:val="nil"/>
              <w:right w:val="nil"/>
            </w:tcBorders>
            <w:shd w:val="clear" w:color="auto" w:fill="auto"/>
            <w:noWrap/>
            <w:vAlign w:val="bottom"/>
            <w:hideMark/>
          </w:tcPr>
          <w:p w14:paraId="6E18E500" w14:textId="77777777" w:rsidR="003B2C9F" w:rsidRPr="003B2C9F" w:rsidRDefault="003B2C9F" w:rsidP="003B2C9F">
            <w:pPr>
              <w:jc w:val="right"/>
              <w:rPr>
                <w:b/>
                <w:bCs/>
                <w:sz w:val="20"/>
                <w:szCs w:val="20"/>
              </w:rPr>
            </w:pPr>
            <w:r w:rsidRPr="003B2C9F">
              <w:rPr>
                <w:b/>
                <w:bCs/>
                <w:sz w:val="20"/>
                <w:szCs w:val="20"/>
              </w:rPr>
              <w:t>0,00</w:t>
            </w:r>
          </w:p>
        </w:tc>
      </w:tr>
      <w:tr w:rsidR="003B2C9F" w:rsidRPr="003B2C9F" w14:paraId="55D2BC26" w14:textId="77777777" w:rsidTr="003B2C9F">
        <w:trPr>
          <w:trHeight w:val="300"/>
        </w:trPr>
        <w:tc>
          <w:tcPr>
            <w:tcW w:w="616" w:type="dxa"/>
            <w:tcBorders>
              <w:top w:val="nil"/>
              <w:left w:val="nil"/>
              <w:bottom w:val="nil"/>
              <w:right w:val="nil"/>
            </w:tcBorders>
            <w:shd w:val="clear" w:color="auto" w:fill="auto"/>
            <w:noWrap/>
            <w:vAlign w:val="bottom"/>
            <w:hideMark/>
          </w:tcPr>
          <w:p w14:paraId="090BB96B" w14:textId="77777777" w:rsidR="003B2C9F" w:rsidRPr="003B2C9F" w:rsidRDefault="003B2C9F" w:rsidP="003B2C9F">
            <w:pPr>
              <w:rPr>
                <w:sz w:val="20"/>
                <w:szCs w:val="20"/>
              </w:rPr>
            </w:pPr>
            <w:r w:rsidRPr="003B2C9F">
              <w:rPr>
                <w:sz w:val="20"/>
                <w:szCs w:val="20"/>
              </w:rPr>
              <w:t>4251</w:t>
            </w:r>
          </w:p>
        </w:tc>
        <w:tc>
          <w:tcPr>
            <w:tcW w:w="6472" w:type="dxa"/>
            <w:tcBorders>
              <w:top w:val="nil"/>
              <w:left w:val="nil"/>
              <w:bottom w:val="nil"/>
              <w:right w:val="nil"/>
            </w:tcBorders>
            <w:shd w:val="clear" w:color="auto" w:fill="auto"/>
            <w:vAlign w:val="bottom"/>
            <w:hideMark/>
          </w:tcPr>
          <w:p w14:paraId="21D4FBEA" w14:textId="77777777" w:rsidR="003B2C9F" w:rsidRPr="003B2C9F" w:rsidRDefault="003B2C9F" w:rsidP="003B2C9F">
            <w:pPr>
              <w:rPr>
                <w:sz w:val="20"/>
                <w:szCs w:val="20"/>
              </w:rPr>
            </w:pPr>
            <w:r w:rsidRPr="003B2C9F">
              <w:rPr>
                <w:sz w:val="20"/>
                <w:szCs w:val="20"/>
              </w:rPr>
              <w:t xml:space="preserve">Višegodišnji nasadi                                                                                 </w:t>
            </w:r>
          </w:p>
        </w:tc>
        <w:tc>
          <w:tcPr>
            <w:tcW w:w="1559" w:type="dxa"/>
            <w:tcBorders>
              <w:top w:val="nil"/>
              <w:left w:val="nil"/>
              <w:bottom w:val="nil"/>
              <w:right w:val="nil"/>
            </w:tcBorders>
            <w:shd w:val="clear" w:color="auto" w:fill="auto"/>
            <w:noWrap/>
            <w:vAlign w:val="bottom"/>
            <w:hideMark/>
          </w:tcPr>
          <w:p w14:paraId="02D102C6" w14:textId="77777777" w:rsidR="003B2C9F" w:rsidRPr="003B2C9F" w:rsidRDefault="003B2C9F" w:rsidP="003B2C9F">
            <w:pPr>
              <w:jc w:val="right"/>
              <w:rPr>
                <w:sz w:val="20"/>
                <w:szCs w:val="20"/>
              </w:rPr>
            </w:pPr>
            <w:r w:rsidRPr="003B2C9F">
              <w:rPr>
                <w:sz w:val="20"/>
                <w:szCs w:val="20"/>
              </w:rPr>
              <w:t>0,00</w:t>
            </w:r>
          </w:p>
        </w:tc>
        <w:tc>
          <w:tcPr>
            <w:tcW w:w="1503" w:type="dxa"/>
            <w:tcBorders>
              <w:top w:val="nil"/>
              <w:left w:val="nil"/>
              <w:bottom w:val="nil"/>
              <w:right w:val="nil"/>
            </w:tcBorders>
            <w:shd w:val="clear" w:color="auto" w:fill="auto"/>
            <w:noWrap/>
            <w:vAlign w:val="bottom"/>
            <w:hideMark/>
          </w:tcPr>
          <w:p w14:paraId="27641357"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4546A6EE" w14:textId="77777777" w:rsidR="003B2C9F" w:rsidRPr="003B2C9F" w:rsidRDefault="003B2C9F" w:rsidP="003B2C9F">
            <w:pPr>
              <w:jc w:val="right"/>
              <w:rPr>
                <w:sz w:val="20"/>
                <w:szCs w:val="20"/>
              </w:rPr>
            </w:pPr>
            <w:r w:rsidRPr="003B2C9F">
              <w:rPr>
                <w:sz w:val="20"/>
                <w:szCs w:val="20"/>
              </w:rPr>
              <w:t>0,00</w:t>
            </w:r>
          </w:p>
        </w:tc>
        <w:tc>
          <w:tcPr>
            <w:tcW w:w="1525" w:type="dxa"/>
            <w:tcBorders>
              <w:top w:val="nil"/>
              <w:left w:val="nil"/>
              <w:bottom w:val="nil"/>
              <w:right w:val="nil"/>
            </w:tcBorders>
            <w:shd w:val="clear" w:color="auto" w:fill="auto"/>
            <w:noWrap/>
            <w:vAlign w:val="bottom"/>
            <w:hideMark/>
          </w:tcPr>
          <w:p w14:paraId="427EDD64" w14:textId="77777777" w:rsidR="003B2C9F" w:rsidRPr="003B2C9F" w:rsidRDefault="003B2C9F" w:rsidP="003B2C9F">
            <w:pPr>
              <w:jc w:val="right"/>
              <w:rPr>
                <w:sz w:val="20"/>
                <w:szCs w:val="20"/>
              </w:rPr>
            </w:pPr>
            <w:r w:rsidRPr="003B2C9F">
              <w:rPr>
                <w:sz w:val="20"/>
                <w:szCs w:val="20"/>
              </w:rPr>
              <w:t>0,00</w:t>
            </w:r>
          </w:p>
        </w:tc>
        <w:tc>
          <w:tcPr>
            <w:tcW w:w="1000" w:type="dxa"/>
            <w:tcBorders>
              <w:top w:val="nil"/>
              <w:left w:val="nil"/>
              <w:bottom w:val="nil"/>
              <w:right w:val="nil"/>
            </w:tcBorders>
            <w:shd w:val="clear" w:color="auto" w:fill="auto"/>
            <w:noWrap/>
            <w:vAlign w:val="bottom"/>
            <w:hideMark/>
          </w:tcPr>
          <w:p w14:paraId="18001282" w14:textId="77777777" w:rsidR="003B2C9F" w:rsidRPr="003B2C9F" w:rsidRDefault="003B2C9F" w:rsidP="003B2C9F">
            <w:pPr>
              <w:jc w:val="right"/>
              <w:rPr>
                <w:sz w:val="20"/>
                <w:szCs w:val="20"/>
              </w:rPr>
            </w:pPr>
          </w:p>
        </w:tc>
      </w:tr>
      <w:tr w:rsidR="003B2C9F" w:rsidRPr="003B2C9F" w14:paraId="007C9ADA" w14:textId="77777777" w:rsidTr="003B2C9F">
        <w:trPr>
          <w:trHeight w:val="300"/>
        </w:trPr>
        <w:tc>
          <w:tcPr>
            <w:tcW w:w="616" w:type="dxa"/>
            <w:tcBorders>
              <w:top w:val="nil"/>
              <w:left w:val="nil"/>
              <w:bottom w:val="nil"/>
              <w:right w:val="nil"/>
            </w:tcBorders>
            <w:shd w:val="clear" w:color="auto" w:fill="auto"/>
            <w:noWrap/>
            <w:vAlign w:val="bottom"/>
            <w:hideMark/>
          </w:tcPr>
          <w:p w14:paraId="1088DD1E" w14:textId="77777777" w:rsidR="003B2C9F" w:rsidRPr="003B2C9F" w:rsidRDefault="003B2C9F" w:rsidP="003B2C9F">
            <w:pPr>
              <w:rPr>
                <w:b/>
                <w:bCs/>
                <w:sz w:val="20"/>
                <w:szCs w:val="20"/>
              </w:rPr>
            </w:pPr>
            <w:r w:rsidRPr="003B2C9F">
              <w:rPr>
                <w:b/>
                <w:bCs/>
                <w:sz w:val="20"/>
                <w:szCs w:val="20"/>
              </w:rPr>
              <w:t>426</w:t>
            </w:r>
          </w:p>
        </w:tc>
        <w:tc>
          <w:tcPr>
            <w:tcW w:w="6472" w:type="dxa"/>
            <w:tcBorders>
              <w:top w:val="nil"/>
              <w:left w:val="nil"/>
              <w:bottom w:val="nil"/>
              <w:right w:val="nil"/>
            </w:tcBorders>
            <w:shd w:val="clear" w:color="auto" w:fill="auto"/>
            <w:noWrap/>
            <w:vAlign w:val="bottom"/>
            <w:hideMark/>
          </w:tcPr>
          <w:p w14:paraId="6D977D2C" w14:textId="77777777" w:rsidR="003B2C9F" w:rsidRPr="003B2C9F" w:rsidRDefault="003B2C9F" w:rsidP="003B2C9F">
            <w:pPr>
              <w:rPr>
                <w:b/>
                <w:bCs/>
                <w:sz w:val="20"/>
                <w:szCs w:val="20"/>
              </w:rPr>
            </w:pPr>
            <w:r w:rsidRPr="003B2C9F">
              <w:rPr>
                <w:b/>
                <w:bCs/>
                <w:sz w:val="20"/>
                <w:szCs w:val="20"/>
              </w:rPr>
              <w:t xml:space="preserve">Nematerijalna proizvedena imovina                                                                   </w:t>
            </w:r>
          </w:p>
        </w:tc>
        <w:tc>
          <w:tcPr>
            <w:tcW w:w="1559" w:type="dxa"/>
            <w:tcBorders>
              <w:top w:val="nil"/>
              <w:left w:val="nil"/>
              <w:bottom w:val="nil"/>
              <w:right w:val="nil"/>
            </w:tcBorders>
            <w:shd w:val="clear" w:color="auto" w:fill="auto"/>
            <w:noWrap/>
            <w:vAlign w:val="bottom"/>
            <w:hideMark/>
          </w:tcPr>
          <w:p w14:paraId="67A9E071" w14:textId="77777777" w:rsidR="003B2C9F" w:rsidRPr="003B2C9F" w:rsidRDefault="003B2C9F" w:rsidP="003B2C9F">
            <w:pPr>
              <w:jc w:val="right"/>
              <w:rPr>
                <w:b/>
                <w:bCs/>
                <w:sz w:val="20"/>
                <w:szCs w:val="20"/>
              </w:rPr>
            </w:pPr>
            <w:r w:rsidRPr="003B2C9F">
              <w:rPr>
                <w:b/>
                <w:bCs/>
                <w:sz w:val="20"/>
                <w:szCs w:val="20"/>
              </w:rPr>
              <w:t>377.721,25</w:t>
            </w:r>
          </w:p>
        </w:tc>
        <w:tc>
          <w:tcPr>
            <w:tcW w:w="1503" w:type="dxa"/>
            <w:tcBorders>
              <w:top w:val="nil"/>
              <w:left w:val="nil"/>
              <w:bottom w:val="nil"/>
              <w:right w:val="nil"/>
            </w:tcBorders>
            <w:shd w:val="clear" w:color="auto" w:fill="auto"/>
            <w:noWrap/>
            <w:vAlign w:val="bottom"/>
            <w:hideMark/>
          </w:tcPr>
          <w:p w14:paraId="7B1438C5" w14:textId="77777777" w:rsidR="003B2C9F" w:rsidRPr="003B2C9F" w:rsidRDefault="003B2C9F" w:rsidP="003B2C9F">
            <w:pPr>
              <w:jc w:val="right"/>
              <w:rPr>
                <w:b/>
                <w:bCs/>
                <w:sz w:val="20"/>
                <w:szCs w:val="20"/>
              </w:rPr>
            </w:pPr>
            <w:r w:rsidRPr="003B2C9F">
              <w:rPr>
                <w:b/>
                <w:bCs/>
                <w:sz w:val="20"/>
                <w:szCs w:val="20"/>
              </w:rPr>
              <w:t>526.887,00</w:t>
            </w:r>
          </w:p>
        </w:tc>
        <w:tc>
          <w:tcPr>
            <w:tcW w:w="1366" w:type="dxa"/>
            <w:tcBorders>
              <w:top w:val="nil"/>
              <w:left w:val="nil"/>
              <w:bottom w:val="nil"/>
              <w:right w:val="nil"/>
            </w:tcBorders>
            <w:shd w:val="clear" w:color="auto" w:fill="auto"/>
            <w:noWrap/>
            <w:vAlign w:val="bottom"/>
            <w:hideMark/>
          </w:tcPr>
          <w:p w14:paraId="51D2E915" w14:textId="77777777" w:rsidR="003B2C9F" w:rsidRPr="003B2C9F" w:rsidRDefault="003B2C9F" w:rsidP="003B2C9F">
            <w:pPr>
              <w:jc w:val="right"/>
              <w:rPr>
                <w:b/>
                <w:bCs/>
                <w:sz w:val="20"/>
                <w:szCs w:val="20"/>
              </w:rPr>
            </w:pPr>
            <w:r w:rsidRPr="003B2C9F">
              <w:rPr>
                <w:b/>
                <w:bCs/>
                <w:sz w:val="20"/>
                <w:szCs w:val="20"/>
              </w:rPr>
              <w:t>458.587,50</w:t>
            </w:r>
          </w:p>
        </w:tc>
        <w:tc>
          <w:tcPr>
            <w:tcW w:w="1525" w:type="dxa"/>
            <w:tcBorders>
              <w:top w:val="nil"/>
              <w:left w:val="nil"/>
              <w:bottom w:val="nil"/>
              <w:right w:val="nil"/>
            </w:tcBorders>
            <w:shd w:val="clear" w:color="auto" w:fill="auto"/>
            <w:noWrap/>
            <w:vAlign w:val="bottom"/>
            <w:hideMark/>
          </w:tcPr>
          <w:p w14:paraId="2344ACDD" w14:textId="77777777" w:rsidR="003B2C9F" w:rsidRPr="003B2C9F" w:rsidRDefault="003B2C9F" w:rsidP="003B2C9F">
            <w:pPr>
              <w:jc w:val="right"/>
              <w:rPr>
                <w:b/>
                <w:bCs/>
                <w:sz w:val="20"/>
                <w:szCs w:val="20"/>
              </w:rPr>
            </w:pPr>
            <w:r w:rsidRPr="003B2C9F">
              <w:rPr>
                <w:b/>
                <w:bCs/>
                <w:sz w:val="20"/>
                <w:szCs w:val="20"/>
              </w:rPr>
              <w:t>121,41</w:t>
            </w:r>
          </w:p>
        </w:tc>
        <w:tc>
          <w:tcPr>
            <w:tcW w:w="1000" w:type="dxa"/>
            <w:tcBorders>
              <w:top w:val="nil"/>
              <w:left w:val="nil"/>
              <w:bottom w:val="nil"/>
              <w:right w:val="nil"/>
            </w:tcBorders>
            <w:shd w:val="clear" w:color="auto" w:fill="auto"/>
            <w:noWrap/>
            <w:vAlign w:val="bottom"/>
            <w:hideMark/>
          </w:tcPr>
          <w:p w14:paraId="1CA852C9" w14:textId="77777777" w:rsidR="003B2C9F" w:rsidRPr="003B2C9F" w:rsidRDefault="003B2C9F" w:rsidP="003B2C9F">
            <w:pPr>
              <w:jc w:val="right"/>
              <w:rPr>
                <w:b/>
                <w:bCs/>
                <w:sz w:val="20"/>
                <w:szCs w:val="20"/>
              </w:rPr>
            </w:pPr>
            <w:r w:rsidRPr="003B2C9F">
              <w:rPr>
                <w:b/>
                <w:bCs/>
                <w:sz w:val="20"/>
                <w:szCs w:val="20"/>
              </w:rPr>
              <w:t>87,04</w:t>
            </w:r>
          </w:p>
        </w:tc>
      </w:tr>
      <w:tr w:rsidR="003B2C9F" w:rsidRPr="003B2C9F" w14:paraId="5D5E6CCC" w14:textId="77777777" w:rsidTr="003B2C9F">
        <w:trPr>
          <w:trHeight w:val="300"/>
        </w:trPr>
        <w:tc>
          <w:tcPr>
            <w:tcW w:w="616" w:type="dxa"/>
            <w:tcBorders>
              <w:top w:val="nil"/>
              <w:left w:val="nil"/>
              <w:bottom w:val="nil"/>
              <w:right w:val="nil"/>
            </w:tcBorders>
            <w:shd w:val="clear" w:color="auto" w:fill="auto"/>
            <w:noWrap/>
            <w:vAlign w:val="bottom"/>
            <w:hideMark/>
          </w:tcPr>
          <w:p w14:paraId="474D48A7" w14:textId="77777777" w:rsidR="003B2C9F" w:rsidRPr="003B2C9F" w:rsidRDefault="003B2C9F" w:rsidP="003B2C9F">
            <w:pPr>
              <w:rPr>
                <w:sz w:val="20"/>
                <w:szCs w:val="20"/>
              </w:rPr>
            </w:pPr>
            <w:r w:rsidRPr="003B2C9F">
              <w:rPr>
                <w:sz w:val="20"/>
                <w:szCs w:val="20"/>
              </w:rPr>
              <w:t>4262</w:t>
            </w:r>
          </w:p>
        </w:tc>
        <w:tc>
          <w:tcPr>
            <w:tcW w:w="6472" w:type="dxa"/>
            <w:tcBorders>
              <w:top w:val="nil"/>
              <w:left w:val="nil"/>
              <w:bottom w:val="nil"/>
              <w:right w:val="nil"/>
            </w:tcBorders>
            <w:shd w:val="clear" w:color="auto" w:fill="auto"/>
            <w:vAlign w:val="bottom"/>
            <w:hideMark/>
          </w:tcPr>
          <w:p w14:paraId="7AE915FE" w14:textId="77777777" w:rsidR="003B2C9F" w:rsidRPr="003B2C9F" w:rsidRDefault="003B2C9F" w:rsidP="003B2C9F">
            <w:pPr>
              <w:rPr>
                <w:sz w:val="20"/>
                <w:szCs w:val="20"/>
              </w:rPr>
            </w:pPr>
            <w:r w:rsidRPr="003B2C9F">
              <w:rPr>
                <w:sz w:val="20"/>
                <w:szCs w:val="20"/>
              </w:rPr>
              <w:t xml:space="preserve">Ulaganja u računalne programe                                                                       </w:t>
            </w:r>
          </w:p>
        </w:tc>
        <w:tc>
          <w:tcPr>
            <w:tcW w:w="1559" w:type="dxa"/>
            <w:tcBorders>
              <w:top w:val="nil"/>
              <w:left w:val="nil"/>
              <w:bottom w:val="nil"/>
              <w:right w:val="nil"/>
            </w:tcBorders>
            <w:shd w:val="clear" w:color="auto" w:fill="auto"/>
            <w:noWrap/>
            <w:vAlign w:val="bottom"/>
            <w:hideMark/>
          </w:tcPr>
          <w:p w14:paraId="5AFDA915" w14:textId="77777777" w:rsidR="003B2C9F" w:rsidRPr="003B2C9F" w:rsidRDefault="003B2C9F" w:rsidP="003B2C9F">
            <w:pPr>
              <w:jc w:val="right"/>
              <w:rPr>
                <w:sz w:val="20"/>
                <w:szCs w:val="20"/>
              </w:rPr>
            </w:pPr>
            <w:r w:rsidRPr="003B2C9F">
              <w:rPr>
                <w:sz w:val="20"/>
                <w:szCs w:val="20"/>
              </w:rPr>
              <w:t>173.371,25</w:t>
            </w:r>
          </w:p>
        </w:tc>
        <w:tc>
          <w:tcPr>
            <w:tcW w:w="1503" w:type="dxa"/>
            <w:tcBorders>
              <w:top w:val="nil"/>
              <w:left w:val="nil"/>
              <w:bottom w:val="nil"/>
              <w:right w:val="nil"/>
            </w:tcBorders>
            <w:shd w:val="clear" w:color="auto" w:fill="auto"/>
            <w:noWrap/>
            <w:vAlign w:val="bottom"/>
            <w:hideMark/>
          </w:tcPr>
          <w:p w14:paraId="504C758D"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204683C8" w14:textId="77777777" w:rsidR="003B2C9F" w:rsidRPr="003B2C9F" w:rsidRDefault="003B2C9F" w:rsidP="003B2C9F">
            <w:pPr>
              <w:jc w:val="right"/>
              <w:rPr>
                <w:sz w:val="20"/>
                <w:szCs w:val="20"/>
              </w:rPr>
            </w:pPr>
            <w:r w:rsidRPr="003B2C9F">
              <w:rPr>
                <w:sz w:val="20"/>
                <w:szCs w:val="20"/>
              </w:rPr>
              <w:t>181.337,50</w:t>
            </w:r>
          </w:p>
        </w:tc>
        <w:tc>
          <w:tcPr>
            <w:tcW w:w="1525" w:type="dxa"/>
            <w:tcBorders>
              <w:top w:val="nil"/>
              <w:left w:val="nil"/>
              <w:bottom w:val="nil"/>
              <w:right w:val="nil"/>
            </w:tcBorders>
            <w:shd w:val="clear" w:color="auto" w:fill="auto"/>
            <w:noWrap/>
            <w:vAlign w:val="bottom"/>
            <w:hideMark/>
          </w:tcPr>
          <w:p w14:paraId="4C3A562A" w14:textId="77777777" w:rsidR="003B2C9F" w:rsidRPr="003B2C9F" w:rsidRDefault="003B2C9F" w:rsidP="003B2C9F">
            <w:pPr>
              <w:jc w:val="right"/>
              <w:rPr>
                <w:sz w:val="20"/>
                <w:szCs w:val="20"/>
              </w:rPr>
            </w:pPr>
            <w:r w:rsidRPr="003B2C9F">
              <w:rPr>
                <w:sz w:val="20"/>
                <w:szCs w:val="20"/>
              </w:rPr>
              <w:t>104,59</w:t>
            </w:r>
          </w:p>
        </w:tc>
        <w:tc>
          <w:tcPr>
            <w:tcW w:w="1000" w:type="dxa"/>
            <w:tcBorders>
              <w:top w:val="nil"/>
              <w:left w:val="nil"/>
              <w:bottom w:val="nil"/>
              <w:right w:val="nil"/>
            </w:tcBorders>
            <w:shd w:val="clear" w:color="auto" w:fill="auto"/>
            <w:noWrap/>
            <w:vAlign w:val="bottom"/>
            <w:hideMark/>
          </w:tcPr>
          <w:p w14:paraId="7508602C" w14:textId="77777777" w:rsidR="003B2C9F" w:rsidRPr="003B2C9F" w:rsidRDefault="003B2C9F" w:rsidP="003B2C9F">
            <w:pPr>
              <w:jc w:val="right"/>
              <w:rPr>
                <w:sz w:val="20"/>
                <w:szCs w:val="20"/>
              </w:rPr>
            </w:pPr>
          </w:p>
        </w:tc>
      </w:tr>
      <w:tr w:rsidR="003B2C9F" w:rsidRPr="003B2C9F" w14:paraId="48741657" w14:textId="77777777" w:rsidTr="003B2C9F">
        <w:trPr>
          <w:trHeight w:val="300"/>
        </w:trPr>
        <w:tc>
          <w:tcPr>
            <w:tcW w:w="616" w:type="dxa"/>
            <w:tcBorders>
              <w:top w:val="nil"/>
              <w:left w:val="nil"/>
              <w:bottom w:val="nil"/>
              <w:right w:val="nil"/>
            </w:tcBorders>
            <w:shd w:val="clear" w:color="auto" w:fill="auto"/>
            <w:noWrap/>
            <w:vAlign w:val="bottom"/>
            <w:hideMark/>
          </w:tcPr>
          <w:p w14:paraId="0A80AED8" w14:textId="77777777" w:rsidR="003B2C9F" w:rsidRPr="003B2C9F" w:rsidRDefault="003B2C9F" w:rsidP="003B2C9F">
            <w:pPr>
              <w:rPr>
                <w:sz w:val="20"/>
                <w:szCs w:val="20"/>
              </w:rPr>
            </w:pPr>
            <w:r w:rsidRPr="003B2C9F">
              <w:rPr>
                <w:sz w:val="20"/>
                <w:szCs w:val="20"/>
              </w:rPr>
              <w:t>4263</w:t>
            </w:r>
          </w:p>
        </w:tc>
        <w:tc>
          <w:tcPr>
            <w:tcW w:w="6472" w:type="dxa"/>
            <w:tcBorders>
              <w:top w:val="nil"/>
              <w:left w:val="nil"/>
              <w:bottom w:val="nil"/>
              <w:right w:val="nil"/>
            </w:tcBorders>
            <w:shd w:val="clear" w:color="auto" w:fill="auto"/>
            <w:vAlign w:val="bottom"/>
            <w:hideMark/>
          </w:tcPr>
          <w:p w14:paraId="05C05B0E" w14:textId="77777777" w:rsidR="003B2C9F" w:rsidRPr="003B2C9F" w:rsidRDefault="003B2C9F" w:rsidP="003B2C9F">
            <w:pPr>
              <w:rPr>
                <w:sz w:val="20"/>
                <w:szCs w:val="20"/>
              </w:rPr>
            </w:pPr>
            <w:r w:rsidRPr="003B2C9F">
              <w:rPr>
                <w:sz w:val="20"/>
                <w:szCs w:val="20"/>
              </w:rPr>
              <w:t xml:space="preserve">Umjetnička, literarna i znanstvena djela                                                            </w:t>
            </w:r>
          </w:p>
        </w:tc>
        <w:tc>
          <w:tcPr>
            <w:tcW w:w="1559" w:type="dxa"/>
            <w:tcBorders>
              <w:top w:val="nil"/>
              <w:left w:val="nil"/>
              <w:bottom w:val="nil"/>
              <w:right w:val="nil"/>
            </w:tcBorders>
            <w:shd w:val="clear" w:color="auto" w:fill="auto"/>
            <w:noWrap/>
            <w:vAlign w:val="bottom"/>
            <w:hideMark/>
          </w:tcPr>
          <w:p w14:paraId="3F71DF9C" w14:textId="77777777" w:rsidR="003B2C9F" w:rsidRPr="003B2C9F" w:rsidRDefault="003B2C9F" w:rsidP="003B2C9F">
            <w:pPr>
              <w:jc w:val="right"/>
              <w:rPr>
                <w:sz w:val="20"/>
                <w:szCs w:val="20"/>
              </w:rPr>
            </w:pPr>
            <w:r w:rsidRPr="003B2C9F">
              <w:rPr>
                <w:sz w:val="20"/>
                <w:szCs w:val="20"/>
              </w:rPr>
              <w:t>204.350,00</w:t>
            </w:r>
          </w:p>
        </w:tc>
        <w:tc>
          <w:tcPr>
            <w:tcW w:w="1503" w:type="dxa"/>
            <w:tcBorders>
              <w:top w:val="nil"/>
              <w:left w:val="nil"/>
              <w:bottom w:val="nil"/>
              <w:right w:val="nil"/>
            </w:tcBorders>
            <w:shd w:val="clear" w:color="auto" w:fill="auto"/>
            <w:noWrap/>
            <w:vAlign w:val="bottom"/>
            <w:hideMark/>
          </w:tcPr>
          <w:p w14:paraId="0E9C2E01" w14:textId="77777777" w:rsidR="003B2C9F" w:rsidRPr="003B2C9F" w:rsidRDefault="003B2C9F" w:rsidP="003B2C9F">
            <w:pPr>
              <w:jc w:val="right"/>
              <w:rPr>
                <w:sz w:val="20"/>
                <w:szCs w:val="20"/>
              </w:rPr>
            </w:pPr>
          </w:p>
        </w:tc>
        <w:tc>
          <w:tcPr>
            <w:tcW w:w="1366" w:type="dxa"/>
            <w:tcBorders>
              <w:top w:val="nil"/>
              <w:left w:val="nil"/>
              <w:bottom w:val="nil"/>
              <w:right w:val="nil"/>
            </w:tcBorders>
            <w:shd w:val="clear" w:color="auto" w:fill="auto"/>
            <w:noWrap/>
            <w:vAlign w:val="bottom"/>
            <w:hideMark/>
          </w:tcPr>
          <w:p w14:paraId="189D9709" w14:textId="77777777" w:rsidR="003B2C9F" w:rsidRPr="003B2C9F" w:rsidRDefault="003B2C9F" w:rsidP="003B2C9F">
            <w:pPr>
              <w:jc w:val="right"/>
              <w:rPr>
                <w:sz w:val="20"/>
                <w:szCs w:val="20"/>
              </w:rPr>
            </w:pPr>
            <w:r w:rsidRPr="003B2C9F">
              <w:rPr>
                <w:sz w:val="20"/>
                <w:szCs w:val="20"/>
              </w:rPr>
              <w:t>277.250,00</w:t>
            </w:r>
          </w:p>
        </w:tc>
        <w:tc>
          <w:tcPr>
            <w:tcW w:w="1525" w:type="dxa"/>
            <w:tcBorders>
              <w:top w:val="nil"/>
              <w:left w:val="nil"/>
              <w:bottom w:val="nil"/>
              <w:right w:val="nil"/>
            </w:tcBorders>
            <w:shd w:val="clear" w:color="auto" w:fill="auto"/>
            <w:noWrap/>
            <w:vAlign w:val="bottom"/>
            <w:hideMark/>
          </w:tcPr>
          <w:p w14:paraId="70B7F05C" w14:textId="77777777" w:rsidR="003B2C9F" w:rsidRPr="003B2C9F" w:rsidRDefault="003B2C9F" w:rsidP="003B2C9F">
            <w:pPr>
              <w:jc w:val="right"/>
              <w:rPr>
                <w:sz w:val="20"/>
                <w:szCs w:val="20"/>
              </w:rPr>
            </w:pPr>
            <w:r w:rsidRPr="003B2C9F">
              <w:rPr>
                <w:sz w:val="20"/>
                <w:szCs w:val="20"/>
              </w:rPr>
              <w:t>135,67</w:t>
            </w:r>
          </w:p>
        </w:tc>
        <w:tc>
          <w:tcPr>
            <w:tcW w:w="1000" w:type="dxa"/>
            <w:tcBorders>
              <w:top w:val="nil"/>
              <w:left w:val="nil"/>
              <w:bottom w:val="nil"/>
              <w:right w:val="nil"/>
            </w:tcBorders>
            <w:shd w:val="clear" w:color="auto" w:fill="auto"/>
            <w:noWrap/>
            <w:vAlign w:val="bottom"/>
            <w:hideMark/>
          </w:tcPr>
          <w:p w14:paraId="5B8CED2F" w14:textId="77777777" w:rsidR="003B2C9F" w:rsidRPr="003B2C9F" w:rsidRDefault="003B2C9F" w:rsidP="003B2C9F">
            <w:pPr>
              <w:jc w:val="right"/>
              <w:rPr>
                <w:sz w:val="20"/>
                <w:szCs w:val="20"/>
              </w:rPr>
            </w:pPr>
          </w:p>
        </w:tc>
      </w:tr>
      <w:tr w:rsidR="003B2C9F" w:rsidRPr="003B2C9F" w14:paraId="7FE186AD" w14:textId="77777777" w:rsidTr="003B2C9F">
        <w:trPr>
          <w:trHeight w:val="300"/>
        </w:trPr>
        <w:tc>
          <w:tcPr>
            <w:tcW w:w="616" w:type="dxa"/>
            <w:tcBorders>
              <w:top w:val="nil"/>
              <w:left w:val="nil"/>
              <w:bottom w:val="nil"/>
              <w:right w:val="nil"/>
            </w:tcBorders>
            <w:shd w:val="clear" w:color="auto" w:fill="auto"/>
            <w:noWrap/>
            <w:vAlign w:val="bottom"/>
            <w:hideMark/>
          </w:tcPr>
          <w:p w14:paraId="2889E185" w14:textId="77777777" w:rsidR="003B2C9F" w:rsidRPr="003B2C9F" w:rsidRDefault="003B2C9F" w:rsidP="003B2C9F">
            <w:pPr>
              <w:rPr>
                <w:b/>
                <w:bCs/>
                <w:sz w:val="20"/>
                <w:szCs w:val="20"/>
              </w:rPr>
            </w:pPr>
            <w:r w:rsidRPr="003B2C9F">
              <w:rPr>
                <w:b/>
                <w:bCs/>
                <w:sz w:val="20"/>
                <w:szCs w:val="20"/>
              </w:rPr>
              <w:t>45</w:t>
            </w:r>
          </w:p>
        </w:tc>
        <w:tc>
          <w:tcPr>
            <w:tcW w:w="6472" w:type="dxa"/>
            <w:tcBorders>
              <w:top w:val="nil"/>
              <w:left w:val="nil"/>
              <w:bottom w:val="nil"/>
              <w:right w:val="nil"/>
            </w:tcBorders>
            <w:shd w:val="clear" w:color="auto" w:fill="auto"/>
            <w:noWrap/>
            <w:vAlign w:val="bottom"/>
            <w:hideMark/>
          </w:tcPr>
          <w:p w14:paraId="4C9D83F5" w14:textId="77777777" w:rsidR="003B2C9F" w:rsidRPr="003B2C9F" w:rsidRDefault="003B2C9F" w:rsidP="003B2C9F">
            <w:pPr>
              <w:rPr>
                <w:b/>
                <w:bCs/>
                <w:sz w:val="20"/>
                <w:szCs w:val="20"/>
              </w:rPr>
            </w:pPr>
            <w:r w:rsidRPr="003B2C9F">
              <w:rPr>
                <w:b/>
                <w:bCs/>
                <w:sz w:val="20"/>
                <w:szCs w:val="20"/>
              </w:rPr>
              <w:t xml:space="preserve">Rashodi za dodatna ulaganja na nefinancijskoj imovini                                               </w:t>
            </w:r>
          </w:p>
        </w:tc>
        <w:tc>
          <w:tcPr>
            <w:tcW w:w="1559" w:type="dxa"/>
            <w:tcBorders>
              <w:top w:val="nil"/>
              <w:left w:val="nil"/>
              <w:bottom w:val="nil"/>
              <w:right w:val="nil"/>
            </w:tcBorders>
            <w:shd w:val="clear" w:color="auto" w:fill="auto"/>
            <w:noWrap/>
            <w:vAlign w:val="bottom"/>
            <w:hideMark/>
          </w:tcPr>
          <w:p w14:paraId="51DC2346" w14:textId="77777777" w:rsidR="003B2C9F" w:rsidRPr="003B2C9F" w:rsidRDefault="003B2C9F" w:rsidP="003B2C9F">
            <w:pPr>
              <w:jc w:val="right"/>
              <w:rPr>
                <w:b/>
                <w:bCs/>
                <w:sz w:val="20"/>
                <w:szCs w:val="20"/>
              </w:rPr>
            </w:pPr>
            <w:r w:rsidRPr="003B2C9F">
              <w:rPr>
                <w:b/>
                <w:bCs/>
                <w:sz w:val="20"/>
                <w:szCs w:val="20"/>
              </w:rPr>
              <w:t>5.571.425,46</w:t>
            </w:r>
          </w:p>
        </w:tc>
        <w:tc>
          <w:tcPr>
            <w:tcW w:w="1503" w:type="dxa"/>
            <w:tcBorders>
              <w:top w:val="nil"/>
              <w:left w:val="nil"/>
              <w:bottom w:val="nil"/>
              <w:right w:val="nil"/>
            </w:tcBorders>
            <w:shd w:val="clear" w:color="auto" w:fill="auto"/>
            <w:noWrap/>
            <w:vAlign w:val="bottom"/>
            <w:hideMark/>
          </w:tcPr>
          <w:p w14:paraId="05420309" w14:textId="77777777" w:rsidR="003B2C9F" w:rsidRPr="003B2C9F" w:rsidRDefault="003B2C9F" w:rsidP="003B2C9F">
            <w:pPr>
              <w:jc w:val="right"/>
              <w:rPr>
                <w:b/>
                <w:bCs/>
                <w:sz w:val="20"/>
                <w:szCs w:val="20"/>
              </w:rPr>
            </w:pPr>
            <w:r w:rsidRPr="003B2C9F">
              <w:rPr>
                <w:b/>
                <w:bCs/>
                <w:sz w:val="20"/>
                <w:szCs w:val="20"/>
              </w:rPr>
              <w:t>1.587.871,03</w:t>
            </w:r>
          </w:p>
        </w:tc>
        <w:tc>
          <w:tcPr>
            <w:tcW w:w="1366" w:type="dxa"/>
            <w:tcBorders>
              <w:top w:val="nil"/>
              <w:left w:val="nil"/>
              <w:bottom w:val="nil"/>
              <w:right w:val="nil"/>
            </w:tcBorders>
            <w:shd w:val="clear" w:color="auto" w:fill="auto"/>
            <w:noWrap/>
            <w:vAlign w:val="bottom"/>
            <w:hideMark/>
          </w:tcPr>
          <w:p w14:paraId="507B1223" w14:textId="77777777" w:rsidR="003B2C9F" w:rsidRPr="003B2C9F" w:rsidRDefault="003B2C9F" w:rsidP="003B2C9F">
            <w:pPr>
              <w:jc w:val="right"/>
              <w:rPr>
                <w:b/>
                <w:bCs/>
                <w:sz w:val="20"/>
                <w:szCs w:val="20"/>
              </w:rPr>
            </w:pPr>
            <w:r w:rsidRPr="003B2C9F">
              <w:rPr>
                <w:b/>
                <w:bCs/>
                <w:sz w:val="20"/>
                <w:szCs w:val="20"/>
              </w:rPr>
              <w:t>1.514.076,66</w:t>
            </w:r>
          </w:p>
        </w:tc>
        <w:tc>
          <w:tcPr>
            <w:tcW w:w="1525" w:type="dxa"/>
            <w:tcBorders>
              <w:top w:val="nil"/>
              <w:left w:val="nil"/>
              <w:bottom w:val="nil"/>
              <w:right w:val="nil"/>
            </w:tcBorders>
            <w:shd w:val="clear" w:color="auto" w:fill="auto"/>
            <w:noWrap/>
            <w:vAlign w:val="bottom"/>
            <w:hideMark/>
          </w:tcPr>
          <w:p w14:paraId="1C73A674" w14:textId="77777777" w:rsidR="003B2C9F" w:rsidRPr="003B2C9F" w:rsidRDefault="003B2C9F" w:rsidP="003B2C9F">
            <w:pPr>
              <w:jc w:val="right"/>
              <w:rPr>
                <w:b/>
                <w:bCs/>
                <w:sz w:val="20"/>
                <w:szCs w:val="20"/>
              </w:rPr>
            </w:pPr>
            <w:r w:rsidRPr="003B2C9F">
              <w:rPr>
                <w:b/>
                <w:bCs/>
                <w:sz w:val="20"/>
                <w:szCs w:val="20"/>
              </w:rPr>
              <w:t>27,18</w:t>
            </w:r>
          </w:p>
        </w:tc>
        <w:tc>
          <w:tcPr>
            <w:tcW w:w="1000" w:type="dxa"/>
            <w:tcBorders>
              <w:top w:val="nil"/>
              <w:left w:val="nil"/>
              <w:bottom w:val="nil"/>
              <w:right w:val="nil"/>
            </w:tcBorders>
            <w:shd w:val="clear" w:color="auto" w:fill="auto"/>
            <w:noWrap/>
            <w:vAlign w:val="bottom"/>
            <w:hideMark/>
          </w:tcPr>
          <w:p w14:paraId="1BC56C89" w14:textId="77777777" w:rsidR="003B2C9F" w:rsidRPr="003B2C9F" w:rsidRDefault="003B2C9F" w:rsidP="003B2C9F">
            <w:pPr>
              <w:jc w:val="right"/>
              <w:rPr>
                <w:b/>
                <w:bCs/>
                <w:sz w:val="20"/>
                <w:szCs w:val="20"/>
              </w:rPr>
            </w:pPr>
            <w:r w:rsidRPr="003B2C9F">
              <w:rPr>
                <w:b/>
                <w:bCs/>
                <w:sz w:val="20"/>
                <w:szCs w:val="20"/>
              </w:rPr>
              <w:t>95,35</w:t>
            </w:r>
          </w:p>
        </w:tc>
      </w:tr>
      <w:tr w:rsidR="003B2C9F" w:rsidRPr="003B2C9F" w14:paraId="4B8E4DB2" w14:textId="77777777" w:rsidTr="003B2C9F">
        <w:trPr>
          <w:trHeight w:val="300"/>
        </w:trPr>
        <w:tc>
          <w:tcPr>
            <w:tcW w:w="616" w:type="dxa"/>
            <w:tcBorders>
              <w:top w:val="nil"/>
              <w:left w:val="nil"/>
              <w:bottom w:val="nil"/>
              <w:right w:val="nil"/>
            </w:tcBorders>
            <w:shd w:val="clear" w:color="auto" w:fill="auto"/>
            <w:noWrap/>
            <w:vAlign w:val="bottom"/>
            <w:hideMark/>
          </w:tcPr>
          <w:p w14:paraId="09F8A2EC" w14:textId="77777777" w:rsidR="003B2C9F" w:rsidRPr="003B2C9F" w:rsidRDefault="003B2C9F" w:rsidP="003B2C9F">
            <w:pPr>
              <w:rPr>
                <w:b/>
                <w:bCs/>
                <w:sz w:val="20"/>
                <w:szCs w:val="20"/>
              </w:rPr>
            </w:pPr>
            <w:r w:rsidRPr="003B2C9F">
              <w:rPr>
                <w:b/>
                <w:bCs/>
                <w:sz w:val="20"/>
                <w:szCs w:val="20"/>
              </w:rPr>
              <w:t>451</w:t>
            </w:r>
          </w:p>
        </w:tc>
        <w:tc>
          <w:tcPr>
            <w:tcW w:w="6472" w:type="dxa"/>
            <w:tcBorders>
              <w:top w:val="nil"/>
              <w:left w:val="nil"/>
              <w:bottom w:val="nil"/>
              <w:right w:val="nil"/>
            </w:tcBorders>
            <w:shd w:val="clear" w:color="auto" w:fill="auto"/>
            <w:noWrap/>
            <w:vAlign w:val="bottom"/>
            <w:hideMark/>
          </w:tcPr>
          <w:p w14:paraId="228EE5D1" w14:textId="77777777" w:rsidR="003B2C9F" w:rsidRPr="003B2C9F" w:rsidRDefault="003B2C9F" w:rsidP="003B2C9F">
            <w:pPr>
              <w:rPr>
                <w:b/>
                <w:bCs/>
                <w:sz w:val="20"/>
                <w:szCs w:val="20"/>
              </w:rPr>
            </w:pPr>
            <w:r w:rsidRPr="003B2C9F">
              <w:rPr>
                <w:b/>
                <w:bCs/>
                <w:sz w:val="20"/>
                <w:szCs w:val="20"/>
              </w:rPr>
              <w:t xml:space="preserve">Dodatna ulaganja na građevinskim objektima                                                          </w:t>
            </w:r>
          </w:p>
        </w:tc>
        <w:tc>
          <w:tcPr>
            <w:tcW w:w="1559" w:type="dxa"/>
            <w:tcBorders>
              <w:top w:val="nil"/>
              <w:left w:val="nil"/>
              <w:bottom w:val="nil"/>
              <w:right w:val="nil"/>
            </w:tcBorders>
            <w:shd w:val="clear" w:color="auto" w:fill="auto"/>
            <w:noWrap/>
            <w:vAlign w:val="bottom"/>
            <w:hideMark/>
          </w:tcPr>
          <w:p w14:paraId="5F135199" w14:textId="77777777" w:rsidR="003B2C9F" w:rsidRPr="003B2C9F" w:rsidRDefault="003B2C9F" w:rsidP="003B2C9F">
            <w:pPr>
              <w:jc w:val="right"/>
              <w:rPr>
                <w:b/>
                <w:bCs/>
                <w:sz w:val="20"/>
                <w:szCs w:val="20"/>
              </w:rPr>
            </w:pPr>
            <w:r w:rsidRPr="003B2C9F">
              <w:rPr>
                <w:b/>
                <w:bCs/>
                <w:sz w:val="20"/>
                <w:szCs w:val="20"/>
              </w:rPr>
              <w:t>5.571.425,46</w:t>
            </w:r>
          </w:p>
        </w:tc>
        <w:tc>
          <w:tcPr>
            <w:tcW w:w="1503" w:type="dxa"/>
            <w:tcBorders>
              <w:top w:val="nil"/>
              <w:left w:val="nil"/>
              <w:bottom w:val="nil"/>
              <w:right w:val="nil"/>
            </w:tcBorders>
            <w:shd w:val="clear" w:color="auto" w:fill="auto"/>
            <w:noWrap/>
            <w:vAlign w:val="bottom"/>
            <w:hideMark/>
          </w:tcPr>
          <w:p w14:paraId="032E5026" w14:textId="77777777" w:rsidR="003B2C9F" w:rsidRPr="003B2C9F" w:rsidRDefault="003B2C9F" w:rsidP="003B2C9F">
            <w:pPr>
              <w:jc w:val="right"/>
              <w:rPr>
                <w:b/>
                <w:bCs/>
                <w:sz w:val="20"/>
                <w:szCs w:val="20"/>
              </w:rPr>
            </w:pPr>
            <w:r w:rsidRPr="003B2C9F">
              <w:rPr>
                <w:b/>
                <w:bCs/>
                <w:sz w:val="20"/>
                <w:szCs w:val="20"/>
              </w:rPr>
              <w:t>1.587.871,03</w:t>
            </w:r>
          </w:p>
        </w:tc>
        <w:tc>
          <w:tcPr>
            <w:tcW w:w="1366" w:type="dxa"/>
            <w:tcBorders>
              <w:top w:val="nil"/>
              <w:left w:val="nil"/>
              <w:bottom w:val="nil"/>
              <w:right w:val="nil"/>
            </w:tcBorders>
            <w:shd w:val="clear" w:color="auto" w:fill="auto"/>
            <w:noWrap/>
            <w:vAlign w:val="bottom"/>
            <w:hideMark/>
          </w:tcPr>
          <w:p w14:paraId="22C5750F" w14:textId="77777777" w:rsidR="003B2C9F" w:rsidRPr="003B2C9F" w:rsidRDefault="003B2C9F" w:rsidP="003B2C9F">
            <w:pPr>
              <w:jc w:val="right"/>
              <w:rPr>
                <w:b/>
                <w:bCs/>
                <w:sz w:val="20"/>
                <w:szCs w:val="20"/>
              </w:rPr>
            </w:pPr>
            <w:r w:rsidRPr="003B2C9F">
              <w:rPr>
                <w:b/>
                <w:bCs/>
                <w:sz w:val="20"/>
                <w:szCs w:val="20"/>
              </w:rPr>
              <w:t>1.514.076,66</w:t>
            </w:r>
          </w:p>
        </w:tc>
        <w:tc>
          <w:tcPr>
            <w:tcW w:w="1525" w:type="dxa"/>
            <w:tcBorders>
              <w:top w:val="nil"/>
              <w:left w:val="nil"/>
              <w:bottom w:val="nil"/>
              <w:right w:val="nil"/>
            </w:tcBorders>
            <w:shd w:val="clear" w:color="auto" w:fill="auto"/>
            <w:noWrap/>
            <w:vAlign w:val="bottom"/>
            <w:hideMark/>
          </w:tcPr>
          <w:p w14:paraId="0C287D39" w14:textId="77777777" w:rsidR="003B2C9F" w:rsidRPr="003B2C9F" w:rsidRDefault="003B2C9F" w:rsidP="003B2C9F">
            <w:pPr>
              <w:jc w:val="right"/>
              <w:rPr>
                <w:b/>
                <w:bCs/>
                <w:sz w:val="20"/>
                <w:szCs w:val="20"/>
              </w:rPr>
            </w:pPr>
            <w:r w:rsidRPr="003B2C9F">
              <w:rPr>
                <w:b/>
                <w:bCs/>
                <w:sz w:val="20"/>
                <w:szCs w:val="20"/>
              </w:rPr>
              <w:t>27,18</w:t>
            </w:r>
          </w:p>
        </w:tc>
        <w:tc>
          <w:tcPr>
            <w:tcW w:w="1000" w:type="dxa"/>
            <w:tcBorders>
              <w:top w:val="nil"/>
              <w:left w:val="nil"/>
              <w:bottom w:val="nil"/>
              <w:right w:val="nil"/>
            </w:tcBorders>
            <w:shd w:val="clear" w:color="auto" w:fill="auto"/>
            <w:noWrap/>
            <w:vAlign w:val="bottom"/>
            <w:hideMark/>
          </w:tcPr>
          <w:p w14:paraId="0858A3BD" w14:textId="77777777" w:rsidR="003B2C9F" w:rsidRPr="003B2C9F" w:rsidRDefault="003B2C9F" w:rsidP="003B2C9F">
            <w:pPr>
              <w:jc w:val="right"/>
              <w:rPr>
                <w:b/>
                <w:bCs/>
                <w:sz w:val="20"/>
                <w:szCs w:val="20"/>
              </w:rPr>
            </w:pPr>
            <w:r w:rsidRPr="003B2C9F">
              <w:rPr>
                <w:b/>
                <w:bCs/>
                <w:sz w:val="20"/>
                <w:szCs w:val="20"/>
              </w:rPr>
              <w:t>95,35</w:t>
            </w:r>
          </w:p>
        </w:tc>
      </w:tr>
      <w:tr w:rsidR="003B2C9F" w:rsidRPr="003B2C9F" w14:paraId="7C7220C1" w14:textId="77777777" w:rsidTr="003B2C9F">
        <w:trPr>
          <w:trHeight w:val="300"/>
        </w:trPr>
        <w:tc>
          <w:tcPr>
            <w:tcW w:w="616" w:type="dxa"/>
            <w:tcBorders>
              <w:top w:val="nil"/>
              <w:left w:val="nil"/>
              <w:bottom w:val="single" w:sz="4" w:space="0" w:color="auto"/>
              <w:right w:val="nil"/>
            </w:tcBorders>
            <w:shd w:val="clear" w:color="auto" w:fill="auto"/>
            <w:noWrap/>
            <w:vAlign w:val="bottom"/>
            <w:hideMark/>
          </w:tcPr>
          <w:p w14:paraId="2D477CCF" w14:textId="77777777" w:rsidR="003B2C9F" w:rsidRPr="003B2C9F" w:rsidRDefault="003B2C9F" w:rsidP="003B2C9F">
            <w:pPr>
              <w:rPr>
                <w:sz w:val="20"/>
                <w:szCs w:val="20"/>
              </w:rPr>
            </w:pPr>
            <w:r w:rsidRPr="003B2C9F">
              <w:rPr>
                <w:sz w:val="20"/>
                <w:szCs w:val="20"/>
              </w:rPr>
              <w:t>4511</w:t>
            </w:r>
          </w:p>
        </w:tc>
        <w:tc>
          <w:tcPr>
            <w:tcW w:w="6472" w:type="dxa"/>
            <w:tcBorders>
              <w:top w:val="nil"/>
              <w:left w:val="nil"/>
              <w:bottom w:val="single" w:sz="4" w:space="0" w:color="auto"/>
              <w:right w:val="nil"/>
            </w:tcBorders>
            <w:shd w:val="clear" w:color="auto" w:fill="auto"/>
            <w:vAlign w:val="bottom"/>
            <w:hideMark/>
          </w:tcPr>
          <w:p w14:paraId="2A8BCE31" w14:textId="77777777" w:rsidR="003B2C9F" w:rsidRPr="003B2C9F" w:rsidRDefault="003B2C9F" w:rsidP="003B2C9F">
            <w:pPr>
              <w:rPr>
                <w:sz w:val="20"/>
                <w:szCs w:val="20"/>
              </w:rPr>
            </w:pPr>
            <w:r w:rsidRPr="003B2C9F">
              <w:rPr>
                <w:sz w:val="20"/>
                <w:szCs w:val="20"/>
              </w:rPr>
              <w:t xml:space="preserve">Dodatna ulaganja na građevinskim objektima                                                          </w:t>
            </w:r>
          </w:p>
        </w:tc>
        <w:tc>
          <w:tcPr>
            <w:tcW w:w="1559" w:type="dxa"/>
            <w:tcBorders>
              <w:top w:val="nil"/>
              <w:left w:val="nil"/>
              <w:bottom w:val="single" w:sz="4" w:space="0" w:color="auto"/>
              <w:right w:val="nil"/>
            </w:tcBorders>
            <w:shd w:val="clear" w:color="auto" w:fill="auto"/>
            <w:noWrap/>
            <w:vAlign w:val="bottom"/>
            <w:hideMark/>
          </w:tcPr>
          <w:p w14:paraId="50720218" w14:textId="77777777" w:rsidR="003B2C9F" w:rsidRPr="003B2C9F" w:rsidRDefault="003B2C9F" w:rsidP="003B2C9F">
            <w:pPr>
              <w:jc w:val="right"/>
              <w:rPr>
                <w:sz w:val="20"/>
                <w:szCs w:val="20"/>
              </w:rPr>
            </w:pPr>
            <w:r w:rsidRPr="003B2C9F">
              <w:rPr>
                <w:sz w:val="20"/>
                <w:szCs w:val="20"/>
              </w:rPr>
              <w:t>5.571.425,46</w:t>
            </w:r>
          </w:p>
        </w:tc>
        <w:tc>
          <w:tcPr>
            <w:tcW w:w="1503" w:type="dxa"/>
            <w:tcBorders>
              <w:top w:val="nil"/>
              <w:left w:val="nil"/>
              <w:bottom w:val="single" w:sz="4" w:space="0" w:color="auto"/>
              <w:right w:val="nil"/>
            </w:tcBorders>
            <w:shd w:val="clear" w:color="auto" w:fill="auto"/>
            <w:noWrap/>
            <w:vAlign w:val="bottom"/>
            <w:hideMark/>
          </w:tcPr>
          <w:p w14:paraId="40C739D2" w14:textId="77777777" w:rsidR="003B2C9F" w:rsidRPr="003B2C9F" w:rsidRDefault="003B2C9F" w:rsidP="003B2C9F">
            <w:pPr>
              <w:rPr>
                <w:sz w:val="20"/>
                <w:szCs w:val="20"/>
              </w:rPr>
            </w:pPr>
            <w:r w:rsidRPr="003B2C9F">
              <w:rPr>
                <w:sz w:val="20"/>
                <w:szCs w:val="20"/>
              </w:rPr>
              <w:t> </w:t>
            </w:r>
          </w:p>
        </w:tc>
        <w:tc>
          <w:tcPr>
            <w:tcW w:w="1366" w:type="dxa"/>
            <w:tcBorders>
              <w:top w:val="nil"/>
              <w:left w:val="nil"/>
              <w:bottom w:val="single" w:sz="4" w:space="0" w:color="auto"/>
              <w:right w:val="nil"/>
            </w:tcBorders>
            <w:shd w:val="clear" w:color="auto" w:fill="auto"/>
            <w:noWrap/>
            <w:vAlign w:val="bottom"/>
            <w:hideMark/>
          </w:tcPr>
          <w:p w14:paraId="360204BB" w14:textId="77777777" w:rsidR="003B2C9F" w:rsidRPr="003B2C9F" w:rsidRDefault="003B2C9F" w:rsidP="003B2C9F">
            <w:pPr>
              <w:jc w:val="right"/>
              <w:rPr>
                <w:sz w:val="20"/>
                <w:szCs w:val="20"/>
              </w:rPr>
            </w:pPr>
            <w:r w:rsidRPr="003B2C9F">
              <w:rPr>
                <w:sz w:val="20"/>
                <w:szCs w:val="20"/>
              </w:rPr>
              <w:t>1.514.076,66</w:t>
            </w:r>
          </w:p>
        </w:tc>
        <w:tc>
          <w:tcPr>
            <w:tcW w:w="1525" w:type="dxa"/>
            <w:tcBorders>
              <w:top w:val="nil"/>
              <w:left w:val="nil"/>
              <w:bottom w:val="single" w:sz="4" w:space="0" w:color="auto"/>
              <w:right w:val="nil"/>
            </w:tcBorders>
            <w:shd w:val="clear" w:color="auto" w:fill="auto"/>
            <w:noWrap/>
            <w:vAlign w:val="bottom"/>
            <w:hideMark/>
          </w:tcPr>
          <w:p w14:paraId="067C52CD" w14:textId="77777777" w:rsidR="003B2C9F" w:rsidRPr="003B2C9F" w:rsidRDefault="003B2C9F" w:rsidP="003B2C9F">
            <w:pPr>
              <w:jc w:val="right"/>
              <w:rPr>
                <w:sz w:val="20"/>
                <w:szCs w:val="20"/>
              </w:rPr>
            </w:pPr>
            <w:r w:rsidRPr="003B2C9F">
              <w:rPr>
                <w:sz w:val="20"/>
                <w:szCs w:val="20"/>
              </w:rPr>
              <w:t>27,18</w:t>
            </w:r>
          </w:p>
        </w:tc>
        <w:tc>
          <w:tcPr>
            <w:tcW w:w="1000" w:type="dxa"/>
            <w:tcBorders>
              <w:top w:val="nil"/>
              <w:left w:val="nil"/>
              <w:bottom w:val="single" w:sz="4" w:space="0" w:color="auto"/>
              <w:right w:val="nil"/>
            </w:tcBorders>
            <w:shd w:val="clear" w:color="auto" w:fill="auto"/>
            <w:noWrap/>
            <w:vAlign w:val="bottom"/>
            <w:hideMark/>
          </w:tcPr>
          <w:p w14:paraId="6A814648" w14:textId="77777777" w:rsidR="003B2C9F" w:rsidRPr="003B2C9F" w:rsidRDefault="003B2C9F" w:rsidP="003B2C9F">
            <w:pPr>
              <w:rPr>
                <w:sz w:val="20"/>
                <w:szCs w:val="20"/>
              </w:rPr>
            </w:pPr>
            <w:r w:rsidRPr="003B2C9F">
              <w:rPr>
                <w:sz w:val="20"/>
                <w:szCs w:val="20"/>
              </w:rPr>
              <w:t> </w:t>
            </w:r>
          </w:p>
        </w:tc>
      </w:tr>
    </w:tbl>
    <w:p w14:paraId="467FBABC" w14:textId="77777777" w:rsidR="003B2C9F" w:rsidRDefault="003B2C9F" w:rsidP="00AD72E4">
      <w:pPr>
        <w:pStyle w:val="Subtitle1"/>
        <w:rPr>
          <w:rFonts w:ascii="Times New Roman" w:hAnsi="Times New Roman"/>
          <w:sz w:val="24"/>
          <w:szCs w:val="24"/>
        </w:rPr>
      </w:pPr>
    </w:p>
    <w:p w14:paraId="53CE8B13" w14:textId="77777777" w:rsidR="00953AE7" w:rsidRDefault="00953AE7" w:rsidP="00AD72E4">
      <w:pPr>
        <w:pStyle w:val="Subtitle1"/>
        <w:rPr>
          <w:rFonts w:ascii="Times New Roman" w:hAnsi="Times New Roman"/>
          <w:sz w:val="24"/>
          <w:szCs w:val="24"/>
        </w:rPr>
      </w:pPr>
    </w:p>
    <w:p w14:paraId="45A55A14" w14:textId="77777777" w:rsidR="00953AE7" w:rsidRDefault="00953AE7" w:rsidP="00AD72E4">
      <w:pPr>
        <w:pStyle w:val="Subtitle1"/>
        <w:rPr>
          <w:rFonts w:ascii="Times New Roman" w:hAnsi="Times New Roman"/>
          <w:sz w:val="24"/>
          <w:szCs w:val="24"/>
        </w:rPr>
      </w:pPr>
    </w:p>
    <w:p w14:paraId="600FA2B3" w14:textId="77777777" w:rsidR="00F26FD7" w:rsidRDefault="00F26FD7" w:rsidP="00AD72E4">
      <w:pPr>
        <w:pStyle w:val="Subtitle1"/>
        <w:rPr>
          <w:rFonts w:ascii="Times New Roman" w:hAnsi="Times New Roman"/>
          <w:sz w:val="24"/>
          <w:szCs w:val="24"/>
        </w:rPr>
      </w:pPr>
    </w:p>
    <w:tbl>
      <w:tblPr>
        <w:tblW w:w="14360" w:type="dxa"/>
        <w:tblLook w:val="04A0" w:firstRow="1" w:lastRow="0" w:firstColumn="1" w:lastColumn="0" w:noHBand="0" w:noVBand="1"/>
      </w:tblPr>
      <w:tblGrid>
        <w:gridCol w:w="7032"/>
        <w:gridCol w:w="1708"/>
        <w:gridCol w:w="1660"/>
        <w:gridCol w:w="1720"/>
        <w:gridCol w:w="1120"/>
        <w:gridCol w:w="1120"/>
      </w:tblGrid>
      <w:tr w:rsidR="00AC79AD" w:rsidRPr="00953AE7" w14:paraId="44DC49C5" w14:textId="77777777" w:rsidTr="00AC79AD">
        <w:trPr>
          <w:trHeight w:val="300"/>
        </w:trPr>
        <w:tc>
          <w:tcPr>
            <w:tcW w:w="8740" w:type="dxa"/>
            <w:gridSpan w:val="2"/>
            <w:tcBorders>
              <w:top w:val="nil"/>
              <w:left w:val="nil"/>
              <w:bottom w:val="nil"/>
              <w:right w:val="nil"/>
            </w:tcBorders>
            <w:shd w:val="clear" w:color="auto" w:fill="auto"/>
            <w:noWrap/>
            <w:vAlign w:val="bottom"/>
            <w:hideMark/>
          </w:tcPr>
          <w:p w14:paraId="44B10085" w14:textId="77777777" w:rsidR="00AC79AD" w:rsidRPr="00953AE7" w:rsidRDefault="00AC79AD" w:rsidP="00953AE7">
            <w:pPr>
              <w:pStyle w:val="Subtitle1"/>
              <w:rPr>
                <w:rFonts w:ascii="Times New Roman" w:hAnsi="Times New Roman"/>
                <w:sz w:val="20"/>
                <w:szCs w:val="20"/>
              </w:rPr>
            </w:pPr>
            <w:bookmarkStart w:id="10" w:name="_Toc133398664"/>
            <w:r w:rsidRPr="00953AE7">
              <w:rPr>
                <w:rFonts w:ascii="Times New Roman" w:hAnsi="Times New Roman"/>
                <w:sz w:val="20"/>
                <w:szCs w:val="20"/>
              </w:rPr>
              <w:lastRenderedPageBreak/>
              <w:t>2. A. 2. RAČUN PRIHODA I RASHODA - PREMA IZVORIMA FINANCIRANJA</w:t>
            </w:r>
            <w:bookmarkEnd w:id="10"/>
          </w:p>
        </w:tc>
        <w:tc>
          <w:tcPr>
            <w:tcW w:w="1660" w:type="dxa"/>
            <w:tcBorders>
              <w:top w:val="nil"/>
              <w:left w:val="nil"/>
              <w:bottom w:val="nil"/>
              <w:right w:val="nil"/>
            </w:tcBorders>
            <w:shd w:val="clear" w:color="auto" w:fill="auto"/>
            <w:noWrap/>
            <w:vAlign w:val="bottom"/>
            <w:hideMark/>
          </w:tcPr>
          <w:p w14:paraId="556DCAB4" w14:textId="77777777" w:rsidR="00AC79AD" w:rsidRPr="00953AE7" w:rsidRDefault="00AC79AD" w:rsidP="00953AE7">
            <w:pPr>
              <w:pStyle w:val="Subtitle1"/>
              <w:rPr>
                <w:rFonts w:ascii="Times New Roman" w:hAnsi="Times New Roman"/>
                <w:sz w:val="20"/>
                <w:szCs w:val="20"/>
              </w:rPr>
            </w:pPr>
          </w:p>
        </w:tc>
        <w:tc>
          <w:tcPr>
            <w:tcW w:w="1720" w:type="dxa"/>
            <w:tcBorders>
              <w:top w:val="nil"/>
              <w:left w:val="nil"/>
              <w:bottom w:val="nil"/>
              <w:right w:val="nil"/>
            </w:tcBorders>
            <w:shd w:val="clear" w:color="auto" w:fill="auto"/>
            <w:noWrap/>
            <w:vAlign w:val="bottom"/>
            <w:hideMark/>
          </w:tcPr>
          <w:p w14:paraId="700633CE" w14:textId="77777777" w:rsidR="00AC79AD" w:rsidRPr="00953AE7" w:rsidRDefault="00AC79AD" w:rsidP="00953AE7">
            <w:pPr>
              <w:pStyle w:val="Subtitle1"/>
              <w:rPr>
                <w:rFonts w:ascii="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38FE4C90" w14:textId="77777777" w:rsidR="00AC79AD" w:rsidRPr="00953AE7" w:rsidRDefault="00AC79AD" w:rsidP="00953AE7">
            <w:pPr>
              <w:pStyle w:val="Subtitle1"/>
              <w:rPr>
                <w:rFonts w:ascii="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0ECC0B5B" w14:textId="77777777" w:rsidR="00AC79AD" w:rsidRPr="00953AE7" w:rsidRDefault="00AC79AD" w:rsidP="00953AE7">
            <w:pPr>
              <w:pStyle w:val="Subtitle1"/>
              <w:rPr>
                <w:rFonts w:ascii="Times New Roman" w:hAnsi="Times New Roman"/>
                <w:sz w:val="20"/>
                <w:szCs w:val="20"/>
              </w:rPr>
            </w:pPr>
          </w:p>
        </w:tc>
      </w:tr>
      <w:tr w:rsidR="00AC79AD" w14:paraId="2E97BBFF" w14:textId="77777777" w:rsidTr="00AC79AD">
        <w:trPr>
          <w:trHeight w:val="300"/>
        </w:trPr>
        <w:tc>
          <w:tcPr>
            <w:tcW w:w="7032" w:type="dxa"/>
            <w:tcBorders>
              <w:top w:val="nil"/>
              <w:left w:val="nil"/>
              <w:bottom w:val="nil"/>
              <w:right w:val="nil"/>
            </w:tcBorders>
            <w:shd w:val="clear" w:color="auto" w:fill="auto"/>
            <w:noWrap/>
            <w:vAlign w:val="bottom"/>
            <w:hideMark/>
          </w:tcPr>
          <w:p w14:paraId="5206EEBF" w14:textId="77777777" w:rsidR="00AC79AD" w:rsidRDefault="00AC79AD">
            <w:pPr>
              <w:rPr>
                <w:sz w:val="20"/>
                <w:szCs w:val="20"/>
              </w:rPr>
            </w:pPr>
          </w:p>
        </w:tc>
        <w:tc>
          <w:tcPr>
            <w:tcW w:w="1708" w:type="dxa"/>
            <w:tcBorders>
              <w:top w:val="nil"/>
              <w:left w:val="nil"/>
              <w:bottom w:val="nil"/>
              <w:right w:val="nil"/>
            </w:tcBorders>
            <w:shd w:val="clear" w:color="auto" w:fill="auto"/>
            <w:noWrap/>
            <w:vAlign w:val="bottom"/>
            <w:hideMark/>
          </w:tcPr>
          <w:p w14:paraId="6F01E99B" w14:textId="77777777" w:rsidR="00AC79AD" w:rsidRDefault="00AC79AD">
            <w:pPr>
              <w:rPr>
                <w:sz w:val="20"/>
                <w:szCs w:val="20"/>
              </w:rPr>
            </w:pPr>
          </w:p>
        </w:tc>
        <w:tc>
          <w:tcPr>
            <w:tcW w:w="1660" w:type="dxa"/>
            <w:tcBorders>
              <w:top w:val="nil"/>
              <w:left w:val="nil"/>
              <w:bottom w:val="nil"/>
              <w:right w:val="nil"/>
            </w:tcBorders>
            <w:shd w:val="clear" w:color="auto" w:fill="auto"/>
            <w:noWrap/>
            <w:vAlign w:val="bottom"/>
            <w:hideMark/>
          </w:tcPr>
          <w:p w14:paraId="376BBF71" w14:textId="77777777" w:rsidR="00AC79AD" w:rsidRDefault="00AC79AD">
            <w:pPr>
              <w:rPr>
                <w:sz w:val="20"/>
                <w:szCs w:val="20"/>
              </w:rPr>
            </w:pPr>
          </w:p>
        </w:tc>
        <w:tc>
          <w:tcPr>
            <w:tcW w:w="1720" w:type="dxa"/>
            <w:tcBorders>
              <w:top w:val="nil"/>
              <w:left w:val="nil"/>
              <w:bottom w:val="nil"/>
              <w:right w:val="nil"/>
            </w:tcBorders>
            <w:shd w:val="clear" w:color="auto" w:fill="auto"/>
            <w:noWrap/>
            <w:vAlign w:val="bottom"/>
            <w:hideMark/>
          </w:tcPr>
          <w:p w14:paraId="3B9C2DB0" w14:textId="77777777" w:rsidR="00AC79AD" w:rsidRDefault="00AC79AD">
            <w:pPr>
              <w:rPr>
                <w:sz w:val="20"/>
                <w:szCs w:val="20"/>
              </w:rPr>
            </w:pPr>
          </w:p>
        </w:tc>
        <w:tc>
          <w:tcPr>
            <w:tcW w:w="1120" w:type="dxa"/>
            <w:tcBorders>
              <w:top w:val="nil"/>
              <w:left w:val="nil"/>
              <w:bottom w:val="nil"/>
              <w:right w:val="nil"/>
            </w:tcBorders>
            <w:shd w:val="clear" w:color="auto" w:fill="auto"/>
            <w:noWrap/>
            <w:vAlign w:val="bottom"/>
            <w:hideMark/>
          </w:tcPr>
          <w:p w14:paraId="71919865" w14:textId="77777777" w:rsidR="00AC79AD" w:rsidRDefault="00AC79AD">
            <w:pPr>
              <w:rPr>
                <w:sz w:val="20"/>
                <w:szCs w:val="20"/>
              </w:rPr>
            </w:pPr>
          </w:p>
        </w:tc>
        <w:tc>
          <w:tcPr>
            <w:tcW w:w="1120" w:type="dxa"/>
            <w:tcBorders>
              <w:top w:val="nil"/>
              <w:left w:val="nil"/>
              <w:bottom w:val="nil"/>
              <w:right w:val="nil"/>
            </w:tcBorders>
            <w:shd w:val="clear" w:color="auto" w:fill="auto"/>
            <w:noWrap/>
            <w:vAlign w:val="bottom"/>
            <w:hideMark/>
          </w:tcPr>
          <w:p w14:paraId="79904443" w14:textId="77777777" w:rsidR="00AC79AD" w:rsidRDefault="00AC79AD">
            <w:pPr>
              <w:rPr>
                <w:sz w:val="20"/>
                <w:szCs w:val="20"/>
              </w:rPr>
            </w:pPr>
          </w:p>
        </w:tc>
      </w:tr>
      <w:tr w:rsidR="00AC79AD" w14:paraId="0BB25C74" w14:textId="77777777" w:rsidTr="00AC79AD">
        <w:trPr>
          <w:trHeight w:val="240"/>
        </w:trPr>
        <w:tc>
          <w:tcPr>
            <w:tcW w:w="7032" w:type="dxa"/>
            <w:tcBorders>
              <w:top w:val="single" w:sz="4" w:space="0" w:color="auto"/>
              <w:left w:val="nil"/>
              <w:bottom w:val="nil"/>
              <w:right w:val="nil"/>
            </w:tcBorders>
            <w:shd w:val="clear" w:color="auto" w:fill="auto"/>
            <w:noWrap/>
            <w:vAlign w:val="bottom"/>
            <w:hideMark/>
          </w:tcPr>
          <w:p w14:paraId="0E13F0A5" w14:textId="77777777" w:rsidR="00AC79AD" w:rsidRDefault="00AC79AD">
            <w:pPr>
              <w:rPr>
                <w:b/>
                <w:bCs/>
                <w:sz w:val="18"/>
                <w:szCs w:val="18"/>
              </w:rPr>
            </w:pPr>
            <w:r>
              <w:rPr>
                <w:b/>
                <w:bCs/>
                <w:sz w:val="18"/>
                <w:szCs w:val="18"/>
              </w:rPr>
              <w:t>BROJČANA OZNAKA I NAZIV IZVORA FINANCIRANJA</w:t>
            </w:r>
          </w:p>
        </w:tc>
        <w:tc>
          <w:tcPr>
            <w:tcW w:w="1708" w:type="dxa"/>
            <w:tcBorders>
              <w:top w:val="single" w:sz="4" w:space="0" w:color="auto"/>
              <w:left w:val="nil"/>
              <w:bottom w:val="nil"/>
              <w:right w:val="nil"/>
            </w:tcBorders>
            <w:shd w:val="clear" w:color="auto" w:fill="auto"/>
            <w:noWrap/>
            <w:vAlign w:val="bottom"/>
            <w:hideMark/>
          </w:tcPr>
          <w:p w14:paraId="2E03969A" w14:textId="77777777" w:rsidR="00AC79AD" w:rsidRDefault="00AC79AD">
            <w:pPr>
              <w:jc w:val="center"/>
              <w:rPr>
                <w:b/>
                <w:bCs/>
                <w:color w:val="000000"/>
                <w:sz w:val="18"/>
                <w:szCs w:val="18"/>
              </w:rPr>
            </w:pPr>
            <w:r>
              <w:rPr>
                <w:b/>
                <w:bCs/>
                <w:color w:val="000000"/>
                <w:sz w:val="18"/>
                <w:szCs w:val="18"/>
              </w:rPr>
              <w:t xml:space="preserve">IZVRŠENJE </w:t>
            </w:r>
          </w:p>
        </w:tc>
        <w:tc>
          <w:tcPr>
            <w:tcW w:w="1660" w:type="dxa"/>
            <w:tcBorders>
              <w:top w:val="single" w:sz="4" w:space="0" w:color="auto"/>
              <w:left w:val="nil"/>
              <w:bottom w:val="nil"/>
              <w:right w:val="nil"/>
            </w:tcBorders>
            <w:shd w:val="clear" w:color="auto" w:fill="auto"/>
            <w:noWrap/>
            <w:vAlign w:val="bottom"/>
            <w:hideMark/>
          </w:tcPr>
          <w:p w14:paraId="5AB54F4F" w14:textId="77777777" w:rsidR="00AC79AD" w:rsidRDefault="00AC79AD">
            <w:pPr>
              <w:jc w:val="center"/>
              <w:rPr>
                <w:b/>
                <w:bCs/>
                <w:color w:val="000000"/>
                <w:sz w:val="18"/>
                <w:szCs w:val="18"/>
              </w:rPr>
            </w:pPr>
            <w:r>
              <w:rPr>
                <w:b/>
                <w:bCs/>
                <w:color w:val="000000"/>
                <w:sz w:val="18"/>
                <w:szCs w:val="18"/>
              </w:rPr>
              <w:t>IZVORNI PLAN</w:t>
            </w:r>
          </w:p>
        </w:tc>
        <w:tc>
          <w:tcPr>
            <w:tcW w:w="1720" w:type="dxa"/>
            <w:tcBorders>
              <w:top w:val="single" w:sz="4" w:space="0" w:color="auto"/>
              <w:left w:val="nil"/>
              <w:bottom w:val="nil"/>
              <w:right w:val="nil"/>
            </w:tcBorders>
            <w:shd w:val="clear" w:color="auto" w:fill="auto"/>
            <w:noWrap/>
            <w:vAlign w:val="bottom"/>
            <w:hideMark/>
          </w:tcPr>
          <w:p w14:paraId="78B080D5" w14:textId="77777777" w:rsidR="00AC79AD" w:rsidRDefault="00AC79AD">
            <w:pPr>
              <w:jc w:val="center"/>
              <w:rPr>
                <w:b/>
                <w:bCs/>
                <w:color w:val="000000"/>
                <w:sz w:val="18"/>
                <w:szCs w:val="18"/>
              </w:rPr>
            </w:pPr>
            <w:r>
              <w:rPr>
                <w:b/>
                <w:bCs/>
                <w:color w:val="000000"/>
                <w:sz w:val="18"/>
                <w:szCs w:val="18"/>
              </w:rPr>
              <w:t xml:space="preserve">IZVRŠENJE </w:t>
            </w:r>
          </w:p>
        </w:tc>
        <w:tc>
          <w:tcPr>
            <w:tcW w:w="1120" w:type="dxa"/>
            <w:tcBorders>
              <w:top w:val="single" w:sz="4" w:space="0" w:color="auto"/>
              <w:left w:val="nil"/>
              <w:bottom w:val="nil"/>
              <w:right w:val="nil"/>
            </w:tcBorders>
            <w:shd w:val="clear" w:color="auto" w:fill="auto"/>
            <w:noWrap/>
            <w:vAlign w:val="bottom"/>
            <w:hideMark/>
          </w:tcPr>
          <w:p w14:paraId="264B643D" w14:textId="77777777" w:rsidR="00AC79AD" w:rsidRDefault="00AC79AD">
            <w:pPr>
              <w:jc w:val="center"/>
              <w:rPr>
                <w:b/>
                <w:bCs/>
                <w:sz w:val="18"/>
                <w:szCs w:val="18"/>
              </w:rPr>
            </w:pPr>
            <w:r>
              <w:rPr>
                <w:b/>
                <w:bCs/>
                <w:sz w:val="18"/>
                <w:szCs w:val="18"/>
              </w:rPr>
              <w:t>INDEKS</w:t>
            </w:r>
          </w:p>
        </w:tc>
        <w:tc>
          <w:tcPr>
            <w:tcW w:w="1120" w:type="dxa"/>
            <w:tcBorders>
              <w:top w:val="single" w:sz="4" w:space="0" w:color="auto"/>
              <w:left w:val="nil"/>
              <w:bottom w:val="nil"/>
              <w:right w:val="nil"/>
            </w:tcBorders>
            <w:shd w:val="clear" w:color="auto" w:fill="auto"/>
            <w:noWrap/>
            <w:vAlign w:val="bottom"/>
            <w:hideMark/>
          </w:tcPr>
          <w:p w14:paraId="3551518D" w14:textId="77777777" w:rsidR="00AC79AD" w:rsidRDefault="00AC79AD">
            <w:pPr>
              <w:jc w:val="center"/>
              <w:rPr>
                <w:b/>
                <w:bCs/>
                <w:sz w:val="18"/>
                <w:szCs w:val="18"/>
              </w:rPr>
            </w:pPr>
            <w:r>
              <w:rPr>
                <w:b/>
                <w:bCs/>
                <w:sz w:val="18"/>
                <w:szCs w:val="18"/>
              </w:rPr>
              <w:t>INDEKS</w:t>
            </w:r>
          </w:p>
        </w:tc>
      </w:tr>
      <w:tr w:rsidR="00AC79AD" w14:paraId="74C78D99" w14:textId="77777777" w:rsidTr="00AC79AD">
        <w:trPr>
          <w:trHeight w:val="240"/>
        </w:trPr>
        <w:tc>
          <w:tcPr>
            <w:tcW w:w="7032" w:type="dxa"/>
            <w:tcBorders>
              <w:top w:val="nil"/>
              <w:left w:val="nil"/>
              <w:bottom w:val="single" w:sz="4" w:space="0" w:color="auto"/>
              <w:right w:val="nil"/>
            </w:tcBorders>
            <w:shd w:val="clear" w:color="auto" w:fill="auto"/>
            <w:noWrap/>
            <w:vAlign w:val="bottom"/>
            <w:hideMark/>
          </w:tcPr>
          <w:p w14:paraId="54917387" w14:textId="77777777" w:rsidR="00AC79AD" w:rsidRDefault="00AC79AD">
            <w:pPr>
              <w:rPr>
                <w:b/>
                <w:bCs/>
                <w:sz w:val="18"/>
                <w:szCs w:val="18"/>
              </w:rPr>
            </w:pPr>
            <w:r>
              <w:rPr>
                <w:b/>
                <w:bCs/>
                <w:sz w:val="18"/>
                <w:szCs w:val="18"/>
              </w:rPr>
              <w:t> </w:t>
            </w:r>
          </w:p>
        </w:tc>
        <w:tc>
          <w:tcPr>
            <w:tcW w:w="1708" w:type="dxa"/>
            <w:tcBorders>
              <w:top w:val="nil"/>
              <w:left w:val="nil"/>
              <w:bottom w:val="single" w:sz="4" w:space="0" w:color="auto"/>
              <w:right w:val="nil"/>
            </w:tcBorders>
            <w:shd w:val="clear" w:color="auto" w:fill="auto"/>
            <w:noWrap/>
            <w:vAlign w:val="bottom"/>
            <w:hideMark/>
          </w:tcPr>
          <w:p w14:paraId="6B09F462" w14:textId="77777777" w:rsidR="00AC79AD" w:rsidRDefault="00AC79AD">
            <w:pPr>
              <w:jc w:val="center"/>
              <w:rPr>
                <w:b/>
                <w:bCs/>
                <w:sz w:val="18"/>
                <w:szCs w:val="18"/>
              </w:rPr>
            </w:pPr>
            <w:r>
              <w:rPr>
                <w:b/>
                <w:bCs/>
                <w:sz w:val="18"/>
                <w:szCs w:val="18"/>
              </w:rPr>
              <w:t>2021.</w:t>
            </w:r>
          </w:p>
        </w:tc>
        <w:tc>
          <w:tcPr>
            <w:tcW w:w="1660" w:type="dxa"/>
            <w:tcBorders>
              <w:top w:val="nil"/>
              <w:left w:val="nil"/>
              <w:bottom w:val="single" w:sz="4" w:space="0" w:color="auto"/>
              <w:right w:val="nil"/>
            </w:tcBorders>
            <w:shd w:val="clear" w:color="auto" w:fill="auto"/>
            <w:noWrap/>
            <w:vAlign w:val="bottom"/>
            <w:hideMark/>
          </w:tcPr>
          <w:p w14:paraId="77F1347B" w14:textId="77777777" w:rsidR="00AC79AD" w:rsidRDefault="00AC79AD">
            <w:pPr>
              <w:jc w:val="center"/>
              <w:rPr>
                <w:b/>
                <w:bCs/>
                <w:sz w:val="18"/>
                <w:szCs w:val="18"/>
              </w:rPr>
            </w:pPr>
            <w:r>
              <w:rPr>
                <w:b/>
                <w:bCs/>
                <w:sz w:val="18"/>
                <w:szCs w:val="18"/>
              </w:rPr>
              <w:t>2022.</w:t>
            </w:r>
          </w:p>
        </w:tc>
        <w:tc>
          <w:tcPr>
            <w:tcW w:w="1720" w:type="dxa"/>
            <w:tcBorders>
              <w:top w:val="nil"/>
              <w:left w:val="nil"/>
              <w:bottom w:val="single" w:sz="4" w:space="0" w:color="auto"/>
              <w:right w:val="nil"/>
            </w:tcBorders>
            <w:shd w:val="clear" w:color="auto" w:fill="auto"/>
            <w:noWrap/>
            <w:vAlign w:val="bottom"/>
            <w:hideMark/>
          </w:tcPr>
          <w:p w14:paraId="7B774DA3" w14:textId="77777777" w:rsidR="00AC79AD" w:rsidRDefault="00AC79AD">
            <w:pPr>
              <w:jc w:val="center"/>
              <w:rPr>
                <w:b/>
                <w:bCs/>
                <w:sz w:val="18"/>
                <w:szCs w:val="18"/>
              </w:rPr>
            </w:pPr>
            <w:r>
              <w:rPr>
                <w:b/>
                <w:bCs/>
                <w:sz w:val="18"/>
                <w:szCs w:val="18"/>
              </w:rPr>
              <w:t>2022.</w:t>
            </w:r>
          </w:p>
        </w:tc>
        <w:tc>
          <w:tcPr>
            <w:tcW w:w="1120" w:type="dxa"/>
            <w:tcBorders>
              <w:top w:val="nil"/>
              <w:left w:val="nil"/>
              <w:bottom w:val="single" w:sz="4" w:space="0" w:color="auto"/>
              <w:right w:val="nil"/>
            </w:tcBorders>
            <w:shd w:val="clear" w:color="auto" w:fill="auto"/>
            <w:noWrap/>
            <w:vAlign w:val="bottom"/>
            <w:hideMark/>
          </w:tcPr>
          <w:p w14:paraId="2AEA6944" w14:textId="77777777" w:rsidR="00AC79AD" w:rsidRDefault="00AC79AD">
            <w:pPr>
              <w:jc w:val="center"/>
              <w:rPr>
                <w:b/>
                <w:bCs/>
                <w:sz w:val="18"/>
                <w:szCs w:val="18"/>
              </w:rPr>
            </w:pPr>
            <w:r>
              <w:rPr>
                <w:b/>
                <w:bCs/>
                <w:sz w:val="18"/>
                <w:szCs w:val="18"/>
              </w:rPr>
              <w:t>4/2*100</w:t>
            </w:r>
          </w:p>
        </w:tc>
        <w:tc>
          <w:tcPr>
            <w:tcW w:w="1120" w:type="dxa"/>
            <w:tcBorders>
              <w:top w:val="nil"/>
              <w:left w:val="nil"/>
              <w:bottom w:val="single" w:sz="4" w:space="0" w:color="auto"/>
              <w:right w:val="nil"/>
            </w:tcBorders>
            <w:shd w:val="clear" w:color="auto" w:fill="auto"/>
            <w:noWrap/>
            <w:vAlign w:val="bottom"/>
            <w:hideMark/>
          </w:tcPr>
          <w:p w14:paraId="7DD523B3" w14:textId="77777777" w:rsidR="00AC79AD" w:rsidRDefault="00AC79AD">
            <w:pPr>
              <w:jc w:val="center"/>
              <w:rPr>
                <w:b/>
                <w:bCs/>
                <w:sz w:val="18"/>
                <w:szCs w:val="18"/>
              </w:rPr>
            </w:pPr>
            <w:r>
              <w:rPr>
                <w:b/>
                <w:bCs/>
                <w:sz w:val="18"/>
                <w:szCs w:val="18"/>
              </w:rPr>
              <w:t>4/3*100</w:t>
            </w:r>
          </w:p>
        </w:tc>
      </w:tr>
      <w:tr w:rsidR="00AC79AD" w14:paraId="4B0F5E20" w14:textId="77777777" w:rsidTr="00AC79AD">
        <w:trPr>
          <w:trHeight w:val="240"/>
        </w:trPr>
        <w:tc>
          <w:tcPr>
            <w:tcW w:w="7032" w:type="dxa"/>
            <w:tcBorders>
              <w:top w:val="nil"/>
              <w:left w:val="nil"/>
              <w:bottom w:val="single" w:sz="4" w:space="0" w:color="auto"/>
              <w:right w:val="nil"/>
            </w:tcBorders>
            <w:shd w:val="clear" w:color="auto" w:fill="auto"/>
            <w:noWrap/>
            <w:vAlign w:val="bottom"/>
            <w:hideMark/>
          </w:tcPr>
          <w:p w14:paraId="2690254A" w14:textId="77777777" w:rsidR="00AC79AD" w:rsidRDefault="00AC79AD">
            <w:pPr>
              <w:jc w:val="center"/>
              <w:rPr>
                <w:b/>
                <w:bCs/>
                <w:sz w:val="18"/>
                <w:szCs w:val="18"/>
              </w:rPr>
            </w:pPr>
            <w:r>
              <w:rPr>
                <w:b/>
                <w:bCs/>
                <w:sz w:val="18"/>
                <w:szCs w:val="18"/>
              </w:rPr>
              <w:t>1</w:t>
            </w:r>
          </w:p>
        </w:tc>
        <w:tc>
          <w:tcPr>
            <w:tcW w:w="1708" w:type="dxa"/>
            <w:tcBorders>
              <w:top w:val="nil"/>
              <w:left w:val="nil"/>
              <w:bottom w:val="single" w:sz="4" w:space="0" w:color="auto"/>
              <w:right w:val="nil"/>
            </w:tcBorders>
            <w:shd w:val="clear" w:color="auto" w:fill="auto"/>
            <w:noWrap/>
            <w:vAlign w:val="bottom"/>
            <w:hideMark/>
          </w:tcPr>
          <w:p w14:paraId="02F3415B" w14:textId="77777777" w:rsidR="00AC79AD" w:rsidRDefault="00AC79AD">
            <w:pPr>
              <w:jc w:val="center"/>
              <w:rPr>
                <w:b/>
                <w:bCs/>
                <w:sz w:val="18"/>
                <w:szCs w:val="18"/>
              </w:rPr>
            </w:pPr>
            <w:r>
              <w:rPr>
                <w:b/>
                <w:bCs/>
                <w:sz w:val="18"/>
                <w:szCs w:val="18"/>
              </w:rPr>
              <w:t>2</w:t>
            </w:r>
          </w:p>
        </w:tc>
        <w:tc>
          <w:tcPr>
            <w:tcW w:w="1660" w:type="dxa"/>
            <w:tcBorders>
              <w:top w:val="nil"/>
              <w:left w:val="nil"/>
              <w:bottom w:val="single" w:sz="4" w:space="0" w:color="auto"/>
              <w:right w:val="nil"/>
            </w:tcBorders>
            <w:shd w:val="clear" w:color="auto" w:fill="auto"/>
            <w:noWrap/>
            <w:vAlign w:val="bottom"/>
            <w:hideMark/>
          </w:tcPr>
          <w:p w14:paraId="491EFFBF" w14:textId="77777777" w:rsidR="00AC79AD" w:rsidRDefault="00AC79AD">
            <w:pPr>
              <w:jc w:val="center"/>
              <w:rPr>
                <w:b/>
                <w:bCs/>
                <w:sz w:val="18"/>
                <w:szCs w:val="18"/>
              </w:rPr>
            </w:pPr>
            <w:r>
              <w:rPr>
                <w:b/>
                <w:bCs/>
                <w:sz w:val="18"/>
                <w:szCs w:val="18"/>
              </w:rPr>
              <w:t>3</w:t>
            </w:r>
          </w:p>
        </w:tc>
        <w:tc>
          <w:tcPr>
            <w:tcW w:w="1720" w:type="dxa"/>
            <w:tcBorders>
              <w:top w:val="nil"/>
              <w:left w:val="nil"/>
              <w:bottom w:val="single" w:sz="4" w:space="0" w:color="auto"/>
              <w:right w:val="nil"/>
            </w:tcBorders>
            <w:shd w:val="clear" w:color="auto" w:fill="auto"/>
            <w:noWrap/>
            <w:vAlign w:val="bottom"/>
            <w:hideMark/>
          </w:tcPr>
          <w:p w14:paraId="45462B5D" w14:textId="77777777" w:rsidR="00AC79AD" w:rsidRDefault="00AC79AD">
            <w:pPr>
              <w:jc w:val="center"/>
              <w:rPr>
                <w:b/>
                <w:bCs/>
                <w:sz w:val="18"/>
                <w:szCs w:val="18"/>
              </w:rPr>
            </w:pPr>
            <w:r>
              <w:rPr>
                <w:b/>
                <w:bCs/>
                <w:sz w:val="18"/>
                <w:szCs w:val="18"/>
              </w:rPr>
              <w:t>4</w:t>
            </w:r>
          </w:p>
        </w:tc>
        <w:tc>
          <w:tcPr>
            <w:tcW w:w="1120" w:type="dxa"/>
            <w:tcBorders>
              <w:top w:val="nil"/>
              <w:left w:val="nil"/>
              <w:bottom w:val="single" w:sz="4" w:space="0" w:color="auto"/>
              <w:right w:val="nil"/>
            </w:tcBorders>
            <w:shd w:val="clear" w:color="auto" w:fill="auto"/>
            <w:noWrap/>
            <w:vAlign w:val="bottom"/>
            <w:hideMark/>
          </w:tcPr>
          <w:p w14:paraId="2FFA6B9F" w14:textId="77777777" w:rsidR="00AC79AD" w:rsidRDefault="00AC79AD">
            <w:pPr>
              <w:jc w:val="center"/>
              <w:rPr>
                <w:b/>
                <w:bCs/>
                <w:sz w:val="18"/>
                <w:szCs w:val="18"/>
              </w:rPr>
            </w:pPr>
            <w:r>
              <w:rPr>
                <w:b/>
                <w:bCs/>
                <w:sz w:val="18"/>
                <w:szCs w:val="18"/>
              </w:rPr>
              <w:t>5</w:t>
            </w:r>
          </w:p>
        </w:tc>
        <w:tc>
          <w:tcPr>
            <w:tcW w:w="1120" w:type="dxa"/>
            <w:tcBorders>
              <w:top w:val="nil"/>
              <w:left w:val="nil"/>
              <w:bottom w:val="single" w:sz="4" w:space="0" w:color="auto"/>
              <w:right w:val="nil"/>
            </w:tcBorders>
            <w:shd w:val="clear" w:color="auto" w:fill="auto"/>
            <w:noWrap/>
            <w:vAlign w:val="bottom"/>
            <w:hideMark/>
          </w:tcPr>
          <w:p w14:paraId="34FF8EA0" w14:textId="77777777" w:rsidR="00AC79AD" w:rsidRDefault="00AC79AD">
            <w:pPr>
              <w:jc w:val="center"/>
              <w:rPr>
                <w:b/>
                <w:bCs/>
                <w:sz w:val="18"/>
                <w:szCs w:val="18"/>
              </w:rPr>
            </w:pPr>
            <w:r>
              <w:rPr>
                <w:b/>
                <w:bCs/>
                <w:sz w:val="18"/>
                <w:szCs w:val="18"/>
              </w:rPr>
              <w:t>6</w:t>
            </w:r>
          </w:p>
        </w:tc>
      </w:tr>
      <w:tr w:rsidR="00AC79AD" w14:paraId="0152FE3A" w14:textId="77777777" w:rsidTr="00AC79AD">
        <w:trPr>
          <w:trHeight w:val="255"/>
        </w:trPr>
        <w:tc>
          <w:tcPr>
            <w:tcW w:w="7032" w:type="dxa"/>
            <w:tcBorders>
              <w:top w:val="nil"/>
              <w:left w:val="nil"/>
              <w:bottom w:val="single" w:sz="4" w:space="0" w:color="auto"/>
              <w:right w:val="nil"/>
            </w:tcBorders>
            <w:shd w:val="clear" w:color="auto" w:fill="auto"/>
            <w:noWrap/>
            <w:vAlign w:val="bottom"/>
            <w:hideMark/>
          </w:tcPr>
          <w:p w14:paraId="279ACED6" w14:textId="77777777" w:rsidR="00AC79AD" w:rsidRDefault="00AC79AD">
            <w:pPr>
              <w:rPr>
                <w:b/>
                <w:bCs/>
                <w:sz w:val="20"/>
                <w:szCs w:val="20"/>
              </w:rPr>
            </w:pPr>
            <w:r>
              <w:rPr>
                <w:b/>
                <w:bCs/>
                <w:sz w:val="20"/>
                <w:szCs w:val="20"/>
              </w:rPr>
              <w:t xml:space="preserve"> SVEUKUPNI PRIHODI</w:t>
            </w:r>
          </w:p>
        </w:tc>
        <w:tc>
          <w:tcPr>
            <w:tcW w:w="1708" w:type="dxa"/>
            <w:tcBorders>
              <w:top w:val="nil"/>
              <w:left w:val="nil"/>
              <w:bottom w:val="single" w:sz="4" w:space="0" w:color="auto"/>
              <w:right w:val="nil"/>
            </w:tcBorders>
            <w:shd w:val="clear" w:color="auto" w:fill="auto"/>
            <w:noWrap/>
            <w:vAlign w:val="bottom"/>
            <w:hideMark/>
          </w:tcPr>
          <w:p w14:paraId="78FDC014" w14:textId="77777777" w:rsidR="00AC79AD" w:rsidRDefault="00AC79AD">
            <w:pPr>
              <w:jc w:val="right"/>
              <w:rPr>
                <w:b/>
                <w:bCs/>
                <w:sz w:val="20"/>
                <w:szCs w:val="20"/>
              </w:rPr>
            </w:pPr>
            <w:r>
              <w:rPr>
                <w:b/>
                <w:bCs/>
                <w:sz w:val="20"/>
                <w:szCs w:val="20"/>
              </w:rPr>
              <w:t>36.754.924,81</w:t>
            </w:r>
          </w:p>
        </w:tc>
        <w:tc>
          <w:tcPr>
            <w:tcW w:w="1660" w:type="dxa"/>
            <w:tcBorders>
              <w:top w:val="nil"/>
              <w:left w:val="nil"/>
              <w:bottom w:val="single" w:sz="4" w:space="0" w:color="auto"/>
              <w:right w:val="nil"/>
            </w:tcBorders>
            <w:shd w:val="clear" w:color="auto" w:fill="auto"/>
            <w:noWrap/>
            <w:vAlign w:val="bottom"/>
            <w:hideMark/>
          </w:tcPr>
          <w:p w14:paraId="39BEC563" w14:textId="77777777" w:rsidR="00AC79AD" w:rsidRDefault="00AC79AD">
            <w:pPr>
              <w:jc w:val="right"/>
              <w:rPr>
                <w:b/>
                <w:bCs/>
                <w:sz w:val="20"/>
                <w:szCs w:val="20"/>
              </w:rPr>
            </w:pPr>
            <w:r>
              <w:rPr>
                <w:b/>
                <w:bCs/>
                <w:sz w:val="20"/>
                <w:szCs w:val="20"/>
              </w:rPr>
              <w:t>40.575.056,19</w:t>
            </w:r>
          </w:p>
        </w:tc>
        <w:tc>
          <w:tcPr>
            <w:tcW w:w="1720" w:type="dxa"/>
            <w:tcBorders>
              <w:top w:val="nil"/>
              <w:left w:val="nil"/>
              <w:bottom w:val="single" w:sz="4" w:space="0" w:color="auto"/>
              <w:right w:val="nil"/>
            </w:tcBorders>
            <w:shd w:val="clear" w:color="auto" w:fill="auto"/>
            <w:noWrap/>
            <w:vAlign w:val="bottom"/>
            <w:hideMark/>
          </w:tcPr>
          <w:p w14:paraId="66A74632" w14:textId="77777777" w:rsidR="00AC79AD" w:rsidRDefault="00AC79AD">
            <w:pPr>
              <w:jc w:val="right"/>
              <w:rPr>
                <w:b/>
                <w:bCs/>
                <w:sz w:val="20"/>
                <w:szCs w:val="20"/>
              </w:rPr>
            </w:pPr>
            <w:r>
              <w:rPr>
                <w:b/>
                <w:bCs/>
                <w:sz w:val="20"/>
                <w:szCs w:val="20"/>
              </w:rPr>
              <w:t>37.914.939,20</w:t>
            </w:r>
          </w:p>
        </w:tc>
        <w:tc>
          <w:tcPr>
            <w:tcW w:w="1120" w:type="dxa"/>
            <w:tcBorders>
              <w:top w:val="nil"/>
              <w:left w:val="nil"/>
              <w:bottom w:val="single" w:sz="4" w:space="0" w:color="auto"/>
              <w:right w:val="nil"/>
            </w:tcBorders>
            <w:shd w:val="clear" w:color="auto" w:fill="auto"/>
            <w:noWrap/>
            <w:vAlign w:val="bottom"/>
            <w:hideMark/>
          </w:tcPr>
          <w:p w14:paraId="3A3CE732" w14:textId="77777777" w:rsidR="00AC79AD" w:rsidRDefault="00AC79AD">
            <w:pPr>
              <w:jc w:val="right"/>
              <w:rPr>
                <w:b/>
                <w:bCs/>
                <w:sz w:val="20"/>
                <w:szCs w:val="20"/>
              </w:rPr>
            </w:pPr>
            <w:r>
              <w:rPr>
                <w:b/>
                <w:bCs/>
                <w:sz w:val="20"/>
                <w:szCs w:val="20"/>
              </w:rPr>
              <w:t>103,16</w:t>
            </w:r>
          </w:p>
        </w:tc>
        <w:tc>
          <w:tcPr>
            <w:tcW w:w="1120" w:type="dxa"/>
            <w:tcBorders>
              <w:top w:val="nil"/>
              <w:left w:val="nil"/>
              <w:bottom w:val="single" w:sz="4" w:space="0" w:color="auto"/>
              <w:right w:val="nil"/>
            </w:tcBorders>
            <w:shd w:val="clear" w:color="auto" w:fill="auto"/>
            <w:noWrap/>
            <w:vAlign w:val="bottom"/>
            <w:hideMark/>
          </w:tcPr>
          <w:p w14:paraId="4D7E4CBE" w14:textId="77777777" w:rsidR="00AC79AD" w:rsidRDefault="00AC79AD">
            <w:pPr>
              <w:jc w:val="right"/>
              <w:rPr>
                <w:b/>
                <w:bCs/>
                <w:sz w:val="20"/>
                <w:szCs w:val="20"/>
              </w:rPr>
            </w:pPr>
            <w:r>
              <w:rPr>
                <w:b/>
                <w:bCs/>
                <w:sz w:val="20"/>
                <w:szCs w:val="20"/>
              </w:rPr>
              <w:t>93,44</w:t>
            </w:r>
          </w:p>
        </w:tc>
      </w:tr>
      <w:tr w:rsidR="00AC79AD" w14:paraId="793AC9A1" w14:textId="77777777" w:rsidTr="00AC79AD">
        <w:trPr>
          <w:trHeight w:val="300"/>
        </w:trPr>
        <w:tc>
          <w:tcPr>
            <w:tcW w:w="7032" w:type="dxa"/>
            <w:tcBorders>
              <w:top w:val="nil"/>
              <w:left w:val="nil"/>
              <w:bottom w:val="nil"/>
              <w:right w:val="nil"/>
            </w:tcBorders>
            <w:shd w:val="clear" w:color="auto" w:fill="auto"/>
            <w:noWrap/>
            <w:vAlign w:val="center"/>
            <w:hideMark/>
          </w:tcPr>
          <w:p w14:paraId="67EFAB71" w14:textId="77777777" w:rsidR="00AC79AD" w:rsidRDefault="00AC79AD">
            <w:pPr>
              <w:rPr>
                <w:b/>
                <w:bCs/>
                <w:color w:val="000000"/>
                <w:sz w:val="20"/>
                <w:szCs w:val="20"/>
              </w:rPr>
            </w:pPr>
            <w:r>
              <w:rPr>
                <w:b/>
                <w:bCs/>
                <w:color w:val="000000"/>
                <w:sz w:val="20"/>
                <w:szCs w:val="20"/>
              </w:rPr>
              <w:t>1. Opći prihodi i primici</w:t>
            </w:r>
          </w:p>
        </w:tc>
        <w:tc>
          <w:tcPr>
            <w:tcW w:w="1708" w:type="dxa"/>
            <w:tcBorders>
              <w:top w:val="nil"/>
              <w:left w:val="nil"/>
              <w:bottom w:val="nil"/>
              <w:right w:val="nil"/>
            </w:tcBorders>
            <w:shd w:val="clear" w:color="auto" w:fill="auto"/>
            <w:noWrap/>
            <w:vAlign w:val="bottom"/>
            <w:hideMark/>
          </w:tcPr>
          <w:p w14:paraId="70910CFA" w14:textId="77777777" w:rsidR="00AC79AD" w:rsidRDefault="00AC79AD">
            <w:pPr>
              <w:jc w:val="right"/>
              <w:rPr>
                <w:b/>
                <w:bCs/>
                <w:sz w:val="20"/>
                <w:szCs w:val="20"/>
              </w:rPr>
            </w:pPr>
            <w:r>
              <w:rPr>
                <w:b/>
                <w:bCs/>
                <w:sz w:val="20"/>
                <w:szCs w:val="20"/>
              </w:rPr>
              <w:t>15.797.765,16</w:t>
            </w:r>
          </w:p>
        </w:tc>
        <w:tc>
          <w:tcPr>
            <w:tcW w:w="1660" w:type="dxa"/>
            <w:tcBorders>
              <w:top w:val="nil"/>
              <w:left w:val="nil"/>
              <w:bottom w:val="nil"/>
              <w:right w:val="nil"/>
            </w:tcBorders>
            <w:shd w:val="clear" w:color="auto" w:fill="auto"/>
            <w:noWrap/>
            <w:vAlign w:val="bottom"/>
            <w:hideMark/>
          </w:tcPr>
          <w:p w14:paraId="07ABD2F4" w14:textId="77777777" w:rsidR="00AC79AD" w:rsidRDefault="00AC79AD">
            <w:pPr>
              <w:jc w:val="right"/>
              <w:rPr>
                <w:b/>
                <w:bCs/>
                <w:sz w:val="20"/>
                <w:szCs w:val="20"/>
              </w:rPr>
            </w:pPr>
            <w:r>
              <w:rPr>
                <w:b/>
                <w:bCs/>
                <w:sz w:val="20"/>
                <w:szCs w:val="20"/>
              </w:rPr>
              <w:t>20.694.143,71</w:t>
            </w:r>
          </w:p>
        </w:tc>
        <w:tc>
          <w:tcPr>
            <w:tcW w:w="1720" w:type="dxa"/>
            <w:tcBorders>
              <w:top w:val="nil"/>
              <w:left w:val="nil"/>
              <w:bottom w:val="nil"/>
              <w:right w:val="nil"/>
            </w:tcBorders>
            <w:shd w:val="clear" w:color="auto" w:fill="auto"/>
            <w:noWrap/>
            <w:vAlign w:val="bottom"/>
            <w:hideMark/>
          </w:tcPr>
          <w:p w14:paraId="65C87F21" w14:textId="77777777" w:rsidR="00AC79AD" w:rsidRDefault="00AC79AD">
            <w:pPr>
              <w:jc w:val="right"/>
              <w:rPr>
                <w:b/>
                <w:bCs/>
                <w:sz w:val="20"/>
                <w:szCs w:val="20"/>
              </w:rPr>
            </w:pPr>
            <w:r>
              <w:rPr>
                <w:b/>
                <w:bCs/>
                <w:sz w:val="20"/>
                <w:szCs w:val="20"/>
              </w:rPr>
              <w:t>21.677.605,71</w:t>
            </w:r>
          </w:p>
        </w:tc>
        <w:tc>
          <w:tcPr>
            <w:tcW w:w="1120" w:type="dxa"/>
            <w:tcBorders>
              <w:top w:val="nil"/>
              <w:left w:val="nil"/>
              <w:bottom w:val="nil"/>
              <w:right w:val="nil"/>
            </w:tcBorders>
            <w:shd w:val="clear" w:color="auto" w:fill="auto"/>
            <w:noWrap/>
            <w:vAlign w:val="bottom"/>
            <w:hideMark/>
          </w:tcPr>
          <w:p w14:paraId="57C2006F" w14:textId="77777777" w:rsidR="00AC79AD" w:rsidRDefault="00AC79AD">
            <w:pPr>
              <w:jc w:val="right"/>
              <w:rPr>
                <w:b/>
                <w:bCs/>
                <w:sz w:val="20"/>
                <w:szCs w:val="20"/>
              </w:rPr>
            </w:pPr>
            <w:r>
              <w:rPr>
                <w:b/>
                <w:bCs/>
                <w:sz w:val="20"/>
                <w:szCs w:val="20"/>
              </w:rPr>
              <w:t>137,22</w:t>
            </w:r>
          </w:p>
        </w:tc>
        <w:tc>
          <w:tcPr>
            <w:tcW w:w="1120" w:type="dxa"/>
            <w:tcBorders>
              <w:top w:val="nil"/>
              <w:left w:val="nil"/>
              <w:bottom w:val="nil"/>
              <w:right w:val="nil"/>
            </w:tcBorders>
            <w:shd w:val="clear" w:color="auto" w:fill="auto"/>
            <w:noWrap/>
            <w:vAlign w:val="bottom"/>
            <w:hideMark/>
          </w:tcPr>
          <w:p w14:paraId="48978E4C" w14:textId="77777777" w:rsidR="00AC79AD" w:rsidRDefault="00AC79AD">
            <w:pPr>
              <w:jc w:val="right"/>
              <w:rPr>
                <w:b/>
                <w:bCs/>
                <w:sz w:val="20"/>
                <w:szCs w:val="20"/>
              </w:rPr>
            </w:pPr>
            <w:r>
              <w:rPr>
                <w:b/>
                <w:bCs/>
                <w:sz w:val="20"/>
                <w:szCs w:val="20"/>
              </w:rPr>
              <w:t>104,75</w:t>
            </w:r>
          </w:p>
        </w:tc>
      </w:tr>
      <w:tr w:rsidR="00AC79AD" w14:paraId="76E4C8D1" w14:textId="77777777" w:rsidTr="00AC79AD">
        <w:trPr>
          <w:trHeight w:val="300"/>
        </w:trPr>
        <w:tc>
          <w:tcPr>
            <w:tcW w:w="7032" w:type="dxa"/>
            <w:tcBorders>
              <w:top w:val="nil"/>
              <w:left w:val="nil"/>
              <w:bottom w:val="nil"/>
              <w:right w:val="nil"/>
            </w:tcBorders>
            <w:shd w:val="clear" w:color="auto" w:fill="auto"/>
            <w:noWrap/>
            <w:vAlign w:val="center"/>
            <w:hideMark/>
          </w:tcPr>
          <w:p w14:paraId="5F562564" w14:textId="77777777" w:rsidR="00AC79AD" w:rsidRDefault="00AC79AD">
            <w:pPr>
              <w:rPr>
                <w:color w:val="000000"/>
                <w:sz w:val="20"/>
                <w:szCs w:val="20"/>
              </w:rPr>
            </w:pPr>
            <w:r>
              <w:rPr>
                <w:color w:val="000000"/>
                <w:sz w:val="20"/>
                <w:szCs w:val="20"/>
              </w:rPr>
              <w:t>1.1. Opći prihodi i primici</w:t>
            </w:r>
          </w:p>
        </w:tc>
        <w:tc>
          <w:tcPr>
            <w:tcW w:w="1708" w:type="dxa"/>
            <w:tcBorders>
              <w:top w:val="nil"/>
              <w:left w:val="nil"/>
              <w:bottom w:val="nil"/>
              <w:right w:val="nil"/>
            </w:tcBorders>
            <w:shd w:val="clear" w:color="auto" w:fill="auto"/>
            <w:noWrap/>
            <w:vAlign w:val="bottom"/>
            <w:hideMark/>
          </w:tcPr>
          <w:p w14:paraId="06E54992" w14:textId="77777777" w:rsidR="00AC79AD" w:rsidRDefault="00AC79AD">
            <w:pPr>
              <w:jc w:val="right"/>
              <w:rPr>
                <w:sz w:val="20"/>
                <w:szCs w:val="20"/>
              </w:rPr>
            </w:pPr>
            <w:r>
              <w:rPr>
                <w:sz w:val="20"/>
                <w:szCs w:val="20"/>
              </w:rPr>
              <w:t>15.797.765,16</w:t>
            </w:r>
          </w:p>
        </w:tc>
        <w:tc>
          <w:tcPr>
            <w:tcW w:w="1660" w:type="dxa"/>
            <w:tcBorders>
              <w:top w:val="nil"/>
              <w:left w:val="nil"/>
              <w:bottom w:val="nil"/>
              <w:right w:val="nil"/>
            </w:tcBorders>
            <w:shd w:val="clear" w:color="auto" w:fill="auto"/>
            <w:noWrap/>
            <w:vAlign w:val="bottom"/>
            <w:hideMark/>
          </w:tcPr>
          <w:p w14:paraId="25440A28" w14:textId="77777777" w:rsidR="00AC79AD" w:rsidRDefault="00AC79AD">
            <w:pPr>
              <w:jc w:val="right"/>
              <w:rPr>
                <w:sz w:val="20"/>
                <w:szCs w:val="20"/>
              </w:rPr>
            </w:pPr>
            <w:r>
              <w:rPr>
                <w:sz w:val="20"/>
                <w:szCs w:val="20"/>
              </w:rPr>
              <w:t>20.694.143,71</w:t>
            </w:r>
          </w:p>
        </w:tc>
        <w:tc>
          <w:tcPr>
            <w:tcW w:w="1720" w:type="dxa"/>
            <w:tcBorders>
              <w:top w:val="nil"/>
              <w:left w:val="nil"/>
              <w:bottom w:val="nil"/>
              <w:right w:val="nil"/>
            </w:tcBorders>
            <w:shd w:val="clear" w:color="auto" w:fill="auto"/>
            <w:noWrap/>
            <w:vAlign w:val="bottom"/>
            <w:hideMark/>
          </w:tcPr>
          <w:p w14:paraId="3E466923" w14:textId="77777777" w:rsidR="00AC79AD" w:rsidRDefault="00AC79AD">
            <w:pPr>
              <w:jc w:val="right"/>
              <w:rPr>
                <w:sz w:val="20"/>
                <w:szCs w:val="20"/>
              </w:rPr>
            </w:pPr>
            <w:r>
              <w:rPr>
                <w:sz w:val="20"/>
                <w:szCs w:val="20"/>
              </w:rPr>
              <w:t>21.677.605,71</w:t>
            </w:r>
          </w:p>
        </w:tc>
        <w:tc>
          <w:tcPr>
            <w:tcW w:w="1120" w:type="dxa"/>
            <w:tcBorders>
              <w:top w:val="nil"/>
              <w:left w:val="nil"/>
              <w:bottom w:val="nil"/>
              <w:right w:val="nil"/>
            </w:tcBorders>
            <w:shd w:val="clear" w:color="auto" w:fill="auto"/>
            <w:noWrap/>
            <w:vAlign w:val="bottom"/>
            <w:hideMark/>
          </w:tcPr>
          <w:p w14:paraId="2E3C3DEE" w14:textId="77777777" w:rsidR="00AC79AD" w:rsidRDefault="00AC79AD">
            <w:pPr>
              <w:jc w:val="right"/>
              <w:rPr>
                <w:sz w:val="20"/>
                <w:szCs w:val="20"/>
              </w:rPr>
            </w:pPr>
            <w:r>
              <w:rPr>
                <w:sz w:val="20"/>
                <w:szCs w:val="20"/>
              </w:rPr>
              <w:t>137,22</w:t>
            </w:r>
          </w:p>
        </w:tc>
        <w:tc>
          <w:tcPr>
            <w:tcW w:w="1120" w:type="dxa"/>
            <w:tcBorders>
              <w:top w:val="nil"/>
              <w:left w:val="nil"/>
              <w:bottom w:val="nil"/>
              <w:right w:val="nil"/>
            </w:tcBorders>
            <w:shd w:val="clear" w:color="auto" w:fill="auto"/>
            <w:noWrap/>
            <w:vAlign w:val="bottom"/>
            <w:hideMark/>
          </w:tcPr>
          <w:p w14:paraId="5820A19C" w14:textId="77777777" w:rsidR="00AC79AD" w:rsidRDefault="00AC79AD">
            <w:pPr>
              <w:jc w:val="right"/>
              <w:rPr>
                <w:sz w:val="20"/>
                <w:szCs w:val="20"/>
              </w:rPr>
            </w:pPr>
            <w:r>
              <w:rPr>
                <w:sz w:val="20"/>
                <w:szCs w:val="20"/>
              </w:rPr>
              <w:t>104,75</w:t>
            </w:r>
          </w:p>
        </w:tc>
      </w:tr>
      <w:tr w:rsidR="00AC79AD" w14:paraId="6F5FF44B" w14:textId="77777777" w:rsidTr="00AC79AD">
        <w:trPr>
          <w:trHeight w:val="300"/>
        </w:trPr>
        <w:tc>
          <w:tcPr>
            <w:tcW w:w="7032" w:type="dxa"/>
            <w:tcBorders>
              <w:top w:val="nil"/>
              <w:left w:val="nil"/>
              <w:bottom w:val="nil"/>
              <w:right w:val="nil"/>
            </w:tcBorders>
            <w:shd w:val="clear" w:color="auto" w:fill="auto"/>
            <w:noWrap/>
            <w:vAlign w:val="center"/>
            <w:hideMark/>
          </w:tcPr>
          <w:p w14:paraId="41F8F063" w14:textId="77777777" w:rsidR="00AC79AD" w:rsidRDefault="00AC79AD">
            <w:pPr>
              <w:rPr>
                <w:b/>
                <w:bCs/>
                <w:color w:val="000000"/>
                <w:sz w:val="20"/>
                <w:szCs w:val="20"/>
              </w:rPr>
            </w:pPr>
            <w:r>
              <w:rPr>
                <w:b/>
                <w:bCs/>
                <w:color w:val="000000"/>
                <w:sz w:val="20"/>
                <w:szCs w:val="20"/>
              </w:rPr>
              <w:t>3. Vlastiti prihodi</w:t>
            </w:r>
          </w:p>
        </w:tc>
        <w:tc>
          <w:tcPr>
            <w:tcW w:w="1708" w:type="dxa"/>
            <w:tcBorders>
              <w:top w:val="nil"/>
              <w:left w:val="nil"/>
              <w:bottom w:val="nil"/>
              <w:right w:val="nil"/>
            </w:tcBorders>
            <w:shd w:val="clear" w:color="auto" w:fill="auto"/>
            <w:noWrap/>
            <w:vAlign w:val="bottom"/>
            <w:hideMark/>
          </w:tcPr>
          <w:p w14:paraId="062AE68D" w14:textId="77777777" w:rsidR="00AC79AD" w:rsidRDefault="00AC79AD">
            <w:pPr>
              <w:jc w:val="right"/>
              <w:rPr>
                <w:b/>
                <w:bCs/>
                <w:sz w:val="20"/>
                <w:szCs w:val="20"/>
              </w:rPr>
            </w:pPr>
            <w:r>
              <w:rPr>
                <w:b/>
                <w:bCs/>
                <w:sz w:val="20"/>
                <w:szCs w:val="20"/>
              </w:rPr>
              <w:t>63.384,46</w:t>
            </w:r>
          </w:p>
        </w:tc>
        <w:tc>
          <w:tcPr>
            <w:tcW w:w="1660" w:type="dxa"/>
            <w:tcBorders>
              <w:top w:val="nil"/>
              <w:left w:val="nil"/>
              <w:bottom w:val="nil"/>
              <w:right w:val="nil"/>
            </w:tcBorders>
            <w:shd w:val="clear" w:color="auto" w:fill="auto"/>
            <w:noWrap/>
            <w:vAlign w:val="bottom"/>
            <w:hideMark/>
          </w:tcPr>
          <w:p w14:paraId="36DB67DF" w14:textId="77777777" w:rsidR="00AC79AD" w:rsidRDefault="00AC79AD">
            <w:pPr>
              <w:jc w:val="right"/>
              <w:rPr>
                <w:b/>
                <w:bCs/>
                <w:sz w:val="20"/>
                <w:szCs w:val="20"/>
              </w:rPr>
            </w:pPr>
            <w:r>
              <w:rPr>
                <w:b/>
                <w:bCs/>
                <w:sz w:val="20"/>
                <w:szCs w:val="20"/>
              </w:rPr>
              <w:t>58.000,00</w:t>
            </w:r>
          </w:p>
        </w:tc>
        <w:tc>
          <w:tcPr>
            <w:tcW w:w="1720" w:type="dxa"/>
            <w:tcBorders>
              <w:top w:val="nil"/>
              <w:left w:val="nil"/>
              <w:bottom w:val="nil"/>
              <w:right w:val="nil"/>
            </w:tcBorders>
            <w:shd w:val="clear" w:color="auto" w:fill="auto"/>
            <w:noWrap/>
            <w:vAlign w:val="bottom"/>
            <w:hideMark/>
          </w:tcPr>
          <w:p w14:paraId="1A2C95C7" w14:textId="77777777" w:rsidR="00AC79AD" w:rsidRDefault="00AC79AD">
            <w:pPr>
              <w:jc w:val="right"/>
              <w:rPr>
                <w:b/>
                <w:bCs/>
                <w:sz w:val="20"/>
                <w:szCs w:val="20"/>
              </w:rPr>
            </w:pPr>
            <w:r>
              <w:rPr>
                <w:b/>
                <w:bCs/>
                <w:sz w:val="20"/>
                <w:szCs w:val="20"/>
              </w:rPr>
              <w:t>53.226,00</w:t>
            </w:r>
          </w:p>
        </w:tc>
        <w:tc>
          <w:tcPr>
            <w:tcW w:w="1120" w:type="dxa"/>
            <w:tcBorders>
              <w:top w:val="nil"/>
              <w:left w:val="nil"/>
              <w:bottom w:val="nil"/>
              <w:right w:val="nil"/>
            </w:tcBorders>
            <w:shd w:val="clear" w:color="auto" w:fill="auto"/>
            <w:noWrap/>
            <w:vAlign w:val="bottom"/>
            <w:hideMark/>
          </w:tcPr>
          <w:p w14:paraId="3B7ABCE0" w14:textId="77777777" w:rsidR="00AC79AD" w:rsidRDefault="00AC79AD">
            <w:pPr>
              <w:jc w:val="right"/>
              <w:rPr>
                <w:b/>
                <w:bCs/>
                <w:sz w:val="20"/>
                <w:szCs w:val="20"/>
              </w:rPr>
            </w:pPr>
            <w:r>
              <w:rPr>
                <w:b/>
                <w:bCs/>
                <w:sz w:val="20"/>
                <w:szCs w:val="20"/>
              </w:rPr>
              <w:t>83,97</w:t>
            </w:r>
          </w:p>
        </w:tc>
        <w:tc>
          <w:tcPr>
            <w:tcW w:w="1120" w:type="dxa"/>
            <w:tcBorders>
              <w:top w:val="nil"/>
              <w:left w:val="nil"/>
              <w:bottom w:val="nil"/>
              <w:right w:val="nil"/>
            </w:tcBorders>
            <w:shd w:val="clear" w:color="auto" w:fill="auto"/>
            <w:noWrap/>
            <w:vAlign w:val="bottom"/>
            <w:hideMark/>
          </w:tcPr>
          <w:p w14:paraId="6EAC9F16" w14:textId="77777777" w:rsidR="00AC79AD" w:rsidRDefault="00AC79AD">
            <w:pPr>
              <w:jc w:val="right"/>
              <w:rPr>
                <w:b/>
                <w:bCs/>
                <w:sz w:val="20"/>
                <w:szCs w:val="20"/>
              </w:rPr>
            </w:pPr>
            <w:r>
              <w:rPr>
                <w:b/>
                <w:bCs/>
                <w:sz w:val="20"/>
                <w:szCs w:val="20"/>
              </w:rPr>
              <w:t>91,77</w:t>
            </w:r>
          </w:p>
        </w:tc>
      </w:tr>
      <w:tr w:rsidR="00AC79AD" w14:paraId="41EC9E05" w14:textId="77777777" w:rsidTr="00AC79AD">
        <w:trPr>
          <w:trHeight w:val="300"/>
        </w:trPr>
        <w:tc>
          <w:tcPr>
            <w:tcW w:w="7032" w:type="dxa"/>
            <w:tcBorders>
              <w:top w:val="nil"/>
              <w:left w:val="nil"/>
              <w:bottom w:val="nil"/>
              <w:right w:val="nil"/>
            </w:tcBorders>
            <w:shd w:val="clear" w:color="auto" w:fill="auto"/>
            <w:noWrap/>
            <w:vAlign w:val="center"/>
            <w:hideMark/>
          </w:tcPr>
          <w:p w14:paraId="4F2BD143" w14:textId="77777777" w:rsidR="00AC79AD" w:rsidRDefault="00AC79AD">
            <w:pPr>
              <w:rPr>
                <w:color w:val="000000"/>
                <w:sz w:val="20"/>
                <w:szCs w:val="20"/>
              </w:rPr>
            </w:pPr>
            <w:r>
              <w:rPr>
                <w:color w:val="000000"/>
                <w:sz w:val="20"/>
                <w:szCs w:val="20"/>
              </w:rPr>
              <w:t>3.2. Vlastiti prihodi - proračunski korisnici</w:t>
            </w:r>
          </w:p>
        </w:tc>
        <w:tc>
          <w:tcPr>
            <w:tcW w:w="1708" w:type="dxa"/>
            <w:tcBorders>
              <w:top w:val="nil"/>
              <w:left w:val="nil"/>
              <w:bottom w:val="nil"/>
              <w:right w:val="nil"/>
            </w:tcBorders>
            <w:shd w:val="clear" w:color="auto" w:fill="auto"/>
            <w:noWrap/>
            <w:vAlign w:val="bottom"/>
            <w:hideMark/>
          </w:tcPr>
          <w:p w14:paraId="5F07E675" w14:textId="77777777" w:rsidR="00AC79AD" w:rsidRDefault="00AC79AD">
            <w:pPr>
              <w:jc w:val="right"/>
              <w:rPr>
                <w:sz w:val="20"/>
                <w:szCs w:val="20"/>
              </w:rPr>
            </w:pPr>
            <w:r>
              <w:rPr>
                <w:sz w:val="20"/>
                <w:szCs w:val="20"/>
              </w:rPr>
              <w:t>63.384,46</w:t>
            </w:r>
          </w:p>
        </w:tc>
        <w:tc>
          <w:tcPr>
            <w:tcW w:w="1660" w:type="dxa"/>
            <w:tcBorders>
              <w:top w:val="nil"/>
              <w:left w:val="nil"/>
              <w:bottom w:val="nil"/>
              <w:right w:val="nil"/>
            </w:tcBorders>
            <w:shd w:val="clear" w:color="auto" w:fill="auto"/>
            <w:noWrap/>
            <w:vAlign w:val="bottom"/>
            <w:hideMark/>
          </w:tcPr>
          <w:p w14:paraId="4D20FEA7" w14:textId="77777777" w:rsidR="00AC79AD" w:rsidRDefault="00AC79AD">
            <w:pPr>
              <w:jc w:val="right"/>
              <w:rPr>
                <w:sz w:val="20"/>
                <w:szCs w:val="20"/>
              </w:rPr>
            </w:pPr>
            <w:r>
              <w:rPr>
                <w:sz w:val="20"/>
                <w:szCs w:val="20"/>
              </w:rPr>
              <w:t>58.000,00</w:t>
            </w:r>
          </w:p>
        </w:tc>
        <w:tc>
          <w:tcPr>
            <w:tcW w:w="1720" w:type="dxa"/>
            <w:tcBorders>
              <w:top w:val="nil"/>
              <w:left w:val="nil"/>
              <w:bottom w:val="nil"/>
              <w:right w:val="nil"/>
            </w:tcBorders>
            <w:shd w:val="clear" w:color="auto" w:fill="auto"/>
            <w:noWrap/>
            <w:vAlign w:val="bottom"/>
            <w:hideMark/>
          </w:tcPr>
          <w:p w14:paraId="05D638F1" w14:textId="77777777" w:rsidR="00AC79AD" w:rsidRDefault="00AC79AD">
            <w:pPr>
              <w:jc w:val="right"/>
              <w:rPr>
                <w:sz w:val="20"/>
                <w:szCs w:val="20"/>
              </w:rPr>
            </w:pPr>
            <w:r>
              <w:rPr>
                <w:sz w:val="20"/>
                <w:szCs w:val="20"/>
              </w:rPr>
              <w:t>53.226,00</w:t>
            </w:r>
          </w:p>
        </w:tc>
        <w:tc>
          <w:tcPr>
            <w:tcW w:w="1120" w:type="dxa"/>
            <w:tcBorders>
              <w:top w:val="nil"/>
              <w:left w:val="nil"/>
              <w:bottom w:val="nil"/>
              <w:right w:val="nil"/>
            </w:tcBorders>
            <w:shd w:val="clear" w:color="auto" w:fill="auto"/>
            <w:noWrap/>
            <w:vAlign w:val="bottom"/>
            <w:hideMark/>
          </w:tcPr>
          <w:p w14:paraId="06533B17" w14:textId="77777777" w:rsidR="00AC79AD" w:rsidRDefault="00AC79AD">
            <w:pPr>
              <w:jc w:val="right"/>
              <w:rPr>
                <w:sz w:val="20"/>
                <w:szCs w:val="20"/>
              </w:rPr>
            </w:pPr>
            <w:r>
              <w:rPr>
                <w:sz w:val="20"/>
                <w:szCs w:val="20"/>
              </w:rPr>
              <w:t>83,97</w:t>
            </w:r>
          </w:p>
        </w:tc>
        <w:tc>
          <w:tcPr>
            <w:tcW w:w="1120" w:type="dxa"/>
            <w:tcBorders>
              <w:top w:val="nil"/>
              <w:left w:val="nil"/>
              <w:bottom w:val="nil"/>
              <w:right w:val="nil"/>
            </w:tcBorders>
            <w:shd w:val="clear" w:color="auto" w:fill="auto"/>
            <w:noWrap/>
            <w:vAlign w:val="bottom"/>
            <w:hideMark/>
          </w:tcPr>
          <w:p w14:paraId="420E840C" w14:textId="77777777" w:rsidR="00AC79AD" w:rsidRDefault="00AC79AD">
            <w:pPr>
              <w:jc w:val="right"/>
              <w:rPr>
                <w:sz w:val="20"/>
                <w:szCs w:val="20"/>
              </w:rPr>
            </w:pPr>
            <w:r>
              <w:rPr>
                <w:sz w:val="20"/>
                <w:szCs w:val="20"/>
              </w:rPr>
              <w:t>91,77</w:t>
            </w:r>
          </w:p>
        </w:tc>
      </w:tr>
      <w:tr w:rsidR="00AC79AD" w14:paraId="7E8E03AA" w14:textId="77777777" w:rsidTr="00AC79AD">
        <w:trPr>
          <w:trHeight w:val="300"/>
        </w:trPr>
        <w:tc>
          <w:tcPr>
            <w:tcW w:w="7032" w:type="dxa"/>
            <w:tcBorders>
              <w:top w:val="nil"/>
              <w:left w:val="nil"/>
              <w:bottom w:val="nil"/>
              <w:right w:val="nil"/>
            </w:tcBorders>
            <w:shd w:val="clear" w:color="auto" w:fill="auto"/>
            <w:noWrap/>
            <w:vAlign w:val="center"/>
            <w:hideMark/>
          </w:tcPr>
          <w:p w14:paraId="2D77019B" w14:textId="77777777" w:rsidR="00AC79AD" w:rsidRDefault="00AC79AD">
            <w:pPr>
              <w:rPr>
                <w:b/>
                <w:bCs/>
                <w:color w:val="000000"/>
                <w:sz w:val="20"/>
                <w:szCs w:val="20"/>
              </w:rPr>
            </w:pPr>
            <w:r>
              <w:rPr>
                <w:b/>
                <w:bCs/>
                <w:color w:val="000000"/>
                <w:sz w:val="20"/>
                <w:szCs w:val="20"/>
              </w:rPr>
              <w:t>4. Prihodi za posebne namjene</w:t>
            </w:r>
          </w:p>
        </w:tc>
        <w:tc>
          <w:tcPr>
            <w:tcW w:w="1708" w:type="dxa"/>
            <w:tcBorders>
              <w:top w:val="nil"/>
              <w:left w:val="nil"/>
              <w:bottom w:val="nil"/>
              <w:right w:val="nil"/>
            </w:tcBorders>
            <w:shd w:val="clear" w:color="auto" w:fill="auto"/>
            <w:noWrap/>
            <w:vAlign w:val="bottom"/>
            <w:hideMark/>
          </w:tcPr>
          <w:p w14:paraId="49855E57" w14:textId="77777777" w:rsidR="00AC79AD" w:rsidRDefault="00AC79AD">
            <w:pPr>
              <w:jc w:val="right"/>
              <w:rPr>
                <w:b/>
                <w:bCs/>
                <w:sz w:val="20"/>
                <w:szCs w:val="20"/>
              </w:rPr>
            </w:pPr>
            <w:r>
              <w:rPr>
                <w:b/>
                <w:bCs/>
                <w:sz w:val="20"/>
                <w:szCs w:val="20"/>
              </w:rPr>
              <w:t>10.890.326,65</w:t>
            </w:r>
          </w:p>
        </w:tc>
        <w:tc>
          <w:tcPr>
            <w:tcW w:w="1660" w:type="dxa"/>
            <w:tcBorders>
              <w:top w:val="nil"/>
              <w:left w:val="nil"/>
              <w:bottom w:val="nil"/>
              <w:right w:val="nil"/>
            </w:tcBorders>
            <w:shd w:val="clear" w:color="auto" w:fill="auto"/>
            <w:noWrap/>
            <w:vAlign w:val="bottom"/>
            <w:hideMark/>
          </w:tcPr>
          <w:p w14:paraId="1C8110F1" w14:textId="77777777" w:rsidR="00AC79AD" w:rsidRDefault="00AC79AD">
            <w:pPr>
              <w:jc w:val="right"/>
              <w:rPr>
                <w:b/>
                <w:bCs/>
                <w:sz w:val="20"/>
                <w:szCs w:val="20"/>
              </w:rPr>
            </w:pPr>
            <w:r>
              <w:rPr>
                <w:b/>
                <w:bCs/>
                <w:sz w:val="20"/>
                <w:szCs w:val="20"/>
              </w:rPr>
              <w:t>12.713.679,42</w:t>
            </w:r>
          </w:p>
        </w:tc>
        <w:tc>
          <w:tcPr>
            <w:tcW w:w="1720" w:type="dxa"/>
            <w:tcBorders>
              <w:top w:val="nil"/>
              <w:left w:val="nil"/>
              <w:bottom w:val="nil"/>
              <w:right w:val="nil"/>
            </w:tcBorders>
            <w:shd w:val="clear" w:color="auto" w:fill="auto"/>
            <w:noWrap/>
            <w:vAlign w:val="bottom"/>
            <w:hideMark/>
          </w:tcPr>
          <w:p w14:paraId="1E739F28" w14:textId="77777777" w:rsidR="00AC79AD" w:rsidRDefault="00AC79AD">
            <w:pPr>
              <w:jc w:val="right"/>
              <w:rPr>
                <w:b/>
                <w:bCs/>
                <w:sz w:val="20"/>
                <w:szCs w:val="20"/>
              </w:rPr>
            </w:pPr>
            <w:r>
              <w:rPr>
                <w:b/>
                <w:bCs/>
                <w:sz w:val="20"/>
                <w:szCs w:val="20"/>
              </w:rPr>
              <w:t>10.940.979,69</w:t>
            </w:r>
          </w:p>
        </w:tc>
        <w:tc>
          <w:tcPr>
            <w:tcW w:w="1120" w:type="dxa"/>
            <w:tcBorders>
              <w:top w:val="nil"/>
              <w:left w:val="nil"/>
              <w:bottom w:val="nil"/>
              <w:right w:val="nil"/>
            </w:tcBorders>
            <w:shd w:val="clear" w:color="auto" w:fill="auto"/>
            <w:noWrap/>
            <w:vAlign w:val="bottom"/>
            <w:hideMark/>
          </w:tcPr>
          <w:p w14:paraId="54AD7E72" w14:textId="77777777" w:rsidR="00AC79AD" w:rsidRDefault="00AC79AD">
            <w:pPr>
              <w:jc w:val="right"/>
              <w:rPr>
                <w:b/>
                <w:bCs/>
                <w:sz w:val="20"/>
                <w:szCs w:val="20"/>
              </w:rPr>
            </w:pPr>
            <w:r>
              <w:rPr>
                <w:b/>
                <w:bCs/>
                <w:sz w:val="20"/>
                <w:szCs w:val="20"/>
              </w:rPr>
              <w:t>100,47</w:t>
            </w:r>
          </w:p>
        </w:tc>
        <w:tc>
          <w:tcPr>
            <w:tcW w:w="1120" w:type="dxa"/>
            <w:tcBorders>
              <w:top w:val="nil"/>
              <w:left w:val="nil"/>
              <w:bottom w:val="nil"/>
              <w:right w:val="nil"/>
            </w:tcBorders>
            <w:shd w:val="clear" w:color="auto" w:fill="auto"/>
            <w:noWrap/>
            <w:vAlign w:val="bottom"/>
            <w:hideMark/>
          </w:tcPr>
          <w:p w14:paraId="1ED8CF1B" w14:textId="77777777" w:rsidR="00AC79AD" w:rsidRDefault="00AC79AD">
            <w:pPr>
              <w:jc w:val="right"/>
              <w:rPr>
                <w:b/>
                <w:bCs/>
                <w:sz w:val="20"/>
                <w:szCs w:val="20"/>
              </w:rPr>
            </w:pPr>
            <w:r>
              <w:rPr>
                <w:b/>
                <w:bCs/>
                <w:sz w:val="20"/>
                <w:szCs w:val="20"/>
              </w:rPr>
              <w:t>86,06</w:t>
            </w:r>
          </w:p>
        </w:tc>
      </w:tr>
      <w:tr w:rsidR="00AC79AD" w14:paraId="75DAD05D" w14:textId="77777777" w:rsidTr="00AC79AD">
        <w:trPr>
          <w:trHeight w:val="300"/>
        </w:trPr>
        <w:tc>
          <w:tcPr>
            <w:tcW w:w="7032" w:type="dxa"/>
            <w:tcBorders>
              <w:top w:val="nil"/>
              <w:left w:val="nil"/>
              <w:bottom w:val="nil"/>
              <w:right w:val="nil"/>
            </w:tcBorders>
            <w:shd w:val="clear" w:color="auto" w:fill="auto"/>
            <w:noWrap/>
            <w:vAlign w:val="center"/>
            <w:hideMark/>
          </w:tcPr>
          <w:p w14:paraId="292F8E31" w14:textId="77777777" w:rsidR="00AC79AD" w:rsidRDefault="00AC79AD">
            <w:pPr>
              <w:rPr>
                <w:color w:val="000000"/>
                <w:sz w:val="20"/>
                <w:szCs w:val="20"/>
              </w:rPr>
            </w:pPr>
            <w:r>
              <w:rPr>
                <w:color w:val="000000"/>
                <w:sz w:val="20"/>
                <w:szCs w:val="20"/>
              </w:rPr>
              <w:t>4.1. Prihodi posebne namjene - komunalna naknada</w:t>
            </w:r>
          </w:p>
        </w:tc>
        <w:tc>
          <w:tcPr>
            <w:tcW w:w="1708" w:type="dxa"/>
            <w:tcBorders>
              <w:top w:val="nil"/>
              <w:left w:val="nil"/>
              <w:bottom w:val="nil"/>
              <w:right w:val="nil"/>
            </w:tcBorders>
            <w:shd w:val="clear" w:color="auto" w:fill="auto"/>
            <w:noWrap/>
            <w:vAlign w:val="bottom"/>
            <w:hideMark/>
          </w:tcPr>
          <w:p w14:paraId="206EA3FA" w14:textId="77777777" w:rsidR="00AC79AD" w:rsidRDefault="00AC79AD">
            <w:pPr>
              <w:jc w:val="right"/>
              <w:rPr>
                <w:sz w:val="20"/>
                <w:szCs w:val="20"/>
              </w:rPr>
            </w:pPr>
            <w:r>
              <w:rPr>
                <w:sz w:val="20"/>
                <w:szCs w:val="20"/>
              </w:rPr>
              <w:t>3.867.726,23</w:t>
            </w:r>
          </w:p>
        </w:tc>
        <w:tc>
          <w:tcPr>
            <w:tcW w:w="1660" w:type="dxa"/>
            <w:tcBorders>
              <w:top w:val="nil"/>
              <w:left w:val="nil"/>
              <w:bottom w:val="nil"/>
              <w:right w:val="nil"/>
            </w:tcBorders>
            <w:shd w:val="clear" w:color="auto" w:fill="auto"/>
            <w:noWrap/>
            <w:vAlign w:val="bottom"/>
            <w:hideMark/>
          </w:tcPr>
          <w:p w14:paraId="4F956DCF" w14:textId="77777777" w:rsidR="00AC79AD" w:rsidRDefault="00AC79AD">
            <w:pPr>
              <w:jc w:val="right"/>
              <w:rPr>
                <w:sz w:val="20"/>
                <w:szCs w:val="20"/>
              </w:rPr>
            </w:pPr>
            <w:r>
              <w:rPr>
                <w:sz w:val="20"/>
                <w:szCs w:val="20"/>
              </w:rPr>
              <w:t>4.470.000,00</w:t>
            </w:r>
          </w:p>
        </w:tc>
        <w:tc>
          <w:tcPr>
            <w:tcW w:w="1720" w:type="dxa"/>
            <w:tcBorders>
              <w:top w:val="nil"/>
              <w:left w:val="nil"/>
              <w:bottom w:val="nil"/>
              <w:right w:val="nil"/>
            </w:tcBorders>
            <w:shd w:val="clear" w:color="auto" w:fill="auto"/>
            <w:noWrap/>
            <w:vAlign w:val="bottom"/>
            <w:hideMark/>
          </w:tcPr>
          <w:p w14:paraId="32A27CAF" w14:textId="77777777" w:rsidR="00AC79AD" w:rsidRDefault="00AC79AD">
            <w:pPr>
              <w:jc w:val="right"/>
              <w:rPr>
                <w:sz w:val="20"/>
                <w:szCs w:val="20"/>
              </w:rPr>
            </w:pPr>
            <w:r>
              <w:rPr>
                <w:sz w:val="20"/>
                <w:szCs w:val="20"/>
              </w:rPr>
              <w:t>4.138.740,31</w:t>
            </w:r>
          </w:p>
        </w:tc>
        <w:tc>
          <w:tcPr>
            <w:tcW w:w="1120" w:type="dxa"/>
            <w:tcBorders>
              <w:top w:val="nil"/>
              <w:left w:val="nil"/>
              <w:bottom w:val="nil"/>
              <w:right w:val="nil"/>
            </w:tcBorders>
            <w:shd w:val="clear" w:color="auto" w:fill="auto"/>
            <w:noWrap/>
            <w:vAlign w:val="bottom"/>
            <w:hideMark/>
          </w:tcPr>
          <w:p w14:paraId="1E96214A" w14:textId="77777777" w:rsidR="00AC79AD" w:rsidRDefault="00AC79AD">
            <w:pPr>
              <w:jc w:val="right"/>
              <w:rPr>
                <w:sz w:val="20"/>
                <w:szCs w:val="20"/>
              </w:rPr>
            </w:pPr>
            <w:r>
              <w:rPr>
                <w:sz w:val="20"/>
                <w:szCs w:val="20"/>
              </w:rPr>
              <w:t>107,01</w:t>
            </w:r>
          </w:p>
        </w:tc>
        <w:tc>
          <w:tcPr>
            <w:tcW w:w="1120" w:type="dxa"/>
            <w:tcBorders>
              <w:top w:val="nil"/>
              <w:left w:val="nil"/>
              <w:bottom w:val="nil"/>
              <w:right w:val="nil"/>
            </w:tcBorders>
            <w:shd w:val="clear" w:color="auto" w:fill="auto"/>
            <w:noWrap/>
            <w:vAlign w:val="bottom"/>
            <w:hideMark/>
          </w:tcPr>
          <w:p w14:paraId="0087D3F3" w14:textId="77777777" w:rsidR="00AC79AD" w:rsidRDefault="00AC79AD">
            <w:pPr>
              <w:jc w:val="right"/>
              <w:rPr>
                <w:sz w:val="20"/>
                <w:szCs w:val="20"/>
              </w:rPr>
            </w:pPr>
            <w:r>
              <w:rPr>
                <w:sz w:val="20"/>
                <w:szCs w:val="20"/>
              </w:rPr>
              <w:t>92,59</w:t>
            </w:r>
          </w:p>
        </w:tc>
      </w:tr>
      <w:tr w:rsidR="00AC79AD" w14:paraId="198215D2" w14:textId="77777777" w:rsidTr="00AC79AD">
        <w:trPr>
          <w:trHeight w:val="300"/>
        </w:trPr>
        <w:tc>
          <w:tcPr>
            <w:tcW w:w="7032" w:type="dxa"/>
            <w:tcBorders>
              <w:top w:val="nil"/>
              <w:left w:val="nil"/>
              <w:bottom w:val="nil"/>
              <w:right w:val="nil"/>
            </w:tcBorders>
            <w:shd w:val="clear" w:color="auto" w:fill="auto"/>
            <w:noWrap/>
            <w:vAlign w:val="center"/>
            <w:hideMark/>
          </w:tcPr>
          <w:p w14:paraId="66787DBD" w14:textId="77777777" w:rsidR="00AC79AD" w:rsidRDefault="00AC79AD">
            <w:pPr>
              <w:rPr>
                <w:color w:val="000000"/>
                <w:sz w:val="20"/>
                <w:szCs w:val="20"/>
              </w:rPr>
            </w:pPr>
            <w:r>
              <w:rPr>
                <w:color w:val="000000"/>
                <w:sz w:val="20"/>
                <w:szCs w:val="20"/>
              </w:rPr>
              <w:t>4.2. Prihodi posebne namjene - komunalni doprinos</w:t>
            </w:r>
          </w:p>
        </w:tc>
        <w:tc>
          <w:tcPr>
            <w:tcW w:w="1708" w:type="dxa"/>
            <w:tcBorders>
              <w:top w:val="nil"/>
              <w:left w:val="nil"/>
              <w:bottom w:val="nil"/>
              <w:right w:val="nil"/>
            </w:tcBorders>
            <w:shd w:val="clear" w:color="auto" w:fill="auto"/>
            <w:noWrap/>
            <w:vAlign w:val="bottom"/>
            <w:hideMark/>
          </w:tcPr>
          <w:p w14:paraId="377CAE14" w14:textId="77777777" w:rsidR="00AC79AD" w:rsidRDefault="00AC79AD">
            <w:pPr>
              <w:jc w:val="right"/>
              <w:rPr>
                <w:sz w:val="20"/>
                <w:szCs w:val="20"/>
              </w:rPr>
            </w:pPr>
            <w:r>
              <w:rPr>
                <w:sz w:val="20"/>
                <w:szCs w:val="20"/>
              </w:rPr>
              <w:t>3.916.575,91</w:t>
            </w:r>
          </w:p>
        </w:tc>
        <w:tc>
          <w:tcPr>
            <w:tcW w:w="1660" w:type="dxa"/>
            <w:tcBorders>
              <w:top w:val="nil"/>
              <w:left w:val="nil"/>
              <w:bottom w:val="nil"/>
              <w:right w:val="nil"/>
            </w:tcBorders>
            <w:shd w:val="clear" w:color="auto" w:fill="auto"/>
            <w:noWrap/>
            <w:vAlign w:val="bottom"/>
            <w:hideMark/>
          </w:tcPr>
          <w:p w14:paraId="452EF6C1" w14:textId="77777777" w:rsidR="00AC79AD" w:rsidRDefault="00AC79AD">
            <w:pPr>
              <w:jc w:val="right"/>
              <w:rPr>
                <w:sz w:val="20"/>
                <w:szCs w:val="20"/>
              </w:rPr>
            </w:pPr>
            <w:r>
              <w:rPr>
                <w:sz w:val="20"/>
                <w:szCs w:val="20"/>
              </w:rPr>
              <w:t>4.824.740,63</w:t>
            </w:r>
          </w:p>
        </w:tc>
        <w:tc>
          <w:tcPr>
            <w:tcW w:w="1720" w:type="dxa"/>
            <w:tcBorders>
              <w:top w:val="nil"/>
              <w:left w:val="nil"/>
              <w:bottom w:val="nil"/>
              <w:right w:val="nil"/>
            </w:tcBorders>
            <w:shd w:val="clear" w:color="auto" w:fill="auto"/>
            <w:noWrap/>
            <w:vAlign w:val="bottom"/>
            <w:hideMark/>
          </w:tcPr>
          <w:p w14:paraId="35BD1A83" w14:textId="77777777" w:rsidR="00AC79AD" w:rsidRDefault="00AC79AD">
            <w:pPr>
              <w:jc w:val="right"/>
              <w:rPr>
                <w:sz w:val="20"/>
                <w:szCs w:val="20"/>
              </w:rPr>
            </w:pPr>
            <w:r>
              <w:rPr>
                <w:sz w:val="20"/>
                <w:szCs w:val="20"/>
              </w:rPr>
              <w:t>3.643.191,86</w:t>
            </w:r>
          </w:p>
        </w:tc>
        <w:tc>
          <w:tcPr>
            <w:tcW w:w="1120" w:type="dxa"/>
            <w:tcBorders>
              <w:top w:val="nil"/>
              <w:left w:val="nil"/>
              <w:bottom w:val="nil"/>
              <w:right w:val="nil"/>
            </w:tcBorders>
            <w:shd w:val="clear" w:color="auto" w:fill="auto"/>
            <w:noWrap/>
            <w:vAlign w:val="bottom"/>
            <w:hideMark/>
          </w:tcPr>
          <w:p w14:paraId="32AEE99C" w14:textId="77777777" w:rsidR="00AC79AD" w:rsidRDefault="00AC79AD">
            <w:pPr>
              <w:jc w:val="right"/>
              <w:rPr>
                <w:sz w:val="20"/>
                <w:szCs w:val="20"/>
              </w:rPr>
            </w:pPr>
            <w:r>
              <w:rPr>
                <w:sz w:val="20"/>
                <w:szCs w:val="20"/>
              </w:rPr>
              <w:t>93,02</w:t>
            </w:r>
          </w:p>
        </w:tc>
        <w:tc>
          <w:tcPr>
            <w:tcW w:w="1120" w:type="dxa"/>
            <w:tcBorders>
              <w:top w:val="nil"/>
              <w:left w:val="nil"/>
              <w:bottom w:val="nil"/>
              <w:right w:val="nil"/>
            </w:tcBorders>
            <w:shd w:val="clear" w:color="auto" w:fill="auto"/>
            <w:noWrap/>
            <w:vAlign w:val="bottom"/>
            <w:hideMark/>
          </w:tcPr>
          <w:p w14:paraId="7B44CD3A" w14:textId="77777777" w:rsidR="00AC79AD" w:rsidRDefault="00AC79AD">
            <w:pPr>
              <w:jc w:val="right"/>
              <w:rPr>
                <w:sz w:val="20"/>
                <w:szCs w:val="20"/>
              </w:rPr>
            </w:pPr>
            <w:r>
              <w:rPr>
                <w:sz w:val="20"/>
                <w:szCs w:val="20"/>
              </w:rPr>
              <w:t>75,51</w:t>
            </w:r>
          </w:p>
        </w:tc>
      </w:tr>
      <w:tr w:rsidR="00AC79AD" w14:paraId="601B5799" w14:textId="77777777" w:rsidTr="00AC79AD">
        <w:trPr>
          <w:trHeight w:val="300"/>
        </w:trPr>
        <w:tc>
          <w:tcPr>
            <w:tcW w:w="7032" w:type="dxa"/>
            <w:tcBorders>
              <w:top w:val="nil"/>
              <w:left w:val="nil"/>
              <w:bottom w:val="nil"/>
              <w:right w:val="nil"/>
            </w:tcBorders>
            <w:shd w:val="clear" w:color="auto" w:fill="auto"/>
            <w:noWrap/>
            <w:vAlign w:val="center"/>
            <w:hideMark/>
          </w:tcPr>
          <w:p w14:paraId="2E8BD48F" w14:textId="77777777" w:rsidR="00AC79AD" w:rsidRDefault="00AC79AD">
            <w:pPr>
              <w:rPr>
                <w:color w:val="000000"/>
                <w:sz w:val="20"/>
                <w:szCs w:val="20"/>
              </w:rPr>
            </w:pPr>
            <w:r>
              <w:rPr>
                <w:color w:val="000000"/>
                <w:sz w:val="20"/>
                <w:szCs w:val="20"/>
              </w:rPr>
              <w:t>4.3. Prihodi posebne namjene - boravišne pristojbe</w:t>
            </w:r>
          </w:p>
        </w:tc>
        <w:tc>
          <w:tcPr>
            <w:tcW w:w="1708" w:type="dxa"/>
            <w:tcBorders>
              <w:top w:val="nil"/>
              <w:left w:val="nil"/>
              <w:bottom w:val="nil"/>
              <w:right w:val="nil"/>
            </w:tcBorders>
            <w:shd w:val="clear" w:color="auto" w:fill="auto"/>
            <w:noWrap/>
            <w:vAlign w:val="bottom"/>
            <w:hideMark/>
          </w:tcPr>
          <w:p w14:paraId="45663F6D" w14:textId="77777777" w:rsidR="00AC79AD" w:rsidRDefault="00AC79AD">
            <w:pPr>
              <w:jc w:val="right"/>
              <w:rPr>
                <w:sz w:val="20"/>
                <w:szCs w:val="20"/>
              </w:rPr>
            </w:pPr>
            <w:r>
              <w:rPr>
                <w:sz w:val="20"/>
                <w:szCs w:val="20"/>
              </w:rPr>
              <w:t>202.748,32</w:t>
            </w:r>
          </w:p>
        </w:tc>
        <w:tc>
          <w:tcPr>
            <w:tcW w:w="1660" w:type="dxa"/>
            <w:tcBorders>
              <w:top w:val="nil"/>
              <w:left w:val="nil"/>
              <w:bottom w:val="nil"/>
              <w:right w:val="nil"/>
            </w:tcBorders>
            <w:shd w:val="clear" w:color="auto" w:fill="auto"/>
            <w:noWrap/>
            <w:vAlign w:val="bottom"/>
            <w:hideMark/>
          </w:tcPr>
          <w:p w14:paraId="7E9C0B64" w14:textId="77777777" w:rsidR="00AC79AD" w:rsidRDefault="00AC79AD">
            <w:pPr>
              <w:jc w:val="right"/>
              <w:rPr>
                <w:sz w:val="20"/>
                <w:szCs w:val="20"/>
              </w:rPr>
            </w:pPr>
            <w:r>
              <w:rPr>
                <w:sz w:val="20"/>
                <w:szCs w:val="20"/>
              </w:rPr>
              <w:t>310.000,00</w:t>
            </w:r>
          </w:p>
        </w:tc>
        <w:tc>
          <w:tcPr>
            <w:tcW w:w="1720" w:type="dxa"/>
            <w:tcBorders>
              <w:top w:val="nil"/>
              <w:left w:val="nil"/>
              <w:bottom w:val="nil"/>
              <w:right w:val="nil"/>
            </w:tcBorders>
            <w:shd w:val="clear" w:color="auto" w:fill="auto"/>
            <w:noWrap/>
            <w:vAlign w:val="bottom"/>
            <w:hideMark/>
          </w:tcPr>
          <w:p w14:paraId="436DF084" w14:textId="77777777" w:rsidR="00AC79AD" w:rsidRDefault="00AC79AD">
            <w:pPr>
              <w:jc w:val="right"/>
              <w:rPr>
                <w:sz w:val="20"/>
                <w:szCs w:val="20"/>
              </w:rPr>
            </w:pPr>
            <w:r>
              <w:rPr>
                <w:sz w:val="20"/>
                <w:szCs w:val="20"/>
              </w:rPr>
              <w:t>309.215,32</w:t>
            </w:r>
          </w:p>
        </w:tc>
        <w:tc>
          <w:tcPr>
            <w:tcW w:w="1120" w:type="dxa"/>
            <w:tcBorders>
              <w:top w:val="nil"/>
              <w:left w:val="nil"/>
              <w:bottom w:val="nil"/>
              <w:right w:val="nil"/>
            </w:tcBorders>
            <w:shd w:val="clear" w:color="auto" w:fill="auto"/>
            <w:noWrap/>
            <w:vAlign w:val="bottom"/>
            <w:hideMark/>
          </w:tcPr>
          <w:p w14:paraId="6BB0D516" w14:textId="77777777" w:rsidR="00AC79AD" w:rsidRDefault="00AC79AD">
            <w:pPr>
              <w:jc w:val="right"/>
              <w:rPr>
                <w:sz w:val="20"/>
                <w:szCs w:val="20"/>
              </w:rPr>
            </w:pPr>
            <w:r>
              <w:rPr>
                <w:sz w:val="20"/>
                <w:szCs w:val="20"/>
              </w:rPr>
              <w:t>152,51</w:t>
            </w:r>
          </w:p>
        </w:tc>
        <w:tc>
          <w:tcPr>
            <w:tcW w:w="1120" w:type="dxa"/>
            <w:tcBorders>
              <w:top w:val="nil"/>
              <w:left w:val="nil"/>
              <w:bottom w:val="nil"/>
              <w:right w:val="nil"/>
            </w:tcBorders>
            <w:shd w:val="clear" w:color="auto" w:fill="auto"/>
            <w:noWrap/>
            <w:vAlign w:val="bottom"/>
            <w:hideMark/>
          </w:tcPr>
          <w:p w14:paraId="79EBA4B9" w14:textId="77777777" w:rsidR="00AC79AD" w:rsidRDefault="00AC79AD">
            <w:pPr>
              <w:jc w:val="right"/>
              <w:rPr>
                <w:sz w:val="20"/>
                <w:szCs w:val="20"/>
              </w:rPr>
            </w:pPr>
            <w:r>
              <w:rPr>
                <w:sz w:val="20"/>
                <w:szCs w:val="20"/>
              </w:rPr>
              <w:t>99,75</w:t>
            </w:r>
          </w:p>
        </w:tc>
      </w:tr>
      <w:tr w:rsidR="00AC79AD" w14:paraId="09F98BB8" w14:textId="77777777" w:rsidTr="00AC79AD">
        <w:trPr>
          <w:trHeight w:val="300"/>
        </w:trPr>
        <w:tc>
          <w:tcPr>
            <w:tcW w:w="7032" w:type="dxa"/>
            <w:tcBorders>
              <w:top w:val="nil"/>
              <w:left w:val="nil"/>
              <w:bottom w:val="nil"/>
              <w:right w:val="nil"/>
            </w:tcBorders>
            <w:shd w:val="clear" w:color="auto" w:fill="auto"/>
            <w:noWrap/>
            <w:vAlign w:val="center"/>
            <w:hideMark/>
          </w:tcPr>
          <w:p w14:paraId="13FC754E" w14:textId="77777777" w:rsidR="00AC79AD" w:rsidRDefault="00AC79AD">
            <w:pPr>
              <w:rPr>
                <w:color w:val="000000"/>
                <w:sz w:val="20"/>
                <w:szCs w:val="20"/>
              </w:rPr>
            </w:pPr>
            <w:r>
              <w:rPr>
                <w:color w:val="000000"/>
                <w:sz w:val="20"/>
                <w:szCs w:val="20"/>
              </w:rPr>
              <w:t>4.4. Prihodi posebne namjene - spomenička renta</w:t>
            </w:r>
          </w:p>
        </w:tc>
        <w:tc>
          <w:tcPr>
            <w:tcW w:w="1708" w:type="dxa"/>
            <w:tcBorders>
              <w:top w:val="nil"/>
              <w:left w:val="nil"/>
              <w:bottom w:val="nil"/>
              <w:right w:val="nil"/>
            </w:tcBorders>
            <w:shd w:val="clear" w:color="auto" w:fill="auto"/>
            <w:noWrap/>
            <w:vAlign w:val="bottom"/>
            <w:hideMark/>
          </w:tcPr>
          <w:p w14:paraId="572CFA51" w14:textId="77777777" w:rsidR="00AC79AD" w:rsidRDefault="00AC79AD">
            <w:pPr>
              <w:jc w:val="right"/>
              <w:rPr>
                <w:sz w:val="20"/>
                <w:szCs w:val="20"/>
              </w:rPr>
            </w:pPr>
            <w:r>
              <w:rPr>
                <w:sz w:val="20"/>
                <w:szCs w:val="20"/>
              </w:rPr>
              <w:t>49.444,90</w:t>
            </w:r>
          </w:p>
        </w:tc>
        <w:tc>
          <w:tcPr>
            <w:tcW w:w="1660" w:type="dxa"/>
            <w:tcBorders>
              <w:top w:val="nil"/>
              <w:left w:val="nil"/>
              <w:bottom w:val="nil"/>
              <w:right w:val="nil"/>
            </w:tcBorders>
            <w:shd w:val="clear" w:color="auto" w:fill="auto"/>
            <w:noWrap/>
            <w:vAlign w:val="bottom"/>
            <w:hideMark/>
          </w:tcPr>
          <w:p w14:paraId="738BCC1D" w14:textId="77777777" w:rsidR="00AC79AD" w:rsidRDefault="00AC79AD">
            <w:pPr>
              <w:jc w:val="right"/>
              <w:rPr>
                <w:sz w:val="20"/>
                <w:szCs w:val="20"/>
              </w:rPr>
            </w:pPr>
            <w:r>
              <w:rPr>
                <w:sz w:val="20"/>
                <w:szCs w:val="20"/>
              </w:rPr>
              <w:t>60.000,00</w:t>
            </w:r>
          </w:p>
        </w:tc>
        <w:tc>
          <w:tcPr>
            <w:tcW w:w="1720" w:type="dxa"/>
            <w:tcBorders>
              <w:top w:val="nil"/>
              <w:left w:val="nil"/>
              <w:bottom w:val="nil"/>
              <w:right w:val="nil"/>
            </w:tcBorders>
            <w:shd w:val="clear" w:color="auto" w:fill="auto"/>
            <w:noWrap/>
            <w:vAlign w:val="bottom"/>
            <w:hideMark/>
          </w:tcPr>
          <w:p w14:paraId="55227ACE" w14:textId="77777777" w:rsidR="00AC79AD" w:rsidRDefault="00AC79AD">
            <w:pPr>
              <w:jc w:val="right"/>
              <w:rPr>
                <w:sz w:val="20"/>
                <w:szCs w:val="20"/>
              </w:rPr>
            </w:pPr>
            <w:r>
              <w:rPr>
                <w:sz w:val="20"/>
                <w:szCs w:val="20"/>
              </w:rPr>
              <w:t>60.133,48</w:t>
            </w:r>
          </w:p>
        </w:tc>
        <w:tc>
          <w:tcPr>
            <w:tcW w:w="1120" w:type="dxa"/>
            <w:tcBorders>
              <w:top w:val="nil"/>
              <w:left w:val="nil"/>
              <w:bottom w:val="nil"/>
              <w:right w:val="nil"/>
            </w:tcBorders>
            <w:shd w:val="clear" w:color="auto" w:fill="auto"/>
            <w:noWrap/>
            <w:vAlign w:val="bottom"/>
            <w:hideMark/>
          </w:tcPr>
          <w:p w14:paraId="26CE1DDC" w14:textId="77777777" w:rsidR="00AC79AD" w:rsidRDefault="00AC79AD">
            <w:pPr>
              <w:jc w:val="right"/>
              <w:rPr>
                <w:sz w:val="20"/>
                <w:szCs w:val="20"/>
              </w:rPr>
            </w:pPr>
            <w:r>
              <w:rPr>
                <w:sz w:val="20"/>
                <w:szCs w:val="20"/>
              </w:rPr>
              <w:t>121,62</w:t>
            </w:r>
          </w:p>
        </w:tc>
        <w:tc>
          <w:tcPr>
            <w:tcW w:w="1120" w:type="dxa"/>
            <w:tcBorders>
              <w:top w:val="nil"/>
              <w:left w:val="nil"/>
              <w:bottom w:val="nil"/>
              <w:right w:val="nil"/>
            </w:tcBorders>
            <w:shd w:val="clear" w:color="auto" w:fill="auto"/>
            <w:noWrap/>
            <w:vAlign w:val="bottom"/>
            <w:hideMark/>
          </w:tcPr>
          <w:p w14:paraId="4C5C3F69" w14:textId="77777777" w:rsidR="00AC79AD" w:rsidRDefault="00AC79AD">
            <w:pPr>
              <w:jc w:val="right"/>
              <w:rPr>
                <w:sz w:val="20"/>
                <w:szCs w:val="20"/>
              </w:rPr>
            </w:pPr>
            <w:r>
              <w:rPr>
                <w:sz w:val="20"/>
                <w:szCs w:val="20"/>
              </w:rPr>
              <w:t>100,22</w:t>
            </w:r>
          </w:p>
        </w:tc>
      </w:tr>
      <w:tr w:rsidR="00AC79AD" w14:paraId="4F0BBCDA" w14:textId="77777777" w:rsidTr="00AC79AD">
        <w:trPr>
          <w:trHeight w:val="300"/>
        </w:trPr>
        <w:tc>
          <w:tcPr>
            <w:tcW w:w="7032" w:type="dxa"/>
            <w:tcBorders>
              <w:top w:val="nil"/>
              <w:left w:val="nil"/>
              <w:bottom w:val="nil"/>
              <w:right w:val="nil"/>
            </w:tcBorders>
            <w:shd w:val="clear" w:color="auto" w:fill="auto"/>
            <w:noWrap/>
            <w:vAlign w:val="center"/>
            <w:hideMark/>
          </w:tcPr>
          <w:p w14:paraId="4571CCE3" w14:textId="77777777" w:rsidR="00AC79AD" w:rsidRDefault="00AC79AD">
            <w:pPr>
              <w:rPr>
                <w:color w:val="000000"/>
                <w:sz w:val="20"/>
                <w:szCs w:val="20"/>
              </w:rPr>
            </w:pPr>
            <w:r>
              <w:rPr>
                <w:color w:val="000000"/>
                <w:sz w:val="20"/>
                <w:szCs w:val="20"/>
              </w:rPr>
              <w:t>4.5. Prihodi posebne namjene - poljoprivredno zemljište RH</w:t>
            </w:r>
          </w:p>
        </w:tc>
        <w:tc>
          <w:tcPr>
            <w:tcW w:w="1708" w:type="dxa"/>
            <w:tcBorders>
              <w:top w:val="nil"/>
              <w:left w:val="nil"/>
              <w:bottom w:val="nil"/>
              <w:right w:val="nil"/>
            </w:tcBorders>
            <w:shd w:val="clear" w:color="auto" w:fill="auto"/>
            <w:noWrap/>
            <w:vAlign w:val="bottom"/>
            <w:hideMark/>
          </w:tcPr>
          <w:p w14:paraId="39CDFF66" w14:textId="77777777" w:rsidR="00AC79AD" w:rsidRDefault="00AC79AD">
            <w:pPr>
              <w:jc w:val="right"/>
              <w:rPr>
                <w:sz w:val="20"/>
                <w:szCs w:val="20"/>
              </w:rPr>
            </w:pPr>
            <w:r>
              <w:rPr>
                <w:sz w:val="20"/>
                <w:szCs w:val="20"/>
              </w:rPr>
              <w:t>745.115,72</w:t>
            </w:r>
          </w:p>
        </w:tc>
        <w:tc>
          <w:tcPr>
            <w:tcW w:w="1660" w:type="dxa"/>
            <w:tcBorders>
              <w:top w:val="nil"/>
              <w:left w:val="nil"/>
              <w:bottom w:val="nil"/>
              <w:right w:val="nil"/>
            </w:tcBorders>
            <w:shd w:val="clear" w:color="auto" w:fill="auto"/>
            <w:noWrap/>
            <w:vAlign w:val="bottom"/>
            <w:hideMark/>
          </w:tcPr>
          <w:p w14:paraId="2ECBCB37" w14:textId="77777777" w:rsidR="00AC79AD" w:rsidRDefault="00AC79AD">
            <w:pPr>
              <w:jc w:val="right"/>
              <w:rPr>
                <w:sz w:val="20"/>
                <w:szCs w:val="20"/>
              </w:rPr>
            </w:pPr>
            <w:r>
              <w:rPr>
                <w:sz w:val="20"/>
                <w:szCs w:val="20"/>
              </w:rPr>
              <w:t>620.000,00</w:t>
            </w:r>
          </w:p>
        </w:tc>
        <w:tc>
          <w:tcPr>
            <w:tcW w:w="1720" w:type="dxa"/>
            <w:tcBorders>
              <w:top w:val="nil"/>
              <w:left w:val="nil"/>
              <w:bottom w:val="nil"/>
              <w:right w:val="nil"/>
            </w:tcBorders>
            <w:shd w:val="clear" w:color="auto" w:fill="auto"/>
            <w:noWrap/>
            <w:vAlign w:val="bottom"/>
            <w:hideMark/>
          </w:tcPr>
          <w:p w14:paraId="5B3FCAAE" w14:textId="77777777" w:rsidR="00AC79AD" w:rsidRDefault="00AC79AD">
            <w:pPr>
              <w:jc w:val="right"/>
              <w:rPr>
                <w:sz w:val="20"/>
                <w:szCs w:val="20"/>
              </w:rPr>
            </w:pPr>
            <w:r>
              <w:rPr>
                <w:sz w:val="20"/>
                <w:szCs w:val="20"/>
              </w:rPr>
              <w:t>681.196,21</w:t>
            </w:r>
          </w:p>
        </w:tc>
        <w:tc>
          <w:tcPr>
            <w:tcW w:w="1120" w:type="dxa"/>
            <w:tcBorders>
              <w:top w:val="nil"/>
              <w:left w:val="nil"/>
              <w:bottom w:val="nil"/>
              <w:right w:val="nil"/>
            </w:tcBorders>
            <w:shd w:val="clear" w:color="auto" w:fill="auto"/>
            <w:noWrap/>
            <w:vAlign w:val="bottom"/>
            <w:hideMark/>
          </w:tcPr>
          <w:p w14:paraId="394F5CEA" w14:textId="77777777" w:rsidR="00AC79AD" w:rsidRDefault="00AC79AD">
            <w:pPr>
              <w:jc w:val="right"/>
              <w:rPr>
                <w:sz w:val="20"/>
                <w:szCs w:val="20"/>
              </w:rPr>
            </w:pPr>
            <w:r>
              <w:rPr>
                <w:sz w:val="20"/>
                <w:szCs w:val="20"/>
              </w:rPr>
              <w:t>91,42</w:t>
            </w:r>
          </w:p>
        </w:tc>
        <w:tc>
          <w:tcPr>
            <w:tcW w:w="1120" w:type="dxa"/>
            <w:tcBorders>
              <w:top w:val="nil"/>
              <w:left w:val="nil"/>
              <w:bottom w:val="nil"/>
              <w:right w:val="nil"/>
            </w:tcBorders>
            <w:shd w:val="clear" w:color="auto" w:fill="auto"/>
            <w:noWrap/>
            <w:vAlign w:val="bottom"/>
            <w:hideMark/>
          </w:tcPr>
          <w:p w14:paraId="34AC3F78" w14:textId="77777777" w:rsidR="00AC79AD" w:rsidRDefault="00AC79AD">
            <w:pPr>
              <w:jc w:val="right"/>
              <w:rPr>
                <w:sz w:val="20"/>
                <w:szCs w:val="20"/>
              </w:rPr>
            </w:pPr>
            <w:r>
              <w:rPr>
                <w:sz w:val="20"/>
                <w:szCs w:val="20"/>
              </w:rPr>
              <w:t>109,87</w:t>
            </w:r>
          </w:p>
        </w:tc>
      </w:tr>
      <w:tr w:rsidR="00AC79AD" w14:paraId="3EED69FA" w14:textId="77777777" w:rsidTr="00AC79AD">
        <w:trPr>
          <w:trHeight w:val="300"/>
        </w:trPr>
        <w:tc>
          <w:tcPr>
            <w:tcW w:w="7032" w:type="dxa"/>
            <w:tcBorders>
              <w:top w:val="nil"/>
              <w:left w:val="nil"/>
              <w:bottom w:val="nil"/>
              <w:right w:val="nil"/>
            </w:tcBorders>
            <w:shd w:val="clear" w:color="auto" w:fill="auto"/>
            <w:noWrap/>
            <w:vAlign w:val="center"/>
            <w:hideMark/>
          </w:tcPr>
          <w:p w14:paraId="1058E45E" w14:textId="77777777" w:rsidR="00AC79AD" w:rsidRDefault="00AC79AD">
            <w:pPr>
              <w:rPr>
                <w:color w:val="000000"/>
                <w:sz w:val="20"/>
                <w:szCs w:val="20"/>
              </w:rPr>
            </w:pPr>
            <w:r>
              <w:rPr>
                <w:color w:val="000000"/>
                <w:sz w:val="20"/>
                <w:szCs w:val="20"/>
              </w:rPr>
              <w:t>4.6. Prihodi posebne namjene - ostali</w:t>
            </w:r>
          </w:p>
        </w:tc>
        <w:tc>
          <w:tcPr>
            <w:tcW w:w="1708" w:type="dxa"/>
            <w:tcBorders>
              <w:top w:val="nil"/>
              <w:left w:val="nil"/>
              <w:bottom w:val="nil"/>
              <w:right w:val="nil"/>
            </w:tcBorders>
            <w:shd w:val="clear" w:color="auto" w:fill="auto"/>
            <w:noWrap/>
            <w:vAlign w:val="bottom"/>
            <w:hideMark/>
          </w:tcPr>
          <w:p w14:paraId="3D3DB693" w14:textId="77777777" w:rsidR="00AC79AD" w:rsidRDefault="00AC79AD">
            <w:pPr>
              <w:jc w:val="right"/>
              <w:rPr>
                <w:sz w:val="20"/>
                <w:szCs w:val="20"/>
              </w:rPr>
            </w:pPr>
            <w:r>
              <w:rPr>
                <w:sz w:val="20"/>
                <w:szCs w:val="20"/>
              </w:rPr>
              <w:t>1.098.950,19</w:t>
            </w:r>
          </w:p>
        </w:tc>
        <w:tc>
          <w:tcPr>
            <w:tcW w:w="1660" w:type="dxa"/>
            <w:tcBorders>
              <w:top w:val="nil"/>
              <w:left w:val="nil"/>
              <w:bottom w:val="nil"/>
              <w:right w:val="nil"/>
            </w:tcBorders>
            <w:shd w:val="clear" w:color="auto" w:fill="auto"/>
            <w:noWrap/>
            <w:vAlign w:val="bottom"/>
            <w:hideMark/>
          </w:tcPr>
          <w:p w14:paraId="039209BC" w14:textId="77777777" w:rsidR="00AC79AD" w:rsidRDefault="00AC79AD">
            <w:pPr>
              <w:jc w:val="right"/>
              <w:rPr>
                <w:sz w:val="20"/>
                <w:szCs w:val="20"/>
              </w:rPr>
            </w:pPr>
            <w:r>
              <w:rPr>
                <w:sz w:val="20"/>
                <w:szCs w:val="20"/>
              </w:rPr>
              <w:t>1.119.000,00</w:t>
            </w:r>
          </w:p>
        </w:tc>
        <w:tc>
          <w:tcPr>
            <w:tcW w:w="1720" w:type="dxa"/>
            <w:tcBorders>
              <w:top w:val="nil"/>
              <w:left w:val="nil"/>
              <w:bottom w:val="nil"/>
              <w:right w:val="nil"/>
            </w:tcBorders>
            <w:shd w:val="clear" w:color="auto" w:fill="auto"/>
            <w:noWrap/>
            <w:vAlign w:val="bottom"/>
            <w:hideMark/>
          </w:tcPr>
          <w:p w14:paraId="148C2D18" w14:textId="77777777" w:rsidR="00AC79AD" w:rsidRDefault="00AC79AD">
            <w:pPr>
              <w:jc w:val="right"/>
              <w:rPr>
                <w:sz w:val="20"/>
                <w:szCs w:val="20"/>
              </w:rPr>
            </w:pPr>
            <w:r>
              <w:rPr>
                <w:sz w:val="20"/>
                <w:szCs w:val="20"/>
              </w:rPr>
              <w:t>1.042.886,29</w:t>
            </w:r>
          </w:p>
        </w:tc>
        <w:tc>
          <w:tcPr>
            <w:tcW w:w="1120" w:type="dxa"/>
            <w:tcBorders>
              <w:top w:val="nil"/>
              <w:left w:val="nil"/>
              <w:bottom w:val="nil"/>
              <w:right w:val="nil"/>
            </w:tcBorders>
            <w:shd w:val="clear" w:color="auto" w:fill="auto"/>
            <w:noWrap/>
            <w:vAlign w:val="bottom"/>
            <w:hideMark/>
          </w:tcPr>
          <w:p w14:paraId="60AAA33F" w14:textId="77777777" w:rsidR="00AC79AD" w:rsidRDefault="00AC79AD">
            <w:pPr>
              <w:jc w:val="right"/>
              <w:rPr>
                <w:sz w:val="20"/>
                <w:szCs w:val="20"/>
              </w:rPr>
            </w:pPr>
            <w:r>
              <w:rPr>
                <w:sz w:val="20"/>
                <w:szCs w:val="20"/>
              </w:rPr>
              <w:t>94,90</w:t>
            </w:r>
          </w:p>
        </w:tc>
        <w:tc>
          <w:tcPr>
            <w:tcW w:w="1120" w:type="dxa"/>
            <w:tcBorders>
              <w:top w:val="nil"/>
              <w:left w:val="nil"/>
              <w:bottom w:val="nil"/>
              <w:right w:val="nil"/>
            </w:tcBorders>
            <w:shd w:val="clear" w:color="auto" w:fill="auto"/>
            <w:noWrap/>
            <w:vAlign w:val="bottom"/>
            <w:hideMark/>
          </w:tcPr>
          <w:p w14:paraId="0D458434" w14:textId="77777777" w:rsidR="00AC79AD" w:rsidRDefault="00AC79AD">
            <w:pPr>
              <w:jc w:val="right"/>
              <w:rPr>
                <w:sz w:val="20"/>
                <w:szCs w:val="20"/>
              </w:rPr>
            </w:pPr>
            <w:r>
              <w:rPr>
                <w:sz w:val="20"/>
                <w:szCs w:val="20"/>
              </w:rPr>
              <w:t>93,20</w:t>
            </w:r>
          </w:p>
        </w:tc>
      </w:tr>
      <w:tr w:rsidR="00AC79AD" w14:paraId="2FDFA98C" w14:textId="77777777" w:rsidTr="00AC79AD">
        <w:trPr>
          <w:trHeight w:val="300"/>
        </w:trPr>
        <w:tc>
          <w:tcPr>
            <w:tcW w:w="7032" w:type="dxa"/>
            <w:tcBorders>
              <w:top w:val="nil"/>
              <w:left w:val="nil"/>
              <w:bottom w:val="nil"/>
              <w:right w:val="nil"/>
            </w:tcBorders>
            <w:shd w:val="clear" w:color="auto" w:fill="auto"/>
            <w:noWrap/>
            <w:vAlign w:val="center"/>
            <w:hideMark/>
          </w:tcPr>
          <w:p w14:paraId="3507604E" w14:textId="77777777" w:rsidR="00AC79AD" w:rsidRDefault="00AC79AD">
            <w:pPr>
              <w:rPr>
                <w:color w:val="000000"/>
                <w:sz w:val="20"/>
                <w:szCs w:val="20"/>
              </w:rPr>
            </w:pPr>
            <w:r>
              <w:rPr>
                <w:color w:val="000000"/>
                <w:sz w:val="20"/>
                <w:szCs w:val="20"/>
              </w:rPr>
              <w:t>4.7. Prihodi posebne namjene - proračunski korisnici</w:t>
            </w:r>
          </w:p>
        </w:tc>
        <w:tc>
          <w:tcPr>
            <w:tcW w:w="1708" w:type="dxa"/>
            <w:tcBorders>
              <w:top w:val="nil"/>
              <w:left w:val="nil"/>
              <w:bottom w:val="nil"/>
              <w:right w:val="nil"/>
            </w:tcBorders>
            <w:shd w:val="clear" w:color="auto" w:fill="auto"/>
            <w:noWrap/>
            <w:vAlign w:val="bottom"/>
            <w:hideMark/>
          </w:tcPr>
          <w:p w14:paraId="77066AEC" w14:textId="77777777" w:rsidR="00AC79AD" w:rsidRDefault="00AC79AD">
            <w:pPr>
              <w:jc w:val="right"/>
              <w:rPr>
                <w:sz w:val="20"/>
                <w:szCs w:val="20"/>
              </w:rPr>
            </w:pPr>
            <w:r>
              <w:rPr>
                <w:sz w:val="20"/>
                <w:szCs w:val="20"/>
              </w:rPr>
              <w:t>1.009.765,38</w:t>
            </w:r>
          </w:p>
        </w:tc>
        <w:tc>
          <w:tcPr>
            <w:tcW w:w="1660" w:type="dxa"/>
            <w:tcBorders>
              <w:top w:val="nil"/>
              <w:left w:val="nil"/>
              <w:bottom w:val="nil"/>
              <w:right w:val="nil"/>
            </w:tcBorders>
            <w:shd w:val="clear" w:color="auto" w:fill="auto"/>
            <w:noWrap/>
            <w:vAlign w:val="bottom"/>
            <w:hideMark/>
          </w:tcPr>
          <w:p w14:paraId="4C40D0BA" w14:textId="77777777" w:rsidR="00AC79AD" w:rsidRDefault="00AC79AD">
            <w:pPr>
              <w:jc w:val="right"/>
              <w:rPr>
                <w:sz w:val="20"/>
                <w:szCs w:val="20"/>
              </w:rPr>
            </w:pPr>
            <w:r>
              <w:rPr>
                <w:sz w:val="20"/>
                <w:szCs w:val="20"/>
              </w:rPr>
              <w:t>1.309.938,79</w:t>
            </w:r>
          </w:p>
        </w:tc>
        <w:tc>
          <w:tcPr>
            <w:tcW w:w="1720" w:type="dxa"/>
            <w:tcBorders>
              <w:top w:val="nil"/>
              <w:left w:val="nil"/>
              <w:bottom w:val="nil"/>
              <w:right w:val="nil"/>
            </w:tcBorders>
            <w:shd w:val="clear" w:color="auto" w:fill="auto"/>
            <w:noWrap/>
            <w:vAlign w:val="bottom"/>
            <w:hideMark/>
          </w:tcPr>
          <w:p w14:paraId="6D94461C" w14:textId="77777777" w:rsidR="00AC79AD" w:rsidRDefault="00AC79AD">
            <w:pPr>
              <w:jc w:val="right"/>
              <w:rPr>
                <w:sz w:val="20"/>
                <w:szCs w:val="20"/>
              </w:rPr>
            </w:pPr>
            <w:r>
              <w:rPr>
                <w:sz w:val="20"/>
                <w:szCs w:val="20"/>
              </w:rPr>
              <w:t>1.065.616,22</w:t>
            </w:r>
          </w:p>
        </w:tc>
        <w:tc>
          <w:tcPr>
            <w:tcW w:w="1120" w:type="dxa"/>
            <w:tcBorders>
              <w:top w:val="nil"/>
              <w:left w:val="nil"/>
              <w:bottom w:val="nil"/>
              <w:right w:val="nil"/>
            </w:tcBorders>
            <w:shd w:val="clear" w:color="auto" w:fill="auto"/>
            <w:noWrap/>
            <w:vAlign w:val="bottom"/>
            <w:hideMark/>
          </w:tcPr>
          <w:p w14:paraId="6C529881" w14:textId="77777777" w:rsidR="00AC79AD" w:rsidRDefault="00AC79AD">
            <w:pPr>
              <w:jc w:val="right"/>
              <w:rPr>
                <w:sz w:val="20"/>
                <w:szCs w:val="20"/>
              </w:rPr>
            </w:pPr>
            <w:r>
              <w:rPr>
                <w:sz w:val="20"/>
                <w:szCs w:val="20"/>
              </w:rPr>
              <w:t>105,53</w:t>
            </w:r>
          </w:p>
        </w:tc>
        <w:tc>
          <w:tcPr>
            <w:tcW w:w="1120" w:type="dxa"/>
            <w:tcBorders>
              <w:top w:val="nil"/>
              <w:left w:val="nil"/>
              <w:bottom w:val="nil"/>
              <w:right w:val="nil"/>
            </w:tcBorders>
            <w:shd w:val="clear" w:color="auto" w:fill="auto"/>
            <w:noWrap/>
            <w:vAlign w:val="bottom"/>
            <w:hideMark/>
          </w:tcPr>
          <w:p w14:paraId="37B18247" w14:textId="77777777" w:rsidR="00AC79AD" w:rsidRDefault="00AC79AD">
            <w:pPr>
              <w:jc w:val="right"/>
              <w:rPr>
                <w:sz w:val="20"/>
                <w:szCs w:val="20"/>
              </w:rPr>
            </w:pPr>
            <w:r>
              <w:rPr>
                <w:sz w:val="20"/>
                <w:szCs w:val="20"/>
              </w:rPr>
              <w:t>81,35</w:t>
            </w:r>
          </w:p>
        </w:tc>
      </w:tr>
      <w:tr w:rsidR="00AC79AD" w14:paraId="74723E26" w14:textId="77777777" w:rsidTr="00AC79AD">
        <w:trPr>
          <w:trHeight w:val="300"/>
        </w:trPr>
        <w:tc>
          <w:tcPr>
            <w:tcW w:w="7032" w:type="dxa"/>
            <w:tcBorders>
              <w:top w:val="nil"/>
              <w:left w:val="nil"/>
              <w:bottom w:val="nil"/>
              <w:right w:val="nil"/>
            </w:tcBorders>
            <w:shd w:val="clear" w:color="auto" w:fill="auto"/>
            <w:noWrap/>
            <w:vAlign w:val="center"/>
            <w:hideMark/>
          </w:tcPr>
          <w:p w14:paraId="32782BD6" w14:textId="77777777" w:rsidR="00AC79AD" w:rsidRDefault="00AC79AD">
            <w:pPr>
              <w:rPr>
                <w:b/>
                <w:bCs/>
                <w:color w:val="000000"/>
                <w:sz w:val="20"/>
                <w:szCs w:val="20"/>
              </w:rPr>
            </w:pPr>
            <w:r>
              <w:rPr>
                <w:b/>
                <w:bCs/>
                <w:color w:val="000000"/>
                <w:sz w:val="20"/>
                <w:szCs w:val="20"/>
              </w:rPr>
              <w:t>5. Pomoći</w:t>
            </w:r>
          </w:p>
        </w:tc>
        <w:tc>
          <w:tcPr>
            <w:tcW w:w="1708" w:type="dxa"/>
            <w:tcBorders>
              <w:top w:val="nil"/>
              <w:left w:val="nil"/>
              <w:bottom w:val="nil"/>
              <w:right w:val="nil"/>
            </w:tcBorders>
            <w:shd w:val="clear" w:color="auto" w:fill="auto"/>
            <w:noWrap/>
            <w:vAlign w:val="bottom"/>
            <w:hideMark/>
          </w:tcPr>
          <w:p w14:paraId="473691A0" w14:textId="77777777" w:rsidR="00AC79AD" w:rsidRDefault="00AC79AD">
            <w:pPr>
              <w:jc w:val="right"/>
              <w:rPr>
                <w:b/>
                <w:bCs/>
                <w:sz w:val="20"/>
                <w:szCs w:val="20"/>
              </w:rPr>
            </w:pPr>
            <w:r>
              <w:rPr>
                <w:b/>
                <w:bCs/>
                <w:sz w:val="20"/>
                <w:szCs w:val="20"/>
              </w:rPr>
              <w:t>5.645.977,42</w:t>
            </w:r>
          </w:p>
        </w:tc>
        <w:tc>
          <w:tcPr>
            <w:tcW w:w="1660" w:type="dxa"/>
            <w:tcBorders>
              <w:top w:val="nil"/>
              <w:left w:val="nil"/>
              <w:bottom w:val="nil"/>
              <w:right w:val="nil"/>
            </w:tcBorders>
            <w:shd w:val="clear" w:color="auto" w:fill="auto"/>
            <w:noWrap/>
            <w:vAlign w:val="bottom"/>
            <w:hideMark/>
          </w:tcPr>
          <w:p w14:paraId="137D7BA6" w14:textId="77777777" w:rsidR="00AC79AD" w:rsidRDefault="00AC79AD">
            <w:pPr>
              <w:jc w:val="right"/>
              <w:rPr>
                <w:b/>
                <w:bCs/>
                <w:sz w:val="20"/>
                <w:szCs w:val="20"/>
              </w:rPr>
            </w:pPr>
            <w:r>
              <w:rPr>
                <w:b/>
                <w:bCs/>
                <w:sz w:val="20"/>
                <w:szCs w:val="20"/>
              </w:rPr>
              <w:t>1.391.448,70</w:t>
            </w:r>
          </w:p>
        </w:tc>
        <w:tc>
          <w:tcPr>
            <w:tcW w:w="1720" w:type="dxa"/>
            <w:tcBorders>
              <w:top w:val="nil"/>
              <w:left w:val="nil"/>
              <w:bottom w:val="nil"/>
              <w:right w:val="nil"/>
            </w:tcBorders>
            <w:shd w:val="clear" w:color="auto" w:fill="auto"/>
            <w:noWrap/>
            <w:vAlign w:val="bottom"/>
            <w:hideMark/>
          </w:tcPr>
          <w:p w14:paraId="4FFD3E95" w14:textId="77777777" w:rsidR="00AC79AD" w:rsidRDefault="00AC79AD">
            <w:pPr>
              <w:jc w:val="right"/>
              <w:rPr>
                <w:b/>
                <w:bCs/>
                <w:sz w:val="20"/>
                <w:szCs w:val="20"/>
              </w:rPr>
            </w:pPr>
            <w:r>
              <w:rPr>
                <w:b/>
                <w:bCs/>
                <w:sz w:val="20"/>
                <w:szCs w:val="20"/>
              </w:rPr>
              <w:t>1.668.534,96</w:t>
            </w:r>
          </w:p>
        </w:tc>
        <w:tc>
          <w:tcPr>
            <w:tcW w:w="1120" w:type="dxa"/>
            <w:tcBorders>
              <w:top w:val="nil"/>
              <w:left w:val="nil"/>
              <w:bottom w:val="nil"/>
              <w:right w:val="nil"/>
            </w:tcBorders>
            <w:shd w:val="clear" w:color="auto" w:fill="auto"/>
            <w:noWrap/>
            <w:vAlign w:val="bottom"/>
            <w:hideMark/>
          </w:tcPr>
          <w:p w14:paraId="4156CB92" w14:textId="77777777" w:rsidR="00AC79AD" w:rsidRDefault="00AC79AD">
            <w:pPr>
              <w:jc w:val="right"/>
              <w:rPr>
                <w:b/>
                <w:bCs/>
                <w:sz w:val="20"/>
                <w:szCs w:val="20"/>
              </w:rPr>
            </w:pPr>
            <w:r>
              <w:rPr>
                <w:b/>
                <w:bCs/>
                <w:sz w:val="20"/>
                <w:szCs w:val="20"/>
              </w:rPr>
              <w:t>29,55</w:t>
            </w:r>
          </w:p>
        </w:tc>
        <w:tc>
          <w:tcPr>
            <w:tcW w:w="1120" w:type="dxa"/>
            <w:tcBorders>
              <w:top w:val="nil"/>
              <w:left w:val="nil"/>
              <w:bottom w:val="nil"/>
              <w:right w:val="nil"/>
            </w:tcBorders>
            <w:shd w:val="clear" w:color="auto" w:fill="auto"/>
            <w:noWrap/>
            <w:vAlign w:val="bottom"/>
            <w:hideMark/>
          </w:tcPr>
          <w:p w14:paraId="39CC7A07" w14:textId="77777777" w:rsidR="00AC79AD" w:rsidRDefault="00AC79AD">
            <w:pPr>
              <w:jc w:val="right"/>
              <w:rPr>
                <w:b/>
                <w:bCs/>
                <w:sz w:val="20"/>
                <w:szCs w:val="20"/>
              </w:rPr>
            </w:pPr>
            <w:r>
              <w:rPr>
                <w:b/>
                <w:bCs/>
                <w:sz w:val="20"/>
                <w:szCs w:val="20"/>
              </w:rPr>
              <w:t>119,91</w:t>
            </w:r>
          </w:p>
        </w:tc>
      </w:tr>
      <w:tr w:rsidR="00AC79AD" w14:paraId="65D25FCE" w14:textId="77777777" w:rsidTr="00AC79AD">
        <w:trPr>
          <w:trHeight w:val="300"/>
        </w:trPr>
        <w:tc>
          <w:tcPr>
            <w:tcW w:w="7032" w:type="dxa"/>
            <w:tcBorders>
              <w:top w:val="nil"/>
              <w:left w:val="nil"/>
              <w:bottom w:val="nil"/>
              <w:right w:val="nil"/>
            </w:tcBorders>
            <w:shd w:val="clear" w:color="auto" w:fill="auto"/>
            <w:noWrap/>
            <w:vAlign w:val="center"/>
            <w:hideMark/>
          </w:tcPr>
          <w:p w14:paraId="5DC72F50" w14:textId="77777777" w:rsidR="00AC79AD" w:rsidRDefault="00AC79AD">
            <w:pPr>
              <w:rPr>
                <w:color w:val="000000"/>
                <w:sz w:val="20"/>
                <w:szCs w:val="20"/>
              </w:rPr>
            </w:pPr>
            <w:r>
              <w:rPr>
                <w:color w:val="000000"/>
                <w:sz w:val="20"/>
                <w:szCs w:val="20"/>
              </w:rPr>
              <w:t>5.1. Pomoći</w:t>
            </w:r>
          </w:p>
        </w:tc>
        <w:tc>
          <w:tcPr>
            <w:tcW w:w="1708" w:type="dxa"/>
            <w:tcBorders>
              <w:top w:val="nil"/>
              <w:left w:val="nil"/>
              <w:bottom w:val="nil"/>
              <w:right w:val="nil"/>
            </w:tcBorders>
            <w:shd w:val="clear" w:color="auto" w:fill="auto"/>
            <w:noWrap/>
            <w:vAlign w:val="bottom"/>
            <w:hideMark/>
          </w:tcPr>
          <w:p w14:paraId="3D6F057A" w14:textId="77777777" w:rsidR="00AC79AD" w:rsidRDefault="00AC79AD">
            <w:pPr>
              <w:jc w:val="right"/>
              <w:rPr>
                <w:sz w:val="20"/>
                <w:szCs w:val="20"/>
              </w:rPr>
            </w:pPr>
            <w:r>
              <w:rPr>
                <w:sz w:val="20"/>
                <w:szCs w:val="20"/>
              </w:rPr>
              <w:t>4.989.740,71</w:t>
            </w:r>
          </w:p>
        </w:tc>
        <w:tc>
          <w:tcPr>
            <w:tcW w:w="1660" w:type="dxa"/>
            <w:tcBorders>
              <w:top w:val="nil"/>
              <w:left w:val="nil"/>
              <w:bottom w:val="nil"/>
              <w:right w:val="nil"/>
            </w:tcBorders>
            <w:shd w:val="clear" w:color="auto" w:fill="auto"/>
            <w:noWrap/>
            <w:vAlign w:val="bottom"/>
            <w:hideMark/>
          </w:tcPr>
          <w:p w14:paraId="6731E4FF" w14:textId="77777777" w:rsidR="00AC79AD" w:rsidRDefault="00AC79AD">
            <w:pPr>
              <w:jc w:val="right"/>
              <w:rPr>
                <w:sz w:val="20"/>
                <w:szCs w:val="20"/>
              </w:rPr>
            </w:pPr>
            <w:r>
              <w:rPr>
                <w:sz w:val="20"/>
                <w:szCs w:val="20"/>
              </w:rPr>
              <w:t>601.982,50</w:t>
            </w:r>
          </w:p>
        </w:tc>
        <w:tc>
          <w:tcPr>
            <w:tcW w:w="1720" w:type="dxa"/>
            <w:tcBorders>
              <w:top w:val="nil"/>
              <w:left w:val="nil"/>
              <w:bottom w:val="nil"/>
              <w:right w:val="nil"/>
            </w:tcBorders>
            <w:shd w:val="clear" w:color="auto" w:fill="auto"/>
            <w:noWrap/>
            <w:vAlign w:val="bottom"/>
            <w:hideMark/>
          </w:tcPr>
          <w:p w14:paraId="002AF603" w14:textId="77777777" w:rsidR="00AC79AD" w:rsidRDefault="00AC79AD">
            <w:pPr>
              <w:jc w:val="right"/>
              <w:rPr>
                <w:sz w:val="20"/>
                <w:szCs w:val="20"/>
              </w:rPr>
            </w:pPr>
            <w:r>
              <w:rPr>
                <w:sz w:val="20"/>
                <w:szCs w:val="20"/>
              </w:rPr>
              <w:t>738.374,12</w:t>
            </w:r>
          </w:p>
        </w:tc>
        <w:tc>
          <w:tcPr>
            <w:tcW w:w="1120" w:type="dxa"/>
            <w:tcBorders>
              <w:top w:val="nil"/>
              <w:left w:val="nil"/>
              <w:bottom w:val="nil"/>
              <w:right w:val="nil"/>
            </w:tcBorders>
            <w:shd w:val="clear" w:color="auto" w:fill="auto"/>
            <w:noWrap/>
            <w:vAlign w:val="bottom"/>
            <w:hideMark/>
          </w:tcPr>
          <w:p w14:paraId="0B2C8FBC" w14:textId="77777777" w:rsidR="00AC79AD" w:rsidRDefault="00AC79AD">
            <w:pPr>
              <w:jc w:val="right"/>
              <w:rPr>
                <w:sz w:val="20"/>
                <w:szCs w:val="20"/>
              </w:rPr>
            </w:pPr>
            <w:r>
              <w:rPr>
                <w:sz w:val="20"/>
                <w:szCs w:val="20"/>
              </w:rPr>
              <w:t>14,80</w:t>
            </w:r>
          </w:p>
        </w:tc>
        <w:tc>
          <w:tcPr>
            <w:tcW w:w="1120" w:type="dxa"/>
            <w:tcBorders>
              <w:top w:val="nil"/>
              <w:left w:val="nil"/>
              <w:bottom w:val="nil"/>
              <w:right w:val="nil"/>
            </w:tcBorders>
            <w:shd w:val="clear" w:color="auto" w:fill="auto"/>
            <w:noWrap/>
            <w:vAlign w:val="bottom"/>
            <w:hideMark/>
          </w:tcPr>
          <w:p w14:paraId="4792CD14" w14:textId="77777777" w:rsidR="00AC79AD" w:rsidRDefault="00AC79AD">
            <w:pPr>
              <w:jc w:val="right"/>
              <w:rPr>
                <w:sz w:val="20"/>
                <w:szCs w:val="20"/>
              </w:rPr>
            </w:pPr>
            <w:r>
              <w:rPr>
                <w:sz w:val="20"/>
                <w:szCs w:val="20"/>
              </w:rPr>
              <w:t>122,66</w:t>
            </w:r>
          </w:p>
        </w:tc>
      </w:tr>
      <w:tr w:rsidR="00AC79AD" w14:paraId="193EF1A9" w14:textId="77777777" w:rsidTr="00AC79AD">
        <w:trPr>
          <w:trHeight w:val="300"/>
        </w:trPr>
        <w:tc>
          <w:tcPr>
            <w:tcW w:w="7032" w:type="dxa"/>
            <w:tcBorders>
              <w:top w:val="nil"/>
              <w:left w:val="nil"/>
              <w:bottom w:val="nil"/>
              <w:right w:val="nil"/>
            </w:tcBorders>
            <w:shd w:val="clear" w:color="auto" w:fill="auto"/>
            <w:noWrap/>
            <w:vAlign w:val="center"/>
            <w:hideMark/>
          </w:tcPr>
          <w:p w14:paraId="52B253CD" w14:textId="77777777" w:rsidR="00AC79AD" w:rsidRDefault="00AC79AD">
            <w:pPr>
              <w:rPr>
                <w:color w:val="000000"/>
                <w:sz w:val="20"/>
                <w:szCs w:val="20"/>
              </w:rPr>
            </w:pPr>
            <w:r>
              <w:rPr>
                <w:color w:val="000000"/>
                <w:sz w:val="20"/>
                <w:szCs w:val="20"/>
              </w:rPr>
              <w:t>5.2. Pomoći - proračunski korisnici (Grad)</w:t>
            </w:r>
          </w:p>
        </w:tc>
        <w:tc>
          <w:tcPr>
            <w:tcW w:w="1708" w:type="dxa"/>
            <w:tcBorders>
              <w:top w:val="nil"/>
              <w:left w:val="nil"/>
              <w:bottom w:val="nil"/>
              <w:right w:val="nil"/>
            </w:tcBorders>
            <w:shd w:val="clear" w:color="auto" w:fill="auto"/>
            <w:noWrap/>
            <w:vAlign w:val="bottom"/>
            <w:hideMark/>
          </w:tcPr>
          <w:p w14:paraId="1E45C3E1" w14:textId="77777777" w:rsidR="00AC79AD" w:rsidRDefault="00AC79AD">
            <w:pPr>
              <w:jc w:val="right"/>
              <w:rPr>
                <w:sz w:val="20"/>
                <w:szCs w:val="20"/>
              </w:rPr>
            </w:pPr>
            <w:r>
              <w:rPr>
                <w:sz w:val="20"/>
                <w:szCs w:val="20"/>
              </w:rPr>
              <w:t>656.236,71</w:t>
            </w:r>
          </w:p>
        </w:tc>
        <w:tc>
          <w:tcPr>
            <w:tcW w:w="1660" w:type="dxa"/>
            <w:tcBorders>
              <w:top w:val="nil"/>
              <w:left w:val="nil"/>
              <w:bottom w:val="nil"/>
              <w:right w:val="nil"/>
            </w:tcBorders>
            <w:shd w:val="clear" w:color="auto" w:fill="auto"/>
            <w:noWrap/>
            <w:vAlign w:val="bottom"/>
            <w:hideMark/>
          </w:tcPr>
          <w:p w14:paraId="7578517F" w14:textId="77777777" w:rsidR="00AC79AD" w:rsidRDefault="00AC79AD">
            <w:pPr>
              <w:jc w:val="right"/>
              <w:rPr>
                <w:sz w:val="20"/>
                <w:szCs w:val="20"/>
              </w:rPr>
            </w:pPr>
            <w:r>
              <w:rPr>
                <w:sz w:val="20"/>
                <w:szCs w:val="20"/>
              </w:rPr>
              <w:t>789.466,20</w:t>
            </w:r>
          </w:p>
        </w:tc>
        <w:tc>
          <w:tcPr>
            <w:tcW w:w="1720" w:type="dxa"/>
            <w:tcBorders>
              <w:top w:val="nil"/>
              <w:left w:val="nil"/>
              <w:bottom w:val="nil"/>
              <w:right w:val="nil"/>
            </w:tcBorders>
            <w:shd w:val="clear" w:color="auto" w:fill="auto"/>
            <w:noWrap/>
            <w:vAlign w:val="bottom"/>
            <w:hideMark/>
          </w:tcPr>
          <w:p w14:paraId="23DB6F46" w14:textId="77777777" w:rsidR="00AC79AD" w:rsidRDefault="00AC79AD">
            <w:pPr>
              <w:jc w:val="right"/>
              <w:rPr>
                <w:sz w:val="20"/>
                <w:szCs w:val="20"/>
              </w:rPr>
            </w:pPr>
            <w:r>
              <w:rPr>
                <w:sz w:val="20"/>
                <w:szCs w:val="20"/>
              </w:rPr>
              <w:t>930.160,84</w:t>
            </w:r>
          </w:p>
        </w:tc>
        <w:tc>
          <w:tcPr>
            <w:tcW w:w="1120" w:type="dxa"/>
            <w:tcBorders>
              <w:top w:val="nil"/>
              <w:left w:val="nil"/>
              <w:bottom w:val="nil"/>
              <w:right w:val="nil"/>
            </w:tcBorders>
            <w:shd w:val="clear" w:color="auto" w:fill="auto"/>
            <w:noWrap/>
            <w:vAlign w:val="bottom"/>
            <w:hideMark/>
          </w:tcPr>
          <w:p w14:paraId="344886E7" w14:textId="77777777" w:rsidR="00AC79AD" w:rsidRDefault="00AC79AD">
            <w:pPr>
              <w:jc w:val="right"/>
              <w:rPr>
                <w:sz w:val="20"/>
                <w:szCs w:val="20"/>
              </w:rPr>
            </w:pPr>
            <w:r>
              <w:rPr>
                <w:sz w:val="20"/>
                <w:szCs w:val="20"/>
              </w:rPr>
              <w:t>141,74</w:t>
            </w:r>
          </w:p>
        </w:tc>
        <w:tc>
          <w:tcPr>
            <w:tcW w:w="1120" w:type="dxa"/>
            <w:tcBorders>
              <w:top w:val="nil"/>
              <w:left w:val="nil"/>
              <w:bottom w:val="nil"/>
              <w:right w:val="nil"/>
            </w:tcBorders>
            <w:shd w:val="clear" w:color="auto" w:fill="auto"/>
            <w:noWrap/>
            <w:vAlign w:val="bottom"/>
            <w:hideMark/>
          </w:tcPr>
          <w:p w14:paraId="5D6C27C7" w14:textId="77777777" w:rsidR="00AC79AD" w:rsidRDefault="00AC79AD">
            <w:pPr>
              <w:jc w:val="right"/>
              <w:rPr>
                <w:sz w:val="20"/>
                <w:szCs w:val="20"/>
              </w:rPr>
            </w:pPr>
            <w:r>
              <w:rPr>
                <w:sz w:val="20"/>
                <w:szCs w:val="20"/>
              </w:rPr>
              <w:t>117,82</w:t>
            </w:r>
          </w:p>
        </w:tc>
      </w:tr>
      <w:tr w:rsidR="00AC79AD" w14:paraId="1F286FFA" w14:textId="77777777" w:rsidTr="00AC79AD">
        <w:trPr>
          <w:trHeight w:val="300"/>
        </w:trPr>
        <w:tc>
          <w:tcPr>
            <w:tcW w:w="7032" w:type="dxa"/>
            <w:tcBorders>
              <w:top w:val="nil"/>
              <w:left w:val="nil"/>
              <w:bottom w:val="nil"/>
              <w:right w:val="nil"/>
            </w:tcBorders>
            <w:shd w:val="clear" w:color="auto" w:fill="auto"/>
            <w:noWrap/>
            <w:vAlign w:val="center"/>
            <w:hideMark/>
          </w:tcPr>
          <w:p w14:paraId="1EC9973F" w14:textId="77777777" w:rsidR="00AC79AD" w:rsidRDefault="00AC79AD">
            <w:pPr>
              <w:rPr>
                <w:b/>
                <w:bCs/>
                <w:color w:val="000000"/>
                <w:sz w:val="20"/>
                <w:szCs w:val="20"/>
              </w:rPr>
            </w:pPr>
            <w:r>
              <w:rPr>
                <w:b/>
                <w:bCs/>
                <w:color w:val="000000"/>
                <w:sz w:val="20"/>
                <w:szCs w:val="20"/>
              </w:rPr>
              <w:t>6. Donacije</w:t>
            </w:r>
          </w:p>
        </w:tc>
        <w:tc>
          <w:tcPr>
            <w:tcW w:w="1708" w:type="dxa"/>
            <w:tcBorders>
              <w:top w:val="nil"/>
              <w:left w:val="nil"/>
              <w:bottom w:val="nil"/>
              <w:right w:val="nil"/>
            </w:tcBorders>
            <w:shd w:val="clear" w:color="auto" w:fill="auto"/>
            <w:noWrap/>
            <w:vAlign w:val="bottom"/>
            <w:hideMark/>
          </w:tcPr>
          <w:p w14:paraId="36BBFDDD" w14:textId="77777777" w:rsidR="00AC79AD" w:rsidRDefault="00AC79AD">
            <w:pPr>
              <w:jc w:val="right"/>
              <w:rPr>
                <w:b/>
                <w:bCs/>
                <w:sz w:val="20"/>
                <w:szCs w:val="20"/>
              </w:rPr>
            </w:pPr>
            <w:r>
              <w:rPr>
                <w:b/>
                <w:bCs/>
                <w:sz w:val="20"/>
                <w:szCs w:val="20"/>
              </w:rPr>
              <w:t>222.753,90</w:t>
            </w:r>
          </w:p>
        </w:tc>
        <w:tc>
          <w:tcPr>
            <w:tcW w:w="1660" w:type="dxa"/>
            <w:tcBorders>
              <w:top w:val="nil"/>
              <w:left w:val="nil"/>
              <w:bottom w:val="nil"/>
              <w:right w:val="nil"/>
            </w:tcBorders>
            <w:shd w:val="clear" w:color="auto" w:fill="auto"/>
            <w:noWrap/>
            <w:vAlign w:val="bottom"/>
            <w:hideMark/>
          </w:tcPr>
          <w:p w14:paraId="6506E70B" w14:textId="77777777" w:rsidR="00AC79AD" w:rsidRDefault="00AC79AD">
            <w:pPr>
              <w:jc w:val="right"/>
              <w:rPr>
                <w:b/>
                <w:bCs/>
                <w:sz w:val="20"/>
                <w:szCs w:val="20"/>
              </w:rPr>
            </w:pPr>
            <w:r>
              <w:rPr>
                <w:b/>
                <w:bCs/>
                <w:sz w:val="20"/>
                <w:szCs w:val="20"/>
              </w:rPr>
              <w:t>37.784,36</w:t>
            </w:r>
          </w:p>
        </w:tc>
        <w:tc>
          <w:tcPr>
            <w:tcW w:w="1720" w:type="dxa"/>
            <w:tcBorders>
              <w:top w:val="nil"/>
              <w:left w:val="nil"/>
              <w:bottom w:val="nil"/>
              <w:right w:val="nil"/>
            </w:tcBorders>
            <w:shd w:val="clear" w:color="auto" w:fill="auto"/>
            <w:noWrap/>
            <w:vAlign w:val="bottom"/>
            <w:hideMark/>
          </w:tcPr>
          <w:p w14:paraId="54DA7014" w14:textId="77777777" w:rsidR="00AC79AD" w:rsidRDefault="00AC79AD">
            <w:pPr>
              <w:jc w:val="right"/>
              <w:rPr>
                <w:b/>
                <w:bCs/>
                <w:sz w:val="20"/>
                <w:szCs w:val="20"/>
              </w:rPr>
            </w:pPr>
            <w:r>
              <w:rPr>
                <w:b/>
                <w:bCs/>
                <w:sz w:val="20"/>
                <w:szCs w:val="20"/>
              </w:rPr>
              <w:t>71.467,40</w:t>
            </w:r>
          </w:p>
        </w:tc>
        <w:tc>
          <w:tcPr>
            <w:tcW w:w="1120" w:type="dxa"/>
            <w:tcBorders>
              <w:top w:val="nil"/>
              <w:left w:val="nil"/>
              <w:bottom w:val="nil"/>
              <w:right w:val="nil"/>
            </w:tcBorders>
            <w:shd w:val="clear" w:color="auto" w:fill="auto"/>
            <w:noWrap/>
            <w:vAlign w:val="bottom"/>
            <w:hideMark/>
          </w:tcPr>
          <w:p w14:paraId="5B0A9C5C" w14:textId="77777777" w:rsidR="00AC79AD" w:rsidRDefault="00AC79AD">
            <w:pPr>
              <w:jc w:val="right"/>
              <w:rPr>
                <w:b/>
                <w:bCs/>
                <w:sz w:val="20"/>
                <w:szCs w:val="20"/>
              </w:rPr>
            </w:pPr>
            <w:r>
              <w:rPr>
                <w:b/>
                <w:bCs/>
                <w:sz w:val="20"/>
                <w:szCs w:val="20"/>
              </w:rPr>
              <w:t>32,08</w:t>
            </w:r>
          </w:p>
        </w:tc>
        <w:tc>
          <w:tcPr>
            <w:tcW w:w="1120" w:type="dxa"/>
            <w:tcBorders>
              <w:top w:val="nil"/>
              <w:left w:val="nil"/>
              <w:bottom w:val="nil"/>
              <w:right w:val="nil"/>
            </w:tcBorders>
            <w:shd w:val="clear" w:color="auto" w:fill="auto"/>
            <w:noWrap/>
            <w:vAlign w:val="bottom"/>
            <w:hideMark/>
          </w:tcPr>
          <w:p w14:paraId="411D613E" w14:textId="77777777" w:rsidR="00AC79AD" w:rsidRDefault="00AC79AD">
            <w:pPr>
              <w:jc w:val="right"/>
              <w:rPr>
                <w:b/>
                <w:bCs/>
                <w:sz w:val="20"/>
                <w:szCs w:val="20"/>
              </w:rPr>
            </w:pPr>
            <w:r>
              <w:rPr>
                <w:b/>
                <w:bCs/>
                <w:sz w:val="20"/>
                <w:szCs w:val="20"/>
              </w:rPr>
              <w:t>189,15</w:t>
            </w:r>
          </w:p>
        </w:tc>
      </w:tr>
      <w:tr w:rsidR="00AC79AD" w14:paraId="1EBF74EA" w14:textId="77777777" w:rsidTr="00AC79AD">
        <w:trPr>
          <w:trHeight w:val="300"/>
        </w:trPr>
        <w:tc>
          <w:tcPr>
            <w:tcW w:w="7032" w:type="dxa"/>
            <w:tcBorders>
              <w:top w:val="nil"/>
              <w:left w:val="nil"/>
              <w:bottom w:val="nil"/>
              <w:right w:val="nil"/>
            </w:tcBorders>
            <w:shd w:val="clear" w:color="auto" w:fill="auto"/>
            <w:noWrap/>
            <w:vAlign w:val="center"/>
            <w:hideMark/>
          </w:tcPr>
          <w:p w14:paraId="6D5C853C" w14:textId="77777777" w:rsidR="00AC79AD" w:rsidRDefault="00AC79AD">
            <w:pPr>
              <w:rPr>
                <w:color w:val="000000"/>
                <w:sz w:val="20"/>
                <w:szCs w:val="20"/>
              </w:rPr>
            </w:pPr>
            <w:r>
              <w:rPr>
                <w:color w:val="000000"/>
                <w:sz w:val="20"/>
                <w:szCs w:val="20"/>
              </w:rPr>
              <w:t>6.1. Donacije</w:t>
            </w:r>
          </w:p>
        </w:tc>
        <w:tc>
          <w:tcPr>
            <w:tcW w:w="1708" w:type="dxa"/>
            <w:tcBorders>
              <w:top w:val="nil"/>
              <w:left w:val="nil"/>
              <w:bottom w:val="nil"/>
              <w:right w:val="nil"/>
            </w:tcBorders>
            <w:shd w:val="clear" w:color="auto" w:fill="auto"/>
            <w:noWrap/>
            <w:vAlign w:val="bottom"/>
            <w:hideMark/>
          </w:tcPr>
          <w:p w14:paraId="11705093" w14:textId="77777777" w:rsidR="00AC79AD" w:rsidRDefault="00AC79AD">
            <w:pPr>
              <w:jc w:val="right"/>
              <w:rPr>
                <w:sz w:val="20"/>
                <w:szCs w:val="20"/>
              </w:rPr>
            </w:pPr>
            <w:r>
              <w:rPr>
                <w:sz w:val="20"/>
                <w:szCs w:val="20"/>
              </w:rPr>
              <w:t>189.644,81</w:t>
            </w:r>
          </w:p>
        </w:tc>
        <w:tc>
          <w:tcPr>
            <w:tcW w:w="1660" w:type="dxa"/>
            <w:tcBorders>
              <w:top w:val="nil"/>
              <w:left w:val="nil"/>
              <w:bottom w:val="nil"/>
              <w:right w:val="nil"/>
            </w:tcBorders>
            <w:shd w:val="clear" w:color="auto" w:fill="auto"/>
            <w:noWrap/>
            <w:vAlign w:val="bottom"/>
            <w:hideMark/>
          </w:tcPr>
          <w:p w14:paraId="1CCFE1F5" w14:textId="77777777" w:rsidR="00AC79AD" w:rsidRDefault="00AC79AD">
            <w:pPr>
              <w:jc w:val="right"/>
              <w:rPr>
                <w:sz w:val="20"/>
                <w:szCs w:val="20"/>
              </w:rPr>
            </w:pPr>
            <w:r>
              <w:rPr>
                <w:sz w:val="20"/>
                <w:szCs w:val="20"/>
              </w:rPr>
              <w:t>0,00</w:t>
            </w:r>
          </w:p>
        </w:tc>
        <w:tc>
          <w:tcPr>
            <w:tcW w:w="1720" w:type="dxa"/>
            <w:tcBorders>
              <w:top w:val="nil"/>
              <w:left w:val="nil"/>
              <w:bottom w:val="nil"/>
              <w:right w:val="nil"/>
            </w:tcBorders>
            <w:shd w:val="clear" w:color="auto" w:fill="auto"/>
            <w:noWrap/>
            <w:vAlign w:val="bottom"/>
            <w:hideMark/>
          </w:tcPr>
          <w:p w14:paraId="6E1C4393" w14:textId="77777777" w:rsidR="00AC79AD" w:rsidRDefault="00AC79AD">
            <w:pPr>
              <w:jc w:val="right"/>
              <w:rPr>
                <w:sz w:val="20"/>
                <w:szCs w:val="20"/>
              </w:rPr>
            </w:pPr>
            <w:r>
              <w:rPr>
                <w:sz w:val="20"/>
                <w:szCs w:val="20"/>
              </w:rPr>
              <w:t>0,00</w:t>
            </w:r>
          </w:p>
        </w:tc>
        <w:tc>
          <w:tcPr>
            <w:tcW w:w="1120" w:type="dxa"/>
            <w:tcBorders>
              <w:top w:val="nil"/>
              <w:left w:val="nil"/>
              <w:bottom w:val="nil"/>
              <w:right w:val="nil"/>
            </w:tcBorders>
            <w:shd w:val="clear" w:color="auto" w:fill="auto"/>
            <w:noWrap/>
            <w:vAlign w:val="bottom"/>
            <w:hideMark/>
          </w:tcPr>
          <w:p w14:paraId="4D595ADC" w14:textId="77777777" w:rsidR="00AC79AD" w:rsidRDefault="00AC79AD">
            <w:pPr>
              <w:jc w:val="right"/>
              <w:rPr>
                <w:sz w:val="20"/>
                <w:szCs w:val="20"/>
              </w:rPr>
            </w:pPr>
            <w:r>
              <w:rPr>
                <w:sz w:val="20"/>
                <w:szCs w:val="20"/>
              </w:rPr>
              <w:t>0,00</w:t>
            </w:r>
          </w:p>
        </w:tc>
        <w:tc>
          <w:tcPr>
            <w:tcW w:w="1120" w:type="dxa"/>
            <w:tcBorders>
              <w:top w:val="nil"/>
              <w:left w:val="nil"/>
              <w:bottom w:val="nil"/>
              <w:right w:val="nil"/>
            </w:tcBorders>
            <w:shd w:val="clear" w:color="auto" w:fill="auto"/>
            <w:noWrap/>
            <w:vAlign w:val="bottom"/>
            <w:hideMark/>
          </w:tcPr>
          <w:p w14:paraId="77FF7885" w14:textId="77777777" w:rsidR="00AC79AD" w:rsidRDefault="00AC79AD">
            <w:pPr>
              <w:jc w:val="right"/>
              <w:rPr>
                <w:sz w:val="20"/>
                <w:szCs w:val="20"/>
              </w:rPr>
            </w:pPr>
            <w:r>
              <w:rPr>
                <w:sz w:val="20"/>
                <w:szCs w:val="20"/>
              </w:rPr>
              <w:t>0,00</w:t>
            </w:r>
          </w:p>
        </w:tc>
      </w:tr>
      <w:tr w:rsidR="00AC79AD" w14:paraId="22458464" w14:textId="77777777" w:rsidTr="00AC79AD">
        <w:trPr>
          <w:trHeight w:val="300"/>
        </w:trPr>
        <w:tc>
          <w:tcPr>
            <w:tcW w:w="7032" w:type="dxa"/>
            <w:tcBorders>
              <w:top w:val="nil"/>
              <w:left w:val="nil"/>
              <w:bottom w:val="nil"/>
              <w:right w:val="nil"/>
            </w:tcBorders>
            <w:shd w:val="clear" w:color="auto" w:fill="auto"/>
            <w:noWrap/>
            <w:vAlign w:val="center"/>
            <w:hideMark/>
          </w:tcPr>
          <w:p w14:paraId="31F4EC62" w14:textId="77777777" w:rsidR="00AC79AD" w:rsidRDefault="00AC79AD">
            <w:pPr>
              <w:rPr>
                <w:color w:val="000000"/>
                <w:sz w:val="20"/>
                <w:szCs w:val="20"/>
              </w:rPr>
            </w:pPr>
            <w:r>
              <w:rPr>
                <w:color w:val="000000"/>
                <w:sz w:val="20"/>
                <w:szCs w:val="20"/>
              </w:rPr>
              <w:t>6.2. Donacije - proračunski korisnici (Grad)</w:t>
            </w:r>
          </w:p>
        </w:tc>
        <w:tc>
          <w:tcPr>
            <w:tcW w:w="1708" w:type="dxa"/>
            <w:tcBorders>
              <w:top w:val="nil"/>
              <w:left w:val="nil"/>
              <w:bottom w:val="nil"/>
              <w:right w:val="nil"/>
            </w:tcBorders>
            <w:shd w:val="clear" w:color="auto" w:fill="auto"/>
            <w:noWrap/>
            <w:vAlign w:val="bottom"/>
            <w:hideMark/>
          </w:tcPr>
          <w:p w14:paraId="1C1D27FF" w14:textId="77777777" w:rsidR="00AC79AD" w:rsidRDefault="00AC79AD">
            <w:pPr>
              <w:jc w:val="right"/>
              <w:rPr>
                <w:sz w:val="20"/>
                <w:szCs w:val="20"/>
              </w:rPr>
            </w:pPr>
            <w:r>
              <w:rPr>
                <w:sz w:val="20"/>
                <w:szCs w:val="20"/>
              </w:rPr>
              <w:t>0,00</w:t>
            </w:r>
          </w:p>
        </w:tc>
        <w:tc>
          <w:tcPr>
            <w:tcW w:w="1660" w:type="dxa"/>
            <w:tcBorders>
              <w:top w:val="nil"/>
              <w:left w:val="nil"/>
              <w:bottom w:val="nil"/>
              <w:right w:val="nil"/>
            </w:tcBorders>
            <w:shd w:val="clear" w:color="auto" w:fill="auto"/>
            <w:noWrap/>
            <w:vAlign w:val="bottom"/>
            <w:hideMark/>
          </w:tcPr>
          <w:p w14:paraId="2594248D" w14:textId="77777777" w:rsidR="00AC79AD" w:rsidRDefault="00AC79AD">
            <w:pPr>
              <w:jc w:val="right"/>
              <w:rPr>
                <w:sz w:val="20"/>
                <w:szCs w:val="20"/>
              </w:rPr>
            </w:pPr>
            <w:r>
              <w:rPr>
                <w:sz w:val="20"/>
                <w:szCs w:val="20"/>
              </w:rPr>
              <w:t>2.369,65</w:t>
            </w:r>
          </w:p>
        </w:tc>
        <w:tc>
          <w:tcPr>
            <w:tcW w:w="1720" w:type="dxa"/>
            <w:tcBorders>
              <w:top w:val="nil"/>
              <w:left w:val="nil"/>
              <w:bottom w:val="nil"/>
              <w:right w:val="nil"/>
            </w:tcBorders>
            <w:shd w:val="clear" w:color="auto" w:fill="auto"/>
            <w:noWrap/>
            <w:vAlign w:val="bottom"/>
            <w:hideMark/>
          </w:tcPr>
          <w:p w14:paraId="3F4AF091" w14:textId="77777777" w:rsidR="00AC79AD" w:rsidRDefault="00AC79AD">
            <w:pPr>
              <w:jc w:val="right"/>
              <w:rPr>
                <w:sz w:val="20"/>
                <w:szCs w:val="20"/>
              </w:rPr>
            </w:pPr>
            <w:r>
              <w:rPr>
                <w:sz w:val="20"/>
                <w:szCs w:val="20"/>
              </w:rPr>
              <w:t>0,00</w:t>
            </w:r>
          </w:p>
        </w:tc>
        <w:tc>
          <w:tcPr>
            <w:tcW w:w="1120" w:type="dxa"/>
            <w:tcBorders>
              <w:top w:val="nil"/>
              <w:left w:val="nil"/>
              <w:bottom w:val="nil"/>
              <w:right w:val="nil"/>
            </w:tcBorders>
            <w:shd w:val="clear" w:color="auto" w:fill="auto"/>
            <w:noWrap/>
            <w:vAlign w:val="bottom"/>
            <w:hideMark/>
          </w:tcPr>
          <w:p w14:paraId="38FBBF1F" w14:textId="77777777" w:rsidR="00AC79AD" w:rsidRDefault="00AC79AD">
            <w:pPr>
              <w:jc w:val="right"/>
              <w:rPr>
                <w:sz w:val="20"/>
                <w:szCs w:val="20"/>
              </w:rPr>
            </w:pPr>
            <w:r>
              <w:rPr>
                <w:sz w:val="20"/>
                <w:szCs w:val="20"/>
              </w:rPr>
              <w:t>0,00</w:t>
            </w:r>
          </w:p>
        </w:tc>
        <w:tc>
          <w:tcPr>
            <w:tcW w:w="1120" w:type="dxa"/>
            <w:tcBorders>
              <w:top w:val="nil"/>
              <w:left w:val="nil"/>
              <w:bottom w:val="nil"/>
              <w:right w:val="nil"/>
            </w:tcBorders>
            <w:shd w:val="clear" w:color="auto" w:fill="auto"/>
            <w:noWrap/>
            <w:vAlign w:val="bottom"/>
            <w:hideMark/>
          </w:tcPr>
          <w:p w14:paraId="2CDFD6F0" w14:textId="77777777" w:rsidR="00AC79AD" w:rsidRDefault="00AC79AD">
            <w:pPr>
              <w:jc w:val="right"/>
              <w:rPr>
                <w:sz w:val="20"/>
                <w:szCs w:val="20"/>
              </w:rPr>
            </w:pPr>
            <w:r>
              <w:rPr>
                <w:sz w:val="20"/>
                <w:szCs w:val="20"/>
              </w:rPr>
              <w:t>0,00</w:t>
            </w:r>
          </w:p>
        </w:tc>
      </w:tr>
      <w:tr w:rsidR="00AC79AD" w14:paraId="209626E7" w14:textId="77777777" w:rsidTr="00AC79AD">
        <w:trPr>
          <w:trHeight w:val="300"/>
        </w:trPr>
        <w:tc>
          <w:tcPr>
            <w:tcW w:w="7032" w:type="dxa"/>
            <w:tcBorders>
              <w:top w:val="nil"/>
              <w:left w:val="nil"/>
              <w:bottom w:val="nil"/>
              <w:right w:val="nil"/>
            </w:tcBorders>
            <w:shd w:val="clear" w:color="auto" w:fill="auto"/>
            <w:noWrap/>
            <w:vAlign w:val="center"/>
            <w:hideMark/>
          </w:tcPr>
          <w:p w14:paraId="5FF4A394" w14:textId="77777777" w:rsidR="00AC79AD" w:rsidRDefault="00AC79AD">
            <w:pPr>
              <w:rPr>
                <w:color w:val="000000"/>
                <w:sz w:val="20"/>
                <w:szCs w:val="20"/>
              </w:rPr>
            </w:pPr>
            <w:r>
              <w:rPr>
                <w:color w:val="000000"/>
                <w:sz w:val="20"/>
                <w:szCs w:val="20"/>
              </w:rPr>
              <w:t>6.3. Donacije - proračunski korisnici (direktno)</w:t>
            </w:r>
          </w:p>
        </w:tc>
        <w:tc>
          <w:tcPr>
            <w:tcW w:w="1708" w:type="dxa"/>
            <w:tcBorders>
              <w:top w:val="nil"/>
              <w:left w:val="nil"/>
              <w:bottom w:val="nil"/>
              <w:right w:val="nil"/>
            </w:tcBorders>
            <w:shd w:val="clear" w:color="auto" w:fill="auto"/>
            <w:noWrap/>
            <w:vAlign w:val="bottom"/>
            <w:hideMark/>
          </w:tcPr>
          <w:p w14:paraId="473447E5" w14:textId="77777777" w:rsidR="00AC79AD" w:rsidRDefault="00AC79AD">
            <w:pPr>
              <w:jc w:val="right"/>
              <w:rPr>
                <w:sz w:val="20"/>
                <w:szCs w:val="20"/>
              </w:rPr>
            </w:pPr>
            <w:r>
              <w:rPr>
                <w:sz w:val="20"/>
                <w:szCs w:val="20"/>
              </w:rPr>
              <w:t>33.109,09</w:t>
            </w:r>
          </w:p>
        </w:tc>
        <w:tc>
          <w:tcPr>
            <w:tcW w:w="1660" w:type="dxa"/>
            <w:tcBorders>
              <w:top w:val="nil"/>
              <w:left w:val="nil"/>
              <w:bottom w:val="nil"/>
              <w:right w:val="nil"/>
            </w:tcBorders>
            <w:shd w:val="clear" w:color="auto" w:fill="auto"/>
            <w:noWrap/>
            <w:vAlign w:val="bottom"/>
            <w:hideMark/>
          </w:tcPr>
          <w:p w14:paraId="3BB701F2" w14:textId="77777777" w:rsidR="00AC79AD" w:rsidRDefault="00AC79AD">
            <w:pPr>
              <w:jc w:val="right"/>
              <w:rPr>
                <w:sz w:val="20"/>
                <w:szCs w:val="20"/>
              </w:rPr>
            </w:pPr>
            <w:r>
              <w:rPr>
                <w:sz w:val="20"/>
                <w:szCs w:val="20"/>
              </w:rPr>
              <w:t>35.414,71</w:t>
            </w:r>
          </w:p>
        </w:tc>
        <w:tc>
          <w:tcPr>
            <w:tcW w:w="1720" w:type="dxa"/>
            <w:tcBorders>
              <w:top w:val="nil"/>
              <w:left w:val="nil"/>
              <w:bottom w:val="nil"/>
              <w:right w:val="nil"/>
            </w:tcBorders>
            <w:shd w:val="clear" w:color="auto" w:fill="auto"/>
            <w:noWrap/>
            <w:vAlign w:val="bottom"/>
            <w:hideMark/>
          </w:tcPr>
          <w:p w14:paraId="76D26E03" w14:textId="77777777" w:rsidR="00AC79AD" w:rsidRDefault="00AC79AD">
            <w:pPr>
              <w:jc w:val="right"/>
              <w:rPr>
                <w:sz w:val="20"/>
                <w:szCs w:val="20"/>
              </w:rPr>
            </w:pPr>
            <w:r>
              <w:rPr>
                <w:sz w:val="20"/>
                <w:szCs w:val="20"/>
              </w:rPr>
              <w:t>71.467,40</w:t>
            </w:r>
          </w:p>
        </w:tc>
        <w:tc>
          <w:tcPr>
            <w:tcW w:w="1120" w:type="dxa"/>
            <w:tcBorders>
              <w:top w:val="nil"/>
              <w:left w:val="nil"/>
              <w:bottom w:val="nil"/>
              <w:right w:val="nil"/>
            </w:tcBorders>
            <w:shd w:val="clear" w:color="auto" w:fill="auto"/>
            <w:noWrap/>
            <w:vAlign w:val="bottom"/>
            <w:hideMark/>
          </w:tcPr>
          <w:p w14:paraId="01D365C6" w14:textId="77777777" w:rsidR="00AC79AD" w:rsidRDefault="00AC79AD">
            <w:pPr>
              <w:jc w:val="right"/>
              <w:rPr>
                <w:sz w:val="20"/>
                <w:szCs w:val="20"/>
              </w:rPr>
            </w:pPr>
            <w:r>
              <w:rPr>
                <w:sz w:val="20"/>
                <w:szCs w:val="20"/>
              </w:rPr>
              <w:t>215,85</w:t>
            </w:r>
          </w:p>
        </w:tc>
        <w:tc>
          <w:tcPr>
            <w:tcW w:w="1120" w:type="dxa"/>
            <w:tcBorders>
              <w:top w:val="nil"/>
              <w:left w:val="nil"/>
              <w:bottom w:val="nil"/>
              <w:right w:val="nil"/>
            </w:tcBorders>
            <w:shd w:val="clear" w:color="auto" w:fill="auto"/>
            <w:noWrap/>
            <w:vAlign w:val="bottom"/>
            <w:hideMark/>
          </w:tcPr>
          <w:p w14:paraId="25F41A00" w14:textId="77777777" w:rsidR="00AC79AD" w:rsidRDefault="00AC79AD">
            <w:pPr>
              <w:jc w:val="right"/>
              <w:rPr>
                <w:sz w:val="20"/>
                <w:szCs w:val="20"/>
              </w:rPr>
            </w:pPr>
            <w:r>
              <w:rPr>
                <w:sz w:val="20"/>
                <w:szCs w:val="20"/>
              </w:rPr>
              <w:t>201,80</w:t>
            </w:r>
          </w:p>
        </w:tc>
      </w:tr>
      <w:tr w:rsidR="00AC79AD" w14:paraId="4EDE2B5F" w14:textId="77777777" w:rsidTr="00AC79AD">
        <w:trPr>
          <w:trHeight w:val="300"/>
        </w:trPr>
        <w:tc>
          <w:tcPr>
            <w:tcW w:w="7032" w:type="dxa"/>
            <w:tcBorders>
              <w:top w:val="nil"/>
              <w:left w:val="nil"/>
              <w:bottom w:val="nil"/>
              <w:right w:val="nil"/>
            </w:tcBorders>
            <w:shd w:val="clear" w:color="auto" w:fill="auto"/>
            <w:noWrap/>
            <w:vAlign w:val="center"/>
            <w:hideMark/>
          </w:tcPr>
          <w:p w14:paraId="3B5F3F8A" w14:textId="7B10A5BF" w:rsidR="00AC79AD" w:rsidRDefault="00AC79AD">
            <w:pPr>
              <w:rPr>
                <w:b/>
                <w:bCs/>
                <w:color w:val="000000"/>
                <w:sz w:val="20"/>
                <w:szCs w:val="20"/>
              </w:rPr>
            </w:pPr>
            <w:r>
              <w:rPr>
                <w:b/>
                <w:bCs/>
                <w:color w:val="000000"/>
                <w:sz w:val="20"/>
                <w:szCs w:val="20"/>
              </w:rPr>
              <w:t>7. Prihodi od nefin</w:t>
            </w:r>
            <w:r w:rsidR="009F61F7">
              <w:rPr>
                <w:b/>
                <w:bCs/>
                <w:color w:val="000000"/>
                <w:sz w:val="20"/>
                <w:szCs w:val="20"/>
              </w:rPr>
              <w:t xml:space="preserve">ancijske </w:t>
            </w:r>
            <w:r>
              <w:rPr>
                <w:b/>
                <w:bCs/>
                <w:color w:val="000000"/>
                <w:sz w:val="20"/>
                <w:szCs w:val="20"/>
              </w:rPr>
              <w:t>imovine i nadoknade šteta od osig</w:t>
            </w:r>
            <w:r w:rsidR="009F61F7">
              <w:rPr>
                <w:b/>
                <w:bCs/>
                <w:color w:val="000000"/>
                <w:sz w:val="20"/>
                <w:szCs w:val="20"/>
              </w:rPr>
              <w:t>uranja</w:t>
            </w:r>
          </w:p>
        </w:tc>
        <w:tc>
          <w:tcPr>
            <w:tcW w:w="1708" w:type="dxa"/>
            <w:tcBorders>
              <w:top w:val="nil"/>
              <w:left w:val="nil"/>
              <w:bottom w:val="nil"/>
              <w:right w:val="nil"/>
            </w:tcBorders>
            <w:shd w:val="clear" w:color="auto" w:fill="auto"/>
            <w:noWrap/>
            <w:vAlign w:val="bottom"/>
            <w:hideMark/>
          </w:tcPr>
          <w:p w14:paraId="50155FE2" w14:textId="77777777" w:rsidR="00AC79AD" w:rsidRDefault="00AC79AD">
            <w:pPr>
              <w:jc w:val="right"/>
              <w:rPr>
                <w:b/>
                <w:bCs/>
                <w:sz w:val="20"/>
                <w:szCs w:val="20"/>
              </w:rPr>
            </w:pPr>
            <w:r>
              <w:rPr>
                <w:b/>
                <w:bCs/>
                <w:sz w:val="20"/>
                <w:szCs w:val="20"/>
              </w:rPr>
              <w:t>4.134.717,22</w:t>
            </w:r>
          </w:p>
        </w:tc>
        <w:tc>
          <w:tcPr>
            <w:tcW w:w="1660" w:type="dxa"/>
            <w:tcBorders>
              <w:top w:val="nil"/>
              <w:left w:val="nil"/>
              <w:bottom w:val="nil"/>
              <w:right w:val="nil"/>
            </w:tcBorders>
            <w:shd w:val="clear" w:color="auto" w:fill="auto"/>
            <w:noWrap/>
            <w:vAlign w:val="bottom"/>
            <w:hideMark/>
          </w:tcPr>
          <w:p w14:paraId="5F0C3744" w14:textId="77777777" w:rsidR="00AC79AD" w:rsidRDefault="00AC79AD">
            <w:pPr>
              <w:jc w:val="right"/>
              <w:rPr>
                <w:b/>
                <w:bCs/>
                <w:sz w:val="20"/>
                <w:szCs w:val="20"/>
              </w:rPr>
            </w:pPr>
            <w:r>
              <w:rPr>
                <w:b/>
                <w:bCs/>
                <w:sz w:val="20"/>
                <w:szCs w:val="20"/>
              </w:rPr>
              <w:t>5.680.000,00</w:t>
            </w:r>
          </w:p>
        </w:tc>
        <w:tc>
          <w:tcPr>
            <w:tcW w:w="1720" w:type="dxa"/>
            <w:tcBorders>
              <w:top w:val="nil"/>
              <w:left w:val="nil"/>
              <w:bottom w:val="nil"/>
              <w:right w:val="nil"/>
            </w:tcBorders>
            <w:shd w:val="clear" w:color="auto" w:fill="auto"/>
            <w:noWrap/>
            <w:vAlign w:val="bottom"/>
            <w:hideMark/>
          </w:tcPr>
          <w:p w14:paraId="72B1278F" w14:textId="77777777" w:rsidR="00AC79AD" w:rsidRDefault="00AC79AD">
            <w:pPr>
              <w:jc w:val="right"/>
              <w:rPr>
                <w:b/>
                <w:bCs/>
                <w:sz w:val="20"/>
                <w:szCs w:val="20"/>
              </w:rPr>
            </w:pPr>
            <w:r>
              <w:rPr>
                <w:b/>
                <w:bCs/>
                <w:sz w:val="20"/>
                <w:szCs w:val="20"/>
              </w:rPr>
              <w:t>3.503.125,44</w:t>
            </w:r>
          </w:p>
        </w:tc>
        <w:tc>
          <w:tcPr>
            <w:tcW w:w="1120" w:type="dxa"/>
            <w:tcBorders>
              <w:top w:val="nil"/>
              <w:left w:val="nil"/>
              <w:bottom w:val="nil"/>
              <w:right w:val="nil"/>
            </w:tcBorders>
            <w:shd w:val="clear" w:color="auto" w:fill="auto"/>
            <w:noWrap/>
            <w:vAlign w:val="bottom"/>
            <w:hideMark/>
          </w:tcPr>
          <w:p w14:paraId="11477C75" w14:textId="77777777" w:rsidR="00AC79AD" w:rsidRDefault="00AC79AD">
            <w:pPr>
              <w:jc w:val="right"/>
              <w:rPr>
                <w:b/>
                <w:bCs/>
                <w:sz w:val="20"/>
                <w:szCs w:val="20"/>
              </w:rPr>
            </w:pPr>
            <w:r>
              <w:rPr>
                <w:b/>
                <w:bCs/>
                <w:sz w:val="20"/>
                <w:szCs w:val="20"/>
              </w:rPr>
              <w:t>84,72</w:t>
            </w:r>
          </w:p>
        </w:tc>
        <w:tc>
          <w:tcPr>
            <w:tcW w:w="1120" w:type="dxa"/>
            <w:tcBorders>
              <w:top w:val="nil"/>
              <w:left w:val="nil"/>
              <w:bottom w:val="nil"/>
              <w:right w:val="nil"/>
            </w:tcBorders>
            <w:shd w:val="clear" w:color="auto" w:fill="auto"/>
            <w:noWrap/>
            <w:vAlign w:val="bottom"/>
            <w:hideMark/>
          </w:tcPr>
          <w:p w14:paraId="7E7E505E" w14:textId="77777777" w:rsidR="00AC79AD" w:rsidRDefault="00AC79AD">
            <w:pPr>
              <w:jc w:val="right"/>
              <w:rPr>
                <w:b/>
                <w:bCs/>
                <w:sz w:val="20"/>
                <w:szCs w:val="20"/>
              </w:rPr>
            </w:pPr>
            <w:r>
              <w:rPr>
                <w:b/>
                <w:bCs/>
                <w:sz w:val="20"/>
                <w:szCs w:val="20"/>
              </w:rPr>
              <w:t>61,67</w:t>
            </w:r>
          </w:p>
        </w:tc>
      </w:tr>
      <w:tr w:rsidR="00AC79AD" w14:paraId="4712461A" w14:textId="77777777" w:rsidTr="00AC79AD">
        <w:trPr>
          <w:trHeight w:val="300"/>
        </w:trPr>
        <w:tc>
          <w:tcPr>
            <w:tcW w:w="7032" w:type="dxa"/>
            <w:tcBorders>
              <w:top w:val="nil"/>
              <w:left w:val="nil"/>
              <w:bottom w:val="nil"/>
              <w:right w:val="nil"/>
            </w:tcBorders>
            <w:shd w:val="clear" w:color="auto" w:fill="auto"/>
            <w:noWrap/>
            <w:vAlign w:val="center"/>
            <w:hideMark/>
          </w:tcPr>
          <w:p w14:paraId="3C32B3DA" w14:textId="75C17B08" w:rsidR="00AC79AD" w:rsidRDefault="00AC79AD">
            <w:pPr>
              <w:rPr>
                <w:color w:val="000000"/>
                <w:sz w:val="20"/>
                <w:szCs w:val="20"/>
              </w:rPr>
            </w:pPr>
            <w:r>
              <w:rPr>
                <w:color w:val="000000"/>
                <w:sz w:val="20"/>
                <w:szCs w:val="20"/>
              </w:rPr>
              <w:t>7.1. Prihodi od nefin</w:t>
            </w:r>
            <w:r w:rsidR="009F61F7">
              <w:rPr>
                <w:color w:val="000000"/>
                <w:sz w:val="20"/>
                <w:szCs w:val="20"/>
              </w:rPr>
              <w:t xml:space="preserve">ancijske </w:t>
            </w:r>
            <w:r>
              <w:rPr>
                <w:color w:val="000000"/>
                <w:sz w:val="20"/>
                <w:szCs w:val="20"/>
              </w:rPr>
              <w:t>imovine i nadoknade šteta od osig</w:t>
            </w:r>
            <w:r w:rsidR="009F61F7">
              <w:rPr>
                <w:color w:val="000000"/>
                <w:sz w:val="20"/>
                <w:szCs w:val="20"/>
              </w:rPr>
              <w:t>uranja</w:t>
            </w:r>
          </w:p>
        </w:tc>
        <w:tc>
          <w:tcPr>
            <w:tcW w:w="1708" w:type="dxa"/>
            <w:tcBorders>
              <w:top w:val="nil"/>
              <w:left w:val="nil"/>
              <w:bottom w:val="nil"/>
              <w:right w:val="nil"/>
            </w:tcBorders>
            <w:shd w:val="clear" w:color="auto" w:fill="auto"/>
            <w:noWrap/>
            <w:vAlign w:val="bottom"/>
            <w:hideMark/>
          </w:tcPr>
          <w:p w14:paraId="002A91F5" w14:textId="77777777" w:rsidR="00AC79AD" w:rsidRDefault="00AC79AD">
            <w:pPr>
              <w:jc w:val="right"/>
              <w:rPr>
                <w:sz w:val="20"/>
                <w:szCs w:val="20"/>
              </w:rPr>
            </w:pPr>
            <w:r>
              <w:rPr>
                <w:sz w:val="20"/>
                <w:szCs w:val="20"/>
              </w:rPr>
              <w:t>4.134.717,22</w:t>
            </w:r>
          </w:p>
        </w:tc>
        <w:tc>
          <w:tcPr>
            <w:tcW w:w="1660" w:type="dxa"/>
            <w:tcBorders>
              <w:top w:val="nil"/>
              <w:left w:val="nil"/>
              <w:bottom w:val="nil"/>
              <w:right w:val="nil"/>
            </w:tcBorders>
            <w:shd w:val="clear" w:color="auto" w:fill="auto"/>
            <w:noWrap/>
            <w:vAlign w:val="bottom"/>
            <w:hideMark/>
          </w:tcPr>
          <w:p w14:paraId="7C2E1CB9" w14:textId="77777777" w:rsidR="00AC79AD" w:rsidRDefault="00AC79AD">
            <w:pPr>
              <w:jc w:val="right"/>
              <w:rPr>
                <w:sz w:val="20"/>
                <w:szCs w:val="20"/>
              </w:rPr>
            </w:pPr>
            <w:r>
              <w:rPr>
                <w:sz w:val="20"/>
                <w:szCs w:val="20"/>
              </w:rPr>
              <w:t>5.680.000,00</w:t>
            </w:r>
          </w:p>
        </w:tc>
        <w:tc>
          <w:tcPr>
            <w:tcW w:w="1720" w:type="dxa"/>
            <w:tcBorders>
              <w:top w:val="nil"/>
              <w:left w:val="nil"/>
              <w:bottom w:val="nil"/>
              <w:right w:val="nil"/>
            </w:tcBorders>
            <w:shd w:val="clear" w:color="auto" w:fill="auto"/>
            <w:noWrap/>
            <w:vAlign w:val="bottom"/>
            <w:hideMark/>
          </w:tcPr>
          <w:p w14:paraId="1010D24F" w14:textId="77777777" w:rsidR="00AC79AD" w:rsidRDefault="00AC79AD">
            <w:pPr>
              <w:jc w:val="right"/>
              <w:rPr>
                <w:sz w:val="20"/>
                <w:szCs w:val="20"/>
              </w:rPr>
            </w:pPr>
            <w:r>
              <w:rPr>
                <w:sz w:val="20"/>
                <w:szCs w:val="20"/>
              </w:rPr>
              <w:t>3.503.125,44</w:t>
            </w:r>
          </w:p>
        </w:tc>
        <w:tc>
          <w:tcPr>
            <w:tcW w:w="1120" w:type="dxa"/>
            <w:tcBorders>
              <w:top w:val="nil"/>
              <w:left w:val="nil"/>
              <w:bottom w:val="nil"/>
              <w:right w:val="nil"/>
            </w:tcBorders>
            <w:shd w:val="clear" w:color="auto" w:fill="auto"/>
            <w:noWrap/>
            <w:vAlign w:val="bottom"/>
            <w:hideMark/>
          </w:tcPr>
          <w:p w14:paraId="7060CE2E" w14:textId="77777777" w:rsidR="00AC79AD" w:rsidRDefault="00AC79AD">
            <w:pPr>
              <w:jc w:val="right"/>
              <w:rPr>
                <w:sz w:val="20"/>
                <w:szCs w:val="20"/>
              </w:rPr>
            </w:pPr>
            <w:r>
              <w:rPr>
                <w:sz w:val="20"/>
                <w:szCs w:val="20"/>
              </w:rPr>
              <w:t>84,72</w:t>
            </w:r>
          </w:p>
        </w:tc>
        <w:tc>
          <w:tcPr>
            <w:tcW w:w="1120" w:type="dxa"/>
            <w:tcBorders>
              <w:top w:val="nil"/>
              <w:left w:val="nil"/>
              <w:bottom w:val="nil"/>
              <w:right w:val="nil"/>
            </w:tcBorders>
            <w:shd w:val="clear" w:color="auto" w:fill="auto"/>
            <w:noWrap/>
            <w:vAlign w:val="bottom"/>
            <w:hideMark/>
          </w:tcPr>
          <w:p w14:paraId="4CD29E5D" w14:textId="77777777" w:rsidR="00AC79AD" w:rsidRDefault="00AC79AD">
            <w:pPr>
              <w:jc w:val="right"/>
              <w:rPr>
                <w:sz w:val="20"/>
                <w:szCs w:val="20"/>
              </w:rPr>
            </w:pPr>
            <w:r>
              <w:rPr>
                <w:sz w:val="20"/>
                <w:szCs w:val="20"/>
              </w:rPr>
              <w:t>61,67</w:t>
            </w:r>
          </w:p>
        </w:tc>
      </w:tr>
      <w:tr w:rsidR="00AC79AD" w14:paraId="3184DA34" w14:textId="77777777" w:rsidTr="00953AE7">
        <w:trPr>
          <w:trHeight w:val="80"/>
        </w:trPr>
        <w:tc>
          <w:tcPr>
            <w:tcW w:w="7032" w:type="dxa"/>
            <w:tcBorders>
              <w:top w:val="nil"/>
              <w:left w:val="nil"/>
              <w:bottom w:val="nil"/>
              <w:right w:val="nil"/>
            </w:tcBorders>
            <w:shd w:val="clear" w:color="auto" w:fill="auto"/>
            <w:noWrap/>
            <w:vAlign w:val="bottom"/>
            <w:hideMark/>
          </w:tcPr>
          <w:p w14:paraId="23183800" w14:textId="77777777" w:rsidR="00AC79AD" w:rsidRDefault="00AC79AD">
            <w:pPr>
              <w:jc w:val="right"/>
              <w:rPr>
                <w:sz w:val="20"/>
                <w:szCs w:val="20"/>
              </w:rPr>
            </w:pPr>
          </w:p>
        </w:tc>
        <w:tc>
          <w:tcPr>
            <w:tcW w:w="1708" w:type="dxa"/>
            <w:tcBorders>
              <w:top w:val="nil"/>
              <w:left w:val="nil"/>
              <w:bottom w:val="nil"/>
              <w:right w:val="nil"/>
            </w:tcBorders>
            <w:shd w:val="clear" w:color="auto" w:fill="auto"/>
            <w:noWrap/>
            <w:vAlign w:val="bottom"/>
            <w:hideMark/>
          </w:tcPr>
          <w:p w14:paraId="732928B2" w14:textId="77777777" w:rsidR="00AC79AD" w:rsidRDefault="00AC79AD">
            <w:pPr>
              <w:rPr>
                <w:sz w:val="20"/>
                <w:szCs w:val="20"/>
              </w:rPr>
            </w:pPr>
          </w:p>
        </w:tc>
        <w:tc>
          <w:tcPr>
            <w:tcW w:w="1660" w:type="dxa"/>
            <w:tcBorders>
              <w:top w:val="nil"/>
              <w:left w:val="nil"/>
              <w:bottom w:val="nil"/>
              <w:right w:val="nil"/>
            </w:tcBorders>
            <w:shd w:val="clear" w:color="auto" w:fill="auto"/>
            <w:noWrap/>
            <w:vAlign w:val="bottom"/>
            <w:hideMark/>
          </w:tcPr>
          <w:p w14:paraId="0D0B268F" w14:textId="77777777" w:rsidR="00AC79AD" w:rsidRDefault="00AC79AD">
            <w:pPr>
              <w:rPr>
                <w:sz w:val="20"/>
                <w:szCs w:val="20"/>
              </w:rPr>
            </w:pPr>
          </w:p>
        </w:tc>
        <w:tc>
          <w:tcPr>
            <w:tcW w:w="1720" w:type="dxa"/>
            <w:tcBorders>
              <w:top w:val="nil"/>
              <w:left w:val="nil"/>
              <w:bottom w:val="nil"/>
              <w:right w:val="nil"/>
            </w:tcBorders>
            <w:shd w:val="clear" w:color="auto" w:fill="auto"/>
            <w:noWrap/>
            <w:vAlign w:val="bottom"/>
            <w:hideMark/>
          </w:tcPr>
          <w:p w14:paraId="7FD2F305" w14:textId="77777777" w:rsidR="00AC79AD" w:rsidRDefault="00AC79AD">
            <w:pPr>
              <w:rPr>
                <w:sz w:val="20"/>
                <w:szCs w:val="20"/>
              </w:rPr>
            </w:pPr>
          </w:p>
        </w:tc>
        <w:tc>
          <w:tcPr>
            <w:tcW w:w="1120" w:type="dxa"/>
            <w:tcBorders>
              <w:top w:val="nil"/>
              <w:left w:val="nil"/>
              <w:bottom w:val="nil"/>
              <w:right w:val="nil"/>
            </w:tcBorders>
            <w:shd w:val="clear" w:color="auto" w:fill="auto"/>
            <w:noWrap/>
            <w:vAlign w:val="bottom"/>
            <w:hideMark/>
          </w:tcPr>
          <w:p w14:paraId="5AC1F410" w14:textId="77777777" w:rsidR="00AC79AD" w:rsidRDefault="00AC79AD">
            <w:pPr>
              <w:rPr>
                <w:sz w:val="20"/>
                <w:szCs w:val="20"/>
              </w:rPr>
            </w:pPr>
          </w:p>
        </w:tc>
        <w:tc>
          <w:tcPr>
            <w:tcW w:w="1120" w:type="dxa"/>
            <w:tcBorders>
              <w:top w:val="nil"/>
              <w:left w:val="nil"/>
              <w:bottom w:val="nil"/>
              <w:right w:val="nil"/>
            </w:tcBorders>
            <w:shd w:val="clear" w:color="auto" w:fill="auto"/>
            <w:noWrap/>
            <w:vAlign w:val="bottom"/>
            <w:hideMark/>
          </w:tcPr>
          <w:p w14:paraId="5DBCDD5B" w14:textId="77777777" w:rsidR="00AC79AD" w:rsidRDefault="00AC79AD">
            <w:pPr>
              <w:rPr>
                <w:sz w:val="20"/>
                <w:szCs w:val="20"/>
              </w:rPr>
            </w:pPr>
          </w:p>
        </w:tc>
      </w:tr>
      <w:tr w:rsidR="00AC79AD" w14:paraId="217E7170" w14:textId="77777777" w:rsidTr="00AC79AD">
        <w:trPr>
          <w:trHeight w:val="255"/>
        </w:trPr>
        <w:tc>
          <w:tcPr>
            <w:tcW w:w="7032" w:type="dxa"/>
            <w:tcBorders>
              <w:top w:val="single" w:sz="4" w:space="0" w:color="auto"/>
              <w:left w:val="nil"/>
              <w:bottom w:val="single" w:sz="4" w:space="0" w:color="auto"/>
              <w:right w:val="nil"/>
            </w:tcBorders>
            <w:shd w:val="clear" w:color="auto" w:fill="auto"/>
            <w:noWrap/>
            <w:vAlign w:val="bottom"/>
            <w:hideMark/>
          </w:tcPr>
          <w:p w14:paraId="50B3D72E" w14:textId="77777777" w:rsidR="00AC79AD" w:rsidRDefault="00AC79AD">
            <w:pPr>
              <w:rPr>
                <w:b/>
                <w:bCs/>
                <w:sz w:val="20"/>
                <w:szCs w:val="20"/>
              </w:rPr>
            </w:pPr>
            <w:r>
              <w:rPr>
                <w:b/>
                <w:bCs/>
                <w:sz w:val="20"/>
                <w:szCs w:val="20"/>
              </w:rPr>
              <w:t xml:space="preserve"> SVEUKUPNI RASHODI</w:t>
            </w:r>
          </w:p>
        </w:tc>
        <w:tc>
          <w:tcPr>
            <w:tcW w:w="1708" w:type="dxa"/>
            <w:tcBorders>
              <w:top w:val="single" w:sz="4" w:space="0" w:color="auto"/>
              <w:left w:val="nil"/>
              <w:bottom w:val="single" w:sz="4" w:space="0" w:color="auto"/>
              <w:right w:val="nil"/>
            </w:tcBorders>
            <w:shd w:val="clear" w:color="auto" w:fill="auto"/>
            <w:noWrap/>
            <w:vAlign w:val="bottom"/>
            <w:hideMark/>
          </w:tcPr>
          <w:p w14:paraId="1E52D4D5" w14:textId="77777777" w:rsidR="00AC79AD" w:rsidRDefault="00AC79AD">
            <w:pPr>
              <w:jc w:val="right"/>
              <w:rPr>
                <w:b/>
                <w:bCs/>
                <w:sz w:val="20"/>
                <w:szCs w:val="20"/>
              </w:rPr>
            </w:pPr>
            <w:r>
              <w:rPr>
                <w:b/>
                <w:bCs/>
                <w:sz w:val="20"/>
                <w:szCs w:val="20"/>
              </w:rPr>
              <w:t>35.915.045,38</w:t>
            </w:r>
          </w:p>
        </w:tc>
        <w:tc>
          <w:tcPr>
            <w:tcW w:w="1660" w:type="dxa"/>
            <w:tcBorders>
              <w:top w:val="single" w:sz="4" w:space="0" w:color="auto"/>
              <w:left w:val="nil"/>
              <w:bottom w:val="single" w:sz="4" w:space="0" w:color="auto"/>
              <w:right w:val="nil"/>
            </w:tcBorders>
            <w:shd w:val="clear" w:color="auto" w:fill="auto"/>
            <w:noWrap/>
            <w:vAlign w:val="bottom"/>
            <w:hideMark/>
          </w:tcPr>
          <w:p w14:paraId="6ABBB00A" w14:textId="77777777" w:rsidR="00AC79AD" w:rsidRDefault="00AC79AD">
            <w:pPr>
              <w:jc w:val="right"/>
              <w:rPr>
                <w:b/>
                <w:bCs/>
                <w:sz w:val="20"/>
                <w:szCs w:val="20"/>
              </w:rPr>
            </w:pPr>
            <w:r>
              <w:rPr>
                <w:b/>
                <w:bCs/>
                <w:sz w:val="20"/>
                <w:szCs w:val="20"/>
              </w:rPr>
              <w:t>39.916.987,25</w:t>
            </w:r>
          </w:p>
        </w:tc>
        <w:tc>
          <w:tcPr>
            <w:tcW w:w="1720" w:type="dxa"/>
            <w:tcBorders>
              <w:top w:val="single" w:sz="4" w:space="0" w:color="auto"/>
              <w:left w:val="nil"/>
              <w:bottom w:val="single" w:sz="4" w:space="0" w:color="auto"/>
              <w:right w:val="nil"/>
            </w:tcBorders>
            <w:shd w:val="clear" w:color="auto" w:fill="auto"/>
            <w:noWrap/>
            <w:vAlign w:val="bottom"/>
            <w:hideMark/>
          </w:tcPr>
          <w:p w14:paraId="3D5D6678" w14:textId="77777777" w:rsidR="00AC79AD" w:rsidRDefault="00AC79AD">
            <w:pPr>
              <w:jc w:val="right"/>
              <w:rPr>
                <w:b/>
                <w:bCs/>
                <w:sz w:val="20"/>
                <w:szCs w:val="20"/>
              </w:rPr>
            </w:pPr>
            <w:r>
              <w:rPr>
                <w:b/>
                <w:bCs/>
                <w:sz w:val="20"/>
                <w:szCs w:val="20"/>
              </w:rPr>
              <w:t>36.962.711,30</w:t>
            </w:r>
          </w:p>
        </w:tc>
        <w:tc>
          <w:tcPr>
            <w:tcW w:w="1120" w:type="dxa"/>
            <w:tcBorders>
              <w:top w:val="single" w:sz="4" w:space="0" w:color="auto"/>
              <w:left w:val="nil"/>
              <w:bottom w:val="single" w:sz="4" w:space="0" w:color="auto"/>
              <w:right w:val="nil"/>
            </w:tcBorders>
            <w:shd w:val="clear" w:color="auto" w:fill="auto"/>
            <w:noWrap/>
            <w:vAlign w:val="bottom"/>
            <w:hideMark/>
          </w:tcPr>
          <w:p w14:paraId="4330E694" w14:textId="77777777" w:rsidR="00AC79AD" w:rsidRDefault="00AC79AD">
            <w:pPr>
              <w:jc w:val="right"/>
              <w:rPr>
                <w:b/>
                <w:bCs/>
                <w:sz w:val="20"/>
                <w:szCs w:val="20"/>
              </w:rPr>
            </w:pPr>
            <w:r>
              <w:rPr>
                <w:b/>
                <w:bCs/>
                <w:sz w:val="20"/>
                <w:szCs w:val="20"/>
              </w:rPr>
              <w:t>102,92</w:t>
            </w:r>
          </w:p>
        </w:tc>
        <w:tc>
          <w:tcPr>
            <w:tcW w:w="1120" w:type="dxa"/>
            <w:tcBorders>
              <w:top w:val="single" w:sz="4" w:space="0" w:color="auto"/>
              <w:left w:val="nil"/>
              <w:bottom w:val="single" w:sz="4" w:space="0" w:color="auto"/>
              <w:right w:val="nil"/>
            </w:tcBorders>
            <w:shd w:val="clear" w:color="auto" w:fill="auto"/>
            <w:noWrap/>
            <w:vAlign w:val="bottom"/>
            <w:hideMark/>
          </w:tcPr>
          <w:p w14:paraId="460AA590" w14:textId="77777777" w:rsidR="00AC79AD" w:rsidRDefault="00AC79AD">
            <w:pPr>
              <w:jc w:val="right"/>
              <w:rPr>
                <w:b/>
                <w:bCs/>
                <w:sz w:val="20"/>
                <w:szCs w:val="20"/>
              </w:rPr>
            </w:pPr>
            <w:r>
              <w:rPr>
                <w:b/>
                <w:bCs/>
                <w:sz w:val="20"/>
                <w:szCs w:val="20"/>
              </w:rPr>
              <w:t>92,60</w:t>
            </w:r>
          </w:p>
        </w:tc>
      </w:tr>
      <w:tr w:rsidR="00AC79AD" w14:paraId="761BD5D7" w14:textId="77777777" w:rsidTr="00AC79AD">
        <w:trPr>
          <w:trHeight w:val="300"/>
        </w:trPr>
        <w:tc>
          <w:tcPr>
            <w:tcW w:w="7032" w:type="dxa"/>
            <w:tcBorders>
              <w:top w:val="nil"/>
              <w:left w:val="nil"/>
              <w:bottom w:val="nil"/>
              <w:right w:val="nil"/>
            </w:tcBorders>
            <w:shd w:val="clear" w:color="auto" w:fill="auto"/>
            <w:noWrap/>
            <w:vAlign w:val="center"/>
            <w:hideMark/>
          </w:tcPr>
          <w:p w14:paraId="0AD28D4A" w14:textId="77777777" w:rsidR="00AC79AD" w:rsidRDefault="00AC79AD">
            <w:pPr>
              <w:rPr>
                <w:b/>
                <w:bCs/>
                <w:color w:val="000000"/>
                <w:sz w:val="20"/>
                <w:szCs w:val="20"/>
              </w:rPr>
            </w:pPr>
            <w:r>
              <w:rPr>
                <w:b/>
                <w:bCs/>
                <w:color w:val="000000"/>
                <w:sz w:val="20"/>
                <w:szCs w:val="20"/>
              </w:rPr>
              <w:t>1. Opći prihodi i primici</w:t>
            </w:r>
          </w:p>
        </w:tc>
        <w:tc>
          <w:tcPr>
            <w:tcW w:w="1708" w:type="dxa"/>
            <w:tcBorders>
              <w:top w:val="nil"/>
              <w:left w:val="nil"/>
              <w:bottom w:val="nil"/>
              <w:right w:val="nil"/>
            </w:tcBorders>
            <w:shd w:val="clear" w:color="auto" w:fill="auto"/>
            <w:noWrap/>
            <w:vAlign w:val="bottom"/>
            <w:hideMark/>
          </w:tcPr>
          <w:p w14:paraId="4A82FAD1" w14:textId="77777777" w:rsidR="00AC79AD" w:rsidRDefault="00AC79AD">
            <w:pPr>
              <w:jc w:val="right"/>
              <w:rPr>
                <w:b/>
                <w:bCs/>
                <w:sz w:val="20"/>
                <w:szCs w:val="20"/>
              </w:rPr>
            </w:pPr>
            <w:r>
              <w:rPr>
                <w:b/>
                <w:bCs/>
                <w:sz w:val="20"/>
                <w:szCs w:val="20"/>
              </w:rPr>
              <w:t>15.105.414,66</w:t>
            </w:r>
          </w:p>
        </w:tc>
        <w:tc>
          <w:tcPr>
            <w:tcW w:w="1660" w:type="dxa"/>
            <w:tcBorders>
              <w:top w:val="nil"/>
              <w:left w:val="nil"/>
              <w:bottom w:val="nil"/>
              <w:right w:val="nil"/>
            </w:tcBorders>
            <w:shd w:val="clear" w:color="auto" w:fill="auto"/>
            <w:noWrap/>
            <w:vAlign w:val="bottom"/>
            <w:hideMark/>
          </w:tcPr>
          <w:p w14:paraId="1DDD00D7" w14:textId="77777777" w:rsidR="00AC79AD" w:rsidRDefault="00AC79AD">
            <w:pPr>
              <w:jc w:val="right"/>
              <w:rPr>
                <w:b/>
                <w:bCs/>
                <w:sz w:val="20"/>
                <w:szCs w:val="20"/>
              </w:rPr>
            </w:pPr>
            <w:r>
              <w:rPr>
                <w:b/>
                <w:bCs/>
                <w:sz w:val="20"/>
                <w:szCs w:val="20"/>
              </w:rPr>
              <w:t>19.308.964,42</w:t>
            </w:r>
          </w:p>
        </w:tc>
        <w:tc>
          <w:tcPr>
            <w:tcW w:w="1720" w:type="dxa"/>
            <w:tcBorders>
              <w:top w:val="nil"/>
              <w:left w:val="nil"/>
              <w:bottom w:val="nil"/>
              <w:right w:val="nil"/>
            </w:tcBorders>
            <w:shd w:val="clear" w:color="auto" w:fill="auto"/>
            <w:noWrap/>
            <w:vAlign w:val="bottom"/>
            <w:hideMark/>
          </w:tcPr>
          <w:p w14:paraId="4275F493" w14:textId="481A868A" w:rsidR="00AC79AD" w:rsidRDefault="00AC79AD">
            <w:pPr>
              <w:jc w:val="right"/>
              <w:rPr>
                <w:b/>
                <w:bCs/>
                <w:sz w:val="20"/>
                <w:szCs w:val="20"/>
              </w:rPr>
            </w:pPr>
            <w:r>
              <w:rPr>
                <w:b/>
                <w:bCs/>
                <w:sz w:val="20"/>
                <w:szCs w:val="20"/>
              </w:rPr>
              <w:t>17.4</w:t>
            </w:r>
            <w:r w:rsidR="00F762CD">
              <w:rPr>
                <w:b/>
                <w:bCs/>
                <w:sz w:val="20"/>
                <w:szCs w:val="20"/>
              </w:rPr>
              <w:t>71.800,81</w:t>
            </w:r>
          </w:p>
        </w:tc>
        <w:tc>
          <w:tcPr>
            <w:tcW w:w="1120" w:type="dxa"/>
            <w:tcBorders>
              <w:top w:val="nil"/>
              <w:left w:val="nil"/>
              <w:bottom w:val="nil"/>
              <w:right w:val="nil"/>
            </w:tcBorders>
            <w:shd w:val="clear" w:color="auto" w:fill="auto"/>
            <w:noWrap/>
            <w:vAlign w:val="bottom"/>
            <w:hideMark/>
          </w:tcPr>
          <w:p w14:paraId="42347548" w14:textId="1F338037" w:rsidR="00AC79AD" w:rsidRDefault="00AC79AD">
            <w:pPr>
              <w:jc w:val="right"/>
              <w:rPr>
                <w:b/>
                <w:bCs/>
                <w:sz w:val="20"/>
                <w:szCs w:val="20"/>
              </w:rPr>
            </w:pPr>
            <w:r>
              <w:rPr>
                <w:b/>
                <w:bCs/>
                <w:sz w:val="20"/>
                <w:szCs w:val="20"/>
              </w:rPr>
              <w:t>115,6</w:t>
            </w:r>
            <w:r w:rsidR="00F762CD">
              <w:rPr>
                <w:b/>
                <w:bCs/>
                <w:sz w:val="20"/>
                <w:szCs w:val="20"/>
              </w:rPr>
              <w:t>7</w:t>
            </w:r>
          </w:p>
        </w:tc>
        <w:tc>
          <w:tcPr>
            <w:tcW w:w="1120" w:type="dxa"/>
            <w:tcBorders>
              <w:top w:val="nil"/>
              <w:left w:val="nil"/>
              <w:bottom w:val="nil"/>
              <w:right w:val="nil"/>
            </w:tcBorders>
            <w:shd w:val="clear" w:color="auto" w:fill="auto"/>
            <w:noWrap/>
            <w:vAlign w:val="bottom"/>
            <w:hideMark/>
          </w:tcPr>
          <w:p w14:paraId="718428BD" w14:textId="12586837" w:rsidR="00AC79AD" w:rsidRDefault="00AC79AD">
            <w:pPr>
              <w:jc w:val="right"/>
              <w:rPr>
                <w:b/>
                <w:bCs/>
                <w:sz w:val="20"/>
                <w:szCs w:val="20"/>
              </w:rPr>
            </w:pPr>
            <w:r>
              <w:rPr>
                <w:b/>
                <w:bCs/>
                <w:sz w:val="20"/>
                <w:szCs w:val="20"/>
              </w:rPr>
              <w:t>90,4</w:t>
            </w:r>
            <w:r w:rsidR="00F762CD">
              <w:rPr>
                <w:b/>
                <w:bCs/>
                <w:sz w:val="20"/>
                <w:szCs w:val="20"/>
              </w:rPr>
              <w:t>9</w:t>
            </w:r>
          </w:p>
        </w:tc>
      </w:tr>
      <w:tr w:rsidR="00AC79AD" w14:paraId="198F5599" w14:textId="77777777" w:rsidTr="00AC79AD">
        <w:trPr>
          <w:trHeight w:val="300"/>
        </w:trPr>
        <w:tc>
          <w:tcPr>
            <w:tcW w:w="7032" w:type="dxa"/>
            <w:tcBorders>
              <w:top w:val="nil"/>
              <w:left w:val="nil"/>
              <w:bottom w:val="nil"/>
              <w:right w:val="nil"/>
            </w:tcBorders>
            <w:shd w:val="clear" w:color="auto" w:fill="auto"/>
            <w:noWrap/>
            <w:vAlign w:val="center"/>
            <w:hideMark/>
          </w:tcPr>
          <w:p w14:paraId="24E78AA0" w14:textId="77777777" w:rsidR="00AC79AD" w:rsidRDefault="00AC79AD">
            <w:pPr>
              <w:rPr>
                <w:color w:val="000000"/>
                <w:sz w:val="20"/>
                <w:szCs w:val="20"/>
              </w:rPr>
            </w:pPr>
            <w:r>
              <w:rPr>
                <w:color w:val="000000"/>
                <w:sz w:val="20"/>
                <w:szCs w:val="20"/>
              </w:rPr>
              <w:t>1.1. Opći prihodi i primici</w:t>
            </w:r>
          </w:p>
        </w:tc>
        <w:tc>
          <w:tcPr>
            <w:tcW w:w="1708" w:type="dxa"/>
            <w:tcBorders>
              <w:top w:val="nil"/>
              <w:left w:val="nil"/>
              <w:bottom w:val="nil"/>
              <w:right w:val="nil"/>
            </w:tcBorders>
            <w:shd w:val="clear" w:color="auto" w:fill="auto"/>
            <w:noWrap/>
            <w:vAlign w:val="bottom"/>
            <w:hideMark/>
          </w:tcPr>
          <w:p w14:paraId="61BDD6CB" w14:textId="77777777" w:rsidR="00AC79AD" w:rsidRDefault="00AC79AD">
            <w:pPr>
              <w:jc w:val="right"/>
              <w:rPr>
                <w:sz w:val="20"/>
                <w:szCs w:val="20"/>
              </w:rPr>
            </w:pPr>
            <w:r>
              <w:rPr>
                <w:sz w:val="20"/>
                <w:szCs w:val="20"/>
              </w:rPr>
              <w:t>15.105.414,66</w:t>
            </w:r>
          </w:p>
        </w:tc>
        <w:tc>
          <w:tcPr>
            <w:tcW w:w="1660" w:type="dxa"/>
            <w:tcBorders>
              <w:top w:val="nil"/>
              <w:left w:val="nil"/>
              <w:bottom w:val="nil"/>
              <w:right w:val="nil"/>
            </w:tcBorders>
            <w:shd w:val="clear" w:color="auto" w:fill="auto"/>
            <w:noWrap/>
            <w:vAlign w:val="bottom"/>
            <w:hideMark/>
          </w:tcPr>
          <w:p w14:paraId="4AE60C34" w14:textId="77777777" w:rsidR="00AC79AD" w:rsidRDefault="00AC79AD">
            <w:pPr>
              <w:jc w:val="right"/>
              <w:rPr>
                <w:sz w:val="20"/>
                <w:szCs w:val="20"/>
              </w:rPr>
            </w:pPr>
            <w:r>
              <w:rPr>
                <w:sz w:val="20"/>
                <w:szCs w:val="20"/>
              </w:rPr>
              <w:t>19.308.964,42</w:t>
            </w:r>
          </w:p>
        </w:tc>
        <w:tc>
          <w:tcPr>
            <w:tcW w:w="1720" w:type="dxa"/>
            <w:tcBorders>
              <w:top w:val="nil"/>
              <w:left w:val="nil"/>
              <w:bottom w:val="nil"/>
              <w:right w:val="nil"/>
            </w:tcBorders>
            <w:shd w:val="clear" w:color="auto" w:fill="auto"/>
            <w:noWrap/>
            <w:vAlign w:val="bottom"/>
            <w:hideMark/>
          </w:tcPr>
          <w:p w14:paraId="766EF44A" w14:textId="68412C37" w:rsidR="00AC79AD" w:rsidRDefault="00AC79AD">
            <w:pPr>
              <w:jc w:val="right"/>
              <w:rPr>
                <w:sz w:val="20"/>
                <w:szCs w:val="20"/>
              </w:rPr>
            </w:pPr>
            <w:r>
              <w:rPr>
                <w:sz w:val="20"/>
                <w:szCs w:val="20"/>
              </w:rPr>
              <w:t>17.</w:t>
            </w:r>
            <w:r w:rsidR="00F762CD">
              <w:rPr>
                <w:sz w:val="20"/>
                <w:szCs w:val="20"/>
              </w:rPr>
              <w:t>471.800,81</w:t>
            </w:r>
          </w:p>
        </w:tc>
        <w:tc>
          <w:tcPr>
            <w:tcW w:w="1120" w:type="dxa"/>
            <w:tcBorders>
              <w:top w:val="nil"/>
              <w:left w:val="nil"/>
              <w:bottom w:val="nil"/>
              <w:right w:val="nil"/>
            </w:tcBorders>
            <w:shd w:val="clear" w:color="auto" w:fill="auto"/>
            <w:noWrap/>
            <w:vAlign w:val="bottom"/>
            <w:hideMark/>
          </w:tcPr>
          <w:p w14:paraId="199EAD14" w14:textId="623D160F" w:rsidR="00AC79AD" w:rsidRDefault="00AC79AD">
            <w:pPr>
              <w:jc w:val="right"/>
              <w:rPr>
                <w:sz w:val="20"/>
                <w:szCs w:val="20"/>
              </w:rPr>
            </w:pPr>
            <w:r>
              <w:rPr>
                <w:sz w:val="20"/>
                <w:szCs w:val="20"/>
              </w:rPr>
              <w:t>115,6</w:t>
            </w:r>
            <w:r w:rsidR="00F762CD">
              <w:rPr>
                <w:sz w:val="20"/>
                <w:szCs w:val="20"/>
              </w:rPr>
              <w:t>7</w:t>
            </w:r>
          </w:p>
        </w:tc>
        <w:tc>
          <w:tcPr>
            <w:tcW w:w="1120" w:type="dxa"/>
            <w:tcBorders>
              <w:top w:val="nil"/>
              <w:left w:val="nil"/>
              <w:bottom w:val="nil"/>
              <w:right w:val="nil"/>
            </w:tcBorders>
            <w:shd w:val="clear" w:color="auto" w:fill="auto"/>
            <w:noWrap/>
            <w:vAlign w:val="bottom"/>
            <w:hideMark/>
          </w:tcPr>
          <w:p w14:paraId="776284D8" w14:textId="4150E2F5" w:rsidR="00AC79AD" w:rsidRDefault="00AC79AD">
            <w:pPr>
              <w:jc w:val="right"/>
              <w:rPr>
                <w:sz w:val="20"/>
                <w:szCs w:val="20"/>
              </w:rPr>
            </w:pPr>
            <w:r>
              <w:rPr>
                <w:sz w:val="20"/>
                <w:szCs w:val="20"/>
              </w:rPr>
              <w:t>90,</w:t>
            </w:r>
            <w:r w:rsidR="00F762CD">
              <w:rPr>
                <w:sz w:val="20"/>
                <w:szCs w:val="20"/>
              </w:rPr>
              <w:t>49</w:t>
            </w:r>
          </w:p>
        </w:tc>
      </w:tr>
      <w:tr w:rsidR="00AC79AD" w14:paraId="74C4C1B1" w14:textId="77777777" w:rsidTr="00AC79AD">
        <w:trPr>
          <w:trHeight w:val="300"/>
        </w:trPr>
        <w:tc>
          <w:tcPr>
            <w:tcW w:w="7032" w:type="dxa"/>
            <w:tcBorders>
              <w:top w:val="nil"/>
              <w:left w:val="nil"/>
              <w:bottom w:val="nil"/>
              <w:right w:val="nil"/>
            </w:tcBorders>
            <w:shd w:val="clear" w:color="auto" w:fill="auto"/>
            <w:noWrap/>
            <w:vAlign w:val="center"/>
            <w:hideMark/>
          </w:tcPr>
          <w:p w14:paraId="2AD37D44" w14:textId="77777777" w:rsidR="00AC79AD" w:rsidRDefault="00AC79AD">
            <w:pPr>
              <w:rPr>
                <w:b/>
                <w:bCs/>
                <w:color w:val="000000"/>
                <w:sz w:val="20"/>
                <w:szCs w:val="20"/>
              </w:rPr>
            </w:pPr>
            <w:r>
              <w:rPr>
                <w:b/>
                <w:bCs/>
                <w:color w:val="000000"/>
                <w:sz w:val="20"/>
                <w:szCs w:val="20"/>
              </w:rPr>
              <w:lastRenderedPageBreak/>
              <w:t>3. Vlastiti prihodi</w:t>
            </w:r>
          </w:p>
        </w:tc>
        <w:tc>
          <w:tcPr>
            <w:tcW w:w="1708" w:type="dxa"/>
            <w:tcBorders>
              <w:top w:val="nil"/>
              <w:left w:val="nil"/>
              <w:bottom w:val="nil"/>
              <w:right w:val="nil"/>
            </w:tcBorders>
            <w:shd w:val="clear" w:color="auto" w:fill="auto"/>
            <w:noWrap/>
            <w:vAlign w:val="bottom"/>
            <w:hideMark/>
          </w:tcPr>
          <w:p w14:paraId="0E795367" w14:textId="77777777" w:rsidR="00AC79AD" w:rsidRDefault="00AC79AD">
            <w:pPr>
              <w:jc w:val="right"/>
              <w:rPr>
                <w:b/>
                <w:bCs/>
                <w:sz w:val="20"/>
                <w:szCs w:val="20"/>
              </w:rPr>
            </w:pPr>
            <w:r>
              <w:rPr>
                <w:b/>
                <w:bCs/>
                <w:sz w:val="20"/>
                <w:szCs w:val="20"/>
              </w:rPr>
              <w:t>47.169,80</w:t>
            </w:r>
          </w:p>
        </w:tc>
        <w:tc>
          <w:tcPr>
            <w:tcW w:w="1660" w:type="dxa"/>
            <w:tcBorders>
              <w:top w:val="nil"/>
              <w:left w:val="nil"/>
              <w:bottom w:val="nil"/>
              <w:right w:val="nil"/>
            </w:tcBorders>
            <w:shd w:val="clear" w:color="auto" w:fill="auto"/>
            <w:noWrap/>
            <w:vAlign w:val="bottom"/>
            <w:hideMark/>
          </w:tcPr>
          <w:p w14:paraId="5F8144A6" w14:textId="77777777" w:rsidR="00AC79AD" w:rsidRDefault="00AC79AD">
            <w:pPr>
              <w:jc w:val="right"/>
              <w:rPr>
                <w:b/>
                <w:bCs/>
                <w:sz w:val="20"/>
                <w:szCs w:val="20"/>
              </w:rPr>
            </w:pPr>
            <w:r>
              <w:rPr>
                <w:b/>
                <w:bCs/>
                <w:sz w:val="20"/>
                <w:szCs w:val="20"/>
              </w:rPr>
              <w:t>87.229,12</w:t>
            </w:r>
          </w:p>
        </w:tc>
        <w:tc>
          <w:tcPr>
            <w:tcW w:w="1720" w:type="dxa"/>
            <w:tcBorders>
              <w:top w:val="nil"/>
              <w:left w:val="nil"/>
              <w:bottom w:val="nil"/>
              <w:right w:val="nil"/>
            </w:tcBorders>
            <w:shd w:val="clear" w:color="auto" w:fill="auto"/>
            <w:noWrap/>
            <w:vAlign w:val="bottom"/>
            <w:hideMark/>
          </w:tcPr>
          <w:p w14:paraId="7D3370EA" w14:textId="77777777" w:rsidR="00AC79AD" w:rsidRDefault="00AC79AD">
            <w:pPr>
              <w:jc w:val="right"/>
              <w:rPr>
                <w:b/>
                <w:bCs/>
                <w:sz w:val="20"/>
                <w:szCs w:val="20"/>
              </w:rPr>
            </w:pPr>
            <w:r>
              <w:rPr>
                <w:b/>
                <w:bCs/>
                <w:sz w:val="20"/>
                <w:szCs w:val="20"/>
              </w:rPr>
              <w:t>60.028,74</w:t>
            </w:r>
          </w:p>
        </w:tc>
        <w:tc>
          <w:tcPr>
            <w:tcW w:w="1120" w:type="dxa"/>
            <w:tcBorders>
              <w:top w:val="nil"/>
              <w:left w:val="nil"/>
              <w:bottom w:val="nil"/>
              <w:right w:val="nil"/>
            </w:tcBorders>
            <w:shd w:val="clear" w:color="auto" w:fill="auto"/>
            <w:noWrap/>
            <w:vAlign w:val="bottom"/>
            <w:hideMark/>
          </w:tcPr>
          <w:p w14:paraId="397FAE54" w14:textId="77777777" w:rsidR="00AC79AD" w:rsidRDefault="00AC79AD">
            <w:pPr>
              <w:jc w:val="right"/>
              <w:rPr>
                <w:b/>
                <w:bCs/>
                <w:sz w:val="20"/>
                <w:szCs w:val="20"/>
              </w:rPr>
            </w:pPr>
            <w:r>
              <w:rPr>
                <w:b/>
                <w:bCs/>
                <w:sz w:val="20"/>
                <w:szCs w:val="20"/>
              </w:rPr>
              <w:t>127,26</w:t>
            </w:r>
          </w:p>
        </w:tc>
        <w:tc>
          <w:tcPr>
            <w:tcW w:w="1120" w:type="dxa"/>
            <w:tcBorders>
              <w:top w:val="nil"/>
              <w:left w:val="nil"/>
              <w:bottom w:val="nil"/>
              <w:right w:val="nil"/>
            </w:tcBorders>
            <w:shd w:val="clear" w:color="auto" w:fill="auto"/>
            <w:noWrap/>
            <w:vAlign w:val="bottom"/>
            <w:hideMark/>
          </w:tcPr>
          <w:p w14:paraId="724FA6F4" w14:textId="77777777" w:rsidR="00AC79AD" w:rsidRDefault="00AC79AD">
            <w:pPr>
              <w:jc w:val="right"/>
              <w:rPr>
                <w:b/>
                <w:bCs/>
                <w:sz w:val="20"/>
                <w:szCs w:val="20"/>
              </w:rPr>
            </w:pPr>
            <w:r>
              <w:rPr>
                <w:b/>
                <w:bCs/>
                <w:sz w:val="20"/>
                <w:szCs w:val="20"/>
              </w:rPr>
              <w:t>68,82</w:t>
            </w:r>
          </w:p>
        </w:tc>
      </w:tr>
      <w:tr w:rsidR="00AC79AD" w14:paraId="62991D40" w14:textId="77777777" w:rsidTr="00AC79AD">
        <w:trPr>
          <w:trHeight w:val="300"/>
        </w:trPr>
        <w:tc>
          <w:tcPr>
            <w:tcW w:w="7032" w:type="dxa"/>
            <w:tcBorders>
              <w:top w:val="nil"/>
              <w:left w:val="nil"/>
              <w:bottom w:val="nil"/>
              <w:right w:val="nil"/>
            </w:tcBorders>
            <w:shd w:val="clear" w:color="auto" w:fill="auto"/>
            <w:noWrap/>
            <w:vAlign w:val="center"/>
            <w:hideMark/>
          </w:tcPr>
          <w:p w14:paraId="3B47A899" w14:textId="77777777" w:rsidR="00AC79AD" w:rsidRDefault="00AC79AD">
            <w:pPr>
              <w:rPr>
                <w:color w:val="000000"/>
                <w:sz w:val="20"/>
                <w:szCs w:val="20"/>
              </w:rPr>
            </w:pPr>
            <w:r>
              <w:rPr>
                <w:color w:val="000000"/>
                <w:sz w:val="20"/>
                <w:szCs w:val="20"/>
              </w:rPr>
              <w:t>3.2. Vlastiti prihodi - proračunski korisnici</w:t>
            </w:r>
          </w:p>
        </w:tc>
        <w:tc>
          <w:tcPr>
            <w:tcW w:w="1708" w:type="dxa"/>
            <w:tcBorders>
              <w:top w:val="nil"/>
              <w:left w:val="nil"/>
              <w:bottom w:val="nil"/>
              <w:right w:val="nil"/>
            </w:tcBorders>
            <w:shd w:val="clear" w:color="auto" w:fill="auto"/>
            <w:noWrap/>
            <w:vAlign w:val="bottom"/>
            <w:hideMark/>
          </w:tcPr>
          <w:p w14:paraId="471BD4D1" w14:textId="77777777" w:rsidR="00AC79AD" w:rsidRDefault="00AC79AD">
            <w:pPr>
              <w:jc w:val="right"/>
              <w:rPr>
                <w:sz w:val="20"/>
                <w:szCs w:val="20"/>
              </w:rPr>
            </w:pPr>
            <w:r>
              <w:rPr>
                <w:sz w:val="20"/>
                <w:szCs w:val="20"/>
              </w:rPr>
              <w:t>47.169,80</w:t>
            </w:r>
          </w:p>
        </w:tc>
        <w:tc>
          <w:tcPr>
            <w:tcW w:w="1660" w:type="dxa"/>
            <w:tcBorders>
              <w:top w:val="nil"/>
              <w:left w:val="nil"/>
              <w:bottom w:val="nil"/>
              <w:right w:val="nil"/>
            </w:tcBorders>
            <w:shd w:val="clear" w:color="auto" w:fill="auto"/>
            <w:noWrap/>
            <w:vAlign w:val="bottom"/>
            <w:hideMark/>
          </w:tcPr>
          <w:p w14:paraId="11C02A99" w14:textId="77777777" w:rsidR="00AC79AD" w:rsidRDefault="00AC79AD">
            <w:pPr>
              <w:jc w:val="right"/>
              <w:rPr>
                <w:sz w:val="20"/>
                <w:szCs w:val="20"/>
              </w:rPr>
            </w:pPr>
            <w:r>
              <w:rPr>
                <w:sz w:val="20"/>
                <w:szCs w:val="20"/>
              </w:rPr>
              <w:t>87.229,12</w:t>
            </w:r>
          </w:p>
        </w:tc>
        <w:tc>
          <w:tcPr>
            <w:tcW w:w="1720" w:type="dxa"/>
            <w:tcBorders>
              <w:top w:val="nil"/>
              <w:left w:val="nil"/>
              <w:bottom w:val="nil"/>
              <w:right w:val="nil"/>
            </w:tcBorders>
            <w:shd w:val="clear" w:color="auto" w:fill="auto"/>
            <w:noWrap/>
            <w:vAlign w:val="bottom"/>
            <w:hideMark/>
          </w:tcPr>
          <w:p w14:paraId="142EECCD" w14:textId="77777777" w:rsidR="00AC79AD" w:rsidRDefault="00AC79AD">
            <w:pPr>
              <w:jc w:val="right"/>
              <w:rPr>
                <w:sz w:val="20"/>
                <w:szCs w:val="20"/>
              </w:rPr>
            </w:pPr>
            <w:r>
              <w:rPr>
                <w:sz w:val="20"/>
                <w:szCs w:val="20"/>
              </w:rPr>
              <w:t>60.028,74</w:t>
            </w:r>
          </w:p>
        </w:tc>
        <w:tc>
          <w:tcPr>
            <w:tcW w:w="1120" w:type="dxa"/>
            <w:tcBorders>
              <w:top w:val="nil"/>
              <w:left w:val="nil"/>
              <w:bottom w:val="nil"/>
              <w:right w:val="nil"/>
            </w:tcBorders>
            <w:shd w:val="clear" w:color="auto" w:fill="auto"/>
            <w:noWrap/>
            <w:vAlign w:val="bottom"/>
            <w:hideMark/>
          </w:tcPr>
          <w:p w14:paraId="673F374E" w14:textId="77777777" w:rsidR="00AC79AD" w:rsidRDefault="00AC79AD">
            <w:pPr>
              <w:jc w:val="right"/>
              <w:rPr>
                <w:sz w:val="20"/>
                <w:szCs w:val="20"/>
              </w:rPr>
            </w:pPr>
            <w:r>
              <w:rPr>
                <w:sz w:val="20"/>
                <w:szCs w:val="20"/>
              </w:rPr>
              <w:t>127,26</w:t>
            </w:r>
          </w:p>
        </w:tc>
        <w:tc>
          <w:tcPr>
            <w:tcW w:w="1120" w:type="dxa"/>
            <w:tcBorders>
              <w:top w:val="nil"/>
              <w:left w:val="nil"/>
              <w:bottom w:val="nil"/>
              <w:right w:val="nil"/>
            </w:tcBorders>
            <w:shd w:val="clear" w:color="auto" w:fill="auto"/>
            <w:noWrap/>
            <w:vAlign w:val="bottom"/>
            <w:hideMark/>
          </w:tcPr>
          <w:p w14:paraId="7F39AC6F" w14:textId="77777777" w:rsidR="00AC79AD" w:rsidRDefault="00AC79AD">
            <w:pPr>
              <w:jc w:val="right"/>
              <w:rPr>
                <w:sz w:val="20"/>
                <w:szCs w:val="20"/>
              </w:rPr>
            </w:pPr>
            <w:r>
              <w:rPr>
                <w:sz w:val="20"/>
                <w:szCs w:val="20"/>
              </w:rPr>
              <w:t>68,82</w:t>
            </w:r>
          </w:p>
        </w:tc>
      </w:tr>
      <w:tr w:rsidR="00AC79AD" w14:paraId="0D8A5C1A" w14:textId="77777777" w:rsidTr="00AC79AD">
        <w:trPr>
          <w:trHeight w:val="300"/>
        </w:trPr>
        <w:tc>
          <w:tcPr>
            <w:tcW w:w="7032" w:type="dxa"/>
            <w:tcBorders>
              <w:top w:val="nil"/>
              <w:left w:val="nil"/>
              <w:bottom w:val="nil"/>
              <w:right w:val="nil"/>
            </w:tcBorders>
            <w:shd w:val="clear" w:color="auto" w:fill="auto"/>
            <w:noWrap/>
            <w:vAlign w:val="center"/>
            <w:hideMark/>
          </w:tcPr>
          <w:p w14:paraId="27041511" w14:textId="77777777" w:rsidR="00AC79AD" w:rsidRDefault="00AC79AD">
            <w:pPr>
              <w:rPr>
                <w:b/>
                <w:bCs/>
                <w:color w:val="000000"/>
                <w:sz w:val="20"/>
                <w:szCs w:val="20"/>
              </w:rPr>
            </w:pPr>
            <w:r>
              <w:rPr>
                <w:b/>
                <w:bCs/>
                <w:color w:val="000000"/>
                <w:sz w:val="20"/>
                <w:szCs w:val="20"/>
              </w:rPr>
              <w:t>4. Prihodi za posebne namjene</w:t>
            </w:r>
          </w:p>
        </w:tc>
        <w:tc>
          <w:tcPr>
            <w:tcW w:w="1708" w:type="dxa"/>
            <w:tcBorders>
              <w:top w:val="nil"/>
              <w:left w:val="nil"/>
              <w:bottom w:val="nil"/>
              <w:right w:val="nil"/>
            </w:tcBorders>
            <w:shd w:val="clear" w:color="auto" w:fill="auto"/>
            <w:noWrap/>
            <w:vAlign w:val="bottom"/>
            <w:hideMark/>
          </w:tcPr>
          <w:p w14:paraId="62A8E778" w14:textId="77777777" w:rsidR="00AC79AD" w:rsidRDefault="00AC79AD">
            <w:pPr>
              <w:jc w:val="right"/>
              <w:rPr>
                <w:b/>
                <w:bCs/>
                <w:sz w:val="20"/>
                <w:szCs w:val="20"/>
              </w:rPr>
            </w:pPr>
            <w:r>
              <w:rPr>
                <w:b/>
                <w:bCs/>
                <w:sz w:val="20"/>
                <w:szCs w:val="20"/>
              </w:rPr>
              <w:t>12.340.373,40</w:t>
            </w:r>
          </w:p>
        </w:tc>
        <w:tc>
          <w:tcPr>
            <w:tcW w:w="1660" w:type="dxa"/>
            <w:tcBorders>
              <w:top w:val="nil"/>
              <w:left w:val="nil"/>
              <w:bottom w:val="nil"/>
              <w:right w:val="nil"/>
            </w:tcBorders>
            <w:shd w:val="clear" w:color="auto" w:fill="auto"/>
            <w:noWrap/>
            <w:vAlign w:val="bottom"/>
            <w:hideMark/>
          </w:tcPr>
          <w:p w14:paraId="04C4CC93" w14:textId="77777777" w:rsidR="00AC79AD" w:rsidRDefault="00AC79AD">
            <w:pPr>
              <w:jc w:val="right"/>
              <w:rPr>
                <w:b/>
                <w:bCs/>
                <w:sz w:val="20"/>
                <w:szCs w:val="20"/>
              </w:rPr>
            </w:pPr>
            <w:r>
              <w:rPr>
                <w:b/>
                <w:bCs/>
                <w:sz w:val="20"/>
                <w:szCs w:val="20"/>
              </w:rPr>
              <w:t>15.508.881,43</w:t>
            </w:r>
          </w:p>
        </w:tc>
        <w:tc>
          <w:tcPr>
            <w:tcW w:w="1720" w:type="dxa"/>
            <w:tcBorders>
              <w:top w:val="nil"/>
              <w:left w:val="nil"/>
              <w:bottom w:val="nil"/>
              <w:right w:val="nil"/>
            </w:tcBorders>
            <w:shd w:val="clear" w:color="auto" w:fill="auto"/>
            <w:noWrap/>
            <w:vAlign w:val="bottom"/>
            <w:hideMark/>
          </w:tcPr>
          <w:p w14:paraId="0CE8DF0C" w14:textId="1DCA3E3F" w:rsidR="00AC79AD" w:rsidRDefault="00AC79AD">
            <w:pPr>
              <w:jc w:val="right"/>
              <w:rPr>
                <w:b/>
                <w:bCs/>
                <w:sz w:val="20"/>
                <w:szCs w:val="20"/>
              </w:rPr>
            </w:pPr>
            <w:r>
              <w:rPr>
                <w:b/>
                <w:bCs/>
                <w:sz w:val="20"/>
                <w:szCs w:val="20"/>
              </w:rPr>
              <w:t>14.4</w:t>
            </w:r>
            <w:r w:rsidR="00F762CD">
              <w:rPr>
                <w:b/>
                <w:bCs/>
                <w:sz w:val="20"/>
                <w:szCs w:val="20"/>
              </w:rPr>
              <w:t>13.325,72</w:t>
            </w:r>
          </w:p>
        </w:tc>
        <w:tc>
          <w:tcPr>
            <w:tcW w:w="1120" w:type="dxa"/>
            <w:tcBorders>
              <w:top w:val="nil"/>
              <w:left w:val="nil"/>
              <w:bottom w:val="nil"/>
              <w:right w:val="nil"/>
            </w:tcBorders>
            <w:shd w:val="clear" w:color="auto" w:fill="auto"/>
            <w:noWrap/>
            <w:vAlign w:val="bottom"/>
            <w:hideMark/>
          </w:tcPr>
          <w:p w14:paraId="5CC19950" w14:textId="345E7D4F" w:rsidR="00AC79AD" w:rsidRDefault="00AC79AD">
            <w:pPr>
              <w:jc w:val="right"/>
              <w:rPr>
                <w:b/>
                <w:bCs/>
                <w:sz w:val="20"/>
                <w:szCs w:val="20"/>
              </w:rPr>
            </w:pPr>
            <w:r>
              <w:rPr>
                <w:b/>
                <w:bCs/>
                <w:sz w:val="20"/>
                <w:szCs w:val="20"/>
              </w:rPr>
              <w:t>116,8</w:t>
            </w:r>
            <w:r w:rsidR="00F762CD">
              <w:rPr>
                <w:b/>
                <w:bCs/>
                <w:sz w:val="20"/>
                <w:szCs w:val="20"/>
              </w:rPr>
              <w:t>0</w:t>
            </w:r>
          </w:p>
        </w:tc>
        <w:tc>
          <w:tcPr>
            <w:tcW w:w="1120" w:type="dxa"/>
            <w:tcBorders>
              <w:top w:val="nil"/>
              <w:left w:val="nil"/>
              <w:bottom w:val="nil"/>
              <w:right w:val="nil"/>
            </w:tcBorders>
            <w:shd w:val="clear" w:color="auto" w:fill="auto"/>
            <w:noWrap/>
            <w:vAlign w:val="bottom"/>
            <w:hideMark/>
          </w:tcPr>
          <w:p w14:paraId="0A23769F" w14:textId="3CAD831B" w:rsidR="00AC79AD" w:rsidRDefault="00AC79AD">
            <w:pPr>
              <w:jc w:val="right"/>
              <w:rPr>
                <w:b/>
                <w:bCs/>
                <w:sz w:val="20"/>
                <w:szCs w:val="20"/>
              </w:rPr>
            </w:pPr>
            <w:r>
              <w:rPr>
                <w:b/>
                <w:bCs/>
                <w:sz w:val="20"/>
                <w:szCs w:val="20"/>
              </w:rPr>
              <w:t>92,9</w:t>
            </w:r>
            <w:r w:rsidR="00F762CD">
              <w:rPr>
                <w:b/>
                <w:bCs/>
                <w:sz w:val="20"/>
                <w:szCs w:val="20"/>
              </w:rPr>
              <w:t>4</w:t>
            </w:r>
          </w:p>
        </w:tc>
      </w:tr>
      <w:tr w:rsidR="00AC79AD" w14:paraId="37D64FAF" w14:textId="77777777" w:rsidTr="00AC79AD">
        <w:trPr>
          <w:trHeight w:val="300"/>
        </w:trPr>
        <w:tc>
          <w:tcPr>
            <w:tcW w:w="7032" w:type="dxa"/>
            <w:tcBorders>
              <w:top w:val="nil"/>
              <w:left w:val="nil"/>
              <w:bottom w:val="nil"/>
              <w:right w:val="nil"/>
            </w:tcBorders>
            <w:shd w:val="clear" w:color="auto" w:fill="auto"/>
            <w:noWrap/>
            <w:vAlign w:val="center"/>
            <w:hideMark/>
          </w:tcPr>
          <w:p w14:paraId="0FFBF69D" w14:textId="77777777" w:rsidR="00AC79AD" w:rsidRDefault="00AC79AD">
            <w:pPr>
              <w:rPr>
                <w:color w:val="000000"/>
                <w:sz w:val="20"/>
                <w:szCs w:val="20"/>
              </w:rPr>
            </w:pPr>
            <w:r>
              <w:rPr>
                <w:color w:val="000000"/>
                <w:sz w:val="20"/>
                <w:szCs w:val="20"/>
              </w:rPr>
              <w:t>4.1. Prihodi posebne namjene - komunalna naknada</w:t>
            </w:r>
          </w:p>
        </w:tc>
        <w:tc>
          <w:tcPr>
            <w:tcW w:w="1708" w:type="dxa"/>
            <w:tcBorders>
              <w:top w:val="nil"/>
              <w:left w:val="nil"/>
              <w:bottom w:val="nil"/>
              <w:right w:val="nil"/>
            </w:tcBorders>
            <w:shd w:val="clear" w:color="auto" w:fill="auto"/>
            <w:noWrap/>
            <w:vAlign w:val="bottom"/>
            <w:hideMark/>
          </w:tcPr>
          <w:p w14:paraId="50309C1B" w14:textId="77777777" w:rsidR="00AC79AD" w:rsidRDefault="00AC79AD">
            <w:pPr>
              <w:jc w:val="right"/>
              <w:rPr>
                <w:sz w:val="20"/>
                <w:szCs w:val="20"/>
              </w:rPr>
            </w:pPr>
            <w:r>
              <w:rPr>
                <w:sz w:val="20"/>
                <w:szCs w:val="20"/>
              </w:rPr>
              <w:t>5.263.099,18</w:t>
            </w:r>
          </w:p>
        </w:tc>
        <w:tc>
          <w:tcPr>
            <w:tcW w:w="1660" w:type="dxa"/>
            <w:tcBorders>
              <w:top w:val="nil"/>
              <w:left w:val="nil"/>
              <w:bottom w:val="nil"/>
              <w:right w:val="nil"/>
            </w:tcBorders>
            <w:shd w:val="clear" w:color="auto" w:fill="auto"/>
            <w:noWrap/>
            <w:vAlign w:val="bottom"/>
            <w:hideMark/>
          </w:tcPr>
          <w:p w14:paraId="73E1A50D" w14:textId="77777777" w:rsidR="00AC79AD" w:rsidRDefault="00AC79AD">
            <w:pPr>
              <w:jc w:val="right"/>
              <w:rPr>
                <w:sz w:val="20"/>
                <w:szCs w:val="20"/>
              </w:rPr>
            </w:pPr>
            <w:r>
              <w:rPr>
                <w:sz w:val="20"/>
                <w:szCs w:val="20"/>
              </w:rPr>
              <w:t>7.728.360,35</w:t>
            </w:r>
          </w:p>
        </w:tc>
        <w:tc>
          <w:tcPr>
            <w:tcW w:w="1720" w:type="dxa"/>
            <w:tcBorders>
              <w:top w:val="nil"/>
              <w:left w:val="nil"/>
              <w:bottom w:val="nil"/>
              <w:right w:val="nil"/>
            </w:tcBorders>
            <w:shd w:val="clear" w:color="auto" w:fill="auto"/>
            <w:noWrap/>
            <w:vAlign w:val="bottom"/>
            <w:hideMark/>
          </w:tcPr>
          <w:p w14:paraId="3285DD7B" w14:textId="77777777" w:rsidR="00AC79AD" w:rsidRDefault="00AC79AD">
            <w:pPr>
              <w:jc w:val="right"/>
              <w:rPr>
                <w:sz w:val="20"/>
                <w:szCs w:val="20"/>
              </w:rPr>
            </w:pPr>
            <w:r>
              <w:rPr>
                <w:sz w:val="20"/>
                <w:szCs w:val="20"/>
              </w:rPr>
              <w:t>7.205.026,22</w:t>
            </w:r>
          </w:p>
        </w:tc>
        <w:tc>
          <w:tcPr>
            <w:tcW w:w="1120" w:type="dxa"/>
            <w:tcBorders>
              <w:top w:val="nil"/>
              <w:left w:val="nil"/>
              <w:bottom w:val="nil"/>
              <w:right w:val="nil"/>
            </w:tcBorders>
            <w:shd w:val="clear" w:color="auto" w:fill="auto"/>
            <w:noWrap/>
            <w:vAlign w:val="bottom"/>
            <w:hideMark/>
          </w:tcPr>
          <w:p w14:paraId="548E97F7" w14:textId="77777777" w:rsidR="00AC79AD" w:rsidRDefault="00AC79AD">
            <w:pPr>
              <w:jc w:val="right"/>
              <w:rPr>
                <w:sz w:val="20"/>
                <w:szCs w:val="20"/>
              </w:rPr>
            </w:pPr>
            <w:r>
              <w:rPr>
                <w:sz w:val="20"/>
                <w:szCs w:val="20"/>
              </w:rPr>
              <w:t>136,90</w:t>
            </w:r>
          </w:p>
        </w:tc>
        <w:tc>
          <w:tcPr>
            <w:tcW w:w="1120" w:type="dxa"/>
            <w:tcBorders>
              <w:top w:val="nil"/>
              <w:left w:val="nil"/>
              <w:bottom w:val="nil"/>
              <w:right w:val="nil"/>
            </w:tcBorders>
            <w:shd w:val="clear" w:color="auto" w:fill="auto"/>
            <w:noWrap/>
            <w:vAlign w:val="bottom"/>
            <w:hideMark/>
          </w:tcPr>
          <w:p w14:paraId="7D68C83A" w14:textId="77777777" w:rsidR="00AC79AD" w:rsidRDefault="00AC79AD">
            <w:pPr>
              <w:jc w:val="right"/>
              <w:rPr>
                <w:sz w:val="20"/>
                <w:szCs w:val="20"/>
              </w:rPr>
            </w:pPr>
            <w:r>
              <w:rPr>
                <w:sz w:val="20"/>
                <w:szCs w:val="20"/>
              </w:rPr>
              <w:t>93,23</w:t>
            </w:r>
          </w:p>
        </w:tc>
      </w:tr>
      <w:tr w:rsidR="00AC79AD" w14:paraId="60507B26" w14:textId="77777777" w:rsidTr="00AC79AD">
        <w:trPr>
          <w:trHeight w:val="300"/>
        </w:trPr>
        <w:tc>
          <w:tcPr>
            <w:tcW w:w="7032" w:type="dxa"/>
            <w:tcBorders>
              <w:top w:val="nil"/>
              <w:left w:val="nil"/>
              <w:bottom w:val="nil"/>
              <w:right w:val="nil"/>
            </w:tcBorders>
            <w:shd w:val="clear" w:color="auto" w:fill="auto"/>
            <w:noWrap/>
            <w:vAlign w:val="center"/>
            <w:hideMark/>
          </w:tcPr>
          <w:p w14:paraId="33BBB4BB" w14:textId="77777777" w:rsidR="00AC79AD" w:rsidRDefault="00AC79AD">
            <w:pPr>
              <w:rPr>
                <w:color w:val="000000"/>
                <w:sz w:val="20"/>
                <w:szCs w:val="20"/>
              </w:rPr>
            </w:pPr>
            <w:r>
              <w:rPr>
                <w:color w:val="000000"/>
                <w:sz w:val="20"/>
                <w:szCs w:val="20"/>
              </w:rPr>
              <w:t>4.2. Prihodi posebne namjene - komunalni doprinos</w:t>
            </w:r>
          </w:p>
        </w:tc>
        <w:tc>
          <w:tcPr>
            <w:tcW w:w="1708" w:type="dxa"/>
            <w:tcBorders>
              <w:top w:val="nil"/>
              <w:left w:val="nil"/>
              <w:bottom w:val="nil"/>
              <w:right w:val="nil"/>
            </w:tcBorders>
            <w:shd w:val="clear" w:color="auto" w:fill="auto"/>
            <w:noWrap/>
            <w:vAlign w:val="bottom"/>
            <w:hideMark/>
          </w:tcPr>
          <w:p w14:paraId="431140B3" w14:textId="77777777" w:rsidR="00AC79AD" w:rsidRDefault="00AC79AD">
            <w:pPr>
              <w:jc w:val="right"/>
              <w:rPr>
                <w:sz w:val="20"/>
                <w:szCs w:val="20"/>
              </w:rPr>
            </w:pPr>
            <w:r>
              <w:rPr>
                <w:sz w:val="20"/>
                <w:szCs w:val="20"/>
              </w:rPr>
              <w:t>3.960.949,71</w:t>
            </w:r>
          </w:p>
        </w:tc>
        <w:tc>
          <w:tcPr>
            <w:tcW w:w="1660" w:type="dxa"/>
            <w:tcBorders>
              <w:top w:val="nil"/>
              <w:left w:val="nil"/>
              <w:bottom w:val="nil"/>
              <w:right w:val="nil"/>
            </w:tcBorders>
            <w:shd w:val="clear" w:color="auto" w:fill="auto"/>
            <w:noWrap/>
            <w:vAlign w:val="bottom"/>
            <w:hideMark/>
          </w:tcPr>
          <w:p w14:paraId="07EBF9E8" w14:textId="77777777" w:rsidR="00AC79AD" w:rsidRDefault="00AC79AD">
            <w:pPr>
              <w:jc w:val="right"/>
              <w:rPr>
                <w:sz w:val="20"/>
                <w:szCs w:val="20"/>
              </w:rPr>
            </w:pPr>
            <w:r>
              <w:rPr>
                <w:sz w:val="20"/>
                <w:szCs w:val="20"/>
              </w:rPr>
              <w:t>4.498.944,66</w:t>
            </w:r>
          </w:p>
        </w:tc>
        <w:tc>
          <w:tcPr>
            <w:tcW w:w="1720" w:type="dxa"/>
            <w:tcBorders>
              <w:top w:val="nil"/>
              <w:left w:val="nil"/>
              <w:bottom w:val="nil"/>
              <w:right w:val="nil"/>
            </w:tcBorders>
            <w:shd w:val="clear" w:color="auto" w:fill="auto"/>
            <w:noWrap/>
            <w:vAlign w:val="bottom"/>
            <w:hideMark/>
          </w:tcPr>
          <w:p w14:paraId="02DEFBD2" w14:textId="77777777" w:rsidR="00AC79AD" w:rsidRDefault="00AC79AD">
            <w:pPr>
              <w:jc w:val="right"/>
              <w:rPr>
                <w:sz w:val="20"/>
                <w:szCs w:val="20"/>
              </w:rPr>
            </w:pPr>
            <w:r>
              <w:rPr>
                <w:sz w:val="20"/>
                <w:szCs w:val="20"/>
              </w:rPr>
              <w:t>4.101.780,15</w:t>
            </w:r>
          </w:p>
        </w:tc>
        <w:tc>
          <w:tcPr>
            <w:tcW w:w="1120" w:type="dxa"/>
            <w:tcBorders>
              <w:top w:val="nil"/>
              <w:left w:val="nil"/>
              <w:bottom w:val="nil"/>
              <w:right w:val="nil"/>
            </w:tcBorders>
            <w:shd w:val="clear" w:color="auto" w:fill="auto"/>
            <w:noWrap/>
            <w:vAlign w:val="bottom"/>
            <w:hideMark/>
          </w:tcPr>
          <w:p w14:paraId="3F6F6627" w14:textId="77777777" w:rsidR="00AC79AD" w:rsidRDefault="00AC79AD">
            <w:pPr>
              <w:jc w:val="right"/>
              <w:rPr>
                <w:sz w:val="20"/>
                <w:szCs w:val="20"/>
              </w:rPr>
            </w:pPr>
            <w:r>
              <w:rPr>
                <w:sz w:val="20"/>
                <w:szCs w:val="20"/>
              </w:rPr>
              <w:t>103,56</w:t>
            </w:r>
          </w:p>
        </w:tc>
        <w:tc>
          <w:tcPr>
            <w:tcW w:w="1120" w:type="dxa"/>
            <w:tcBorders>
              <w:top w:val="nil"/>
              <w:left w:val="nil"/>
              <w:bottom w:val="nil"/>
              <w:right w:val="nil"/>
            </w:tcBorders>
            <w:shd w:val="clear" w:color="auto" w:fill="auto"/>
            <w:noWrap/>
            <w:vAlign w:val="bottom"/>
            <w:hideMark/>
          </w:tcPr>
          <w:p w14:paraId="2FAECF39" w14:textId="77777777" w:rsidR="00AC79AD" w:rsidRDefault="00AC79AD">
            <w:pPr>
              <w:jc w:val="right"/>
              <w:rPr>
                <w:sz w:val="20"/>
                <w:szCs w:val="20"/>
              </w:rPr>
            </w:pPr>
            <w:r>
              <w:rPr>
                <w:sz w:val="20"/>
                <w:szCs w:val="20"/>
              </w:rPr>
              <w:t>91,17</w:t>
            </w:r>
          </w:p>
        </w:tc>
      </w:tr>
      <w:tr w:rsidR="00AC79AD" w14:paraId="65EB390A" w14:textId="77777777" w:rsidTr="00AC79AD">
        <w:trPr>
          <w:trHeight w:val="300"/>
        </w:trPr>
        <w:tc>
          <w:tcPr>
            <w:tcW w:w="7032" w:type="dxa"/>
            <w:tcBorders>
              <w:top w:val="nil"/>
              <w:left w:val="nil"/>
              <w:bottom w:val="nil"/>
              <w:right w:val="nil"/>
            </w:tcBorders>
            <w:shd w:val="clear" w:color="auto" w:fill="auto"/>
            <w:noWrap/>
            <w:vAlign w:val="center"/>
            <w:hideMark/>
          </w:tcPr>
          <w:p w14:paraId="0A91388D" w14:textId="77777777" w:rsidR="00AC79AD" w:rsidRDefault="00AC79AD">
            <w:pPr>
              <w:rPr>
                <w:color w:val="000000"/>
                <w:sz w:val="20"/>
                <w:szCs w:val="20"/>
              </w:rPr>
            </w:pPr>
            <w:r>
              <w:rPr>
                <w:color w:val="000000"/>
                <w:sz w:val="20"/>
                <w:szCs w:val="20"/>
              </w:rPr>
              <w:t>4.3. Prihodi posebne namjene - boravišne pristojbe</w:t>
            </w:r>
          </w:p>
        </w:tc>
        <w:tc>
          <w:tcPr>
            <w:tcW w:w="1708" w:type="dxa"/>
            <w:tcBorders>
              <w:top w:val="nil"/>
              <w:left w:val="nil"/>
              <w:bottom w:val="nil"/>
              <w:right w:val="nil"/>
            </w:tcBorders>
            <w:shd w:val="clear" w:color="auto" w:fill="auto"/>
            <w:noWrap/>
            <w:vAlign w:val="bottom"/>
            <w:hideMark/>
          </w:tcPr>
          <w:p w14:paraId="0033213D" w14:textId="77777777" w:rsidR="00AC79AD" w:rsidRDefault="00AC79AD">
            <w:pPr>
              <w:jc w:val="right"/>
              <w:rPr>
                <w:sz w:val="20"/>
                <w:szCs w:val="20"/>
              </w:rPr>
            </w:pPr>
            <w:r>
              <w:rPr>
                <w:sz w:val="20"/>
                <w:szCs w:val="20"/>
              </w:rPr>
              <w:t>161.481,25</w:t>
            </w:r>
          </w:p>
        </w:tc>
        <w:tc>
          <w:tcPr>
            <w:tcW w:w="1660" w:type="dxa"/>
            <w:tcBorders>
              <w:top w:val="nil"/>
              <w:left w:val="nil"/>
              <w:bottom w:val="nil"/>
              <w:right w:val="nil"/>
            </w:tcBorders>
            <w:shd w:val="clear" w:color="auto" w:fill="auto"/>
            <w:noWrap/>
            <w:vAlign w:val="bottom"/>
            <w:hideMark/>
          </w:tcPr>
          <w:p w14:paraId="448ED47C" w14:textId="77777777" w:rsidR="00AC79AD" w:rsidRDefault="00AC79AD">
            <w:pPr>
              <w:jc w:val="right"/>
              <w:rPr>
                <w:sz w:val="20"/>
                <w:szCs w:val="20"/>
              </w:rPr>
            </w:pPr>
            <w:r>
              <w:rPr>
                <w:sz w:val="20"/>
                <w:szCs w:val="20"/>
              </w:rPr>
              <w:t>297.056,25</w:t>
            </w:r>
          </w:p>
        </w:tc>
        <w:tc>
          <w:tcPr>
            <w:tcW w:w="1720" w:type="dxa"/>
            <w:tcBorders>
              <w:top w:val="nil"/>
              <w:left w:val="nil"/>
              <w:bottom w:val="nil"/>
              <w:right w:val="nil"/>
            </w:tcBorders>
            <w:shd w:val="clear" w:color="auto" w:fill="auto"/>
            <w:noWrap/>
            <w:vAlign w:val="bottom"/>
            <w:hideMark/>
          </w:tcPr>
          <w:p w14:paraId="367A8326" w14:textId="77777777" w:rsidR="00AC79AD" w:rsidRDefault="00AC79AD">
            <w:pPr>
              <w:jc w:val="right"/>
              <w:rPr>
                <w:sz w:val="20"/>
                <w:szCs w:val="20"/>
              </w:rPr>
            </w:pPr>
            <w:r>
              <w:rPr>
                <w:sz w:val="20"/>
                <w:szCs w:val="20"/>
              </w:rPr>
              <w:t>297.081,25</w:t>
            </w:r>
          </w:p>
        </w:tc>
        <w:tc>
          <w:tcPr>
            <w:tcW w:w="1120" w:type="dxa"/>
            <w:tcBorders>
              <w:top w:val="nil"/>
              <w:left w:val="nil"/>
              <w:bottom w:val="nil"/>
              <w:right w:val="nil"/>
            </w:tcBorders>
            <w:shd w:val="clear" w:color="auto" w:fill="auto"/>
            <w:noWrap/>
            <w:vAlign w:val="bottom"/>
            <w:hideMark/>
          </w:tcPr>
          <w:p w14:paraId="15061276" w14:textId="77777777" w:rsidR="00AC79AD" w:rsidRDefault="00AC79AD">
            <w:pPr>
              <w:jc w:val="right"/>
              <w:rPr>
                <w:sz w:val="20"/>
                <w:szCs w:val="20"/>
              </w:rPr>
            </w:pPr>
            <w:r>
              <w:rPr>
                <w:sz w:val="20"/>
                <w:szCs w:val="20"/>
              </w:rPr>
              <w:t>183,97</w:t>
            </w:r>
          </w:p>
        </w:tc>
        <w:tc>
          <w:tcPr>
            <w:tcW w:w="1120" w:type="dxa"/>
            <w:tcBorders>
              <w:top w:val="nil"/>
              <w:left w:val="nil"/>
              <w:bottom w:val="nil"/>
              <w:right w:val="nil"/>
            </w:tcBorders>
            <w:shd w:val="clear" w:color="auto" w:fill="auto"/>
            <w:noWrap/>
            <w:vAlign w:val="bottom"/>
            <w:hideMark/>
          </w:tcPr>
          <w:p w14:paraId="24FF018D" w14:textId="77777777" w:rsidR="00AC79AD" w:rsidRDefault="00AC79AD">
            <w:pPr>
              <w:jc w:val="right"/>
              <w:rPr>
                <w:sz w:val="20"/>
                <w:szCs w:val="20"/>
              </w:rPr>
            </w:pPr>
            <w:r>
              <w:rPr>
                <w:sz w:val="20"/>
                <w:szCs w:val="20"/>
              </w:rPr>
              <w:t>100,01</w:t>
            </w:r>
          </w:p>
        </w:tc>
      </w:tr>
      <w:tr w:rsidR="00AC79AD" w14:paraId="0B11B08F" w14:textId="77777777" w:rsidTr="00AC79AD">
        <w:trPr>
          <w:trHeight w:val="300"/>
        </w:trPr>
        <w:tc>
          <w:tcPr>
            <w:tcW w:w="7032" w:type="dxa"/>
            <w:tcBorders>
              <w:top w:val="nil"/>
              <w:left w:val="nil"/>
              <w:bottom w:val="nil"/>
              <w:right w:val="nil"/>
            </w:tcBorders>
            <w:shd w:val="clear" w:color="auto" w:fill="auto"/>
            <w:noWrap/>
            <w:vAlign w:val="center"/>
            <w:hideMark/>
          </w:tcPr>
          <w:p w14:paraId="0BF82507" w14:textId="77777777" w:rsidR="00AC79AD" w:rsidRDefault="00AC79AD">
            <w:pPr>
              <w:rPr>
                <w:color w:val="000000"/>
                <w:sz w:val="20"/>
                <w:szCs w:val="20"/>
              </w:rPr>
            </w:pPr>
            <w:r>
              <w:rPr>
                <w:color w:val="000000"/>
                <w:sz w:val="20"/>
                <w:szCs w:val="20"/>
              </w:rPr>
              <w:t>4.4. Prihodi posebne namjene - spomenička renta</w:t>
            </w:r>
          </w:p>
        </w:tc>
        <w:tc>
          <w:tcPr>
            <w:tcW w:w="1708" w:type="dxa"/>
            <w:tcBorders>
              <w:top w:val="nil"/>
              <w:left w:val="nil"/>
              <w:bottom w:val="nil"/>
              <w:right w:val="nil"/>
            </w:tcBorders>
            <w:shd w:val="clear" w:color="auto" w:fill="auto"/>
            <w:noWrap/>
            <w:vAlign w:val="bottom"/>
            <w:hideMark/>
          </w:tcPr>
          <w:p w14:paraId="49B142B4" w14:textId="77777777" w:rsidR="00AC79AD" w:rsidRDefault="00AC79AD">
            <w:pPr>
              <w:jc w:val="right"/>
              <w:rPr>
                <w:sz w:val="20"/>
                <w:szCs w:val="20"/>
              </w:rPr>
            </w:pPr>
            <w:r>
              <w:rPr>
                <w:sz w:val="20"/>
                <w:szCs w:val="20"/>
              </w:rPr>
              <w:t>120.865,00</w:t>
            </w:r>
          </w:p>
        </w:tc>
        <w:tc>
          <w:tcPr>
            <w:tcW w:w="1660" w:type="dxa"/>
            <w:tcBorders>
              <w:top w:val="nil"/>
              <w:left w:val="nil"/>
              <w:bottom w:val="nil"/>
              <w:right w:val="nil"/>
            </w:tcBorders>
            <w:shd w:val="clear" w:color="auto" w:fill="auto"/>
            <w:noWrap/>
            <w:vAlign w:val="bottom"/>
            <w:hideMark/>
          </w:tcPr>
          <w:p w14:paraId="3058BFF8" w14:textId="77777777" w:rsidR="00AC79AD" w:rsidRDefault="00AC79AD">
            <w:pPr>
              <w:jc w:val="right"/>
              <w:rPr>
                <w:sz w:val="20"/>
                <w:szCs w:val="20"/>
              </w:rPr>
            </w:pPr>
            <w:r>
              <w:rPr>
                <w:sz w:val="20"/>
                <w:szCs w:val="20"/>
              </w:rPr>
              <w:t>90.000,00</w:t>
            </w:r>
          </w:p>
        </w:tc>
        <w:tc>
          <w:tcPr>
            <w:tcW w:w="1720" w:type="dxa"/>
            <w:tcBorders>
              <w:top w:val="nil"/>
              <w:left w:val="nil"/>
              <w:bottom w:val="nil"/>
              <w:right w:val="nil"/>
            </w:tcBorders>
            <w:shd w:val="clear" w:color="auto" w:fill="auto"/>
            <w:noWrap/>
            <w:vAlign w:val="bottom"/>
            <w:hideMark/>
          </w:tcPr>
          <w:p w14:paraId="57C958FF" w14:textId="77777777" w:rsidR="00AC79AD" w:rsidRDefault="00AC79AD">
            <w:pPr>
              <w:jc w:val="right"/>
              <w:rPr>
                <w:sz w:val="20"/>
                <w:szCs w:val="20"/>
              </w:rPr>
            </w:pPr>
            <w:r>
              <w:rPr>
                <w:sz w:val="20"/>
                <w:szCs w:val="20"/>
              </w:rPr>
              <w:t>90.331,25</w:t>
            </w:r>
          </w:p>
        </w:tc>
        <w:tc>
          <w:tcPr>
            <w:tcW w:w="1120" w:type="dxa"/>
            <w:tcBorders>
              <w:top w:val="nil"/>
              <w:left w:val="nil"/>
              <w:bottom w:val="nil"/>
              <w:right w:val="nil"/>
            </w:tcBorders>
            <w:shd w:val="clear" w:color="auto" w:fill="auto"/>
            <w:noWrap/>
            <w:vAlign w:val="bottom"/>
            <w:hideMark/>
          </w:tcPr>
          <w:p w14:paraId="6268088D" w14:textId="77777777" w:rsidR="00AC79AD" w:rsidRDefault="00AC79AD">
            <w:pPr>
              <w:jc w:val="right"/>
              <w:rPr>
                <w:sz w:val="20"/>
                <w:szCs w:val="20"/>
              </w:rPr>
            </w:pPr>
            <w:r>
              <w:rPr>
                <w:sz w:val="20"/>
                <w:szCs w:val="20"/>
              </w:rPr>
              <w:t>74,74</w:t>
            </w:r>
          </w:p>
        </w:tc>
        <w:tc>
          <w:tcPr>
            <w:tcW w:w="1120" w:type="dxa"/>
            <w:tcBorders>
              <w:top w:val="nil"/>
              <w:left w:val="nil"/>
              <w:bottom w:val="nil"/>
              <w:right w:val="nil"/>
            </w:tcBorders>
            <w:shd w:val="clear" w:color="auto" w:fill="auto"/>
            <w:noWrap/>
            <w:vAlign w:val="bottom"/>
            <w:hideMark/>
          </w:tcPr>
          <w:p w14:paraId="4C1CE1DD" w14:textId="77777777" w:rsidR="00AC79AD" w:rsidRDefault="00AC79AD">
            <w:pPr>
              <w:jc w:val="right"/>
              <w:rPr>
                <w:sz w:val="20"/>
                <w:szCs w:val="20"/>
              </w:rPr>
            </w:pPr>
            <w:r>
              <w:rPr>
                <w:sz w:val="20"/>
                <w:szCs w:val="20"/>
              </w:rPr>
              <w:t>100,37</w:t>
            </w:r>
          </w:p>
        </w:tc>
      </w:tr>
      <w:tr w:rsidR="00AC79AD" w14:paraId="068CB4BA" w14:textId="77777777" w:rsidTr="00AC79AD">
        <w:trPr>
          <w:trHeight w:val="300"/>
        </w:trPr>
        <w:tc>
          <w:tcPr>
            <w:tcW w:w="7032" w:type="dxa"/>
            <w:tcBorders>
              <w:top w:val="nil"/>
              <w:left w:val="nil"/>
              <w:bottom w:val="nil"/>
              <w:right w:val="nil"/>
            </w:tcBorders>
            <w:shd w:val="clear" w:color="auto" w:fill="auto"/>
            <w:noWrap/>
            <w:vAlign w:val="center"/>
            <w:hideMark/>
          </w:tcPr>
          <w:p w14:paraId="40AF0630" w14:textId="77777777" w:rsidR="00AC79AD" w:rsidRDefault="00AC79AD">
            <w:pPr>
              <w:rPr>
                <w:color w:val="000000"/>
                <w:sz w:val="20"/>
                <w:szCs w:val="20"/>
              </w:rPr>
            </w:pPr>
            <w:r>
              <w:rPr>
                <w:color w:val="000000"/>
                <w:sz w:val="20"/>
                <w:szCs w:val="20"/>
              </w:rPr>
              <w:t>4.5. Prihodi posebne namjene - poljoprivredno zemljište RH</w:t>
            </w:r>
          </w:p>
        </w:tc>
        <w:tc>
          <w:tcPr>
            <w:tcW w:w="1708" w:type="dxa"/>
            <w:tcBorders>
              <w:top w:val="nil"/>
              <w:left w:val="nil"/>
              <w:bottom w:val="nil"/>
              <w:right w:val="nil"/>
            </w:tcBorders>
            <w:shd w:val="clear" w:color="auto" w:fill="auto"/>
            <w:noWrap/>
            <w:vAlign w:val="bottom"/>
            <w:hideMark/>
          </w:tcPr>
          <w:p w14:paraId="158D27AC" w14:textId="77777777" w:rsidR="00AC79AD" w:rsidRDefault="00AC79AD">
            <w:pPr>
              <w:jc w:val="right"/>
              <w:rPr>
                <w:sz w:val="20"/>
                <w:szCs w:val="20"/>
              </w:rPr>
            </w:pPr>
            <w:r>
              <w:rPr>
                <w:sz w:val="20"/>
                <w:szCs w:val="20"/>
              </w:rPr>
              <w:t>943.192,59</w:t>
            </w:r>
          </w:p>
        </w:tc>
        <w:tc>
          <w:tcPr>
            <w:tcW w:w="1660" w:type="dxa"/>
            <w:tcBorders>
              <w:top w:val="nil"/>
              <w:left w:val="nil"/>
              <w:bottom w:val="nil"/>
              <w:right w:val="nil"/>
            </w:tcBorders>
            <w:shd w:val="clear" w:color="auto" w:fill="auto"/>
            <w:noWrap/>
            <w:vAlign w:val="bottom"/>
            <w:hideMark/>
          </w:tcPr>
          <w:p w14:paraId="6337A8DB" w14:textId="77777777" w:rsidR="00AC79AD" w:rsidRDefault="00AC79AD">
            <w:pPr>
              <w:jc w:val="right"/>
              <w:rPr>
                <w:sz w:val="20"/>
                <w:szCs w:val="20"/>
              </w:rPr>
            </w:pPr>
            <w:r>
              <w:rPr>
                <w:sz w:val="20"/>
                <w:szCs w:val="20"/>
              </w:rPr>
              <w:t>225.400,00</w:t>
            </w:r>
          </w:p>
        </w:tc>
        <w:tc>
          <w:tcPr>
            <w:tcW w:w="1720" w:type="dxa"/>
            <w:tcBorders>
              <w:top w:val="nil"/>
              <w:left w:val="nil"/>
              <w:bottom w:val="nil"/>
              <w:right w:val="nil"/>
            </w:tcBorders>
            <w:shd w:val="clear" w:color="auto" w:fill="auto"/>
            <w:noWrap/>
            <w:vAlign w:val="bottom"/>
            <w:hideMark/>
          </w:tcPr>
          <w:p w14:paraId="6955BC50" w14:textId="77777777" w:rsidR="00AC79AD" w:rsidRDefault="00AC79AD">
            <w:pPr>
              <w:jc w:val="right"/>
              <w:rPr>
                <w:sz w:val="20"/>
                <w:szCs w:val="20"/>
              </w:rPr>
            </w:pPr>
            <w:r>
              <w:rPr>
                <w:sz w:val="20"/>
                <w:szCs w:val="20"/>
              </w:rPr>
              <w:t>263.859,49</w:t>
            </w:r>
          </w:p>
        </w:tc>
        <w:tc>
          <w:tcPr>
            <w:tcW w:w="1120" w:type="dxa"/>
            <w:tcBorders>
              <w:top w:val="nil"/>
              <w:left w:val="nil"/>
              <w:bottom w:val="nil"/>
              <w:right w:val="nil"/>
            </w:tcBorders>
            <w:shd w:val="clear" w:color="auto" w:fill="auto"/>
            <w:noWrap/>
            <w:vAlign w:val="bottom"/>
            <w:hideMark/>
          </w:tcPr>
          <w:p w14:paraId="19263257" w14:textId="77777777" w:rsidR="00AC79AD" w:rsidRDefault="00AC79AD">
            <w:pPr>
              <w:jc w:val="right"/>
              <w:rPr>
                <w:sz w:val="20"/>
                <w:szCs w:val="20"/>
              </w:rPr>
            </w:pPr>
            <w:r>
              <w:rPr>
                <w:sz w:val="20"/>
                <w:szCs w:val="20"/>
              </w:rPr>
              <w:t>27,98</w:t>
            </w:r>
          </w:p>
        </w:tc>
        <w:tc>
          <w:tcPr>
            <w:tcW w:w="1120" w:type="dxa"/>
            <w:tcBorders>
              <w:top w:val="nil"/>
              <w:left w:val="nil"/>
              <w:bottom w:val="nil"/>
              <w:right w:val="nil"/>
            </w:tcBorders>
            <w:shd w:val="clear" w:color="auto" w:fill="auto"/>
            <w:noWrap/>
            <w:vAlign w:val="bottom"/>
            <w:hideMark/>
          </w:tcPr>
          <w:p w14:paraId="6965EEF2" w14:textId="77777777" w:rsidR="00AC79AD" w:rsidRDefault="00AC79AD">
            <w:pPr>
              <w:jc w:val="right"/>
              <w:rPr>
                <w:sz w:val="20"/>
                <w:szCs w:val="20"/>
              </w:rPr>
            </w:pPr>
            <w:r>
              <w:rPr>
                <w:sz w:val="20"/>
                <w:szCs w:val="20"/>
              </w:rPr>
              <w:t>117,06</w:t>
            </w:r>
          </w:p>
        </w:tc>
      </w:tr>
      <w:tr w:rsidR="00AC79AD" w14:paraId="11821168" w14:textId="77777777" w:rsidTr="00AC79AD">
        <w:trPr>
          <w:trHeight w:val="300"/>
        </w:trPr>
        <w:tc>
          <w:tcPr>
            <w:tcW w:w="7032" w:type="dxa"/>
            <w:tcBorders>
              <w:top w:val="nil"/>
              <w:left w:val="nil"/>
              <w:bottom w:val="nil"/>
              <w:right w:val="nil"/>
            </w:tcBorders>
            <w:shd w:val="clear" w:color="auto" w:fill="auto"/>
            <w:noWrap/>
            <w:vAlign w:val="center"/>
            <w:hideMark/>
          </w:tcPr>
          <w:p w14:paraId="5EFDEBE1" w14:textId="77777777" w:rsidR="00AC79AD" w:rsidRDefault="00AC79AD">
            <w:pPr>
              <w:rPr>
                <w:color w:val="000000"/>
                <w:sz w:val="20"/>
                <w:szCs w:val="20"/>
              </w:rPr>
            </w:pPr>
            <w:r>
              <w:rPr>
                <w:color w:val="000000"/>
                <w:sz w:val="20"/>
                <w:szCs w:val="20"/>
              </w:rPr>
              <w:t>4.6. Prihodi posebne namjene - ostali</w:t>
            </w:r>
          </w:p>
        </w:tc>
        <w:tc>
          <w:tcPr>
            <w:tcW w:w="1708" w:type="dxa"/>
            <w:tcBorders>
              <w:top w:val="nil"/>
              <w:left w:val="nil"/>
              <w:bottom w:val="nil"/>
              <w:right w:val="nil"/>
            </w:tcBorders>
            <w:shd w:val="clear" w:color="auto" w:fill="auto"/>
            <w:noWrap/>
            <w:vAlign w:val="bottom"/>
            <w:hideMark/>
          </w:tcPr>
          <w:p w14:paraId="4E4F0C4D" w14:textId="77777777" w:rsidR="00AC79AD" w:rsidRDefault="00AC79AD">
            <w:pPr>
              <w:jc w:val="right"/>
              <w:rPr>
                <w:sz w:val="20"/>
                <w:szCs w:val="20"/>
              </w:rPr>
            </w:pPr>
            <w:r>
              <w:rPr>
                <w:sz w:val="20"/>
                <w:szCs w:val="20"/>
              </w:rPr>
              <w:t>921.824,62</w:t>
            </w:r>
          </w:p>
        </w:tc>
        <w:tc>
          <w:tcPr>
            <w:tcW w:w="1660" w:type="dxa"/>
            <w:tcBorders>
              <w:top w:val="nil"/>
              <w:left w:val="nil"/>
              <w:bottom w:val="nil"/>
              <w:right w:val="nil"/>
            </w:tcBorders>
            <w:shd w:val="clear" w:color="auto" w:fill="auto"/>
            <w:noWrap/>
            <w:vAlign w:val="bottom"/>
            <w:hideMark/>
          </w:tcPr>
          <w:p w14:paraId="4997BF96" w14:textId="77777777" w:rsidR="00AC79AD" w:rsidRDefault="00AC79AD">
            <w:pPr>
              <w:jc w:val="right"/>
              <w:rPr>
                <w:sz w:val="20"/>
                <w:szCs w:val="20"/>
              </w:rPr>
            </w:pPr>
            <w:r>
              <w:rPr>
                <w:sz w:val="20"/>
                <w:szCs w:val="20"/>
              </w:rPr>
              <w:t>1.362.077,98</w:t>
            </w:r>
          </w:p>
        </w:tc>
        <w:tc>
          <w:tcPr>
            <w:tcW w:w="1720" w:type="dxa"/>
            <w:tcBorders>
              <w:top w:val="nil"/>
              <w:left w:val="nil"/>
              <w:bottom w:val="nil"/>
              <w:right w:val="nil"/>
            </w:tcBorders>
            <w:shd w:val="clear" w:color="auto" w:fill="auto"/>
            <w:noWrap/>
            <w:vAlign w:val="bottom"/>
            <w:hideMark/>
          </w:tcPr>
          <w:p w14:paraId="5D9DC09F" w14:textId="48E30183" w:rsidR="00AC79AD" w:rsidRDefault="00AC79AD">
            <w:pPr>
              <w:jc w:val="right"/>
              <w:rPr>
                <w:sz w:val="20"/>
                <w:szCs w:val="20"/>
              </w:rPr>
            </w:pPr>
            <w:r>
              <w:rPr>
                <w:sz w:val="20"/>
                <w:szCs w:val="20"/>
              </w:rPr>
              <w:t>1.1</w:t>
            </w:r>
            <w:r w:rsidR="00F762CD">
              <w:rPr>
                <w:sz w:val="20"/>
                <w:szCs w:val="20"/>
              </w:rPr>
              <w:t>53.819,35</w:t>
            </w:r>
          </w:p>
        </w:tc>
        <w:tc>
          <w:tcPr>
            <w:tcW w:w="1120" w:type="dxa"/>
            <w:tcBorders>
              <w:top w:val="nil"/>
              <w:left w:val="nil"/>
              <w:bottom w:val="nil"/>
              <w:right w:val="nil"/>
            </w:tcBorders>
            <w:shd w:val="clear" w:color="auto" w:fill="auto"/>
            <w:noWrap/>
            <w:vAlign w:val="bottom"/>
            <w:hideMark/>
          </w:tcPr>
          <w:p w14:paraId="07F37985" w14:textId="19B79CE7" w:rsidR="00AC79AD" w:rsidRDefault="00AC79AD">
            <w:pPr>
              <w:jc w:val="right"/>
              <w:rPr>
                <w:sz w:val="20"/>
                <w:szCs w:val="20"/>
              </w:rPr>
            </w:pPr>
            <w:r>
              <w:rPr>
                <w:sz w:val="20"/>
                <w:szCs w:val="20"/>
              </w:rPr>
              <w:t>125,</w:t>
            </w:r>
            <w:r w:rsidR="00F762CD">
              <w:rPr>
                <w:sz w:val="20"/>
                <w:szCs w:val="20"/>
              </w:rPr>
              <w:t>17</w:t>
            </w:r>
          </w:p>
        </w:tc>
        <w:tc>
          <w:tcPr>
            <w:tcW w:w="1120" w:type="dxa"/>
            <w:tcBorders>
              <w:top w:val="nil"/>
              <w:left w:val="nil"/>
              <w:bottom w:val="nil"/>
              <w:right w:val="nil"/>
            </w:tcBorders>
            <w:shd w:val="clear" w:color="auto" w:fill="auto"/>
            <w:noWrap/>
            <w:vAlign w:val="bottom"/>
            <w:hideMark/>
          </w:tcPr>
          <w:p w14:paraId="22898A0E" w14:textId="135ACB8D" w:rsidR="00AC79AD" w:rsidRDefault="00AC79AD">
            <w:pPr>
              <w:jc w:val="right"/>
              <w:rPr>
                <w:sz w:val="20"/>
                <w:szCs w:val="20"/>
              </w:rPr>
            </w:pPr>
            <w:r>
              <w:rPr>
                <w:sz w:val="20"/>
                <w:szCs w:val="20"/>
              </w:rPr>
              <w:t>8</w:t>
            </w:r>
            <w:r w:rsidR="00F762CD">
              <w:rPr>
                <w:sz w:val="20"/>
                <w:szCs w:val="20"/>
              </w:rPr>
              <w:t>4,71</w:t>
            </w:r>
          </w:p>
        </w:tc>
      </w:tr>
      <w:tr w:rsidR="00AC79AD" w14:paraId="11B04877" w14:textId="77777777" w:rsidTr="00AC79AD">
        <w:trPr>
          <w:trHeight w:val="300"/>
        </w:trPr>
        <w:tc>
          <w:tcPr>
            <w:tcW w:w="7032" w:type="dxa"/>
            <w:tcBorders>
              <w:top w:val="nil"/>
              <w:left w:val="nil"/>
              <w:bottom w:val="nil"/>
              <w:right w:val="nil"/>
            </w:tcBorders>
            <w:shd w:val="clear" w:color="auto" w:fill="auto"/>
            <w:noWrap/>
            <w:vAlign w:val="center"/>
            <w:hideMark/>
          </w:tcPr>
          <w:p w14:paraId="45E27FD9" w14:textId="77777777" w:rsidR="00AC79AD" w:rsidRDefault="00AC79AD">
            <w:pPr>
              <w:rPr>
                <w:color w:val="000000"/>
                <w:sz w:val="20"/>
                <w:szCs w:val="20"/>
              </w:rPr>
            </w:pPr>
            <w:r>
              <w:rPr>
                <w:color w:val="000000"/>
                <w:sz w:val="20"/>
                <w:szCs w:val="20"/>
              </w:rPr>
              <w:t>4.7. Prihodi posebne namjene - proračunski korisnici</w:t>
            </w:r>
          </w:p>
        </w:tc>
        <w:tc>
          <w:tcPr>
            <w:tcW w:w="1708" w:type="dxa"/>
            <w:tcBorders>
              <w:top w:val="nil"/>
              <w:left w:val="nil"/>
              <w:bottom w:val="nil"/>
              <w:right w:val="nil"/>
            </w:tcBorders>
            <w:shd w:val="clear" w:color="auto" w:fill="auto"/>
            <w:noWrap/>
            <w:vAlign w:val="bottom"/>
            <w:hideMark/>
          </w:tcPr>
          <w:p w14:paraId="1D4F8319" w14:textId="77777777" w:rsidR="00AC79AD" w:rsidRDefault="00AC79AD">
            <w:pPr>
              <w:jc w:val="right"/>
              <w:rPr>
                <w:sz w:val="20"/>
                <w:szCs w:val="20"/>
              </w:rPr>
            </w:pPr>
            <w:r>
              <w:rPr>
                <w:sz w:val="20"/>
                <w:szCs w:val="20"/>
              </w:rPr>
              <w:t>968.961,05</w:t>
            </w:r>
          </w:p>
        </w:tc>
        <w:tc>
          <w:tcPr>
            <w:tcW w:w="1660" w:type="dxa"/>
            <w:tcBorders>
              <w:top w:val="nil"/>
              <w:left w:val="nil"/>
              <w:bottom w:val="nil"/>
              <w:right w:val="nil"/>
            </w:tcBorders>
            <w:shd w:val="clear" w:color="auto" w:fill="auto"/>
            <w:noWrap/>
            <w:vAlign w:val="bottom"/>
            <w:hideMark/>
          </w:tcPr>
          <w:p w14:paraId="0E6512B4" w14:textId="77777777" w:rsidR="00AC79AD" w:rsidRDefault="00AC79AD">
            <w:pPr>
              <w:jc w:val="right"/>
              <w:rPr>
                <w:sz w:val="20"/>
                <w:szCs w:val="20"/>
              </w:rPr>
            </w:pPr>
            <w:r>
              <w:rPr>
                <w:sz w:val="20"/>
                <w:szCs w:val="20"/>
              </w:rPr>
              <w:t>1.307.042,19</w:t>
            </w:r>
          </w:p>
        </w:tc>
        <w:tc>
          <w:tcPr>
            <w:tcW w:w="1720" w:type="dxa"/>
            <w:tcBorders>
              <w:top w:val="nil"/>
              <w:left w:val="nil"/>
              <w:bottom w:val="nil"/>
              <w:right w:val="nil"/>
            </w:tcBorders>
            <w:shd w:val="clear" w:color="auto" w:fill="auto"/>
            <w:noWrap/>
            <w:vAlign w:val="bottom"/>
            <w:hideMark/>
          </w:tcPr>
          <w:p w14:paraId="568B34D8" w14:textId="77777777" w:rsidR="00AC79AD" w:rsidRDefault="00AC79AD">
            <w:pPr>
              <w:jc w:val="right"/>
              <w:rPr>
                <w:sz w:val="20"/>
                <w:szCs w:val="20"/>
              </w:rPr>
            </w:pPr>
            <w:r>
              <w:rPr>
                <w:sz w:val="20"/>
                <w:szCs w:val="20"/>
              </w:rPr>
              <w:t>1.301.428,01</w:t>
            </w:r>
          </w:p>
        </w:tc>
        <w:tc>
          <w:tcPr>
            <w:tcW w:w="1120" w:type="dxa"/>
            <w:tcBorders>
              <w:top w:val="nil"/>
              <w:left w:val="nil"/>
              <w:bottom w:val="nil"/>
              <w:right w:val="nil"/>
            </w:tcBorders>
            <w:shd w:val="clear" w:color="auto" w:fill="auto"/>
            <w:noWrap/>
            <w:vAlign w:val="bottom"/>
            <w:hideMark/>
          </w:tcPr>
          <w:p w14:paraId="357717D0" w14:textId="77777777" w:rsidR="00AC79AD" w:rsidRDefault="00AC79AD">
            <w:pPr>
              <w:jc w:val="right"/>
              <w:rPr>
                <w:sz w:val="20"/>
                <w:szCs w:val="20"/>
              </w:rPr>
            </w:pPr>
            <w:r>
              <w:rPr>
                <w:sz w:val="20"/>
                <w:szCs w:val="20"/>
              </w:rPr>
              <w:t>134,31</w:t>
            </w:r>
          </w:p>
        </w:tc>
        <w:tc>
          <w:tcPr>
            <w:tcW w:w="1120" w:type="dxa"/>
            <w:tcBorders>
              <w:top w:val="nil"/>
              <w:left w:val="nil"/>
              <w:bottom w:val="nil"/>
              <w:right w:val="nil"/>
            </w:tcBorders>
            <w:shd w:val="clear" w:color="auto" w:fill="auto"/>
            <w:noWrap/>
            <w:vAlign w:val="bottom"/>
            <w:hideMark/>
          </w:tcPr>
          <w:p w14:paraId="34D95C22" w14:textId="77777777" w:rsidR="00AC79AD" w:rsidRDefault="00AC79AD">
            <w:pPr>
              <w:jc w:val="right"/>
              <w:rPr>
                <w:sz w:val="20"/>
                <w:szCs w:val="20"/>
              </w:rPr>
            </w:pPr>
            <w:r>
              <w:rPr>
                <w:sz w:val="20"/>
                <w:szCs w:val="20"/>
              </w:rPr>
              <w:t>99,57</w:t>
            </w:r>
          </w:p>
        </w:tc>
      </w:tr>
      <w:tr w:rsidR="00AC79AD" w14:paraId="243722BA" w14:textId="77777777" w:rsidTr="00AC79AD">
        <w:trPr>
          <w:trHeight w:val="300"/>
        </w:trPr>
        <w:tc>
          <w:tcPr>
            <w:tcW w:w="7032" w:type="dxa"/>
            <w:tcBorders>
              <w:top w:val="nil"/>
              <w:left w:val="nil"/>
              <w:bottom w:val="nil"/>
              <w:right w:val="nil"/>
            </w:tcBorders>
            <w:shd w:val="clear" w:color="auto" w:fill="auto"/>
            <w:noWrap/>
            <w:vAlign w:val="center"/>
            <w:hideMark/>
          </w:tcPr>
          <w:p w14:paraId="32D8B4FA" w14:textId="77777777" w:rsidR="00AC79AD" w:rsidRDefault="00AC79AD">
            <w:pPr>
              <w:rPr>
                <w:b/>
                <w:bCs/>
                <w:color w:val="000000"/>
                <w:sz w:val="20"/>
                <w:szCs w:val="20"/>
              </w:rPr>
            </w:pPr>
            <w:r>
              <w:rPr>
                <w:b/>
                <w:bCs/>
                <w:color w:val="000000"/>
                <w:sz w:val="20"/>
                <w:szCs w:val="20"/>
              </w:rPr>
              <w:t>5. Pomoći</w:t>
            </w:r>
          </w:p>
        </w:tc>
        <w:tc>
          <w:tcPr>
            <w:tcW w:w="1708" w:type="dxa"/>
            <w:tcBorders>
              <w:top w:val="nil"/>
              <w:left w:val="nil"/>
              <w:bottom w:val="nil"/>
              <w:right w:val="nil"/>
            </w:tcBorders>
            <w:shd w:val="clear" w:color="auto" w:fill="auto"/>
            <w:noWrap/>
            <w:vAlign w:val="bottom"/>
            <w:hideMark/>
          </w:tcPr>
          <w:p w14:paraId="3EA3BA0E" w14:textId="77777777" w:rsidR="00AC79AD" w:rsidRDefault="00AC79AD">
            <w:pPr>
              <w:jc w:val="right"/>
              <w:rPr>
                <w:b/>
                <w:bCs/>
                <w:sz w:val="20"/>
                <w:szCs w:val="20"/>
              </w:rPr>
            </w:pPr>
            <w:r>
              <w:rPr>
                <w:b/>
                <w:bCs/>
                <w:sz w:val="20"/>
                <w:szCs w:val="20"/>
              </w:rPr>
              <w:t>2.972.013,86</w:t>
            </w:r>
          </w:p>
        </w:tc>
        <w:tc>
          <w:tcPr>
            <w:tcW w:w="1660" w:type="dxa"/>
            <w:tcBorders>
              <w:top w:val="nil"/>
              <w:left w:val="nil"/>
              <w:bottom w:val="nil"/>
              <w:right w:val="nil"/>
            </w:tcBorders>
            <w:shd w:val="clear" w:color="auto" w:fill="auto"/>
            <w:noWrap/>
            <w:vAlign w:val="bottom"/>
            <w:hideMark/>
          </w:tcPr>
          <w:p w14:paraId="2A257FC2" w14:textId="77777777" w:rsidR="00AC79AD" w:rsidRDefault="00AC79AD">
            <w:pPr>
              <w:jc w:val="right"/>
              <w:rPr>
                <w:b/>
                <w:bCs/>
                <w:sz w:val="20"/>
                <w:szCs w:val="20"/>
              </w:rPr>
            </w:pPr>
            <w:r>
              <w:rPr>
                <w:b/>
                <w:bCs/>
                <w:sz w:val="20"/>
                <w:szCs w:val="20"/>
              </w:rPr>
              <w:t>1.310.595,93</w:t>
            </w:r>
          </w:p>
        </w:tc>
        <w:tc>
          <w:tcPr>
            <w:tcW w:w="1720" w:type="dxa"/>
            <w:tcBorders>
              <w:top w:val="nil"/>
              <w:left w:val="nil"/>
              <w:bottom w:val="nil"/>
              <w:right w:val="nil"/>
            </w:tcBorders>
            <w:shd w:val="clear" w:color="auto" w:fill="auto"/>
            <w:noWrap/>
            <w:vAlign w:val="bottom"/>
            <w:hideMark/>
          </w:tcPr>
          <w:p w14:paraId="7BA2F2B1" w14:textId="77777777" w:rsidR="00AC79AD" w:rsidRDefault="00AC79AD">
            <w:pPr>
              <w:jc w:val="right"/>
              <w:rPr>
                <w:b/>
                <w:bCs/>
                <w:sz w:val="20"/>
                <w:szCs w:val="20"/>
              </w:rPr>
            </w:pPr>
            <w:r>
              <w:rPr>
                <w:b/>
                <w:bCs/>
                <w:sz w:val="20"/>
                <w:szCs w:val="20"/>
              </w:rPr>
              <w:t>1.639.115,75</w:t>
            </w:r>
          </w:p>
        </w:tc>
        <w:tc>
          <w:tcPr>
            <w:tcW w:w="1120" w:type="dxa"/>
            <w:tcBorders>
              <w:top w:val="nil"/>
              <w:left w:val="nil"/>
              <w:bottom w:val="nil"/>
              <w:right w:val="nil"/>
            </w:tcBorders>
            <w:shd w:val="clear" w:color="auto" w:fill="auto"/>
            <w:noWrap/>
            <w:vAlign w:val="bottom"/>
            <w:hideMark/>
          </w:tcPr>
          <w:p w14:paraId="35455980" w14:textId="77777777" w:rsidR="00AC79AD" w:rsidRDefault="00AC79AD">
            <w:pPr>
              <w:jc w:val="right"/>
              <w:rPr>
                <w:b/>
                <w:bCs/>
                <w:sz w:val="20"/>
                <w:szCs w:val="20"/>
              </w:rPr>
            </w:pPr>
            <w:r>
              <w:rPr>
                <w:b/>
                <w:bCs/>
                <w:sz w:val="20"/>
                <w:szCs w:val="20"/>
              </w:rPr>
              <w:t>55,15</w:t>
            </w:r>
          </w:p>
        </w:tc>
        <w:tc>
          <w:tcPr>
            <w:tcW w:w="1120" w:type="dxa"/>
            <w:tcBorders>
              <w:top w:val="nil"/>
              <w:left w:val="nil"/>
              <w:bottom w:val="nil"/>
              <w:right w:val="nil"/>
            </w:tcBorders>
            <w:shd w:val="clear" w:color="auto" w:fill="auto"/>
            <w:noWrap/>
            <w:vAlign w:val="bottom"/>
            <w:hideMark/>
          </w:tcPr>
          <w:p w14:paraId="40875E3D" w14:textId="77777777" w:rsidR="00AC79AD" w:rsidRDefault="00AC79AD">
            <w:pPr>
              <w:jc w:val="right"/>
              <w:rPr>
                <w:b/>
                <w:bCs/>
                <w:sz w:val="20"/>
                <w:szCs w:val="20"/>
              </w:rPr>
            </w:pPr>
            <w:r>
              <w:rPr>
                <w:b/>
                <w:bCs/>
                <w:sz w:val="20"/>
                <w:szCs w:val="20"/>
              </w:rPr>
              <w:t>125,07</w:t>
            </w:r>
          </w:p>
        </w:tc>
      </w:tr>
      <w:tr w:rsidR="00AC79AD" w14:paraId="5A8A8595" w14:textId="77777777" w:rsidTr="00AC79AD">
        <w:trPr>
          <w:trHeight w:val="300"/>
        </w:trPr>
        <w:tc>
          <w:tcPr>
            <w:tcW w:w="7032" w:type="dxa"/>
            <w:tcBorders>
              <w:top w:val="nil"/>
              <w:left w:val="nil"/>
              <w:bottom w:val="nil"/>
              <w:right w:val="nil"/>
            </w:tcBorders>
            <w:shd w:val="clear" w:color="auto" w:fill="auto"/>
            <w:noWrap/>
            <w:vAlign w:val="center"/>
            <w:hideMark/>
          </w:tcPr>
          <w:p w14:paraId="723C07DE" w14:textId="77777777" w:rsidR="00AC79AD" w:rsidRDefault="00AC79AD">
            <w:pPr>
              <w:rPr>
                <w:color w:val="000000"/>
                <w:sz w:val="20"/>
                <w:szCs w:val="20"/>
              </w:rPr>
            </w:pPr>
            <w:r>
              <w:rPr>
                <w:color w:val="000000"/>
                <w:sz w:val="20"/>
                <w:szCs w:val="20"/>
              </w:rPr>
              <w:t>5.1. Pomoći</w:t>
            </w:r>
          </w:p>
        </w:tc>
        <w:tc>
          <w:tcPr>
            <w:tcW w:w="1708" w:type="dxa"/>
            <w:tcBorders>
              <w:top w:val="nil"/>
              <w:left w:val="nil"/>
              <w:bottom w:val="nil"/>
              <w:right w:val="nil"/>
            </w:tcBorders>
            <w:shd w:val="clear" w:color="auto" w:fill="auto"/>
            <w:noWrap/>
            <w:vAlign w:val="bottom"/>
            <w:hideMark/>
          </w:tcPr>
          <w:p w14:paraId="0406C8BD" w14:textId="77777777" w:rsidR="00AC79AD" w:rsidRDefault="00AC79AD">
            <w:pPr>
              <w:jc w:val="right"/>
              <w:rPr>
                <w:sz w:val="20"/>
                <w:szCs w:val="20"/>
              </w:rPr>
            </w:pPr>
            <w:r>
              <w:rPr>
                <w:sz w:val="20"/>
                <w:szCs w:val="20"/>
              </w:rPr>
              <w:t>2.225.624,44</w:t>
            </w:r>
          </w:p>
        </w:tc>
        <w:tc>
          <w:tcPr>
            <w:tcW w:w="1660" w:type="dxa"/>
            <w:tcBorders>
              <w:top w:val="nil"/>
              <w:left w:val="nil"/>
              <w:bottom w:val="nil"/>
              <w:right w:val="nil"/>
            </w:tcBorders>
            <w:shd w:val="clear" w:color="auto" w:fill="auto"/>
            <w:noWrap/>
            <w:vAlign w:val="bottom"/>
            <w:hideMark/>
          </w:tcPr>
          <w:p w14:paraId="134F9C28" w14:textId="77777777" w:rsidR="00AC79AD" w:rsidRDefault="00AC79AD">
            <w:pPr>
              <w:jc w:val="right"/>
              <w:rPr>
                <w:sz w:val="20"/>
                <w:szCs w:val="20"/>
              </w:rPr>
            </w:pPr>
            <w:r>
              <w:rPr>
                <w:sz w:val="20"/>
                <w:szCs w:val="20"/>
              </w:rPr>
              <w:t>601.982,50</w:t>
            </w:r>
          </w:p>
        </w:tc>
        <w:tc>
          <w:tcPr>
            <w:tcW w:w="1720" w:type="dxa"/>
            <w:tcBorders>
              <w:top w:val="nil"/>
              <w:left w:val="nil"/>
              <w:bottom w:val="nil"/>
              <w:right w:val="nil"/>
            </w:tcBorders>
            <w:shd w:val="clear" w:color="auto" w:fill="auto"/>
            <w:noWrap/>
            <w:vAlign w:val="bottom"/>
            <w:hideMark/>
          </w:tcPr>
          <w:p w14:paraId="7026656C" w14:textId="77777777" w:rsidR="00AC79AD" w:rsidRDefault="00AC79AD">
            <w:pPr>
              <w:jc w:val="right"/>
              <w:rPr>
                <w:sz w:val="20"/>
                <w:szCs w:val="20"/>
              </w:rPr>
            </w:pPr>
            <w:r>
              <w:rPr>
                <w:sz w:val="20"/>
                <w:szCs w:val="20"/>
              </w:rPr>
              <w:t>811.941,58</w:t>
            </w:r>
          </w:p>
        </w:tc>
        <w:tc>
          <w:tcPr>
            <w:tcW w:w="1120" w:type="dxa"/>
            <w:tcBorders>
              <w:top w:val="nil"/>
              <w:left w:val="nil"/>
              <w:bottom w:val="nil"/>
              <w:right w:val="nil"/>
            </w:tcBorders>
            <w:shd w:val="clear" w:color="auto" w:fill="auto"/>
            <w:noWrap/>
            <w:vAlign w:val="bottom"/>
            <w:hideMark/>
          </w:tcPr>
          <w:p w14:paraId="0C0DD799" w14:textId="77777777" w:rsidR="00AC79AD" w:rsidRDefault="00AC79AD">
            <w:pPr>
              <w:jc w:val="right"/>
              <w:rPr>
                <w:sz w:val="20"/>
                <w:szCs w:val="20"/>
              </w:rPr>
            </w:pPr>
            <w:r>
              <w:rPr>
                <w:sz w:val="20"/>
                <w:szCs w:val="20"/>
              </w:rPr>
              <w:t>36,48</w:t>
            </w:r>
          </w:p>
        </w:tc>
        <w:tc>
          <w:tcPr>
            <w:tcW w:w="1120" w:type="dxa"/>
            <w:tcBorders>
              <w:top w:val="nil"/>
              <w:left w:val="nil"/>
              <w:bottom w:val="nil"/>
              <w:right w:val="nil"/>
            </w:tcBorders>
            <w:shd w:val="clear" w:color="auto" w:fill="auto"/>
            <w:noWrap/>
            <w:vAlign w:val="bottom"/>
            <w:hideMark/>
          </w:tcPr>
          <w:p w14:paraId="0A14C9B3" w14:textId="77777777" w:rsidR="00AC79AD" w:rsidRDefault="00AC79AD">
            <w:pPr>
              <w:jc w:val="right"/>
              <w:rPr>
                <w:sz w:val="20"/>
                <w:szCs w:val="20"/>
              </w:rPr>
            </w:pPr>
            <w:r>
              <w:rPr>
                <w:sz w:val="20"/>
                <w:szCs w:val="20"/>
              </w:rPr>
              <w:t>134,88</w:t>
            </w:r>
          </w:p>
        </w:tc>
      </w:tr>
      <w:tr w:rsidR="00AC79AD" w14:paraId="48041110" w14:textId="77777777" w:rsidTr="00AC79AD">
        <w:trPr>
          <w:trHeight w:val="300"/>
        </w:trPr>
        <w:tc>
          <w:tcPr>
            <w:tcW w:w="7032" w:type="dxa"/>
            <w:tcBorders>
              <w:top w:val="nil"/>
              <w:left w:val="nil"/>
              <w:bottom w:val="nil"/>
              <w:right w:val="nil"/>
            </w:tcBorders>
            <w:shd w:val="clear" w:color="auto" w:fill="auto"/>
            <w:noWrap/>
            <w:vAlign w:val="center"/>
            <w:hideMark/>
          </w:tcPr>
          <w:p w14:paraId="0F338FC1" w14:textId="77777777" w:rsidR="00AC79AD" w:rsidRDefault="00AC79AD">
            <w:pPr>
              <w:rPr>
                <w:color w:val="000000"/>
                <w:sz w:val="20"/>
                <w:szCs w:val="20"/>
              </w:rPr>
            </w:pPr>
            <w:r>
              <w:rPr>
                <w:color w:val="000000"/>
                <w:sz w:val="20"/>
                <w:szCs w:val="20"/>
              </w:rPr>
              <w:t>5.2. Pomoći - proračunski korisnici (Grad)</w:t>
            </w:r>
          </w:p>
        </w:tc>
        <w:tc>
          <w:tcPr>
            <w:tcW w:w="1708" w:type="dxa"/>
            <w:tcBorders>
              <w:top w:val="nil"/>
              <w:left w:val="nil"/>
              <w:bottom w:val="nil"/>
              <w:right w:val="nil"/>
            </w:tcBorders>
            <w:shd w:val="clear" w:color="auto" w:fill="auto"/>
            <w:noWrap/>
            <w:vAlign w:val="bottom"/>
            <w:hideMark/>
          </w:tcPr>
          <w:p w14:paraId="481EA4CC" w14:textId="77777777" w:rsidR="00AC79AD" w:rsidRDefault="00AC79AD">
            <w:pPr>
              <w:jc w:val="right"/>
              <w:rPr>
                <w:sz w:val="20"/>
                <w:szCs w:val="20"/>
              </w:rPr>
            </w:pPr>
            <w:r>
              <w:rPr>
                <w:sz w:val="20"/>
                <w:szCs w:val="20"/>
              </w:rPr>
              <w:t>746.389,42</w:t>
            </w:r>
          </w:p>
        </w:tc>
        <w:tc>
          <w:tcPr>
            <w:tcW w:w="1660" w:type="dxa"/>
            <w:tcBorders>
              <w:top w:val="nil"/>
              <w:left w:val="nil"/>
              <w:bottom w:val="nil"/>
              <w:right w:val="nil"/>
            </w:tcBorders>
            <w:shd w:val="clear" w:color="auto" w:fill="auto"/>
            <w:noWrap/>
            <w:vAlign w:val="bottom"/>
            <w:hideMark/>
          </w:tcPr>
          <w:p w14:paraId="5AA4FD1A" w14:textId="77777777" w:rsidR="00AC79AD" w:rsidRDefault="00AC79AD">
            <w:pPr>
              <w:jc w:val="right"/>
              <w:rPr>
                <w:sz w:val="20"/>
                <w:szCs w:val="20"/>
              </w:rPr>
            </w:pPr>
            <w:r>
              <w:rPr>
                <w:sz w:val="20"/>
                <w:szCs w:val="20"/>
              </w:rPr>
              <w:t>708.613,43</w:t>
            </w:r>
          </w:p>
        </w:tc>
        <w:tc>
          <w:tcPr>
            <w:tcW w:w="1720" w:type="dxa"/>
            <w:tcBorders>
              <w:top w:val="nil"/>
              <w:left w:val="nil"/>
              <w:bottom w:val="nil"/>
              <w:right w:val="nil"/>
            </w:tcBorders>
            <w:shd w:val="clear" w:color="auto" w:fill="auto"/>
            <w:noWrap/>
            <w:vAlign w:val="bottom"/>
            <w:hideMark/>
          </w:tcPr>
          <w:p w14:paraId="068EA3DE" w14:textId="77777777" w:rsidR="00AC79AD" w:rsidRDefault="00AC79AD">
            <w:pPr>
              <w:jc w:val="right"/>
              <w:rPr>
                <w:sz w:val="20"/>
                <w:szCs w:val="20"/>
              </w:rPr>
            </w:pPr>
            <w:r>
              <w:rPr>
                <w:sz w:val="20"/>
                <w:szCs w:val="20"/>
              </w:rPr>
              <w:t>827.174,17</w:t>
            </w:r>
          </w:p>
        </w:tc>
        <w:tc>
          <w:tcPr>
            <w:tcW w:w="1120" w:type="dxa"/>
            <w:tcBorders>
              <w:top w:val="nil"/>
              <w:left w:val="nil"/>
              <w:bottom w:val="nil"/>
              <w:right w:val="nil"/>
            </w:tcBorders>
            <w:shd w:val="clear" w:color="auto" w:fill="auto"/>
            <w:noWrap/>
            <w:vAlign w:val="bottom"/>
            <w:hideMark/>
          </w:tcPr>
          <w:p w14:paraId="293131D3" w14:textId="77777777" w:rsidR="00AC79AD" w:rsidRDefault="00AC79AD">
            <w:pPr>
              <w:jc w:val="right"/>
              <w:rPr>
                <w:sz w:val="20"/>
                <w:szCs w:val="20"/>
              </w:rPr>
            </w:pPr>
            <w:r>
              <w:rPr>
                <w:sz w:val="20"/>
                <w:szCs w:val="20"/>
              </w:rPr>
              <w:t>110,82</w:t>
            </w:r>
          </w:p>
        </w:tc>
        <w:tc>
          <w:tcPr>
            <w:tcW w:w="1120" w:type="dxa"/>
            <w:tcBorders>
              <w:top w:val="nil"/>
              <w:left w:val="nil"/>
              <w:bottom w:val="nil"/>
              <w:right w:val="nil"/>
            </w:tcBorders>
            <w:shd w:val="clear" w:color="auto" w:fill="auto"/>
            <w:noWrap/>
            <w:vAlign w:val="bottom"/>
            <w:hideMark/>
          </w:tcPr>
          <w:p w14:paraId="5F512BA4" w14:textId="77777777" w:rsidR="00AC79AD" w:rsidRDefault="00AC79AD">
            <w:pPr>
              <w:jc w:val="right"/>
              <w:rPr>
                <w:sz w:val="20"/>
                <w:szCs w:val="20"/>
              </w:rPr>
            </w:pPr>
            <w:r>
              <w:rPr>
                <w:sz w:val="20"/>
                <w:szCs w:val="20"/>
              </w:rPr>
              <w:t>116,73</w:t>
            </w:r>
          </w:p>
        </w:tc>
      </w:tr>
      <w:tr w:rsidR="00AC79AD" w14:paraId="7D480294" w14:textId="77777777" w:rsidTr="00AC79AD">
        <w:trPr>
          <w:trHeight w:val="300"/>
        </w:trPr>
        <w:tc>
          <w:tcPr>
            <w:tcW w:w="7032" w:type="dxa"/>
            <w:tcBorders>
              <w:top w:val="nil"/>
              <w:left w:val="nil"/>
              <w:bottom w:val="nil"/>
              <w:right w:val="nil"/>
            </w:tcBorders>
            <w:shd w:val="clear" w:color="auto" w:fill="auto"/>
            <w:noWrap/>
            <w:vAlign w:val="center"/>
            <w:hideMark/>
          </w:tcPr>
          <w:p w14:paraId="5F0F6E86" w14:textId="77777777" w:rsidR="00AC79AD" w:rsidRDefault="00AC79AD">
            <w:pPr>
              <w:rPr>
                <w:b/>
                <w:bCs/>
                <w:color w:val="000000"/>
                <w:sz w:val="20"/>
                <w:szCs w:val="20"/>
              </w:rPr>
            </w:pPr>
            <w:r>
              <w:rPr>
                <w:b/>
                <w:bCs/>
                <w:color w:val="000000"/>
                <w:sz w:val="20"/>
                <w:szCs w:val="20"/>
              </w:rPr>
              <w:t>6. Donacije</w:t>
            </w:r>
          </w:p>
        </w:tc>
        <w:tc>
          <w:tcPr>
            <w:tcW w:w="1708" w:type="dxa"/>
            <w:tcBorders>
              <w:top w:val="nil"/>
              <w:left w:val="nil"/>
              <w:bottom w:val="nil"/>
              <w:right w:val="nil"/>
            </w:tcBorders>
            <w:shd w:val="clear" w:color="auto" w:fill="auto"/>
            <w:noWrap/>
            <w:vAlign w:val="bottom"/>
            <w:hideMark/>
          </w:tcPr>
          <w:p w14:paraId="6E0FF11B" w14:textId="77777777" w:rsidR="00AC79AD" w:rsidRDefault="00AC79AD">
            <w:pPr>
              <w:jc w:val="right"/>
              <w:rPr>
                <w:b/>
                <w:bCs/>
                <w:sz w:val="20"/>
                <w:szCs w:val="20"/>
              </w:rPr>
            </w:pPr>
            <w:r>
              <w:rPr>
                <w:b/>
                <w:bCs/>
                <w:sz w:val="20"/>
                <w:szCs w:val="20"/>
              </w:rPr>
              <w:t>232.038,21</w:t>
            </w:r>
          </w:p>
        </w:tc>
        <w:tc>
          <w:tcPr>
            <w:tcW w:w="1660" w:type="dxa"/>
            <w:tcBorders>
              <w:top w:val="nil"/>
              <w:left w:val="nil"/>
              <w:bottom w:val="nil"/>
              <w:right w:val="nil"/>
            </w:tcBorders>
            <w:shd w:val="clear" w:color="auto" w:fill="auto"/>
            <w:noWrap/>
            <w:vAlign w:val="bottom"/>
            <w:hideMark/>
          </w:tcPr>
          <w:p w14:paraId="74A17E42" w14:textId="77777777" w:rsidR="00AC79AD" w:rsidRDefault="00AC79AD">
            <w:pPr>
              <w:jc w:val="right"/>
              <w:rPr>
                <w:b/>
                <w:bCs/>
                <w:sz w:val="20"/>
                <w:szCs w:val="20"/>
              </w:rPr>
            </w:pPr>
            <w:r>
              <w:rPr>
                <w:b/>
                <w:bCs/>
                <w:sz w:val="20"/>
                <w:szCs w:val="20"/>
              </w:rPr>
              <w:t>37.784,36</w:t>
            </w:r>
          </w:p>
        </w:tc>
        <w:tc>
          <w:tcPr>
            <w:tcW w:w="1720" w:type="dxa"/>
            <w:tcBorders>
              <w:top w:val="nil"/>
              <w:left w:val="nil"/>
              <w:bottom w:val="nil"/>
              <w:right w:val="nil"/>
            </w:tcBorders>
            <w:shd w:val="clear" w:color="auto" w:fill="auto"/>
            <w:noWrap/>
            <w:vAlign w:val="bottom"/>
            <w:hideMark/>
          </w:tcPr>
          <w:p w14:paraId="7275A814" w14:textId="77777777" w:rsidR="00AC79AD" w:rsidRDefault="00AC79AD">
            <w:pPr>
              <w:jc w:val="right"/>
              <w:rPr>
                <w:b/>
                <w:bCs/>
                <w:sz w:val="20"/>
                <w:szCs w:val="20"/>
              </w:rPr>
            </w:pPr>
            <w:r>
              <w:rPr>
                <w:b/>
                <w:bCs/>
                <w:sz w:val="20"/>
                <w:szCs w:val="20"/>
              </w:rPr>
              <w:t>71.467,40</w:t>
            </w:r>
          </w:p>
        </w:tc>
        <w:tc>
          <w:tcPr>
            <w:tcW w:w="1120" w:type="dxa"/>
            <w:tcBorders>
              <w:top w:val="nil"/>
              <w:left w:val="nil"/>
              <w:bottom w:val="nil"/>
              <w:right w:val="nil"/>
            </w:tcBorders>
            <w:shd w:val="clear" w:color="auto" w:fill="auto"/>
            <w:noWrap/>
            <w:vAlign w:val="bottom"/>
            <w:hideMark/>
          </w:tcPr>
          <w:p w14:paraId="26BDFC15" w14:textId="77777777" w:rsidR="00AC79AD" w:rsidRDefault="00AC79AD">
            <w:pPr>
              <w:jc w:val="right"/>
              <w:rPr>
                <w:b/>
                <w:bCs/>
                <w:sz w:val="20"/>
                <w:szCs w:val="20"/>
              </w:rPr>
            </w:pPr>
            <w:r>
              <w:rPr>
                <w:b/>
                <w:bCs/>
                <w:sz w:val="20"/>
                <w:szCs w:val="20"/>
              </w:rPr>
              <w:t>30,80</w:t>
            </w:r>
          </w:p>
        </w:tc>
        <w:tc>
          <w:tcPr>
            <w:tcW w:w="1120" w:type="dxa"/>
            <w:tcBorders>
              <w:top w:val="nil"/>
              <w:left w:val="nil"/>
              <w:bottom w:val="nil"/>
              <w:right w:val="nil"/>
            </w:tcBorders>
            <w:shd w:val="clear" w:color="auto" w:fill="auto"/>
            <w:noWrap/>
            <w:vAlign w:val="bottom"/>
            <w:hideMark/>
          </w:tcPr>
          <w:p w14:paraId="617C6BFF" w14:textId="77777777" w:rsidR="00AC79AD" w:rsidRDefault="00AC79AD">
            <w:pPr>
              <w:jc w:val="right"/>
              <w:rPr>
                <w:b/>
                <w:bCs/>
                <w:sz w:val="20"/>
                <w:szCs w:val="20"/>
              </w:rPr>
            </w:pPr>
            <w:r>
              <w:rPr>
                <w:b/>
                <w:bCs/>
                <w:sz w:val="20"/>
                <w:szCs w:val="20"/>
              </w:rPr>
              <w:t>189,15</w:t>
            </w:r>
          </w:p>
        </w:tc>
      </w:tr>
      <w:tr w:rsidR="00AC79AD" w14:paraId="27C6BA74" w14:textId="77777777" w:rsidTr="00AC79AD">
        <w:trPr>
          <w:trHeight w:val="300"/>
        </w:trPr>
        <w:tc>
          <w:tcPr>
            <w:tcW w:w="7032" w:type="dxa"/>
            <w:tcBorders>
              <w:top w:val="nil"/>
              <w:left w:val="nil"/>
              <w:bottom w:val="nil"/>
              <w:right w:val="nil"/>
            </w:tcBorders>
            <w:shd w:val="clear" w:color="auto" w:fill="auto"/>
            <w:noWrap/>
            <w:vAlign w:val="center"/>
            <w:hideMark/>
          </w:tcPr>
          <w:p w14:paraId="4E97EC03" w14:textId="77777777" w:rsidR="00AC79AD" w:rsidRDefault="00AC79AD">
            <w:pPr>
              <w:rPr>
                <w:color w:val="000000"/>
                <w:sz w:val="20"/>
                <w:szCs w:val="20"/>
              </w:rPr>
            </w:pPr>
            <w:r>
              <w:rPr>
                <w:color w:val="000000"/>
                <w:sz w:val="20"/>
                <w:szCs w:val="20"/>
              </w:rPr>
              <w:t>6.1. Donacije</w:t>
            </w:r>
          </w:p>
        </w:tc>
        <w:tc>
          <w:tcPr>
            <w:tcW w:w="1708" w:type="dxa"/>
            <w:tcBorders>
              <w:top w:val="nil"/>
              <w:left w:val="nil"/>
              <w:bottom w:val="nil"/>
              <w:right w:val="nil"/>
            </w:tcBorders>
            <w:shd w:val="clear" w:color="auto" w:fill="auto"/>
            <w:noWrap/>
            <w:vAlign w:val="bottom"/>
            <w:hideMark/>
          </w:tcPr>
          <w:p w14:paraId="35461FDC" w14:textId="77777777" w:rsidR="00AC79AD" w:rsidRDefault="00AC79AD">
            <w:pPr>
              <w:jc w:val="right"/>
              <w:rPr>
                <w:sz w:val="20"/>
                <w:szCs w:val="20"/>
              </w:rPr>
            </w:pPr>
            <w:r>
              <w:rPr>
                <w:sz w:val="20"/>
                <w:szCs w:val="20"/>
              </w:rPr>
              <w:t>189.644,81</w:t>
            </w:r>
          </w:p>
        </w:tc>
        <w:tc>
          <w:tcPr>
            <w:tcW w:w="1660" w:type="dxa"/>
            <w:tcBorders>
              <w:top w:val="nil"/>
              <w:left w:val="nil"/>
              <w:bottom w:val="nil"/>
              <w:right w:val="nil"/>
            </w:tcBorders>
            <w:shd w:val="clear" w:color="auto" w:fill="auto"/>
            <w:noWrap/>
            <w:vAlign w:val="bottom"/>
            <w:hideMark/>
          </w:tcPr>
          <w:p w14:paraId="5E40FC8F" w14:textId="77777777" w:rsidR="00AC79AD" w:rsidRDefault="00AC79AD">
            <w:pPr>
              <w:jc w:val="right"/>
              <w:rPr>
                <w:sz w:val="20"/>
                <w:szCs w:val="20"/>
              </w:rPr>
            </w:pPr>
            <w:r>
              <w:rPr>
                <w:sz w:val="20"/>
                <w:szCs w:val="20"/>
              </w:rPr>
              <w:t>0,00</w:t>
            </w:r>
          </w:p>
        </w:tc>
        <w:tc>
          <w:tcPr>
            <w:tcW w:w="1720" w:type="dxa"/>
            <w:tcBorders>
              <w:top w:val="nil"/>
              <w:left w:val="nil"/>
              <w:bottom w:val="nil"/>
              <w:right w:val="nil"/>
            </w:tcBorders>
            <w:shd w:val="clear" w:color="auto" w:fill="auto"/>
            <w:noWrap/>
            <w:vAlign w:val="bottom"/>
            <w:hideMark/>
          </w:tcPr>
          <w:p w14:paraId="7E25D848" w14:textId="77777777" w:rsidR="00AC79AD" w:rsidRDefault="00AC79AD">
            <w:pPr>
              <w:jc w:val="right"/>
              <w:rPr>
                <w:sz w:val="20"/>
                <w:szCs w:val="20"/>
              </w:rPr>
            </w:pPr>
            <w:r>
              <w:rPr>
                <w:sz w:val="20"/>
                <w:szCs w:val="20"/>
              </w:rPr>
              <w:t>0,00</w:t>
            </w:r>
          </w:p>
        </w:tc>
        <w:tc>
          <w:tcPr>
            <w:tcW w:w="1120" w:type="dxa"/>
            <w:tcBorders>
              <w:top w:val="nil"/>
              <w:left w:val="nil"/>
              <w:bottom w:val="nil"/>
              <w:right w:val="nil"/>
            </w:tcBorders>
            <w:shd w:val="clear" w:color="auto" w:fill="auto"/>
            <w:noWrap/>
            <w:vAlign w:val="bottom"/>
            <w:hideMark/>
          </w:tcPr>
          <w:p w14:paraId="0CE7364C" w14:textId="77777777" w:rsidR="00AC79AD" w:rsidRDefault="00AC79AD">
            <w:pPr>
              <w:jc w:val="right"/>
              <w:rPr>
                <w:sz w:val="20"/>
                <w:szCs w:val="20"/>
              </w:rPr>
            </w:pPr>
            <w:r>
              <w:rPr>
                <w:sz w:val="20"/>
                <w:szCs w:val="20"/>
              </w:rPr>
              <w:t>0,00</w:t>
            </w:r>
          </w:p>
        </w:tc>
        <w:tc>
          <w:tcPr>
            <w:tcW w:w="1120" w:type="dxa"/>
            <w:tcBorders>
              <w:top w:val="nil"/>
              <w:left w:val="nil"/>
              <w:bottom w:val="nil"/>
              <w:right w:val="nil"/>
            </w:tcBorders>
            <w:shd w:val="clear" w:color="auto" w:fill="auto"/>
            <w:noWrap/>
            <w:vAlign w:val="bottom"/>
            <w:hideMark/>
          </w:tcPr>
          <w:p w14:paraId="1D1ACA11" w14:textId="77777777" w:rsidR="00AC79AD" w:rsidRDefault="00AC79AD">
            <w:pPr>
              <w:jc w:val="right"/>
              <w:rPr>
                <w:sz w:val="20"/>
                <w:szCs w:val="20"/>
              </w:rPr>
            </w:pPr>
            <w:r>
              <w:rPr>
                <w:sz w:val="20"/>
                <w:szCs w:val="20"/>
              </w:rPr>
              <w:t>0,00</w:t>
            </w:r>
          </w:p>
        </w:tc>
      </w:tr>
      <w:tr w:rsidR="00AC79AD" w14:paraId="08E28EA8" w14:textId="77777777" w:rsidTr="00AC79AD">
        <w:trPr>
          <w:trHeight w:val="300"/>
        </w:trPr>
        <w:tc>
          <w:tcPr>
            <w:tcW w:w="7032" w:type="dxa"/>
            <w:tcBorders>
              <w:top w:val="nil"/>
              <w:left w:val="nil"/>
              <w:bottom w:val="nil"/>
              <w:right w:val="nil"/>
            </w:tcBorders>
            <w:shd w:val="clear" w:color="auto" w:fill="auto"/>
            <w:noWrap/>
            <w:vAlign w:val="center"/>
            <w:hideMark/>
          </w:tcPr>
          <w:p w14:paraId="0DEBCA89" w14:textId="77777777" w:rsidR="00AC79AD" w:rsidRDefault="00AC79AD">
            <w:pPr>
              <w:rPr>
                <w:color w:val="000000"/>
                <w:sz w:val="20"/>
                <w:szCs w:val="20"/>
              </w:rPr>
            </w:pPr>
            <w:r>
              <w:rPr>
                <w:color w:val="000000"/>
                <w:sz w:val="20"/>
                <w:szCs w:val="20"/>
              </w:rPr>
              <w:t>6.2. Donacije - proračunski korisnici (Grad)</w:t>
            </w:r>
          </w:p>
        </w:tc>
        <w:tc>
          <w:tcPr>
            <w:tcW w:w="1708" w:type="dxa"/>
            <w:tcBorders>
              <w:top w:val="nil"/>
              <w:left w:val="nil"/>
              <w:bottom w:val="nil"/>
              <w:right w:val="nil"/>
            </w:tcBorders>
            <w:shd w:val="clear" w:color="auto" w:fill="auto"/>
            <w:noWrap/>
            <w:vAlign w:val="bottom"/>
            <w:hideMark/>
          </w:tcPr>
          <w:p w14:paraId="29C5ADCE" w14:textId="77777777" w:rsidR="00AC79AD" w:rsidRDefault="00AC79AD">
            <w:pPr>
              <w:jc w:val="right"/>
              <w:rPr>
                <w:sz w:val="20"/>
                <w:szCs w:val="20"/>
              </w:rPr>
            </w:pPr>
            <w:r>
              <w:rPr>
                <w:sz w:val="20"/>
                <w:szCs w:val="20"/>
              </w:rPr>
              <w:t>2.068,60</w:t>
            </w:r>
          </w:p>
        </w:tc>
        <w:tc>
          <w:tcPr>
            <w:tcW w:w="1660" w:type="dxa"/>
            <w:tcBorders>
              <w:top w:val="nil"/>
              <w:left w:val="nil"/>
              <w:bottom w:val="nil"/>
              <w:right w:val="nil"/>
            </w:tcBorders>
            <w:shd w:val="clear" w:color="auto" w:fill="auto"/>
            <w:noWrap/>
            <w:vAlign w:val="bottom"/>
            <w:hideMark/>
          </w:tcPr>
          <w:p w14:paraId="1FA98EFB" w14:textId="77777777" w:rsidR="00AC79AD" w:rsidRDefault="00AC79AD">
            <w:pPr>
              <w:jc w:val="right"/>
              <w:rPr>
                <w:sz w:val="20"/>
                <w:szCs w:val="20"/>
              </w:rPr>
            </w:pPr>
            <w:r>
              <w:rPr>
                <w:sz w:val="20"/>
                <w:szCs w:val="20"/>
              </w:rPr>
              <w:t>2.369,65</w:t>
            </w:r>
          </w:p>
        </w:tc>
        <w:tc>
          <w:tcPr>
            <w:tcW w:w="1720" w:type="dxa"/>
            <w:tcBorders>
              <w:top w:val="nil"/>
              <w:left w:val="nil"/>
              <w:bottom w:val="nil"/>
              <w:right w:val="nil"/>
            </w:tcBorders>
            <w:shd w:val="clear" w:color="auto" w:fill="auto"/>
            <w:noWrap/>
            <w:vAlign w:val="bottom"/>
            <w:hideMark/>
          </w:tcPr>
          <w:p w14:paraId="46DEF02D" w14:textId="77777777" w:rsidR="00AC79AD" w:rsidRDefault="00AC79AD">
            <w:pPr>
              <w:jc w:val="right"/>
              <w:rPr>
                <w:sz w:val="20"/>
                <w:szCs w:val="20"/>
              </w:rPr>
            </w:pPr>
            <w:r>
              <w:rPr>
                <w:sz w:val="20"/>
                <w:szCs w:val="20"/>
              </w:rPr>
              <w:t>0,00</w:t>
            </w:r>
          </w:p>
        </w:tc>
        <w:tc>
          <w:tcPr>
            <w:tcW w:w="1120" w:type="dxa"/>
            <w:tcBorders>
              <w:top w:val="nil"/>
              <w:left w:val="nil"/>
              <w:bottom w:val="nil"/>
              <w:right w:val="nil"/>
            </w:tcBorders>
            <w:shd w:val="clear" w:color="auto" w:fill="auto"/>
            <w:noWrap/>
            <w:vAlign w:val="bottom"/>
            <w:hideMark/>
          </w:tcPr>
          <w:p w14:paraId="71B0C2A4" w14:textId="77777777" w:rsidR="00AC79AD" w:rsidRDefault="00AC79AD">
            <w:pPr>
              <w:jc w:val="right"/>
              <w:rPr>
                <w:sz w:val="20"/>
                <w:szCs w:val="20"/>
              </w:rPr>
            </w:pPr>
            <w:r>
              <w:rPr>
                <w:sz w:val="20"/>
                <w:szCs w:val="20"/>
              </w:rPr>
              <w:t>0,00</w:t>
            </w:r>
          </w:p>
        </w:tc>
        <w:tc>
          <w:tcPr>
            <w:tcW w:w="1120" w:type="dxa"/>
            <w:tcBorders>
              <w:top w:val="nil"/>
              <w:left w:val="nil"/>
              <w:bottom w:val="nil"/>
              <w:right w:val="nil"/>
            </w:tcBorders>
            <w:shd w:val="clear" w:color="auto" w:fill="auto"/>
            <w:noWrap/>
            <w:vAlign w:val="bottom"/>
            <w:hideMark/>
          </w:tcPr>
          <w:p w14:paraId="2527F4AE" w14:textId="77777777" w:rsidR="00AC79AD" w:rsidRDefault="00AC79AD">
            <w:pPr>
              <w:jc w:val="right"/>
              <w:rPr>
                <w:sz w:val="20"/>
                <w:szCs w:val="20"/>
              </w:rPr>
            </w:pPr>
            <w:r>
              <w:rPr>
                <w:sz w:val="20"/>
                <w:szCs w:val="20"/>
              </w:rPr>
              <w:t>0,00</w:t>
            </w:r>
          </w:p>
        </w:tc>
      </w:tr>
      <w:tr w:rsidR="00AC79AD" w14:paraId="3F74504D" w14:textId="77777777" w:rsidTr="00AC79AD">
        <w:trPr>
          <w:trHeight w:val="300"/>
        </w:trPr>
        <w:tc>
          <w:tcPr>
            <w:tcW w:w="7032" w:type="dxa"/>
            <w:tcBorders>
              <w:top w:val="nil"/>
              <w:left w:val="nil"/>
              <w:bottom w:val="nil"/>
              <w:right w:val="nil"/>
            </w:tcBorders>
            <w:shd w:val="clear" w:color="auto" w:fill="auto"/>
            <w:noWrap/>
            <w:vAlign w:val="center"/>
            <w:hideMark/>
          </w:tcPr>
          <w:p w14:paraId="76877588" w14:textId="77777777" w:rsidR="00AC79AD" w:rsidRDefault="00AC79AD">
            <w:pPr>
              <w:rPr>
                <w:color w:val="000000"/>
                <w:sz w:val="20"/>
                <w:szCs w:val="20"/>
              </w:rPr>
            </w:pPr>
            <w:r>
              <w:rPr>
                <w:color w:val="000000"/>
                <w:sz w:val="20"/>
                <w:szCs w:val="20"/>
              </w:rPr>
              <w:t>6.3. Donacije - proračunski korisnici (direktno)</w:t>
            </w:r>
          </w:p>
        </w:tc>
        <w:tc>
          <w:tcPr>
            <w:tcW w:w="1708" w:type="dxa"/>
            <w:tcBorders>
              <w:top w:val="nil"/>
              <w:left w:val="nil"/>
              <w:bottom w:val="nil"/>
              <w:right w:val="nil"/>
            </w:tcBorders>
            <w:shd w:val="clear" w:color="auto" w:fill="auto"/>
            <w:noWrap/>
            <w:vAlign w:val="bottom"/>
            <w:hideMark/>
          </w:tcPr>
          <w:p w14:paraId="45B4CC94" w14:textId="77777777" w:rsidR="00AC79AD" w:rsidRDefault="00AC79AD">
            <w:pPr>
              <w:jc w:val="right"/>
              <w:rPr>
                <w:sz w:val="20"/>
                <w:szCs w:val="20"/>
              </w:rPr>
            </w:pPr>
            <w:r>
              <w:rPr>
                <w:sz w:val="20"/>
                <w:szCs w:val="20"/>
              </w:rPr>
              <w:t>40.324,80</w:t>
            </w:r>
          </w:p>
        </w:tc>
        <w:tc>
          <w:tcPr>
            <w:tcW w:w="1660" w:type="dxa"/>
            <w:tcBorders>
              <w:top w:val="nil"/>
              <w:left w:val="nil"/>
              <w:bottom w:val="nil"/>
              <w:right w:val="nil"/>
            </w:tcBorders>
            <w:shd w:val="clear" w:color="auto" w:fill="auto"/>
            <w:noWrap/>
            <w:vAlign w:val="bottom"/>
            <w:hideMark/>
          </w:tcPr>
          <w:p w14:paraId="44193271" w14:textId="77777777" w:rsidR="00AC79AD" w:rsidRDefault="00AC79AD">
            <w:pPr>
              <w:jc w:val="right"/>
              <w:rPr>
                <w:sz w:val="20"/>
                <w:szCs w:val="20"/>
              </w:rPr>
            </w:pPr>
            <w:r>
              <w:rPr>
                <w:sz w:val="20"/>
                <w:szCs w:val="20"/>
              </w:rPr>
              <w:t>35.414,71</w:t>
            </w:r>
          </w:p>
        </w:tc>
        <w:tc>
          <w:tcPr>
            <w:tcW w:w="1720" w:type="dxa"/>
            <w:tcBorders>
              <w:top w:val="nil"/>
              <w:left w:val="nil"/>
              <w:bottom w:val="nil"/>
              <w:right w:val="nil"/>
            </w:tcBorders>
            <w:shd w:val="clear" w:color="auto" w:fill="auto"/>
            <w:noWrap/>
            <w:vAlign w:val="bottom"/>
            <w:hideMark/>
          </w:tcPr>
          <w:p w14:paraId="15B0E960" w14:textId="77777777" w:rsidR="00AC79AD" w:rsidRDefault="00AC79AD">
            <w:pPr>
              <w:jc w:val="right"/>
              <w:rPr>
                <w:sz w:val="20"/>
                <w:szCs w:val="20"/>
              </w:rPr>
            </w:pPr>
            <w:r>
              <w:rPr>
                <w:sz w:val="20"/>
                <w:szCs w:val="20"/>
              </w:rPr>
              <w:t>71.467,40</w:t>
            </w:r>
          </w:p>
        </w:tc>
        <w:tc>
          <w:tcPr>
            <w:tcW w:w="1120" w:type="dxa"/>
            <w:tcBorders>
              <w:top w:val="nil"/>
              <w:left w:val="nil"/>
              <w:bottom w:val="nil"/>
              <w:right w:val="nil"/>
            </w:tcBorders>
            <w:shd w:val="clear" w:color="auto" w:fill="auto"/>
            <w:noWrap/>
            <w:vAlign w:val="bottom"/>
            <w:hideMark/>
          </w:tcPr>
          <w:p w14:paraId="3EF5D6ED" w14:textId="77777777" w:rsidR="00AC79AD" w:rsidRDefault="00AC79AD">
            <w:pPr>
              <w:jc w:val="right"/>
              <w:rPr>
                <w:sz w:val="20"/>
                <w:szCs w:val="20"/>
              </w:rPr>
            </w:pPr>
            <w:r>
              <w:rPr>
                <w:sz w:val="20"/>
                <w:szCs w:val="20"/>
              </w:rPr>
              <w:t>177,23</w:t>
            </w:r>
          </w:p>
        </w:tc>
        <w:tc>
          <w:tcPr>
            <w:tcW w:w="1120" w:type="dxa"/>
            <w:tcBorders>
              <w:top w:val="nil"/>
              <w:left w:val="nil"/>
              <w:bottom w:val="nil"/>
              <w:right w:val="nil"/>
            </w:tcBorders>
            <w:shd w:val="clear" w:color="auto" w:fill="auto"/>
            <w:noWrap/>
            <w:vAlign w:val="bottom"/>
            <w:hideMark/>
          </w:tcPr>
          <w:p w14:paraId="78430DC6" w14:textId="77777777" w:rsidR="00AC79AD" w:rsidRDefault="00AC79AD">
            <w:pPr>
              <w:jc w:val="right"/>
              <w:rPr>
                <w:sz w:val="20"/>
                <w:szCs w:val="20"/>
              </w:rPr>
            </w:pPr>
            <w:r>
              <w:rPr>
                <w:sz w:val="20"/>
                <w:szCs w:val="20"/>
              </w:rPr>
              <w:t>201,80</w:t>
            </w:r>
          </w:p>
        </w:tc>
      </w:tr>
      <w:tr w:rsidR="00AC79AD" w14:paraId="7812FEAB" w14:textId="77777777" w:rsidTr="00AC79AD">
        <w:trPr>
          <w:trHeight w:val="300"/>
        </w:trPr>
        <w:tc>
          <w:tcPr>
            <w:tcW w:w="7032" w:type="dxa"/>
            <w:tcBorders>
              <w:top w:val="nil"/>
              <w:left w:val="nil"/>
              <w:bottom w:val="nil"/>
              <w:right w:val="nil"/>
            </w:tcBorders>
            <w:shd w:val="clear" w:color="auto" w:fill="auto"/>
            <w:noWrap/>
            <w:vAlign w:val="center"/>
            <w:hideMark/>
          </w:tcPr>
          <w:p w14:paraId="6C397F0C" w14:textId="34FAAF70" w:rsidR="00AC79AD" w:rsidRDefault="00AC79AD">
            <w:pPr>
              <w:rPr>
                <w:b/>
                <w:bCs/>
                <w:color w:val="000000"/>
                <w:sz w:val="20"/>
                <w:szCs w:val="20"/>
              </w:rPr>
            </w:pPr>
            <w:r>
              <w:rPr>
                <w:b/>
                <w:bCs/>
                <w:color w:val="000000"/>
                <w:sz w:val="20"/>
                <w:szCs w:val="20"/>
              </w:rPr>
              <w:t>7. Prihodi od nefin</w:t>
            </w:r>
            <w:r w:rsidR="009F61F7">
              <w:rPr>
                <w:b/>
                <w:bCs/>
                <w:color w:val="000000"/>
                <w:sz w:val="20"/>
                <w:szCs w:val="20"/>
              </w:rPr>
              <w:t xml:space="preserve">ancijske </w:t>
            </w:r>
            <w:r>
              <w:rPr>
                <w:b/>
                <w:bCs/>
                <w:color w:val="000000"/>
                <w:sz w:val="20"/>
                <w:szCs w:val="20"/>
              </w:rPr>
              <w:t>imovine i nadoknade šteta od osig</w:t>
            </w:r>
            <w:r w:rsidR="009F61F7">
              <w:rPr>
                <w:b/>
                <w:bCs/>
                <w:color w:val="000000"/>
                <w:sz w:val="20"/>
                <w:szCs w:val="20"/>
              </w:rPr>
              <w:t>uranja</w:t>
            </w:r>
          </w:p>
        </w:tc>
        <w:tc>
          <w:tcPr>
            <w:tcW w:w="1708" w:type="dxa"/>
            <w:tcBorders>
              <w:top w:val="nil"/>
              <w:left w:val="nil"/>
              <w:bottom w:val="nil"/>
              <w:right w:val="nil"/>
            </w:tcBorders>
            <w:shd w:val="clear" w:color="auto" w:fill="auto"/>
            <w:noWrap/>
            <w:vAlign w:val="bottom"/>
            <w:hideMark/>
          </w:tcPr>
          <w:p w14:paraId="74CBF0D5" w14:textId="77777777" w:rsidR="00AC79AD" w:rsidRDefault="00AC79AD">
            <w:pPr>
              <w:jc w:val="right"/>
              <w:rPr>
                <w:b/>
                <w:bCs/>
                <w:sz w:val="20"/>
                <w:szCs w:val="20"/>
              </w:rPr>
            </w:pPr>
            <w:r>
              <w:rPr>
                <w:b/>
                <w:bCs/>
                <w:sz w:val="20"/>
                <w:szCs w:val="20"/>
              </w:rPr>
              <w:t>4.354.562,06</w:t>
            </w:r>
          </w:p>
        </w:tc>
        <w:tc>
          <w:tcPr>
            <w:tcW w:w="1660" w:type="dxa"/>
            <w:tcBorders>
              <w:top w:val="nil"/>
              <w:left w:val="nil"/>
              <w:bottom w:val="nil"/>
              <w:right w:val="nil"/>
            </w:tcBorders>
            <w:shd w:val="clear" w:color="auto" w:fill="auto"/>
            <w:noWrap/>
            <w:vAlign w:val="bottom"/>
            <w:hideMark/>
          </w:tcPr>
          <w:p w14:paraId="4EE316C9" w14:textId="77777777" w:rsidR="00AC79AD" w:rsidRDefault="00AC79AD">
            <w:pPr>
              <w:jc w:val="right"/>
              <w:rPr>
                <w:b/>
                <w:bCs/>
                <w:sz w:val="20"/>
                <w:szCs w:val="20"/>
              </w:rPr>
            </w:pPr>
            <w:r>
              <w:rPr>
                <w:b/>
                <w:bCs/>
                <w:sz w:val="20"/>
                <w:szCs w:val="20"/>
              </w:rPr>
              <w:t>3.663.531,99</w:t>
            </w:r>
          </w:p>
        </w:tc>
        <w:tc>
          <w:tcPr>
            <w:tcW w:w="1720" w:type="dxa"/>
            <w:tcBorders>
              <w:top w:val="nil"/>
              <w:left w:val="nil"/>
              <w:bottom w:val="nil"/>
              <w:right w:val="nil"/>
            </w:tcBorders>
            <w:shd w:val="clear" w:color="auto" w:fill="auto"/>
            <w:noWrap/>
            <w:vAlign w:val="bottom"/>
            <w:hideMark/>
          </w:tcPr>
          <w:p w14:paraId="78EDFD26" w14:textId="77777777" w:rsidR="00AC79AD" w:rsidRDefault="00AC79AD">
            <w:pPr>
              <w:jc w:val="right"/>
              <w:rPr>
                <w:b/>
                <w:bCs/>
                <w:sz w:val="20"/>
                <w:szCs w:val="20"/>
              </w:rPr>
            </w:pPr>
            <w:r>
              <w:rPr>
                <w:b/>
                <w:bCs/>
                <w:sz w:val="20"/>
                <w:szCs w:val="20"/>
              </w:rPr>
              <w:t>3.306.972,88</w:t>
            </w:r>
          </w:p>
        </w:tc>
        <w:tc>
          <w:tcPr>
            <w:tcW w:w="1120" w:type="dxa"/>
            <w:tcBorders>
              <w:top w:val="nil"/>
              <w:left w:val="nil"/>
              <w:bottom w:val="nil"/>
              <w:right w:val="nil"/>
            </w:tcBorders>
            <w:shd w:val="clear" w:color="auto" w:fill="auto"/>
            <w:noWrap/>
            <w:vAlign w:val="bottom"/>
            <w:hideMark/>
          </w:tcPr>
          <w:p w14:paraId="5D159CBB" w14:textId="77777777" w:rsidR="00AC79AD" w:rsidRDefault="00AC79AD">
            <w:pPr>
              <w:jc w:val="right"/>
              <w:rPr>
                <w:b/>
                <w:bCs/>
                <w:sz w:val="20"/>
                <w:szCs w:val="20"/>
              </w:rPr>
            </w:pPr>
            <w:r>
              <w:rPr>
                <w:b/>
                <w:bCs/>
                <w:sz w:val="20"/>
                <w:szCs w:val="20"/>
              </w:rPr>
              <w:t>75,94</w:t>
            </w:r>
          </w:p>
        </w:tc>
        <w:tc>
          <w:tcPr>
            <w:tcW w:w="1120" w:type="dxa"/>
            <w:tcBorders>
              <w:top w:val="nil"/>
              <w:left w:val="nil"/>
              <w:bottom w:val="nil"/>
              <w:right w:val="nil"/>
            </w:tcBorders>
            <w:shd w:val="clear" w:color="auto" w:fill="auto"/>
            <w:noWrap/>
            <w:vAlign w:val="bottom"/>
            <w:hideMark/>
          </w:tcPr>
          <w:p w14:paraId="212A8A93" w14:textId="77777777" w:rsidR="00AC79AD" w:rsidRDefault="00AC79AD">
            <w:pPr>
              <w:jc w:val="right"/>
              <w:rPr>
                <w:b/>
                <w:bCs/>
                <w:sz w:val="20"/>
                <w:szCs w:val="20"/>
              </w:rPr>
            </w:pPr>
            <w:r>
              <w:rPr>
                <w:b/>
                <w:bCs/>
                <w:sz w:val="20"/>
                <w:szCs w:val="20"/>
              </w:rPr>
              <w:t>90,27</w:t>
            </w:r>
          </w:p>
        </w:tc>
      </w:tr>
      <w:tr w:rsidR="00AC79AD" w14:paraId="6C41CB3B" w14:textId="77777777" w:rsidTr="00AC79AD">
        <w:trPr>
          <w:trHeight w:val="300"/>
        </w:trPr>
        <w:tc>
          <w:tcPr>
            <w:tcW w:w="7032" w:type="dxa"/>
            <w:tcBorders>
              <w:top w:val="nil"/>
              <w:left w:val="nil"/>
              <w:bottom w:val="nil"/>
              <w:right w:val="nil"/>
            </w:tcBorders>
            <w:shd w:val="clear" w:color="auto" w:fill="auto"/>
            <w:noWrap/>
            <w:vAlign w:val="center"/>
            <w:hideMark/>
          </w:tcPr>
          <w:p w14:paraId="0BC0DB16" w14:textId="39737018" w:rsidR="00AC79AD" w:rsidRDefault="00AC79AD">
            <w:pPr>
              <w:rPr>
                <w:color w:val="000000"/>
                <w:sz w:val="20"/>
                <w:szCs w:val="20"/>
              </w:rPr>
            </w:pPr>
            <w:r>
              <w:rPr>
                <w:color w:val="000000"/>
                <w:sz w:val="20"/>
                <w:szCs w:val="20"/>
              </w:rPr>
              <w:t>7.1. Prihodi od nefin</w:t>
            </w:r>
            <w:r w:rsidR="009F61F7">
              <w:rPr>
                <w:color w:val="000000"/>
                <w:sz w:val="20"/>
                <w:szCs w:val="20"/>
              </w:rPr>
              <w:t xml:space="preserve">ancijske </w:t>
            </w:r>
            <w:r>
              <w:rPr>
                <w:color w:val="000000"/>
                <w:sz w:val="20"/>
                <w:szCs w:val="20"/>
              </w:rPr>
              <w:t>imovine i nadoknade šteta od osig</w:t>
            </w:r>
            <w:r w:rsidR="009F61F7">
              <w:rPr>
                <w:color w:val="000000"/>
                <w:sz w:val="20"/>
                <w:szCs w:val="20"/>
              </w:rPr>
              <w:t>uranja</w:t>
            </w:r>
          </w:p>
        </w:tc>
        <w:tc>
          <w:tcPr>
            <w:tcW w:w="1708" w:type="dxa"/>
            <w:tcBorders>
              <w:top w:val="nil"/>
              <w:left w:val="nil"/>
              <w:bottom w:val="nil"/>
              <w:right w:val="nil"/>
            </w:tcBorders>
            <w:shd w:val="clear" w:color="auto" w:fill="auto"/>
            <w:noWrap/>
            <w:vAlign w:val="bottom"/>
            <w:hideMark/>
          </w:tcPr>
          <w:p w14:paraId="00A1A34D" w14:textId="77777777" w:rsidR="00AC79AD" w:rsidRDefault="00AC79AD">
            <w:pPr>
              <w:jc w:val="right"/>
              <w:rPr>
                <w:sz w:val="20"/>
                <w:szCs w:val="20"/>
              </w:rPr>
            </w:pPr>
            <w:r>
              <w:rPr>
                <w:sz w:val="20"/>
                <w:szCs w:val="20"/>
              </w:rPr>
              <w:t>4.354.562,06</w:t>
            </w:r>
          </w:p>
        </w:tc>
        <w:tc>
          <w:tcPr>
            <w:tcW w:w="1660" w:type="dxa"/>
            <w:tcBorders>
              <w:top w:val="nil"/>
              <w:left w:val="nil"/>
              <w:bottom w:val="nil"/>
              <w:right w:val="nil"/>
            </w:tcBorders>
            <w:shd w:val="clear" w:color="auto" w:fill="auto"/>
            <w:noWrap/>
            <w:vAlign w:val="bottom"/>
            <w:hideMark/>
          </w:tcPr>
          <w:p w14:paraId="54027F50" w14:textId="77777777" w:rsidR="00AC79AD" w:rsidRDefault="00AC79AD">
            <w:pPr>
              <w:jc w:val="right"/>
              <w:rPr>
                <w:sz w:val="20"/>
                <w:szCs w:val="20"/>
              </w:rPr>
            </w:pPr>
            <w:r>
              <w:rPr>
                <w:sz w:val="20"/>
                <w:szCs w:val="20"/>
              </w:rPr>
              <w:t>3.663.531,99</w:t>
            </w:r>
          </w:p>
        </w:tc>
        <w:tc>
          <w:tcPr>
            <w:tcW w:w="1720" w:type="dxa"/>
            <w:tcBorders>
              <w:top w:val="nil"/>
              <w:left w:val="nil"/>
              <w:bottom w:val="nil"/>
              <w:right w:val="nil"/>
            </w:tcBorders>
            <w:shd w:val="clear" w:color="auto" w:fill="auto"/>
            <w:noWrap/>
            <w:vAlign w:val="bottom"/>
            <w:hideMark/>
          </w:tcPr>
          <w:p w14:paraId="7EDAFEB2" w14:textId="77777777" w:rsidR="00AC79AD" w:rsidRDefault="00AC79AD">
            <w:pPr>
              <w:jc w:val="right"/>
              <w:rPr>
                <w:sz w:val="20"/>
                <w:szCs w:val="20"/>
              </w:rPr>
            </w:pPr>
            <w:r>
              <w:rPr>
                <w:sz w:val="20"/>
                <w:szCs w:val="20"/>
              </w:rPr>
              <w:t>3.306.972,88</w:t>
            </w:r>
          </w:p>
        </w:tc>
        <w:tc>
          <w:tcPr>
            <w:tcW w:w="1120" w:type="dxa"/>
            <w:tcBorders>
              <w:top w:val="nil"/>
              <w:left w:val="nil"/>
              <w:bottom w:val="nil"/>
              <w:right w:val="nil"/>
            </w:tcBorders>
            <w:shd w:val="clear" w:color="auto" w:fill="auto"/>
            <w:noWrap/>
            <w:vAlign w:val="bottom"/>
            <w:hideMark/>
          </w:tcPr>
          <w:p w14:paraId="3269E7C7" w14:textId="77777777" w:rsidR="00AC79AD" w:rsidRDefault="00AC79AD">
            <w:pPr>
              <w:jc w:val="right"/>
              <w:rPr>
                <w:sz w:val="20"/>
                <w:szCs w:val="20"/>
              </w:rPr>
            </w:pPr>
            <w:r>
              <w:rPr>
                <w:sz w:val="20"/>
                <w:szCs w:val="20"/>
              </w:rPr>
              <w:t>75,94</w:t>
            </w:r>
          </w:p>
        </w:tc>
        <w:tc>
          <w:tcPr>
            <w:tcW w:w="1120" w:type="dxa"/>
            <w:tcBorders>
              <w:top w:val="nil"/>
              <w:left w:val="nil"/>
              <w:bottom w:val="nil"/>
              <w:right w:val="nil"/>
            </w:tcBorders>
            <w:shd w:val="clear" w:color="auto" w:fill="auto"/>
            <w:noWrap/>
            <w:vAlign w:val="bottom"/>
            <w:hideMark/>
          </w:tcPr>
          <w:p w14:paraId="23ED938A" w14:textId="77777777" w:rsidR="00AC79AD" w:rsidRDefault="00AC79AD">
            <w:pPr>
              <w:jc w:val="right"/>
              <w:rPr>
                <w:sz w:val="20"/>
                <w:szCs w:val="20"/>
              </w:rPr>
            </w:pPr>
            <w:r>
              <w:rPr>
                <w:sz w:val="20"/>
                <w:szCs w:val="20"/>
              </w:rPr>
              <w:t>90,27</w:t>
            </w:r>
          </w:p>
        </w:tc>
      </w:tr>
      <w:tr w:rsidR="00AC79AD" w14:paraId="4C0F174F" w14:textId="77777777" w:rsidTr="00AC79AD">
        <w:trPr>
          <w:trHeight w:val="300"/>
        </w:trPr>
        <w:tc>
          <w:tcPr>
            <w:tcW w:w="7032" w:type="dxa"/>
            <w:tcBorders>
              <w:top w:val="nil"/>
              <w:left w:val="nil"/>
              <w:bottom w:val="nil"/>
              <w:right w:val="nil"/>
            </w:tcBorders>
            <w:shd w:val="clear" w:color="auto" w:fill="auto"/>
            <w:noWrap/>
            <w:vAlign w:val="center"/>
            <w:hideMark/>
          </w:tcPr>
          <w:p w14:paraId="331E75D2" w14:textId="77777777" w:rsidR="00AC79AD" w:rsidRDefault="00AC79AD">
            <w:pPr>
              <w:rPr>
                <w:b/>
                <w:bCs/>
                <w:color w:val="000000"/>
                <w:sz w:val="20"/>
                <w:szCs w:val="20"/>
              </w:rPr>
            </w:pPr>
            <w:r>
              <w:rPr>
                <w:b/>
                <w:bCs/>
                <w:color w:val="000000"/>
                <w:sz w:val="20"/>
                <w:szCs w:val="20"/>
              </w:rPr>
              <w:t>8. Namjenski primici od zaduživanja</w:t>
            </w:r>
          </w:p>
        </w:tc>
        <w:tc>
          <w:tcPr>
            <w:tcW w:w="1708" w:type="dxa"/>
            <w:tcBorders>
              <w:top w:val="nil"/>
              <w:left w:val="nil"/>
              <w:bottom w:val="nil"/>
              <w:right w:val="nil"/>
            </w:tcBorders>
            <w:shd w:val="clear" w:color="auto" w:fill="auto"/>
            <w:noWrap/>
            <w:vAlign w:val="bottom"/>
            <w:hideMark/>
          </w:tcPr>
          <w:p w14:paraId="329AB59C" w14:textId="77777777" w:rsidR="00AC79AD" w:rsidRDefault="00AC79AD">
            <w:pPr>
              <w:jc w:val="right"/>
              <w:rPr>
                <w:b/>
                <w:bCs/>
                <w:sz w:val="20"/>
                <w:szCs w:val="20"/>
              </w:rPr>
            </w:pPr>
            <w:r>
              <w:rPr>
                <w:b/>
                <w:bCs/>
                <w:sz w:val="20"/>
                <w:szCs w:val="20"/>
              </w:rPr>
              <w:t>863.473,39</w:t>
            </w:r>
          </w:p>
        </w:tc>
        <w:tc>
          <w:tcPr>
            <w:tcW w:w="1660" w:type="dxa"/>
            <w:tcBorders>
              <w:top w:val="nil"/>
              <w:left w:val="nil"/>
              <w:bottom w:val="nil"/>
              <w:right w:val="nil"/>
            </w:tcBorders>
            <w:shd w:val="clear" w:color="auto" w:fill="auto"/>
            <w:noWrap/>
            <w:vAlign w:val="bottom"/>
            <w:hideMark/>
          </w:tcPr>
          <w:p w14:paraId="7435DD9D" w14:textId="77777777" w:rsidR="00AC79AD" w:rsidRDefault="00AC79AD">
            <w:pPr>
              <w:jc w:val="right"/>
              <w:rPr>
                <w:b/>
                <w:bCs/>
                <w:sz w:val="20"/>
                <w:szCs w:val="20"/>
              </w:rPr>
            </w:pPr>
            <w:r>
              <w:rPr>
                <w:b/>
                <w:bCs/>
                <w:sz w:val="20"/>
                <w:szCs w:val="20"/>
              </w:rPr>
              <w:t>0,00</w:t>
            </w:r>
          </w:p>
        </w:tc>
        <w:tc>
          <w:tcPr>
            <w:tcW w:w="1720" w:type="dxa"/>
            <w:tcBorders>
              <w:top w:val="nil"/>
              <w:left w:val="nil"/>
              <w:bottom w:val="nil"/>
              <w:right w:val="nil"/>
            </w:tcBorders>
            <w:shd w:val="clear" w:color="auto" w:fill="auto"/>
            <w:noWrap/>
            <w:vAlign w:val="bottom"/>
            <w:hideMark/>
          </w:tcPr>
          <w:p w14:paraId="5183B5DD" w14:textId="77777777" w:rsidR="00AC79AD" w:rsidRDefault="00AC79AD">
            <w:pPr>
              <w:jc w:val="right"/>
              <w:rPr>
                <w:b/>
                <w:bCs/>
                <w:sz w:val="20"/>
                <w:szCs w:val="20"/>
              </w:rPr>
            </w:pPr>
            <w:r>
              <w:rPr>
                <w:b/>
                <w:bCs/>
                <w:sz w:val="20"/>
                <w:szCs w:val="20"/>
              </w:rPr>
              <w:t>0,00</w:t>
            </w:r>
          </w:p>
        </w:tc>
        <w:tc>
          <w:tcPr>
            <w:tcW w:w="1120" w:type="dxa"/>
            <w:tcBorders>
              <w:top w:val="nil"/>
              <w:left w:val="nil"/>
              <w:bottom w:val="nil"/>
              <w:right w:val="nil"/>
            </w:tcBorders>
            <w:shd w:val="clear" w:color="auto" w:fill="auto"/>
            <w:noWrap/>
            <w:vAlign w:val="bottom"/>
            <w:hideMark/>
          </w:tcPr>
          <w:p w14:paraId="44E4B36E" w14:textId="77777777" w:rsidR="00AC79AD" w:rsidRDefault="00AC79AD">
            <w:pPr>
              <w:jc w:val="right"/>
              <w:rPr>
                <w:b/>
                <w:bCs/>
                <w:sz w:val="20"/>
                <w:szCs w:val="20"/>
              </w:rPr>
            </w:pPr>
            <w:r>
              <w:rPr>
                <w:b/>
                <w:bCs/>
                <w:sz w:val="20"/>
                <w:szCs w:val="20"/>
              </w:rPr>
              <w:t>0,00</w:t>
            </w:r>
          </w:p>
        </w:tc>
        <w:tc>
          <w:tcPr>
            <w:tcW w:w="1120" w:type="dxa"/>
            <w:tcBorders>
              <w:top w:val="nil"/>
              <w:left w:val="nil"/>
              <w:bottom w:val="nil"/>
              <w:right w:val="nil"/>
            </w:tcBorders>
            <w:shd w:val="clear" w:color="auto" w:fill="auto"/>
            <w:noWrap/>
            <w:vAlign w:val="bottom"/>
            <w:hideMark/>
          </w:tcPr>
          <w:p w14:paraId="14C45C21" w14:textId="77777777" w:rsidR="00AC79AD" w:rsidRDefault="00AC79AD">
            <w:pPr>
              <w:jc w:val="right"/>
              <w:rPr>
                <w:b/>
                <w:bCs/>
                <w:sz w:val="20"/>
                <w:szCs w:val="20"/>
              </w:rPr>
            </w:pPr>
            <w:r>
              <w:rPr>
                <w:b/>
                <w:bCs/>
                <w:sz w:val="20"/>
                <w:szCs w:val="20"/>
              </w:rPr>
              <w:t>0,00</w:t>
            </w:r>
          </w:p>
        </w:tc>
      </w:tr>
      <w:tr w:rsidR="00AC79AD" w14:paraId="6D77DC89" w14:textId="77777777" w:rsidTr="00AC79AD">
        <w:trPr>
          <w:trHeight w:val="300"/>
        </w:trPr>
        <w:tc>
          <w:tcPr>
            <w:tcW w:w="7032" w:type="dxa"/>
            <w:tcBorders>
              <w:top w:val="nil"/>
              <w:left w:val="nil"/>
              <w:bottom w:val="single" w:sz="4" w:space="0" w:color="auto"/>
              <w:right w:val="nil"/>
            </w:tcBorders>
            <w:shd w:val="clear" w:color="auto" w:fill="auto"/>
            <w:noWrap/>
            <w:vAlign w:val="center"/>
            <w:hideMark/>
          </w:tcPr>
          <w:p w14:paraId="79FE09D0" w14:textId="5D913784" w:rsidR="00AC79AD" w:rsidRDefault="00AC79AD">
            <w:pPr>
              <w:rPr>
                <w:color w:val="000000"/>
                <w:sz w:val="20"/>
                <w:szCs w:val="20"/>
              </w:rPr>
            </w:pPr>
            <w:r>
              <w:rPr>
                <w:color w:val="000000"/>
                <w:sz w:val="20"/>
                <w:szCs w:val="20"/>
              </w:rPr>
              <w:t>8.1. Nam</w:t>
            </w:r>
            <w:r w:rsidR="009F61F7">
              <w:rPr>
                <w:color w:val="000000"/>
                <w:sz w:val="20"/>
                <w:szCs w:val="20"/>
              </w:rPr>
              <w:t>je</w:t>
            </w:r>
            <w:r>
              <w:rPr>
                <w:color w:val="000000"/>
                <w:sz w:val="20"/>
                <w:szCs w:val="20"/>
              </w:rPr>
              <w:t>nski primici od zaduživanja</w:t>
            </w:r>
          </w:p>
        </w:tc>
        <w:tc>
          <w:tcPr>
            <w:tcW w:w="1708" w:type="dxa"/>
            <w:tcBorders>
              <w:top w:val="nil"/>
              <w:left w:val="nil"/>
              <w:bottom w:val="single" w:sz="4" w:space="0" w:color="auto"/>
              <w:right w:val="nil"/>
            </w:tcBorders>
            <w:shd w:val="clear" w:color="auto" w:fill="auto"/>
            <w:noWrap/>
            <w:vAlign w:val="bottom"/>
            <w:hideMark/>
          </w:tcPr>
          <w:p w14:paraId="21CB61C8" w14:textId="77777777" w:rsidR="00AC79AD" w:rsidRDefault="00AC79AD">
            <w:pPr>
              <w:jc w:val="right"/>
              <w:rPr>
                <w:sz w:val="20"/>
                <w:szCs w:val="20"/>
              </w:rPr>
            </w:pPr>
            <w:r>
              <w:rPr>
                <w:sz w:val="20"/>
                <w:szCs w:val="20"/>
              </w:rPr>
              <w:t>863.473,39</w:t>
            </w:r>
          </w:p>
        </w:tc>
        <w:tc>
          <w:tcPr>
            <w:tcW w:w="1660" w:type="dxa"/>
            <w:tcBorders>
              <w:top w:val="nil"/>
              <w:left w:val="nil"/>
              <w:bottom w:val="single" w:sz="4" w:space="0" w:color="auto"/>
              <w:right w:val="nil"/>
            </w:tcBorders>
            <w:shd w:val="clear" w:color="auto" w:fill="auto"/>
            <w:noWrap/>
            <w:vAlign w:val="bottom"/>
            <w:hideMark/>
          </w:tcPr>
          <w:p w14:paraId="1272FAD1" w14:textId="77777777" w:rsidR="00AC79AD" w:rsidRDefault="00AC79AD">
            <w:pPr>
              <w:jc w:val="right"/>
              <w:rPr>
                <w:sz w:val="20"/>
                <w:szCs w:val="20"/>
              </w:rPr>
            </w:pPr>
            <w:r>
              <w:rPr>
                <w:sz w:val="20"/>
                <w:szCs w:val="20"/>
              </w:rPr>
              <w:t>0,00</w:t>
            </w:r>
          </w:p>
        </w:tc>
        <w:tc>
          <w:tcPr>
            <w:tcW w:w="1720" w:type="dxa"/>
            <w:tcBorders>
              <w:top w:val="nil"/>
              <w:left w:val="nil"/>
              <w:bottom w:val="single" w:sz="4" w:space="0" w:color="auto"/>
              <w:right w:val="nil"/>
            </w:tcBorders>
            <w:shd w:val="clear" w:color="auto" w:fill="auto"/>
            <w:noWrap/>
            <w:vAlign w:val="bottom"/>
            <w:hideMark/>
          </w:tcPr>
          <w:p w14:paraId="600CF080" w14:textId="77777777" w:rsidR="00AC79AD" w:rsidRDefault="00AC79AD">
            <w:pPr>
              <w:jc w:val="right"/>
              <w:rPr>
                <w:sz w:val="20"/>
                <w:szCs w:val="20"/>
              </w:rPr>
            </w:pPr>
            <w:r>
              <w:rPr>
                <w:sz w:val="20"/>
                <w:szCs w:val="20"/>
              </w:rPr>
              <w:t>0,00</w:t>
            </w:r>
          </w:p>
        </w:tc>
        <w:tc>
          <w:tcPr>
            <w:tcW w:w="1120" w:type="dxa"/>
            <w:tcBorders>
              <w:top w:val="nil"/>
              <w:left w:val="nil"/>
              <w:bottom w:val="single" w:sz="4" w:space="0" w:color="auto"/>
              <w:right w:val="nil"/>
            </w:tcBorders>
            <w:shd w:val="clear" w:color="auto" w:fill="auto"/>
            <w:noWrap/>
            <w:vAlign w:val="bottom"/>
            <w:hideMark/>
          </w:tcPr>
          <w:p w14:paraId="6B7350C3" w14:textId="77777777" w:rsidR="00AC79AD" w:rsidRDefault="00AC79AD">
            <w:pPr>
              <w:jc w:val="right"/>
              <w:rPr>
                <w:sz w:val="20"/>
                <w:szCs w:val="20"/>
              </w:rPr>
            </w:pPr>
            <w:r>
              <w:rPr>
                <w:sz w:val="20"/>
                <w:szCs w:val="20"/>
              </w:rPr>
              <w:t>0,00</w:t>
            </w:r>
          </w:p>
        </w:tc>
        <w:tc>
          <w:tcPr>
            <w:tcW w:w="1120" w:type="dxa"/>
            <w:tcBorders>
              <w:top w:val="nil"/>
              <w:left w:val="nil"/>
              <w:bottom w:val="single" w:sz="4" w:space="0" w:color="auto"/>
              <w:right w:val="nil"/>
            </w:tcBorders>
            <w:shd w:val="clear" w:color="auto" w:fill="auto"/>
            <w:noWrap/>
            <w:vAlign w:val="bottom"/>
            <w:hideMark/>
          </w:tcPr>
          <w:p w14:paraId="41EE491E" w14:textId="77777777" w:rsidR="00AC79AD" w:rsidRDefault="00AC79AD">
            <w:pPr>
              <w:jc w:val="right"/>
              <w:rPr>
                <w:sz w:val="20"/>
                <w:szCs w:val="20"/>
              </w:rPr>
            </w:pPr>
            <w:r>
              <w:rPr>
                <w:sz w:val="20"/>
                <w:szCs w:val="20"/>
              </w:rPr>
              <w:t>0,00</w:t>
            </w:r>
          </w:p>
        </w:tc>
      </w:tr>
    </w:tbl>
    <w:p w14:paraId="1AD59706" w14:textId="77777777" w:rsidR="003B2C9F" w:rsidRDefault="003B2C9F" w:rsidP="00AD72E4">
      <w:pPr>
        <w:pStyle w:val="Subtitle1"/>
        <w:rPr>
          <w:rFonts w:ascii="Times New Roman" w:hAnsi="Times New Roman"/>
          <w:sz w:val="24"/>
          <w:szCs w:val="24"/>
        </w:rPr>
      </w:pPr>
    </w:p>
    <w:p w14:paraId="134559F8" w14:textId="77777777" w:rsidR="00953AE7" w:rsidRDefault="00953AE7" w:rsidP="00AD72E4">
      <w:pPr>
        <w:pStyle w:val="Subtitle1"/>
        <w:rPr>
          <w:rFonts w:ascii="Times New Roman" w:hAnsi="Times New Roman"/>
          <w:sz w:val="24"/>
          <w:szCs w:val="24"/>
        </w:rPr>
      </w:pPr>
    </w:p>
    <w:p w14:paraId="1FF6488A" w14:textId="77777777" w:rsidR="00953AE7" w:rsidRDefault="00953AE7" w:rsidP="00AD72E4">
      <w:pPr>
        <w:pStyle w:val="Subtitle1"/>
        <w:rPr>
          <w:rFonts w:ascii="Times New Roman" w:hAnsi="Times New Roman"/>
          <w:sz w:val="24"/>
          <w:szCs w:val="24"/>
        </w:rPr>
      </w:pPr>
    </w:p>
    <w:p w14:paraId="0F842816" w14:textId="77777777" w:rsidR="00953AE7" w:rsidRDefault="00953AE7" w:rsidP="00AD72E4">
      <w:pPr>
        <w:pStyle w:val="Subtitle1"/>
        <w:rPr>
          <w:rFonts w:ascii="Times New Roman" w:hAnsi="Times New Roman"/>
          <w:sz w:val="24"/>
          <w:szCs w:val="24"/>
        </w:rPr>
      </w:pPr>
    </w:p>
    <w:p w14:paraId="69DFC392" w14:textId="77777777" w:rsidR="00953AE7" w:rsidRDefault="00953AE7" w:rsidP="00AD72E4">
      <w:pPr>
        <w:pStyle w:val="Subtitle1"/>
        <w:rPr>
          <w:rFonts w:ascii="Times New Roman" w:hAnsi="Times New Roman"/>
          <w:sz w:val="24"/>
          <w:szCs w:val="24"/>
        </w:rPr>
      </w:pPr>
    </w:p>
    <w:p w14:paraId="73A9C162" w14:textId="77777777" w:rsidR="00953AE7" w:rsidRDefault="00953AE7" w:rsidP="00AD72E4">
      <w:pPr>
        <w:pStyle w:val="Subtitle1"/>
        <w:rPr>
          <w:rFonts w:ascii="Times New Roman" w:hAnsi="Times New Roman"/>
          <w:sz w:val="24"/>
          <w:szCs w:val="24"/>
        </w:rPr>
      </w:pPr>
    </w:p>
    <w:p w14:paraId="32A95034" w14:textId="77777777" w:rsidR="00953AE7" w:rsidRDefault="00953AE7" w:rsidP="00AD72E4">
      <w:pPr>
        <w:pStyle w:val="Subtitle1"/>
        <w:rPr>
          <w:rFonts w:ascii="Times New Roman" w:hAnsi="Times New Roman"/>
          <w:sz w:val="24"/>
          <w:szCs w:val="24"/>
        </w:rPr>
      </w:pPr>
    </w:p>
    <w:p w14:paraId="7A05CFD5" w14:textId="77777777" w:rsidR="00953AE7" w:rsidRDefault="00953AE7" w:rsidP="00AD72E4">
      <w:pPr>
        <w:pStyle w:val="Subtitle1"/>
        <w:rPr>
          <w:rFonts w:ascii="Times New Roman" w:hAnsi="Times New Roman"/>
          <w:sz w:val="24"/>
          <w:szCs w:val="24"/>
        </w:rPr>
      </w:pPr>
    </w:p>
    <w:tbl>
      <w:tblPr>
        <w:tblW w:w="14214" w:type="dxa"/>
        <w:tblLook w:val="04A0" w:firstRow="1" w:lastRow="0" w:firstColumn="1" w:lastColumn="0" w:noHBand="0" w:noVBand="1"/>
      </w:tblPr>
      <w:tblGrid>
        <w:gridCol w:w="7268"/>
        <w:gridCol w:w="1660"/>
        <w:gridCol w:w="1660"/>
        <w:gridCol w:w="1660"/>
        <w:gridCol w:w="983"/>
        <w:gridCol w:w="983"/>
      </w:tblGrid>
      <w:tr w:rsidR="003B3769" w:rsidRPr="00953AE7" w14:paraId="6A7D8FEB" w14:textId="77777777" w:rsidTr="00953AE7">
        <w:trPr>
          <w:trHeight w:val="255"/>
        </w:trPr>
        <w:tc>
          <w:tcPr>
            <w:tcW w:w="7268" w:type="dxa"/>
            <w:tcBorders>
              <w:top w:val="nil"/>
              <w:left w:val="nil"/>
              <w:bottom w:val="nil"/>
              <w:right w:val="nil"/>
            </w:tcBorders>
            <w:shd w:val="clear" w:color="auto" w:fill="auto"/>
            <w:noWrap/>
            <w:vAlign w:val="bottom"/>
            <w:hideMark/>
          </w:tcPr>
          <w:p w14:paraId="7818E271" w14:textId="77777777" w:rsidR="003B3769" w:rsidRPr="00953AE7" w:rsidRDefault="003B3769" w:rsidP="00953AE7">
            <w:pPr>
              <w:pStyle w:val="Subtitle1"/>
              <w:rPr>
                <w:rFonts w:ascii="Times New Roman" w:hAnsi="Times New Roman"/>
                <w:sz w:val="20"/>
                <w:szCs w:val="20"/>
              </w:rPr>
            </w:pPr>
            <w:bookmarkStart w:id="11" w:name="_Toc133398665"/>
            <w:r w:rsidRPr="00953AE7">
              <w:rPr>
                <w:rFonts w:ascii="Times New Roman" w:hAnsi="Times New Roman"/>
                <w:sz w:val="20"/>
                <w:szCs w:val="20"/>
              </w:rPr>
              <w:lastRenderedPageBreak/>
              <w:t>2. A. 3. RASHODI PREMA FUNKCIJSKOJ KLASIFIKACIJI</w:t>
            </w:r>
            <w:bookmarkEnd w:id="11"/>
          </w:p>
        </w:tc>
        <w:tc>
          <w:tcPr>
            <w:tcW w:w="1660" w:type="dxa"/>
            <w:tcBorders>
              <w:top w:val="nil"/>
              <w:left w:val="nil"/>
              <w:bottom w:val="nil"/>
              <w:right w:val="nil"/>
            </w:tcBorders>
            <w:shd w:val="clear" w:color="auto" w:fill="auto"/>
            <w:noWrap/>
            <w:vAlign w:val="bottom"/>
            <w:hideMark/>
          </w:tcPr>
          <w:p w14:paraId="6DB3FACA" w14:textId="77777777" w:rsidR="003B3769" w:rsidRPr="00953AE7" w:rsidRDefault="003B3769" w:rsidP="00953AE7">
            <w:pPr>
              <w:pStyle w:val="Subtitle1"/>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2CA90D65" w14:textId="77777777" w:rsidR="003B3769" w:rsidRPr="00953AE7" w:rsidRDefault="003B3769" w:rsidP="00953AE7">
            <w:pPr>
              <w:pStyle w:val="Subtitle1"/>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6C73B8D3" w14:textId="77777777" w:rsidR="003B3769" w:rsidRPr="00953AE7" w:rsidRDefault="003B3769" w:rsidP="00953AE7">
            <w:pPr>
              <w:pStyle w:val="Subtitle1"/>
              <w:rPr>
                <w:rFonts w:ascii="Times New Roman" w:hAnsi="Times New Roman"/>
                <w:sz w:val="20"/>
                <w:szCs w:val="20"/>
              </w:rPr>
            </w:pPr>
          </w:p>
        </w:tc>
        <w:tc>
          <w:tcPr>
            <w:tcW w:w="983" w:type="dxa"/>
            <w:tcBorders>
              <w:top w:val="nil"/>
              <w:left w:val="nil"/>
              <w:bottom w:val="nil"/>
              <w:right w:val="nil"/>
            </w:tcBorders>
            <w:shd w:val="clear" w:color="auto" w:fill="auto"/>
            <w:noWrap/>
            <w:vAlign w:val="bottom"/>
            <w:hideMark/>
          </w:tcPr>
          <w:p w14:paraId="2E866E64" w14:textId="77777777" w:rsidR="003B3769" w:rsidRPr="00953AE7" w:rsidRDefault="003B3769" w:rsidP="00953AE7">
            <w:pPr>
              <w:pStyle w:val="Subtitle1"/>
              <w:rPr>
                <w:rFonts w:ascii="Times New Roman" w:hAnsi="Times New Roman"/>
                <w:sz w:val="20"/>
                <w:szCs w:val="20"/>
              </w:rPr>
            </w:pPr>
          </w:p>
        </w:tc>
        <w:tc>
          <w:tcPr>
            <w:tcW w:w="983" w:type="dxa"/>
            <w:tcBorders>
              <w:top w:val="nil"/>
              <w:left w:val="nil"/>
              <w:bottom w:val="nil"/>
              <w:right w:val="nil"/>
            </w:tcBorders>
            <w:shd w:val="clear" w:color="auto" w:fill="auto"/>
            <w:noWrap/>
            <w:vAlign w:val="bottom"/>
            <w:hideMark/>
          </w:tcPr>
          <w:p w14:paraId="7645AFFE" w14:textId="77777777" w:rsidR="003B3769" w:rsidRPr="00953AE7" w:rsidRDefault="003B3769" w:rsidP="00953AE7">
            <w:pPr>
              <w:pStyle w:val="Subtitle1"/>
              <w:rPr>
                <w:rFonts w:ascii="Times New Roman" w:hAnsi="Times New Roman"/>
                <w:sz w:val="20"/>
                <w:szCs w:val="20"/>
              </w:rPr>
            </w:pPr>
          </w:p>
        </w:tc>
      </w:tr>
      <w:tr w:rsidR="003B3769" w14:paraId="1F23FE67" w14:textId="77777777" w:rsidTr="00953AE7">
        <w:trPr>
          <w:trHeight w:val="300"/>
        </w:trPr>
        <w:tc>
          <w:tcPr>
            <w:tcW w:w="7268" w:type="dxa"/>
            <w:tcBorders>
              <w:top w:val="nil"/>
              <w:left w:val="nil"/>
              <w:bottom w:val="nil"/>
              <w:right w:val="nil"/>
            </w:tcBorders>
            <w:shd w:val="clear" w:color="auto" w:fill="auto"/>
            <w:noWrap/>
            <w:vAlign w:val="bottom"/>
            <w:hideMark/>
          </w:tcPr>
          <w:p w14:paraId="6E0712E5" w14:textId="77777777" w:rsidR="003B3769" w:rsidRDefault="003B3769">
            <w:pPr>
              <w:rPr>
                <w:sz w:val="20"/>
                <w:szCs w:val="20"/>
              </w:rPr>
            </w:pPr>
          </w:p>
        </w:tc>
        <w:tc>
          <w:tcPr>
            <w:tcW w:w="1660" w:type="dxa"/>
            <w:tcBorders>
              <w:top w:val="nil"/>
              <w:left w:val="nil"/>
              <w:bottom w:val="nil"/>
              <w:right w:val="nil"/>
            </w:tcBorders>
            <w:shd w:val="clear" w:color="auto" w:fill="auto"/>
            <w:noWrap/>
            <w:vAlign w:val="bottom"/>
            <w:hideMark/>
          </w:tcPr>
          <w:p w14:paraId="206CC3F2" w14:textId="77777777" w:rsidR="003B3769" w:rsidRDefault="003B3769">
            <w:pPr>
              <w:rPr>
                <w:sz w:val="20"/>
                <w:szCs w:val="20"/>
              </w:rPr>
            </w:pPr>
          </w:p>
        </w:tc>
        <w:tc>
          <w:tcPr>
            <w:tcW w:w="1660" w:type="dxa"/>
            <w:tcBorders>
              <w:top w:val="nil"/>
              <w:left w:val="nil"/>
              <w:bottom w:val="nil"/>
              <w:right w:val="nil"/>
            </w:tcBorders>
            <w:shd w:val="clear" w:color="auto" w:fill="auto"/>
            <w:noWrap/>
            <w:vAlign w:val="bottom"/>
            <w:hideMark/>
          </w:tcPr>
          <w:p w14:paraId="07A5CBFF" w14:textId="77777777" w:rsidR="003B3769" w:rsidRDefault="003B3769">
            <w:pPr>
              <w:rPr>
                <w:sz w:val="20"/>
                <w:szCs w:val="20"/>
              </w:rPr>
            </w:pPr>
          </w:p>
        </w:tc>
        <w:tc>
          <w:tcPr>
            <w:tcW w:w="1660" w:type="dxa"/>
            <w:tcBorders>
              <w:top w:val="nil"/>
              <w:left w:val="nil"/>
              <w:bottom w:val="nil"/>
              <w:right w:val="nil"/>
            </w:tcBorders>
            <w:shd w:val="clear" w:color="auto" w:fill="auto"/>
            <w:noWrap/>
            <w:vAlign w:val="bottom"/>
            <w:hideMark/>
          </w:tcPr>
          <w:p w14:paraId="7E8FA823" w14:textId="77777777" w:rsidR="003B3769" w:rsidRDefault="003B3769">
            <w:pPr>
              <w:rPr>
                <w:sz w:val="20"/>
                <w:szCs w:val="20"/>
              </w:rPr>
            </w:pPr>
          </w:p>
        </w:tc>
        <w:tc>
          <w:tcPr>
            <w:tcW w:w="983" w:type="dxa"/>
            <w:tcBorders>
              <w:top w:val="nil"/>
              <w:left w:val="nil"/>
              <w:bottom w:val="nil"/>
              <w:right w:val="nil"/>
            </w:tcBorders>
            <w:shd w:val="clear" w:color="auto" w:fill="auto"/>
            <w:noWrap/>
            <w:vAlign w:val="bottom"/>
            <w:hideMark/>
          </w:tcPr>
          <w:p w14:paraId="683230E3" w14:textId="77777777" w:rsidR="003B3769" w:rsidRDefault="003B3769">
            <w:pPr>
              <w:rPr>
                <w:sz w:val="20"/>
                <w:szCs w:val="20"/>
              </w:rPr>
            </w:pPr>
          </w:p>
        </w:tc>
        <w:tc>
          <w:tcPr>
            <w:tcW w:w="983" w:type="dxa"/>
            <w:tcBorders>
              <w:top w:val="nil"/>
              <w:left w:val="nil"/>
              <w:bottom w:val="nil"/>
              <w:right w:val="nil"/>
            </w:tcBorders>
            <w:shd w:val="clear" w:color="auto" w:fill="auto"/>
            <w:noWrap/>
            <w:vAlign w:val="bottom"/>
            <w:hideMark/>
          </w:tcPr>
          <w:p w14:paraId="688A5D23" w14:textId="77777777" w:rsidR="003B3769" w:rsidRDefault="003B3769">
            <w:pPr>
              <w:rPr>
                <w:sz w:val="20"/>
                <w:szCs w:val="20"/>
              </w:rPr>
            </w:pPr>
          </w:p>
        </w:tc>
      </w:tr>
      <w:tr w:rsidR="003B3769" w14:paraId="620F8F73" w14:textId="77777777" w:rsidTr="00953AE7">
        <w:trPr>
          <w:trHeight w:val="255"/>
        </w:trPr>
        <w:tc>
          <w:tcPr>
            <w:tcW w:w="7268" w:type="dxa"/>
            <w:tcBorders>
              <w:top w:val="single" w:sz="4" w:space="0" w:color="auto"/>
              <w:left w:val="nil"/>
              <w:bottom w:val="nil"/>
              <w:right w:val="nil"/>
            </w:tcBorders>
            <w:shd w:val="clear" w:color="auto" w:fill="auto"/>
            <w:noWrap/>
            <w:vAlign w:val="bottom"/>
            <w:hideMark/>
          </w:tcPr>
          <w:p w14:paraId="42E38478" w14:textId="77777777" w:rsidR="003B3769" w:rsidRDefault="003B3769">
            <w:pPr>
              <w:rPr>
                <w:b/>
                <w:bCs/>
                <w:sz w:val="20"/>
                <w:szCs w:val="20"/>
              </w:rPr>
            </w:pPr>
            <w:r>
              <w:rPr>
                <w:b/>
                <w:bCs/>
                <w:sz w:val="20"/>
                <w:szCs w:val="20"/>
              </w:rPr>
              <w:t>BROJČANA OZNAKA I NAZIV FUNKCIJSKE KLASIFIKACIJE</w:t>
            </w:r>
          </w:p>
        </w:tc>
        <w:tc>
          <w:tcPr>
            <w:tcW w:w="1660" w:type="dxa"/>
            <w:tcBorders>
              <w:top w:val="single" w:sz="4" w:space="0" w:color="auto"/>
              <w:left w:val="nil"/>
              <w:bottom w:val="nil"/>
              <w:right w:val="nil"/>
            </w:tcBorders>
            <w:shd w:val="clear" w:color="auto" w:fill="auto"/>
            <w:noWrap/>
            <w:vAlign w:val="bottom"/>
            <w:hideMark/>
          </w:tcPr>
          <w:p w14:paraId="2D5DBB46" w14:textId="77777777" w:rsidR="003B3769" w:rsidRDefault="003B3769">
            <w:pPr>
              <w:jc w:val="center"/>
              <w:rPr>
                <w:b/>
                <w:bCs/>
                <w:sz w:val="20"/>
                <w:szCs w:val="20"/>
              </w:rPr>
            </w:pPr>
            <w:r>
              <w:rPr>
                <w:b/>
                <w:bCs/>
                <w:sz w:val="20"/>
                <w:szCs w:val="20"/>
              </w:rPr>
              <w:t xml:space="preserve">IZVRŠENJE </w:t>
            </w:r>
          </w:p>
        </w:tc>
        <w:tc>
          <w:tcPr>
            <w:tcW w:w="1660" w:type="dxa"/>
            <w:tcBorders>
              <w:top w:val="single" w:sz="4" w:space="0" w:color="auto"/>
              <w:left w:val="nil"/>
              <w:bottom w:val="nil"/>
              <w:right w:val="nil"/>
            </w:tcBorders>
            <w:shd w:val="clear" w:color="auto" w:fill="auto"/>
            <w:noWrap/>
            <w:vAlign w:val="bottom"/>
            <w:hideMark/>
          </w:tcPr>
          <w:p w14:paraId="7FE6316F" w14:textId="77777777" w:rsidR="003B3769" w:rsidRDefault="003B3769">
            <w:pPr>
              <w:jc w:val="center"/>
              <w:rPr>
                <w:b/>
                <w:bCs/>
                <w:sz w:val="20"/>
                <w:szCs w:val="20"/>
              </w:rPr>
            </w:pPr>
            <w:r>
              <w:rPr>
                <w:b/>
                <w:bCs/>
                <w:sz w:val="20"/>
                <w:szCs w:val="20"/>
              </w:rPr>
              <w:t>IZVORNI PLAN</w:t>
            </w:r>
          </w:p>
        </w:tc>
        <w:tc>
          <w:tcPr>
            <w:tcW w:w="1660" w:type="dxa"/>
            <w:tcBorders>
              <w:top w:val="single" w:sz="4" w:space="0" w:color="auto"/>
              <w:left w:val="nil"/>
              <w:bottom w:val="nil"/>
              <w:right w:val="nil"/>
            </w:tcBorders>
            <w:shd w:val="clear" w:color="auto" w:fill="auto"/>
            <w:noWrap/>
            <w:vAlign w:val="bottom"/>
            <w:hideMark/>
          </w:tcPr>
          <w:p w14:paraId="3D037AB1" w14:textId="77777777" w:rsidR="003B3769" w:rsidRDefault="003B3769">
            <w:pPr>
              <w:jc w:val="center"/>
              <w:rPr>
                <w:b/>
                <w:bCs/>
                <w:sz w:val="20"/>
                <w:szCs w:val="20"/>
              </w:rPr>
            </w:pPr>
            <w:r>
              <w:rPr>
                <w:b/>
                <w:bCs/>
                <w:sz w:val="20"/>
                <w:szCs w:val="20"/>
              </w:rPr>
              <w:t xml:space="preserve">IZVRŠENJE </w:t>
            </w:r>
          </w:p>
        </w:tc>
        <w:tc>
          <w:tcPr>
            <w:tcW w:w="983" w:type="dxa"/>
            <w:tcBorders>
              <w:top w:val="single" w:sz="4" w:space="0" w:color="auto"/>
              <w:left w:val="nil"/>
              <w:bottom w:val="nil"/>
              <w:right w:val="nil"/>
            </w:tcBorders>
            <w:shd w:val="clear" w:color="auto" w:fill="auto"/>
            <w:noWrap/>
            <w:vAlign w:val="bottom"/>
            <w:hideMark/>
          </w:tcPr>
          <w:p w14:paraId="4986AC72" w14:textId="77777777" w:rsidR="003B3769" w:rsidRDefault="003B3769">
            <w:pPr>
              <w:jc w:val="center"/>
              <w:rPr>
                <w:b/>
                <w:bCs/>
                <w:sz w:val="20"/>
                <w:szCs w:val="20"/>
              </w:rPr>
            </w:pPr>
            <w:r>
              <w:rPr>
                <w:b/>
                <w:bCs/>
                <w:sz w:val="20"/>
                <w:szCs w:val="20"/>
              </w:rPr>
              <w:t>INDEKS</w:t>
            </w:r>
          </w:p>
        </w:tc>
        <w:tc>
          <w:tcPr>
            <w:tcW w:w="983" w:type="dxa"/>
            <w:tcBorders>
              <w:top w:val="single" w:sz="4" w:space="0" w:color="auto"/>
              <w:left w:val="nil"/>
              <w:bottom w:val="nil"/>
              <w:right w:val="nil"/>
            </w:tcBorders>
            <w:shd w:val="clear" w:color="auto" w:fill="auto"/>
            <w:noWrap/>
            <w:vAlign w:val="bottom"/>
            <w:hideMark/>
          </w:tcPr>
          <w:p w14:paraId="4E926A94" w14:textId="77777777" w:rsidR="003B3769" w:rsidRDefault="003B3769">
            <w:pPr>
              <w:jc w:val="center"/>
              <w:rPr>
                <w:b/>
                <w:bCs/>
                <w:sz w:val="20"/>
                <w:szCs w:val="20"/>
              </w:rPr>
            </w:pPr>
            <w:r>
              <w:rPr>
                <w:b/>
                <w:bCs/>
                <w:sz w:val="20"/>
                <w:szCs w:val="20"/>
              </w:rPr>
              <w:t>INDEKS</w:t>
            </w:r>
          </w:p>
        </w:tc>
      </w:tr>
      <w:tr w:rsidR="003B3769" w14:paraId="2FF3FC20" w14:textId="77777777" w:rsidTr="00953AE7">
        <w:trPr>
          <w:trHeight w:val="255"/>
        </w:trPr>
        <w:tc>
          <w:tcPr>
            <w:tcW w:w="7268" w:type="dxa"/>
            <w:tcBorders>
              <w:top w:val="nil"/>
              <w:left w:val="nil"/>
              <w:bottom w:val="single" w:sz="4" w:space="0" w:color="auto"/>
              <w:right w:val="nil"/>
            </w:tcBorders>
            <w:shd w:val="clear" w:color="auto" w:fill="auto"/>
            <w:noWrap/>
            <w:vAlign w:val="bottom"/>
            <w:hideMark/>
          </w:tcPr>
          <w:p w14:paraId="09FF06E6" w14:textId="77777777" w:rsidR="003B3769" w:rsidRDefault="003B3769">
            <w:pPr>
              <w:rPr>
                <w:b/>
                <w:bCs/>
                <w:sz w:val="20"/>
                <w:szCs w:val="20"/>
              </w:rPr>
            </w:pPr>
            <w:r>
              <w:rPr>
                <w:b/>
                <w:bCs/>
                <w:sz w:val="20"/>
                <w:szCs w:val="20"/>
              </w:rPr>
              <w:t> </w:t>
            </w:r>
          </w:p>
        </w:tc>
        <w:tc>
          <w:tcPr>
            <w:tcW w:w="1660" w:type="dxa"/>
            <w:tcBorders>
              <w:top w:val="nil"/>
              <w:left w:val="nil"/>
              <w:bottom w:val="single" w:sz="4" w:space="0" w:color="auto"/>
              <w:right w:val="nil"/>
            </w:tcBorders>
            <w:shd w:val="clear" w:color="auto" w:fill="auto"/>
            <w:noWrap/>
            <w:vAlign w:val="bottom"/>
            <w:hideMark/>
          </w:tcPr>
          <w:p w14:paraId="17B84A0C" w14:textId="77777777" w:rsidR="003B3769" w:rsidRDefault="003B3769">
            <w:pPr>
              <w:jc w:val="center"/>
              <w:rPr>
                <w:b/>
                <w:bCs/>
                <w:sz w:val="20"/>
                <w:szCs w:val="20"/>
              </w:rPr>
            </w:pPr>
            <w:r>
              <w:rPr>
                <w:b/>
                <w:bCs/>
                <w:sz w:val="20"/>
                <w:szCs w:val="20"/>
              </w:rPr>
              <w:t>2021.</w:t>
            </w:r>
          </w:p>
        </w:tc>
        <w:tc>
          <w:tcPr>
            <w:tcW w:w="1660" w:type="dxa"/>
            <w:tcBorders>
              <w:top w:val="nil"/>
              <w:left w:val="nil"/>
              <w:bottom w:val="single" w:sz="4" w:space="0" w:color="auto"/>
              <w:right w:val="nil"/>
            </w:tcBorders>
            <w:shd w:val="clear" w:color="auto" w:fill="auto"/>
            <w:noWrap/>
            <w:vAlign w:val="bottom"/>
            <w:hideMark/>
          </w:tcPr>
          <w:p w14:paraId="13FD7372" w14:textId="77777777" w:rsidR="003B3769" w:rsidRDefault="003B3769">
            <w:pPr>
              <w:jc w:val="center"/>
              <w:rPr>
                <w:b/>
                <w:bCs/>
                <w:sz w:val="20"/>
                <w:szCs w:val="20"/>
              </w:rPr>
            </w:pPr>
            <w:r>
              <w:rPr>
                <w:b/>
                <w:bCs/>
                <w:sz w:val="20"/>
                <w:szCs w:val="20"/>
              </w:rPr>
              <w:t>2022.</w:t>
            </w:r>
          </w:p>
        </w:tc>
        <w:tc>
          <w:tcPr>
            <w:tcW w:w="1660" w:type="dxa"/>
            <w:tcBorders>
              <w:top w:val="nil"/>
              <w:left w:val="nil"/>
              <w:bottom w:val="single" w:sz="4" w:space="0" w:color="auto"/>
              <w:right w:val="nil"/>
            </w:tcBorders>
            <w:shd w:val="clear" w:color="auto" w:fill="auto"/>
            <w:noWrap/>
            <w:vAlign w:val="bottom"/>
            <w:hideMark/>
          </w:tcPr>
          <w:p w14:paraId="7D42A205" w14:textId="77777777" w:rsidR="003B3769" w:rsidRDefault="003B3769">
            <w:pPr>
              <w:jc w:val="center"/>
              <w:rPr>
                <w:b/>
                <w:bCs/>
                <w:sz w:val="20"/>
                <w:szCs w:val="20"/>
              </w:rPr>
            </w:pPr>
            <w:r>
              <w:rPr>
                <w:b/>
                <w:bCs/>
                <w:sz w:val="20"/>
                <w:szCs w:val="20"/>
              </w:rPr>
              <w:t>2022.</w:t>
            </w:r>
          </w:p>
        </w:tc>
        <w:tc>
          <w:tcPr>
            <w:tcW w:w="983" w:type="dxa"/>
            <w:tcBorders>
              <w:top w:val="nil"/>
              <w:left w:val="nil"/>
              <w:bottom w:val="single" w:sz="4" w:space="0" w:color="auto"/>
              <w:right w:val="nil"/>
            </w:tcBorders>
            <w:shd w:val="clear" w:color="auto" w:fill="auto"/>
            <w:noWrap/>
            <w:vAlign w:val="bottom"/>
            <w:hideMark/>
          </w:tcPr>
          <w:p w14:paraId="004E9035" w14:textId="77777777" w:rsidR="003B3769" w:rsidRDefault="003B3769">
            <w:pPr>
              <w:jc w:val="center"/>
              <w:rPr>
                <w:b/>
                <w:bCs/>
                <w:sz w:val="20"/>
                <w:szCs w:val="20"/>
              </w:rPr>
            </w:pPr>
            <w:r>
              <w:rPr>
                <w:b/>
                <w:bCs/>
                <w:sz w:val="20"/>
                <w:szCs w:val="20"/>
              </w:rPr>
              <w:t>4/2*100</w:t>
            </w:r>
          </w:p>
        </w:tc>
        <w:tc>
          <w:tcPr>
            <w:tcW w:w="983" w:type="dxa"/>
            <w:tcBorders>
              <w:top w:val="nil"/>
              <w:left w:val="nil"/>
              <w:bottom w:val="single" w:sz="4" w:space="0" w:color="auto"/>
              <w:right w:val="nil"/>
            </w:tcBorders>
            <w:shd w:val="clear" w:color="auto" w:fill="auto"/>
            <w:noWrap/>
            <w:vAlign w:val="bottom"/>
            <w:hideMark/>
          </w:tcPr>
          <w:p w14:paraId="60FEF46E" w14:textId="77777777" w:rsidR="003B3769" w:rsidRDefault="003B3769">
            <w:pPr>
              <w:jc w:val="center"/>
              <w:rPr>
                <w:b/>
                <w:bCs/>
                <w:sz w:val="20"/>
                <w:szCs w:val="20"/>
              </w:rPr>
            </w:pPr>
            <w:r>
              <w:rPr>
                <w:b/>
                <w:bCs/>
                <w:sz w:val="20"/>
                <w:szCs w:val="20"/>
              </w:rPr>
              <w:t>4/3*100</w:t>
            </w:r>
          </w:p>
        </w:tc>
      </w:tr>
      <w:tr w:rsidR="003B3769" w14:paraId="118CD048" w14:textId="77777777" w:rsidTr="00953AE7">
        <w:trPr>
          <w:trHeight w:val="255"/>
        </w:trPr>
        <w:tc>
          <w:tcPr>
            <w:tcW w:w="7268" w:type="dxa"/>
            <w:tcBorders>
              <w:top w:val="nil"/>
              <w:left w:val="nil"/>
              <w:bottom w:val="single" w:sz="4" w:space="0" w:color="auto"/>
              <w:right w:val="nil"/>
            </w:tcBorders>
            <w:shd w:val="clear" w:color="auto" w:fill="auto"/>
            <w:noWrap/>
            <w:vAlign w:val="bottom"/>
            <w:hideMark/>
          </w:tcPr>
          <w:p w14:paraId="3E1C2986" w14:textId="77777777" w:rsidR="003B3769" w:rsidRDefault="003B3769">
            <w:pPr>
              <w:jc w:val="center"/>
              <w:rPr>
                <w:b/>
                <w:bCs/>
                <w:sz w:val="20"/>
                <w:szCs w:val="20"/>
              </w:rPr>
            </w:pPr>
            <w:r>
              <w:rPr>
                <w:b/>
                <w:bCs/>
                <w:sz w:val="20"/>
                <w:szCs w:val="20"/>
              </w:rPr>
              <w:t>1</w:t>
            </w:r>
          </w:p>
        </w:tc>
        <w:tc>
          <w:tcPr>
            <w:tcW w:w="1660" w:type="dxa"/>
            <w:tcBorders>
              <w:top w:val="nil"/>
              <w:left w:val="nil"/>
              <w:bottom w:val="single" w:sz="4" w:space="0" w:color="auto"/>
              <w:right w:val="nil"/>
            </w:tcBorders>
            <w:shd w:val="clear" w:color="auto" w:fill="auto"/>
            <w:noWrap/>
            <w:vAlign w:val="bottom"/>
            <w:hideMark/>
          </w:tcPr>
          <w:p w14:paraId="5971C19C" w14:textId="77777777" w:rsidR="003B3769" w:rsidRDefault="003B3769">
            <w:pPr>
              <w:jc w:val="center"/>
              <w:rPr>
                <w:b/>
                <w:bCs/>
                <w:sz w:val="20"/>
                <w:szCs w:val="20"/>
              </w:rPr>
            </w:pPr>
            <w:r>
              <w:rPr>
                <w:b/>
                <w:bCs/>
                <w:sz w:val="20"/>
                <w:szCs w:val="20"/>
              </w:rPr>
              <w:t>3</w:t>
            </w:r>
          </w:p>
        </w:tc>
        <w:tc>
          <w:tcPr>
            <w:tcW w:w="1660" w:type="dxa"/>
            <w:tcBorders>
              <w:top w:val="nil"/>
              <w:left w:val="nil"/>
              <w:bottom w:val="single" w:sz="4" w:space="0" w:color="auto"/>
              <w:right w:val="nil"/>
            </w:tcBorders>
            <w:shd w:val="clear" w:color="auto" w:fill="auto"/>
            <w:noWrap/>
            <w:vAlign w:val="bottom"/>
            <w:hideMark/>
          </w:tcPr>
          <w:p w14:paraId="7C1D65E5" w14:textId="77777777" w:rsidR="003B3769" w:rsidRDefault="003B3769">
            <w:pPr>
              <w:jc w:val="center"/>
              <w:rPr>
                <w:b/>
                <w:bCs/>
                <w:sz w:val="20"/>
                <w:szCs w:val="20"/>
              </w:rPr>
            </w:pPr>
            <w:r>
              <w:rPr>
                <w:b/>
                <w:bCs/>
                <w:sz w:val="20"/>
                <w:szCs w:val="20"/>
              </w:rPr>
              <w:t>3</w:t>
            </w:r>
          </w:p>
        </w:tc>
        <w:tc>
          <w:tcPr>
            <w:tcW w:w="1660" w:type="dxa"/>
            <w:tcBorders>
              <w:top w:val="nil"/>
              <w:left w:val="nil"/>
              <w:bottom w:val="single" w:sz="4" w:space="0" w:color="auto"/>
              <w:right w:val="nil"/>
            </w:tcBorders>
            <w:shd w:val="clear" w:color="auto" w:fill="auto"/>
            <w:noWrap/>
            <w:vAlign w:val="bottom"/>
            <w:hideMark/>
          </w:tcPr>
          <w:p w14:paraId="0EDAF56F" w14:textId="77777777" w:rsidR="003B3769" w:rsidRDefault="003B3769">
            <w:pPr>
              <w:jc w:val="center"/>
              <w:rPr>
                <w:b/>
                <w:bCs/>
                <w:sz w:val="20"/>
                <w:szCs w:val="20"/>
              </w:rPr>
            </w:pPr>
            <w:r>
              <w:rPr>
                <w:b/>
                <w:bCs/>
                <w:sz w:val="20"/>
                <w:szCs w:val="20"/>
              </w:rPr>
              <w:t>4</w:t>
            </w:r>
          </w:p>
        </w:tc>
        <w:tc>
          <w:tcPr>
            <w:tcW w:w="983" w:type="dxa"/>
            <w:tcBorders>
              <w:top w:val="nil"/>
              <w:left w:val="nil"/>
              <w:bottom w:val="single" w:sz="4" w:space="0" w:color="auto"/>
              <w:right w:val="nil"/>
            </w:tcBorders>
            <w:shd w:val="clear" w:color="auto" w:fill="auto"/>
            <w:noWrap/>
            <w:vAlign w:val="bottom"/>
            <w:hideMark/>
          </w:tcPr>
          <w:p w14:paraId="010664E4" w14:textId="77777777" w:rsidR="003B3769" w:rsidRDefault="003B3769">
            <w:pPr>
              <w:jc w:val="center"/>
              <w:rPr>
                <w:b/>
                <w:bCs/>
                <w:sz w:val="20"/>
                <w:szCs w:val="20"/>
              </w:rPr>
            </w:pPr>
            <w:r>
              <w:rPr>
                <w:b/>
                <w:bCs/>
                <w:sz w:val="20"/>
                <w:szCs w:val="20"/>
              </w:rPr>
              <w:t>5</w:t>
            </w:r>
          </w:p>
        </w:tc>
        <w:tc>
          <w:tcPr>
            <w:tcW w:w="983" w:type="dxa"/>
            <w:tcBorders>
              <w:top w:val="nil"/>
              <w:left w:val="nil"/>
              <w:bottom w:val="single" w:sz="4" w:space="0" w:color="auto"/>
              <w:right w:val="nil"/>
            </w:tcBorders>
            <w:shd w:val="clear" w:color="auto" w:fill="auto"/>
            <w:noWrap/>
            <w:vAlign w:val="bottom"/>
            <w:hideMark/>
          </w:tcPr>
          <w:p w14:paraId="6D592FD4" w14:textId="77777777" w:rsidR="003B3769" w:rsidRDefault="003B3769">
            <w:pPr>
              <w:jc w:val="center"/>
              <w:rPr>
                <w:b/>
                <w:bCs/>
                <w:sz w:val="20"/>
                <w:szCs w:val="20"/>
              </w:rPr>
            </w:pPr>
            <w:r>
              <w:rPr>
                <w:b/>
                <w:bCs/>
                <w:sz w:val="20"/>
                <w:szCs w:val="20"/>
              </w:rPr>
              <w:t>6</w:t>
            </w:r>
          </w:p>
        </w:tc>
      </w:tr>
      <w:tr w:rsidR="003B3769" w14:paraId="4649F017" w14:textId="77777777" w:rsidTr="00953AE7">
        <w:trPr>
          <w:trHeight w:val="300"/>
        </w:trPr>
        <w:tc>
          <w:tcPr>
            <w:tcW w:w="7268" w:type="dxa"/>
            <w:tcBorders>
              <w:top w:val="nil"/>
              <w:left w:val="nil"/>
              <w:bottom w:val="single" w:sz="4" w:space="0" w:color="auto"/>
              <w:right w:val="nil"/>
            </w:tcBorders>
            <w:shd w:val="clear" w:color="auto" w:fill="auto"/>
            <w:vAlign w:val="bottom"/>
            <w:hideMark/>
          </w:tcPr>
          <w:p w14:paraId="621F0756" w14:textId="77777777" w:rsidR="003B3769" w:rsidRDefault="003B3769">
            <w:pPr>
              <w:rPr>
                <w:b/>
                <w:bCs/>
                <w:sz w:val="20"/>
                <w:szCs w:val="20"/>
              </w:rPr>
            </w:pPr>
            <w:r>
              <w:rPr>
                <w:b/>
                <w:bCs/>
                <w:sz w:val="20"/>
                <w:szCs w:val="20"/>
              </w:rPr>
              <w:t>SVEUKUPNI RASHODI</w:t>
            </w:r>
          </w:p>
        </w:tc>
        <w:tc>
          <w:tcPr>
            <w:tcW w:w="1660" w:type="dxa"/>
            <w:tcBorders>
              <w:top w:val="nil"/>
              <w:left w:val="nil"/>
              <w:bottom w:val="single" w:sz="4" w:space="0" w:color="auto"/>
              <w:right w:val="nil"/>
            </w:tcBorders>
            <w:shd w:val="clear" w:color="auto" w:fill="auto"/>
            <w:noWrap/>
            <w:vAlign w:val="bottom"/>
            <w:hideMark/>
          </w:tcPr>
          <w:p w14:paraId="5B695C63" w14:textId="77777777" w:rsidR="003B3769" w:rsidRDefault="003B3769">
            <w:pPr>
              <w:jc w:val="right"/>
              <w:rPr>
                <w:b/>
                <w:bCs/>
                <w:sz w:val="20"/>
                <w:szCs w:val="20"/>
              </w:rPr>
            </w:pPr>
            <w:r>
              <w:rPr>
                <w:b/>
                <w:bCs/>
                <w:sz w:val="20"/>
                <w:szCs w:val="20"/>
              </w:rPr>
              <w:t>35.915.045,38</w:t>
            </w:r>
          </w:p>
        </w:tc>
        <w:tc>
          <w:tcPr>
            <w:tcW w:w="1660" w:type="dxa"/>
            <w:tcBorders>
              <w:top w:val="nil"/>
              <w:left w:val="nil"/>
              <w:bottom w:val="single" w:sz="4" w:space="0" w:color="auto"/>
              <w:right w:val="nil"/>
            </w:tcBorders>
            <w:shd w:val="clear" w:color="auto" w:fill="auto"/>
            <w:noWrap/>
            <w:vAlign w:val="bottom"/>
            <w:hideMark/>
          </w:tcPr>
          <w:p w14:paraId="740A1C40" w14:textId="77777777" w:rsidR="003B3769" w:rsidRDefault="003B3769">
            <w:pPr>
              <w:jc w:val="right"/>
              <w:rPr>
                <w:b/>
                <w:bCs/>
                <w:sz w:val="20"/>
                <w:szCs w:val="20"/>
              </w:rPr>
            </w:pPr>
            <w:r>
              <w:rPr>
                <w:b/>
                <w:bCs/>
                <w:sz w:val="20"/>
                <w:szCs w:val="20"/>
              </w:rPr>
              <w:t>39.916.987,25</w:t>
            </w:r>
          </w:p>
        </w:tc>
        <w:tc>
          <w:tcPr>
            <w:tcW w:w="1660" w:type="dxa"/>
            <w:tcBorders>
              <w:top w:val="nil"/>
              <w:left w:val="nil"/>
              <w:bottom w:val="single" w:sz="4" w:space="0" w:color="auto"/>
              <w:right w:val="nil"/>
            </w:tcBorders>
            <w:shd w:val="clear" w:color="auto" w:fill="auto"/>
            <w:noWrap/>
            <w:vAlign w:val="bottom"/>
            <w:hideMark/>
          </w:tcPr>
          <w:p w14:paraId="42EABEBB" w14:textId="77777777" w:rsidR="003B3769" w:rsidRDefault="003B3769">
            <w:pPr>
              <w:jc w:val="right"/>
              <w:rPr>
                <w:b/>
                <w:bCs/>
                <w:sz w:val="20"/>
                <w:szCs w:val="20"/>
              </w:rPr>
            </w:pPr>
            <w:r>
              <w:rPr>
                <w:b/>
                <w:bCs/>
                <w:sz w:val="20"/>
                <w:szCs w:val="20"/>
              </w:rPr>
              <w:t>36.962.711,30</w:t>
            </w:r>
          </w:p>
        </w:tc>
        <w:tc>
          <w:tcPr>
            <w:tcW w:w="983" w:type="dxa"/>
            <w:tcBorders>
              <w:top w:val="nil"/>
              <w:left w:val="nil"/>
              <w:bottom w:val="single" w:sz="4" w:space="0" w:color="auto"/>
              <w:right w:val="nil"/>
            </w:tcBorders>
            <w:shd w:val="clear" w:color="auto" w:fill="auto"/>
            <w:noWrap/>
            <w:vAlign w:val="bottom"/>
            <w:hideMark/>
          </w:tcPr>
          <w:p w14:paraId="42A3F2F6" w14:textId="77777777" w:rsidR="003B3769" w:rsidRDefault="003B3769">
            <w:pPr>
              <w:jc w:val="right"/>
              <w:rPr>
                <w:b/>
                <w:bCs/>
                <w:sz w:val="20"/>
                <w:szCs w:val="20"/>
              </w:rPr>
            </w:pPr>
            <w:r>
              <w:rPr>
                <w:b/>
                <w:bCs/>
                <w:sz w:val="20"/>
                <w:szCs w:val="20"/>
              </w:rPr>
              <w:t>102,92</w:t>
            </w:r>
          </w:p>
        </w:tc>
        <w:tc>
          <w:tcPr>
            <w:tcW w:w="983" w:type="dxa"/>
            <w:tcBorders>
              <w:top w:val="nil"/>
              <w:left w:val="nil"/>
              <w:bottom w:val="single" w:sz="4" w:space="0" w:color="auto"/>
              <w:right w:val="nil"/>
            </w:tcBorders>
            <w:shd w:val="clear" w:color="auto" w:fill="auto"/>
            <w:noWrap/>
            <w:vAlign w:val="bottom"/>
            <w:hideMark/>
          </w:tcPr>
          <w:p w14:paraId="26AC97D8" w14:textId="77777777" w:rsidR="003B3769" w:rsidRDefault="003B3769">
            <w:pPr>
              <w:jc w:val="right"/>
              <w:rPr>
                <w:b/>
                <w:bCs/>
                <w:sz w:val="20"/>
                <w:szCs w:val="20"/>
              </w:rPr>
            </w:pPr>
            <w:r>
              <w:rPr>
                <w:b/>
                <w:bCs/>
                <w:sz w:val="20"/>
                <w:szCs w:val="20"/>
              </w:rPr>
              <w:t>92,60</w:t>
            </w:r>
          </w:p>
        </w:tc>
      </w:tr>
      <w:tr w:rsidR="003B3769" w14:paraId="79B1AA06" w14:textId="77777777" w:rsidTr="00953AE7">
        <w:trPr>
          <w:trHeight w:val="300"/>
        </w:trPr>
        <w:tc>
          <w:tcPr>
            <w:tcW w:w="7268" w:type="dxa"/>
            <w:tcBorders>
              <w:top w:val="nil"/>
              <w:left w:val="nil"/>
              <w:bottom w:val="nil"/>
              <w:right w:val="nil"/>
            </w:tcBorders>
            <w:shd w:val="clear" w:color="auto" w:fill="auto"/>
            <w:noWrap/>
            <w:vAlign w:val="bottom"/>
            <w:hideMark/>
          </w:tcPr>
          <w:p w14:paraId="1D8C8C28" w14:textId="77777777" w:rsidR="003B3769" w:rsidRDefault="003B3769">
            <w:pPr>
              <w:rPr>
                <w:b/>
                <w:bCs/>
                <w:sz w:val="20"/>
                <w:szCs w:val="20"/>
              </w:rPr>
            </w:pPr>
            <w:r>
              <w:rPr>
                <w:b/>
                <w:bCs/>
                <w:sz w:val="20"/>
                <w:szCs w:val="20"/>
              </w:rPr>
              <w:t>01 Opće javne usluge</w:t>
            </w:r>
          </w:p>
        </w:tc>
        <w:tc>
          <w:tcPr>
            <w:tcW w:w="1660" w:type="dxa"/>
            <w:tcBorders>
              <w:top w:val="nil"/>
              <w:left w:val="nil"/>
              <w:bottom w:val="nil"/>
              <w:right w:val="nil"/>
            </w:tcBorders>
            <w:shd w:val="clear" w:color="auto" w:fill="auto"/>
            <w:noWrap/>
            <w:vAlign w:val="bottom"/>
            <w:hideMark/>
          </w:tcPr>
          <w:p w14:paraId="33E9A04A" w14:textId="77777777" w:rsidR="003B3769" w:rsidRDefault="003B3769">
            <w:pPr>
              <w:jc w:val="right"/>
              <w:rPr>
                <w:b/>
                <w:bCs/>
                <w:sz w:val="20"/>
                <w:szCs w:val="20"/>
              </w:rPr>
            </w:pPr>
            <w:r>
              <w:rPr>
                <w:b/>
                <w:bCs/>
                <w:sz w:val="20"/>
                <w:szCs w:val="20"/>
              </w:rPr>
              <w:t>6.056.129,33</w:t>
            </w:r>
          </w:p>
        </w:tc>
        <w:tc>
          <w:tcPr>
            <w:tcW w:w="1660" w:type="dxa"/>
            <w:tcBorders>
              <w:top w:val="nil"/>
              <w:left w:val="nil"/>
              <w:bottom w:val="nil"/>
              <w:right w:val="nil"/>
            </w:tcBorders>
            <w:shd w:val="clear" w:color="auto" w:fill="auto"/>
            <w:noWrap/>
            <w:vAlign w:val="bottom"/>
            <w:hideMark/>
          </w:tcPr>
          <w:p w14:paraId="24B714D8" w14:textId="77777777" w:rsidR="003B3769" w:rsidRDefault="003B3769">
            <w:pPr>
              <w:jc w:val="right"/>
              <w:rPr>
                <w:b/>
                <w:bCs/>
                <w:sz w:val="20"/>
                <w:szCs w:val="20"/>
              </w:rPr>
            </w:pPr>
            <w:r>
              <w:rPr>
                <w:b/>
                <w:bCs/>
                <w:sz w:val="20"/>
                <w:szCs w:val="20"/>
              </w:rPr>
              <w:t>7.831.273,50</w:t>
            </w:r>
          </w:p>
        </w:tc>
        <w:tc>
          <w:tcPr>
            <w:tcW w:w="1660" w:type="dxa"/>
            <w:tcBorders>
              <w:top w:val="nil"/>
              <w:left w:val="nil"/>
              <w:bottom w:val="nil"/>
              <w:right w:val="nil"/>
            </w:tcBorders>
            <w:shd w:val="clear" w:color="auto" w:fill="auto"/>
            <w:noWrap/>
            <w:vAlign w:val="bottom"/>
            <w:hideMark/>
          </w:tcPr>
          <w:p w14:paraId="1EA773C5" w14:textId="77777777" w:rsidR="003B3769" w:rsidRDefault="003B3769">
            <w:pPr>
              <w:jc w:val="right"/>
              <w:rPr>
                <w:b/>
                <w:bCs/>
                <w:sz w:val="20"/>
                <w:szCs w:val="20"/>
              </w:rPr>
            </w:pPr>
            <w:r>
              <w:rPr>
                <w:b/>
                <w:bCs/>
                <w:sz w:val="20"/>
                <w:szCs w:val="20"/>
              </w:rPr>
              <w:t>7.106.139,65</w:t>
            </w:r>
          </w:p>
        </w:tc>
        <w:tc>
          <w:tcPr>
            <w:tcW w:w="983" w:type="dxa"/>
            <w:tcBorders>
              <w:top w:val="nil"/>
              <w:left w:val="nil"/>
              <w:bottom w:val="nil"/>
              <w:right w:val="nil"/>
            </w:tcBorders>
            <w:shd w:val="clear" w:color="auto" w:fill="auto"/>
            <w:noWrap/>
            <w:vAlign w:val="bottom"/>
            <w:hideMark/>
          </w:tcPr>
          <w:p w14:paraId="1911031E" w14:textId="77777777" w:rsidR="003B3769" w:rsidRDefault="003B3769">
            <w:pPr>
              <w:jc w:val="right"/>
              <w:rPr>
                <w:b/>
                <w:bCs/>
                <w:sz w:val="20"/>
                <w:szCs w:val="20"/>
              </w:rPr>
            </w:pPr>
            <w:r>
              <w:rPr>
                <w:b/>
                <w:bCs/>
                <w:sz w:val="20"/>
                <w:szCs w:val="20"/>
              </w:rPr>
              <w:t>117,34</w:t>
            </w:r>
          </w:p>
        </w:tc>
        <w:tc>
          <w:tcPr>
            <w:tcW w:w="983" w:type="dxa"/>
            <w:tcBorders>
              <w:top w:val="nil"/>
              <w:left w:val="nil"/>
              <w:bottom w:val="nil"/>
              <w:right w:val="nil"/>
            </w:tcBorders>
            <w:shd w:val="clear" w:color="auto" w:fill="auto"/>
            <w:noWrap/>
            <w:vAlign w:val="bottom"/>
            <w:hideMark/>
          </w:tcPr>
          <w:p w14:paraId="3CB1525E" w14:textId="77777777" w:rsidR="003B3769" w:rsidRDefault="003B3769">
            <w:pPr>
              <w:jc w:val="right"/>
              <w:rPr>
                <w:b/>
                <w:bCs/>
                <w:sz w:val="20"/>
                <w:szCs w:val="20"/>
              </w:rPr>
            </w:pPr>
            <w:r>
              <w:rPr>
                <w:b/>
                <w:bCs/>
                <w:sz w:val="20"/>
                <w:szCs w:val="20"/>
              </w:rPr>
              <w:t>90,74</w:t>
            </w:r>
          </w:p>
        </w:tc>
      </w:tr>
      <w:tr w:rsidR="003B3769" w14:paraId="740B4E7C" w14:textId="77777777" w:rsidTr="00953AE7">
        <w:trPr>
          <w:trHeight w:val="300"/>
        </w:trPr>
        <w:tc>
          <w:tcPr>
            <w:tcW w:w="7268" w:type="dxa"/>
            <w:tcBorders>
              <w:top w:val="nil"/>
              <w:left w:val="nil"/>
              <w:bottom w:val="nil"/>
              <w:right w:val="nil"/>
            </w:tcBorders>
            <w:shd w:val="clear" w:color="auto" w:fill="auto"/>
            <w:noWrap/>
            <w:vAlign w:val="bottom"/>
            <w:hideMark/>
          </w:tcPr>
          <w:p w14:paraId="2FD4AC21" w14:textId="77777777" w:rsidR="003B3769" w:rsidRDefault="003B3769">
            <w:pPr>
              <w:rPr>
                <w:sz w:val="20"/>
                <w:szCs w:val="20"/>
              </w:rPr>
            </w:pPr>
            <w:r>
              <w:rPr>
                <w:sz w:val="20"/>
                <w:szCs w:val="20"/>
              </w:rPr>
              <w:t>011 Izvršna  i zakonodavna tijela, financijski i fiskalni poslovi, vanjski poslovi</w:t>
            </w:r>
          </w:p>
        </w:tc>
        <w:tc>
          <w:tcPr>
            <w:tcW w:w="1660" w:type="dxa"/>
            <w:tcBorders>
              <w:top w:val="nil"/>
              <w:left w:val="nil"/>
              <w:bottom w:val="nil"/>
              <w:right w:val="nil"/>
            </w:tcBorders>
            <w:shd w:val="clear" w:color="auto" w:fill="auto"/>
            <w:noWrap/>
            <w:vAlign w:val="bottom"/>
            <w:hideMark/>
          </w:tcPr>
          <w:p w14:paraId="0CDC42E3" w14:textId="77777777" w:rsidR="003B3769" w:rsidRDefault="003B3769">
            <w:pPr>
              <w:jc w:val="right"/>
              <w:rPr>
                <w:sz w:val="20"/>
                <w:szCs w:val="20"/>
              </w:rPr>
            </w:pPr>
            <w:r>
              <w:rPr>
                <w:sz w:val="20"/>
                <w:szCs w:val="20"/>
              </w:rPr>
              <w:t>5.988.708,00</w:t>
            </w:r>
          </w:p>
        </w:tc>
        <w:tc>
          <w:tcPr>
            <w:tcW w:w="1660" w:type="dxa"/>
            <w:tcBorders>
              <w:top w:val="nil"/>
              <w:left w:val="nil"/>
              <w:bottom w:val="nil"/>
              <w:right w:val="nil"/>
            </w:tcBorders>
            <w:shd w:val="clear" w:color="auto" w:fill="auto"/>
            <w:noWrap/>
            <w:vAlign w:val="bottom"/>
            <w:hideMark/>
          </w:tcPr>
          <w:p w14:paraId="78FEAA38" w14:textId="77777777" w:rsidR="003B3769" w:rsidRDefault="003B3769">
            <w:pPr>
              <w:jc w:val="right"/>
              <w:rPr>
                <w:sz w:val="20"/>
                <w:szCs w:val="20"/>
              </w:rPr>
            </w:pPr>
            <w:r>
              <w:rPr>
                <w:sz w:val="20"/>
                <w:szCs w:val="20"/>
              </w:rPr>
              <w:t>7.766.773,50</w:t>
            </w:r>
          </w:p>
        </w:tc>
        <w:tc>
          <w:tcPr>
            <w:tcW w:w="1660" w:type="dxa"/>
            <w:tcBorders>
              <w:top w:val="nil"/>
              <w:left w:val="nil"/>
              <w:bottom w:val="nil"/>
              <w:right w:val="nil"/>
            </w:tcBorders>
            <w:shd w:val="clear" w:color="auto" w:fill="auto"/>
            <w:noWrap/>
            <w:vAlign w:val="bottom"/>
            <w:hideMark/>
          </w:tcPr>
          <w:p w14:paraId="5CD5298B" w14:textId="77777777" w:rsidR="003B3769" w:rsidRDefault="003B3769">
            <w:pPr>
              <w:jc w:val="right"/>
              <w:rPr>
                <w:sz w:val="20"/>
                <w:szCs w:val="20"/>
              </w:rPr>
            </w:pPr>
            <w:r>
              <w:rPr>
                <w:sz w:val="20"/>
                <w:szCs w:val="20"/>
              </w:rPr>
              <w:t>7.042.119,48</w:t>
            </w:r>
          </w:p>
        </w:tc>
        <w:tc>
          <w:tcPr>
            <w:tcW w:w="983" w:type="dxa"/>
            <w:tcBorders>
              <w:top w:val="nil"/>
              <w:left w:val="nil"/>
              <w:bottom w:val="nil"/>
              <w:right w:val="nil"/>
            </w:tcBorders>
            <w:shd w:val="clear" w:color="auto" w:fill="auto"/>
            <w:noWrap/>
            <w:vAlign w:val="bottom"/>
            <w:hideMark/>
          </w:tcPr>
          <w:p w14:paraId="78A7956E" w14:textId="77777777" w:rsidR="003B3769" w:rsidRDefault="003B3769">
            <w:pPr>
              <w:jc w:val="right"/>
              <w:rPr>
                <w:sz w:val="20"/>
                <w:szCs w:val="20"/>
              </w:rPr>
            </w:pPr>
            <w:r>
              <w:rPr>
                <w:sz w:val="20"/>
                <w:szCs w:val="20"/>
              </w:rPr>
              <w:t>117,59</w:t>
            </w:r>
          </w:p>
        </w:tc>
        <w:tc>
          <w:tcPr>
            <w:tcW w:w="983" w:type="dxa"/>
            <w:tcBorders>
              <w:top w:val="nil"/>
              <w:left w:val="nil"/>
              <w:bottom w:val="nil"/>
              <w:right w:val="nil"/>
            </w:tcBorders>
            <w:shd w:val="clear" w:color="auto" w:fill="auto"/>
            <w:noWrap/>
            <w:vAlign w:val="bottom"/>
            <w:hideMark/>
          </w:tcPr>
          <w:p w14:paraId="501C984B" w14:textId="77777777" w:rsidR="003B3769" w:rsidRDefault="003B3769">
            <w:pPr>
              <w:jc w:val="right"/>
              <w:rPr>
                <w:sz w:val="20"/>
                <w:szCs w:val="20"/>
              </w:rPr>
            </w:pPr>
            <w:r>
              <w:rPr>
                <w:sz w:val="20"/>
                <w:szCs w:val="20"/>
              </w:rPr>
              <w:t>90,67</w:t>
            </w:r>
          </w:p>
        </w:tc>
      </w:tr>
      <w:tr w:rsidR="003B3769" w14:paraId="2C356A02" w14:textId="77777777" w:rsidTr="00953AE7">
        <w:trPr>
          <w:trHeight w:val="300"/>
        </w:trPr>
        <w:tc>
          <w:tcPr>
            <w:tcW w:w="7268" w:type="dxa"/>
            <w:tcBorders>
              <w:top w:val="nil"/>
              <w:left w:val="nil"/>
              <w:bottom w:val="nil"/>
              <w:right w:val="nil"/>
            </w:tcBorders>
            <w:shd w:val="clear" w:color="auto" w:fill="auto"/>
            <w:noWrap/>
            <w:vAlign w:val="bottom"/>
            <w:hideMark/>
          </w:tcPr>
          <w:p w14:paraId="70CED1B2" w14:textId="77777777" w:rsidR="003B3769" w:rsidRDefault="003B3769">
            <w:pPr>
              <w:rPr>
                <w:sz w:val="20"/>
                <w:szCs w:val="20"/>
              </w:rPr>
            </w:pPr>
            <w:r>
              <w:rPr>
                <w:sz w:val="20"/>
                <w:szCs w:val="20"/>
              </w:rPr>
              <w:t>017 Transakcije vezane za javni dug</w:t>
            </w:r>
          </w:p>
        </w:tc>
        <w:tc>
          <w:tcPr>
            <w:tcW w:w="1660" w:type="dxa"/>
            <w:tcBorders>
              <w:top w:val="nil"/>
              <w:left w:val="nil"/>
              <w:bottom w:val="nil"/>
              <w:right w:val="nil"/>
            </w:tcBorders>
            <w:shd w:val="clear" w:color="auto" w:fill="auto"/>
            <w:noWrap/>
            <w:vAlign w:val="bottom"/>
            <w:hideMark/>
          </w:tcPr>
          <w:p w14:paraId="494F942C" w14:textId="77777777" w:rsidR="003B3769" w:rsidRDefault="003B3769">
            <w:pPr>
              <w:jc w:val="right"/>
              <w:rPr>
                <w:sz w:val="20"/>
                <w:szCs w:val="20"/>
              </w:rPr>
            </w:pPr>
            <w:r>
              <w:rPr>
                <w:sz w:val="20"/>
                <w:szCs w:val="20"/>
              </w:rPr>
              <w:t>67.421,33</w:t>
            </w:r>
          </w:p>
        </w:tc>
        <w:tc>
          <w:tcPr>
            <w:tcW w:w="1660" w:type="dxa"/>
            <w:tcBorders>
              <w:top w:val="nil"/>
              <w:left w:val="nil"/>
              <w:bottom w:val="nil"/>
              <w:right w:val="nil"/>
            </w:tcBorders>
            <w:shd w:val="clear" w:color="auto" w:fill="auto"/>
            <w:noWrap/>
            <w:vAlign w:val="bottom"/>
            <w:hideMark/>
          </w:tcPr>
          <w:p w14:paraId="0CF4353A" w14:textId="77777777" w:rsidR="003B3769" w:rsidRDefault="003B3769">
            <w:pPr>
              <w:jc w:val="right"/>
              <w:rPr>
                <w:sz w:val="20"/>
                <w:szCs w:val="20"/>
              </w:rPr>
            </w:pPr>
            <w:r>
              <w:rPr>
                <w:sz w:val="20"/>
                <w:szCs w:val="20"/>
              </w:rPr>
              <w:t>64.500,00</w:t>
            </w:r>
          </w:p>
        </w:tc>
        <w:tc>
          <w:tcPr>
            <w:tcW w:w="1660" w:type="dxa"/>
            <w:tcBorders>
              <w:top w:val="nil"/>
              <w:left w:val="nil"/>
              <w:bottom w:val="nil"/>
              <w:right w:val="nil"/>
            </w:tcBorders>
            <w:shd w:val="clear" w:color="auto" w:fill="auto"/>
            <w:noWrap/>
            <w:vAlign w:val="bottom"/>
            <w:hideMark/>
          </w:tcPr>
          <w:p w14:paraId="0FAAB25D" w14:textId="77777777" w:rsidR="003B3769" w:rsidRDefault="003B3769">
            <w:pPr>
              <w:jc w:val="right"/>
              <w:rPr>
                <w:sz w:val="20"/>
                <w:szCs w:val="20"/>
              </w:rPr>
            </w:pPr>
            <w:r>
              <w:rPr>
                <w:sz w:val="20"/>
                <w:szCs w:val="20"/>
              </w:rPr>
              <w:t>64.020,17</w:t>
            </w:r>
          </w:p>
        </w:tc>
        <w:tc>
          <w:tcPr>
            <w:tcW w:w="983" w:type="dxa"/>
            <w:tcBorders>
              <w:top w:val="nil"/>
              <w:left w:val="nil"/>
              <w:bottom w:val="nil"/>
              <w:right w:val="nil"/>
            </w:tcBorders>
            <w:shd w:val="clear" w:color="auto" w:fill="auto"/>
            <w:noWrap/>
            <w:vAlign w:val="bottom"/>
            <w:hideMark/>
          </w:tcPr>
          <w:p w14:paraId="2289476B" w14:textId="77777777" w:rsidR="003B3769" w:rsidRDefault="003B3769">
            <w:pPr>
              <w:jc w:val="right"/>
              <w:rPr>
                <w:sz w:val="20"/>
                <w:szCs w:val="20"/>
              </w:rPr>
            </w:pPr>
            <w:r>
              <w:rPr>
                <w:sz w:val="20"/>
                <w:szCs w:val="20"/>
              </w:rPr>
              <w:t>94,96</w:t>
            </w:r>
          </w:p>
        </w:tc>
        <w:tc>
          <w:tcPr>
            <w:tcW w:w="983" w:type="dxa"/>
            <w:tcBorders>
              <w:top w:val="nil"/>
              <w:left w:val="nil"/>
              <w:bottom w:val="nil"/>
              <w:right w:val="nil"/>
            </w:tcBorders>
            <w:shd w:val="clear" w:color="auto" w:fill="auto"/>
            <w:noWrap/>
            <w:vAlign w:val="bottom"/>
            <w:hideMark/>
          </w:tcPr>
          <w:p w14:paraId="07859F1A" w14:textId="77777777" w:rsidR="003B3769" w:rsidRDefault="003B3769">
            <w:pPr>
              <w:jc w:val="right"/>
              <w:rPr>
                <w:sz w:val="20"/>
                <w:szCs w:val="20"/>
              </w:rPr>
            </w:pPr>
            <w:r>
              <w:rPr>
                <w:sz w:val="20"/>
                <w:szCs w:val="20"/>
              </w:rPr>
              <w:t>99,26</w:t>
            </w:r>
          </w:p>
        </w:tc>
      </w:tr>
      <w:tr w:rsidR="003B3769" w14:paraId="5331894F" w14:textId="77777777" w:rsidTr="00953AE7">
        <w:trPr>
          <w:trHeight w:val="300"/>
        </w:trPr>
        <w:tc>
          <w:tcPr>
            <w:tcW w:w="7268" w:type="dxa"/>
            <w:tcBorders>
              <w:top w:val="nil"/>
              <w:left w:val="nil"/>
              <w:bottom w:val="nil"/>
              <w:right w:val="nil"/>
            </w:tcBorders>
            <w:shd w:val="clear" w:color="auto" w:fill="auto"/>
            <w:noWrap/>
            <w:vAlign w:val="bottom"/>
            <w:hideMark/>
          </w:tcPr>
          <w:p w14:paraId="1830A619" w14:textId="77777777" w:rsidR="003B3769" w:rsidRDefault="003B3769">
            <w:pPr>
              <w:rPr>
                <w:b/>
                <w:bCs/>
                <w:sz w:val="20"/>
                <w:szCs w:val="20"/>
              </w:rPr>
            </w:pPr>
            <w:r>
              <w:rPr>
                <w:b/>
                <w:bCs/>
                <w:sz w:val="20"/>
                <w:szCs w:val="20"/>
              </w:rPr>
              <w:t>02 Obrana</w:t>
            </w:r>
          </w:p>
        </w:tc>
        <w:tc>
          <w:tcPr>
            <w:tcW w:w="1660" w:type="dxa"/>
            <w:tcBorders>
              <w:top w:val="nil"/>
              <w:left w:val="nil"/>
              <w:bottom w:val="nil"/>
              <w:right w:val="nil"/>
            </w:tcBorders>
            <w:shd w:val="clear" w:color="auto" w:fill="auto"/>
            <w:noWrap/>
            <w:vAlign w:val="bottom"/>
            <w:hideMark/>
          </w:tcPr>
          <w:p w14:paraId="1D60B89E" w14:textId="77777777" w:rsidR="003B3769" w:rsidRDefault="003B3769">
            <w:pPr>
              <w:jc w:val="right"/>
              <w:rPr>
                <w:b/>
                <w:bCs/>
                <w:sz w:val="20"/>
                <w:szCs w:val="20"/>
              </w:rPr>
            </w:pPr>
            <w:r>
              <w:rPr>
                <w:b/>
                <w:bCs/>
                <w:sz w:val="20"/>
                <w:szCs w:val="20"/>
              </w:rPr>
              <w:t>17.575,00</w:t>
            </w:r>
          </w:p>
        </w:tc>
        <w:tc>
          <w:tcPr>
            <w:tcW w:w="1660" w:type="dxa"/>
            <w:tcBorders>
              <w:top w:val="nil"/>
              <w:left w:val="nil"/>
              <w:bottom w:val="nil"/>
              <w:right w:val="nil"/>
            </w:tcBorders>
            <w:shd w:val="clear" w:color="auto" w:fill="auto"/>
            <w:noWrap/>
            <w:vAlign w:val="bottom"/>
            <w:hideMark/>
          </w:tcPr>
          <w:p w14:paraId="22974D55" w14:textId="77777777" w:rsidR="003B3769" w:rsidRDefault="003B3769">
            <w:pPr>
              <w:jc w:val="right"/>
              <w:rPr>
                <w:b/>
                <w:bCs/>
                <w:sz w:val="20"/>
                <w:szCs w:val="20"/>
              </w:rPr>
            </w:pPr>
            <w:r>
              <w:rPr>
                <w:b/>
                <w:bCs/>
                <w:sz w:val="20"/>
                <w:szCs w:val="20"/>
              </w:rPr>
              <w:t>41.125,00</w:t>
            </w:r>
          </w:p>
        </w:tc>
        <w:tc>
          <w:tcPr>
            <w:tcW w:w="1660" w:type="dxa"/>
            <w:tcBorders>
              <w:top w:val="nil"/>
              <w:left w:val="nil"/>
              <w:bottom w:val="nil"/>
              <w:right w:val="nil"/>
            </w:tcBorders>
            <w:shd w:val="clear" w:color="auto" w:fill="auto"/>
            <w:noWrap/>
            <w:vAlign w:val="bottom"/>
            <w:hideMark/>
          </w:tcPr>
          <w:p w14:paraId="217E77BE" w14:textId="77777777" w:rsidR="003B3769" w:rsidRDefault="003B3769">
            <w:pPr>
              <w:jc w:val="right"/>
              <w:rPr>
                <w:b/>
                <w:bCs/>
                <w:sz w:val="20"/>
                <w:szCs w:val="20"/>
              </w:rPr>
            </w:pPr>
            <w:r>
              <w:rPr>
                <w:b/>
                <w:bCs/>
                <w:sz w:val="20"/>
                <w:szCs w:val="20"/>
              </w:rPr>
              <w:t>25.500,00</w:t>
            </w:r>
          </w:p>
        </w:tc>
        <w:tc>
          <w:tcPr>
            <w:tcW w:w="983" w:type="dxa"/>
            <w:tcBorders>
              <w:top w:val="nil"/>
              <w:left w:val="nil"/>
              <w:bottom w:val="nil"/>
              <w:right w:val="nil"/>
            </w:tcBorders>
            <w:shd w:val="clear" w:color="auto" w:fill="auto"/>
            <w:noWrap/>
            <w:vAlign w:val="bottom"/>
            <w:hideMark/>
          </w:tcPr>
          <w:p w14:paraId="0BC480E7" w14:textId="77777777" w:rsidR="003B3769" w:rsidRDefault="003B3769">
            <w:pPr>
              <w:jc w:val="right"/>
              <w:rPr>
                <w:b/>
                <w:bCs/>
                <w:sz w:val="20"/>
                <w:szCs w:val="20"/>
              </w:rPr>
            </w:pPr>
            <w:r>
              <w:rPr>
                <w:b/>
                <w:bCs/>
                <w:sz w:val="20"/>
                <w:szCs w:val="20"/>
              </w:rPr>
              <w:t>145,09</w:t>
            </w:r>
          </w:p>
        </w:tc>
        <w:tc>
          <w:tcPr>
            <w:tcW w:w="983" w:type="dxa"/>
            <w:tcBorders>
              <w:top w:val="nil"/>
              <w:left w:val="nil"/>
              <w:bottom w:val="nil"/>
              <w:right w:val="nil"/>
            </w:tcBorders>
            <w:shd w:val="clear" w:color="auto" w:fill="auto"/>
            <w:noWrap/>
            <w:vAlign w:val="bottom"/>
            <w:hideMark/>
          </w:tcPr>
          <w:p w14:paraId="0C91DF55" w14:textId="77777777" w:rsidR="003B3769" w:rsidRDefault="003B3769">
            <w:pPr>
              <w:jc w:val="right"/>
              <w:rPr>
                <w:b/>
                <w:bCs/>
                <w:sz w:val="20"/>
                <w:szCs w:val="20"/>
              </w:rPr>
            </w:pPr>
            <w:r>
              <w:rPr>
                <w:b/>
                <w:bCs/>
                <w:sz w:val="20"/>
                <w:szCs w:val="20"/>
              </w:rPr>
              <w:t>62,01</w:t>
            </w:r>
          </w:p>
        </w:tc>
      </w:tr>
      <w:tr w:rsidR="003B3769" w14:paraId="1908A358" w14:textId="77777777" w:rsidTr="00953AE7">
        <w:trPr>
          <w:trHeight w:val="300"/>
        </w:trPr>
        <w:tc>
          <w:tcPr>
            <w:tcW w:w="7268" w:type="dxa"/>
            <w:tcBorders>
              <w:top w:val="nil"/>
              <w:left w:val="nil"/>
              <w:bottom w:val="nil"/>
              <w:right w:val="nil"/>
            </w:tcBorders>
            <w:shd w:val="clear" w:color="auto" w:fill="auto"/>
            <w:noWrap/>
            <w:vAlign w:val="bottom"/>
            <w:hideMark/>
          </w:tcPr>
          <w:p w14:paraId="2E6D75D7" w14:textId="77777777" w:rsidR="003B3769" w:rsidRDefault="003B3769">
            <w:pPr>
              <w:rPr>
                <w:sz w:val="20"/>
                <w:szCs w:val="20"/>
              </w:rPr>
            </w:pPr>
            <w:r>
              <w:rPr>
                <w:sz w:val="20"/>
                <w:szCs w:val="20"/>
              </w:rPr>
              <w:t>022 Civilna obrana</w:t>
            </w:r>
          </w:p>
        </w:tc>
        <w:tc>
          <w:tcPr>
            <w:tcW w:w="1660" w:type="dxa"/>
            <w:tcBorders>
              <w:top w:val="nil"/>
              <w:left w:val="nil"/>
              <w:bottom w:val="nil"/>
              <w:right w:val="nil"/>
            </w:tcBorders>
            <w:shd w:val="clear" w:color="auto" w:fill="auto"/>
            <w:noWrap/>
            <w:vAlign w:val="bottom"/>
            <w:hideMark/>
          </w:tcPr>
          <w:p w14:paraId="384E804A" w14:textId="77777777" w:rsidR="003B3769" w:rsidRDefault="003B3769">
            <w:pPr>
              <w:jc w:val="right"/>
              <w:rPr>
                <w:sz w:val="20"/>
                <w:szCs w:val="20"/>
              </w:rPr>
            </w:pPr>
            <w:r>
              <w:rPr>
                <w:sz w:val="20"/>
                <w:szCs w:val="20"/>
              </w:rPr>
              <w:t>17.575,00</w:t>
            </w:r>
          </w:p>
        </w:tc>
        <w:tc>
          <w:tcPr>
            <w:tcW w:w="1660" w:type="dxa"/>
            <w:tcBorders>
              <w:top w:val="nil"/>
              <w:left w:val="nil"/>
              <w:bottom w:val="nil"/>
              <w:right w:val="nil"/>
            </w:tcBorders>
            <w:shd w:val="clear" w:color="auto" w:fill="auto"/>
            <w:noWrap/>
            <w:vAlign w:val="bottom"/>
            <w:hideMark/>
          </w:tcPr>
          <w:p w14:paraId="369C5FCA" w14:textId="77777777" w:rsidR="003B3769" w:rsidRDefault="003B3769">
            <w:pPr>
              <w:jc w:val="right"/>
              <w:rPr>
                <w:sz w:val="20"/>
                <w:szCs w:val="20"/>
              </w:rPr>
            </w:pPr>
            <w:r>
              <w:rPr>
                <w:sz w:val="20"/>
                <w:szCs w:val="20"/>
              </w:rPr>
              <w:t>41.125,00</w:t>
            </w:r>
          </w:p>
        </w:tc>
        <w:tc>
          <w:tcPr>
            <w:tcW w:w="1660" w:type="dxa"/>
            <w:tcBorders>
              <w:top w:val="nil"/>
              <w:left w:val="nil"/>
              <w:bottom w:val="nil"/>
              <w:right w:val="nil"/>
            </w:tcBorders>
            <w:shd w:val="clear" w:color="auto" w:fill="auto"/>
            <w:noWrap/>
            <w:vAlign w:val="bottom"/>
            <w:hideMark/>
          </w:tcPr>
          <w:p w14:paraId="2813981C" w14:textId="77777777" w:rsidR="003B3769" w:rsidRDefault="003B3769">
            <w:pPr>
              <w:jc w:val="right"/>
              <w:rPr>
                <w:sz w:val="20"/>
                <w:szCs w:val="20"/>
              </w:rPr>
            </w:pPr>
            <w:r>
              <w:rPr>
                <w:sz w:val="20"/>
                <w:szCs w:val="20"/>
              </w:rPr>
              <w:t>25.500,00</w:t>
            </w:r>
          </w:p>
        </w:tc>
        <w:tc>
          <w:tcPr>
            <w:tcW w:w="983" w:type="dxa"/>
            <w:tcBorders>
              <w:top w:val="nil"/>
              <w:left w:val="nil"/>
              <w:bottom w:val="nil"/>
              <w:right w:val="nil"/>
            </w:tcBorders>
            <w:shd w:val="clear" w:color="auto" w:fill="auto"/>
            <w:noWrap/>
            <w:vAlign w:val="bottom"/>
            <w:hideMark/>
          </w:tcPr>
          <w:p w14:paraId="12BF27D7" w14:textId="77777777" w:rsidR="003B3769" w:rsidRDefault="003B3769">
            <w:pPr>
              <w:jc w:val="right"/>
              <w:rPr>
                <w:sz w:val="20"/>
                <w:szCs w:val="20"/>
              </w:rPr>
            </w:pPr>
            <w:r>
              <w:rPr>
                <w:sz w:val="20"/>
                <w:szCs w:val="20"/>
              </w:rPr>
              <w:t>145,09</w:t>
            </w:r>
          </w:p>
        </w:tc>
        <w:tc>
          <w:tcPr>
            <w:tcW w:w="983" w:type="dxa"/>
            <w:tcBorders>
              <w:top w:val="nil"/>
              <w:left w:val="nil"/>
              <w:bottom w:val="nil"/>
              <w:right w:val="nil"/>
            </w:tcBorders>
            <w:shd w:val="clear" w:color="auto" w:fill="auto"/>
            <w:noWrap/>
            <w:vAlign w:val="bottom"/>
            <w:hideMark/>
          </w:tcPr>
          <w:p w14:paraId="4A682963" w14:textId="77777777" w:rsidR="003B3769" w:rsidRDefault="003B3769">
            <w:pPr>
              <w:jc w:val="right"/>
              <w:rPr>
                <w:sz w:val="20"/>
                <w:szCs w:val="20"/>
              </w:rPr>
            </w:pPr>
            <w:r>
              <w:rPr>
                <w:sz w:val="20"/>
                <w:szCs w:val="20"/>
              </w:rPr>
              <w:t>62,01</w:t>
            </w:r>
          </w:p>
        </w:tc>
      </w:tr>
      <w:tr w:rsidR="003B3769" w14:paraId="5E5E26F5" w14:textId="77777777" w:rsidTr="00953AE7">
        <w:trPr>
          <w:trHeight w:val="300"/>
        </w:trPr>
        <w:tc>
          <w:tcPr>
            <w:tcW w:w="7268" w:type="dxa"/>
            <w:tcBorders>
              <w:top w:val="nil"/>
              <w:left w:val="nil"/>
              <w:bottom w:val="nil"/>
              <w:right w:val="nil"/>
            </w:tcBorders>
            <w:shd w:val="clear" w:color="auto" w:fill="auto"/>
            <w:noWrap/>
            <w:vAlign w:val="bottom"/>
            <w:hideMark/>
          </w:tcPr>
          <w:p w14:paraId="7B6F1B6A" w14:textId="77777777" w:rsidR="003B3769" w:rsidRDefault="003B3769">
            <w:pPr>
              <w:rPr>
                <w:b/>
                <w:bCs/>
                <w:sz w:val="20"/>
                <w:szCs w:val="20"/>
              </w:rPr>
            </w:pPr>
            <w:r>
              <w:rPr>
                <w:b/>
                <w:bCs/>
                <w:sz w:val="20"/>
                <w:szCs w:val="20"/>
              </w:rPr>
              <w:t>03 Javni red i sigurnost</w:t>
            </w:r>
          </w:p>
        </w:tc>
        <w:tc>
          <w:tcPr>
            <w:tcW w:w="1660" w:type="dxa"/>
            <w:tcBorders>
              <w:top w:val="nil"/>
              <w:left w:val="nil"/>
              <w:bottom w:val="nil"/>
              <w:right w:val="nil"/>
            </w:tcBorders>
            <w:shd w:val="clear" w:color="auto" w:fill="auto"/>
            <w:noWrap/>
            <w:vAlign w:val="bottom"/>
            <w:hideMark/>
          </w:tcPr>
          <w:p w14:paraId="707BB767" w14:textId="77777777" w:rsidR="003B3769" w:rsidRDefault="003B3769">
            <w:pPr>
              <w:jc w:val="right"/>
              <w:rPr>
                <w:b/>
                <w:bCs/>
                <w:sz w:val="20"/>
                <w:szCs w:val="20"/>
              </w:rPr>
            </w:pPr>
            <w:r>
              <w:rPr>
                <w:b/>
                <w:bCs/>
                <w:sz w:val="20"/>
                <w:szCs w:val="20"/>
              </w:rPr>
              <w:t>1.703.424,87</w:t>
            </w:r>
          </w:p>
        </w:tc>
        <w:tc>
          <w:tcPr>
            <w:tcW w:w="1660" w:type="dxa"/>
            <w:tcBorders>
              <w:top w:val="nil"/>
              <w:left w:val="nil"/>
              <w:bottom w:val="nil"/>
              <w:right w:val="nil"/>
            </w:tcBorders>
            <w:shd w:val="clear" w:color="auto" w:fill="auto"/>
            <w:noWrap/>
            <w:vAlign w:val="bottom"/>
            <w:hideMark/>
          </w:tcPr>
          <w:p w14:paraId="5537DB09" w14:textId="77777777" w:rsidR="003B3769" w:rsidRDefault="003B3769">
            <w:pPr>
              <w:jc w:val="right"/>
              <w:rPr>
                <w:b/>
                <w:bCs/>
                <w:sz w:val="20"/>
                <w:szCs w:val="20"/>
              </w:rPr>
            </w:pPr>
            <w:r>
              <w:rPr>
                <w:b/>
                <w:bCs/>
                <w:sz w:val="20"/>
                <w:szCs w:val="20"/>
              </w:rPr>
              <w:t>2.146.517,97</w:t>
            </w:r>
          </w:p>
        </w:tc>
        <w:tc>
          <w:tcPr>
            <w:tcW w:w="1660" w:type="dxa"/>
            <w:tcBorders>
              <w:top w:val="nil"/>
              <w:left w:val="nil"/>
              <w:bottom w:val="nil"/>
              <w:right w:val="nil"/>
            </w:tcBorders>
            <w:shd w:val="clear" w:color="auto" w:fill="auto"/>
            <w:noWrap/>
            <w:vAlign w:val="bottom"/>
            <w:hideMark/>
          </w:tcPr>
          <w:p w14:paraId="5ADAC268" w14:textId="77777777" w:rsidR="003B3769" w:rsidRDefault="003B3769">
            <w:pPr>
              <w:jc w:val="right"/>
              <w:rPr>
                <w:b/>
                <w:bCs/>
                <w:sz w:val="20"/>
                <w:szCs w:val="20"/>
              </w:rPr>
            </w:pPr>
            <w:r>
              <w:rPr>
                <w:b/>
                <w:bCs/>
                <w:sz w:val="20"/>
                <w:szCs w:val="20"/>
              </w:rPr>
              <w:t>2.159.123,39</w:t>
            </w:r>
          </w:p>
        </w:tc>
        <w:tc>
          <w:tcPr>
            <w:tcW w:w="983" w:type="dxa"/>
            <w:tcBorders>
              <w:top w:val="nil"/>
              <w:left w:val="nil"/>
              <w:bottom w:val="nil"/>
              <w:right w:val="nil"/>
            </w:tcBorders>
            <w:shd w:val="clear" w:color="auto" w:fill="auto"/>
            <w:noWrap/>
            <w:vAlign w:val="bottom"/>
            <w:hideMark/>
          </w:tcPr>
          <w:p w14:paraId="1560FD54" w14:textId="77777777" w:rsidR="003B3769" w:rsidRDefault="003B3769">
            <w:pPr>
              <w:jc w:val="right"/>
              <w:rPr>
                <w:b/>
                <w:bCs/>
                <w:sz w:val="20"/>
                <w:szCs w:val="20"/>
              </w:rPr>
            </w:pPr>
            <w:r>
              <w:rPr>
                <w:b/>
                <w:bCs/>
                <w:sz w:val="20"/>
                <w:szCs w:val="20"/>
              </w:rPr>
              <w:t>126,75</w:t>
            </w:r>
          </w:p>
        </w:tc>
        <w:tc>
          <w:tcPr>
            <w:tcW w:w="983" w:type="dxa"/>
            <w:tcBorders>
              <w:top w:val="nil"/>
              <w:left w:val="nil"/>
              <w:bottom w:val="nil"/>
              <w:right w:val="nil"/>
            </w:tcBorders>
            <w:shd w:val="clear" w:color="auto" w:fill="auto"/>
            <w:noWrap/>
            <w:vAlign w:val="bottom"/>
            <w:hideMark/>
          </w:tcPr>
          <w:p w14:paraId="44E3486C" w14:textId="77777777" w:rsidR="003B3769" w:rsidRDefault="003B3769">
            <w:pPr>
              <w:jc w:val="right"/>
              <w:rPr>
                <w:b/>
                <w:bCs/>
                <w:sz w:val="20"/>
                <w:szCs w:val="20"/>
              </w:rPr>
            </w:pPr>
            <w:r>
              <w:rPr>
                <w:b/>
                <w:bCs/>
                <w:sz w:val="20"/>
                <w:szCs w:val="20"/>
              </w:rPr>
              <w:t>100,59</w:t>
            </w:r>
          </w:p>
        </w:tc>
      </w:tr>
      <w:tr w:rsidR="003B3769" w14:paraId="280AE059" w14:textId="77777777" w:rsidTr="00953AE7">
        <w:trPr>
          <w:trHeight w:val="300"/>
        </w:trPr>
        <w:tc>
          <w:tcPr>
            <w:tcW w:w="7268" w:type="dxa"/>
            <w:tcBorders>
              <w:top w:val="nil"/>
              <w:left w:val="nil"/>
              <w:bottom w:val="nil"/>
              <w:right w:val="nil"/>
            </w:tcBorders>
            <w:shd w:val="clear" w:color="auto" w:fill="auto"/>
            <w:noWrap/>
            <w:vAlign w:val="bottom"/>
            <w:hideMark/>
          </w:tcPr>
          <w:p w14:paraId="5D096908" w14:textId="77777777" w:rsidR="003B3769" w:rsidRDefault="003B3769">
            <w:pPr>
              <w:rPr>
                <w:sz w:val="20"/>
                <w:szCs w:val="20"/>
              </w:rPr>
            </w:pPr>
            <w:r>
              <w:rPr>
                <w:sz w:val="20"/>
                <w:szCs w:val="20"/>
              </w:rPr>
              <w:t>032 Usluge protupožarne zaštite</w:t>
            </w:r>
          </w:p>
        </w:tc>
        <w:tc>
          <w:tcPr>
            <w:tcW w:w="1660" w:type="dxa"/>
            <w:tcBorders>
              <w:top w:val="nil"/>
              <w:left w:val="nil"/>
              <w:bottom w:val="nil"/>
              <w:right w:val="nil"/>
            </w:tcBorders>
            <w:shd w:val="clear" w:color="auto" w:fill="auto"/>
            <w:noWrap/>
            <w:vAlign w:val="bottom"/>
            <w:hideMark/>
          </w:tcPr>
          <w:p w14:paraId="4D0F448D" w14:textId="77777777" w:rsidR="003B3769" w:rsidRDefault="003B3769">
            <w:pPr>
              <w:jc w:val="right"/>
              <w:rPr>
                <w:sz w:val="20"/>
                <w:szCs w:val="20"/>
              </w:rPr>
            </w:pPr>
            <w:r>
              <w:rPr>
                <w:sz w:val="20"/>
                <w:szCs w:val="20"/>
              </w:rPr>
              <w:t>1.686.924,87</w:t>
            </w:r>
          </w:p>
        </w:tc>
        <w:tc>
          <w:tcPr>
            <w:tcW w:w="1660" w:type="dxa"/>
            <w:tcBorders>
              <w:top w:val="nil"/>
              <w:left w:val="nil"/>
              <w:bottom w:val="nil"/>
              <w:right w:val="nil"/>
            </w:tcBorders>
            <w:shd w:val="clear" w:color="auto" w:fill="auto"/>
            <w:noWrap/>
            <w:vAlign w:val="bottom"/>
            <w:hideMark/>
          </w:tcPr>
          <w:p w14:paraId="5DC5BD99" w14:textId="77777777" w:rsidR="003B3769" w:rsidRDefault="003B3769">
            <w:pPr>
              <w:jc w:val="right"/>
              <w:rPr>
                <w:sz w:val="20"/>
                <w:szCs w:val="20"/>
              </w:rPr>
            </w:pPr>
            <w:r>
              <w:rPr>
                <w:sz w:val="20"/>
                <w:szCs w:val="20"/>
              </w:rPr>
              <w:t>2.084.755,47</w:t>
            </w:r>
          </w:p>
        </w:tc>
        <w:tc>
          <w:tcPr>
            <w:tcW w:w="1660" w:type="dxa"/>
            <w:tcBorders>
              <w:top w:val="nil"/>
              <w:left w:val="nil"/>
              <w:bottom w:val="nil"/>
              <w:right w:val="nil"/>
            </w:tcBorders>
            <w:shd w:val="clear" w:color="auto" w:fill="auto"/>
            <w:noWrap/>
            <w:vAlign w:val="bottom"/>
            <w:hideMark/>
          </w:tcPr>
          <w:p w14:paraId="06077166" w14:textId="77777777" w:rsidR="003B3769" w:rsidRDefault="003B3769">
            <w:pPr>
              <w:jc w:val="right"/>
              <w:rPr>
                <w:sz w:val="20"/>
                <w:szCs w:val="20"/>
              </w:rPr>
            </w:pPr>
            <w:r>
              <w:rPr>
                <w:sz w:val="20"/>
                <w:szCs w:val="20"/>
              </w:rPr>
              <w:t>2.099.842,95</w:t>
            </w:r>
          </w:p>
        </w:tc>
        <w:tc>
          <w:tcPr>
            <w:tcW w:w="983" w:type="dxa"/>
            <w:tcBorders>
              <w:top w:val="nil"/>
              <w:left w:val="nil"/>
              <w:bottom w:val="nil"/>
              <w:right w:val="nil"/>
            </w:tcBorders>
            <w:shd w:val="clear" w:color="auto" w:fill="auto"/>
            <w:noWrap/>
            <w:vAlign w:val="bottom"/>
            <w:hideMark/>
          </w:tcPr>
          <w:p w14:paraId="66960F39" w14:textId="77777777" w:rsidR="003B3769" w:rsidRDefault="003B3769">
            <w:pPr>
              <w:jc w:val="right"/>
              <w:rPr>
                <w:sz w:val="20"/>
                <w:szCs w:val="20"/>
              </w:rPr>
            </w:pPr>
            <w:r>
              <w:rPr>
                <w:sz w:val="20"/>
                <w:szCs w:val="20"/>
              </w:rPr>
              <w:t>124,48</w:t>
            </w:r>
          </w:p>
        </w:tc>
        <w:tc>
          <w:tcPr>
            <w:tcW w:w="983" w:type="dxa"/>
            <w:tcBorders>
              <w:top w:val="nil"/>
              <w:left w:val="nil"/>
              <w:bottom w:val="nil"/>
              <w:right w:val="nil"/>
            </w:tcBorders>
            <w:shd w:val="clear" w:color="auto" w:fill="auto"/>
            <w:noWrap/>
            <w:vAlign w:val="bottom"/>
            <w:hideMark/>
          </w:tcPr>
          <w:p w14:paraId="25D2EE40" w14:textId="77777777" w:rsidR="003B3769" w:rsidRDefault="003B3769">
            <w:pPr>
              <w:jc w:val="right"/>
              <w:rPr>
                <w:sz w:val="20"/>
                <w:szCs w:val="20"/>
              </w:rPr>
            </w:pPr>
            <w:r>
              <w:rPr>
                <w:sz w:val="20"/>
                <w:szCs w:val="20"/>
              </w:rPr>
              <w:t>100,72</w:t>
            </w:r>
          </w:p>
        </w:tc>
      </w:tr>
      <w:tr w:rsidR="003B3769" w14:paraId="5DC0D05C" w14:textId="77777777" w:rsidTr="00953AE7">
        <w:trPr>
          <w:trHeight w:val="300"/>
        </w:trPr>
        <w:tc>
          <w:tcPr>
            <w:tcW w:w="7268" w:type="dxa"/>
            <w:tcBorders>
              <w:top w:val="nil"/>
              <w:left w:val="nil"/>
              <w:bottom w:val="nil"/>
              <w:right w:val="nil"/>
            </w:tcBorders>
            <w:shd w:val="clear" w:color="auto" w:fill="auto"/>
            <w:noWrap/>
            <w:vAlign w:val="bottom"/>
            <w:hideMark/>
          </w:tcPr>
          <w:p w14:paraId="444D7AAB" w14:textId="77777777" w:rsidR="003B3769" w:rsidRDefault="003B3769">
            <w:pPr>
              <w:rPr>
                <w:sz w:val="20"/>
                <w:szCs w:val="20"/>
              </w:rPr>
            </w:pPr>
            <w:r>
              <w:rPr>
                <w:sz w:val="20"/>
                <w:szCs w:val="20"/>
              </w:rPr>
              <w:t>036 Rashodi za javni red i sigurnost koji nisu drugdje svrstani</w:t>
            </w:r>
          </w:p>
        </w:tc>
        <w:tc>
          <w:tcPr>
            <w:tcW w:w="1660" w:type="dxa"/>
            <w:tcBorders>
              <w:top w:val="nil"/>
              <w:left w:val="nil"/>
              <w:bottom w:val="nil"/>
              <w:right w:val="nil"/>
            </w:tcBorders>
            <w:shd w:val="clear" w:color="auto" w:fill="auto"/>
            <w:noWrap/>
            <w:vAlign w:val="bottom"/>
            <w:hideMark/>
          </w:tcPr>
          <w:p w14:paraId="6B67BEC5" w14:textId="77777777" w:rsidR="003B3769" w:rsidRDefault="003B3769">
            <w:pPr>
              <w:jc w:val="right"/>
              <w:rPr>
                <w:sz w:val="20"/>
                <w:szCs w:val="20"/>
              </w:rPr>
            </w:pPr>
            <w:r>
              <w:rPr>
                <w:sz w:val="20"/>
                <w:szCs w:val="20"/>
              </w:rPr>
              <w:t>16.500,00</w:t>
            </w:r>
          </w:p>
        </w:tc>
        <w:tc>
          <w:tcPr>
            <w:tcW w:w="1660" w:type="dxa"/>
            <w:tcBorders>
              <w:top w:val="nil"/>
              <w:left w:val="nil"/>
              <w:bottom w:val="nil"/>
              <w:right w:val="nil"/>
            </w:tcBorders>
            <w:shd w:val="clear" w:color="auto" w:fill="auto"/>
            <w:noWrap/>
            <w:vAlign w:val="bottom"/>
            <w:hideMark/>
          </w:tcPr>
          <w:p w14:paraId="060E84CE" w14:textId="77777777" w:rsidR="003B3769" w:rsidRDefault="003B3769">
            <w:pPr>
              <w:jc w:val="right"/>
              <w:rPr>
                <w:sz w:val="20"/>
                <w:szCs w:val="20"/>
              </w:rPr>
            </w:pPr>
            <w:r>
              <w:rPr>
                <w:sz w:val="20"/>
                <w:szCs w:val="20"/>
              </w:rPr>
              <w:t>61.762,50</w:t>
            </w:r>
          </w:p>
        </w:tc>
        <w:tc>
          <w:tcPr>
            <w:tcW w:w="1660" w:type="dxa"/>
            <w:tcBorders>
              <w:top w:val="nil"/>
              <w:left w:val="nil"/>
              <w:bottom w:val="nil"/>
              <w:right w:val="nil"/>
            </w:tcBorders>
            <w:shd w:val="clear" w:color="auto" w:fill="auto"/>
            <w:noWrap/>
            <w:vAlign w:val="bottom"/>
            <w:hideMark/>
          </w:tcPr>
          <w:p w14:paraId="7609826A" w14:textId="77777777" w:rsidR="003B3769" w:rsidRDefault="003B3769">
            <w:pPr>
              <w:jc w:val="right"/>
              <w:rPr>
                <w:sz w:val="20"/>
                <w:szCs w:val="20"/>
              </w:rPr>
            </w:pPr>
            <w:r>
              <w:rPr>
                <w:sz w:val="20"/>
                <w:szCs w:val="20"/>
              </w:rPr>
              <w:t>59.280,44</w:t>
            </w:r>
          </w:p>
        </w:tc>
        <w:tc>
          <w:tcPr>
            <w:tcW w:w="983" w:type="dxa"/>
            <w:tcBorders>
              <w:top w:val="nil"/>
              <w:left w:val="nil"/>
              <w:bottom w:val="nil"/>
              <w:right w:val="nil"/>
            </w:tcBorders>
            <w:shd w:val="clear" w:color="auto" w:fill="auto"/>
            <w:noWrap/>
            <w:vAlign w:val="bottom"/>
            <w:hideMark/>
          </w:tcPr>
          <w:p w14:paraId="65DD0375" w14:textId="77777777" w:rsidR="003B3769" w:rsidRDefault="003B3769">
            <w:pPr>
              <w:jc w:val="right"/>
              <w:rPr>
                <w:sz w:val="20"/>
                <w:szCs w:val="20"/>
              </w:rPr>
            </w:pPr>
            <w:r>
              <w:rPr>
                <w:sz w:val="20"/>
                <w:szCs w:val="20"/>
              </w:rPr>
              <w:t>359,28</w:t>
            </w:r>
          </w:p>
        </w:tc>
        <w:tc>
          <w:tcPr>
            <w:tcW w:w="983" w:type="dxa"/>
            <w:tcBorders>
              <w:top w:val="nil"/>
              <w:left w:val="nil"/>
              <w:bottom w:val="nil"/>
              <w:right w:val="nil"/>
            </w:tcBorders>
            <w:shd w:val="clear" w:color="auto" w:fill="auto"/>
            <w:noWrap/>
            <w:vAlign w:val="bottom"/>
            <w:hideMark/>
          </w:tcPr>
          <w:p w14:paraId="6ADA8F85" w14:textId="77777777" w:rsidR="003B3769" w:rsidRDefault="003B3769">
            <w:pPr>
              <w:jc w:val="right"/>
              <w:rPr>
                <w:sz w:val="20"/>
                <w:szCs w:val="20"/>
              </w:rPr>
            </w:pPr>
            <w:r>
              <w:rPr>
                <w:sz w:val="20"/>
                <w:szCs w:val="20"/>
              </w:rPr>
              <w:t>95,98</w:t>
            </w:r>
          </w:p>
        </w:tc>
      </w:tr>
      <w:tr w:rsidR="003B3769" w14:paraId="70FE893B" w14:textId="77777777" w:rsidTr="00953AE7">
        <w:trPr>
          <w:trHeight w:val="300"/>
        </w:trPr>
        <w:tc>
          <w:tcPr>
            <w:tcW w:w="7268" w:type="dxa"/>
            <w:tcBorders>
              <w:top w:val="nil"/>
              <w:left w:val="nil"/>
              <w:bottom w:val="nil"/>
              <w:right w:val="nil"/>
            </w:tcBorders>
            <w:shd w:val="clear" w:color="auto" w:fill="auto"/>
            <w:noWrap/>
            <w:vAlign w:val="bottom"/>
            <w:hideMark/>
          </w:tcPr>
          <w:p w14:paraId="49063AC1" w14:textId="77777777" w:rsidR="003B3769" w:rsidRDefault="003B3769">
            <w:pPr>
              <w:rPr>
                <w:b/>
                <w:bCs/>
                <w:sz w:val="20"/>
                <w:szCs w:val="20"/>
              </w:rPr>
            </w:pPr>
            <w:r>
              <w:rPr>
                <w:b/>
                <w:bCs/>
                <w:sz w:val="20"/>
                <w:szCs w:val="20"/>
              </w:rPr>
              <w:t>04 Ekonomski poslovi</w:t>
            </w:r>
          </w:p>
        </w:tc>
        <w:tc>
          <w:tcPr>
            <w:tcW w:w="1660" w:type="dxa"/>
            <w:tcBorders>
              <w:top w:val="nil"/>
              <w:left w:val="nil"/>
              <w:bottom w:val="nil"/>
              <w:right w:val="nil"/>
            </w:tcBorders>
            <w:shd w:val="clear" w:color="auto" w:fill="auto"/>
            <w:noWrap/>
            <w:vAlign w:val="bottom"/>
            <w:hideMark/>
          </w:tcPr>
          <w:p w14:paraId="0F08D615" w14:textId="77777777" w:rsidR="003B3769" w:rsidRDefault="003B3769">
            <w:pPr>
              <w:jc w:val="right"/>
              <w:rPr>
                <w:b/>
                <w:bCs/>
                <w:sz w:val="20"/>
                <w:szCs w:val="20"/>
              </w:rPr>
            </w:pPr>
            <w:r>
              <w:rPr>
                <w:b/>
                <w:bCs/>
                <w:sz w:val="20"/>
                <w:szCs w:val="20"/>
              </w:rPr>
              <w:t>5.770.237,76</w:t>
            </w:r>
          </w:p>
        </w:tc>
        <w:tc>
          <w:tcPr>
            <w:tcW w:w="1660" w:type="dxa"/>
            <w:tcBorders>
              <w:top w:val="nil"/>
              <w:left w:val="nil"/>
              <w:bottom w:val="nil"/>
              <w:right w:val="nil"/>
            </w:tcBorders>
            <w:shd w:val="clear" w:color="auto" w:fill="auto"/>
            <w:noWrap/>
            <w:vAlign w:val="bottom"/>
            <w:hideMark/>
          </w:tcPr>
          <w:p w14:paraId="6109A08B" w14:textId="77777777" w:rsidR="003B3769" w:rsidRDefault="003B3769">
            <w:pPr>
              <w:jc w:val="right"/>
              <w:rPr>
                <w:b/>
                <w:bCs/>
                <w:sz w:val="20"/>
                <w:szCs w:val="20"/>
              </w:rPr>
            </w:pPr>
            <w:r>
              <w:rPr>
                <w:b/>
                <w:bCs/>
                <w:sz w:val="20"/>
                <w:szCs w:val="20"/>
              </w:rPr>
              <w:t>7.015.635,88</w:t>
            </w:r>
          </w:p>
        </w:tc>
        <w:tc>
          <w:tcPr>
            <w:tcW w:w="1660" w:type="dxa"/>
            <w:tcBorders>
              <w:top w:val="nil"/>
              <w:left w:val="nil"/>
              <w:bottom w:val="nil"/>
              <w:right w:val="nil"/>
            </w:tcBorders>
            <w:shd w:val="clear" w:color="auto" w:fill="auto"/>
            <w:noWrap/>
            <w:vAlign w:val="bottom"/>
            <w:hideMark/>
          </w:tcPr>
          <w:p w14:paraId="4960E82F" w14:textId="77777777" w:rsidR="003B3769" w:rsidRDefault="003B3769">
            <w:pPr>
              <w:jc w:val="right"/>
              <w:rPr>
                <w:b/>
                <w:bCs/>
                <w:sz w:val="20"/>
                <w:szCs w:val="20"/>
              </w:rPr>
            </w:pPr>
            <w:r>
              <w:rPr>
                <w:b/>
                <w:bCs/>
                <w:sz w:val="20"/>
                <w:szCs w:val="20"/>
              </w:rPr>
              <w:t>6.150.299,68</w:t>
            </w:r>
          </w:p>
        </w:tc>
        <w:tc>
          <w:tcPr>
            <w:tcW w:w="983" w:type="dxa"/>
            <w:tcBorders>
              <w:top w:val="nil"/>
              <w:left w:val="nil"/>
              <w:bottom w:val="nil"/>
              <w:right w:val="nil"/>
            </w:tcBorders>
            <w:shd w:val="clear" w:color="auto" w:fill="auto"/>
            <w:noWrap/>
            <w:vAlign w:val="bottom"/>
            <w:hideMark/>
          </w:tcPr>
          <w:p w14:paraId="25B83E4C" w14:textId="77777777" w:rsidR="003B3769" w:rsidRDefault="003B3769">
            <w:pPr>
              <w:jc w:val="right"/>
              <w:rPr>
                <w:b/>
                <w:bCs/>
                <w:sz w:val="20"/>
                <w:szCs w:val="20"/>
              </w:rPr>
            </w:pPr>
            <w:r>
              <w:rPr>
                <w:b/>
                <w:bCs/>
                <w:sz w:val="20"/>
                <w:szCs w:val="20"/>
              </w:rPr>
              <w:t>106,59</w:t>
            </w:r>
          </w:p>
        </w:tc>
        <w:tc>
          <w:tcPr>
            <w:tcW w:w="983" w:type="dxa"/>
            <w:tcBorders>
              <w:top w:val="nil"/>
              <w:left w:val="nil"/>
              <w:bottom w:val="nil"/>
              <w:right w:val="nil"/>
            </w:tcBorders>
            <w:shd w:val="clear" w:color="auto" w:fill="auto"/>
            <w:noWrap/>
            <w:vAlign w:val="bottom"/>
            <w:hideMark/>
          </w:tcPr>
          <w:p w14:paraId="283AC0AE" w14:textId="77777777" w:rsidR="003B3769" w:rsidRDefault="003B3769">
            <w:pPr>
              <w:jc w:val="right"/>
              <w:rPr>
                <w:b/>
                <w:bCs/>
                <w:sz w:val="20"/>
                <w:szCs w:val="20"/>
              </w:rPr>
            </w:pPr>
            <w:r>
              <w:rPr>
                <w:b/>
                <w:bCs/>
                <w:sz w:val="20"/>
                <w:szCs w:val="20"/>
              </w:rPr>
              <w:t>87,67</w:t>
            </w:r>
          </w:p>
        </w:tc>
      </w:tr>
      <w:tr w:rsidR="003B3769" w14:paraId="31175899" w14:textId="77777777" w:rsidTr="00953AE7">
        <w:trPr>
          <w:trHeight w:val="300"/>
        </w:trPr>
        <w:tc>
          <w:tcPr>
            <w:tcW w:w="7268" w:type="dxa"/>
            <w:tcBorders>
              <w:top w:val="nil"/>
              <w:left w:val="nil"/>
              <w:bottom w:val="nil"/>
              <w:right w:val="nil"/>
            </w:tcBorders>
            <w:shd w:val="clear" w:color="auto" w:fill="auto"/>
            <w:noWrap/>
            <w:vAlign w:val="bottom"/>
            <w:hideMark/>
          </w:tcPr>
          <w:p w14:paraId="6FE39B36" w14:textId="77777777" w:rsidR="003B3769" w:rsidRDefault="003B3769">
            <w:pPr>
              <w:rPr>
                <w:sz w:val="20"/>
                <w:szCs w:val="20"/>
              </w:rPr>
            </w:pPr>
            <w:r>
              <w:rPr>
                <w:sz w:val="20"/>
                <w:szCs w:val="20"/>
              </w:rPr>
              <w:t>041 Opći ekonomski, trgovački i poslovi vezani uz rad</w:t>
            </w:r>
          </w:p>
        </w:tc>
        <w:tc>
          <w:tcPr>
            <w:tcW w:w="1660" w:type="dxa"/>
            <w:tcBorders>
              <w:top w:val="nil"/>
              <w:left w:val="nil"/>
              <w:bottom w:val="nil"/>
              <w:right w:val="nil"/>
            </w:tcBorders>
            <w:shd w:val="clear" w:color="auto" w:fill="auto"/>
            <w:noWrap/>
            <w:vAlign w:val="bottom"/>
            <w:hideMark/>
          </w:tcPr>
          <w:p w14:paraId="09C64D59" w14:textId="77777777" w:rsidR="003B3769" w:rsidRDefault="003B3769">
            <w:pPr>
              <w:jc w:val="right"/>
              <w:rPr>
                <w:sz w:val="20"/>
                <w:szCs w:val="20"/>
              </w:rPr>
            </w:pPr>
            <w:r>
              <w:rPr>
                <w:sz w:val="20"/>
                <w:szCs w:val="20"/>
              </w:rPr>
              <w:t>18.262,05</w:t>
            </w:r>
          </w:p>
        </w:tc>
        <w:tc>
          <w:tcPr>
            <w:tcW w:w="1660" w:type="dxa"/>
            <w:tcBorders>
              <w:top w:val="nil"/>
              <w:left w:val="nil"/>
              <w:bottom w:val="nil"/>
              <w:right w:val="nil"/>
            </w:tcBorders>
            <w:shd w:val="clear" w:color="auto" w:fill="auto"/>
            <w:noWrap/>
            <w:vAlign w:val="bottom"/>
            <w:hideMark/>
          </w:tcPr>
          <w:p w14:paraId="17920402" w14:textId="77777777" w:rsidR="003B3769" w:rsidRDefault="003B3769">
            <w:pPr>
              <w:jc w:val="right"/>
              <w:rPr>
                <w:sz w:val="20"/>
                <w:szCs w:val="20"/>
              </w:rPr>
            </w:pPr>
            <w:r>
              <w:rPr>
                <w:sz w:val="20"/>
                <w:szCs w:val="20"/>
              </w:rPr>
              <w:t>545.000,00</w:t>
            </w:r>
          </w:p>
        </w:tc>
        <w:tc>
          <w:tcPr>
            <w:tcW w:w="1660" w:type="dxa"/>
            <w:tcBorders>
              <w:top w:val="nil"/>
              <w:left w:val="nil"/>
              <w:bottom w:val="nil"/>
              <w:right w:val="nil"/>
            </w:tcBorders>
            <w:shd w:val="clear" w:color="auto" w:fill="auto"/>
            <w:noWrap/>
            <w:vAlign w:val="bottom"/>
            <w:hideMark/>
          </w:tcPr>
          <w:p w14:paraId="57B08ECD" w14:textId="77777777" w:rsidR="003B3769" w:rsidRDefault="003B3769">
            <w:pPr>
              <w:jc w:val="right"/>
              <w:rPr>
                <w:sz w:val="20"/>
                <w:szCs w:val="20"/>
              </w:rPr>
            </w:pPr>
            <w:r>
              <w:rPr>
                <w:sz w:val="20"/>
                <w:szCs w:val="20"/>
              </w:rPr>
              <w:t>48.983,43</w:t>
            </w:r>
          </w:p>
        </w:tc>
        <w:tc>
          <w:tcPr>
            <w:tcW w:w="983" w:type="dxa"/>
            <w:tcBorders>
              <w:top w:val="nil"/>
              <w:left w:val="nil"/>
              <w:bottom w:val="nil"/>
              <w:right w:val="nil"/>
            </w:tcBorders>
            <w:shd w:val="clear" w:color="auto" w:fill="auto"/>
            <w:noWrap/>
            <w:vAlign w:val="bottom"/>
            <w:hideMark/>
          </w:tcPr>
          <w:p w14:paraId="2B6332A7" w14:textId="77777777" w:rsidR="003B3769" w:rsidRDefault="003B3769">
            <w:pPr>
              <w:jc w:val="right"/>
              <w:rPr>
                <w:sz w:val="20"/>
                <w:szCs w:val="20"/>
              </w:rPr>
            </w:pPr>
            <w:r>
              <w:rPr>
                <w:sz w:val="20"/>
                <w:szCs w:val="20"/>
              </w:rPr>
              <w:t>268,23</w:t>
            </w:r>
          </w:p>
        </w:tc>
        <w:tc>
          <w:tcPr>
            <w:tcW w:w="983" w:type="dxa"/>
            <w:tcBorders>
              <w:top w:val="nil"/>
              <w:left w:val="nil"/>
              <w:bottom w:val="nil"/>
              <w:right w:val="nil"/>
            </w:tcBorders>
            <w:shd w:val="clear" w:color="auto" w:fill="auto"/>
            <w:noWrap/>
            <w:vAlign w:val="bottom"/>
            <w:hideMark/>
          </w:tcPr>
          <w:p w14:paraId="179B04E4" w14:textId="77777777" w:rsidR="003B3769" w:rsidRDefault="003B3769">
            <w:pPr>
              <w:jc w:val="right"/>
              <w:rPr>
                <w:sz w:val="20"/>
                <w:szCs w:val="20"/>
              </w:rPr>
            </w:pPr>
            <w:r>
              <w:rPr>
                <w:sz w:val="20"/>
                <w:szCs w:val="20"/>
              </w:rPr>
              <w:t>8,99</w:t>
            </w:r>
          </w:p>
        </w:tc>
      </w:tr>
      <w:tr w:rsidR="003B3769" w14:paraId="5964BD6B" w14:textId="77777777" w:rsidTr="00953AE7">
        <w:trPr>
          <w:trHeight w:val="300"/>
        </w:trPr>
        <w:tc>
          <w:tcPr>
            <w:tcW w:w="7268" w:type="dxa"/>
            <w:tcBorders>
              <w:top w:val="nil"/>
              <w:left w:val="nil"/>
              <w:bottom w:val="nil"/>
              <w:right w:val="nil"/>
            </w:tcBorders>
            <w:shd w:val="clear" w:color="auto" w:fill="auto"/>
            <w:noWrap/>
            <w:vAlign w:val="bottom"/>
            <w:hideMark/>
          </w:tcPr>
          <w:p w14:paraId="67AEC124" w14:textId="77777777" w:rsidR="003B3769" w:rsidRDefault="003B3769">
            <w:pPr>
              <w:rPr>
                <w:sz w:val="20"/>
                <w:szCs w:val="20"/>
              </w:rPr>
            </w:pPr>
            <w:r>
              <w:rPr>
                <w:sz w:val="20"/>
                <w:szCs w:val="20"/>
              </w:rPr>
              <w:t>042 Poljoprivreda, šumarstvo, ribarstvo i lov</w:t>
            </w:r>
          </w:p>
        </w:tc>
        <w:tc>
          <w:tcPr>
            <w:tcW w:w="1660" w:type="dxa"/>
            <w:tcBorders>
              <w:top w:val="nil"/>
              <w:left w:val="nil"/>
              <w:bottom w:val="nil"/>
              <w:right w:val="nil"/>
            </w:tcBorders>
            <w:shd w:val="clear" w:color="auto" w:fill="auto"/>
            <w:noWrap/>
            <w:vAlign w:val="bottom"/>
            <w:hideMark/>
          </w:tcPr>
          <w:p w14:paraId="363480EF" w14:textId="77777777" w:rsidR="003B3769" w:rsidRDefault="003B3769">
            <w:pPr>
              <w:jc w:val="right"/>
              <w:rPr>
                <w:sz w:val="20"/>
                <w:szCs w:val="20"/>
              </w:rPr>
            </w:pPr>
            <w:r>
              <w:rPr>
                <w:sz w:val="20"/>
                <w:szCs w:val="20"/>
              </w:rPr>
              <w:t>228.579,49</w:t>
            </w:r>
          </w:p>
        </w:tc>
        <w:tc>
          <w:tcPr>
            <w:tcW w:w="1660" w:type="dxa"/>
            <w:tcBorders>
              <w:top w:val="nil"/>
              <w:left w:val="nil"/>
              <w:bottom w:val="nil"/>
              <w:right w:val="nil"/>
            </w:tcBorders>
            <w:shd w:val="clear" w:color="auto" w:fill="auto"/>
            <w:noWrap/>
            <w:vAlign w:val="bottom"/>
            <w:hideMark/>
          </w:tcPr>
          <w:p w14:paraId="17431829" w14:textId="77777777" w:rsidR="003B3769" w:rsidRDefault="003B3769">
            <w:pPr>
              <w:jc w:val="right"/>
              <w:rPr>
                <w:sz w:val="20"/>
                <w:szCs w:val="20"/>
              </w:rPr>
            </w:pPr>
            <w:r>
              <w:rPr>
                <w:sz w:val="20"/>
                <w:szCs w:val="20"/>
              </w:rPr>
              <w:t>190.200,00</w:t>
            </w:r>
          </w:p>
        </w:tc>
        <w:tc>
          <w:tcPr>
            <w:tcW w:w="1660" w:type="dxa"/>
            <w:tcBorders>
              <w:top w:val="nil"/>
              <w:left w:val="nil"/>
              <w:bottom w:val="nil"/>
              <w:right w:val="nil"/>
            </w:tcBorders>
            <w:shd w:val="clear" w:color="auto" w:fill="auto"/>
            <w:noWrap/>
            <w:vAlign w:val="bottom"/>
            <w:hideMark/>
          </w:tcPr>
          <w:p w14:paraId="04028D61" w14:textId="77777777" w:rsidR="003B3769" w:rsidRDefault="003B3769">
            <w:pPr>
              <w:jc w:val="right"/>
              <w:rPr>
                <w:sz w:val="20"/>
                <w:szCs w:val="20"/>
              </w:rPr>
            </w:pPr>
            <w:r>
              <w:rPr>
                <w:sz w:val="20"/>
                <w:szCs w:val="20"/>
              </w:rPr>
              <w:t>145.439,49</w:t>
            </w:r>
          </w:p>
        </w:tc>
        <w:tc>
          <w:tcPr>
            <w:tcW w:w="983" w:type="dxa"/>
            <w:tcBorders>
              <w:top w:val="nil"/>
              <w:left w:val="nil"/>
              <w:bottom w:val="nil"/>
              <w:right w:val="nil"/>
            </w:tcBorders>
            <w:shd w:val="clear" w:color="auto" w:fill="auto"/>
            <w:noWrap/>
            <w:vAlign w:val="bottom"/>
            <w:hideMark/>
          </w:tcPr>
          <w:p w14:paraId="70F6635B" w14:textId="77777777" w:rsidR="003B3769" w:rsidRDefault="003B3769">
            <w:pPr>
              <w:jc w:val="right"/>
              <w:rPr>
                <w:sz w:val="20"/>
                <w:szCs w:val="20"/>
              </w:rPr>
            </w:pPr>
            <w:r>
              <w:rPr>
                <w:sz w:val="20"/>
                <w:szCs w:val="20"/>
              </w:rPr>
              <w:t>63,63</w:t>
            </w:r>
          </w:p>
        </w:tc>
        <w:tc>
          <w:tcPr>
            <w:tcW w:w="983" w:type="dxa"/>
            <w:tcBorders>
              <w:top w:val="nil"/>
              <w:left w:val="nil"/>
              <w:bottom w:val="nil"/>
              <w:right w:val="nil"/>
            </w:tcBorders>
            <w:shd w:val="clear" w:color="auto" w:fill="auto"/>
            <w:noWrap/>
            <w:vAlign w:val="bottom"/>
            <w:hideMark/>
          </w:tcPr>
          <w:p w14:paraId="374E7ED7" w14:textId="77777777" w:rsidR="003B3769" w:rsidRDefault="003B3769">
            <w:pPr>
              <w:jc w:val="right"/>
              <w:rPr>
                <w:sz w:val="20"/>
                <w:szCs w:val="20"/>
              </w:rPr>
            </w:pPr>
            <w:r>
              <w:rPr>
                <w:sz w:val="20"/>
                <w:szCs w:val="20"/>
              </w:rPr>
              <w:t>76,47</w:t>
            </w:r>
          </w:p>
        </w:tc>
      </w:tr>
      <w:tr w:rsidR="003B3769" w14:paraId="3D2C737B" w14:textId="77777777" w:rsidTr="00953AE7">
        <w:trPr>
          <w:trHeight w:val="300"/>
        </w:trPr>
        <w:tc>
          <w:tcPr>
            <w:tcW w:w="7268" w:type="dxa"/>
            <w:tcBorders>
              <w:top w:val="nil"/>
              <w:left w:val="nil"/>
              <w:bottom w:val="nil"/>
              <w:right w:val="nil"/>
            </w:tcBorders>
            <w:shd w:val="clear" w:color="auto" w:fill="auto"/>
            <w:noWrap/>
            <w:vAlign w:val="bottom"/>
            <w:hideMark/>
          </w:tcPr>
          <w:p w14:paraId="08C39E5F" w14:textId="77777777" w:rsidR="003B3769" w:rsidRDefault="003B3769">
            <w:pPr>
              <w:rPr>
                <w:sz w:val="20"/>
                <w:szCs w:val="20"/>
              </w:rPr>
            </w:pPr>
            <w:r>
              <w:rPr>
                <w:sz w:val="20"/>
                <w:szCs w:val="20"/>
              </w:rPr>
              <w:t>045 Promet</w:t>
            </w:r>
          </w:p>
        </w:tc>
        <w:tc>
          <w:tcPr>
            <w:tcW w:w="1660" w:type="dxa"/>
            <w:tcBorders>
              <w:top w:val="nil"/>
              <w:left w:val="nil"/>
              <w:bottom w:val="nil"/>
              <w:right w:val="nil"/>
            </w:tcBorders>
            <w:shd w:val="clear" w:color="auto" w:fill="auto"/>
            <w:noWrap/>
            <w:vAlign w:val="bottom"/>
            <w:hideMark/>
          </w:tcPr>
          <w:p w14:paraId="539F5696" w14:textId="77777777" w:rsidR="003B3769" w:rsidRDefault="003B3769">
            <w:pPr>
              <w:jc w:val="right"/>
              <w:rPr>
                <w:sz w:val="20"/>
                <w:szCs w:val="20"/>
              </w:rPr>
            </w:pPr>
            <w:r>
              <w:rPr>
                <w:sz w:val="20"/>
                <w:szCs w:val="20"/>
              </w:rPr>
              <w:t>5.247.169,89</w:t>
            </w:r>
          </w:p>
        </w:tc>
        <w:tc>
          <w:tcPr>
            <w:tcW w:w="1660" w:type="dxa"/>
            <w:tcBorders>
              <w:top w:val="nil"/>
              <w:left w:val="nil"/>
              <w:bottom w:val="nil"/>
              <w:right w:val="nil"/>
            </w:tcBorders>
            <w:shd w:val="clear" w:color="auto" w:fill="auto"/>
            <w:noWrap/>
            <w:vAlign w:val="bottom"/>
            <w:hideMark/>
          </w:tcPr>
          <w:p w14:paraId="22C99B8D" w14:textId="77777777" w:rsidR="003B3769" w:rsidRDefault="003B3769">
            <w:pPr>
              <w:jc w:val="right"/>
              <w:rPr>
                <w:sz w:val="20"/>
                <w:szCs w:val="20"/>
              </w:rPr>
            </w:pPr>
            <w:r>
              <w:rPr>
                <w:sz w:val="20"/>
                <w:szCs w:val="20"/>
              </w:rPr>
              <w:t>5.835.235,88</w:t>
            </w:r>
          </w:p>
        </w:tc>
        <w:tc>
          <w:tcPr>
            <w:tcW w:w="1660" w:type="dxa"/>
            <w:tcBorders>
              <w:top w:val="nil"/>
              <w:left w:val="nil"/>
              <w:bottom w:val="nil"/>
              <w:right w:val="nil"/>
            </w:tcBorders>
            <w:shd w:val="clear" w:color="auto" w:fill="auto"/>
            <w:noWrap/>
            <w:vAlign w:val="bottom"/>
            <w:hideMark/>
          </w:tcPr>
          <w:p w14:paraId="2B6128A5" w14:textId="77777777" w:rsidR="003B3769" w:rsidRDefault="003B3769">
            <w:pPr>
              <w:jc w:val="right"/>
              <w:rPr>
                <w:sz w:val="20"/>
                <w:szCs w:val="20"/>
              </w:rPr>
            </w:pPr>
            <w:r>
              <w:rPr>
                <w:sz w:val="20"/>
                <w:szCs w:val="20"/>
              </w:rPr>
              <w:t>5.536.987,46</w:t>
            </w:r>
          </w:p>
        </w:tc>
        <w:tc>
          <w:tcPr>
            <w:tcW w:w="983" w:type="dxa"/>
            <w:tcBorders>
              <w:top w:val="nil"/>
              <w:left w:val="nil"/>
              <w:bottom w:val="nil"/>
              <w:right w:val="nil"/>
            </w:tcBorders>
            <w:shd w:val="clear" w:color="auto" w:fill="auto"/>
            <w:noWrap/>
            <w:vAlign w:val="bottom"/>
            <w:hideMark/>
          </w:tcPr>
          <w:p w14:paraId="4961132A" w14:textId="77777777" w:rsidR="003B3769" w:rsidRDefault="003B3769">
            <w:pPr>
              <w:jc w:val="right"/>
              <w:rPr>
                <w:sz w:val="20"/>
                <w:szCs w:val="20"/>
              </w:rPr>
            </w:pPr>
            <w:r>
              <w:rPr>
                <w:sz w:val="20"/>
                <w:szCs w:val="20"/>
              </w:rPr>
              <w:t>105,52</w:t>
            </w:r>
          </w:p>
        </w:tc>
        <w:tc>
          <w:tcPr>
            <w:tcW w:w="983" w:type="dxa"/>
            <w:tcBorders>
              <w:top w:val="nil"/>
              <w:left w:val="nil"/>
              <w:bottom w:val="nil"/>
              <w:right w:val="nil"/>
            </w:tcBorders>
            <w:shd w:val="clear" w:color="auto" w:fill="auto"/>
            <w:noWrap/>
            <w:vAlign w:val="bottom"/>
            <w:hideMark/>
          </w:tcPr>
          <w:p w14:paraId="2C290834" w14:textId="77777777" w:rsidR="003B3769" w:rsidRDefault="003B3769">
            <w:pPr>
              <w:jc w:val="right"/>
              <w:rPr>
                <w:sz w:val="20"/>
                <w:szCs w:val="20"/>
              </w:rPr>
            </w:pPr>
            <w:r>
              <w:rPr>
                <w:sz w:val="20"/>
                <w:szCs w:val="20"/>
              </w:rPr>
              <w:t>94,89</w:t>
            </w:r>
          </w:p>
        </w:tc>
      </w:tr>
      <w:tr w:rsidR="003B3769" w14:paraId="1EE2CAAA" w14:textId="77777777" w:rsidTr="00953AE7">
        <w:trPr>
          <w:trHeight w:val="300"/>
        </w:trPr>
        <w:tc>
          <w:tcPr>
            <w:tcW w:w="7268" w:type="dxa"/>
            <w:tcBorders>
              <w:top w:val="nil"/>
              <w:left w:val="nil"/>
              <w:bottom w:val="nil"/>
              <w:right w:val="nil"/>
            </w:tcBorders>
            <w:shd w:val="clear" w:color="auto" w:fill="auto"/>
            <w:noWrap/>
            <w:vAlign w:val="bottom"/>
            <w:hideMark/>
          </w:tcPr>
          <w:p w14:paraId="6D56FF30" w14:textId="77777777" w:rsidR="003B3769" w:rsidRDefault="003B3769">
            <w:pPr>
              <w:rPr>
                <w:sz w:val="20"/>
                <w:szCs w:val="20"/>
              </w:rPr>
            </w:pPr>
            <w:r>
              <w:rPr>
                <w:sz w:val="20"/>
                <w:szCs w:val="20"/>
              </w:rPr>
              <w:t>046 Komunikacije</w:t>
            </w:r>
          </w:p>
        </w:tc>
        <w:tc>
          <w:tcPr>
            <w:tcW w:w="1660" w:type="dxa"/>
            <w:tcBorders>
              <w:top w:val="nil"/>
              <w:left w:val="nil"/>
              <w:bottom w:val="nil"/>
              <w:right w:val="nil"/>
            </w:tcBorders>
            <w:shd w:val="clear" w:color="auto" w:fill="auto"/>
            <w:noWrap/>
            <w:vAlign w:val="bottom"/>
            <w:hideMark/>
          </w:tcPr>
          <w:p w14:paraId="3D88B58C" w14:textId="77777777" w:rsidR="003B3769" w:rsidRDefault="003B3769">
            <w:pPr>
              <w:jc w:val="right"/>
              <w:rPr>
                <w:sz w:val="20"/>
                <w:szCs w:val="20"/>
              </w:rPr>
            </w:pPr>
            <w:r>
              <w:rPr>
                <w:sz w:val="20"/>
                <w:szCs w:val="20"/>
              </w:rPr>
              <w:t>22.208,75</w:t>
            </w:r>
          </w:p>
        </w:tc>
        <w:tc>
          <w:tcPr>
            <w:tcW w:w="1660" w:type="dxa"/>
            <w:tcBorders>
              <w:top w:val="nil"/>
              <w:left w:val="nil"/>
              <w:bottom w:val="nil"/>
              <w:right w:val="nil"/>
            </w:tcBorders>
            <w:shd w:val="clear" w:color="auto" w:fill="auto"/>
            <w:noWrap/>
            <w:vAlign w:val="bottom"/>
            <w:hideMark/>
          </w:tcPr>
          <w:p w14:paraId="40A97EEC" w14:textId="77777777" w:rsidR="003B3769" w:rsidRDefault="003B3769">
            <w:pPr>
              <w:jc w:val="right"/>
              <w:rPr>
                <w:sz w:val="20"/>
                <w:szCs w:val="20"/>
              </w:rPr>
            </w:pPr>
            <w:r>
              <w:rPr>
                <w:sz w:val="20"/>
                <w:szCs w:val="20"/>
              </w:rPr>
              <w:t>152.500,00</w:t>
            </w:r>
          </w:p>
        </w:tc>
        <w:tc>
          <w:tcPr>
            <w:tcW w:w="1660" w:type="dxa"/>
            <w:tcBorders>
              <w:top w:val="nil"/>
              <w:left w:val="nil"/>
              <w:bottom w:val="nil"/>
              <w:right w:val="nil"/>
            </w:tcBorders>
            <w:shd w:val="clear" w:color="auto" w:fill="auto"/>
            <w:noWrap/>
            <w:vAlign w:val="bottom"/>
            <w:hideMark/>
          </w:tcPr>
          <w:p w14:paraId="4176ED04" w14:textId="77777777" w:rsidR="003B3769" w:rsidRDefault="003B3769">
            <w:pPr>
              <w:jc w:val="right"/>
              <w:rPr>
                <w:sz w:val="20"/>
                <w:szCs w:val="20"/>
              </w:rPr>
            </w:pPr>
            <w:r>
              <w:rPr>
                <w:sz w:val="20"/>
                <w:szCs w:val="20"/>
              </w:rPr>
              <w:t>136.164,30</w:t>
            </w:r>
          </w:p>
        </w:tc>
        <w:tc>
          <w:tcPr>
            <w:tcW w:w="983" w:type="dxa"/>
            <w:tcBorders>
              <w:top w:val="nil"/>
              <w:left w:val="nil"/>
              <w:bottom w:val="nil"/>
              <w:right w:val="nil"/>
            </w:tcBorders>
            <w:shd w:val="clear" w:color="auto" w:fill="auto"/>
            <w:noWrap/>
            <w:vAlign w:val="bottom"/>
            <w:hideMark/>
          </w:tcPr>
          <w:p w14:paraId="0A6F7EA9" w14:textId="77777777" w:rsidR="003B3769" w:rsidRDefault="003B3769">
            <w:pPr>
              <w:jc w:val="right"/>
              <w:rPr>
                <w:sz w:val="20"/>
                <w:szCs w:val="20"/>
              </w:rPr>
            </w:pPr>
            <w:r>
              <w:rPr>
                <w:sz w:val="20"/>
                <w:szCs w:val="20"/>
              </w:rPr>
              <w:t>613,11</w:t>
            </w:r>
          </w:p>
        </w:tc>
        <w:tc>
          <w:tcPr>
            <w:tcW w:w="983" w:type="dxa"/>
            <w:tcBorders>
              <w:top w:val="nil"/>
              <w:left w:val="nil"/>
              <w:bottom w:val="nil"/>
              <w:right w:val="nil"/>
            </w:tcBorders>
            <w:shd w:val="clear" w:color="auto" w:fill="auto"/>
            <w:noWrap/>
            <w:vAlign w:val="bottom"/>
            <w:hideMark/>
          </w:tcPr>
          <w:p w14:paraId="725AC274" w14:textId="77777777" w:rsidR="003B3769" w:rsidRDefault="003B3769">
            <w:pPr>
              <w:jc w:val="right"/>
              <w:rPr>
                <w:sz w:val="20"/>
                <w:szCs w:val="20"/>
              </w:rPr>
            </w:pPr>
            <w:r>
              <w:rPr>
                <w:sz w:val="20"/>
                <w:szCs w:val="20"/>
              </w:rPr>
              <w:t>89,29</w:t>
            </w:r>
          </w:p>
        </w:tc>
      </w:tr>
      <w:tr w:rsidR="003B3769" w14:paraId="7E714D88" w14:textId="77777777" w:rsidTr="00953AE7">
        <w:trPr>
          <w:trHeight w:val="300"/>
        </w:trPr>
        <w:tc>
          <w:tcPr>
            <w:tcW w:w="7268" w:type="dxa"/>
            <w:tcBorders>
              <w:top w:val="nil"/>
              <w:left w:val="nil"/>
              <w:bottom w:val="nil"/>
              <w:right w:val="nil"/>
            </w:tcBorders>
            <w:shd w:val="clear" w:color="auto" w:fill="auto"/>
            <w:noWrap/>
            <w:vAlign w:val="bottom"/>
            <w:hideMark/>
          </w:tcPr>
          <w:p w14:paraId="7D858C3C" w14:textId="77777777" w:rsidR="003B3769" w:rsidRDefault="003B3769">
            <w:pPr>
              <w:rPr>
                <w:sz w:val="20"/>
                <w:szCs w:val="20"/>
              </w:rPr>
            </w:pPr>
            <w:r>
              <w:rPr>
                <w:sz w:val="20"/>
                <w:szCs w:val="20"/>
              </w:rPr>
              <w:t>047 Ostale industrije</w:t>
            </w:r>
          </w:p>
        </w:tc>
        <w:tc>
          <w:tcPr>
            <w:tcW w:w="1660" w:type="dxa"/>
            <w:tcBorders>
              <w:top w:val="nil"/>
              <w:left w:val="nil"/>
              <w:bottom w:val="nil"/>
              <w:right w:val="nil"/>
            </w:tcBorders>
            <w:shd w:val="clear" w:color="auto" w:fill="auto"/>
            <w:noWrap/>
            <w:vAlign w:val="bottom"/>
            <w:hideMark/>
          </w:tcPr>
          <w:p w14:paraId="0761C7A5" w14:textId="77777777" w:rsidR="003B3769" w:rsidRDefault="003B3769">
            <w:pPr>
              <w:jc w:val="right"/>
              <w:rPr>
                <w:sz w:val="20"/>
                <w:szCs w:val="20"/>
              </w:rPr>
            </w:pPr>
            <w:r>
              <w:rPr>
                <w:sz w:val="20"/>
                <w:szCs w:val="20"/>
              </w:rPr>
              <w:t>254.017,58</w:t>
            </w:r>
          </w:p>
        </w:tc>
        <w:tc>
          <w:tcPr>
            <w:tcW w:w="1660" w:type="dxa"/>
            <w:tcBorders>
              <w:top w:val="nil"/>
              <w:left w:val="nil"/>
              <w:bottom w:val="nil"/>
              <w:right w:val="nil"/>
            </w:tcBorders>
            <w:shd w:val="clear" w:color="auto" w:fill="auto"/>
            <w:noWrap/>
            <w:vAlign w:val="bottom"/>
            <w:hideMark/>
          </w:tcPr>
          <w:p w14:paraId="4D34C382" w14:textId="77777777" w:rsidR="003B3769" w:rsidRDefault="003B3769">
            <w:pPr>
              <w:jc w:val="right"/>
              <w:rPr>
                <w:sz w:val="20"/>
                <w:szCs w:val="20"/>
              </w:rPr>
            </w:pPr>
            <w:r>
              <w:rPr>
                <w:sz w:val="20"/>
                <w:szCs w:val="20"/>
              </w:rPr>
              <w:t>292.700,00</w:t>
            </w:r>
          </w:p>
        </w:tc>
        <w:tc>
          <w:tcPr>
            <w:tcW w:w="1660" w:type="dxa"/>
            <w:tcBorders>
              <w:top w:val="nil"/>
              <w:left w:val="nil"/>
              <w:bottom w:val="nil"/>
              <w:right w:val="nil"/>
            </w:tcBorders>
            <w:shd w:val="clear" w:color="auto" w:fill="auto"/>
            <w:noWrap/>
            <w:vAlign w:val="bottom"/>
            <w:hideMark/>
          </w:tcPr>
          <w:p w14:paraId="7C3D1F66" w14:textId="77777777" w:rsidR="003B3769" w:rsidRDefault="003B3769">
            <w:pPr>
              <w:jc w:val="right"/>
              <w:rPr>
                <w:sz w:val="20"/>
                <w:szCs w:val="20"/>
              </w:rPr>
            </w:pPr>
            <w:r>
              <w:rPr>
                <w:sz w:val="20"/>
                <w:szCs w:val="20"/>
              </w:rPr>
              <w:t>282.725,00</w:t>
            </w:r>
          </w:p>
        </w:tc>
        <w:tc>
          <w:tcPr>
            <w:tcW w:w="983" w:type="dxa"/>
            <w:tcBorders>
              <w:top w:val="nil"/>
              <w:left w:val="nil"/>
              <w:bottom w:val="nil"/>
              <w:right w:val="nil"/>
            </w:tcBorders>
            <w:shd w:val="clear" w:color="auto" w:fill="auto"/>
            <w:noWrap/>
            <w:vAlign w:val="bottom"/>
            <w:hideMark/>
          </w:tcPr>
          <w:p w14:paraId="4FEA8FB4" w14:textId="77777777" w:rsidR="003B3769" w:rsidRDefault="003B3769">
            <w:pPr>
              <w:jc w:val="right"/>
              <w:rPr>
                <w:sz w:val="20"/>
                <w:szCs w:val="20"/>
              </w:rPr>
            </w:pPr>
            <w:r>
              <w:rPr>
                <w:sz w:val="20"/>
                <w:szCs w:val="20"/>
              </w:rPr>
              <w:t>111,30</w:t>
            </w:r>
          </w:p>
        </w:tc>
        <w:tc>
          <w:tcPr>
            <w:tcW w:w="983" w:type="dxa"/>
            <w:tcBorders>
              <w:top w:val="nil"/>
              <w:left w:val="nil"/>
              <w:bottom w:val="nil"/>
              <w:right w:val="nil"/>
            </w:tcBorders>
            <w:shd w:val="clear" w:color="auto" w:fill="auto"/>
            <w:noWrap/>
            <w:vAlign w:val="bottom"/>
            <w:hideMark/>
          </w:tcPr>
          <w:p w14:paraId="7497CBC5" w14:textId="77777777" w:rsidR="003B3769" w:rsidRDefault="003B3769">
            <w:pPr>
              <w:jc w:val="right"/>
              <w:rPr>
                <w:sz w:val="20"/>
                <w:szCs w:val="20"/>
              </w:rPr>
            </w:pPr>
            <w:r>
              <w:rPr>
                <w:sz w:val="20"/>
                <w:szCs w:val="20"/>
              </w:rPr>
              <w:t>96,59</w:t>
            </w:r>
          </w:p>
        </w:tc>
      </w:tr>
      <w:tr w:rsidR="003B3769" w14:paraId="3383E78D" w14:textId="77777777" w:rsidTr="00953AE7">
        <w:trPr>
          <w:trHeight w:val="300"/>
        </w:trPr>
        <w:tc>
          <w:tcPr>
            <w:tcW w:w="7268" w:type="dxa"/>
            <w:tcBorders>
              <w:top w:val="nil"/>
              <w:left w:val="nil"/>
              <w:bottom w:val="nil"/>
              <w:right w:val="nil"/>
            </w:tcBorders>
            <w:shd w:val="clear" w:color="auto" w:fill="auto"/>
            <w:noWrap/>
            <w:vAlign w:val="bottom"/>
            <w:hideMark/>
          </w:tcPr>
          <w:p w14:paraId="5BB85C1B" w14:textId="77777777" w:rsidR="003B3769" w:rsidRDefault="003B3769">
            <w:pPr>
              <w:rPr>
                <w:b/>
                <w:bCs/>
                <w:sz w:val="20"/>
                <w:szCs w:val="20"/>
              </w:rPr>
            </w:pPr>
            <w:r>
              <w:rPr>
                <w:b/>
                <w:bCs/>
                <w:sz w:val="20"/>
                <w:szCs w:val="20"/>
              </w:rPr>
              <w:t>05 Zaštita okoliša</w:t>
            </w:r>
          </w:p>
        </w:tc>
        <w:tc>
          <w:tcPr>
            <w:tcW w:w="1660" w:type="dxa"/>
            <w:tcBorders>
              <w:top w:val="nil"/>
              <w:left w:val="nil"/>
              <w:bottom w:val="nil"/>
              <w:right w:val="nil"/>
            </w:tcBorders>
            <w:shd w:val="clear" w:color="auto" w:fill="auto"/>
            <w:noWrap/>
            <w:vAlign w:val="bottom"/>
            <w:hideMark/>
          </w:tcPr>
          <w:p w14:paraId="4AB261D5" w14:textId="77777777" w:rsidR="003B3769" w:rsidRDefault="003B3769">
            <w:pPr>
              <w:jc w:val="right"/>
              <w:rPr>
                <w:b/>
                <w:bCs/>
                <w:sz w:val="20"/>
                <w:szCs w:val="20"/>
              </w:rPr>
            </w:pPr>
            <w:r>
              <w:rPr>
                <w:b/>
                <w:bCs/>
                <w:sz w:val="20"/>
                <w:szCs w:val="20"/>
              </w:rPr>
              <w:t>1.370.937,02</w:t>
            </w:r>
          </w:p>
        </w:tc>
        <w:tc>
          <w:tcPr>
            <w:tcW w:w="1660" w:type="dxa"/>
            <w:tcBorders>
              <w:top w:val="nil"/>
              <w:left w:val="nil"/>
              <w:bottom w:val="nil"/>
              <w:right w:val="nil"/>
            </w:tcBorders>
            <w:shd w:val="clear" w:color="auto" w:fill="auto"/>
            <w:noWrap/>
            <w:vAlign w:val="bottom"/>
            <w:hideMark/>
          </w:tcPr>
          <w:p w14:paraId="3860030B" w14:textId="77777777" w:rsidR="003B3769" w:rsidRDefault="003B3769">
            <w:pPr>
              <w:jc w:val="right"/>
              <w:rPr>
                <w:b/>
                <w:bCs/>
                <w:sz w:val="20"/>
                <w:szCs w:val="20"/>
              </w:rPr>
            </w:pPr>
            <w:r>
              <w:rPr>
                <w:b/>
                <w:bCs/>
                <w:sz w:val="20"/>
                <w:szCs w:val="20"/>
              </w:rPr>
              <w:t>1.884.985,30</w:t>
            </w:r>
          </w:p>
        </w:tc>
        <w:tc>
          <w:tcPr>
            <w:tcW w:w="1660" w:type="dxa"/>
            <w:tcBorders>
              <w:top w:val="nil"/>
              <w:left w:val="nil"/>
              <w:bottom w:val="nil"/>
              <w:right w:val="nil"/>
            </w:tcBorders>
            <w:shd w:val="clear" w:color="auto" w:fill="auto"/>
            <w:noWrap/>
            <w:vAlign w:val="bottom"/>
            <w:hideMark/>
          </w:tcPr>
          <w:p w14:paraId="56618E98" w14:textId="77777777" w:rsidR="003B3769" w:rsidRDefault="003B3769">
            <w:pPr>
              <w:jc w:val="right"/>
              <w:rPr>
                <w:b/>
                <w:bCs/>
                <w:sz w:val="20"/>
                <w:szCs w:val="20"/>
              </w:rPr>
            </w:pPr>
            <w:r>
              <w:rPr>
                <w:b/>
                <w:bCs/>
                <w:sz w:val="20"/>
                <w:szCs w:val="20"/>
              </w:rPr>
              <w:t>1.827.571,66</w:t>
            </w:r>
          </w:p>
        </w:tc>
        <w:tc>
          <w:tcPr>
            <w:tcW w:w="983" w:type="dxa"/>
            <w:tcBorders>
              <w:top w:val="nil"/>
              <w:left w:val="nil"/>
              <w:bottom w:val="nil"/>
              <w:right w:val="nil"/>
            </w:tcBorders>
            <w:shd w:val="clear" w:color="auto" w:fill="auto"/>
            <w:noWrap/>
            <w:vAlign w:val="bottom"/>
            <w:hideMark/>
          </w:tcPr>
          <w:p w14:paraId="77A82FA3" w14:textId="77777777" w:rsidR="003B3769" w:rsidRDefault="003B3769">
            <w:pPr>
              <w:jc w:val="right"/>
              <w:rPr>
                <w:b/>
                <w:bCs/>
                <w:sz w:val="20"/>
                <w:szCs w:val="20"/>
              </w:rPr>
            </w:pPr>
            <w:r>
              <w:rPr>
                <w:b/>
                <w:bCs/>
                <w:sz w:val="20"/>
                <w:szCs w:val="20"/>
              </w:rPr>
              <w:t>133,31</w:t>
            </w:r>
          </w:p>
        </w:tc>
        <w:tc>
          <w:tcPr>
            <w:tcW w:w="983" w:type="dxa"/>
            <w:tcBorders>
              <w:top w:val="nil"/>
              <w:left w:val="nil"/>
              <w:bottom w:val="nil"/>
              <w:right w:val="nil"/>
            </w:tcBorders>
            <w:shd w:val="clear" w:color="auto" w:fill="auto"/>
            <w:noWrap/>
            <w:vAlign w:val="bottom"/>
            <w:hideMark/>
          </w:tcPr>
          <w:p w14:paraId="0A3878EE" w14:textId="77777777" w:rsidR="003B3769" w:rsidRDefault="003B3769">
            <w:pPr>
              <w:jc w:val="right"/>
              <w:rPr>
                <w:b/>
                <w:bCs/>
                <w:sz w:val="20"/>
                <w:szCs w:val="20"/>
              </w:rPr>
            </w:pPr>
            <w:r>
              <w:rPr>
                <w:b/>
                <w:bCs/>
                <w:sz w:val="20"/>
                <w:szCs w:val="20"/>
              </w:rPr>
              <w:t>96,95</w:t>
            </w:r>
          </w:p>
        </w:tc>
      </w:tr>
      <w:tr w:rsidR="003B3769" w14:paraId="572D22BF" w14:textId="77777777" w:rsidTr="00953AE7">
        <w:trPr>
          <w:trHeight w:val="300"/>
        </w:trPr>
        <w:tc>
          <w:tcPr>
            <w:tcW w:w="7268" w:type="dxa"/>
            <w:tcBorders>
              <w:top w:val="nil"/>
              <w:left w:val="nil"/>
              <w:bottom w:val="nil"/>
              <w:right w:val="nil"/>
            </w:tcBorders>
            <w:shd w:val="clear" w:color="auto" w:fill="auto"/>
            <w:noWrap/>
            <w:vAlign w:val="bottom"/>
            <w:hideMark/>
          </w:tcPr>
          <w:p w14:paraId="6656E2B0" w14:textId="77777777" w:rsidR="003B3769" w:rsidRDefault="003B3769">
            <w:pPr>
              <w:rPr>
                <w:sz w:val="20"/>
                <w:szCs w:val="20"/>
              </w:rPr>
            </w:pPr>
            <w:r>
              <w:rPr>
                <w:sz w:val="20"/>
                <w:szCs w:val="20"/>
              </w:rPr>
              <w:t>051 Gospodarenje otpadom</w:t>
            </w:r>
          </w:p>
        </w:tc>
        <w:tc>
          <w:tcPr>
            <w:tcW w:w="1660" w:type="dxa"/>
            <w:tcBorders>
              <w:top w:val="nil"/>
              <w:left w:val="nil"/>
              <w:bottom w:val="nil"/>
              <w:right w:val="nil"/>
            </w:tcBorders>
            <w:shd w:val="clear" w:color="auto" w:fill="auto"/>
            <w:noWrap/>
            <w:vAlign w:val="bottom"/>
            <w:hideMark/>
          </w:tcPr>
          <w:p w14:paraId="2E436B4E" w14:textId="77777777" w:rsidR="003B3769" w:rsidRDefault="003B3769">
            <w:pPr>
              <w:jc w:val="right"/>
              <w:rPr>
                <w:sz w:val="20"/>
                <w:szCs w:val="20"/>
              </w:rPr>
            </w:pPr>
            <w:r>
              <w:rPr>
                <w:sz w:val="20"/>
                <w:szCs w:val="20"/>
              </w:rPr>
              <w:t>582.723,27</w:t>
            </w:r>
          </w:p>
        </w:tc>
        <w:tc>
          <w:tcPr>
            <w:tcW w:w="1660" w:type="dxa"/>
            <w:tcBorders>
              <w:top w:val="nil"/>
              <w:left w:val="nil"/>
              <w:bottom w:val="nil"/>
              <w:right w:val="nil"/>
            </w:tcBorders>
            <w:shd w:val="clear" w:color="auto" w:fill="auto"/>
            <w:noWrap/>
            <w:vAlign w:val="bottom"/>
            <w:hideMark/>
          </w:tcPr>
          <w:p w14:paraId="6B78625B" w14:textId="77777777" w:rsidR="003B3769" w:rsidRDefault="003B3769">
            <w:pPr>
              <w:jc w:val="right"/>
              <w:rPr>
                <w:sz w:val="20"/>
                <w:szCs w:val="20"/>
              </w:rPr>
            </w:pPr>
            <w:r>
              <w:rPr>
                <w:sz w:val="20"/>
                <w:szCs w:val="20"/>
              </w:rPr>
              <w:t>824.375,00</w:t>
            </w:r>
          </w:p>
        </w:tc>
        <w:tc>
          <w:tcPr>
            <w:tcW w:w="1660" w:type="dxa"/>
            <w:tcBorders>
              <w:top w:val="nil"/>
              <w:left w:val="nil"/>
              <w:bottom w:val="nil"/>
              <w:right w:val="nil"/>
            </w:tcBorders>
            <w:shd w:val="clear" w:color="auto" w:fill="auto"/>
            <w:noWrap/>
            <w:vAlign w:val="bottom"/>
            <w:hideMark/>
          </w:tcPr>
          <w:p w14:paraId="046220CB" w14:textId="77777777" w:rsidR="003B3769" w:rsidRDefault="003B3769">
            <w:pPr>
              <w:jc w:val="right"/>
              <w:rPr>
                <w:sz w:val="20"/>
                <w:szCs w:val="20"/>
              </w:rPr>
            </w:pPr>
            <w:r>
              <w:rPr>
                <w:sz w:val="20"/>
                <w:szCs w:val="20"/>
              </w:rPr>
              <w:t>782.478,52</w:t>
            </w:r>
          </w:p>
        </w:tc>
        <w:tc>
          <w:tcPr>
            <w:tcW w:w="983" w:type="dxa"/>
            <w:tcBorders>
              <w:top w:val="nil"/>
              <w:left w:val="nil"/>
              <w:bottom w:val="nil"/>
              <w:right w:val="nil"/>
            </w:tcBorders>
            <w:shd w:val="clear" w:color="auto" w:fill="auto"/>
            <w:noWrap/>
            <w:vAlign w:val="bottom"/>
            <w:hideMark/>
          </w:tcPr>
          <w:p w14:paraId="4390B63B" w14:textId="77777777" w:rsidR="003B3769" w:rsidRDefault="003B3769">
            <w:pPr>
              <w:jc w:val="right"/>
              <w:rPr>
                <w:sz w:val="20"/>
                <w:szCs w:val="20"/>
              </w:rPr>
            </w:pPr>
            <w:r>
              <w:rPr>
                <w:sz w:val="20"/>
                <w:szCs w:val="20"/>
              </w:rPr>
              <w:t>134,28</w:t>
            </w:r>
          </w:p>
        </w:tc>
        <w:tc>
          <w:tcPr>
            <w:tcW w:w="983" w:type="dxa"/>
            <w:tcBorders>
              <w:top w:val="nil"/>
              <w:left w:val="nil"/>
              <w:bottom w:val="nil"/>
              <w:right w:val="nil"/>
            </w:tcBorders>
            <w:shd w:val="clear" w:color="auto" w:fill="auto"/>
            <w:noWrap/>
            <w:vAlign w:val="bottom"/>
            <w:hideMark/>
          </w:tcPr>
          <w:p w14:paraId="21ABCEE6" w14:textId="77777777" w:rsidR="003B3769" w:rsidRDefault="003B3769">
            <w:pPr>
              <w:jc w:val="right"/>
              <w:rPr>
                <w:sz w:val="20"/>
                <w:szCs w:val="20"/>
              </w:rPr>
            </w:pPr>
            <w:r>
              <w:rPr>
                <w:sz w:val="20"/>
                <w:szCs w:val="20"/>
              </w:rPr>
              <w:t>94,92</w:t>
            </w:r>
          </w:p>
        </w:tc>
      </w:tr>
      <w:tr w:rsidR="003B3769" w14:paraId="282469B3" w14:textId="77777777" w:rsidTr="00953AE7">
        <w:trPr>
          <w:trHeight w:val="300"/>
        </w:trPr>
        <w:tc>
          <w:tcPr>
            <w:tcW w:w="7268" w:type="dxa"/>
            <w:tcBorders>
              <w:top w:val="nil"/>
              <w:left w:val="nil"/>
              <w:bottom w:val="nil"/>
              <w:right w:val="nil"/>
            </w:tcBorders>
            <w:shd w:val="clear" w:color="auto" w:fill="auto"/>
            <w:noWrap/>
            <w:vAlign w:val="bottom"/>
            <w:hideMark/>
          </w:tcPr>
          <w:p w14:paraId="799AE761" w14:textId="77777777" w:rsidR="003B3769" w:rsidRDefault="003B3769">
            <w:pPr>
              <w:rPr>
                <w:sz w:val="20"/>
                <w:szCs w:val="20"/>
              </w:rPr>
            </w:pPr>
            <w:r>
              <w:rPr>
                <w:sz w:val="20"/>
                <w:szCs w:val="20"/>
              </w:rPr>
              <w:t>052 Gospodarenje otpadnim vodama</w:t>
            </w:r>
          </w:p>
        </w:tc>
        <w:tc>
          <w:tcPr>
            <w:tcW w:w="1660" w:type="dxa"/>
            <w:tcBorders>
              <w:top w:val="nil"/>
              <w:left w:val="nil"/>
              <w:bottom w:val="nil"/>
              <w:right w:val="nil"/>
            </w:tcBorders>
            <w:shd w:val="clear" w:color="auto" w:fill="auto"/>
            <w:noWrap/>
            <w:vAlign w:val="bottom"/>
            <w:hideMark/>
          </w:tcPr>
          <w:p w14:paraId="46AB66F4" w14:textId="77777777" w:rsidR="003B3769" w:rsidRDefault="003B3769">
            <w:pPr>
              <w:jc w:val="right"/>
              <w:rPr>
                <w:sz w:val="20"/>
                <w:szCs w:val="20"/>
              </w:rPr>
            </w:pPr>
            <w:r>
              <w:rPr>
                <w:sz w:val="20"/>
                <w:szCs w:val="20"/>
              </w:rPr>
              <w:t>276.352,46</w:t>
            </w:r>
          </w:p>
        </w:tc>
        <w:tc>
          <w:tcPr>
            <w:tcW w:w="1660" w:type="dxa"/>
            <w:tcBorders>
              <w:top w:val="nil"/>
              <w:left w:val="nil"/>
              <w:bottom w:val="nil"/>
              <w:right w:val="nil"/>
            </w:tcBorders>
            <w:shd w:val="clear" w:color="auto" w:fill="auto"/>
            <w:noWrap/>
            <w:vAlign w:val="bottom"/>
            <w:hideMark/>
          </w:tcPr>
          <w:p w14:paraId="38997C14" w14:textId="77777777" w:rsidR="003B3769" w:rsidRDefault="003B3769">
            <w:pPr>
              <w:jc w:val="right"/>
              <w:rPr>
                <w:sz w:val="20"/>
                <w:szCs w:val="20"/>
              </w:rPr>
            </w:pPr>
            <w:r>
              <w:rPr>
                <w:sz w:val="20"/>
                <w:szCs w:val="20"/>
              </w:rPr>
              <w:t>405.610,30</w:t>
            </w:r>
          </w:p>
        </w:tc>
        <w:tc>
          <w:tcPr>
            <w:tcW w:w="1660" w:type="dxa"/>
            <w:tcBorders>
              <w:top w:val="nil"/>
              <w:left w:val="nil"/>
              <w:bottom w:val="nil"/>
              <w:right w:val="nil"/>
            </w:tcBorders>
            <w:shd w:val="clear" w:color="auto" w:fill="auto"/>
            <w:noWrap/>
            <w:vAlign w:val="bottom"/>
            <w:hideMark/>
          </w:tcPr>
          <w:p w14:paraId="7339D225" w14:textId="77777777" w:rsidR="003B3769" w:rsidRDefault="003B3769">
            <w:pPr>
              <w:jc w:val="right"/>
              <w:rPr>
                <w:sz w:val="20"/>
                <w:szCs w:val="20"/>
              </w:rPr>
            </w:pPr>
            <w:r>
              <w:rPr>
                <w:sz w:val="20"/>
                <w:szCs w:val="20"/>
              </w:rPr>
              <w:t>395.503,45</w:t>
            </w:r>
          </w:p>
        </w:tc>
        <w:tc>
          <w:tcPr>
            <w:tcW w:w="983" w:type="dxa"/>
            <w:tcBorders>
              <w:top w:val="nil"/>
              <w:left w:val="nil"/>
              <w:bottom w:val="nil"/>
              <w:right w:val="nil"/>
            </w:tcBorders>
            <w:shd w:val="clear" w:color="auto" w:fill="auto"/>
            <w:noWrap/>
            <w:vAlign w:val="bottom"/>
            <w:hideMark/>
          </w:tcPr>
          <w:p w14:paraId="0C3FCF34" w14:textId="77777777" w:rsidR="003B3769" w:rsidRDefault="003B3769">
            <w:pPr>
              <w:jc w:val="right"/>
              <w:rPr>
                <w:sz w:val="20"/>
                <w:szCs w:val="20"/>
              </w:rPr>
            </w:pPr>
            <w:r>
              <w:rPr>
                <w:sz w:val="20"/>
                <w:szCs w:val="20"/>
              </w:rPr>
              <w:t>143,12</w:t>
            </w:r>
          </w:p>
        </w:tc>
        <w:tc>
          <w:tcPr>
            <w:tcW w:w="983" w:type="dxa"/>
            <w:tcBorders>
              <w:top w:val="nil"/>
              <w:left w:val="nil"/>
              <w:bottom w:val="nil"/>
              <w:right w:val="nil"/>
            </w:tcBorders>
            <w:shd w:val="clear" w:color="auto" w:fill="auto"/>
            <w:noWrap/>
            <w:vAlign w:val="bottom"/>
            <w:hideMark/>
          </w:tcPr>
          <w:p w14:paraId="06FCB7D0" w14:textId="77777777" w:rsidR="003B3769" w:rsidRDefault="003B3769">
            <w:pPr>
              <w:jc w:val="right"/>
              <w:rPr>
                <w:sz w:val="20"/>
                <w:szCs w:val="20"/>
              </w:rPr>
            </w:pPr>
            <w:r>
              <w:rPr>
                <w:sz w:val="20"/>
                <w:szCs w:val="20"/>
              </w:rPr>
              <w:t>97,51</w:t>
            </w:r>
          </w:p>
        </w:tc>
      </w:tr>
      <w:tr w:rsidR="003B3769" w14:paraId="4380D328" w14:textId="77777777" w:rsidTr="00953AE7">
        <w:trPr>
          <w:trHeight w:val="300"/>
        </w:trPr>
        <w:tc>
          <w:tcPr>
            <w:tcW w:w="7268" w:type="dxa"/>
            <w:tcBorders>
              <w:top w:val="nil"/>
              <w:left w:val="nil"/>
              <w:bottom w:val="nil"/>
              <w:right w:val="nil"/>
            </w:tcBorders>
            <w:shd w:val="clear" w:color="auto" w:fill="auto"/>
            <w:noWrap/>
            <w:vAlign w:val="bottom"/>
            <w:hideMark/>
          </w:tcPr>
          <w:p w14:paraId="17F7C847" w14:textId="77777777" w:rsidR="003B3769" w:rsidRDefault="003B3769">
            <w:pPr>
              <w:rPr>
                <w:sz w:val="20"/>
                <w:szCs w:val="20"/>
              </w:rPr>
            </w:pPr>
            <w:r>
              <w:rPr>
                <w:sz w:val="20"/>
                <w:szCs w:val="20"/>
              </w:rPr>
              <w:t>054 Zaštita bioraznolikosti i krajolika</w:t>
            </w:r>
          </w:p>
        </w:tc>
        <w:tc>
          <w:tcPr>
            <w:tcW w:w="1660" w:type="dxa"/>
            <w:tcBorders>
              <w:top w:val="nil"/>
              <w:left w:val="nil"/>
              <w:bottom w:val="nil"/>
              <w:right w:val="nil"/>
            </w:tcBorders>
            <w:shd w:val="clear" w:color="auto" w:fill="auto"/>
            <w:noWrap/>
            <w:vAlign w:val="bottom"/>
            <w:hideMark/>
          </w:tcPr>
          <w:p w14:paraId="17CB13E0" w14:textId="77777777" w:rsidR="003B3769" w:rsidRDefault="003B3769">
            <w:pPr>
              <w:jc w:val="right"/>
              <w:rPr>
                <w:sz w:val="20"/>
                <w:szCs w:val="20"/>
              </w:rPr>
            </w:pPr>
            <w:r>
              <w:rPr>
                <w:sz w:val="20"/>
                <w:szCs w:val="20"/>
              </w:rPr>
              <w:t>342.612,50</w:t>
            </w:r>
          </w:p>
        </w:tc>
        <w:tc>
          <w:tcPr>
            <w:tcW w:w="1660" w:type="dxa"/>
            <w:tcBorders>
              <w:top w:val="nil"/>
              <w:left w:val="nil"/>
              <w:bottom w:val="nil"/>
              <w:right w:val="nil"/>
            </w:tcBorders>
            <w:shd w:val="clear" w:color="auto" w:fill="auto"/>
            <w:noWrap/>
            <w:vAlign w:val="bottom"/>
            <w:hideMark/>
          </w:tcPr>
          <w:p w14:paraId="64C6482C" w14:textId="77777777" w:rsidR="003B3769" w:rsidRDefault="003B3769">
            <w:pPr>
              <w:jc w:val="right"/>
              <w:rPr>
                <w:sz w:val="20"/>
                <w:szCs w:val="20"/>
              </w:rPr>
            </w:pPr>
            <w:r>
              <w:rPr>
                <w:sz w:val="20"/>
                <w:szCs w:val="20"/>
              </w:rPr>
              <w:t>430.000,00</w:t>
            </w:r>
          </w:p>
        </w:tc>
        <w:tc>
          <w:tcPr>
            <w:tcW w:w="1660" w:type="dxa"/>
            <w:tcBorders>
              <w:top w:val="nil"/>
              <w:left w:val="nil"/>
              <w:bottom w:val="nil"/>
              <w:right w:val="nil"/>
            </w:tcBorders>
            <w:shd w:val="clear" w:color="auto" w:fill="auto"/>
            <w:noWrap/>
            <w:vAlign w:val="bottom"/>
            <w:hideMark/>
          </w:tcPr>
          <w:p w14:paraId="25CBAAFC" w14:textId="77777777" w:rsidR="003B3769" w:rsidRDefault="003B3769">
            <w:pPr>
              <w:jc w:val="right"/>
              <w:rPr>
                <w:sz w:val="20"/>
                <w:szCs w:val="20"/>
              </w:rPr>
            </w:pPr>
            <w:r>
              <w:rPr>
                <w:sz w:val="20"/>
                <w:szCs w:val="20"/>
              </w:rPr>
              <w:t>421.500,00</w:t>
            </w:r>
          </w:p>
        </w:tc>
        <w:tc>
          <w:tcPr>
            <w:tcW w:w="983" w:type="dxa"/>
            <w:tcBorders>
              <w:top w:val="nil"/>
              <w:left w:val="nil"/>
              <w:bottom w:val="nil"/>
              <w:right w:val="nil"/>
            </w:tcBorders>
            <w:shd w:val="clear" w:color="auto" w:fill="auto"/>
            <w:noWrap/>
            <w:vAlign w:val="bottom"/>
            <w:hideMark/>
          </w:tcPr>
          <w:p w14:paraId="116B47B6" w14:textId="77777777" w:rsidR="003B3769" w:rsidRDefault="003B3769">
            <w:pPr>
              <w:jc w:val="right"/>
              <w:rPr>
                <w:sz w:val="20"/>
                <w:szCs w:val="20"/>
              </w:rPr>
            </w:pPr>
            <w:r>
              <w:rPr>
                <w:sz w:val="20"/>
                <w:szCs w:val="20"/>
              </w:rPr>
              <w:t>123,03</w:t>
            </w:r>
          </w:p>
        </w:tc>
        <w:tc>
          <w:tcPr>
            <w:tcW w:w="983" w:type="dxa"/>
            <w:tcBorders>
              <w:top w:val="nil"/>
              <w:left w:val="nil"/>
              <w:bottom w:val="nil"/>
              <w:right w:val="nil"/>
            </w:tcBorders>
            <w:shd w:val="clear" w:color="auto" w:fill="auto"/>
            <w:noWrap/>
            <w:vAlign w:val="bottom"/>
            <w:hideMark/>
          </w:tcPr>
          <w:p w14:paraId="5BAAD381" w14:textId="77777777" w:rsidR="003B3769" w:rsidRDefault="003B3769">
            <w:pPr>
              <w:jc w:val="right"/>
              <w:rPr>
                <w:sz w:val="20"/>
                <w:szCs w:val="20"/>
              </w:rPr>
            </w:pPr>
            <w:r>
              <w:rPr>
                <w:sz w:val="20"/>
                <w:szCs w:val="20"/>
              </w:rPr>
              <w:t>98,02</w:t>
            </w:r>
          </w:p>
        </w:tc>
      </w:tr>
      <w:tr w:rsidR="003B3769" w14:paraId="49A5B3AD" w14:textId="77777777" w:rsidTr="00953AE7">
        <w:trPr>
          <w:trHeight w:val="300"/>
        </w:trPr>
        <w:tc>
          <w:tcPr>
            <w:tcW w:w="7268" w:type="dxa"/>
            <w:tcBorders>
              <w:top w:val="nil"/>
              <w:left w:val="nil"/>
              <w:bottom w:val="nil"/>
              <w:right w:val="nil"/>
            </w:tcBorders>
            <w:shd w:val="clear" w:color="auto" w:fill="auto"/>
            <w:noWrap/>
            <w:vAlign w:val="bottom"/>
            <w:hideMark/>
          </w:tcPr>
          <w:p w14:paraId="40317076" w14:textId="77777777" w:rsidR="003B3769" w:rsidRDefault="003B3769">
            <w:pPr>
              <w:rPr>
                <w:sz w:val="20"/>
                <w:szCs w:val="20"/>
              </w:rPr>
            </w:pPr>
            <w:r>
              <w:rPr>
                <w:sz w:val="20"/>
                <w:szCs w:val="20"/>
              </w:rPr>
              <w:t>056 Poslovi i usluge zaštite okoliša koji nisu drugdje svrstani</w:t>
            </w:r>
          </w:p>
        </w:tc>
        <w:tc>
          <w:tcPr>
            <w:tcW w:w="1660" w:type="dxa"/>
            <w:tcBorders>
              <w:top w:val="nil"/>
              <w:left w:val="nil"/>
              <w:bottom w:val="nil"/>
              <w:right w:val="nil"/>
            </w:tcBorders>
            <w:shd w:val="clear" w:color="auto" w:fill="auto"/>
            <w:noWrap/>
            <w:vAlign w:val="bottom"/>
            <w:hideMark/>
          </w:tcPr>
          <w:p w14:paraId="43B42AEB" w14:textId="77777777" w:rsidR="003B3769" w:rsidRDefault="003B3769">
            <w:pPr>
              <w:jc w:val="right"/>
              <w:rPr>
                <w:sz w:val="20"/>
                <w:szCs w:val="20"/>
              </w:rPr>
            </w:pPr>
            <w:r>
              <w:rPr>
                <w:sz w:val="20"/>
                <w:szCs w:val="20"/>
              </w:rPr>
              <w:t>169.248,79</w:t>
            </w:r>
          </w:p>
        </w:tc>
        <w:tc>
          <w:tcPr>
            <w:tcW w:w="1660" w:type="dxa"/>
            <w:tcBorders>
              <w:top w:val="nil"/>
              <w:left w:val="nil"/>
              <w:bottom w:val="nil"/>
              <w:right w:val="nil"/>
            </w:tcBorders>
            <w:shd w:val="clear" w:color="auto" w:fill="auto"/>
            <w:noWrap/>
            <w:vAlign w:val="bottom"/>
            <w:hideMark/>
          </w:tcPr>
          <w:p w14:paraId="71DF6138" w14:textId="77777777" w:rsidR="003B3769" w:rsidRDefault="003B3769">
            <w:pPr>
              <w:jc w:val="right"/>
              <w:rPr>
                <w:sz w:val="20"/>
                <w:szCs w:val="20"/>
              </w:rPr>
            </w:pPr>
            <w:r>
              <w:rPr>
                <w:sz w:val="20"/>
                <w:szCs w:val="20"/>
              </w:rPr>
              <w:t>225.000,00</w:t>
            </w:r>
          </w:p>
        </w:tc>
        <w:tc>
          <w:tcPr>
            <w:tcW w:w="1660" w:type="dxa"/>
            <w:tcBorders>
              <w:top w:val="nil"/>
              <w:left w:val="nil"/>
              <w:bottom w:val="nil"/>
              <w:right w:val="nil"/>
            </w:tcBorders>
            <w:shd w:val="clear" w:color="auto" w:fill="auto"/>
            <w:noWrap/>
            <w:vAlign w:val="bottom"/>
            <w:hideMark/>
          </w:tcPr>
          <w:p w14:paraId="21A1981B" w14:textId="77777777" w:rsidR="003B3769" w:rsidRDefault="003B3769">
            <w:pPr>
              <w:jc w:val="right"/>
              <w:rPr>
                <w:sz w:val="20"/>
                <w:szCs w:val="20"/>
              </w:rPr>
            </w:pPr>
            <w:r>
              <w:rPr>
                <w:sz w:val="20"/>
                <w:szCs w:val="20"/>
              </w:rPr>
              <w:t>228.089,69</w:t>
            </w:r>
          </w:p>
        </w:tc>
        <w:tc>
          <w:tcPr>
            <w:tcW w:w="983" w:type="dxa"/>
            <w:tcBorders>
              <w:top w:val="nil"/>
              <w:left w:val="nil"/>
              <w:bottom w:val="nil"/>
              <w:right w:val="nil"/>
            </w:tcBorders>
            <w:shd w:val="clear" w:color="auto" w:fill="auto"/>
            <w:noWrap/>
            <w:vAlign w:val="bottom"/>
            <w:hideMark/>
          </w:tcPr>
          <w:p w14:paraId="4F5519E7" w14:textId="77777777" w:rsidR="003B3769" w:rsidRDefault="003B3769">
            <w:pPr>
              <w:jc w:val="right"/>
              <w:rPr>
                <w:sz w:val="20"/>
                <w:szCs w:val="20"/>
              </w:rPr>
            </w:pPr>
            <w:r>
              <w:rPr>
                <w:sz w:val="20"/>
                <w:szCs w:val="20"/>
              </w:rPr>
              <w:t>134,77</w:t>
            </w:r>
          </w:p>
        </w:tc>
        <w:tc>
          <w:tcPr>
            <w:tcW w:w="983" w:type="dxa"/>
            <w:tcBorders>
              <w:top w:val="nil"/>
              <w:left w:val="nil"/>
              <w:bottom w:val="nil"/>
              <w:right w:val="nil"/>
            </w:tcBorders>
            <w:shd w:val="clear" w:color="auto" w:fill="auto"/>
            <w:noWrap/>
            <w:vAlign w:val="bottom"/>
            <w:hideMark/>
          </w:tcPr>
          <w:p w14:paraId="0ECF8172" w14:textId="77777777" w:rsidR="003B3769" w:rsidRDefault="003B3769">
            <w:pPr>
              <w:jc w:val="right"/>
              <w:rPr>
                <w:sz w:val="20"/>
                <w:szCs w:val="20"/>
              </w:rPr>
            </w:pPr>
            <w:r>
              <w:rPr>
                <w:sz w:val="20"/>
                <w:szCs w:val="20"/>
              </w:rPr>
              <w:t>101,37</w:t>
            </w:r>
          </w:p>
        </w:tc>
      </w:tr>
      <w:tr w:rsidR="003B3769" w14:paraId="6430006C" w14:textId="77777777" w:rsidTr="00953AE7">
        <w:trPr>
          <w:trHeight w:val="300"/>
        </w:trPr>
        <w:tc>
          <w:tcPr>
            <w:tcW w:w="7268" w:type="dxa"/>
            <w:tcBorders>
              <w:top w:val="nil"/>
              <w:left w:val="nil"/>
              <w:bottom w:val="nil"/>
              <w:right w:val="nil"/>
            </w:tcBorders>
            <w:shd w:val="clear" w:color="auto" w:fill="auto"/>
            <w:noWrap/>
            <w:vAlign w:val="bottom"/>
            <w:hideMark/>
          </w:tcPr>
          <w:p w14:paraId="74EAD5B3" w14:textId="77777777" w:rsidR="003B3769" w:rsidRDefault="003B3769">
            <w:pPr>
              <w:rPr>
                <w:b/>
                <w:bCs/>
                <w:sz w:val="20"/>
                <w:szCs w:val="20"/>
              </w:rPr>
            </w:pPr>
            <w:r>
              <w:rPr>
                <w:b/>
                <w:bCs/>
                <w:sz w:val="20"/>
                <w:szCs w:val="20"/>
              </w:rPr>
              <w:t>06 Usluge unapređenja stanovanja i zajednice</w:t>
            </w:r>
          </w:p>
        </w:tc>
        <w:tc>
          <w:tcPr>
            <w:tcW w:w="1660" w:type="dxa"/>
            <w:tcBorders>
              <w:top w:val="nil"/>
              <w:left w:val="nil"/>
              <w:bottom w:val="nil"/>
              <w:right w:val="nil"/>
            </w:tcBorders>
            <w:shd w:val="clear" w:color="auto" w:fill="auto"/>
            <w:noWrap/>
            <w:vAlign w:val="bottom"/>
            <w:hideMark/>
          </w:tcPr>
          <w:p w14:paraId="70153CC5" w14:textId="77777777" w:rsidR="003B3769" w:rsidRDefault="003B3769">
            <w:pPr>
              <w:jc w:val="right"/>
              <w:rPr>
                <w:b/>
                <w:bCs/>
                <w:sz w:val="20"/>
                <w:szCs w:val="20"/>
              </w:rPr>
            </w:pPr>
            <w:r>
              <w:rPr>
                <w:b/>
                <w:bCs/>
                <w:sz w:val="20"/>
                <w:szCs w:val="20"/>
              </w:rPr>
              <w:t>6.417.626,67</w:t>
            </w:r>
          </w:p>
        </w:tc>
        <w:tc>
          <w:tcPr>
            <w:tcW w:w="1660" w:type="dxa"/>
            <w:tcBorders>
              <w:top w:val="nil"/>
              <w:left w:val="nil"/>
              <w:bottom w:val="nil"/>
              <w:right w:val="nil"/>
            </w:tcBorders>
            <w:shd w:val="clear" w:color="auto" w:fill="auto"/>
            <w:noWrap/>
            <w:vAlign w:val="bottom"/>
            <w:hideMark/>
          </w:tcPr>
          <w:p w14:paraId="79C93E6F" w14:textId="77777777" w:rsidR="003B3769" w:rsidRDefault="003B3769">
            <w:pPr>
              <w:jc w:val="right"/>
              <w:rPr>
                <w:b/>
                <w:bCs/>
                <w:sz w:val="20"/>
                <w:szCs w:val="20"/>
              </w:rPr>
            </w:pPr>
            <w:r>
              <w:rPr>
                <w:b/>
                <w:bCs/>
                <w:sz w:val="20"/>
                <w:szCs w:val="20"/>
              </w:rPr>
              <w:t>6.012.892,04</w:t>
            </w:r>
          </w:p>
        </w:tc>
        <w:tc>
          <w:tcPr>
            <w:tcW w:w="1660" w:type="dxa"/>
            <w:tcBorders>
              <w:top w:val="nil"/>
              <w:left w:val="nil"/>
              <w:bottom w:val="nil"/>
              <w:right w:val="nil"/>
            </w:tcBorders>
            <w:shd w:val="clear" w:color="auto" w:fill="auto"/>
            <w:noWrap/>
            <w:vAlign w:val="bottom"/>
            <w:hideMark/>
          </w:tcPr>
          <w:p w14:paraId="386D25AE" w14:textId="77777777" w:rsidR="003B3769" w:rsidRDefault="003B3769">
            <w:pPr>
              <w:jc w:val="right"/>
              <w:rPr>
                <w:b/>
                <w:bCs/>
                <w:sz w:val="20"/>
                <w:szCs w:val="20"/>
              </w:rPr>
            </w:pPr>
            <w:r>
              <w:rPr>
                <w:b/>
                <w:bCs/>
                <w:sz w:val="20"/>
                <w:szCs w:val="20"/>
              </w:rPr>
              <w:t>5.266.530,80</w:t>
            </w:r>
          </w:p>
        </w:tc>
        <w:tc>
          <w:tcPr>
            <w:tcW w:w="983" w:type="dxa"/>
            <w:tcBorders>
              <w:top w:val="nil"/>
              <w:left w:val="nil"/>
              <w:bottom w:val="nil"/>
              <w:right w:val="nil"/>
            </w:tcBorders>
            <w:shd w:val="clear" w:color="auto" w:fill="auto"/>
            <w:noWrap/>
            <w:vAlign w:val="bottom"/>
            <w:hideMark/>
          </w:tcPr>
          <w:p w14:paraId="4E4B59B4" w14:textId="77777777" w:rsidR="003B3769" w:rsidRDefault="003B3769">
            <w:pPr>
              <w:jc w:val="right"/>
              <w:rPr>
                <w:b/>
                <w:bCs/>
                <w:sz w:val="20"/>
                <w:szCs w:val="20"/>
              </w:rPr>
            </w:pPr>
            <w:r>
              <w:rPr>
                <w:b/>
                <w:bCs/>
                <w:sz w:val="20"/>
                <w:szCs w:val="20"/>
              </w:rPr>
              <w:t>82,06</w:t>
            </w:r>
          </w:p>
        </w:tc>
        <w:tc>
          <w:tcPr>
            <w:tcW w:w="983" w:type="dxa"/>
            <w:tcBorders>
              <w:top w:val="nil"/>
              <w:left w:val="nil"/>
              <w:bottom w:val="nil"/>
              <w:right w:val="nil"/>
            </w:tcBorders>
            <w:shd w:val="clear" w:color="auto" w:fill="auto"/>
            <w:noWrap/>
            <w:vAlign w:val="bottom"/>
            <w:hideMark/>
          </w:tcPr>
          <w:p w14:paraId="3BBD31E5" w14:textId="77777777" w:rsidR="003B3769" w:rsidRDefault="003B3769">
            <w:pPr>
              <w:jc w:val="right"/>
              <w:rPr>
                <w:b/>
                <w:bCs/>
                <w:sz w:val="20"/>
                <w:szCs w:val="20"/>
              </w:rPr>
            </w:pPr>
            <w:r>
              <w:rPr>
                <w:b/>
                <w:bCs/>
                <w:sz w:val="20"/>
                <w:szCs w:val="20"/>
              </w:rPr>
              <w:t>87,59</w:t>
            </w:r>
          </w:p>
        </w:tc>
      </w:tr>
      <w:tr w:rsidR="003B3769" w14:paraId="0245A574" w14:textId="77777777" w:rsidTr="00953AE7">
        <w:trPr>
          <w:trHeight w:val="300"/>
        </w:trPr>
        <w:tc>
          <w:tcPr>
            <w:tcW w:w="7268" w:type="dxa"/>
            <w:tcBorders>
              <w:top w:val="nil"/>
              <w:left w:val="nil"/>
              <w:bottom w:val="nil"/>
              <w:right w:val="nil"/>
            </w:tcBorders>
            <w:shd w:val="clear" w:color="auto" w:fill="auto"/>
            <w:noWrap/>
            <w:vAlign w:val="bottom"/>
            <w:hideMark/>
          </w:tcPr>
          <w:p w14:paraId="208D0E19" w14:textId="77777777" w:rsidR="003B3769" w:rsidRDefault="003B3769">
            <w:pPr>
              <w:rPr>
                <w:sz w:val="20"/>
                <w:szCs w:val="20"/>
              </w:rPr>
            </w:pPr>
            <w:r>
              <w:rPr>
                <w:sz w:val="20"/>
                <w:szCs w:val="20"/>
              </w:rPr>
              <w:t>061 Razvoj stanovanja</w:t>
            </w:r>
          </w:p>
        </w:tc>
        <w:tc>
          <w:tcPr>
            <w:tcW w:w="1660" w:type="dxa"/>
            <w:tcBorders>
              <w:top w:val="nil"/>
              <w:left w:val="nil"/>
              <w:bottom w:val="nil"/>
              <w:right w:val="nil"/>
            </w:tcBorders>
            <w:shd w:val="clear" w:color="auto" w:fill="auto"/>
            <w:noWrap/>
            <w:vAlign w:val="bottom"/>
            <w:hideMark/>
          </w:tcPr>
          <w:p w14:paraId="5E6286E8" w14:textId="77777777" w:rsidR="003B3769" w:rsidRDefault="003B3769">
            <w:pPr>
              <w:jc w:val="right"/>
              <w:rPr>
                <w:sz w:val="20"/>
                <w:szCs w:val="20"/>
              </w:rPr>
            </w:pPr>
            <w:r>
              <w:rPr>
                <w:sz w:val="20"/>
                <w:szCs w:val="20"/>
              </w:rPr>
              <w:t>876.602,61</w:t>
            </w:r>
          </w:p>
        </w:tc>
        <w:tc>
          <w:tcPr>
            <w:tcW w:w="1660" w:type="dxa"/>
            <w:tcBorders>
              <w:top w:val="nil"/>
              <w:left w:val="nil"/>
              <w:bottom w:val="nil"/>
              <w:right w:val="nil"/>
            </w:tcBorders>
            <w:shd w:val="clear" w:color="auto" w:fill="auto"/>
            <w:noWrap/>
            <w:vAlign w:val="bottom"/>
            <w:hideMark/>
          </w:tcPr>
          <w:p w14:paraId="04DE6A78" w14:textId="77777777" w:rsidR="003B3769" w:rsidRDefault="003B3769">
            <w:pPr>
              <w:jc w:val="right"/>
              <w:rPr>
                <w:sz w:val="20"/>
                <w:szCs w:val="20"/>
              </w:rPr>
            </w:pPr>
            <w:r>
              <w:rPr>
                <w:sz w:val="20"/>
                <w:szCs w:val="20"/>
              </w:rPr>
              <w:t>562.213,16</w:t>
            </w:r>
          </w:p>
        </w:tc>
        <w:tc>
          <w:tcPr>
            <w:tcW w:w="1660" w:type="dxa"/>
            <w:tcBorders>
              <w:top w:val="nil"/>
              <w:left w:val="nil"/>
              <w:bottom w:val="nil"/>
              <w:right w:val="nil"/>
            </w:tcBorders>
            <w:shd w:val="clear" w:color="auto" w:fill="auto"/>
            <w:noWrap/>
            <w:vAlign w:val="bottom"/>
            <w:hideMark/>
          </w:tcPr>
          <w:p w14:paraId="63A73E8E" w14:textId="77777777" w:rsidR="003B3769" w:rsidRDefault="003B3769">
            <w:pPr>
              <w:jc w:val="right"/>
              <w:rPr>
                <w:sz w:val="20"/>
                <w:szCs w:val="20"/>
              </w:rPr>
            </w:pPr>
            <w:r>
              <w:rPr>
                <w:sz w:val="20"/>
                <w:szCs w:val="20"/>
              </w:rPr>
              <w:t>379.816,78</w:t>
            </w:r>
          </w:p>
        </w:tc>
        <w:tc>
          <w:tcPr>
            <w:tcW w:w="983" w:type="dxa"/>
            <w:tcBorders>
              <w:top w:val="nil"/>
              <w:left w:val="nil"/>
              <w:bottom w:val="nil"/>
              <w:right w:val="nil"/>
            </w:tcBorders>
            <w:shd w:val="clear" w:color="auto" w:fill="auto"/>
            <w:noWrap/>
            <w:vAlign w:val="bottom"/>
            <w:hideMark/>
          </w:tcPr>
          <w:p w14:paraId="2217B9EF" w14:textId="77777777" w:rsidR="003B3769" w:rsidRDefault="003B3769">
            <w:pPr>
              <w:jc w:val="right"/>
              <w:rPr>
                <w:sz w:val="20"/>
                <w:szCs w:val="20"/>
              </w:rPr>
            </w:pPr>
            <w:r>
              <w:rPr>
                <w:sz w:val="20"/>
                <w:szCs w:val="20"/>
              </w:rPr>
              <w:t>43,33</w:t>
            </w:r>
          </w:p>
        </w:tc>
        <w:tc>
          <w:tcPr>
            <w:tcW w:w="983" w:type="dxa"/>
            <w:tcBorders>
              <w:top w:val="nil"/>
              <w:left w:val="nil"/>
              <w:bottom w:val="nil"/>
              <w:right w:val="nil"/>
            </w:tcBorders>
            <w:shd w:val="clear" w:color="auto" w:fill="auto"/>
            <w:noWrap/>
            <w:vAlign w:val="bottom"/>
            <w:hideMark/>
          </w:tcPr>
          <w:p w14:paraId="0344D254" w14:textId="77777777" w:rsidR="003B3769" w:rsidRDefault="003B3769">
            <w:pPr>
              <w:jc w:val="right"/>
              <w:rPr>
                <w:sz w:val="20"/>
                <w:szCs w:val="20"/>
              </w:rPr>
            </w:pPr>
            <w:r>
              <w:rPr>
                <w:sz w:val="20"/>
                <w:szCs w:val="20"/>
              </w:rPr>
              <w:t>67,56</w:t>
            </w:r>
          </w:p>
        </w:tc>
      </w:tr>
      <w:tr w:rsidR="003B3769" w14:paraId="6D72C60A" w14:textId="77777777" w:rsidTr="00953AE7">
        <w:trPr>
          <w:trHeight w:val="300"/>
        </w:trPr>
        <w:tc>
          <w:tcPr>
            <w:tcW w:w="7268" w:type="dxa"/>
            <w:tcBorders>
              <w:top w:val="nil"/>
              <w:left w:val="nil"/>
              <w:bottom w:val="nil"/>
              <w:right w:val="nil"/>
            </w:tcBorders>
            <w:shd w:val="clear" w:color="auto" w:fill="auto"/>
            <w:noWrap/>
            <w:vAlign w:val="bottom"/>
            <w:hideMark/>
          </w:tcPr>
          <w:p w14:paraId="44E90AD1" w14:textId="77777777" w:rsidR="003B3769" w:rsidRDefault="003B3769">
            <w:pPr>
              <w:rPr>
                <w:sz w:val="20"/>
                <w:szCs w:val="20"/>
              </w:rPr>
            </w:pPr>
            <w:r>
              <w:rPr>
                <w:sz w:val="20"/>
                <w:szCs w:val="20"/>
              </w:rPr>
              <w:t>062 Razvoj zajednice</w:t>
            </w:r>
          </w:p>
        </w:tc>
        <w:tc>
          <w:tcPr>
            <w:tcW w:w="1660" w:type="dxa"/>
            <w:tcBorders>
              <w:top w:val="nil"/>
              <w:left w:val="nil"/>
              <w:bottom w:val="nil"/>
              <w:right w:val="nil"/>
            </w:tcBorders>
            <w:shd w:val="clear" w:color="auto" w:fill="auto"/>
            <w:noWrap/>
            <w:vAlign w:val="bottom"/>
            <w:hideMark/>
          </w:tcPr>
          <w:p w14:paraId="3B50BCD4" w14:textId="77777777" w:rsidR="003B3769" w:rsidRDefault="003B3769">
            <w:pPr>
              <w:jc w:val="right"/>
              <w:rPr>
                <w:sz w:val="20"/>
                <w:szCs w:val="20"/>
              </w:rPr>
            </w:pPr>
            <w:r>
              <w:rPr>
                <w:sz w:val="20"/>
                <w:szCs w:val="20"/>
              </w:rPr>
              <w:t>1.271.043,75</w:t>
            </w:r>
          </w:p>
        </w:tc>
        <w:tc>
          <w:tcPr>
            <w:tcW w:w="1660" w:type="dxa"/>
            <w:tcBorders>
              <w:top w:val="nil"/>
              <w:left w:val="nil"/>
              <w:bottom w:val="nil"/>
              <w:right w:val="nil"/>
            </w:tcBorders>
            <w:shd w:val="clear" w:color="auto" w:fill="auto"/>
            <w:noWrap/>
            <w:vAlign w:val="bottom"/>
            <w:hideMark/>
          </w:tcPr>
          <w:p w14:paraId="2368D919" w14:textId="77777777" w:rsidR="003B3769" w:rsidRDefault="003B3769">
            <w:pPr>
              <w:jc w:val="right"/>
              <w:rPr>
                <w:sz w:val="20"/>
                <w:szCs w:val="20"/>
              </w:rPr>
            </w:pPr>
            <w:r>
              <w:rPr>
                <w:sz w:val="20"/>
                <w:szCs w:val="20"/>
              </w:rPr>
              <w:t>1.500.938,61</w:t>
            </w:r>
          </w:p>
        </w:tc>
        <w:tc>
          <w:tcPr>
            <w:tcW w:w="1660" w:type="dxa"/>
            <w:tcBorders>
              <w:top w:val="nil"/>
              <w:left w:val="nil"/>
              <w:bottom w:val="nil"/>
              <w:right w:val="nil"/>
            </w:tcBorders>
            <w:shd w:val="clear" w:color="auto" w:fill="auto"/>
            <w:noWrap/>
            <w:vAlign w:val="bottom"/>
            <w:hideMark/>
          </w:tcPr>
          <w:p w14:paraId="085D63E2" w14:textId="77777777" w:rsidR="003B3769" w:rsidRDefault="003B3769">
            <w:pPr>
              <w:jc w:val="right"/>
              <w:rPr>
                <w:sz w:val="20"/>
                <w:szCs w:val="20"/>
              </w:rPr>
            </w:pPr>
            <w:r>
              <w:rPr>
                <w:sz w:val="20"/>
                <w:szCs w:val="20"/>
              </w:rPr>
              <w:t>1.369.139,11</w:t>
            </w:r>
          </w:p>
        </w:tc>
        <w:tc>
          <w:tcPr>
            <w:tcW w:w="983" w:type="dxa"/>
            <w:tcBorders>
              <w:top w:val="nil"/>
              <w:left w:val="nil"/>
              <w:bottom w:val="nil"/>
              <w:right w:val="nil"/>
            </w:tcBorders>
            <w:shd w:val="clear" w:color="auto" w:fill="auto"/>
            <w:noWrap/>
            <w:vAlign w:val="bottom"/>
            <w:hideMark/>
          </w:tcPr>
          <w:p w14:paraId="01CD99BD" w14:textId="77777777" w:rsidR="003B3769" w:rsidRDefault="003B3769">
            <w:pPr>
              <w:jc w:val="right"/>
              <w:rPr>
                <w:sz w:val="20"/>
                <w:szCs w:val="20"/>
              </w:rPr>
            </w:pPr>
            <w:r>
              <w:rPr>
                <w:sz w:val="20"/>
                <w:szCs w:val="20"/>
              </w:rPr>
              <w:t>107,72</w:t>
            </w:r>
          </w:p>
        </w:tc>
        <w:tc>
          <w:tcPr>
            <w:tcW w:w="983" w:type="dxa"/>
            <w:tcBorders>
              <w:top w:val="nil"/>
              <w:left w:val="nil"/>
              <w:bottom w:val="nil"/>
              <w:right w:val="nil"/>
            </w:tcBorders>
            <w:shd w:val="clear" w:color="auto" w:fill="auto"/>
            <w:noWrap/>
            <w:vAlign w:val="bottom"/>
            <w:hideMark/>
          </w:tcPr>
          <w:p w14:paraId="478FA9D2" w14:textId="77777777" w:rsidR="003B3769" w:rsidRDefault="003B3769">
            <w:pPr>
              <w:jc w:val="right"/>
              <w:rPr>
                <w:sz w:val="20"/>
                <w:szCs w:val="20"/>
              </w:rPr>
            </w:pPr>
            <w:r>
              <w:rPr>
                <w:sz w:val="20"/>
                <w:szCs w:val="20"/>
              </w:rPr>
              <w:t>91,22</w:t>
            </w:r>
          </w:p>
        </w:tc>
      </w:tr>
      <w:tr w:rsidR="003B3769" w14:paraId="0E06DDA4" w14:textId="77777777" w:rsidTr="00953AE7">
        <w:trPr>
          <w:trHeight w:val="300"/>
        </w:trPr>
        <w:tc>
          <w:tcPr>
            <w:tcW w:w="7268" w:type="dxa"/>
            <w:tcBorders>
              <w:top w:val="nil"/>
              <w:left w:val="nil"/>
              <w:bottom w:val="nil"/>
              <w:right w:val="nil"/>
            </w:tcBorders>
            <w:shd w:val="clear" w:color="auto" w:fill="auto"/>
            <w:noWrap/>
            <w:vAlign w:val="bottom"/>
            <w:hideMark/>
          </w:tcPr>
          <w:p w14:paraId="67245BED" w14:textId="77777777" w:rsidR="003B3769" w:rsidRDefault="003B3769">
            <w:pPr>
              <w:rPr>
                <w:sz w:val="20"/>
                <w:szCs w:val="20"/>
              </w:rPr>
            </w:pPr>
            <w:r>
              <w:rPr>
                <w:sz w:val="20"/>
                <w:szCs w:val="20"/>
              </w:rPr>
              <w:t>063 Opskrba vodom</w:t>
            </w:r>
          </w:p>
        </w:tc>
        <w:tc>
          <w:tcPr>
            <w:tcW w:w="1660" w:type="dxa"/>
            <w:tcBorders>
              <w:top w:val="nil"/>
              <w:left w:val="nil"/>
              <w:bottom w:val="nil"/>
              <w:right w:val="nil"/>
            </w:tcBorders>
            <w:shd w:val="clear" w:color="auto" w:fill="auto"/>
            <w:noWrap/>
            <w:vAlign w:val="bottom"/>
            <w:hideMark/>
          </w:tcPr>
          <w:p w14:paraId="78E77B52" w14:textId="77777777" w:rsidR="003B3769" w:rsidRDefault="003B3769">
            <w:pPr>
              <w:jc w:val="right"/>
              <w:rPr>
                <w:sz w:val="20"/>
                <w:szCs w:val="20"/>
              </w:rPr>
            </w:pPr>
            <w:r>
              <w:rPr>
                <w:sz w:val="20"/>
                <w:szCs w:val="20"/>
              </w:rPr>
              <w:t>0,00</w:t>
            </w:r>
          </w:p>
        </w:tc>
        <w:tc>
          <w:tcPr>
            <w:tcW w:w="1660" w:type="dxa"/>
            <w:tcBorders>
              <w:top w:val="nil"/>
              <w:left w:val="nil"/>
              <w:bottom w:val="nil"/>
              <w:right w:val="nil"/>
            </w:tcBorders>
            <w:shd w:val="clear" w:color="auto" w:fill="auto"/>
            <w:noWrap/>
            <w:vAlign w:val="bottom"/>
            <w:hideMark/>
          </w:tcPr>
          <w:p w14:paraId="6372EC07" w14:textId="77777777" w:rsidR="003B3769" w:rsidRDefault="003B3769">
            <w:pPr>
              <w:jc w:val="right"/>
              <w:rPr>
                <w:sz w:val="20"/>
                <w:szCs w:val="20"/>
              </w:rPr>
            </w:pPr>
            <w:r>
              <w:rPr>
                <w:sz w:val="20"/>
                <w:szCs w:val="20"/>
              </w:rPr>
              <w:t>148.000,00</w:t>
            </w:r>
          </w:p>
        </w:tc>
        <w:tc>
          <w:tcPr>
            <w:tcW w:w="1660" w:type="dxa"/>
            <w:tcBorders>
              <w:top w:val="nil"/>
              <w:left w:val="nil"/>
              <w:bottom w:val="nil"/>
              <w:right w:val="nil"/>
            </w:tcBorders>
            <w:shd w:val="clear" w:color="auto" w:fill="auto"/>
            <w:noWrap/>
            <w:vAlign w:val="bottom"/>
            <w:hideMark/>
          </w:tcPr>
          <w:p w14:paraId="4AD5B078" w14:textId="77777777" w:rsidR="003B3769" w:rsidRDefault="003B3769">
            <w:pPr>
              <w:jc w:val="right"/>
              <w:rPr>
                <w:sz w:val="20"/>
                <w:szCs w:val="20"/>
              </w:rPr>
            </w:pPr>
            <w:r>
              <w:rPr>
                <w:sz w:val="20"/>
                <w:szCs w:val="20"/>
              </w:rPr>
              <w:t>147.716,25</w:t>
            </w:r>
          </w:p>
        </w:tc>
        <w:tc>
          <w:tcPr>
            <w:tcW w:w="983" w:type="dxa"/>
            <w:tcBorders>
              <w:top w:val="nil"/>
              <w:left w:val="nil"/>
              <w:bottom w:val="nil"/>
              <w:right w:val="nil"/>
            </w:tcBorders>
            <w:shd w:val="clear" w:color="auto" w:fill="auto"/>
            <w:noWrap/>
            <w:vAlign w:val="bottom"/>
            <w:hideMark/>
          </w:tcPr>
          <w:p w14:paraId="02DFC2F7" w14:textId="77777777" w:rsidR="003B3769" w:rsidRDefault="003B3769">
            <w:pPr>
              <w:jc w:val="right"/>
              <w:rPr>
                <w:sz w:val="20"/>
                <w:szCs w:val="20"/>
              </w:rPr>
            </w:pPr>
            <w:r>
              <w:rPr>
                <w:sz w:val="20"/>
                <w:szCs w:val="20"/>
              </w:rPr>
              <w:t>0,00</w:t>
            </w:r>
          </w:p>
        </w:tc>
        <w:tc>
          <w:tcPr>
            <w:tcW w:w="983" w:type="dxa"/>
            <w:tcBorders>
              <w:top w:val="nil"/>
              <w:left w:val="nil"/>
              <w:bottom w:val="nil"/>
              <w:right w:val="nil"/>
            </w:tcBorders>
            <w:shd w:val="clear" w:color="auto" w:fill="auto"/>
            <w:noWrap/>
            <w:vAlign w:val="bottom"/>
            <w:hideMark/>
          </w:tcPr>
          <w:p w14:paraId="5D472943" w14:textId="77777777" w:rsidR="003B3769" w:rsidRDefault="003B3769">
            <w:pPr>
              <w:jc w:val="right"/>
              <w:rPr>
                <w:sz w:val="20"/>
                <w:szCs w:val="20"/>
              </w:rPr>
            </w:pPr>
            <w:r>
              <w:rPr>
                <w:sz w:val="20"/>
                <w:szCs w:val="20"/>
              </w:rPr>
              <w:t>99,81</w:t>
            </w:r>
          </w:p>
        </w:tc>
      </w:tr>
      <w:tr w:rsidR="003B3769" w14:paraId="332DB79B" w14:textId="77777777" w:rsidTr="00953AE7">
        <w:trPr>
          <w:trHeight w:val="300"/>
        </w:trPr>
        <w:tc>
          <w:tcPr>
            <w:tcW w:w="7268" w:type="dxa"/>
            <w:tcBorders>
              <w:top w:val="nil"/>
              <w:left w:val="nil"/>
              <w:bottom w:val="nil"/>
              <w:right w:val="nil"/>
            </w:tcBorders>
            <w:shd w:val="clear" w:color="auto" w:fill="auto"/>
            <w:noWrap/>
            <w:vAlign w:val="bottom"/>
            <w:hideMark/>
          </w:tcPr>
          <w:p w14:paraId="38718F15" w14:textId="77777777" w:rsidR="003B3769" w:rsidRDefault="003B3769">
            <w:pPr>
              <w:rPr>
                <w:sz w:val="20"/>
                <w:szCs w:val="20"/>
              </w:rPr>
            </w:pPr>
            <w:r>
              <w:rPr>
                <w:sz w:val="20"/>
                <w:szCs w:val="20"/>
              </w:rPr>
              <w:lastRenderedPageBreak/>
              <w:t>064 Ulična rasvjeta</w:t>
            </w:r>
          </w:p>
        </w:tc>
        <w:tc>
          <w:tcPr>
            <w:tcW w:w="1660" w:type="dxa"/>
            <w:tcBorders>
              <w:top w:val="nil"/>
              <w:left w:val="nil"/>
              <w:bottom w:val="nil"/>
              <w:right w:val="nil"/>
            </w:tcBorders>
            <w:shd w:val="clear" w:color="auto" w:fill="auto"/>
            <w:noWrap/>
            <w:vAlign w:val="bottom"/>
            <w:hideMark/>
          </w:tcPr>
          <w:p w14:paraId="778ADC70" w14:textId="77777777" w:rsidR="003B3769" w:rsidRDefault="003B3769">
            <w:pPr>
              <w:jc w:val="right"/>
              <w:rPr>
                <w:sz w:val="20"/>
                <w:szCs w:val="20"/>
              </w:rPr>
            </w:pPr>
            <w:r>
              <w:rPr>
                <w:sz w:val="20"/>
                <w:szCs w:val="20"/>
              </w:rPr>
              <w:t>2.295.206,52</w:t>
            </w:r>
          </w:p>
        </w:tc>
        <w:tc>
          <w:tcPr>
            <w:tcW w:w="1660" w:type="dxa"/>
            <w:tcBorders>
              <w:top w:val="nil"/>
              <w:left w:val="nil"/>
              <w:bottom w:val="nil"/>
              <w:right w:val="nil"/>
            </w:tcBorders>
            <w:shd w:val="clear" w:color="auto" w:fill="auto"/>
            <w:noWrap/>
            <w:vAlign w:val="bottom"/>
            <w:hideMark/>
          </w:tcPr>
          <w:p w14:paraId="25379D4A" w14:textId="77777777" w:rsidR="003B3769" w:rsidRDefault="003B3769">
            <w:pPr>
              <w:jc w:val="right"/>
              <w:rPr>
                <w:sz w:val="20"/>
                <w:szCs w:val="20"/>
              </w:rPr>
            </w:pPr>
            <w:r>
              <w:rPr>
                <w:sz w:val="20"/>
                <w:szCs w:val="20"/>
              </w:rPr>
              <w:t>1.182.016,48</w:t>
            </w:r>
          </w:p>
        </w:tc>
        <w:tc>
          <w:tcPr>
            <w:tcW w:w="1660" w:type="dxa"/>
            <w:tcBorders>
              <w:top w:val="nil"/>
              <w:left w:val="nil"/>
              <w:bottom w:val="nil"/>
              <w:right w:val="nil"/>
            </w:tcBorders>
            <w:shd w:val="clear" w:color="auto" w:fill="auto"/>
            <w:noWrap/>
            <w:vAlign w:val="bottom"/>
            <w:hideMark/>
          </w:tcPr>
          <w:p w14:paraId="6199E93C" w14:textId="77777777" w:rsidR="003B3769" w:rsidRDefault="003B3769">
            <w:pPr>
              <w:jc w:val="right"/>
              <w:rPr>
                <w:sz w:val="20"/>
                <w:szCs w:val="20"/>
              </w:rPr>
            </w:pPr>
            <w:r>
              <w:rPr>
                <w:sz w:val="20"/>
                <w:szCs w:val="20"/>
              </w:rPr>
              <w:t>1.084.880,00</w:t>
            </w:r>
          </w:p>
        </w:tc>
        <w:tc>
          <w:tcPr>
            <w:tcW w:w="983" w:type="dxa"/>
            <w:tcBorders>
              <w:top w:val="nil"/>
              <w:left w:val="nil"/>
              <w:bottom w:val="nil"/>
              <w:right w:val="nil"/>
            </w:tcBorders>
            <w:shd w:val="clear" w:color="auto" w:fill="auto"/>
            <w:noWrap/>
            <w:vAlign w:val="bottom"/>
            <w:hideMark/>
          </w:tcPr>
          <w:p w14:paraId="68959C54" w14:textId="77777777" w:rsidR="003B3769" w:rsidRDefault="003B3769">
            <w:pPr>
              <w:jc w:val="right"/>
              <w:rPr>
                <w:sz w:val="20"/>
                <w:szCs w:val="20"/>
              </w:rPr>
            </w:pPr>
            <w:r>
              <w:rPr>
                <w:sz w:val="20"/>
                <w:szCs w:val="20"/>
              </w:rPr>
              <w:t>47,27</w:t>
            </w:r>
          </w:p>
        </w:tc>
        <w:tc>
          <w:tcPr>
            <w:tcW w:w="983" w:type="dxa"/>
            <w:tcBorders>
              <w:top w:val="nil"/>
              <w:left w:val="nil"/>
              <w:bottom w:val="nil"/>
              <w:right w:val="nil"/>
            </w:tcBorders>
            <w:shd w:val="clear" w:color="auto" w:fill="auto"/>
            <w:noWrap/>
            <w:vAlign w:val="bottom"/>
            <w:hideMark/>
          </w:tcPr>
          <w:p w14:paraId="4E9B342E" w14:textId="77777777" w:rsidR="003B3769" w:rsidRDefault="003B3769">
            <w:pPr>
              <w:jc w:val="right"/>
              <w:rPr>
                <w:sz w:val="20"/>
                <w:szCs w:val="20"/>
              </w:rPr>
            </w:pPr>
            <w:r>
              <w:rPr>
                <w:sz w:val="20"/>
                <w:szCs w:val="20"/>
              </w:rPr>
              <w:t>91,78</w:t>
            </w:r>
          </w:p>
        </w:tc>
      </w:tr>
      <w:tr w:rsidR="003B3769" w14:paraId="6ECE841A" w14:textId="77777777" w:rsidTr="00953AE7">
        <w:trPr>
          <w:trHeight w:val="300"/>
        </w:trPr>
        <w:tc>
          <w:tcPr>
            <w:tcW w:w="7268" w:type="dxa"/>
            <w:tcBorders>
              <w:top w:val="nil"/>
              <w:left w:val="nil"/>
              <w:bottom w:val="nil"/>
              <w:right w:val="nil"/>
            </w:tcBorders>
            <w:shd w:val="clear" w:color="auto" w:fill="auto"/>
            <w:noWrap/>
            <w:vAlign w:val="bottom"/>
            <w:hideMark/>
          </w:tcPr>
          <w:p w14:paraId="7BE9888D" w14:textId="77777777" w:rsidR="003B3769" w:rsidRDefault="003B3769">
            <w:pPr>
              <w:rPr>
                <w:sz w:val="20"/>
                <w:szCs w:val="20"/>
              </w:rPr>
            </w:pPr>
            <w:r>
              <w:rPr>
                <w:sz w:val="20"/>
                <w:szCs w:val="20"/>
              </w:rPr>
              <w:t>066 Rashodi vezani za stanovanje i kom. pogodnosti koji nisu drugdje svrstani</w:t>
            </w:r>
          </w:p>
        </w:tc>
        <w:tc>
          <w:tcPr>
            <w:tcW w:w="1660" w:type="dxa"/>
            <w:tcBorders>
              <w:top w:val="nil"/>
              <w:left w:val="nil"/>
              <w:bottom w:val="nil"/>
              <w:right w:val="nil"/>
            </w:tcBorders>
            <w:shd w:val="clear" w:color="auto" w:fill="auto"/>
            <w:noWrap/>
            <w:vAlign w:val="bottom"/>
            <w:hideMark/>
          </w:tcPr>
          <w:p w14:paraId="492881DB" w14:textId="77777777" w:rsidR="003B3769" w:rsidRDefault="003B3769">
            <w:pPr>
              <w:jc w:val="right"/>
              <w:rPr>
                <w:sz w:val="20"/>
                <w:szCs w:val="20"/>
              </w:rPr>
            </w:pPr>
            <w:r>
              <w:rPr>
                <w:sz w:val="20"/>
                <w:szCs w:val="20"/>
              </w:rPr>
              <w:t>1.974.773,79</w:t>
            </w:r>
          </w:p>
        </w:tc>
        <w:tc>
          <w:tcPr>
            <w:tcW w:w="1660" w:type="dxa"/>
            <w:tcBorders>
              <w:top w:val="nil"/>
              <w:left w:val="nil"/>
              <w:bottom w:val="nil"/>
              <w:right w:val="nil"/>
            </w:tcBorders>
            <w:shd w:val="clear" w:color="auto" w:fill="auto"/>
            <w:noWrap/>
            <w:vAlign w:val="bottom"/>
            <w:hideMark/>
          </w:tcPr>
          <w:p w14:paraId="320A997C" w14:textId="77777777" w:rsidR="003B3769" w:rsidRDefault="003B3769">
            <w:pPr>
              <w:jc w:val="right"/>
              <w:rPr>
                <w:sz w:val="20"/>
                <w:szCs w:val="20"/>
              </w:rPr>
            </w:pPr>
            <w:r>
              <w:rPr>
                <w:sz w:val="20"/>
                <w:szCs w:val="20"/>
              </w:rPr>
              <w:t>2.619.723,79</w:t>
            </w:r>
          </w:p>
        </w:tc>
        <w:tc>
          <w:tcPr>
            <w:tcW w:w="1660" w:type="dxa"/>
            <w:tcBorders>
              <w:top w:val="nil"/>
              <w:left w:val="nil"/>
              <w:bottom w:val="nil"/>
              <w:right w:val="nil"/>
            </w:tcBorders>
            <w:shd w:val="clear" w:color="auto" w:fill="auto"/>
            <w:noWrap/>
            <w:vAlign w:val="bottom"/>
            <w:hideMark/>
          </w:tcPr>
          <w:p w14:paraId="5BAEE53D" w14:textId="77777777" w:rsidR="003B3769" w:rsidRDefault="003B3769">
            <w:pPr>
              <w:jc w:val="right"/>
              <w:rPr>
                <w:sz w:val="20"/>
                <w:szCs w:val="20"/>
              </w:rPr>
            </w:pPr>
            <w:r>
              <w:rPr>
                <w:sz w:val="20"/>
                <w:szCs w:val="20"/>
              </w:rPr>
              <w:t>2.284.978,66</w:t>
            </w:r>
          </w:p>
        </w:tc>
        <w:tc>
          <w:tcPr>
            <w:tcW w:w="983" w:type="dxa"/>
            <w:tcBorders>
              <w:top w:val="nil"/>
              <w:left w:val="nil"/>
              <w:bottom w:val="nil"/>
              <w:right w:val="nil"/>
            </w:tcBorders>
            <w:shd w:val="clear" w:color="auto" w:fill="auto"/>
            <w:noWrap/>
            <w:vAlign w:val="bottom"/>
            <w:hideMark/>
          </w:tcPr>
          <w:p w14:paraId="5F9D4208" w14:textId="77777777" w:rsidR="003B3769" w:rsidRDefault="003B3769">
            <w:pPr>
              <w:jc w:val="right"/>
              <w:rPr>
                <w:sz w:val="20"/>
                <w:szCs w:val="20"/>
              </w:rPr>
            </w:pPr>
            <w:r>
              <w:rPr>
                <w:sz w:val="20"/>
                <w:szCs w:val="20"/>
              </w:rPr>
              <w:t>115,71</w:t>
            </w:r>
          </w:p>
        </w:tc>
        <w:tc>
          <w:tcPr>
            <w:tcW w:w="983" w:type="dxa"/>
            <w:tcBorders>
              <w:top w:val="nil"/>
              <w:left w:val="nil"/>
              <w:bottom w:val="nil"/>
              <w:right w:val="nil"/>
            </w:tcBorders>
            <w:shd w:val="clear" w:color="auto" w:fill="auto"/>
            <w:noWrap/>
            <w:vAlign w:val="bottom"/>
            <w:hideMark/>
          </w:tcPr>
          <w:p w14:paraId="2EFB03D3" w14:textId="77777777" w:rsidR="003B3769" w:rsidRDefault="003B3769">
            <w:pPr>
              <w:jc w:val="right"/>
              <w:rPr>
                <w:sz w:val="20"/>
                <w:szCs w:val="20"/>
              </w:rPr>
            </w:pPr>
            <w:r>
              <w:rPr>
                <w:sz w:val="20"/>
                <w:szCs w:val="20"/>
              </w:rPr>
              <w:t>87,22</w:t>
            </w:r>
          </w:p>
        </w:tc>
      </w:tr>
      <w:tr w:rsidR="003B3769" w14:paraId="1BA7AE3F" w14:textId="77777777" w:rsidTr="00953AE7">
        <w:trPr>
          <w:trHeight w:val="300"/>
        </w:trPr>
        <w:tc>
          <w:tcPr>
            <w:tcW w:w="7268" w:type="dxa"/>
            <w:tcBorders>
              <w:top w:val="nil"/>
              <w:left w:val="nil"/>
              <w:bottom w:val="nil"/>
              <w:right w:val="nil"/>
            </w:tcBorders>
            <w:shd w:val="clear" w:color="auto" w:fill="auto"/>
            <w:noWrap/>
            <w:vAlign w:val="bottom"/>
            <w:hideMark/>
          </w:tcPr>
          <w:p w14:paraId="03AEBA1B" w14:textId="77777777" w:rsidR="003B3769" w:rsidRDefault="003B3769">
            <w:pPr>
              <w:rPr>
                <w:b/>
                <w:bCs/>
                <w:sz w:val="20"/>
                <w:szCs w:val="20"/>
              </w:rPr>
            </w:pPr>
            <w:r>
              <w:rPr>
                <w:b/>
                <w:bCs/>
                <w:sz w:val="20"/>
                <w:szCs w:val="20"/>
              </w:rPr>
              <w:t>07 Zdravstvo</w:t>
            </w:r>
          </w:p>
        </w:tc>
        <w:tc>
          <w:tcPr>
            <w:tcW w:w="1660" w:type="dxa"/>
            <w:tcBorders>
              <w:top w:val="nil"/>
              <w:left w:val="nil"/>
              <w:bottom w:val="nil"/>
              <w:right w:val="nil"/>
            </w:tcBorders>
            <w:shd w:val="clear" w:color="auto" w:fill="auto"/>
            <w:noWrap/>
            <w:vAlign w:val="bottom"/>
            <w:hideMark/>
          </w:tcPr>
          <w:p w14:paraId="61265D92" w14:textId="77777777" w:rsidR="003B3769" w:rsidRDefault="003B3769">
            <w:pPr>
              <w:jc w:val="right"/>
              <w:rPr>
                <w:b/>
                <w:bCs/>
                <w:sz w:val="20"/>
                <w:szCs w:val="20"/>
              </w:rPr>
            </w:pPr>
            <w:r>
              <w:rPr>
                <w:b/>
                <w:bCs/>
                <w:sz w:val="20"/>
                <w:szCs w:val="20"/>
              </w:rPr>
              <w:t>322.328,67</w:t>
            </w:r>
          </w:p>
        </w:tc>
        <w:tc>
          <w:tcPr>
            <w:tcW w:w="1660" w:type="dxa"/>
            <w:tcBorders>
              <w:top w:val="nil"/>
              <w:left w:val="nil"/>
              <w:bottom w:val="nil"/>
              <w:right w:val="nil"/>
            </w:tcBorders>
            <w:shd w:val="clear" w:color="auto" w:fill="auto"/>
            <w:noWrap/>
            <w:vAlign w:val="bottom"/>
            <w:hideMark/>
          </w:tcPr>
          <w:p w14:paraId="17E099FC" w14:textId="77777777" w:rsidR="003B3769" w:rsidRDefault="003B3769">
            <w:pPr>
              <w:jc w:val="right"/>
              <w:rPr>
                <w:b/>
                <w:bCs/>
                <w:sz w:val="20"/>
                <w:szCs w:val="20"/>
              </w:rPr>
            </w:pPr>
            <w:r>
              <w:rPr>
                <w:b/>
                <w:bCs/>
                <w:sz w:val="20"/>
                <w:szCs w:val="20"/>
              </w:rPr>
              <w:t>478.493,76</w:t>
            </w:r>
          </w:p>
        </w:tc>
        <w:tc>
          <w:tcPr>
            <w:tcW w:w="1660" w:type="dxa"/>
            <w:tcBorders>
              <w:top w:val="nil"/>
              <w:left w:val="nil"/>
              <w:bottom w:val="nil"/>
              <w:right w:val="nil"/>
            </w:tcBorders>
            <w:shd w:val="clear" w:color="auto" w:fill="auto"/>
            <w:noWrap/>
            <w:vAlign w:val="bottom"/>
            <w:hideMark/>
          </w:tcPr>
          <w:p w14:paraId="1E801A43" w14:textId="77777777" w:rsidR="003B3769" w:rsidRDefault="003B3769">
            <w:pPr>
              <w:jc w:val="right"/>
              <w:rPr>
                <w:b/>
                <w:bCs/>
                <w:sz w:val="20"/>
                <w:szCs w:val="20"/>
              </w:rPr>
            </w:pPr>
            <w:r>
              <w:rPr>
                <w:b/>
                <w:bCs/>
                <w:sz w:val="20"/>
                <w:szCs w:val="20"/>
              </w:rPr>
              <w:t>351.276,63</w:t>
            </w:r>
          </w:p>
        </w:tc>
        <w:tc>
          <w:tcPr>
            <w:tcW w:w="983" w:type="dxa"/>
            <w:tcBorders>
              <w:top w:val="nil"/>
              <w:left w:val="nil"/>
              <w:bottom w:val="nil"/>
              <w:right w:val="nil"/>
            </w:tcBorders>
            <w:shd w:val="clear" w:color="auto" w:fill="auto"/>
            <w:noWrap/>
            <w:vAlign w:val="bottom"/>
            <w:hideMark/>
          </w:tcPr>
          <w:p w14:paraId="337C3B48" w14:textId="77777777" w:rsidR="003B3769" w:rsidRDefault="003B3769">
            <w:pPr>
              <w:jc w:val="right"/>
              <w:rPr>
                <w:b/>
                <w:bCs/>
                <w:sz w:val="20"/>
                <w:szCs w:val="20"/>
              </w:rPr>
            </w:pPr>
            <w:r>
              <w:rPr>
                <w:b/>
                <w:bCs/>
                <w:sz w:val="20"/>
                <w:szCs w:val="20"/>
              </w:rPr>
              <w:t>108,98</w:t>
            </w:r>
          </w:p>
        </w:tc>
        <w:tc>
          <w:tcPr>
            <w:tcW w:w="983" w:type="dxa"/>
            <w:tcBorders>
              <w:top w:val="nil"/>
              <w:left w:val="nil"/>
              <w:bottom w:val="nil"/>
              <w:right w:val="nil"/>
            </w:tcBorders>
            <w:shd w:val="clear" w:color="auto" w:fill="auto"/>
            <w:noWrap/>
            <w:vAlign w:val="bottom"/>
            <w:hideMark/>
          </w:tcPr>
          <w:p w14:paraId="3FFB02D0" w14:textId="77777777" w:rsidR="003B3769" w:rsidRDefault="003B3769">
            <w:pPr>
              <w:jc w:val="right"/>
              <w:rPr>
                <w:b/>
                <w:bCs/>
                <w:sz w:val="20"/>
                <w:szCs w:val="20"/>
              </w:rPr>
            </w:pPr>
            <w:r>
              <w:rPr>
                <w:b/>
                <w:bCs/>
                <w:sz w:val="20"/>
                <w:szCs w:val="20"/>
              </w:rPr>
              <w:t>73,41</w:t>
            </w:r>
          </w:p>
        </w:tc>
      </w:tr>
      <w:tr w:rsidR="003B3769" w14:paraId="703DFA76" w14:textId="77777777" w:rsidTr="00953AE7">
        <w:trPr>
          <w:trHeight w:val="300"/>
        </w:trPr>
        <w:tc>
          <w:tcPr>
            <w:tcW w:w="7268" w:type="dxa"/>
            <w:tcBorders>
              <w:top w:val="nil"/>
              <w:left w:val="nil"/>
              <w:bottom w:val="nil"/>
              <w:right w:val="nil"/>
            </w:tcBorders>
            <w:shd w:val="clear" w:color="auto" w:fill="auto"/>
            <w:noWrap/>
            <w:vAlign w:val="bottom"/>
            <w:hideMark/>
          </w:tcPr>
          <w:p w14:paraId="0AD461B6" w14:textId="77777777" w:rsidR="003B3769" w:rsidRDefault="003B3769">
            <w:pPr>
              <w:rPr>
                <w:sz w:val="20"/>
                <w:szCs w:val="20"/>
              </w:rPr>
            </w:pPr>
            <w:r>
              <w:rPr>
                <w:sz w:val="20"/>
                <w:szCs w:val="20"/>
              </w:rPr>
              <w:t>074 Službe javnog zdravstva</w:t>
            </w:r>
          </w:p>
        </w:tc>
        <w:tc>
          <w:tcPr>
            <w:tcW w:w="1660" w:type="dxa"/>
            <w:tcBorders>
              <w:top w:val="nil"/>
              <w:left w:val="nil"/>
              <w:bottom w:val="nil"/>
              <w:right w:val="nil"/>
            </w:tcBorders>
            <w:shd w:val="clear" w:color="auto" w:fill="auto"/>
            <w:noWrap/>
            <w:vAlign w:val="bottom"/>
            <w:hideMark/>
          </w:tcPr>
          <w:p w14:paraId="10B526C9" w14:textId="77777777" w:rsidR="003B3769" w:rsidRDefault="003B3769">
            <w:pPr>
              <w:jc w:val="right"/>
              <w:rPr>
                <w:sz w:val="20"/>
                <w:szCs w:val="20"/>
              </w:rPr>
            </w:pPr>
            <w:r>
              <w:rPr>
                <w:sz w:val="20"/>
                <w:szCs w:val="20"/>
              </w:rPr>
              <w:t>234.328,67</w:t>
            </w:r>
          </w:p>
        </w:tc>
        <w:tc>
          <w:tcPr>
            <w:tcW w:w="1660" w:type="dxa"/>
            <w:tcBorders>
              <w:top w:val="nil"/>
              <w:left w:val="nil"/>
              <w:bottom w:val="nil"/>
              <w:right w:val="nil"/>
            </w:tcBorders>
            <w:shd w:val="clear" w:color="auto" w:fill="auto"/>
            <w:noWrap/>
            <w:vAlign w:val="bottom"/>
            <w:hideMark/>
          </w:tcPr>
          <w:p w14:paraId="109DB22E" w14:textId="77777777" w:rsidR="003B3769" w:rsidRDefault="003B3769">
            <w:pPr>
              <w:jc w:val="right"/>
              <w:rPr>
                <w:sz w:val="20"/>
                <w:szCs w:val="20"/>
              </w:rPr>
            </w:pPr>
            <w:r>
              <w:rPr>
                <w:sz w:val="20"/>
                <w:szCs w:val="20"/>
              </w:rPr>
              <w:t>385.643,76</w:t>
            </w:r>
          </w:p>
        </w:tc>
        <w:tc>
          <w:tcPr>
            <w:tcW w:w="1660" w:type="dxa"/>
            <w:tcBorders>
              <w:top w:val="nil"/>
              <w:left w:val="nil"/>
              <w:bottom w:val="nil"/>
              <w:right w:val="nil"/>
            </w:tcBorders>
            <w:shd w:val="clear" w:color="auto" w:fill="auto"/>
            <w:noWrap/>
            <w:vAlign w:val="bottom"/>
            <w:hideMark/>
          </w:tcPr>
          <w:p w14:paraId="0CC95B4B" w14:textId="77777777" w:rsidR="003B3769" w:rsidRDefault="003B3769">
            <w:pPr>
              <w:jc w:val="right"/>
              <w:rPr>
                <w:sz w:val="20"/>
                <w:szCs w:val="20"/>
              </w:rPr>
            </w:pPr>
            <w:r>
              <w:rPr>
                <w:sz w:val="20"/>
                <w:szCs w:val="20"/>
              </w:rPr>
              <w:t>265.426,63</w:t>
            </w:r>
          </w:p>
        </w:tc>
        <w:tc>
          <w:tcPr>
            <w:tcW w:w="983" w:type="dxa"/>
            <w:tcBorders>
              <w:top w:val="nil"/>
              <w:left w:val="nil"/>
              <w:bottom w:val="nil"/>
              <w:right w:val="nil"/>
            </w:tcBorders>
            <w:shd w:val="clear" w:color="auto" w:fill="auto"/>
            <w:noWrap/>
            <w:vAlign w:val="bottom"/>
            <w:hideMark/>
          </w:tcPr>
          <w:p w14:paraId="23BFF1CA" w14:textId="77777777" w:rsidR="003B3769" w:rsidRDefault="003B3769">
            <w:pPr>
              <w:jc w:val="right"/>
              <w:rPr>
                <w:sz w:val="20"/>
                <w:szCs w:val="20"/>
              </w:rPr>
            </w:pPr>
            <w:r>
              <w:rPr>
                <w:sz w:val="20"/>
                <w:szCs w:val="20"/>
              </w:rPr>
              <w:t>113,27</w:t>
            </w:r>
          </w:p>
        </w:tc>
        <w:tc>
          <w:tcPr>
            <w:tcW w:w="983" w:type="dxa"/>
            <w:tcBorders>
              <w:top w:val="nil"/>
              <w:left w:val="nil"/>
              <w:bottom w:val="nil"/>
              <w:right w:val="nil"/>
            </w:tcBorders>
            <w:shd w:val="clear" w:color="auto" w:fill="auto"/>
            <w:noWrap/>
            <w:vAlign w:val="bottom"/>
            <w:hideMark/>
          </w:tcPr>
          <w:p w14:paraId="15AB85F0" w14:textId="77777777" w:rsidR="003B3769" w:rsidRDefault="003B3769">
            <w:pPr>
              <w:jc w:val="right"/>
              <w:rPr>
                <w:sz w:val="20"/>
                <w:szCs w:val="20"/>
              </w:rPr>
            </w:pPr>
            <w:r>
              <w:rPr>
                <w:sz w:val="20"/>
                <w:szCs w:val="20"/>
              </w:rPr>
              <w:t>68,83</w:t>
            </w:r>
          </w:p>
        </w:tc>
      </w:tr>
      <w:tr w:rsidR="003B3769" w14:paraId="1E80FF66" w14:textId="77777777" w:rsidTr="00953AE7">
        <w:trPr>
          <w:trHeight w:val="300"/>
        </w:trPr>
        <w:tc>
          <w:tcPr>
            <w:tcW w:w="7268" w:type="dxa"/>
            <w:tcBorders>
              <w:top w:val="nil"/>
              <w:left w:val="nil"/>
              <w:bottom w:val="nil"/>
              <w:right w:val="nil"/>
            </w:tcBorders>
            <w:shd w:val="clear" w:color="auto" w:fill="auto"/>
            <w:noWrap/>
            <w:vAlign w:val="bottom"/>
            <w:hideMark/>
          </w:tcPr>
          <w:p w14:paraId="14BE7C80" w14:textId="77777777" w:rsidR="003B3769" w:rsidRDefault="003B3769">
            <w:pPr>
              <w:rPr>
                <w:sz w:val="20"/>
                <w:szCs w:val="20"/>
              </w:rPr>
            </w:pPr>
            <w:r>
              <w:rPr>
                <w:sz w:val="20"/>
                <w:szCs w:val="20"/>
              </w:rPr>
              <w:t>076 Poslovi i usluge zdravstva koji nisu drugdje svrstani</w:t>
            </w:r>
          </w:p>
        </w:tc>
        <w:tc>
          <w:tcPr>
            <w:tcW w:w="1660" w:type="dxa"/>
            <w:tcBorders>
              <w:top w:val="nil"/>
              <w:left w:val="nil"/>
              <w:bottom w:val="nil"/>
              <w:right w:val="nil"/>
            </w:tcBorders>
            <w:shd w:val="clear" w:color="auto" w:fill="auto"/>
            <w:noWrap/>
            <w:vAlign w:val="bottom"/>
            <w:hideMark/>
          </w:tcPr>
          <w:p w14:paraId="6ABB093F" w14:textId="77777777" w:rsidR="003B3769" w:rsidRDefault="003B3769">
            <w:pPr>
              <w:jc w:val="right"/>
              <w:rPr>
                <w:sz w:val="20"/>
                <w:szCs w:val="20"/>
              </w:rPr>
            </w:pPr>
            <w:r>
              <w:rPr>
                <w:sz w:val="20"/>
                <w:szCs w:val="20"/>
              </w:rPr>
              <w:t>88.000,00</w:t>
            </w:r>
          </w:p>
        </w:tc>
        <w:tc>
          <w:tcPr>
            <w:tcW w:w="1660" w:type="dxa"/>
            <w:tcBorders>
              <w:top w:val="nil"/>
              <w:left w:val="nil"/>
              <w:bottom w:val="nil"/>
              <w:right w:val="nil"/>
            </w:tcBorders>
            <w:shd w:val="clear" w:color="auto" w:fill="auto"/>
            <w:noWrap/>
            <w:vAlign w:val="bottom"/>
            <w:hideMark/>
          </w:tcPr>
          <w:p w14:paraId="245EB26B" w14:textId="77777777" w:rsidR="003B3769" w:rsidRDefault="003B3769">
            <w:pPr>
              <w:jc w:val="right"/>
              <w:rPr>
                <w:sz w:val="20"/>
                <w:szCs w:val="20"/>
              </w:rPr>
            </w:pPr>
            <w:r>
              <w:rPr>
                <w:sz w:val="20"/>
                <w:szCs w:val="20"/>
              </w:rPr>
              <w:t>92.850,00</w:t>
            </w:r>
          </w:p>
        </w:tc>
        <w:tc>
          <w:tcPr>
            <w:tcW w:w="1660" w:type="dxa"/>
            <w:tcBorders>
              <w:top w:val="nil"/>
              <w:left w:val="nil"/>
              <w:bottom w:val="nil"/>
              <w:right w:val="nil"/>
            </w:tcBorders>
            <w:shd w:val="clear" w:color="auto" w:fill="auto"/>
            <w:noWrap/>
            <w:vAlign w:val="bottom"/>
            <w:hideMark/>
          </w:tcPr>
          <w:p w14:paraId="5FEF885D" w14:textId="77777777" w:rsidR="003B3769" w:rsidRDefault="003B3769">
            <w:pPr>
              <w:jc w:val="right"/>
              <w:rPr>
                <w:sz w:val="20"/>
                <w:szCs w:val="20"/>
              </w:rPr>
            </w:pPr>
            <w:r>
              <w:rPr>
                <w:sz w:val="20"/>
                <w:szCs w:val="20"/>
              </w:rPr>
              <w:t>85.850,00</w:t>
            </w:r>
          </w:p>
        </w:tc>
        <w:tc>
          <w:tcPr>
            <w:tcW w:w="983" w:type="dxa"/>
            <w:tcBorders>
              <w:top w:val="nil"/>
              <w:left w:val="nil"/>
              <w:bottom w:val="nil"/>
              <w:right w:val="nil"/>
            </w:tcBorders>
            <w:shd w:val="clear" w:color="auto" w:fill="auto"/>
            <w:noWrap/>
            <w:vAlign w:val="bottom"/>
            <w:hideMark/>
          </w:tcPr>
          <w:p w14:paraId="034F3B4B" w14:textId="77777777" w:rsidR="003B3769" w:rsidRDefault="003B3769">
            <w:pPr>
              <w:jc w:val="right"/>
              <w:rPr>
                <w:sz w:val="20"/>
                <w:szCs w:val="20"/>
              </w:rPr>
            </w:pPr>
            <w:r>
              <w:rPr>
                <w:sz w:val="20"/>
                <w:szCs w:val="20"/>
              </w:rPr>
              <w:t>97,56</w:t>
            </w:r>
          </w:p>
        </w:tc>
        <w:tc>
          <w:tcPr>
            <w:tcW w:w="983" w:type="dxa"/>
            <w:tcBorders>
              <w:top w:val="nil"/>
              <w:left w:val="nil"/>
              <w:bottom w:val="nil"/>
              <w:right w:val="nil"/>
            </w:tcBorders>
            <w:shd w:val="clear" w:color="auto" w:fill="auto"/>
            <w:noWrap/>
            <w:vAlign w:val="bottom"/>
            <w:hideMark/>
          </w:tcPr>
          <w:p w14:paraId="11A2681E" w14:textId="77777777" w:rsidR="003B3769" w:rsidRDefault="003B3769">
            <w:pPr>
              <w:jc w:val="right"/>
              <w:rPr>
                <w:sz w:val="20"/>
                <w:szCs w:val="20"/>
              </w:rPr>
            </w:pPr>
            <w:r>
              <w:rPr>
                <w:sz w:val="20"/>
                <w:szCs w:val="20"/>
              </w:rPr>
              <w:t>92,46</w:t>
            </w:r>
          </w:p>
        </w:tc>
      </w:tr>
      <w:tr w:rsidR="003B3769" w14:paraId="76C5088B" w14:textId="77777777" w:rsidTr="00953AE7">
        <w:trPr>
          <w:trHeight w:val="300"/>
        </w:trPr>
        <w:tc>
          <w:tcPr>
            <w:tcW w:w="7268" w:type="dxa"/>
            <w:tcBorders>
              <w:top w:val="nil"/>
              <w:left w:val="nil"/>
              <w:bottom w:val="nil"/>
              <w:right w:val="nil"/>
            </w:tcBorders>
            <w:shd w:val="clear" w:color="auto" w:fill="auto"/>
            <w:noWrap/>
            <w:vAlign w:val="bottom"/>
            <w:hideMark/>
          </w:tcPr>
          <w:p w14:paraId="55D2B4E2" w14:textId="77777777" w:rsidR="003B3769" w:rsidRDefault="003B3769">
            <w:pPr>
              <w:rPr>
                <w:b/>
                <w:bCs/>
                <w:sz w:val="20"/>
                <w:szCs w:val="20"/>
              </w:rPr>
            </w:pPr>
            <w:r>
              <w:rPr>
                <w:b/>
                <w:bCs/>
                <w:sz w:val="20"/>
                <w:szCs w:val="20"/>
              </w:rPr>
              <w:t>08 Rekreacija, kultura i religija</w:t>
            </w:r>
          </w:p>
        </w:tc>
        <w:tc>
          <w:tcPr>
            <w:tcW w:w="1660" w:type="dxa"/>
            <w:tcBorders>
              <w:top w:val="nil"/>
              <w:left w:val="nil"/>
              <w:bottom w:val="nil"/>
              <w:right w:val="nil"/>
            </w:tcBorders>
            <w:shd w:val="clear" w:color="auto" w:fill="auto"/>
            <w:noWrap/>
            <w:vAlign w:val="bottom"/>
            <w:hideMark/>
          </w:tcPr>
          <w:p w14:paraId="0F723139" w14:textId="77777777" w:rsidR="003B3769" w:rsidRDefault="003B3769">
            <w:pPr>
              <w:jc w:val="right"/>
              <w:rPr>
                <w:b/>
                <w:bCs/>
                <w:sz w:val="20"/>
                <w:szCs w:val="20"/>
              </w:rPr>
            </w:pPr>
            <w:r>
              <w:rPr>
                <w:b/>
                <w:bCs/>
                <w:sz w:val="20"/>
                <w:szCs w:val="20"/>
              </w:rPr>
              <w:t>4.388.232,96</w:t>
            </w:r>
          </w:p>
        </w:tc>
        <w:tc>
          <w:tcPr>
            <w:tcW w:w="1660" w:type="dxa"/>
            <w:tcBorders>
              <w:top w:val="nil"/>
              <w:left w:val="nil"/>
              <w:bottom w:val="nil"/>
              <w:right w:val="nil"/>
            </w:tcBorders>
            <w:shd w:val="clear" w:color="auto" w:fill="auto"/>
            <w:noWrap/>
            <w:vAlign w:val="bottom"/>
            <w:hideMark/>
          </w:tcPr>
          <w:p w14:paraId="2AD7197F" w14:textId="77777777" w:rsidR="003B3769" w:rsidRDefault="003B3769">
            <w:pPr>
              <w:jc w:val="right"/>
              <w:rPr>
                <w:b/>
                <w:bCs/>
                <w:sz w:val="20"/>
                <w:szCs w:val="20"/>
              </w:rPr>
            </w:pPr>
            <w:r>
              <w:rPr>
                <w:b/>
                <w:bCs/>
                <w:sz w:val="20"/>
                <w:szCs w:val="20"/>
              </w:rPr>
              <w:t>5.660.450,61</w:t>
            </w:r>
          </w:p>
        </w:tc>
        <w:tc>
          <w:tcPr>
            <w:tcW w:w="1660" w:type="dxa"/>
            <w:tcBorders>
              <w:top w:val="nil"/>
              <w:left w:val="nil"/>
              <w:bottom w:val="nil"/>
              <w:right w:val="nil"/>
            </w:tcBorders>
            <w:shd w:val="clear" w:color="auto" w:fill="auto"/>
            <w:noWrap/>
            <w:vAlign w:val="bottom"/>
            <w:hideMark/>
          </w:tcPr>
          <w:p w14:paraId="18F9E30C" w14:textId="77777777" w:rsidR="003B3769" w:rsidRDefault="003B3769">
            <w:pPr>
              <w:jc w:val="right"/>
              <w:rPr>
                <w:b/>
                <w:bCs/>
                <w:sz w:val="20"/>
                <w:szCs w:val="20"/>
              </w:rPr>
            </w:pPr>
            <w:r>
              <w:rPr>
                <w:b/>
                <w:bCs/>
                <w:sz w:val="20"/>
                <w:szCs w:val="20"/>
              </w:rPr>
              <w:t>5.384.211,61</w:t>
            </w:r>
          </w:p>
        </w:tc>
        <w:tc>
          <w:tcPr>
            <w:tcW w:w="983" w:type="dxa"/>
            <w:tcBorders>
              <w:top w:val="nil"/>
              <w:left w:val="nil"/>
              <w:bottom w:val="nil"/>
              <w:right w:val="nil"/>
            </w:tcBorders>
            <w:shd w:val="clear" w:color="auto" w:fill="auto"/>
            <w:noWrap/>
            <w:vAlign w:val="bottom"/>
            <w:hideMark/>
          </w:tcPr>
          <w:p w14:paraId="458808E5" w14:textId="77777777" w:rsidR="003B3769" w:rsidRDefault="003B3769">
            <w:pPr>
              <w:jc w:val="right"/>
              <w:rPr>
                <w:b/>
                <w:bCs/>
                <w:sz w:val="20"/>
                <w:szCs w:val="20"/>
              </w:rPr>
            </w:pPr>
            <w:r>
              <w:rPr>
                <w:b/>
                <w:bCs/>
                <w:sz w:val="20"/>
                <w:szCs w:val="20"/>
              </w:rPr>
              <w:t>122,70</w:t>
            </w:r>
          </w:p>
        </w:tc>
        <w:tc>
          <w:tcPr>
            <w:tcW w:w="983" w:type="dxa"/>
            <w:tcBorders>
              <w:top w:val="nil"/>
              <w:left w:val="nil"/>
              <w:bottom w:val="nil"/>
              <w:right w:val="nil"/>
            </w:tcBorders>
            <w:shd w:val="clear" w:color="auto" w:fill="auto"/>
            <w:noWrap/>
            <w:vAlign w:val="bottom"/>
            <w:hideMark/>
          </w:tcPr>
          <w:p w14:paraId="0ECA0240" w14:textId="77777777" w:rsidR="003B3769" w:rsidRDefault="003B3769">
            <w:pPr>
              <w:jc w:val="right"/>
              <w:rPr>
                <w:b/>
                <w:bCs/>
                <w:sz w:val="20"/>
                <w:szCs w:val="20"/>
              </w:rPr>
            </w:pPr>
            <w:r>
              <w:rPr>
                <w:b/>
                <w:bCs/>
                <w:sz w:val="20"/>
                <w:szCs w:val="20"/>
              </w:rPr>
              <w:t>95,12</w:t>
            </w:r>
          </w:p>
        </w:tc>
      </w:tr>
      <w:tr w:rsidR="003B3769" w14:paraId="4EB58F7B" w14:textId="77777777" w:rsidTr="00953AE7">
        <w:trPr>
          <w:trHeight w:val="300"/>
        </w:trPr>
        <w:tc>
          <w:tcPr>
            <w:tcW w:w="7268" w:type="dxa"/>
            <w:tcBorders>
              <w:top w:val="nil"/>
              <w:left w:val="nil"/>
              <w:bottom w:val="nil"/>
              <w:right w:val="nil"/>
            </w:tcBorders>
            <w:shd w:val="clear" w:color="auto" w:fill="auto"/>
            <w:noWrap/>
            <w:vAlign w:val="bottom"/>
            <w:hideMark/>
          </w:tcPr>
          <w:p w14:paraId="7FE5BEA5" w14:textId="77777777" w:rsidR="003B3769" w:rsidRDefault="003B3769">
            <w:pPr>
              <w:rPr>
                <w:sz w:val="20"/>
                <w:szCs w:val="20"/>
              </w:rPr>
            </w:pPr>
            <w:r>
              <w:rPr>
                <w:sz w:val="20"/>
                <w:szCs w:val="20"/>
              </w:rPr>
              <w:t>081 Službe rekreacije i sporta</w:t>
            </w:r>
          </w:p>
        </w:tc>
        <w:tc>
          <w:tcPr>
            <w:tcW w:w="1660" w:type="dxa"/>
            <w:tcBorders>
              <w:top w:val="nil"/>
              <w:left w:val="nil"/>
              <w:bottom w:val="nil"/>
              <w:right w:val="nil"/>
            </w:tcBorders>
            <w:shd w:val="clear" w:color="auto" w:fill="auto"/>
            <w:noWrap/>
            <w:vAlign w:val="bottom"/>
            <w:hideMark/>
          </w:tcPr>
          <w:p w14:paraId="2BCFAD6A" w14:textId="77777777" w:rsidR="003B3769" w:rsidRDefault="003B3769">
            <w:pPr>
              <w:jc w:val="right"/>
              <w:rPr>
                <w:sz w:val="20"/>
                <w:szCs w:val="20"/>
              </w:rPr>
            </w:pPr>
            <w:r>
              <w:rPr>
                <w:sz w:val="20"/>
                <w:szCs w:val="20"/>
              </w:rPr>
              <w:t>1.783.108,20</w:t>
            </w:r>
          </w:p>
        </w:tc>
        <w:tc>
          <w:tcPr>
            <w:tcW w:w="1660" w:type="dxa"/>
            <w:tcBorders>
              <w:top w:val="nil"/>
              <w:left w:val="nil"/>
              <w:bottom w:val="nil"/>
              <w:right w:val="nil"/>
            </w:tcBorders>
            <w:shd w:val="clear" w:color="auto" w:fill="auto"/>
            <w:noWrap/>
            <w:vAlign w:val="bottom"/>
            <w:hideMark/>
          </w:tcPr>
          <w:p w14:paraId="593C7D85" w14:textId="77777777" w:rsidR="003B3769" w:rsidRDefault="003B3769">
            <w:pPr>
              <w:jc w:val="right"/>
              <w:rPr>
                <w:sz w:val="20"/>
                <w:szCs w:val="20"/>
              </w:rPr>
            </w:pPr>
            <w:r>
              <w:rPr>
                <w:sz w:val="20"/>
                <w:szCs w:val="20"/>
              </w:rPr>
              <w:t>2.082.271,25</w:t>
            </w:r>
          </w:p>
        </w:tc>
        <w:tc>
          <w:tcPr>
            <w:tcW w:w="1660" w:type="dxa"/>
            <w:tcBorders>
              <w:top w:val="nil"/>
              <w:left w:val="nil"/>
              <w:bottom w:val="nil"/>
              <w:right w:val="nil"/>
            </w:tcBorders>
            <w:shd w:val="clear" w:color="auto" w:fill="auto"/>
            <w:noWrap/>
            <w:vAlign w:val="bottom"/>
            <w:hideMark/>
          </w:tcPr>
          <w:p w14:paraId="00A83222" w14:textId="77777777" w:rsidR="003B3769" w:rsidRDefault="003B3769">
            <w:pPr>
              <w:jc w:val="right"/>
              <w:rPr>
                <w:sz w:val="20"/>
                <w:szCs w:val="20"/>
              </w:rPr>
            </w:pPr>
            <w:r>
              <w:rPr>
                <w:sz w:val="20"/>
                <w:szCs w:val="20"/>
              </w:rPr>
              <w:t>2.060.005,06</w:t>
            </w:r>
          </w:p>
        </w:tc>
        <w:tc>
          <w:tcPr>
            <w:tcW w:w="983" w:type="dxa"/>
            <w:tcBorders>
              <w:top w:val="nil"/>
              <w:left w:val="nil"/>
              <w:bottom w:val="nil"/>
              <w:right w:val="nil"/>
            </w:tcBorders>
            <w:shd w:val="clear" w:color="auto" w:fill="auto"/>
            <w:noWrap/>
            <w:vAlign w:val="bottom"/>
            <w:hideMark/>
          </w:tcPr>
          <w:p w14:paraId="4F97FB85" w14:textId="77777777" w:rsidR="003B3769" w:rsidRDefault="003B3769">
            <w:pPr>
              <w:jc w:val="right"/>
              <w:rPr>
                <w:sz w:val="20"/>
                <w:szCs w:val="20"/>
              </w:rPr>
            </w:pPr>
            <w:r>
              <w:rPr>
                <w:sz w:val="20"/>
                <w:szCs w:val="20"/>
              </w:rPr>
              <w:t>115,53</w:t>
            </w:r>
          </w:p>
        </w:tc>
        <w:tc>
          <w:tcPr>
            <w:tcW w:w="983" w:type="dxa"/>
            <w:tcBorders>
              <w:top w:val="nil"/>
              <w:left w:val="nil"/>
              <w:bottom w:val="nil"/>
              <w:right w:val="nil"/>
            </w:tcBorders>
            <w:shd w:val="clear" w:color="auto" w:fill="auto"/>
            <w:noWrap/>
            <w:vAlign w:val="bottom"/>
            <w:hideMark/>
          </w:tcPr>
          <w:p w14:paraId="14990DDD" w14:textId="77777777" w:rsidR="003B3769" w:rsidRDefault="003B3769">
            <w:pPr>
              <w:jc w:val="right"/>
              <w:rPr>
                <w:sz w:val="20"/>
                <w:szCs w:val="20"/>
              </w:rPr>
            </w:pPr>
            <w:r>
              <w:rPr>
                <w:sz w:val="20"/>
                <w:szCs w:val="20"/>
              </w:rPr>
              <w:t>98,93</w:t>
            </w:r>
          </w:p>
        </w:tc>
      </w:tr>
      <w:tr w:rsidR="003B3769" w14:paraId="6A024A8E" w14:textId="77777777" w:rsidTr="00953AE7">
        <w:trPr>
          <w:trHeight w:val="300"/>
        </w:trPr>
        <w:tc>
          <w:tcPr>
            <w:tcW w:w="7268" w:type="dxa"/>
            <w:tcBorders>
              <w:top w:val="nil"/>
              <w:left w:val="nil"/>
              <w:bottom w:val="nil"/>
              <w:right w:val="nil"/>
            </w:tcBorders>
            <w:shd w:val="clear" w:color="auto" w:fill="auto"/>
            <w:noWrap/>
            <w:vAlign w:val="bottom"/>
            <w:hideMark/>
          </w:tcPr>
          <w:p w14:paraId="264E445E" w14:textId="77777777" w:rsidR="003B3769" w:rsidRDefault="003B3769">
            <w:pPr>
              <w:rPr>
                <w:sz w:val="20"/>
                <w:szCs w:val="20"/>
              </w:rPr>
            </w:pPr>
            <w:r>
              <w:rPr>
                <w:sz w:val="20"/>
                <w:szCs w:val="20"/>
              </w:rPr>
              <w:t>082 Službe kulture</w:t>
            </w:r>
          </w:p>
        </w:tc>
        <w:tc>
          <w:tcPr>
            <w:tcW w:w="1660" w:type="dxa"/>
            <w:tcBorders>
              <w:top w:val="nil"/>
              <w:left w:val="nil"/>
              <w:bottom w:val="nil"/>
              <w:right w:val="nil"/>
            </w:tcBorders>
            <w:shd w:val="clear" w:color="auto" w:fill="auto"/>
            <w:noWrap/>
            <w:vAlign w:val="bottom"/>
            <w:hideMark/>
          </w:tcPr>
          <w:p w14:paraId="23A18618" w14:textId="77777777" w:rsidR="003B3769" w:rsidRDefault="003B3769">
            <w:pPr>
              <w:jc w:val="right"/>
              <w:rPr>
                <w:sz w:val="20"/>
                <w:szCs w:val="20"/>
              </w:rPr>
            </w:pPr>
            <w:r>
              <w:rPr>
                <w:sz w:val="20"/>
                <w:szCs w:val="20"/>
              </w:rPr>
              <w:t>2.492.239,06</w:t>
            </w:r>
          </w:p>
        </w:tc>
        <w:tc>
          <w:tcPr>
            <w:tcW w:w="1660" w:type="dxa"/>
            <w:tcBorders>
              <w:top w:val="nil"/>
              <w:left w:val="nil"/>
              <w:bottom w:val="nil"/>
              <w:right w:val="nil"/>
            </w:tcBorders>
            <w:shd w:val="clear" w:color="auto" w:fill="auto"/>
            <w:noWrap/>
            <w:vAlign w:val="bottom"/>
            <w:hideMark/>
          </w:tcPr>
          <w:p w14:paraId="06A20630" w14:textId="77777777" w:rsidR="003B3769" w:rsidRDefault="003B3769">
            <w:pPr>
              <w:jc w:val="right"/>
              <w:rPr>
                <w:sz w:val="20"/>
                <w:szCs w:val="20"/>
              </w:rPr>
            </w:pPr>
            <w:r>
              <w:rPr>
                <w:sz w:val="20"/>
                <w:szCs w:val="20"/>
              </w:rPr>
              <w:t>3.393.304,36</w:t>
            </w:r>
          </w:p>
        </w:tc>
        <w:tc>
          <w:tcPr>
            <w:tcW w:w="1660" w:type="dxa"/>
            <w:tcBorders>
              <w:top w:val="nil"/>
              <w:left w:val="nil"/>
              <w:bottom w:val="nil"/>
              <w:right w:val="nil"/>
            </w:tcBorders>
            <w:shd w:val="clear" w:color="auto" w:fill="auto"/>
            <w:noWrap/>
            <w:vAlign w:val="bottom"/>
            <w:hideMark/>
          </w:tcPr>
          <w:p w14:paraId="10D40D26" w14:textId="77777777" w:rsidR="003B3769" w:rsidRDefault="003B3769">
            <w:pPr>
              <w:jc w:val="right"/>
              <w:rPr>
                <w:sz w:val="20"/>
                <w:szCs w:val="20"/>
              </w:rPr>
            </w:pPr>
            <w:r>
              <w:rPr>
                <w:sz w:val="20"/>
                <w:szCs w:val="20"/>
              </w:rPr>
              <w:t>3.077.005,30</w:t>
            </w:r>
          </w:p>
        </w:tc>
        <w:tc>
          <w:tcPr>
            <w:tcW w:w="983" w:type="dxa"/>
            <w:tcBorders>
              <w:top w:val="nil"/>
              <w:left w:val="nil"/>
              <w:bottom w:val="nil"/>
              <w:right w:val="nil"/>
            </w:tcBorders>
            <w:shd w:val="clear" w:color="auto" w:fill="auto"/>
            <w:noWrap/>
            <w:vAlign w:val="bottom"/>
            <w:hideMark/>
          </w:tcPr>
          <w:p w14:paraId="320916A4" w14:textId="77777777" w:rsidR="003B3769" w:rsidRDefault="003B3769">
            <w:pPr>
              <w:jc w:val="right"/>
              <w:rPr>
                <w:sz w:val="20"/>
                <w:szCs w:val="20"/>
              </w:rPr>
            </w:pPr>
            <w:r>
              <w:rPr>
                <w:sz w:val="20"/>
                <w:szCs w:val="20"/>
              </w:rPr>
              <w:t>123,46</w:t>
            </w:r>
          </w:p>
        </w:tc>
        <w:tc>
          <w:tcPr>
            <w:tcW w:w="983" w:type="dxa"/>
            <w:tcBorders>
              <w:top w:val="nil"/>
              <w:left w:val="nil"/>
              <w:bottom w:val="nil"/>
              <w:right w:val="nil"/>
            </w:tcBorders>
            <w:shd w:val="clear" w:color="auto" w:fill="auto"/>
            <w:noWrap/>
            <w:vAlign w:val="bottom"/>
            <w:hideMark/>
          </w:tcPr>
          <w:p w14:paraId="21B64F06" w14:textId="77777777" w:rsidR="003B3769" w:rsidRDefault="003B3769">
            <w:pPr>
              <w:jc w:val="right"/>
              <w:rPr>
                <w:sz w:val="20"/>
                <w:szCs w:val="20"/>
              </w:rPr>
            </w:pPr>
            <w:r>
              <w:rPr>
                <w:sz w:val="20"/>
                <w:szCs w:val="20"/>
              </w:rPr>
              <w:t>90,68</w:t>
            </w:r>
          </w:p>
        </w:tc>
      </w:tr>
      <w:tr w:rsidR="003B3769" w14:paraId="4EB23CDC" w14:textId="77777777" w:rsidTr="00953AE7">
        <w:trPr>
          <w:trHeight w:val="300"/>
        </w:trPr>
        <w:tc>
          <w:tcPr>
            <w:tcW w:w="7268" w:type="dxa"/>
            <w:tcBorders>
              <w:top w:val="nil"/>
              <w:left w:val="nil"/>
              <w:bottom w:val="nil"/>
              <w:right w:val="nil"/>
            </w:tcBorders>
            <w:shd w:val="clear" w:color="auto" w:fill="auto"/>
            <w:noWrap/>
            <w:vAlign w:val="bottom"/>
            <w:hideMark/>
          </w:tcPr>
          <w:p w14:paraId="74F31E52" w14:textId="77777777" w:rsidR="003B3769" w:rsidRDefault="003B3769">
            <w:pPr>
              <w:rPr>
                <w:sz w:val="20"/>
                <w:szCs w:val="20"/>
              </w:rPr>
            </w:pPr>
            <w:r>
              <w:rPr>
                <w:sz w:val="20"/>
                <w:szCs w:val="20"/>
              </w:rPr>
              <w:t>084 Religijske i druge službe zajednice</w:t>
            </w:r>
          </w:p>
        </w:tc>
        <w:tc>
          <w:tcPr>
            <w:tcW w:w="1660" w:type="dxa"/>
            <w:tcBorders>
              <w:top w:val="nil"/>
              <w:left w:val="nil"/>
              <w:bottom w:val="nil"/>
              <w:right w:val="nil"/>
            </w:tcBorders>
            <w:shd w:val="clear" w:color="auto" w:fill="auto"/>
            <w:noWrap/>
            <w:vAlign w:val="bottom"/>
            <w:hideMark/>
          </w:tcPr>
          <w:p w14:paraId="2DDF2FD8" w14:textId="77777777" w:rsidR="003B3769" w:rsidRDefault="003B3769">
            <w:pPr>
              <w:jc w:val="right"/>
              <w:rPr>
                <w:sz w:val="20"/>
                <w:szCs w:val="20"/>
              </w:rPr>
            </w:pPr>
            <w:r>
              <w:rPr>
                <w:sz w:val="20"/>
                <w:szCs w:val="20"/>
              </w:rPr>
              <w:t>112.885,70</w:t>
            </w:r>
          </w:p>
        </w:tc>
        <w:tc>
          <w:tcPr>
            <w:tcW w:w="1660" w:type="dxa"/>
            <w:tcBorders>
              <w:top w:val="nil"/>
              <w:left w:val="nil"/>
              <w:bottom w:val="nil"/>
              <w:right w:val="nil"/>
            </w:tcBorders>
            <w:shd w:val="clear" w:color="auto" w:fill="auto"/>
            <w:noWrap/>
            <w:vAlign w:val="bottom"/>
            <w:hideMark/>
          </w:tcPr>
          <w:p w14:paraId="663B3547" w14:textId="77777777" w:rsidR="003B3769" w:rsidRDefault="003B3769">
            <w:pPr>
              <w:jc w:val="right"/>
              <w:rPr>
                <w:sz w:val="20"/>
                <w:szCs w:val="20"/>
              </w:rPr>
            </w:pPr>
            <w:r>
              <w:rPr>
                <w:sz w:val="20"/>
                <w:szCs w:val="20"/>
              </w:rPr>
              <w:t>184.875,00</w:t>
            </w:r>
          </w:p>
        </w:tc>
        <w:tc>
          <w:tcPr>
            <w:tcW w:w="1660" w:type="dxa"/>
            <w:tcBorders>
              <w:top w:val="nil"/>
              <w:left w:val="nil"/>
              <w:bottom w:val="nil"/>
              <w:right w:val="nil"/>
            </w:tcBorders>
            <w:shd w:val="clear" w:color="auto" w:fill="auto"/>
            <w:noWrap/>
            <w:vAlign w:val="bottom"/>
            <w:hideMark/>
          </w:tcPr>
          <w:p w14:paraId="0877CD66" w14:textId="77777777" w:rsidR="003B3769" w:rsidRDefault="003B3769">
            <w:pPr>
              <w:jc w:val="right"/>
              <w:rPr>
                <w:sz w:val="20"/>
                <w:szCs w:val="20"/>
              </w:rPr>
            </w:pPr>
            <w:r>
              <w:rPr>
                <w:sz w:val="20"/>
                <w:szCs w:val="20"/>
              </w:rPr>
              <w:t>247.201,25</w:t>
            </w:r>
          </w:p>
        </w:tc>
        <w:tc>
          <w:tcPr>
            <w:tcW w:w="983" w:type="dxa"/>
            <w:tcBorders>
              <w:top w:val="nil"/>
              <w:left w:val="nil"/>
              <w:bottom w:val="nil"/>
              <w:right w:val="nil"/>
            </w:tcBorders>
            <w:shd w:val="clear" w:color="auto" w:fill="auto"/>
            <w:noWrap/>
            <w:vAlign w:val="bottom"/>
            <w:hideMark/>
          </w:tcPr>
          <w:p w14:paraId="770F650B" w14:textId="77777777" w:rsidR="003B3769" w:rsidRDefault="003B3769">
            <w:pPr>
              <w:jc w:val="right"/>
              <w:rPr>
                <w:sz w:val="20"/>
                <w:szCs w:val="20"/>
              </w:rPr>
            </w:pPr>
            <w:r>
              <w:rPr>
                <w:sz w:val="20"/>
                <w:szCs w:val="20"/>
              </w:rPr>
              <w:t>218,98</w:t>
            </w:r>
          </w:p>
        </w:tc>
        <w:tc>
          <w:tcPr>
            <w:tcW w:w="983" w:type="dxa"/>
            <w:tcBorders>
              <w:top w:val="nil"/>
              <w:left w:val="nil"/>
              <w:bottom w:val="nil"/>
              <w:right w:val="nil"/>
            </w:tcBorders>
            <w:shd w:val="clear" w:color="auto" w:fill="auto"/>
            <w:noWrap/>
            <w:vAlign w:val="bottom"/>
            <w:hideMark/>
          </w:tcPr>
          <w:p w14:paraId="24A45088" w14:textId="77777777" w:rsidR="003B3769" w:rsidRDefault="003B3769">
            <w:pPr>
              <w:jc w:val="right"/>
              <w:rPr>
                <w:sz w:val="20"/>
                <w:szCs w:val="20"/>
              </w:rPr>
            </w:pPr>
            <w:r>
              <w:rPr>
                <w:sz w:val="20"/>
                <w:szCs w:val="20"/>
              </w:rPr>
              <w:t>133,71</w:t>
            </w:r>
          </w:p>
        </w:tc>
      </w:tr>
      <w:tr w:rsidR="003B3769" w14:paraId="3E87196A" w14:textId="77777777" w:rsidTr="00953AE7">
        <w:trPr>
          <w:trHeight w:val="300"/>
        </w:trPr>
        <w:tc>
          <w:tcPr>
            <w:tcW w:w="7268" w:type="dxa"/>
            <w:tcBorders>
              <w:top w:val="nil"/>
              <w:left w:val="nil"/>
              <w:bottom w:val="nil"/>
              <w:right w:val="nil"/>
            </w:tcBorders>
            <w:shd w:val="clear" w:color="auto" w:fill="auto"/>
            <w:noWrap/>
            <w:vAlign w:val="bottom"/>
            <w:hideMark/>
          </w:tcPr>
          <w:p w14:paraId="26D59A64" w14:textId="77777777" w:rsidR="003B3769" w:rsidRDefault="003B3769">
            <w:pPr>
              <w:rPr>
                <w:b/>
                <w:bCs/>
                <w:sz w:val="20"/>
                <w:szCs w:val="20"/>
              </w:rPr>
            </w:pPr>
            <w:r>
              <w:rPr>
                <w:b/>
                <w:bCs/>
                <w:sz w:val="20"/>
                <w:szCs w:val="20"/>
              </w:rPr>
              <w:t>09 Obrazovanje</w:t>
            </w:r>
          </w:p>
        </w:tc>
        <w:tc>
          <w:tcPr>
            <w:tcW w:w="1660" w:type="dxa"/>
            <w:tcBorders>
              <w:top w:val="nil"/>
              <w:left w:val="nil"/>
              <w:bottom w:val="nil"/>
              <w:right w:val="nil"/>
            </w:tcBorders>
            <w:shd w:val="clear" w:color="auto" w:fill="auto"/>
            <w:noWrap/>
            <w:vAlign w:val="bottom"/>
            <w:hideMark/>
          </w:tcPr>
          <w:p w14:paraId="6B90B954" w14:textId="77777777" w:rsidR="003B3769" w:rsidRDefault="003B3769">
            <w:pPr>
              <w:jc w:val="right"/>
              <w:rPr>
                <w:b/>
                <w:bCs/>
                <w:sz w:val="20"/>
                <w:szCs w:val="20"/>
              </w:rPr>
            </w:pPr>
            <w:r>
              <w:rPr>
                <w:b/>
                <w:bCs/>
                <w:sz w:val="20"/>
                <w:szCs w:val="20"/>
              </w:rPr>
              <w:t>8.921.041,14</w:t>
            </w:r>
          </w:p>
        </w:tc>
        <w:tc>
          <w:tcPr>
            <w:tcW w:w="1660" w:type="dxa"/>
            <w:tcBorders>
              <w:top w:val="nil"/>
              <w:left w:val="nil"/>
              <w:bottom w:val="nil"/>
              <w:right w:val="nil"/>
            </w:tcBorders>
            <w:shd w:val="clear" w:color="auto" w:fill="auto"/>
            <w:noWrap/>
            <w:vAlign w:val="bottom"/>
            <w:hideMark/>
          </w:tcPr>
          <w:p w14:paraId="2A22C4E7" w14:textId="77777777" w:rsidR="003B3769" w:rsidRDefault="003B3769">
            <w:pPr>
              <w:jc w:val="right"/>
              <w:rPr>
                <w:b/>
                <w:bCs/>
                <w:sz w:val="20"/>
                <w:szCs w:val="20"/>
              </w:rPr>
            </w:pPr>
            <w:r>
              <w:rPr>
                <w:b/>
                <w:bCs/>
                <w:sz w:val="20"/>
                <w:szCs w:val="20"/>
              </w:rPr>
              <w:t>7.848.393,19</w:t>
            </w:r>
          </w:p>
        </w:tc>
        <w:tc>
          <w:tcPr>
            <w:tcW w:w="1660" w:type="dxa"/>
            <w:tcBorders>
              <w:top w:val="nil"/>
              <w:left w:val="nil"/>
              <w:bottom w:val="nil"/>
              <w:right w:val="nil"/>
            </w:tcBorders>
            <w:shd w:val="clear" w:color="auto" w:fill="auto"/>
            <w:noWrap/>
            <w:vAlign w:val="bottom"/>
            <w:hideMark/>
          </w:tcPr>
          <w:p w14:paraId="12E88F4A" w14:textId="77777777" w:rsidR="003B3769" w:rsidRDefault="003B3769">
            <w:pPr>
              <w:jc w:val="right"/>
              <w:rPr>
                <w:b/>
                <w:bCs/>
                <w:sz w:val="20"/>
                <w:szCs w:val="20"/>
              </w:rPr>
            </w:pPr>
            <w:r>
              <w:rPr>
                <w:b/>
                <w:bCs/>
                <w:sz w:val="20"/>
                <w:szCs w:val="20"/>
              </w:rPr>
              <w:t>7.845.484,94</w:t>
            </w:r>
          </w:p>
        </w:tc>
        <w:tc>
          <w:tcPr>
            <w:tcW w:w="983" w:type="dxa"/>
            <w:tcBorders>
              <w:top w:val="nil"/>
              <w:left w:val="nil"/>
              <w:bottom w:val="nil"/>
              <w:right w:val="nil"/>
            </w:tcBorders>
            <w:shd w:val="clear" w:color="auto" w:fill="auto"/>
            <w:noWrap/>
            <w:vAlign w:val="bottom"/>
            <w:hideMark/>
          </w:tcPr>
          <w:p w14:paraId="7ECDB44A" w14:textId="77777777" w:rsidR="003B3769" w:rsidRDefault="003B3769">
            <w:pPr>
              <w:jc w:val="right"/>
              <w:rPr>
                <w:b/>
                <w:bCs/>
                <w:sz w:val="20"/>
                <w:szCs w:val="20"/>
              </w:rPr>
            </w:pPr>
            <w:r>
              <w:rPr>
                <w:b/>
                <w:bCs/>
                <w:sz w:val="20"/>
                <w:szCs w:val="20"/>
              </w:rPr>
              <w:t>87,94</w:t>
            </w:r>
          </w:p>
        </w:tc>
        <w:tc>
          <w:tcPr>
            <w:tcW w:w="983" w:type="dxa"/>
            <w:tcBorders>
              <w:top w:val="nil"/>
              <w:left w:val="nil"/>
              <w:bottom w:val="nil"/>
              <w:right w:val="nil"/>
            </w:tcBorders>
            <w:shd w:val="clear" w:color="auto" w:fill="auto"/>
            <w:noWrap/>
            <w:vAlign w:val="bottom"/>
            <w:hideMark/>
          </w:tcPr>
          <w:p w14:paraId="348A73BE" w14:textId="77777777" w:rsidR="003B3769" w:rsidRDefault="003B3769">
            <w:pPr>
              <w:jc w:val="right"/>
              <w:rPr>
                <w:b/>
                <w:bCs/>
                <w:sz w:val="20"/>
                <w:szCs w:val="20"/>
              </w:rPr>
            </w:pPr>
            <w:r>
              <w:rPr>
                <w:b/>
                <w:bCs/>
                <w:sz w:val="20"/>
                <w:szCs w:val="20"/>
              </w:rPr>
              <w:t>99,96</w:t>
            </w:r>
          </w:p>
        </w:tc>
      </w:tr>
      <w:tr w:rsidR="003B3769" w14:paraId="3D227212" w14:textId="77777777" w:rsidTr="00953AE7">
        <w:trPr>
          <w:trHeight w:val="300"/>
        </w:trPr>
        <w:tc>
          <w:tcPr>
            <w:tcW w:w="7268" w:type="dxa"/>
            <w:tcBorders>
              <w:top w:val="nil"/>
              <w:left w:val="nil"/>
              <w:bottom w:val="nil"/>
              <w:right w:val="nil"/>
            </w:tcBorders>
            <w:shd w:val="clear" w:color="auto" w:fill="auto"/>
            <w:noWrap/>
            <w:vAlign w:val="bottom"/>
            <w:hideMark/>
          </w:tcPr>
          <w:p w14:paraId="5FE6C5BB" w14:textId="77777777" w:rsidR="003B3769" w:rsidRDefault="003B3769">
            <w:pPr>
              <w:rPr>
                <w:sz w:val="20"/>
                <w:szCs w:val="20"/>
              </w:rPr>
            </w:pPr>
            <w:r>
              <w:rPr>
                <w:sz w:val="20"/>
                <w:szCs w:val="20"/>
              </w:rPr>
              <w:t>091 Predškolsko i osnovno obrazovanje</w:t>
            </w:r>
          </w:p>
        </w:tc>
        <w:tc>
          <w:tcPr>
            <w:tcW w:w="1660" w:type="dxa"/>
            <w:tcBorders>
              <w:top w:val="nil"/>
              <w:left w:val="nil"/>
              <w:bottom w:val="nil"/>
              <w:right w:val="nil"/>
            </w:tcBorders>
            <w:shd w:val="clear" w:color="auto" w:fill="auto"/>
            <w:noWrap/>
            <w:vAlign w:val="bottom"/>
            <w:hideMark/>
          </w:tcPr>
          <w:p w14:paraId="333C890D" w14:textId="77777777" w:rsidR="003B3769" w:rsidRDefault="003B3769">
            <w:pPr>
              <w:jc w:val="right"/>
              <w:rPr>
                <w:sz w:val="20"/>
                <w:szCs w:val="20"/>
              </w:rPr>
            </w:pPr>
            <w:r>
              <w:rPr>
                <w:sz w:val="20"/>
                <w:szCs w:val="20"/>
              </w:rPr>
              <w:t>8.716.741,14</w:t>
            </w:r>
          </w:p>
        </w:tc>
        <w:tc>
          <w:tcPr>
            <w:tcW w:w="1660" w:type="dxa"/>
            <w:tcBorders>
              <w:top w:val="nil"/>
              <w:left w:val="nil"/>
              <w:bottom w:val="nil"/>
              <w:right w:val="nil"/>
            </w:tcBorders>
            <w:shd w:val="clear" w:color="auto" w:fill="auto"/>
            <w:noWrap/>
            <w:vAlign w:val="bottom"/>
            <w:hideMark/>
          </w:tcPr>
          <w:p w14:paraId="346283B3" w14:textId="77777777" w:rsidR="003B3769" w:rsidRDefault="003B3769">
            <w:pPr>
              <w:jc w:val="right"/>
              <w:rPr>
                <w:sz w:val="20"/>
                <w:szCs w:val="20"/>
              </w:rPr>
            </w:pPr>
            <w:r>
              <w:rPr>
                <w:sz w:val="20"/>
                <w:szCs w:val="20"/>
              </w:rPr>
              <w:t>7.572.893,19</w:t>
            </w:r>
          </w:p>
        </w:tc>
        <w:tc>
          <w:tcPr>
            <w:tcW w:w="1660" w:type="dxa"/>
            <w:tcBorders>
              <w:top w:val="nil"/>
              <w:left w:val="nil"/>
              <w:bottom w:val="nil"/>
              <w:right w:val="nil"/>
            </w:tcBorders>
            <w:shd w:val="clear" w:color="auto" w:fill="auto"/>
            <w:noWrap/>
            <w:vAlign w:val="bottom"/>
            <w:hideMark/>
          </w:tcPr>
          <w:p w14:paraId="42634AE9" w14:textId="77777777" w:rsidR="003B3769" w:rsidRDefault="003B3769">
            <w:pPr>
              <w:jc w:val="right"/>
              <w:rPr>
                <w:sz w:val="20"/>
                <w:szCs w:val="20"/>
              </w:rPr>
            </w:pPr>
            <w:r>
              <w:rPr>
                <w:sz w:val="20"/>
                <w:szCs w:val="20"/>
              </w:rPr>
              <w:t>7.605.484,94</w:t>
            </w:r>
          </w:p>
        </w:tc>
        <w:tc>
          <w:tcPr>
            <w:tcW w:w="983" w:type="dxa"/>
            <w:tcBorders>
              <w:top w:val="nil"/>
              <w:left w:val="nil"/>
              <w:bottom w:val="nil"/>
              <w:right w:val="nil"/>
            </w:tcBorders>
            <w:shd w:val="clear" w:color="auto" w:fill="auto"/>
            <w:noWrap/>
            <w:vAlign w:val="bottom"/>
            <w:hideMark/>
          </w:tcPr>
          <w:p w14:paraId="763DA129" w14:textId="77777777" w:rsidR="003B3769" w:rsidRDefault="003B3769">
            <w:pPr>
              <w:jc w:val="right"/>
              <w:rPr>
                <w:sz w:val="20"/>
                <w:szCs w:val="20"/>
              </w:rPr>
            </w:pPr>
            <w:r>
              <w:rPr>
                <w:sz w:val="20"/>
                <w:szCs w:val="20"/>
              </w:rPr>
              <w:t>87,25</w:t>
            </w:r>
          </w:p>
        </w:tc>
        <w:tc>
          <w:tcPr>
            <w:tcW w:w="983" w:type="dxa"/>
            <w:tcBorders>
              <w:top w:val="nil"/>
              <w:left w:val="nil"/>
              <w:bottom w:val="nil"/>
              <w:right w:val="nil"/>
            </w:tcBorders>
            <w:shd w:val="clear" w:color="auto" w:fill="auto"/>
            <w:noWrap/>
            <w:vAlign w:val="bottom"/>
            <w:hideMark/>
          </w:tcPr>
          <w:p w14:paraId="355C9DE7" w14:textId="77777777" w:rsidR="003B3769" w:rsidRDefault="003B3769">
            <w:pPr>
              <w:jc w:val="right"/>
              <w:rPr>
                <w:sz w:val="20"/>
                <w:szCs w:val="20"/>
              </w:rPr>
            </w:pPr>
            <w:r>
              <w:rPr>
                <w:sz w:val="20"/>
                <w:szCs w:val="20"/>
              </w:rPr>
              <w:t>100,43</w:t>
            </w:r>
          </w:p>
        </w:tc>
      </w:tr>
      <w:tr w:rsidR="003B3769" w14:paraId="05211944" w14:textId="77777777" w:rsidTr="00953AE7">
        <w:trPr>
          <w:trHeight w:val="300"/>
        </w:trPr>
        <w:tc>
          <w:tcPr>
            <w:tcW w:w="7268" w:type="dxa"/>
            <w:tcBorders>
              <w:top w:val="nil"/>
              <w:left w:val="nil"/>
              <w:bottom w:val="nil"/>
              <w:right w:val="nil"/>
            </w:tcBorders>
            <w:shd w:val="clear" w:color="auto" w:fill="auto"/>
            <w:noWrap/>
            <w:vAlign w:val="bottom"/>
            <w:hideMark/>
          </w:tcPr>
          <w:p w14:paraId="6D7EFD7E" w14:textId="77777777" w:rsidR="003B3769" w:rsidRDefault="003B3769">
            <w:pPr>
              <w:rPr>
                <w:sz w:val="20"/>
                <w:szCs w:val="20"/>
              </w:rPr>
            </w:pPr>
            <w:r>
              <w:rPr>
                <w:sz w:val="20"/>
                <w:szCs w:val="20"/>
              </w:rPr>
              <w:t>092 Srednjoškolsko  obrazovanje</w:t>
            </w:r>
          </w:p>
        </w:tc>
        <w:tc>
          <w:tcPr>
            <w:tcW w:w="1660" w:type="dxa"/>
            <w:tcBorders>
              <w:top w:val="nil"/>
              <w:left w:val="nil"/>
              <w:bottom w:val="nil"/>
              <w:right w:val="nil"/>
            </w:tcBorders>
            <w:shd w:val="clear" w:color="auto" w:fill="auto"/>
            <w:noWrap/>
            <w:vAlign w:val="bottom"/>
            <w:hideMark/>
          </w:tcPr>
          <w:p w14:paraId="3BCFCCA0" w14:textId="77777777" w:rsidR="003B3769" w:rsidRDefault="003B3769">
            <w:pPr>
              <w:jc w:val="right"/>
              <w:rPr>
                <w:sz w:val="20"/>
                <w:szCs w:val="20"/>
              </w:rPr>
            </w:pPr>
            <w:r>
              <w:rPr>
                <w:sz w:val="20"/>
                <w:szCs w:val="20"/>
              </w:rPr>
              <w:t>97.800,00</w:t>
            </w:r>
          </w:p>
        </w:tc>
        <w:tc>
          <w:tcPr>
            <w:tcW w:w="1660" w:type="dxa"/>
            <w:tcBorders>
              <w:top w:val="nil"/>
              <w:left w:val="nil"/>
              <w:bottom w:val="nil"/>
              <w:right w:val="nil"/>
            </w:tcBorders>
            <w:shd w:val="clear" w:color="auto" w:fill="auto"/>
            <w:noWrap/>
            <w:vAlign w:val="bottom"/>
            <w:hideMark/>
          </w:tcPr>
          <w:p w14:paraId="2DE9E7B9" w14:textId="77777777" w:rsidR="003B3769" w:rsidRDefault="003B3769">
            <w:pPr>
              <w:jc w:val="right"/>
              <w:rPr>
                <w:sz w:val="20"/>
                <w:szCs w:val="20"/>
              </w:rPr>
            </w:pPr>
            <w:r>
              <w:rPr>
                <w:sz w:val="20"/>
                <w:szCs w:val="20"/>
              </w:rPr>
              <w:t>116.400,00</w:t>
            </w:r>
          </w:p>
        </w:tc>
        <w:tc>
          <w:tcPr>
            <w:tcW w:w="1660" w:type="dxa"/>
            <w:tcBorders>
              <w:top w:val="nil"/>
              <w:left w:val="nil"/>
              <w:bottom w:val="nil"/>
              <w:right w:val="nil"/>
            </w:tcBorders>
            <w:shd w:val="clear" w:color="auto" w:fill="auto"/>
            <w:noWrap/>
            <w:vAlign w:val="bottom"/>
            <w:hideMark/>
          </w:tcPr>
          <w:p w14:paraId="016B76A2" w14:textId="77777777" w:rsidR="003B3769" w:rsidRDefault="003B3769">
            <w:pPr>
              <w:jc w:val="right"/>
              <w:rPr>
                <w:sz w:val="20"/>
                <w:szCs w:val="20"/>
              </w:rPr>
            </w:pPr>
            <w:r>
              <w:rPr>
                <w:sz w:val="20"/>
                <w:szCs w:val="20"/>
              </w:rPr>
              <w:t>114.400,00</w:t>
            </w:r>
          </w:p>
        </w:tc>
        <w:tc>
          <w:tcPr>
            <w:tcW w:w="983" w:type="dxa"/>
            <w:tcBorders>
              <w:top w:val="nil"/>
              <w:left w:val="nil"/>
              <w:bottom w:val="nil"/>
              <w:right w:val="nil"/>
            </w:tcBorders>
            <w:shd w:val="clear" w:color="auto" w:fill="auto"/>
            <w:noWrap/>
            <w:vAlign w:val="bottom"/>
            <w:hideMark/>
          </w:tcPr>
          <w:p w14:paraId="12B2D0D6" w14:textId="77777777" w:rsidR="003B3769" w:rsidRDefault="003B3769">
            <w:pPr>
              <w:jc w:val="right"/>
              <w:rPr>
                <w:sz w:val="20"/>
                <w:szCs w:val="20"/>
              </w:rPr>
            </w:pPr>
            <w:r>
              <w:rPr>
                <w:sz w:val="20"/>
                <w:szCs w:val="20"/>
              </w:rPr>
              <w:t>116,97</w:t>
            </w:r>
          </w:p>
        </w:tc>
        <w:tc>
          <w:tcPr>
            <w:tcW w:w="983" w:type="dxa"/>
            <w:tcBorders>
              <w:top w:val="nil"/>
              <w:left w:val="nil"/>
              <w:bottom w:val="nil"/>
              <w:right w:val="nil"/>
            </w:tcBorders>
            <w:shd w:val="clear" w:color="auto" w:fill="auto"/>
            <w:noWrap/>
            <w:vAlign w:val="bottom"/>
            <w:hideMark/>
          </w:tcPr>
          <w:p w14:paraId="71026D1E" w14:textId="77777777" w:rsidR="003B3769" w:rsidRDefault="003B3769">
            <w:pPr>
              <w:jc w:val="right"/>
              <w:rPr>
                <w:sz w:val="20"/>
                <w:szCs w:val="20"/>
              </w:rPr>
            </w:pPr>
            <w:r>
              <w:rPr>
                <w:sz w:val="20"/>
                <w:szCs w:val="20"/>
              </w:rPr>
              <w:t>98,28</w:t>
            </w:r>
          </w:p>
        </w:tc>
      </w:tr>
      <w:tr w:rsidR="003B3769" w14:paraId="28BC002C" w14:textId="77777777" w:rsidTr="00953AE7">
        <w:trPr>
          <w:trHeight w:val="300"/>
        </w:trPr>
        <w:tc>
          <w:tcPr>
            <w:tcW w:w="7268" w:type="dxa"/>
            <w:tcBorders>
              <w:top w:val="nil"/>
              <w:left w:val="nil"/>
              <w:bottom w:val="nil"/>
              <w:right w:val="nil"/>
            </w:tcBorders>
            <w:shd w:val="clear" w:color="auto" w:fill="auto"/>
            <w:noWrap/>
            <w:vAlign w:val="bottom"/>
            <w:hideMark/>
          </w:tcPr>
          <w:p w14:paraId="61D2FD39" w14:textId="77777777" w:rsidR="003B3769" w:rsidRDefault="003B3769">
            <w:pPr>
              <w:rPr>
                <w:sz w:val="20"/>
                <w:szCs w:val="20"/>
              </w:rPr>
            </w:pPr>
            <w:r>
              <w:rPr>
                <w:sz w:val="20"/>
                <w:szCs w:val="20"/>
              </w:rPr>
              <w:t>094 Visoka naobrazba</w:t>
            </w:r>
          </w:p>
        </w:tc>
        <w:tc>
          <w:tcPr>
            <w:tcW w:w="1660" w:type="dxa"/>
            <w:tcBorders>
              <w:top w:val="nil"/>
              <w:left w:val="nil"/>
              <w:bottom w:val="nil"/>
              <w:right w:val="nil"/>
            </w:tcBorders>
            <w:shd w:val="clear" w:color="auto" w:fill="auto"/>
            <w:noWrap/>
            <w:vAlign w:val="bottom"/>
            <w:hideMark/>
          </w:tcPr>
          <w:p w14:paraId="76496465" w14:textId="77777777" w:rsidR="003B3769" w:rsidRDefault="003B3769">
            <w:pPr>
              <w:jc w:val="right"/>
              <w:rPr>
                <w:sz w:val="20"/>
                <w:szCs w:val="20"/>
              </w:rPr>
            </w:pPr>
            <w:r>
              <w:rPr>
                <w:sz w:val="20"/>
                <w:szCs w:val="20"/>
              </w:rPr>
              <w:t>106.500,00</w:t>
            </w:r>
          </w:p>
        </w:tc>
        <w:tc>
          <w:tcPr>
            <w:tcW w:w="1660" w:type="dxa"/>
            <w:tcBorders>
              <w:top w:val="nil"/>
              <w:left w:val="nil"/>
              <w:bottom w:val="nil"/>
              <w:right w:val="nil"/>
            </w:tcBorders>
            <w:shd w:val="clear" w:color="auto" w:fill="auto"/>
            <w:noWrap/>
            <w:vAlign w:val="bottom"/>
            <w:hideMark/>
          </w:tcPr>
          <w:p w14:paraId="789D7E15" w14:textId="77777777" w:rsidR="003B3769" w:rsidRDefault="003B3769">
            <w:pPr>
              <w:jc w:val="right"/>
              <w:rPr>
                <w:sz w:val="20"/>
                <w:szCs w:val="20"/>
              </w:rPr>
            </w:pPr>
            <w:r>
              <w:rPr>
                <w:sz w:val="20"/>
                <w:szCs w:val="20"/>
              </w:rPr>
              <w:t>121.600,00</w:t>
            </w:r>
          </w:p>
        </w:tc>
        <w:tc>
          <w:tcPr>
            <w:tcW w:w="1660" w:type="dxa"/>
            <w:tcBorders>
              <w:top w:val="nil"/>
              <w:left w:val="nil"/>
              <w:bottom w:val="nil"/>
              <w:right w:val="nil"/>
            </w:tcBorders>
            <w:shd w:val="clear" w:color="auto" w:fill="auto"/>
            <w:noWrap/>
            <w:vAlign w:val="bottom"/>
            <w:hideMark/>
          </w:tcPr>
          <w:p w14:paraId="4CFAF486" w14:textId="77777777" w:rsidR="003B3769" w:rsidRDefault="003B3769">
            <w:pPr>
              <w:jc w:val="right"/>
              <w:rPr>
                <w:sz w:val="20"/>
                <w:szCs w:val="20"/>
              </w:rPr>
            </w:pPr>
            <w:r>
              <w:rPr>
                <w:sz w:val="20"/>
                <w:szCs w:val="20"/>
              </w:rPr>
              <w:t>88.100,00</w:t>
            </w:r>
          </w:p>
        </w:tc>
        <w:tc>
          <w:tcPr>
            <w:tcW w:w="983" w:type="dxa"/>
            <w:tcBorders>
              <w:top w:val="nil"/>
              <w:left w:val="nil"/>
              <w:bottom w:val="nil"/>
              <w:right w:val="nil"/>
            </w:tcBorders>
            <w:shd w:val="clear" w:color="auto" w:fill="auto"/>
            <w:noWrap/>
            <w:vAlign w:val="bottom"/>
            <w:hideMark/>
          </w:tcPr>
          <w:p w14:paraId="52838D20" w14:textId="77777777" w:rsidR="003B3769" w:rsidRDefault="003B3769">
            <w:pPr>
              <w:jc w:val="right"/>
              <w:rPr>
                <w:sz w:val="20"/>
                <w:szCs w:val="20"/>
              </w:rPr>
            </w:pPr>
            <w:r>
              <w:rPr>
                <w:sz w:val="20"/>
                <w:szCs w:val="20"/>
              </w:rPr>
              <w:t>82,72</w:t>
            </w:r>
          </w:p>
        </w:tc>
        <w:tc>
          <w:tcPr>
            <w:tcW w:w="983" w:type="dxa"/>
            <w:tcBorders>
              <w:top w:val="nil"/>
              <w:left w:val="nil"/>
              <w:bottom w:val="nil"/>
              <w:right w:val="nil"/>
            </w:tcBorders>
            <w:shd w:val="clear" w:color="auto" w:fill="auto"/>
            <w:noWrap/>
            <w:vAlign w:val="bottom"/>
            <w:hideMark/>
          </w:tcPr>
          <w:p w14:paraId="1BC9D34D" w14:textId="77777777" w:rsidR="003B3769" w:rsidRDefault="003B3769">
            <w:pPr>
              <w:jc w:val="right"/>
              <w:rPr>
                <w:sz w:val="20"/>
                <w:szCs w:val="20"/>
              </w:rPr>
            </w:pPr>
            <w:r>
              <w:rPr>
                <w:sz w:val="20"/>
                <w:szCs w:val="20"/>
              </w:rPr>
              <w:t>72,45</w:t>
            </w:r>
          </w:p>
        </w:tc>
      </w:tr>
      <w:tr w:rsidR="003B3769" w14:paraId="4E015563" w14:textId="77777777" w:rsidTr="00953AE7">
        <w:trPr>
          <w:trHeight w:val="300"/>
        </w:trPr>
        <w:tc>
          <w:tcPr>
            <w:tcW w:w="7268" w:type="dxa"/>
            <w:tcBorders>
              <w:top w:val="nil"/>
              <w:left w:val="nil"/>
              <w:bottom w:val="nil"/>
              <w:right w:val="nil"/>
            </w:tcBorders>
            <w:shd w:val="clear" w:color="auto" w:fill="auto"/>
            <w:noWrap/>
            <w:vAlign w:val="bottom"/>
            <w:hideMark/>
          </w:tcPr>
          <w:p w14:paraId="4F5F7199" w14:textId="77777777" w:rsidR="003B3769" w:rsidRDefault="003B3769">
            <w:pPr>
              <w:rPr>
                <w:sz w:val="20"/>
                <w:szCs w:val="20"/>
              </w:rPr>
            </w:pPr>
            <w:r>
              <w:rPr>
                <w:sz w:val="20"/>
                <w:szCs w:val="20"/>
              </w:rPr>
              <w:t>098 Usluge obrazovanja koje nisu drugdje svrstane</w:t>
            </w:r>
          </w:p>
        </w:tc>
        <w:tc>
          <w:tcPr>
            <w:tcW w:w="1660" w:type="dxa"/>
            <w:tcBorders>
              <w:top w:val="nil"/>
              <w:left w:val="nil"/>
              <w:bottom w:val="nil"/>
              <w:right w:val="nil"/>
            </w:tcBorders>
            <w:shd w:val="clear" w:color="auto" w:fill="auto"/>
            <w:noWrap/>
            <w:vAlign w:val="bottom"/>
            <w:hideMark/>
          </w:tcPr>
          <w:p w14:paraId="1B95DDB7" w14:textId="77777777" w:rsidR="003B3769" w:rsidRDefault="003B3769">
            <w:pPr>
              <w:jc w:val="right"/>
              <w:rPr>
                <w:sz w:val="20"/>
                <w:szCs w:val="20"/>
              </w:rPr>
            </w:pPr>
            <w:r>
              <w:rPr>
                <w:sz w:val="20"/>
                <w:szCs w:val="20"/>
              </w:rPr>
              <w:t>0,00</w:t>
            </w:r>
          </w:p>
        </w:tc>
        <w:tc>
          <w:tcPr>
            <w:tcW w:w="1660" w:type="dxa"/>
            <w:tcBorders>
              <w:top w:val="nil"/>
              <w:left w:val="nil"/>
              <w:bottom w:val="nil"/>
              <w:right w:val="nil"/>
            </w:tcBorders>
            <w:shd w:val="clear" w:color="auto" w:fill="auto"/>
            <w:noWrap/>
            <w:vAlign w:val="bottom"/>
            <w:hideMark/>
          </w:tcPr>
          <w:p w14:paraId="5F6774DE" w14:textId="77777777" w:rsidR="003B3769" w:rsidRDefault="003B3769">
            <w:pPr>
              <w:jc w:val="right"/>
              <w:rPr>
                <w:sz w:val="20"/>
                <w:szCs w:val="20"/>
              </w:rPr>
            </w:pPr>
            <w:r>
              <w:rPr>
                <w:sz w:val="20"/>
                <w:szCs w:val="20"/>
              </w:rPr>
              <w:t>37.500,00</w:t>
            </w:r>
          </w:p>
        </w:tc>
        <w:tc>
          <w:tcPr>
            <w:tcW w:w="1660" w:type="dxa"/>
            <w:tcBorders>
              <w:top w:val="nil"/>
              <w:left w:val="nil"/>
              <w:bottom w:val="nil"/>
              <w:right w:val="nil"/>
            </w:tcBorders>
            <w:shd w:val="clear" w:color="auto" w:fill="auto"/>
            <w:noWrap/>
            <w:vAlign w:val="bottom"/>
            <w:hideMark/>
          </w:tcPr>
          <w:p w14:paraId="1EFB5C1E" w14:textId="77777777" w:rsidR="003B3769" w:rsidRDefault="003B3769">
            <w:pPr>
              <w:jc w:val="right"/>
              <w:rPr>
                <w:sz w:val="20"/>
                <w:szCs w:val="20"/>
              </w:rPr>
            </w:pPr>
            <w:r>
              <w:rPr>
                <w:sz w:val="20"/>
                <w:szCs w:val="20"/>
              </w:rPr>
              <w:t>37.500,00</w:t>
            </w:r>
          </w:p>
        </w:tc>
        <w:tc>
          <w:tcPr>
            <w:tcW w:w="983" w:type="dxa"/>
            <w:tcBorders>
              <w:top w:val="nil"/>
              <w:left w:val="nil"/>
              <w:bottom w:val="nil"/>
              <w:right w:val="nil"/>
            </w:tcBorders>
            <w:shd w:val="clear" w:color="auto" w:fill="auto"/>
            <w:noWrap/>
            <w:vAlign w:val="bottom"/>
            <w:hideMark/>
          </w:tcPr>
          <w:p w14:paraId="2C099ADB" w14:textId="77777777" w:rsidR="003B3769" w:rsidRDefault="003B3769">
            <w:pPr>
              <w:jc w:val="right"/>
              <w:rPr>
                <w:sz w:val="20"/>
                <w:szCs w:val="20"/>
              </w:rPr>
            </w:pPr>
            <w:r>
              <w:rPr>
                <w:sz w:val="20"/>
                <w:szCs w:val="20"/>
              </w:rPr>
              <w:t>0,00</w:t>
            </w:r>
          </w:p>
        </w:tc>
        <w:tc>
          <w:tcPr>
            <w:tcW w:w="983" w:type="dxa"/>
            <w:tcBorders>
              <w:top w:val="nil"/>
              <w:left w:val="nil"/>
              <w:bottom w:val="nil"/>
              <w:right w:val="nil"/>
            </w:tcBorders>
            <w:shd w:val="clear" w:color="auto" w:fill="auto"/>
            <w:noWrap/>
            <w:vAlign w:val="bottom"/>
            <w:hideMark/>
          </w:tcPr>
          <w:p w14:paraId="078680A1" w14:textId="77777777" w:rsidR="003B3769" w:rsidRDefault="003B3769">
            <w:pPr>
              <w:jc w:val="right"/>
              <w:rPr>
                <w:sz w:val="20"/>
                <w:szCs w:val="20"/>
              </w:rPr>
            </w:pPr>
            <w:r>
              <w:rPr>
                <w:sz w:val="20"/>
                <w:szCs w:val="20"/>
              </w:rPr>
              <w:t>100,00</w:t>
            </w:r>
          </w:p>
        </w:tc>
      </w:tr>
      <w:tr w:rsidR="003B3769" w14:paraId="222ED2DC" w14:textId="77777777" w:rsidTr="00953AE7">
        <w:trPr>
          <w:trHeight w:val="300"/>
        </w:trPr>
        <w:tc>
          <w:tcPr>
            <w:tcW w:w="7268" w:type="dxa"/>
            <w:tcBorders>
              <w:top w:val="nil"/>
              <w:left w:val="nil"/>
              <w:bottom w:val="nil"/>
              <w:right w:val="nil"/>
            </w:tcBorders>
            <w:shd w:val="clear" w:color="auto" w:fill="auto"/>
            <w:noWrap/>
            <w:vAlign w:val="bottom"/>
            <w:hideMark/>
          </w:tcPr>
          <w:p w14:paraId="243599F2" w14:textId="77777777" w:rsidR="003B3769" w:rsidRDefault="003B3769">
            <w:pPr>
              <w:rPr>
                <w:b/>
                <w:bCs/>
                <w:sz w:val="20"/>
                <w:szCs w:val="20"/>
              </w:rPr>
            </w:pPr>
            <w:r>
              <w:rPr>
                <w:b/>
                <w:bCs/>
                <w:sz w:val="20"/>
                <w:szCs w:val="20"/>
              </w:rPr>
              <w:t>10 Socijalna zaštita</w:t>
            </w:r>
          </w:p>
        </w:tc>
        <w:tc>
          <w:tcPr>
            <w:tcW w:w="1660" w:type="dxa"/>
            <w:tcBorders>
              <w:top w:val="nil"/>
              <w:left w:val="nil"/>
              <w:bottom w:val="nil"/>
              <w:right w:val="nil"/>
            </w:tcBorders>
            <w:shd w:val="clear" w:color="auto" w:fill="auto"/>
            <w:noWrap/>
            <w:vAlign w:val="bottom"/>
            <w:hideMark/>
          </w:tcPr>
          <w:p w14:paraId="375FB0BB" w14:textId="77777777" w:rsidR="003B3769" w:rsidRDefault="003B3769">
            <w:pPr>
              <w:jc w:val="right"/>
              <w:rPr>
                <w:b/>
                <w:bCs/>
                <w:sz w:val="20"/>
                <w:szCs w:val="20"/>
              </w:rPr>
            </w:pPr>
            <w:r>
              <w:rPr>
                <w:b/>
                <w:bCs/>
                <w:sz w:val="20"/>
                <w:szCs w:val="20"/>
              </w:rPr>
              <w:t>947.511,96</w:t>
            </w:r>
          </w:p>
        </w:tc>
        <w:tc>
          <w:tcPr>
            <w:tcW w:w="1660" w:type="dxa"/>
            <w:tcBorders>
              <w:top w:val="nil"/>
              <w:left w:val="nil"/>
              <w:bottom w:val="nil"/>
              <w:right w:val="nil"/>
            </w:tcBorders>
            <w:shd w:val="clear" w:color="auto" w:fill="auto"/>
            <w:noWrap/>
            <w:vAlign w:val="bottom"/>
            <w:hideMark/>
          </w:tcPr>
          <w:p w14:paraId="6D0BCB46" w14:textId="77777777" w:rsidR="003B3769" w:rsidRDefault="003B3769">
            <w:pPr>
              <w:jc w:val="right"/>
              <w:rPr>
                <w:b/>
                <w:bCs/>
                <w:sz w:val="20"/>
                <w:szCs w:val="20"/>
              </w:rPr>
            </w:pPr>
            <w:r>
              <w:rPr>
                <w:b/>
                <w:bCs/>
                <w:sz w:val="20"/>
                <w:szCs w:val="20"/>
              </w:rPr>
              <w:t>997.220,00</w:t>
            </w:r>
          </w:p>
        </w:tc>
        <w:tc>
          <w:tcPr>
            <w:tcW w:w="1660" w:type="dxa"/>
            <w:tcBorders>
              <w:top w:val="nil"/>
              <w:left w:val="nil"/>
              <w:bottom w:val="nil"/>
              <w:right w:val="nil"/>
            </w:tcBorders>
            <w:shd w:val="clear" w:color="auto" w:fill="auto"/>
            <w:noWrap/>
            <w:vAlign w:val="bottom"/>
            <w:hideMark/>
          </w:tcPr>
          <w:p w14:paraId="7882385C" w14:textId="77777777" w:rsidR="003B3769" w:rsidRDefault="003B3769">
            <w:pPr>
              <w:jc w:val="right"/>
              <w:rPr>
                <w:b/>
                <w:bCs/>
                <w:sz w:val="20"/>
                <w:szCs w:val="20"/>
              </w:rPr>
            </w:pPr>
            <w:r>
              <w:rPr>
                <w:b/>
                <w:bCs/>
                <w:sz w:val="20"/>
                <w:szCs w:val="20"/>
              </w:rPr>
              <w:t>846.572,94</w:t>
            </w:r>
          </w:p>
        </w:tc>
        <w:tc>
          <w:tcPr>
            <w:tcW w:w="983" w:type="dxa"/>
            <w:tcBorders>
              <w:top w:val="nil"/>
              <w:left w:val="nil"/>
              <w:bottom w:val="nil"/>
              <w:right w:val="nil"/>
            </w:tcBorders>
            <w:shd w:val="clear" w:color="auto" w:fill="auto"/>
            <w:noWrap/>
            <w:vAlign w:val="bottom"/>
            <w:hideMark/>
          </w:tcPr>
          <w:p w14:paraId="36B90C0C" w14:textId="77777777" w:rsidR="003B3769" w:rsidRDefault="003B3769">
            <w:pPr>
              <w:jc w:val="right"/>
              <w:rPr>
                <w:b/>
                <w:bCs/>
                <w:sz w:val="20"/>
                <w:szCs w:val="20"/>
              </w:rPr>
            </w:pPr>
            <w:r>
              <w:rPr>
                <w:b/>
                <w:bCs/>
                <w:sz w:val="20"/>
                <w:szCs w:val="20"/>
              </w:rPr>
              <w:t>89,35</w:t>
            </w:r>
          </w:p>
        </w:tc>
        <w:tc>
          <w:tcPr>
            <w:tcW w:w="983" w:type="dxa"/>
            <w:tcBorders>
              <w:top w:val="nil"/>
              <w:left w:val="nil"/>
              <w:bottom w:val="nil"/>
              <w:right w:val="nil"/>
            </w:tcBorders>
            <w:shd w:val="clear" w:color="auto" w:fill="auto"/>
            <w:noWrap/>
            <w:vAlign w:val="bottom"/>
            <w:hideMark/>
          </w:tcPr>
          <w:p w14:paraId="740FEE1D" w14:textId="77777777" w:rsidR="003B3769" w:rsidRDefault="003B3769">
            <w:pPr>
              <w:jc w:val="right"/>
              <w:rPr>
                <w:b/>
                <w:bCs/>
                <w:sz w:val="20"/>
                <w:szCs w:val="20"/>
              </w:rPr>
            </w:pPr>
            <w:r>
              <w:rPr>
                <w:b/>
                <w:bCs/>
                <w:sz w:val="20"/>
                <w:szCs w:val="20"/>
              </w:rPr>
              <w:t>84,89</w:t>
            </w:r>
          </w:p>
        </w:tc>
      </w:tr>
      <w:tr w:rsidR="003B3769" w14:paraId="60DCCBBA" w14:textId="77777777" w:rsidTr="00953AE7">
        <w:trPr>
          <w:trHeight w:val="300"/>
        </w:trPr>
        <w:tc>
          <w:tcPr>
            <w:tcW w:w="7268" w:type="dxa"/>
            <w:tcBorders>
              <w:top w:val="nil"/>
              <w:left w:val="nil"/>
              <w:bottom w:val="nil"/>
              <w:right w:val="nil"/>
            </w:tcBorders>
            <w:shd w:val="clear" w:color="auto" w:fill="auto"/>
            <w:noWrap/>
            <w:vAlign w:val="bottom"/>
            <w:hideMark/>
          </w:tcPr>
          <w:p w14:paraId="795C135E" w14:textId="77777777" w:rsidR="003B3769" w:rsidRDefault="003B3769">
            <w:pPr>
              <w:rPr>
                <w:sz w:val="20"/>
                <w:szCs w:val="20"/>
              </w:rPr>
            </w:pPr>
            <w:r>
              <w:rPr>
                <w:sz w:val="20"/>
                <w:szCs w:val="20"/>
              </w:rPr>
              <w:t>101 Bolest i invaliditet</w:t>
            </w:r>
          </w:p>
        </w:tc>
        <w:tc>
          <w:tcPr>
            <w:tcW w:w="1660" w:type="dxa"/>
            <w:tcBorders>
              <w:top w:val="nil"/>
              <w:left w:val="nil"/>
              <w:bottom w:val="nil"/>
              <w:right w:val="nil"/>
            </w:tcBorders>
            <w:shd w:val="clear" w:color="auto" w:fill="auto"/>
            <w:noWrap/>
            <w:vAlign w:val="bottom"/>
            <w:hideMark/>
          </w:tcPr>
          <w:p w14:paraId="5C5FE7FF" w14:textId="77777777" w:rsidR="003B3769" w:rsidRDefault="003B3769">
            <w:pPr>
              <w:jc w:val="right"/>
              <w:rPr>
                <w:sz w:val="20"/>
                <w:szCs w:val="20"/>
              </w:rPr>
            </w:pPr>
            <w:r>
              <w:rPr>
                <w:sz w:val="20"/>
                <w:szCs w:val="20"/>
              </w:rPr>
              <w:t>3.500,00</w:t>
            </w:r>
          </w:p>
        </w:tc>
        <w:tc>
          <w:tcPr>
            <w:tcW w:w="1660" w:type="dxa"/>
            <w:tcBorders>
              <w:top w:val="nil"/>
              <w:left w:val="nil"/>
              <w:bottom w:val="nil"/>
              <w:right w:val="nil"/>
            </w:tcBorders>
            <w:shd w:val="clear" w:color="auto" w:fill="auto"/>
            <w:noWrap/>
            <w:vAlign w:val="bottom"/>
            <w:hideMark/>
          </w:tcPr>
          <w:p w14:paraId="6653FC5F" w14:textId="77777777" w:rsidR="003B3769" w:rsidRDefault="003B3769">
            <w:pPr>
              <w:jc w:val="right"/>
              <w:rPr>
                <w:sz w:val="20"/>
                <w:szCs w:val="20"/>
              </w:rPr>
            </w:pPr>
            <w:r>
              <w:rPr>
                <w:sz w:val="20"/>
                <w:szCs w:val="20"/>
              </w:rPr>
              <w:t>4.000,00</w:t>
            </w:r>
          </w:p>
        </w:tc>
        <w:tc>
          <w:tcPr>
            <w:tcW w:w="1660" w:type="dxa"/>
            <w:tcBorders>
              <w:top w:val="nil"/>
              <w:left w:val="nil"/>
              <w:bottom w:val="nil"/>
              <w:right w:val="nil"/>
            </w:tcBorders>
            <w:shd w:val="clear" w:color="auto" w:fill="auto"/>
            <w:noWrap/>
            <w:vAlign w:val="bottom"/>
            <w:hideMark/>
          </w:tcPr>
          <w:p w14:paraId="3F05C771" w14:textId="77777777" w:rsidR="003B3769" w:rsidRDefault="003B3769">
            <w:pPr>
              <w:jc w:val="right"/>
              <w:rPr>
                <w:sz w:val="20"/>
                <w:szCs w:val="20"/>
              </w:rPr>
            </w:pPr>
            <w:r>
              <w:rPr>
                <w:sz w:val="20"/>
                <w:szCs w:val="20"/>
              </w:rPr>
              <w:t>0,00</w:t>
            </w:r>
          </w:p>
        </w:tc>
        <w:tc>
          <w:tcPr>
            <w:tcW w:w="983" w:type="dxa"/>
            <w:tcBorders>
              <w:top w:val="nil"/>
              <w:left w:val="nil"/>
              <w:bottom w:val="nil"/>
              <w:right w:val="nil"/>
            </w:tcBorders>
            <w:shd w:val="clear" w:color="auto" w:fill="auto"/>
            <w:noWrap/>
            <w:vAlign w:val="bottom"/>
            <w:hideMark/>
          </w:tcPr>
          <w:p w14:paraId="5BC10859" w14:textId="77777777" w:rsidR="003B3769" w:rsidRDefault="003B3769">
            <w:pPr>
              <w:jc w:val="right"/>
              <w:rPr>
                <w:sz w:val="20"/>
                <w:szCs w:val="20"/>
              </w:rPr>
            </w:pPr>
            <w:r>
              <w:rPr>
                <w:sz w:val="20"/>
                <w:szCs w:val="20"/>
              </w:rPr>
              <w:t>0,00</w:t>
            </w:r>
          </w:p>
        </w:tc>
        <w:tc>
          <w:tcPr>
            <w:tcW w:w="983" w:type="dxa"/>
            <w:tcBorders>
              <w:top w:val="nil"/>
              <w:left w:val="nil"/>
              <w:bottom w:val="nil"/>
              <w:right w:val="nil"/>
            </w:tcBorders>
            <w:shd w:val="clear" w:color="auto" w:fill="auto"/>
            <w:noWrap/>
            <w:vAlign w:val="bottom"/>
            <w:hideMark/>
          </w:tcPr>
          <w:p w14:paraId="176A376B" w14:textId="77777777" w:rsidR="003B3769" w:rsidRDefault="003B3769">
            <w:pPr>
              <w:jc w:val="right"/>
              <w:rPr>
                <w:sz w:val="20"/>
                <w:szCs w:val="20"/>
              </w:rPr>
            </w:pPr>
            <w:r>
              <w:rPr>
                <w:sz w:val="20"/>
                <w:szCs w:val="20"/>
              </w:rPr>
              <w:t>0,00</w:t>
            </w:r>
          </w:p>
        </w:tc>
      </w:tr>
      <w:tr w:rsidR="003B3769" w14:paraId="0510B38E" w14:textId="77777777" w:rsidTr="00953AE7">
        <w:trPr>
          <w:trHeight w:val="300"/>
        </w:trPr>
        <w:tc>
          <w:tcPr>
            <w:tcW w:w="7268" w:type="dxa"/>
            <w:tcBorders>
              <w:top w:val="nil"/>
              <w:left w:val="nil"/>
              <w:bottom w:val="nil"/>
              <w:right w:val="nil"/>
            </w:tcBorders>
            <w:shd w:val="clear" w:color="auto" w:fill="auto"/>
            <w:noWrap/>
            <w:vAlign w:val="bottom"/>
            <w:hideMark/>
          </w:tcPr>
          <w:p w14:paraId="11807FD5" w14:textId="77777777" w:rsidR="003B3769" w:rsidRDefault="003B3769">
            <w:pPr>
              <w:rPr>
                <w:sz w:val="20"/>
                <w:szCs w:val="20"/>
              </w:rPr>
            </w:pPr>
            <w:r>
              <w:rPr>
                <w:sz w:val="20"/>
                <w:szCs w:val="20"/>
              </w:rPr>
              <w:t>102 Starost</w:t>
            </w:r>
          </w:p>
        </w:tc>
        <w:tc>
          <w:tcPr>
            <w:tcW w:w="1660" w:type="dxa"/>
            <w:tcBorders>
              <w:top w:val="nil"/>
              <w:left w:val="nil"/>
              <w:bottom w:val="nil"/>
              <w:right w:val="nil"/>
            </w:tcBorders>
            <w:shd w:val="clear" w:color="auto" w:fill="auto"/>
            <w:noWrap/>
            <w:vAlign w:val="bottom"/>
            <w:hideMark/>
          </w:tcPr>
          <w:p w14:paraId="09B4B904" w14:textId="77777777" w:rsidR="003B3769" w:rsidRDefault="003B3769">
            <w:pPr>
              <w:jc w:val="right"/>
              <w:rPr>
                <w:sz w:val="20"/>
                <w:szCs w:val="20"/>
              </w:rPr>
            </w:pPr>
            <w:r>
              <w:rPr>
                <w:sz w:val="20"/>
                <w:szCs w:val="20"/>
              </w:rPr>
              <w:t>63.300,00</w:t>
            </w:r>
          </w:p>
        </w:tc>
        <w:tc>
          <w:tcPr>
            <w:tcW w:w="1660" w:type="dxa"/>
            <w:tcBorders>
              <w:top w:val="nil"/>
              <w:left w:val="nil"/>
              <w:bottom w:val="nil"/>
              <w:right w:val="nil"/>
            </w:tcBorders>
            <w:shd w:val="clear" w:color="auto" w:fill="auto"/>
            <w:noWrap/>
            <w:vAlign w:val="bottom"/>
            <w:hideMark/>
          </w:tcPr>
          <w:p w14:paraId="752A8F7D" w14:textId="77777777" w:rsidR="003B3769" w:rsidRDefault="003B3769">
            <w:pPr>
              <w:jc w:val="right"/>
              <w:rPr>
                <w:sz w:val="20"/>
                <w:szCs w:val="20"/>
              </w:rPr>
            </w:pPr>
            <w:r>
              <w:rPr>
                <w:sz w:val="20"/>
                <w:szCs w:val="20"/>
              </w:rPr>
              <w:t>90.000,00</w:t>
            </w:r>
          </w:p>
        </w:tc>
        <w:tc>
          <w:tcPr>
            <w:tcW w:w="1660" w:type="dxa"/>
            <w:tcBorders>
              <w:top w:val="nil"/>
              <w:left w:val="nil"/>
              <w:bottom w:val="nil"/>
              <w:right w:val="nil"/>
            </w:tcBorders>
            <w:shd w:val="clear" w:color="auto" w:fill="auto"/>
            <w:noWrap/>
            <w:vAlign w:val="bottom"/>
            <w:hideMark/>
          </w:tcPr>
          <w:p w14:paraId="7CCFA1B9" w14:textId="77777777" w:rsidR="003B3769" w:rsidRDefault="003B3769">
            <w:pPr>
              <w:jc w:val="right"/>
              <w:rPr>
                <w:sz w:val="20"/>
                <w:szCs w:val="20"/>
              </w:rPr>
            </w:pPr>
            <w:r>
              <w:rPr>
                <w:sz w:val="20"/>
                <w:szCs w:val="20"/>
              </w:rPr>
              <w:t>85.200,00</w:t>
            </w:r>
          </w:p>
        </w:tc>
        <w:tc>
          <w:tcPr>
            <w:tcW w:w="983" w:type="dxa"/>
            <w:tcBorders>
              <w:top w:val="nil"/>
              <w:left w:val="nil"/>
              <w:bottom w:val="nil"/>
              <w:right w:val="nil"/>
            </w:tcBorders>
            <w:shd w:val="clear" w:color="auto" w:fill="auto"/>
            <w:noWrap/>
            <w:vAlign w:val="bottom"/>
            <w:hideMark/>
          </w:tcPr>
          <w:p w14:paraId="447C2507" w14:textId="77777777" w:rsidR="003B3769" w:rsidRDefault="003B3769">
            <w:pPr>
              <w:jc w:val="right"/>
              <w:rPr>
                <w:sz w:val="20"/>
                <w:szCs w:val="20"/>
              </w:rPr>
            </w:pPr>
            <w:r>
              <w:rPr>
                <w:sz w:val="20"/>
                <w:szCs w:val="20"/>
              </w:rPr>
              <w:t>134,60</w:t>
            </w:r>
          </w:p>
        </w:tc>
        <w:tc>
          <w:tcPr>
            <w:tcW w:w="983" w:type="dxa"/>
            <w:tcBorders>
              <w:top w:val="nil"/>
              <w:left w:val="nil"/>
              <w:bottom w:val="nil"/>
              <w:right w:val="nil"/>
            </w:tcBorders>
            <w:shd w:val="clear" w:color="auto" w:fill="auto"/>
            <w:noWrap/>
            <w:vAlign w:val="bottom"/>
            <w:hideMark/>
          </w:tcPr>
          <w:p w14:paraId="69A549E5" w14:textId="77777777" w:rsidR="003B3769" w:rsidRDefault="003B3769">
            <w:pPr>
              <w:jc w:val="right"/>
              <w:rPr>
                <w:sz w:val="20"/>
                <w:szCs w:val="20"/>
              </w:rPr>
            </w:pPr>
            <w:r>
              <w:rPr>
                <w:sz w:val="20"/>
                <w:szCs w:val="20"/>
              </w:rPr>
              <w:t>94,67</w:t>
            </w:r>
          </w:p>
        </w:tc>
      </w:tr>
      <w:tr w:rsidR="003B3769" w14:paraId="7E84B551" w14:textId="77777777" w:rsidTr="00953AE7">
        <w:trPr>
          <w:trHeight w:val="300"/>
        </w:trPr>
        <w:tc>
          <w:tcPr>
            <w:tcW w:w="7268" w:type="dxa"/>
            <w:tcBorders>
              <w:top w:val="nil"/>
              <w:left w:val="nil"/>
              <w:bottom w:val="nil"/>
              <w:right w:val="nil"/>
            </w:tcBorders>
            <w:shd w:val="clear" w:color="auto" w:fill="auto"/>
            <w:noWrap/>
            <w:vAlign w:val="bottom"/>
            <w:hideMark/>
          </w:tcPr>
          <w:p w14:paraId="6CC50E7F" w14:textId="77777777" w:rsidR="003B3769" w:rsidRDefault="003B3769">
            <w:pPr>
              <w:rPr>
                <w:sz w:val="20"/>
                <w:szCs w:val="20"/>
              </w:rPr>
            </w:pPr>
            <w:r>
              <w:rPr>
                <w:sz w:val="20"/>
                <w:szCs w:val="20"/>
              </w:rPr>
              <w:t>103 Sljednici</w:t>
            </w:r>
          </w:p>
        </w:tc>
        <w:tc>
          <w:tcPr>
            <w:tcW w:w="1660" w:type="dxa"/>
            <w:tcBorders>
              <w:top w:val="nil"/>
              <w:left w:val="nil"/>
              <w:bottom w:val="nil"/>
              <w:right w:val="nil"/>
            </w:tcBorders>
            <w:shd w:val="clear" w:color="auto" w:fill="auto"/>
            <w:noWrap/>
            <w:vAlign w:val="bottom"/>
            <w:hideMark/>
          </w:tcPr>
          <w:p w14:paraId="5ECA1C04" w14:textId="77777777" w:rsidR="003B3769" w:rsidRDefault="003B3769">
            <w:pPr>
              <w:jc w:val="right"/>
              <w:rPr>
                <w:sz w:val="20"/>
                <w:szCs w:val="20"/>
              </w:rPr>
            </w:pPr>
            <w:r>
              <w:rPr>
                <w:sz w:val="20"/>
                <w:szCs w:val="20"/>
              </w:rPr>
              <w:t>13.439,50</w:t>
            </w:r>
          </w:p>
        </w:tc>
        <w:tc>
          <w:tcPr>
            <w:tcW w:w="1660" w:type="dxa"/>
            <w:tcBorders>
              <w:top w:val="nil"/>
              <w:left w:val="nil"/>
              <w:bottom w:val="nil"/>
              <w:right w:val="nil"/>
            </w:tcBorders>
            <w:shd w:val="clear" w:color="auto" w:fill="auto"/>
            <w:noWrap/>
            <w:vAlign w:val="bottom"/>
            <w:hideMark/>
          </w:tcPr>
          <w:p w14:paraId="0AA1A54A" w14:textId="77777777" w:rsidR="003B3769" w:rsidRDefault="003B3769">
            <w:pPr>
              <w:jc w:val="right"/>
              <w:rPr>
                <w:sz w:val="20"/>
                <w:szCs w:val="20"/>
              </w:rPr>
            </w:pPr>
            <w:r>
              <w:rPr>
                <w:sz w:val="20"/>
                <w:szCs w:val="20"/>
              </w:rPr>
              <w:t>13.000,00</w:t>
            </w:r>
          </w:p>
        </w:tc>
        <w:tc>
          <w:tcPr>
            <w:tcW w:w="1660" w:type="dxa"/>
            <w:tcBorders>
              <w:top w:val="nil"/>
              <w:left w:val="nil"/>
              <w:bottom w:val="nil"/>
              <w:right w:val="nil"/>
            </w:tcBorders>
            <w:shd w:val="clear" w:color="auto" w:fill="auto"/>
            <w:noWrap/>
            <w:vAlign w:val="bottom"/>
            <w:hideMark/>
          </w:tcPr>
          <w:p w14:paraId="764EC792" w14:textId="77777777" w:rsidR="003B3769" w:rsidRDefault="003B3769">
            <w:pPr>
              <w:jc w:val="right"/>
              <w:rPr>
                <w:sz w:val="20"/>
                <w:szCs w:val="20"/>
              </w:rPr>
            </w:pPr>
            <w:r>
              <w:rPr>
                <w:sz w:val="20"/>
                <w:szCs w:val="20"/>
              </w:rPr>
              <w:t>8.095,25</w:t>
            </w:r>
          </w:p>
        </w:tc>
        <w:tc>
          <w:tcPr>
            <w:tcW w:w="983" w:type="dxa"/>
            <w:tcBorders>
              <w:top w:val="nil"/>
              <w:left w:val="nil"/>
              <w:bottom w:val="nil"/>
              <w:right w:val="nil"/>
            </w:tcBorders>
            <w:shd w:val="clear" w:color="auto" w:fill="auto"/>
            <w:noWrap/>
            <w:vAlign w:val="bottom"/>
            <w:hideMark/>
          </w:tcPr>
          <w:p w14:paraId="474B1503" w14:textId="77777777" w:rsidR="003B3769" w:rsidRDefault="003B3769">
            <w:pPr>
              <w:jc w:val="right"/>
              <w:rPr>
                <w:sz w:val="20"/>
                <w:szCs w:val="20"/>
              </w:rPr>
            </w:pPr>
            <w:r>
              <w:rPr>
                <w:sz w:val="20"/>
                <w:szCs w:val="20"/>
              </w:rPr>
              <w:t>60,23</w:t>
            </w:r>
          </w:p>
        </w:tc>
        <w:tc>
          <w:tcPr>
            <w:tcW w:w="983" w:type="dxa"/>
            <w:tcBorders>
              <w:top w:val="nil"/>
              <w:left w:val="nil"/>
              <w:bottom w:val="nil"/>
              <w:right w:val="nil"/>
            </w:tcBorders>
            <w:shd w:val="clear" w:color="auto" w:fill="auto"/>
            <w:noWrap/>
            <w:vAlign w:val="bottom"/>
            <w:hideMark/>
          </w:tcPr>
          <w:p w14:paraId="2672005D" w14:textId="77777777" w:rsidR="003B3769" w:rsidRDefault="003B3769">
            <w:pPr>
              <w:jc w:val="right"/>
              <w:rPr>
                <w:sz w:val="20"/>
                <w:szCs w:val="20"/>
              </w:rPr>
            </w:pPr>
            <w:r>
              <w:rPr>
                <w:sz w:val="20"/>
                <w:szCs w:val="20"/>
              </w:rPr>
              <w:t>62,27</w:t>
            </w:r>
          </w:p>
        </w:tc>
      </w:tr>
      <w:tr w:rsidR="003B3769" w14:paraId="77DB4C46" w14:textId="77777777" w:rsidTr="00953AE7">
        <w:trPr>
          <w:trHeight w:val="300"/>
        </w:trPr>
        <w:tc>
          <w:tcPr>
            <w:tcW w:w="7268" w:type="dxa"/>
            <w:tcBorders>
              <w:top w:val="nil"/>
              <w:left w:val="nil"/>
              <w:bottom w:val="nil"/>
              <w:right w:val="nil"/>
            </w:tcBorders>
            <w:shd w:val="clear" w:color="auto" w:fill="auto"/>
            <w:noWrap/>
            <w:vAlign w:val="bottom"/>
            <w:hideMark/>
          </w:tcPr>
          <w:p w14:paraId="442CD3D8" w14:textId="77777777" w:rsidR="003B3769" w:rsidRDefault="003B3769">
            <w:pPr>
              <w:rPr>
                <w:sz w:val="20"/>
                <w:szCs w:val="20"/>
              </w:rPr>
            </w:pPr>
            <w:r>
              <w:rPr>
                <w:sz w:val="20"/>
                <w:szCs w:val="20"/>
              </w:rPr>
              <w:t>104 Obitelj i djeca</w:t>
            </w:r>
          </w:p>
        </w:tc>
        <w:tc>
          <w:tcPr>
            <w:tcW w:w="1660" w:type="dxa"/>
            <w:tcBorders>
              <w:top w:val="nil"/>
              <w:left w:val="nil"/>
              <w:bottom w:val="nil"/>
              <w:right w:val="nil"/>
            </w:tcBorders>
            <w:shd w:val="clear" w:color="auto" w:fill="auto"/>
            <w:noWrap/>
            <w:vAlign w:val="bottom"/>
            <w:hideMark/>
          </w:tcPr>
          <w:p w14:paraId="06C7E335" w14:textId="77777777" w:rsidR="003B3769" w:rsidRDefault="003B3769">
            <w:pPr>
              <w:jc w:val="right"/>
              <w:rPr>
                <w:sz w:val="20"/>
                <w:szCs w:val="20"/>
              </w:rPr>
            </w:pPr>
            <w:r>
              <w:rPr>
                <w:sz w:val="20"/>
                <w:szCs w:val="20"/>
              </w:rPr>
              <w:t>105.521,09</w:t>
            </w:r>
          </w:p>
        </w:tc>
        <w:tc>
          <w:tcPr>
            <w:tcW w:w="1660" w:type="dxa"/>
            <w:tcBorders>
              <w:top w:val="nil"/>
              <w:left w:val="nil"/>
              <w:bottom w:val="nil"/>
              <w:right w:val="nil"/>
            </w:tcBorders>
            <w:shd w:val="clear" w:color="auto" w:fill="auto"/>
            <w:noWrap/>
            <w:vAlign w:val="bottom"/>
            <w:hideMark/>
          </w:tcPr>
          <w:p w14:paraId="3D6424A6" w14:textId="77777777" w:rsidR="003B3769" w:rsidRDefault="003B3769">
            <w:pPr>
              <w:jc w:val="right"/>
              <w:rPr>
                <w:sz w:val="20"/>
                <w:szCs w:val="20"/>
              </w:rPr>
            </w:pPr>
            <w:r>
              <w:rPr>
                <w:sz w:val="20"/>
                <w:szCs w:val="20"/>
              </w:rPr>
              <w:t>166.000,00</w:t>
            </w:r>
          </w:p>
        </w:tc>
        <w:tc>
          <w:tcPr>
            <w:tcW w:w="1660" w:type="dxa"/>
            <w:tcBorders>
              <w:top w:val="nil"/>
              <w:left w:val="nil"/>
              <w:bottom w:val="nil"/>
              <w:right w:val="nil"/>
            </w:tcBorders>
            <w:shd w:val="clear" w:color="auto" w:fill="auto"/>
            <w:noWrap/>
            <w:vAlign w:val="bottom"/>
            <w:hideMark/>
          </w:tcPr>
          <w:p w14:paraId="45DEB737" w14:textId="77777777" w:rsidR="003B3769" w:rsidRDefault="003B3769">
            <w:pPr>
              <w:jc w:val="right"/>
              <w:rPr>
                <w:sz w:val="20"/>
                <w:szCs w:val="20"/>
              </w:rPr>
            </w:pPr>
            <w:r>
              <w:rPr>
                <w:sz w:val="20"/>
                <w:szCs w:val="20"/>
              </w:rPr>
              <w:t>114.311,11</w:t>
            </w:r>
          </w:p>
        </w:tc>
        <w:tc>
          <w:tcPr>
            <w:tcW w:w="983" w:type="dxa"/>
            <w:tcBorders>
              <w:top w:val="nil"/>
              <w:left w:val="nil"/>
              <w:bottom w:val="nil"/>
              <w:right w:val="nil"/>
            </w:tcBorders>
            <w:shd w:val="clear" w:color="auto" w:fill="auto"/>
            <w:noWrap/>
            <w:vAlign w:val="bottom"/>
            <w:hideMark/>
          </w:tcPr>
          <w:p w14:paraId="0C279AB1" w14:textId="77777777" w:rsidR="003B3769" w:rsidRDefault="003B3769">
            <w:pPr>
              <w:jc w:val="right"/>
              <w:rPr>
                <w:sz w:val="20"/>
                <w:szCs w:val="20"/>
              </w:rPr>
            </w:pPr>
            <w:r>
              <w:rPr>
                <w:sz w:val="20"/>
                <w:szCs w:val="20"/>
              </w:rPr>
              <w:t>108,33</w:t>
            </w:r>
          </w:p>
        </w:tc>
        <w:tc>
          <w:tcPr>
            <w:tcW w:w="983" w:type="dxa"/>
            <w:tcBorders>
              <w:top w:val="nil"/>
              <w:left w:val="nil"/>
              <w:bottom w:val="nil"/>
              <w:right w:val="nil"/>
            </w:tcBorders>
            <w:shd w:val="clear" w:color="auto" w:fill="auto"/>
            <w:noWrap/>
            <w:vAlign w:val="bottom"/>
            <w:hideMark/>
          </w:tcPr>
          <w:p w14:paraId="66662661" w14:textId="77777777" w:rsidR="003B3769" w:rsidRDefault="003B3769">
            <w:pPr>
              <w:jc w:val="right"/>
              <w:rPr>
                <w:sz w:val="20"/>
                <w:szCs w:val="20"/>
              </w:rPr>
            </w:pPr>
            <w:r>
              <w:rPr>
                <w:sz w:val="20"/>
                <w:szCs w:val="20"/>
              </w:rPr>
              <w:t>68,86</w:t>
            </w:r>
          </w:p>
        </w:tc>
      </w:tr>
      <w:tr w:rsidR="003B3769" w14:paraId="36F73FEE" w14:textId="77777777" w:rsidTr="00953AE7">
        <w:trPr>
          <w:trHeight w:val="300"/>
        </w:trPr>
        <w:tc>
          <w:tcPr>
            <w:tcW w:w="7268" w:type="dxa"/>
            <w:tcBorders>
              <w:top w:val="nil"/>
              <w:left w:val="nil"/>
              <w:bottom w:val="nil"/>
              <w:right w:val="nil"/>
            </w:tcBorders>
            <w:shd w:val="clear" w:color="auto" w:fill="auto"/>
            <w:noWrap/>
            <w:vAlign w:val="bottom"/>
            <w:hideMark/>
          </w:tcPr>
          <w:p w14:paraId="330A0EFE" w14:textId="77777777" w:rsidR="003B3769" w:rsidRDefault="003B3769">
            <w:pPr>
              <w:rPr>
                <w:sz w:val="20"/>
                <w:szCs w:val="20"/>
              </w:rPr>
            </w:pPr>
            <w:r>
              <w:rPr>
                <w:sz w:val="20"/>
                <w:szCs w:val="20"/>
              </w:rPr>
              <w:t>106 Stanovanje</w:t>
            </w:r>
          </w:p>
        </w:tc>
        <w:tc>
          <w:tcPr>
            <w:tcW w:w="1660" w:type="dxa"/>
            <w:tcBorders>
              <w:top w:val="nil"/>
              <w:left w:val="nil"/>
              <w:bottom w:val="nil"/>
              <w:right w:val="nil"/>
            </w:tcBorders>
            <w:shd w:val="clear" w:color="auto" w:fill="auto"/>
            <w:noWrap/>
            <w:vAlign w:val="bottom"/>
            <w:hideMark/>
          </w:tcPr>
          <w:p w14:paraId="23EDFFF7" w14:textId="77777777" w:rsidR="003B3769" w:rsidRDefault="003B3769">
            <w:pPr>
              <w:jc w:val="right"/>
              <w:rPr>
                <w:sz w:val="20"/>
                <w:szCs w:val="20"/>
              </w:rPr>
            </w:pPr>
            <w:r>
              <w:rPr>
                <w:sz w:val="20"/>
                <w:szCs w:val="20"/>
              </w:rPr>
              <w:t>107.056,39</w:t>
            </w:r>
          </w:p>
        </w:tc>
        <w:tc>
          <w:tcPr>
            <w:tcW w:w="1660" w:type="dxa"/>
            <w:tcBorders>
              <w:top w:val="nil"/>
              <w:left w:val="nil"/>
              <w:bottom w:val="nil"/>
              <w:right w:val="nil"/>
            </w:tcBorders>
            <w:shd w:val="clear" w:color="auto" w:fill="auto"/>
            <w:noWrap/>
            <w:vAlign w:val="bottom"/>
            <w:hideMark/>
          </w:tcPr>
          <w:p w14:paraId="7C816A76" w14:textId="77777777" w:rsidR="003B3769" w:rsidRDefault="003B3769">
            <w:pPr>
              <w:jc w:val="right"/>
              <w:rPr>
                <w:sz w:val="20"/>
                <w:szCs w:val="20"/>
              </w:rPr>
            </w:pPr>
            <w:r>
              <w:rPr>
                <w:sz w:val="20"/>
                <w:szCs w:val="20"/>
              </w:rPr>
              <w:t>165.200,00</w:t>
            </w:r>
          </w:p>
        </w:tc>
        <w:tc>
          <w:tcPr>
            <w:tcW w:w="1660" w:type="dxa"/>
            <w:tcBorders>
              <w:top w:val="nil"/>
              <w:left w:val="nil"/>
              <w:bottom w:val="nil"/>
              <w:right w:val="nil"/>
            </w:tcBorders>
            <w:shd w:val="clear" w:color="auto" w:fill="auto"/>
            <w:noWrap/>
            <w:vAlign w:val="bottom"/>
            <w:hideMark/>
          </w:tcPr>
          <w:p w14:paraId="0BDE38DE" w14:textId="77777777" w:rsidR="003B3769" w:rsidRDefault="003B3769">
            <w:pPr>
              <w:jc w:val="right"/>
              <w:rPr>
                <w:sz w:val="20"/>
                <w:szCs w:val="20"/>
              </w:rPr>
            </w:pPr>
            <w:r>
              <w:rPr>
                <w:sz w:val="20"/>
                <w:szCs w:val="20"/>
              </w:rPr>
              <w:t>89.344,71</w:t>
            </w:r>
          </w:p>
        </w:tc>
        <w:tc>
          <w:tcPr>
            <w:tcW w:w="983" w:type="dxa"/>
            <w:tcBorders>
              <w:top w:val="nil"/>
              <w:left w:val="nil"/>
              <w:bottom w:val="nil"/>
              <w:right w:val="nil"/>
            </w:tcBorders>
            <w:shd w:val="clear" w:color="auto" w:fill="auto"/>
            <w:noWrap/>
            <w:vAlign w:val="bottom"/>
            <w:hideMark/>
          </w:tcPr>
          <w:p w14:paraId="673843D5" w14:textId="77777777" w:rsidR="003B3769" w:rsidRDefault="003B3769">
            <w:pPr>
              <w:jc w:val="right"/>
              <w:rPr>
                <w:sz w:val="20"/>
                <w:szCs w:val="20"/>
              </w:rPr>
            </w:pPr>
            <w:r>
              <w:rPr>
                <w:sz w:val="20"/>
                <w:szCs w:val="20"/>
              </w:rPr>
              <w:t>83,46</w:t>
            </w:r>
          </w:p>
        </w:tc>
        <w:tc>
          <w:tcPr>
            <w:tcW w:w="983" w:type="dxa"/>
            <w:tcBorders>
              <w:top w:val="nil"/>
              <w:left w:val="nil"/>
              <w:bottom w:val="nil"/>
              <w:right w:val="nil"/>
            </w:tcBorders>
            <w:shd w:val="clear" w:color="auto" w:fill="auto"/>
            <w:noWrap/>
            <w:vAlign w:val="bottom"/>
            <w:hideMark/>
          </w:tcPr>
          <w:p w14:paraId="748F4281" w14:textId="77777777" w:rsidR="003B3769" w:rsidRDefault="003B3769">
            <w:pPr>
              <w:jc w:val="right"/>
              <w:rPr>
                <w:sz w:val="20"/>
                <w:szCs w:val="20"/>
              </w:rPr>
            </w:pPr>
            <w:r>
              <w:rPr>
                <w:sz w:val="20"/>
                <w:szCs w:val="20"/>
              </w:rPr>
              <w:t>54,08</w:t>
            </w:r>
          </w:p>
        </w:tc>
      </w:tr>
      <w:tr w:rsidR="003B3769" w14:paraId="2FD6367D" w14:textId="77777777" w:rsidTr="00953AE7">
        <w:trPr>
          <w:trHeight w:val="300"/>
        </w:trPr>
        <w:tc>
          <w:tcPr>
            <w:tcW w:w="7268" w:type="dxa"/>
            <w:tcBorders>
              <w:top w:val="nil"/>
              <w:left w:val="nil"/>
              <w:bottom w:val="nil"/>
              <w:right w:val="nil"/>
            </w:tcBorders>
            <w:shd w:val="clear" w:color="auto" w:fill="auto"/>
            <w:noWrap/>
            <w:vAlign w:val="bottom"/>
            <w:hideMark/>
          </w:tcPr>
          <w:p w14:paraId="465C6B0C" w14:textId="77777777" w:rsidR="003B3769" w:rsidRDefault="003B3769">
            <w:pPr>
              <w:rPr>
                <w:sz w:val="20"/>
                <w:szCs w:val="20"/>
              </w:rPr>
            </w:pPr>
            <w:r>
              <w:rPr>
                <w:sz w:val="20"/>
                <w:szCs w:val="20"/>
              </w:rPr>
              <w:t>107 Socijalna pomoć stanovništvu koje nije obuhvaćeno redovnim socijalnim programima</w:t>
            </w:r>
          </w:p>
        </w:tc>
        <w:tc>
          <w:tcPr>
            <w:tcW w:w="1660" w:type="dxa"/>
            <w:tcBorders>
              <w:top w:val="nil"/>
              <w:left w:val="nil"/>
              <w:bottom w:val="nil"/>
              <w:right w:val="nil"/>
            </w:tcBorders>
            <w:shd w:val="clear" w:color="auto" w:fill="auto"/>
            <w:noWrap/>
            <w:vAlign w:val="bottom"/>
            <w:hideMark/>
          </w:tcPr>
          <w:p w14:paraId="6283802D" w14:textId="77777777" w:rsidR="003B3769" w:rsidRDefault="003B3769">
            <w:pPr>
              <w:jc w:val="right"/>
              <w:rPr>
                <w:sz w:val="20"/>
                <w:szCs w:val="20"/>
              </w:rPr>
            </w:pPr>
            <w:r>
              <w:rPr>
                <w:sz w:val="20"/>
                <w:szCs w:val="20"/>
              </w:rPr>
              <w:t>649.694,98</w:t>
            </w:r>
          </w:p>
        </w:tc>
        <w:tc>
          <w:tcPr>
            <w:tcW w:w="1660" w:type="dxa"/>
            <w:tcBorders>
              <w:top w:val="nil"/>
              <w:left w:val="nil"/>
              <w:bottom w:val="nil"/>
              <w:right w:val="nil"/>
            </w:tcBorders>
            <w:shd w:val="clear" w:color="auto" w:fill="auto"/>
            <w:noWrap/>
            <w:vAlign w:val="bottom"/>
            <w:hideMark/>
          </w:tcPr>
          <w:p w14:paraId="69D92FDD" w14:textId="77777777" w:rsidR="003B3769" w:rsidRDefault="003B3769">
            <w:pPr>
              <w:jc w:val="right"/>
              <w:rPr>
                <w:sz w:val="20"/>
                <w:szCs w:val="20"/>
              </w:rPr>
            </w:pPr>
            <w:r>
              <w:rPr>
                <w:sz w:val="20"/>
                <w:szCs w:val="20"/>
              </w:rPr>
              <w:t>559.020,00</w:t>
            </w:r>
          </w:p>
        </w:tc>
        <w:tc>
          <w:tcPr>
            <w:tcW w:w="1660" w:type="dxa"/>
            <w:tcBorders>
              <w:top w:val="nil"/>
              <w:left w:val="nil"/>
              <w:bottom w:val="nil"/>
              <w:right w:val="nil"/>
            </w:tcBorders>
            <w:shd w:val="clear" w:color="auto" w:fill="auto"/>
            <w:noWrap/>
            <w:vAlign w:val="bottom"/>
            <w:hideMark/>
          </w:tcPr>
          <w:p w14:paraId="4C0E123E" w14:textId="77777777" w:rsidR="003B3769" w:rsidRDefault="003B3769">
            <w:pPr>
              <w:jc w:val="right"/>
              <w:rPr>
                <w:sz w:val="20"/>
                <w:szCs w:val="20"/>
              </w:rPr>
            </w:pPr>
            <w:r>
              <w:rPr>
                <w:sz w:val="20"/>
                <w:szCs w:val="20"/>
              </w:rPr>
              <w:t>549.621,87</w:t>
            </w:r>
          </w:p>
        </w:tc>
        <w:tc>
          <w:tcPr>
            <w:tcW w:w="983" w:type="dxa"/>
            <w:tcBorders>
              <w:top w:val="nil"/>
              <w:left w:val="nil"/>
              <w:bottom w:val="nil"/>
              <w:right w:val="nil"/>
            </w:tcBorders>
            <w:shd w:val="clear" w:color="auto" w:fill="auto"/>
            <w:noWrap/>
            <w:vAlign w:val="bottom"/>
            <w:hideMark/>
          </w:tcPr>
          <w:p w14:paraId="52DEB003" w14:textId="77777777" w:rsidR="003B3769" w:rsidRDefault="003B3769">
            <w:pPr>
              <w:jc w:val="right"/>
              <w:rPr>
                <w:sz w:val="20"/>
                <w:szCs w:val="20"/>
              </w:rPr>
            </w:pPr>
            <w:r>
              <w:rPr>
                <w:sz w:val="20"/>
                <w:szCs w:val="20"/>
              </w:rPr>
              <w:t>84,60</w:t>
            </w:r>
          </w:p>
        </w:tc>
        <w:tc>
          <w:tcPr>
            <w:tcW w:w="983" w:type="dxa"/>
            <w:tcBorders>
              <w:top w:val="nil"/>
              <w:left w:val="nil"/>
              <w:bottom w:val="nil"/>
              <w:right w:val="nil"/>
            </w:tcBorders>
            <w:shd w:val="clear" w:color="auto" w:fill="auto"/>
            <w:noWrap/>
            <w:vAlign w:val="bottom"/>
            <w:hideMark/>
          </w:tcPr>
          <w:p w14:paraId="4413349D" w14:textId="77777777" w:rsidR="003B3769" w:rsidRDefault="003B3769">
            <w:pPr>
              <w:jc w:val="right"/>
              <w:rPr>
                <w:sz w:val="20"/>
                <w:szCs w:val="20"/>
              </w:rPr>
            </w:pPr>
            <w:r>
              <w:rPr>
                <w:sz w:val="20"/>
                <w:szCs w:val="20"/>
              </w:rPr>
              <w:t>98,32</w:t>
            </w:r>
          </w:p>
        </w:tc>
      </w:tr>
      <w:tr w:rsidR="003B3769" w14:paraId="584C8C4E" w14:textId="77777777" w:rsidTr="00953AE7">
        <w:trPr>
          <w:trHeight w:val="300"/>
        </w:trPr>
        <w:tc>
          <w:tcPr>
            <w:tcW w:w="7268" w:type="dxa"/>
            <w:tcBorders>
              <w:top w:val="nil"/>
              <w:left w:val="nil"/>
              <w:bottom w:val="single" w:sz="4" w:space="0" w:color="auto"/>
              <w:right w:val="nil"/>
            </w:tcBorders>
            <w:shd w:val="clear" w:color="auto" w:fill="auto"/>
            <w:noWrap/>
            <w:vAlign w:val="bottom"/>
            <w:hideMark/>
          </w:tcPr>
          <w:p w14:paraId="47F52FE1" w14:textId="77777777" w:rsidR="003B3769" w:rsidRDefault="003B3769">
            <w:pPr>
              <w:rPr>
                <w:sz w:val="20"/>
                <w:szCs w:val="20"/>
              </w:rPr>
            </w:pPr>
            <w:r>
              <w:rPr>
                <w:sz w:val="20"/>
                <w:szCs w:val="20"/>
              </w:rPr>
              <w:t>109 Aktivnosti socijalne zaštite koje nisu drugdje svrstane</w:t>
            </w:r>
          </w:p>
        </w:tc>
        <w:tc>
          <w:tcPr>
            <w:tcW w:w="1660" w:type="dxa"/>
            <w:tcBorders>
              <w:top w:val="nil"/>
              <w:left w:val="nil"/>
              <w:bottom w:val="single" w:sz="4" w:space="0" w:color="auto"/>
              <w:right w:val="nil"/>
            </w:tcBorders>
            <w:shd w:val="clear" w:color="auto" w:fill="auto"/>
            <w:noWrap/>
            <w:vAlign w:val="bottom"/>
            <w:hideMark/>
          </w:tcPr>
          <w:p w14:paraId="243A95BE" w14:textId="77777777" w:rsidR="003B3769" w:rsidRDefault="003B3769">
            <w:pPr>
              <w:jc w:val="right"/>
              <w:rPr>
                <w:sz w:val="20"/>
                <w:szCs w:val="20"/>
              </w:rPr>
            </w:pPr>
            <w:r>
              <w:rPr>
                <w:sz w:val="20"/>
                <w:szCs w:val="20"/>
              </w:rPr>
              <w:t>5.000,00</w:t>
            </w:r>
          </w:p>
        </w:tc>
        <w:tc>
          <w:tcPr>
            <w:tcW w:w="1660" w:type="dxa"/>
            <w:tcBorders>
              <w:top w:val="nil"/>
              <w:left w:val="nil"/>
              <w:bottom w:val="single" w:sz="4" w:space="0" w:color="auto"/>
              <w:right w:val="nil"/>
            </w:tcBorders>
            <w:shd w:val="clear" w:color="auto" w:fill="auto"/>
            <w:noWrap/>
            <w:vAlign w:val="bottom"/>
            <w:hideMark/>
          </w:tcPr>
          <w:p w14:paraId="768F6D0A" w14:textId="77777777" w:rsidR="003B3769" w:rsidRDefault="003B3769">
            <w:pPr>
              <w:jc w:val="right"/>
              <w:rPr>
                <w:sz w:val="20"/>
                <w:szCs w:val="20"/>
              </w:rPr>
            </w:pPr>
            <w:r>
              <w:rPr>
                <w:sz w:val="20"/>
                <w:szCs w:val="20"/>
              </w:rPr>
              <w:t>0,00</w:t>
            </w:r>
          </w:p>
        </w:tc>
        <w:tc>
          <w:tcPr>
            <w:tcW w:w="1660" w:type="dxa"/>
            <w:tcBorders>
              <w:top w:val="nil"/>
              <w:left w:val="nil"/>
              <w:bottom w:val="single" w:sz="4" w:space="0" w:color="auto"/>
              <w:right w:val="nil"/>
            </w:tcBorders>
            <w:shd w:val="clear" w:color="auto" w:fill="auto"/>
            <w:noWrap/>
            <w:vAlign w:val="bottom"/>
            <w:hideMark/>
          </w:tcPr>
          <w:p w14:paraId="775722B9" w14:textId="77777777" w:rsidR="003B3769" w:rsidRDefault="003B3769">
            <w:pPr>
              <w:jc w:val="right"/>
              <w:rPr>
                <w:sz w:val="20"/>
                <w:szCs w:val="20"/>
              </w:rPr>
            </w:pPr>
            <w:r>
              <w:rPr>
                <w:sz w:val="20"/>
                <w:szCs w:val="20"/>
              </w:rPr>
              <w:t>0,00</w:t>
            </w:r>
          </w:p>
        </w:tc>
        <w:tc>
          <w:tcPr>
            <w:tcW w:w="983" w:type="dxa"/>
            <w:tcBorders>
              <w:top w:val="nil"/>
              <w:left w:val="nil"/>
              <w:bottom w:val="single" w:sz="4" w:space="0" w:color="auto"/>
              <w:right w:val="nil"/>
            </w:tcBorders>
            <w:shd w:val="clear" w:color="auto" w:fill="auto"/>
            <w:noWrap/>
            <w:vAlign w:val="bottom"/>
            <w:hideMark/>
          </w:tcPr>
          <w:p w14:paraId="64DC0A6B" w14:textId="77777777" w:rsidR="003B3769" w:rsidRDefault="003B3769">
            <w:pPr>
              <w:jc w:val="right"/>
              <w:rPr>
                <w:sz w:val="20"/>
                <w:szCs w:val="20"/>
              </w:rPr>
            </w:pPr>
            <w:r>
              <w:rPr>
                <w:sz w:val="20"/>
                <w:szCs w:val="20"/>
              </w:rPr>
              <w:t>0,00</w:t>
            </w:r>
          </w:p>
        </w:tc>
        <w:tc>
          <w:tcPr>
            <w:tcW w:w="983" w:type="dxa"/>
            <w:tcBorders>
              <w:top w:val="nil"/>
              <w:left w:val="nil"/>
              <w:bottom w:val="single" w:sz="4" w:space="0" w:color="auto"/>
              <w:right w:val="nil"/>
            </w:tcBorders>
            <w:shd w:val="clear" w:color="auto" w:fill="auto"/>
            <w:noWrap/>
            <w:vAlign w:val="bottom"/>
            <w:hideMark/>
          </w:tcPr>
          <w:p w14:paraId="68888469" w14:textId="77777777" w:rsidR="003B3769" w:rsidRDefault="003B3769">
            <w:pPr>
              <w:jc w:val="right"/>
              <w:rPr>
                <w:sz w:val="20"/>
                <w:szCs w:val="20"/>
              </w:rPr>
            </w:pPr>
            <w:r>
              <w:rPr>
                <w:sz w:val="20"/>
                <w:szCs w:val="20"/>
              </w:rPr>
              <w:t>0,00</w:t>
            </w:r>
          </w:p>
        </w:tc>
      </w:tr>
    </w:tbl>
    <w:p w14:paraId="3BABAF15" w14:textId="44689EE8" w:rsidR="00DE777B" w:rsidRDefault="00DE777B" w:rsidP="00C57C94">
      <w:pPr>
        <w:pStyle w:val="Subtitle1"/>
        <w:rPr>
          <w:rFonts w:ascii="Times New Roman" w:hAnsi="Times New Roman"/>
          <w:sz w:val="24"/>
          <w:szCs w:val="24"/>
        </w:rPr>
      </w:pPr>
    </w:p>
    <w:p w14:paraId="7CA501CB" w14:textId="77777777" w:rsidR="00DE777B" w:rsidRDefault="00DE777B" w:rsidP="00C57C94">
      <w:pPr>
        <w:pStyle w:val="Subtitle1"/>
        <w:rPr>
          <w:rFonts w:ascii="Times New Roman" w:hAnsi="Times New Roman"/>
          <w:sz w:val="24"/>
          <w:szCs w:val="24"/>
        </w:rPr>
      </w:pPr>
    </w:p>
    <w:p w14:paraId="2D128CA0" w14:textId="77777777" w:rsidR="00D14BA0" w:rsidRDefault="00D14BA0" w:rsidP="00C57C94">
      <w:pPr>
        <w:pStyle w:val="Subtitle1"/>
        <w:rPr>
          <w:rFonts w:ascii="Times New Roman" w:hAnsi="Times New Roman"/>
          <w:sz w:val="24"/>
          <w:szCs w:val="24"/>
        </w:rPr>
      </w:pPr>
    </w:p>
    <w:p w14:paraId="0CCBB7F4" w14:textId="3BA99F08" w:rsidR="006F4711" w:rsidRDefault="006F4711" w:rsidP="00C57C94">
      <w:pPr>
        <w:pStyle w:val="Subtitle1"/>
        <w:rPr>
          <w:rFonts w:ascii="Times New Roman" w:hAnsi="Times New Roman"/>
          <w:sz w:val="24"/>
          <w:szCs w:val="24"/>
        </w:rPr>
      </w:pPr>
    </w:p>
    <w:p w14:paraId="402EE998" w14:textId="019F583D" w:rsidR="00BB1CB4" w:rsidRDefault="00BB1CB4" w:rsidP="00D459D7">
      <w:pPr>
        <w:pStyle w:val="Subtitle1"/>
        <w:rPr>
          <w:rFonts w:ascii="Times New Roman" w:hAnsi="Times New Roman"/>
        </w:rPr>
      </w:pPr>
    </w:p>
    <w:p w14:paraId="5908CE10" w14:textId="77777777" w:rsidR="00910C4D" w:rsidRDefault="00910C4D" w:rsidP="00D459D7">
      <w:pPr>
        <w:pStyle w:val="Subtitle1"/>
        <w:rPr>
          <w:rFonts w:ascii="Times New Roman" w:hAnsi="Times New Roman"/>
        </w:rPr>
      </w:pPr>
    </w:p>
    <w:p w14:paraId="597C4A54" w14:textId="361F51C7" w:rsidR="005D5AA2" w:rsidRDefault="001B5641" w:rsidP="001B5641">
      <w:pPr>
        <w:pStyle w:val="Subtitle1"/>
        <w:rPr>
          <w:rFonts w:ascii="Times New Roman" w:hAnsi="Times New Roman"/>
          <w:sz w:val="24"/>
          <w:szCs w:val="24"/>
        </w:rPr>
      </w:pPr>
      <w:bookmarkStart w:id="12" w:name="_Toc78878311"/>
      <w:bookmarkStart w:id="13" w:name="_Toc79578498"/>
      <w:bookmarkStart w:id="14" w:name="_Toc133398666"/>
      <w:r w:rsidRPr="001B5641">
        <w:rPr>
          <w:rFonts w:ascii="Times New Roman" w:hAnsi="Times New Roman"/>
          <w:b w:val="0"/>
          <w:sz w:val="24"/>
          <w:szCs w:val="24"/>
        </w:rPr>
        <w:lastRenderedPageBreak/>
        <w:t>2.</w:t>
      </w:r>
      <w:r>
        <w:rPr>
          <w:rFonts w:ascii="Times New Roman" w:hAnsi="Times New Roman"/>
          <w:sz w:val="24"/>
          <w:szCs w:val="24"/>
        </w:rPr>
        <w:t xml:space="preserve"> </w:t>
      </w:r>
      <w:r w:rsidR="005D5AA2">
        <w:rPr>
          <w:rFonts w:ascii="Times New Roman" w:hAnsi="Times New Roman"/>
          <w:sz w:val="24"/>
          <w:szCs w:val="24"/>
        </w:rPr>
        <w:t>B. RAČUN FINANCIRANJA</w:t>
      </w:r>
      <w:bookmarkEnd w:id="12"/>
      <w:bookmarkEnd w:id="13"/>
      <w:bookmarkEnd w:id="14"/>
    </w:p>
    <w:p w14:paraId="1937587E" w14:textId="77777777" w:rsidR="001B5641" w:rsidRDefault="001B5641" w:rsidP="001B5641">
      <w:pPr>
        <w:pStyle w:val="Subtitle1"/>
        <w:rPr>
          <w:rFonts w:ascii="Times New Roman" w:hAnsi="Times New Roman"/>
          <w:sz w:val="24"/>
          <w:szCs w:val="24"/>
        </w:rPr>
      </w:pPr>
    </w:p>
    <w:tbl>
      <w:tblPr>
        <w:tblW w:w="13474" w:type="dxa"/>
        <w:tblLook w:val="04A0" w:firstRow="1" w:lastRow="0" w:firstColumn="1" w:lastColumn="0" w:noHBand="0" w:noVBand="1"/>
      </w:tblPr>
      <w:tblGrid>
        <w:gridCol w:w="616"/>
        <w:gridCol w:w="6472"/>
        <w:gridCol w:w="1360"/>
        <w:gridCol w:w="1503"/>
        <w:gridCol w:w="1360"/>
        <w:gridCol w:w="983"/>
        <w:gridCol w:w="1180"/>
      </w:tblGrid>
      <w:tr w:rsidR="0074099B" w:rsidRPr="00953AE7" w14:paraId="492496B5" w14:textId="77777777" w:rsidTr="00712F63">
        <w:trPr>
          <w:trHeight w:val="315"/>
        </w:trPr>
        <w:tc>
          <w:tcPr>
            <w:tcW w:w="13474" w:type="dxa"/>
            <w:gridSpan w:val="7"/>
            <w:tcBorders>
              <w:top w:val="nil"/>
              <w:left w:val="nil"/>
              <w:bottom w:val="nil"/>
              <w:right w:val="nil"/>
            </w:tcBorders>
            <w:shd w:val="clear" w:color="auto" w:fill="auto"/>
            <w:noWrap/>
            <w:vAlign w:val="bottom"/>
            <w:hideMark/>
          </w:tcPr>
          <w:p w14:paraId="7A3472CA" w14:textId="291C1FB6" w:rsidR="0074099B" w:rsidRPr="00953AE7" w:rsidRDefault="0074099B" w:rsidP="00953AE7">
            <w:pPr>
              <w:pStyle w:val="Subtitle1"/>
              <w:rPr>
                <w:rFonts w:ascii="Times New Roman" w:hAnsi="Times New Roman"/>
                <w:sz w:val="20"/>
                <w:szCs w:val="20"/>
              </w:rPr>
            </w:pPr>
            <w:bookmarkStart w:id="15" w:name="_Toc133398667"/>
            <w:r w:rsidRPr="00953AE7">
              <w:rPr>
                <w:rFonts w:ascii="Times New Roman" w:hAnsi="Times New Roman"/>
                <w:sz w:val="20"/>
                <w:szCs w:val="20"/>
              </w:rPr>
              <w:t>2. B. 1. RAČUN FINANCIRANJA - PREMA EKONOMSKOJ KLASIFIKACIJI</w:t>
            </w:r>
            <w:bookmarkEnd w:id="15"/>
          </w:p>
        </w:tc>
      </w:tr>
      <w:tr w:rsidR="001B5641" w14:paraId="49FF69CE" w14:textId="77777777" w:rsidTr="001B5641">
        <w:trPr>
          <w:trHeight w:val="330"/>
        </w:trPr>
        <w:tc>
          <w:tcPr>
            <w:tcW w:w="616" w:type="dxa"/>
            <w:tcBorders>
              <w:top w:val="nil"/>
              <w:left w:val="nil"/>
              <w:bottom w:val="nil"/>
              <w:right w:val="nil"/>
            </w:tcBorders>
            <w:shd w:val="clear" w:color="auto" w:fill="auto"/>
            <w:noWrap/>
            <w:vAlign w:val="bottom"/>
            <w:hideMark/>
          </w:tcPr>
          <w:p w14:paraId="1BB68A2D" w14:textId="77777777" w:rsidR="001B5641" w:rsidRDefault="001B5641">
            <w:pPr>
              <w:rPr>
                <w:sz w:val="20"/>
                <w:szCs w:val="20"/>
              </w:rPr>
            </w:pPr>
          </w:p>
        </w:tc>
        <w:tc>
          <w:tcPr>
            <w:tcW w:w="6472" w:type="dxa"/>
            <w:tcBorders>
              <w:top w:val="nil"/>
              <w:left w:val="nil"/>
              <w:bottom w:val="nil"/>
              <w:right w:val="nil"/>
            </w:tcBorders>
            <w:shd w:val="clear" w:color="auto" w:fill="auto"/>
            <w:noWrap/>
            <w:vAlign w:val="bottom"/>
            <w:hideMark/>
          </w:tcPr>
          <w:p w14:paraId="44DFB3D1" w14:textId="77777777" w:rsidR="001B5641" w:rsidRDefault="001B5641">
            <w:pPr>
              <w:rPr>
                <w:sz w:val="20"/>
                <w:szCs w:val="20"/>
              </w:rPr>
            </w:pPr>
          </w:p>
        </w:tc>
        <w:tc>
          <w:tcPr>
            <w:tcW w:w="1360" w:type="dxa"/>
            <w:tcBorders>
              <w:top w:val="nil"/>
              <w:left w:val="nil"/>
              <w:bottom w:val="nil"/>
              <w:right w:val="nil"/>
            </w:tcBorders>
            <w:shd w:val="clear" w:color="auto" w:fill="auto"/>
            <w:noWrap/>
            <w:vAlign w:val="bottom"/>
            <w:hideMark/>
          </w:tcPr>
          <w:p w14:paraId="5502401A" w14:textId="77777777" w:rsidR="001B5641" w:rsidRDefault="001B5641">
            <w:pPr>
              <w:rPr>
                <w:sz w:val="20"/>
                <w:szCs w:val="20"/>
              </w:rPr>
            </w:pPr>
          </w:p>
        </w:tc>
        <w:tc>
          <w:tcPr>
            <w:tcW w:w="1503" w:type="dxa"/>
            <w:tcBorders>
              <w:top w:val="nil"/>
              <w:left w:val="nil"/>
              <w:bottom w:val="nil"/>
              <w:right w:val="nil"/>
            </w:tcBorders>
            <w:shd w:val="clear" w:color="auto" w:fill="auto"/>
            <w:noWrap/>
            <w:vAlign w:val="bottom"/>
            <w:hideMark/>
          </w:tcPr>
          <w:p w14:paraId="526203DB" w14:textId="77777777" w:rsidR="001B5641" w:rsidRDefault="001B5641">
            <w:pPr>
              <w:rPr>
                <w:sz w:val="20"/>
                <w:szCs w:val="20"/>
              </w:rPr>
            </w:pPr>
          </w:p>
        </w:tc>
        <w:tc>
          <w:tcPr>
            <w:tcW w:w="1360" w:type="dxa"/>
            <w:tcBorders>
              <w:top w:val="nil"/>
              <w:left w:val="nil"/>
              <w:bottom w:val="nil"/>
              <w:right w:val="nil"/>
            </w:tcBorders>
            <w:shd w:val="clear" w:color="auto" w:fill="auto"/>
            <w:noWrap/>
            <w:vAlign w:val="bottom"/>
            <w:hideMark/>
          </w:tcPr>
          <w:p w14:paraId="153ABD4E" w14:textId="77777777" w:rsidR="001B5641" w:rsidRDefault="001B5641">
            <w:pPr>
              <w:rPr>
                <w:sz w:val="20"/>
                <w:szCs w:val="20"/>
              </w:rPr>
            </w:pPr>
          </w:p>
        </w:tc>
        <w:tc>
          <w:tcPr>
            <w:tcW w:w="983" w:type="dxa"/>
            <w:tcBorders>
              <w:top w:val="nil"/>
              <w:left w:val="nil"/>
              <w:bottom w:val="nil"/>
              <w:right w:val="nil"/>
            </w:tcBorders>
            <w:shd w:val="clear" w:color="auto" w:fill="auto"/>
            <w:noWrap/>
            <w:vAlign w:val="bottom"/>
            <w:hideMark/>
          </w:tcPr>
          <w:p w14:paraId="097D1D86" w14:textId="77777777" w:rsidR="001B5641" w:rsidRDefault="001B5641">
            <w:pPr>
              <w:rPr>
                <w:sz w:val="20"/>
                <w:szCs w:val="20"/>
              </w:rPr>
            </w:pPr>
          </w:p>
        </w:tc>
        <w:tc>
          <w:tcPr>
            <w:tcW w:w="1180" w:type="dxa"/>
            <w:tcBorders>
              <w:top w:val="nil"/>
              <w:left w:val="nil"/>
              <w:bottom w:val="nil"/>
              <w:right w:val="nil"/>
            </w:tcBorders>
            <w:shd w:val="clear" w:color="auto" w:fill="auto"/>
            <w:noWrap/>
            <w:vAlign w:val="bottom"/>
            <w:hideMark/>
          </w:tcPr>
          <w:p w14:paraId="1FE25C66" w14:textId="77777777" w:rsidR="001B5641" w:rsidRDefault="001B5641">
            <w:pPr>
              <w:rPr>
                <w:sz w:val="20"/>
                <w:szCs w:val="20"/>
              </w:rPr>
            </w:pPr>
          </w:p>
        </w:tc>
      </w:tr>
      <w:tr w:rsidR="001B5641" w14:paraId="487C8475" w14:textId="77777777" w:rsidTr="001B5641">
        <w:trPr>
          <w:trHeight w:val="300"/>
        </w:trPr>
        <w:tc>
          <w:tcPr>
            <w:tcW w:w="7088" w:type="dxa"/>
            <w:gridSpan w:val="2"/>
            <w:tcBorders>
              <w:top w:val="single" w:sz="4" w:space="0" w:color="auto"/>
              <w:left w:val="nil"/>
              <w:bottom w:val="nil"/>
              <w:right w:val="nil"/>
            </w:tcBorders>
            <w:shd w:val="clear" w:color="auto" w:fill="auto"/>
            <w:noWrap/>
            <w:vAlign w:val="bottom"/>
            <w:hideMark/>
          </w:tcPr>
          <w:p w14:paraId="668AD8E1" w14:textId="77777777" w:rsidR="001B5641" w:rsidRDefault="001B5641">
            <w:pPr>
              <w:rPr>
                <w:b/>
                <w:bCs/>
                <w:sz w:val="20"/>
                <w:szCs w:val="20"/>
              </w:rPr>
            </w:pPr>
            <w:r>
              <w:rPr>
                <w:b/>
                <w:bCs/>
                <w:sz w:val="20"/>
                <w:szCs w:val="20"/>
              </w:rPr>
              <w:t>BROJČANA OZNAKA I NAZIV PRIMITKA/IZDATKA</w:t>
            </w:r>
          </w:p>
        </w:tc>
        <w:tc>
          <w:tcPr>
            <w:tcW w:w="1360" w:type="dxa"/>
            <w:tcBorders>
              <w:top w:val="single" w:sz="4" w:space="0" w:color="auto"/>
              <w:left w:val="nil"/>
              <w:bottom w:val="nil"/>
              <w:right w:val="nil"/>
            </w:tcBorders>
            <w:shd w:val="clear" w:color="auto" w:fill="auto"/>
            <w:noWrap/>
            <w:vAlign w:val="bottom"/>
            <w:hideMark/>
          </w:tcPr>
          <w:p w14:paraId="77AF0FCB" w14:textId="77777777" w:rsidR="001B5641" w:rsidRDefault="001B5641">
            <w:pPr>
              <w:jc w:val="center"/>
              <w:rPr>
                <w:b/>
                <w:bCs/>
                <w:color w:val="000000"/>
                <w:sz w:val="20"/>
                <w:szCs w:val="20"/>
              </w:rPr>
            </w:pPr>
            <w:r>
              <w:rPr>
                <w:b/>
                <w:bCs/>
                <w:color w:val="000000"/>
                <w:sz w:val="20"/>
                <w:szCs w:val="20"/>
              </w:rPr>
              <w:t xml:space="preserve">IZVRŠENJE </w:t>
            </w:r>
          </w:p>
        </w:tc>
        <w:tc>
          <w:tcPr>
            <w:tcW w:w="1503" w:type="dxa"/>
            <w:tcBorders>
              <w:top w:val="single" w:sz="4" w:space="0" w:color="auto"/>
              <w:left w:val="nil"/>
              <w:bottom w:val="nil"/>
              <w:right w:val="nil"/>
            </w:tcBorders>
            <w:shd w:val="clear" w:color="auto" w:fill="auto"/>
            <w:noWrap/>
            <w:vAlign w:val="bottom"/>
            <w:hideMark/>
          </w:tcPr>
          <w:p w14:paraId="11FDD9B5" w14:textId="77777777" w:rsidR="001B5641" w:rsidRDefault="001B5641">
            <w:pPr>
              <w:jc w:val="center"/>
              <w:rPr>
                <w:b/>
                <w:bCs/>
                <w:color w:val="000000"/>
                <w:sz w:val="20"/>
                <w:szCs w:val="20"/>
              </w:rPr>
            </w:pPr>
            <w:r>
              <w:rPr>
                <w:b/>
                <w:bCs/>
                <w:color w:val="000000"/>
                <w:sz w:val="20"/>
                <w:szCs w:val="20"/>
              </w:rPr>
              <w:t>IZVORNI PLAN</w:t>
            </w:r>
          </w:p>
        </w:tc>
        <w:tc>
          <w:tcPr>
            <w:tcW w:w="1360" w:type="dxa"/>
            <w:tcBorders>
              <w:top w:val="single" w:sz="4" w:space="0" w:color="auto"/>
              <w:left w:val="nil"/>
              <w:bottom w:val="nil"/>
              <w:right w:val="nil"/>
            </w:tcBorders>
            <w:shd w:val="clear" w:color="auto" w:fill="auto"/>
            <w:noWrap/>
            <w:vAlign w:val="bottom"/>
            <w:hideMark/>
          </w:tcPr>
          <w:p w14:paraId="5295AB13" w14:textId="77777777" w:rsidR="001B5641" w:rsidRDefault="001B5641">
            <w:pPr>
              <w:jc w:val="center"/>
              <w:rPr>
                <w:b/>
                <w:bCs/>
                <w:color w:val="000000"/>
                <w:sz w:val="20"/>
                <w:szCs w:val="20"/>
              </w:rPr>
            </w:pPr>
            <w:r>
              <w:rPr>
                <w:b/>
                <w:bCs/>
                <w:color w:val="000000"/>
                <w:sz w:val="20"/>
                <w:szCs w:val="20"/>
              </w:rPr>
              <w:t xml:space="preserve">IZVRŠENJE </w:t>
            </w:r>
          </w:p>
        </w:tc>
        <w:tc>
          <w:tcPr>
            <w:tcW w:w="983" w:type="dxa"/>
            <w:tcBorders>
              <w:top w:val="single" w:sz="4" w:space="0" w:color="auto"/>
              <w:left w:val="nil"/>
              <w:bottom w:val="nil"/>
              <w:right w:val="nil"/>
            </w:tcBorders>
            <w:shd w:val="clear" w:color="auto" w:fill="auto"/>
            <w:noWrap/>
            <w:vAlign w:val="bottom"/>
            <w:hideMark/>
          </w:tcPr>
          <w:p w14:paraId="52D0EC31" w14:textId="77777777" w:rsidR="001B5641" w:rsidRDefault="001B5641">
            <w:pPr>
              <w:jc w:val="center"/>
              <w:rPr>
                <w:b/>
                <w:bCs/>
                <w:sz w:val="20"/>
                <w:szCs w:val="20"/>
              </w:rPr>
            </w:pPr>
            <w:r>
              <w:rPr>
                <w:b/>
                <w:bCs/>
                <w:sz w:val="20"/>
                <w:szCs w:val="20"/>
              </w:rPr>
              <w:t>INDEKS</w:t>
            </w:r>
          </w:p>
        </w:tc>
        <w:tc>
          <w:tcPr>
            <w:tcW w:w="1180" w:type="dxa"/>
            <w:tcBorders>
              <w:top w:val="single" w:sz="4" w:space="0" w:color="auto"/>
              <w:left w:val="nil"/>
              <w:bottom w:val="nil"/>
              <w:right w:val="nil"/>
            </w:tcBorders>
            <w:shd w:val="clear" w:color="auto" w:fill="auto"/>
            <w:noWrap/>
            <w:vAlign w:val="bottom"/>
            <w:hideMark/>
          </w:tcPr>
          <w:p w14:paraId="3401EA0B" w14:textId="77777777" w:rsidR="001B5641" w:rsidRDefault="001B5641">
            <w:pPr>
              <w:jc w:val="center"/>
              <w:rPr>
                <w:b/>
                <w:bCs/>
                <w:sz w:val="20"/>
                <w:szCs w:val="20"/>
              </w:rPr>
            </w:pPr>
            <w:r>
              <w:rPr>
                <w:b/>
                <w:bCs/>
                <w:sz w:val="20"/>
                <w:szCs w:val="20"/>
              </w:rPr>
              <w:t>INDEKS</w:t>
            </w:r>
          </w:p>
        </w:tc>
      </w:tr>
      <w:tr w:rsidR="001B5641" w14:paraId="73FE66EE" w14:textId="77777777" w:rsidTr="001B5641">
        <w:trPr>
          <w:trHeight w:val="300"/>
        </w:trPr>
        <w:tc>
          <w:tcPr>
            <w:tcW w:w="616" w:type="dxa"/>
            <w:tcBorders>
              <w:top w:val="nil"/>
              <w:left w:val="nil"/>
              <w:bottom w:val="single" w:sz="4" w:space="0" w:color="auto"/>
              <w:right w:val="nil"/>
            </w:tcBorders>
            <w:shd w:val="clear" w:color="auto" w:fill="auto"/>
            <w:noWrap/>
            <w:vAlign w:val="bottom"/>
            <w:hideMark/>
          </w:tcPr>
          <w:p w14:paraId="6BF25BE3" w14:textId="77777777" w:rsidR="001B5641" w:rsidRDefault="001B5641">
            <w:pPr>
              <w:rPr>
                <w:b/>
                <w:bCs/>
                <w:sz w:val="20"/>
                <w:szCs w:val="20"/>
              </w:rPr>
            </w:pPr>
            <w:r>
              <w:rPr>
                <w:b/>
                <w:bCs/>
                <w:sz w:val="20"/>
                <w:szCs w:val="20"/>
              </w:rPr>
              <w:t> </w:t>
            </w:r>
          </w:p>
        </w:tc>
        <w:tc>
          <w:tcPr>
            <w:tcW w:w="6472" w:type="dxa"/>
            <w:tcBorders>
              <w:top w:val="nil"/>
              <w:left w:val="nil"/>
              <w:bottom w:val="single" w:sz="4" w:space="0" w:color="auto"/>
              <w:right w:val="nil"/>
            </w:tcBorders>
            <w:shd w:val="clear" w:color="auto" w:fill="auto"/>
            <w:noWrap/>
            <w:vAlign w:val="bottom"/>
            <w:hideMark/>
          </w:tcPr>
          <w:p w14:paraId="4BBBF612" w14:textId="77777777" w:rsidR="001B5641" w:rsidRDefault="001B5641">
            <w:pPr>
              <w:rPr>
                <w:b/>
                <w:bCs/>
                <w:sz w:val="20"/>
                <w:szCs w:val="20"/>
              </w:rPr>
            </w:pPr>
            <w:r>
              <w:rPr>
                <w:b/>
                <w:bCs/>
                <w:sz w:val="20"/>
                <w:szCs w:val="20"/>
              </w:rPr>
              <w:t> </w:t>
            </w:r>
          </w:p>
        </w:tc>
        <w:tc>
          <w:tcPr>
            <w:tcW w:w="1360" w:type="dxa"/>
            <w:tcBorders>
              <w:top w:val="nil"/>
              <w:left w:val="nil"/>
              <w:bottom w:val="single" w:sz="4" w:space="0" w:color="auto"/>
              <w:right w:val="nil"/>
            </w:tcBorders>
            <w:shd w:val="clear" w:color="auto" w:fill="auto"/>
            <w:noWrap/>
            <w:vAlign w:val="bottom"/>
            <w:hideMark/>
          </w:tcPr>
          <w:p w14:paraId="04DBEBE1" w14:textId="77777777" w:rsidR="001B5641" w:rsidRDefault="001B5641">
            <w:pPr>
              <w:jc w:val="center"/>
              <w:rPr>
                <w:b/>
                <w:bCs/>
                <w:sz w:val="20"/>
                <w:szCs w:val="20"/>
              </w:rPr>
            </w:pPr>
            <w:r>
              <w:rPr>
                <w:b/>
                <w:bCs/>
                <w:sz w:val="20"/>
                <w:szCs w:val="20"/>
              </w:rPr>
              <w:t>2021.</w:t>
            </w:r>
          </w:p>
        </w:tc>
        <w:tc>
          <w:tcPr>
            <w:tcW w:w="1503" w:type="dxa"/>
            <w:tcBorders>
              <w:top w:val="nil"/>
              <w:left w:val="nil"/>
              <w:bottom w:val="single" w:sz="4" w:space="0" w:color="auto"/>
              <w:right w:val="nil"/>
            </w:tcBorders>
            <w:shd w:val="clear" w:color="auto" w:fill="auto"/>
            <w:noWrap/>
            <w:vAlign w:val="bottom"/>
            <w:hideMark/>
          </w:tcPr>
          <w:p w14:paraId="03F4DA54" w14:textId="77777777" w:rsidR="001B5641" w:rsidRDefault="001B5641">
            <w:pPr>
              <w:jc w:val="center"/>
              <w:rPr>
                <w:b/>
                <w:bCs/>
                <w:sz w:val="20"/>
                <w:szCs w:val="20"/>
              </w:rPr>
            </w:pPr>
            <w:r>
              <w:rPr>
                <w:b/>
                <w:bCs/>
                <w:sz w:val="20"/>
                <w:szCs w:val="20"/>
              </w:rPr>
              <w:t>2022.</w:t>
            </w:r>
          </w:p>
        </w:tc>
        <w:tc>
          <w:tcPr>
            <w:tcW w:w="1360" w:type="dxa"/>
            <w:tcBorders>
              <w:top w:val="nil"/>
              <w:left w:val="nil"/>
              <w:bottom w:val="single" w:sz="4" w:space="0" w:color="auto"/>
              <w:right w:val="nil"/>
            </w:tcBorders>
            <w:shd w:val="clear" w:color="auto" w:fill="auto"/>
            <w:noWrap/>
            <w:vAlign w:val="bottom"/>
            <w:hideMark/>
          </w:tcPr>
          <w:p w14:paraId="636875D8" w14:textId="77777777" w:rsidR="001B5641" w:rsidRDefault="001B5641">
            <w:pPr>
              <w:jc w:val="center"/>
              <w:rPr>
                <w:b/>
                <w:bCs/>
                <w:sz w:val="20"/>
                <w:szCs w:val="20"/>
              </w:rPr>
            </w:pPr>
            <w:r>
              <w:rPr>
                <w:b/>
                <w:bCs/>
                <w:sz w:val="20"/>
                <w:szCs w:val="20"/>
              </w:rPr>
              <w:t>2022.</w:t>
            </w:r>
          </w:p>
        </w:tc>
        <w:tc>
          <w:tcPr>
            <w:tcW w:w="983" w:type="dxa"/>
            <w:tcBorders>
              <w:top w:val="nil"/>
              <w:left w:val="nil"/>
              <w:bottom w:val="single" w:sz="4" w:space="0" w:color="auto"/>
              <w:right w:val="nil"/>
            </w:tcBorders>
            <w:shd w:val="clear" w:color="auto" w:fill="auto"/>
            <w:noWrap/>
            <w:vAlign w:val="bottom"/>
            <w:hideMark/>
          </w:tcPr>
          <w:p w14:paraId="397DDB8D" w14:textId="77777777" w:rsidR="001B5641" w:rsidRDefault="001B5641">
            <w:pPr>
              <w:jc w:val="center"/>
              <w:rPr>
                <w:b/>
                <w:bCs/>
                <w:sz w:val="20"/>
                <w:szCs w:val="20"/>
              </w:rPr>
            </w:pPr>
            <w:r>
              <w:rPr>
                <w:b/>
                <w:bCs/>
                <w:sz w:val="20"/>
                <w:szCs w:val="20"/>
              </w:rPr>
              <w:t>4/2*100</w:t>
            </w:r>
          </w:p>
        </w:tc>
        <w:tc>
          <w:tcPr>
            <w:tcW w:w="1180" w:type="dxa"/>
            <w:tcBorders>
              <w:top w:val="nil"/>
              <w:left w:val="nil"/>
              <w:bottom w:val="single" w:sz="4" w:space="0" w:color="auto"/>
              <w:right w:val="nil"/>
            </w:tcBorders>
            <w:shd w:val="clear" w:color="auto" w:fill="auto"/>
            <w:noWrap/>
            <w:vAlign w:val="bottom"/>
            <w:hideMark/>
          </w:tcPr>
          <w:p w14:paraId="2C5C8245" w14:textId="77777777" w:rsidR="001B5641" w:rsidRDefault="001B5641">
            <w:pPr>
              <w:jc w:val="center"/>
              <w:rPr>
                <w:b/>
                <w:bCs/>
                <w:sz w:val="20"/>
                <w:szCs w:val="20"/>
              </w:rPr>
            </w:pPr>
            <w:r>
              <w:rPr>
                <w:b/>
                <w:bCs/>
                <w:sz w:val="20"/>
                <w:szCs w:val="20"/>
              </w:rPr>
              <w:t>4/3*100</w:t>
            </w:r>
          </w:p>
        </w:tc>
      </w:tr>
      <w:tr w:rsidR="001B5641" w14:paraId="2F782EAB" w14:textId="77777777" w:rsidTr="001B5641">
        <w:trPr>
          <w:trHeight w:val="300"/>
        </w:trPr>
        <w:tc>
          <w:tcPr>
            <w:tcW w:w="7088" w:type="dxa"/>
            <w:gridSpan w:val="2"/>
            <w:tcBorders>
              <w:top w:val="single" w:sz="4" w:space="0" w:color="auto"/>
              <w:left w:val="nil"/>
              <w:bottom w:val="single" w:sz="4" w:space="0" w:color="auto"/>
              <w:right w:val="nil"/>
            </w:tcBorders>
            <w:shd w:val="clear" w:color="auto" w:fill="auto"/>
            <w:noWrap/>
            <w:vAlign w:val="bottom"/>
            <w:hideMark/>
          </w:tcPr>
          <w:p w14:paraId="01BFBED0" w14:textId="77777777" w:rsidR="001B5641" w:rsidRDefault="001B5641">
            <w:pPr>
              <w:jc w:val="center"/>
              <w:rPr>
                <w:b/>
                <w:bCs/>
                <w:sz w:val="20"/>
                <w:szCs w:val="20"/>
              </w:rPr>
            </w:pPr>
            <w:r>
              <w:rPr>
                <w:b/>
                <w:bCs/>
                <w:sz w:val="20"/>
                <w:szCs w:val="20"/>
              </w:rPr>
              <w:t>1</w:t>
            </w:r>
          </w:p>
        </w:tc>
        <w:tc>
          <w:tcPr>
            <w:tcW w:w="1360" w:type="dxa"/>
            <w:tcBorders>
              <w:top w:val="nil"/>
              <w:left w:val="nil"/>
              <w:bottom w:val="single" w:sz="4" w:space="0" w:color="auto"/>
              <w:right w:val="nil"/>
            </w:tcBorders>
            <w:shd w:val="clear" w:color="auto" w:fill="auto"/>
            <w:noWrap/>
            <w:vAlign w:val="bottom"/>
            <w:hideMark/>
          </w:tcPr>
          <w:p w14:paraId="3407D8E7" w14:textId="77777777" w:rsidR="001B5641" w:rsidRDefault="001B5641">
            <w:pPr>
              <w:jc w:val="center"/>
              <w:rPr>
                <w:b/>
                <w:bCs/>
                <w:sz w:val="20"/>
                <w:szCs w:val="20"/>
              </w:rPr>
            </w:pPr>
            <w:r>
              <w:rPr>
                <w:b/>
                <w:bCs/>
                <w:sz w:val="20"/>
                <w:szCs w:val="20"/>
              </w:rPr>
              <w:t>2</w:t>
            </w:r>
          </w:p>
        </w:tc>
        <w:tc>
          <w:tcPr>
            <w:tcW w:w="1503" w:type="dxa"/>
            <w:tcBorders>
              <w:top w:val="nil"/>
              <w:left w:val="nil"/>
              <w:bottom w:val="single" w:sz="4" w:space="0" w:color="auto"/>
              <w:right w:val="nil"/>
            </w:tcBorders>
            <w:shd w:val="clear" w:color="auto" w:fill="auto"/>
            <w:noWrap/>
            <w:vAlign w:val="bottom"/>
            <w:hideMark/>
          </w:tcPr>
          <w:p w14:paraId="2C18D742" w14:textId="77777777" w:rsidR="001B5641" w:rsidRDefault="001B5641">
            <w:pPr>
              <w:jc w:val="center"/>
              <w:rPr>
                <w:b/>
                <w:bCs/>
                <w:sz w:val="20"/>
                <w:szCs w:val="20"/>
              </w:rPr>
            </w:pPr>
            <w:r>
              <w:rPr>
                <w:b/>
                <w:bCs/>
                <w:sz w:val="20"/>
                <w:szCs w:val="20"/>
              </w:rPr>
              <w:t>3</w:t>
            </w:r>
          </w:p>
        </w:tc>
        <w:tc>
          <w:tcPr>
            <w:tcW w:w="1360" w:type="dxa"/>
            <w:tcBorders>
              <w:top w:val="nil"/>
              <w:left w:val="nil"/>
              <w:bottom w:val="single" w:sz="4" w:space="0" w:color="auto"/>
              <w:right w:val="nil"/>
            </w:tcBorders>
            <w:shd w:val="clear" w:color="auto" w:fill="auto"/>
            <w:noWrap/>
            <w:vAlign w:val="bottom"/>
            <w:hideMark/>
          </w:tcPr>
          <w:p w14:paraId="5006D871" w14:textId="77777777" w:rsidR="001B5641" w:rsidRDefault="001B5641">
            <w:pPr>
              <w:jc w:val="center"/>
              <w:rPr>
                <w:b/>
                <w:bCs/>
                <w:sz w:val="20"/>
                <w:szCs w:val="20"/>
              </w:rPr>
            </w:pPr>
            <w:r>
              <w:rPr>
                <w:b/>
                <w:bCs/>
                <w:sz w:val="20"/>
                <w:szCs w:val="20"/>
              </w:rPr>
              <w:t>4</w:t>
            </w:r>
          </w:p>
        </w:tc>
        <w:tc>
          <w:tcPr>
            <w:tcW w:w="983" w:type="dxa"/>
            <w:tcBorders>
              <w:top w:val="nil"/>
              <w:left w:val="nil"/>
              <w:bottom w:val="single" w:sz="4" w:space="0" w:color="auto"/>
              <w:right w:val="nil"/>
            </w:tcBorders>
            <w:shd w:val="clear" w:color="auto" w:fill="auto"/>
            <w:noWrap/>
            <w:vAlign w:val="bottom"/>
            <w:hideMark/>
          </w:tcPr>
          <w:p w14:paraId="31AA3C3F" w14:textId="77777777" w:rsidR="001B5641" w:rsidRDefault="001B5641">
            <w:pPr>
              <w:jc w:val="center"/>
              <w:rPr>
                <w:b/>
                <w:bCs/>
                <w:sz w:val="20"/>
                <w:szCs w:val="20"/>
              </w:rPr>
            </w:pPr>
            <w:r>
              <w:rPr>
                <w:b/>
                <w:bCs/>
                <w:sz w:val="20"/>
                <w:szCs w:val="20"/>
              </w:rPr>
              <w:t>5</w:t>
            </w:r>
          </w:p>
        </w:tc>
        <w:tc>
          <w:tcPr>
            <w:tcW w:w="1180" w:type="dxa"/>
            <w:tcBorders>
              <w:top w:val="nil"/>
              <w:left w:val="nil"/>
              <w:bottom w:val="single" w:sz="4" w:space="0" w:color="auto"/>
              <w:right w:val="nil"/>
            </w:tcBorders>
            <w:shd w:val="clear" w:color="auto" w:fill="auto"/>
            <w:noWrap/>
            <w:vAlign w:val="bottom"/>
            <w:hideMark/>
          </w:tcPr>
          <w:p w14:paraId="6AD60484" w14:textId="77777777" w:rsidR="001B5641" w:rsidRDefault="001B5641">
            <w:pPr>
              <w:jc w:val="center"/>
              <w:rPr>
                <w:b/>
                <w:bCs/>
                <w:sz w:val="20"/>
                <w:szCs w:val="20"/>
              </w:rPr>
            </w:pPr>
            <w:r>
              <w:rPr>
                <w:b/>
                <w:bCs/>
                <w:sz w:val="20"/>
                <w:szCs w:val="20"/>
              </w:rPr>
              <w:t>6</w:t>
            </w:r>
          </w:p>
        </w:tc>
      </w:tr>
      <w:tr w:rsidR="001B5641" w14:paraId="2DB14A44" w14:textId="77777777" w:rsidTr="001B5641">
        <w:trPr>
          <w:trHeight w:val="300"/>
        </w:trPr>
        <w:tc>
          <w:tcPr>
            <w:tcW w:w="616" w:type="dxa"/>
            <w:tcBorders>
              <w:top w:val="nil"/>
              <w:left w:val="nil"/>
              <w:bottom w:val="single" w:sz="4" w:space="0" w:color="auto"/>
              <w:right w:val="nil"/>
            </w:tcBorders>
            <w:shd w:val="clear" w:color="auto" w:fill="auto"/>
            <w:noWrap/>
            <w:vAlign w:val="bottom"/>
            <w:hideMark/>
          </w:tcPr>
          <w:p w14:paraId="30A3338F" w14:textId="77777777" w:rsidR="001B5641" w:rsidRDefault="001B5641">
            <w:pPr>
              <w:jc w:val="right"/>
              <w:rPr>
                <w:b/>
                <w:bCs/>
                <w:sz w:val="20"/>
                <w:szCs w:val="20"/>
              </w:rPr>
            </w:pPr>
            <w:r>
              <w:rPr>
                <w:b/>
                <w:bCs/>
                <w:sz w:val="20"/>
                <w:szCs w:val="20"/>
              </w:rPr>
              <w:t>8</w:t>
            </w:r>
          </w:p>
        </w:tc>
        <w:tc>
          <w:tcPr>
            <w:tcW w:w="6472" w:type="dxa"/>
            <w:tcBorders>
              <w:top w:val="nil"/>
              <w:left w:val="nil"/>
              <w:bottom w:val="single" w:sz="4" w:space="0" w:color="auto"/>
              <w:right w:val="nil"/>
            </w:tcBorders>
            <w:shd w:val="clear" w:color="auto" w:fill="auto"/>
            <w:noWrap/>
            <w:vAlign w:val="bottom"/>
            <w:hideMark/>
          </w:tcPr>
          <w:p w14:paraId="7FFDBBD4" w14:textId="77777777" w:rsidR="001B5641" w:rsidRDefault="001B5641">
            <w:pPr>
              <w:rPr>
                <w:b/>
                <w:bCs/>
                <w:sz w:val="20"/>
                <w:szCs w:val="20"/>
              </w:rPr>
            </w:pPr>
            <w:r>
              <w:rPr>
                <w:b/>
                <w:bCs/>
                <w:sz w:val="20"/>
                <w:szCs w:val="20"/>
              </w:rPr>
              <w:t xml:space="preserve">Primici od financijske imovine i zaduživanja                                                        </w:t>
            </w:r>
          </w:p>
        </w:tc>
        <w:tc>
          <w:tcPr>
            <w:tcW w:w="1360" w:type="dxa"/>
            <w:tcBorders>
              <w:top w:val="nil"/>
              <w:left w:val="nil"/>
              <w:bottom w:val="single" w:sz="4" w:space="0" w:color="auto"/>
              <w:right w:val="nil"/>
            </w:tcBorders>
            <w:shd w:val="clear" w:color="auto" w:fill="auto"/>
            <w:noWrap/>
            <w:vAlign w:val="bottom"/>
            <w:hideMark/>
          </w:tcPr>
          <w:p w14:paraId="441BADC6" w14:textId="77777777" w:rsidR="001B5641" w:rsidRDefault="001B5641">
            <w:pPr>
              <w:jc w:val="right"/>
              <w:rPr>
                <w:b/>
                <w:bCs/>
                <w:sz w:val="20"/>
                <w:szCs w:val="20"/>
              </w:rPr>
            </w:pPr>
            <w:r>
              <w:rPr>
                <w:b/>
                <w:bCs/>
                <w:sz w:val="20"/>
                <w:szCs w:val="20"/>
              </w:rPr>
              <w:t>2.514.605,44</w:t>
            </w:r>
          </w:p>
        </w:tc>
        <w:tc>
          <w:tcPr>
            <w:tcW w:w="1503" w:type="dxa"/>
            <w:tcBorders>
              <w:top w:val="nil"/>
              <w:left w:val="nil"/>
              <w:bottom w:val="single" w:sz="4" w:space="0" w:color="auto"/>
              <w:right w:val="nil"/>
            </w:tcBorders>
            <w:shd w:val="clear" w:color="auto" w:fill="auto"/>
            <w:noWrap/>
            <w:vAlign w:val="bottom"/>
            <w:hideMark/>
          </w:tcPr>
          <w:p w14:paraId="74E66536" w14:textId="77777777" w:rsidR="001B5641" w:rsidRDefault="001B5641">
            <w:pPr>
              <w:jc w:val="right"/>
              <w:rPr>
                <w:b/>
                <w:bCs/>
                <w:sz w:val="20"/>
                <w:szCs w:val="20"/>
              </w:rPr>
            </w:pPr>
            <w:r>
              <w:rPr>
                <w:b/>
                <w:bCs/>
                <w:sz w:val="20"/>
                <w:szCs w:val="20"/>
              </w:rPr>
              <w:t>0,00</w:t>
            </w:r>
          </w:p>
        </w:tc>
        <w:tc>
          <w:tcPr>
            <w:tcW w:w="1360" w:type="dxa"/>
            <w:tcBorders>
              <w:top w:val="nil"/>
              <w:left w:val="nil"/>
              <w:bottom w:val="single" w:sz="4" w:space="0" w:color="auto"/>
              <w:right w:val="nil"/>
            </w:tcBorders>
            <w:shd w:val="clear" w:color="auto" w:fill="auto"/>
            <w:noWrap/>
            <w:vAlign w:val="bottom"/>
            <w:hideMark/>
          </w:tcPr>
          <w:p w14:paraId="45C5B21E" w14:textId="77777777" w:rsidR="001B5641" w:rsidRDefault="001B5641">
            <w:pPr>
              <w:jc w:val="right"/>
              <w:rPr>
                <w:b/>
                <w:bCs/>
                <w:sz w:val="20"/>
                <w:szCs w:val="20"/>
              </w:rPr>
            </w:pPr>
            <w:r>
              <w:rPr>
                <w:b/>
                <w:bCs/>
                <w:sz w:val="20"/>
                <w:szCs w:val="20"/>
              </w:rPr>
              <w:t>0,00</w:t>
            </w:r>
          </w:p>
        </w:tc>
        <w:tc>
          <w:tcPr>
            <w:tcW w:w="983" w:type="dxa"/>
            <w:tcBorders>
              <w:top w:val="nil"/>
              <w:left w:val="nil"/>
              <w:bottom w:val="single" w:sz="4" w:space="0" w:color="auto"/>
              <w:right w:val="nil"/>
            </w:tcBorders>
            <w:shd w:val="clear" w:color="auto" w:fill="auto"/>
            <w:noWrap/>
            <w:vAlign w:val="bottom"/>
            <w:hideMark/>
          </w:tcPr>
          <w:p w14:paraId="4C4EF925" w14:textId="77777777" w:rsidR="001B5641" w:rsidRDefault="001B5641">
            <w:pPr>
              <w:jc w:val="right"/>
              <w:rPr>
                <w:b/>
                <w:bCs/>
                <w:sz w:val="20"/>
                <w:szCs w:val="20"/>
              </w:rPr>
            </w:pPr>
            <w:r>
              <w:rPr>
                <w:b/>
                <w:bCs/>
                <w:sz w:val="20"/>
                <w:szCs w:val="20"/>
              </w:rPr>
              <w:t>0,00</w:t>
            </w:r>
          </w:p>
        </w:tc>
        <w:tc>
          <w:tcPr>
            <w:tcW w:w="1180" w:type="dxa"/>
            <w:tcBorders>
              <w:top w:val="nil"/>
              <w:left w:val="nil"/>
              <w:bottom w:val="single" w:sz="4" w:space="0" w:color="auto"/>
              <w:right w:val="nil"/>
            </w:tcBorders>
            <w:shd w:val="clear" w:color="auto" w:fill="auto"/>
            <w:noWrap/>
            <w:vAlign w:val="bottom"/>
            <w:hideMark/>
          </w:tcPr>
          <w:p w14:paraId="0CB8EEE4" w14:textId="77777777" w:rsidR="001B5641" w:rsidRDefault="001B5641">
            <w:pPr>
              <w:jc w:val="right"/>
              <w:rPr>
                <w:b/>
                <w:bCs/>
                <w:sz w:val="20"/>
                <w:szCs w:val="20"/>
              </w:rPr>
            </w:pPr>
            <w:r>
              <w:rPr>
                <w:b/>
                <w:bCs/>
                <w:sz w:val="20"/>
                <w:szCs w:val="20"/>
              </w:rPr>
              <w:t>0,00</w:t>
            </w:r>
          </w:p>
        </w:tc>
      </w:tr>
      <w:tr w:rsidR="001B5641" w14:paraId="4A305092" w14:textId="77777777" w:rsidTr="001B5641">
        <w:trPr>
          <w:trHeight w:val="300"/>
        </w:trPr>
        <w:tc>
          <w:tcPr>
            <w:tcW w:w="616" w:type="dxa"/>
            <w:tcBorders>
              <w:top w:val="nil"/>
              <w:left w:val="nil"/>
              <w:bottom w:val="nil"/>
              <w:right w:val="nil"/>
            </w:tcBorders>
            <w:shd w:val="clear" w:color="auto" w:fill="auto"/>
            <w:noWrap/>
            <w:vAlign w:val="bottom"/>
            <w:hideMark/>
          </w:tcPr>
          <w:p w14:paraId="057AD757" w14:textId="77777777" w:rsidR="001B5641" w:rsidRDefault="001B5641">
            <w:pPr>
              <w:jc w:val="right"/>
              <w:rPr>
                <w:b/>
                <w:bCs/>
                <w:sz w:val="20"/>
                <w:szCs w:val="20"/>
              </w:rPr>
            </w:pPr>
            <w:r>
              <w:rPr>
                <w:b/>
                <w:bCs/>
                <w:sz w:val="20"/>
                <w:szCs w:val="20"/>
              </w:rPr>
              <w:t>83</w:t>
            </w:r>
          </w:p>
        </w:tc>
        <w:tc>
          <w:tcPr>
            <w:tcW w:w="6472" w:type="dxa"/>
            <w:tcBorders>
              <w:top w:val="nil"/>
              <w:left w:val="nil"/>
              <w:bottom w:val="nil"/>
              <w:right w:val="nil"/>
            </w:tcBorders>
            <w:shd w:val="clear" w:color="auto" w:fill="auto"/>
            <w:noWrap/>
            <w:vAlign w:val="bottom"/>
            <w:hideMark/>
          </w:tcPr>
          <w:p w14:paraId="54A3E6C4" w14:textId="77777777" w:rsidR="001B5641" w:rsidRDefault="001B5641">
            <w:pPr>
              <w:rPr>
                <w:b/>
                <w:bCs/>
                <w:sz w:val="20"/>
                <w:szCs w:val="20"/>
              </w:rPr>
            </w:pPr>
            <w:r>
              <w:rPr>
                <w:b/>
                <w:bCs/>
                <w:sz w:val="20"/>
                <w:szCs w:val="20"/>
              </w:rPr>
              <w:t xml:space="preserve">Primici od prodaje dionica i udjela u glavnici                                                      </w:t>
            </w:r>
          </w:p>
        </w:tc>
        <w:tc>
          <w:tcPr>
            <w:tcW w:w="1360" w:type="dxa"/>
            <w:tcBorders>
              <w:top w:val="nil"/>
              <w:left w:val="nil"/>
              <w:bottom w:val="nil"/>
              <w:right w:val="nil"/>
            </w:tcBorders>
            <w:shd w:val="clear" w:color="auto" w:fill="auto"/>
            <w:noWrap/>
            <w:vAlign w:val="bottom"/>
            <w:hideMark/>
          </w:tcPr>
          <w:p w14:paraId="2ED8D5F4" w14:textId="77777777" w:rsidR="001B5641" w:rsidRDefault="001B5641">
            <w:pPr>
              <w:jc w:val="right"/>
              <w:rPr>
                <w:b/>
                <w:bCs/>
                <w:sz w:val="20"/>
                <w:szCs w:val="20"/>
              </w:rPr>
            </w:pPr>
            <w:r>
              <w:rPr>
                <w:b/>
                <w:bCs/>
                <w:sz w:val="20"/>
                <w:szCs w:val="20"/>
              </w:rPr>
              <w:t>20.000,00</w:t>
            </w:r>
          </w:p>
        </w:tc>
        <w:tc>
          <w:tcPr>
            <w:tcW w:w="1503" w:type="dxa"/>
            <w:tcBorders>
              <w:top w:val="nil"/>
              <w:left w:val="nil"/>
              <w:bottom w:val="nil"/>
              <w:right w:val="nil"/>
            </w:tcBorders>
            <w:shd w:val="clear" w:color="auto" w:fill="auto"/>
            <w:noWrap/>
            <w:vAlign w:val="bottom"/>
            <w:hideMark/>
          </w:tcPr>
          <w:p w14:paraId="4F94C8EE" w14:textId="77777777" w:rsidR="001B5641" w:rsidRDefault="001B5641">
            <w:pPr>
              <w:jc w:val="right"/>
              <w:rPr>
                <w:b/>
                <w:bCs/>
                <w:sz w:val="20"/>
                <w:szCs w:val="20"/>
              </w:rPr>
            </w:pPr>
            <w:r>
              <w:rPr>
                <w:b/>
                <w:bCs/>
                <w:sz w:val="20"/>
                <w:szCs w:val="20"/>
              </w:rPr>
              <w:t>0,00</w:t>
            </w:r>
          </w:p>
        </w:tc>
        <w:tc>
          <w:tcPr>
            <w:tcW w:w="1360" w:type="dxa"/>
            <w:tcBorders>
              <w:top w:val="nil"/>
              <w:left w:val="nil"/>
              <w:bottom w:val="nil"/>
              <w:right w:val="nil"/>
            </w:tcBorders>
            <w:shd w:val="clear" w:color="auto" w:fill="auto"/>
            <w:noWrap/>
            <w:vAlign w:val="bottom"/>
            <w:hideMark/>
          </w:tcPr>
          <w:p w14:paraId="19ED43C1" w14:textId="77777777" w:rsidR="001B5641" w:rsidRDefault="001B5641">
            <w:pPr>
              <w:jc w:val="right"/>
              <w:rPr>
                <w:b/>
                <w:bCs/>
                <w:sz w:val="20"/>
                <w:szCs w:val="20"/>
              </w:rPr>
            </w:pPr>
            <w:r>
              <w:rPr>
                <w:b/>
                <w:bCs/>
                <w:sz w:val="20"/>
                <w:szCs w:val="20"/>
              </w:rPr>
              <w:t>0,00</w:t>
            </w:r>
          </w:p>
        </w:tc>
        <w:tc>
          <w:tcPr>
            <w:tcW w:w="983" w:type="dxa"/>
            <w:tcBorders>
              <w:top w:val="nil"/>
              <w:left w:val="nil"/>
              <w:bottom w:val="nil"/>
              <w:right w:val="nil"/>
            </w:tcBorders>
            <w:shd w:val="clear" w:color="auto" w:fill="auto"/>
            <w:noWrap/>
            <w:vAlign w:val="bottom"/>
            <w:hideMark/>
          </w:tcPr>
          <w:p w14:paraId="3E4D0F2A" w14:textId="77777777" w:rsidR="001B5641" w:rsidRDefault="001B5641">
            <w:pPr>
              <w:jc w:val="right"/>
              <w:rPr>
                <w:b/>
                <w:bCs/>
                <w:sz w:val="20"/>
                <w:szCs w:val="20"/>
              </w:rPr>
            </w:pPr>
            <w:r>
              <w:rPr>
                <w:b/>
                <w:bCs/>
                <w:sz w:val="20"/>
                <w:szCs w:val="20"/>
              </w:rPr>
              <w:t>0,00</w:t>
            </w:r>
          </w:p>
        </w:tc>
        <w:tc>
          <w:tcPr>
            <w:tcW w:w="1180" w:type="dxa"/>
            <w:tcBorders>
              <w:top w:val="nil"/>
              <w:left w:val="nil"/>
              <w:bottom w:val="nil"/>
              <w:right w:val="nil"/>
            </w:tcBorders>
            <w:shd w:val="clear" w:color="auto" w:fill="auto"/>
            <w:noWrap/>
            <w:vAlign w:val="bottom"/>
            <w:hideMark/>
          </w:tcPr>
          <w:p w14:paraId="2D4BA61C" w14:textId="77777777" w:rsidR="001B5641" w:rsidRDefault="001B5641">
            <w:pPr>
              <w:jc w:val="right"/>
              <w:rPr>
                <w:b/>
                <w:bCs/>
                <w:sz w:val="20"/>
                <w:szCs w:val="20"/>
              </w:rPr>
            </w:pPr>
            <w:r>
              <w:rPr>
                <w:b/>
                <w:bCs/>
                <w:sz w:val="20"/>
                <w:szCs w:val="20"/>
              </w:rPr>
              <w:t>0,00</w:t>
            </w:r>
          </w:p>
        </w:tc>
      </w:tr>
      <w:tr w:rsidR="001B5641" w14:paraId="0CB7CDCA" w14:textId="77777777" w:rsidTr="001B5641">
        <w:trPr>
          <w:trHeight w:val="300"/>
        </w:trPr>
        <w:tc>
          <w:tcPr>
            <w:tcW w:w="616" w:type="dxa"/>
            <w:tcBorders>
              <w:top w:val="nil"/>
              <w:left w:val="nil"/>
              <w:bottom w:val="nil"/>
              <w:right w:val="nil"/>
            </w:tcBorders>
            <w:shd w:val="clear" w:color="auto" w:fill="auto"/>
            <w:noWrap/>
            <w:vAlign w:val="bottom"/>
            <w:hideMark/>
          </w:tcPr>
          <w:p w14:paraId="3A8FC70F" w14:textId="77777777" w:rsidR="001B5641" w:rsidRDefault="001B5641">
            <w:pPr>
              <w:jc w:val="right"/>
              <w:rPr>
                <w:b/>
                <w:bCs/>
                <w:sz w:val="20"/>
                <w:szCs w:val="20"/>
              </w:rPr>
            </w:pPr>
            <w:r>
              <w:rPr>
                <w:b/>
                <w:bCs/>
                <w:sz w:val="20"/>
                <w:szCs w:val="20"/>
              </w:rPr>
              <w:t>832</w:t>
            </w:r>
          </w:p>
        </w:tc>
        <w:tc>
          <w:tcPr>
            <w:tcW w:w="6472" w:type="dxa"/>
            <w:tcBorders>
              <w:top w:val="nil"/>
              <w:left w:val="nil"/>
              <w:bottom w:val="nil"/>
              <w:right w:val="nil"/>
            </w:tcBorders>
            <w:shd w:val="clear" w:color="auto" w:fill="auto"/>
            <w:noWrap/>
            <w:vAlign w:val="bottom"/>
            <w:hideMark/>
          </w:tcPr>
          <w:p w14:paraId="38D45202" w14:textId="77777777" w:rsidR="001B5641" w:rsidRDefault="001B5641">
            <w:pPr>
              <w:rPr>
                <w:b/>
                <w:bCs/>
                <w:sz w:val="20"/>
                <w:szCs w:val="20"/>
              </w:rPr>
            </w:pPr>
            <w:r>
              <w:rPr>
                <w:b/>
                <w:bCs/>
                <w:sz w:val="20"/>
                <w:szCs w:val="20"/>
              </w:rPr>
              <w:t xml:space="preserve">Primici od prodaje dionica i udjela u glavnici trgovačkih društava u javnom sektoru                 </w:t>
            </w:r>
          </w:p>
        </w:tc>
        <w:tc>
          <w:tcPr>
            <w:tcW w:w="1360" w:type="dxa"/>
            <w:tcBorders>
              <w:top w:val="nil"/>
              <w:left w:val="nil"/>
              <w:bottom w:val="nil"/>
              <w:right w:val="nil"/>
            </w:tcBorders>
            <w:shd w:val="clear" w:color="auto" w:fill="auto"/>
            <w:noWrap/>
            <w:vAlign w:val="bottom"/>
            <w:hideMark/>
          </w:tcPr>
          <w:p w14:paraId="445ADC1C" w14:textId="77777777" w:rsidR="001B5641" w:rsidRDefault="001B5641">
            <w:pPr>
              <w:jc w:val="right"/>
              <w:rPr>
                <w:b/>
                <w:bCs/>
                <w:sz w:val="20"/>
                <w:szCs w:val="20"/>
              </w:rPr>
            </w:pPr>
            <w:r>
              <w:rPr>
                <w:b/>
                <w:bCs/>
                <w:sz w:val="20"/>
                <w:szCs w:val="20"/>
              </w:rPr>
              <w:t>20.000,00</w:t>
            </w:r>
          </w:p>
        </w:tc>
        <w:tc>
          <w:tcPr>
            <w:tcW w:w="1503" w:type="dxa"/>
            <w:tcBorders>
              <w:top w:val="nil"/>
              <w:left w:val="nil"/>
              <w:bottom w:val="nil"/>
              <w:right w:val="nil"/>
            </w:tcBorders>
            <w:shd w:val="clear" w:color="auto" w:fill="auto"/>
            <w:noWrap/>
            <w:vAlign w:val="bottom"/>
            <w:hideMark/>
          </w:tcPr>
          <w:p w14:paraId="6CBAFFA7" w14:textId="77777777" w:rsidR="001B5641" w:rsidRDefault="001B5641">
            <w:pPr>
              <w:jc w:val="right"/>
              <w:rPr>
                <w:b/>
                <w:bCs/>
                <w:sz w:val="20"/>
                <w:szCs w:val="20"/>
              </w:rPr>
            </w:pPr>
            <w:r>
              <w:rPr>
                <w:b/>
                <w:bCs/>
                <w:sz w:val="20"/>
                <w:szCs w:val="20"/>
              </w:rPr>
              <w:t>0,00</w:t>
            </w:r>
          </w:p>
        </w:tc>
        <w:tc>
          <w:tcPr>
            <w:tcW w:w="1360" w:type="dxa"/>
            <w:tcBorders>
              <w:top w:val="nil"/>
              <w:left w:val="nil"/>
              <w:bottom w:val="nil"/>
              <w:right w:val="nil"/>
            </w:tcBorders>
            <w:shd w:val="clear" w:color="auto" w:fill="auto"/>
            <w:noWrap/>
            <w:vAlign w:val="bottom"/>
            <w:hideMark/>
          </w:tcPr>
          <w:p w14:paraId="5CEE8F92" w14:textId="77777777" w:rsidR="001B5641" w:rsidRDefault="001B5641">
            <w:pPr>
              <w:jc w:val="right"/>
              <w:rPr>
                <w:b/>
                <w:bCs/>
                <w:sz w:val="20"/>
                <w:szCs w:val="20"/>
              </w:rPr>
            </w:pPr>
            <w:r>
              <w:rPr>
                <w:b/>
                <w:bCs/>
                <w:sz w:val="20"/>
                <w:szCs w:val="20"/>
              </w:rPr>
              <w:t>0,00</w:t>
            </w:r>
          </w:p>
        </w:tc>
        <w:tc>
          <w:tcPr>
            <w:tcW w:w="983" w:type="dxa"/>
            <w:tcBorders>
              <w:top w:val="nil"/>
              <w:left w:val="nil"/>
              <w:bottom w:val="nil"/>
              <w:right w:val="nil"/>
            </w:tcBorders>
            <w:shd w:val="clear" w:color="auto" w:fill="auto"/>
            <w:noWrap/>
            <w:vAlign w:val="bottom"/>
            <w:hideMark/>
          </w:tcPr>
          <w:p w14:paraId="4706AF14" w14:textId="77777777" w:rsidR="001B5641" w:rsidRDefault="001B5641">
            <w:pPr>
              <w:jc w:val="right"/>
              <w:rPr>
                <w:b/>
                <w:bCs/>
                <w:sz w:val="20"/>
                <w:szCs w:val="20"/>
              </w:rPr>
            </w:pPr>
            <w:r>
              <w:rPr>
                <w:b/>
                <w:bCs/>
                <w:sz w:val="20"/>
                <w:szCs w:val="20"/>
              </w:rPr>
              <w:t>0,00</w:t>
            </w:r>
          </w:p>
        </w:tc>
        <w:tc>
          <w:tcPr>
            <w:tcW w:w="1180" w:type="dxa"/>
            <w:tcBorders>
              <w:top w:val="nil"/>
              <w:left w:val="nil"/>
              <w:bottom w:val="nil"/>
              <w:right w:val="nil"/>
            </w:tcBorders>
            <w:shd w:val="clear" w:color="auto" w:fill="auto"/>
            <w:noWrap/>
            <w:vAlign w:val="bottom"/>
            <w:hideMark/>
          </w:tcPr>
          <w:p w14:paraId="66776057" w14:textId="77777777" w:rsidR="001B5641" w:rsidRDefault="001B5641">
            <w:pPr>
              <w:jc w:val="right"/>
              <w:rPr>
                <w:b/>
                <w:bCs/>
                <w:sz w:val="20"/>
                <w:szCs w:val="20"/>
              </w:rPr>
            </w:pPr>
            <w:r>
              <w:rPr>
                <w:b/>
                <w:bCs/>
                <w:sz w:val="20"/>
                <w:szCs w:val="20"/>
              </w:rPr>
              <w:t>0,00</w:t>
            </w:r>
          </w:p>
        </w:tc>
      </w:tr>
      <w:tr w:rsidR="001B5641" w14:paraId="56C0BCBD" w14:textId="77777777" w:rsidTr="001B5641">
        <w:trPr>
          <w:trHeight w:val="300"/>
        </w:trPr>
        <w:tc>
          <w:tcPr>
            <w:tcW w:w="616" w:type="dxa"/>
            <w:tcBorders>
              <w:top w:val="nil"/>
              <w:left w:val="nil"/>
              <w:bottom w:val="nil"/>
              <w:right w:val="nil"/>
            </w:tcBorders>
            <w:shd w:val="clear" w:color="auto" w:fill="auto"/>
            <w:noWrap/>
            <w:vAlign w:val="bottom"/>
            <w:hideMark/>
          </w:tcPr>
          <w:p w14:paraId="025E6C3E" w14:textId="77777777" w:rsidR="001B5641" w:rsidRDefault="001B5641">
            <w:pPr>
              <w:jc w:val="right"/>
              <w:rPr>
                <w:sz w:val="20"/>
                <w:szCs w:val="20"/>
              </w:rPr>
            </w:pPr>
            <w:r>
              <w:rPr>
                <w:sz w:val="20"/>
                <w:szCs w:val="20"/>
              </w:rPr>
              <w:t>8321</w:t>
            </w:r>
          </w:p>
        </w:tc>
        <w:tc>
          <w:tcPr>
            <w:tcW w:w="6472" w:type="dxa"/>
            <w:tcBorders>
              <w:top w:val="nil"/>
              <w:left w:val="nil"/>
              <w:bottom w:val="nil"/>
              <w:right w:val="nil"/>
            </w:tcBorders>
            <w:shd w:val="clear" w:color="auto" w:fill="auto"/>
            <w:noWrap/>
            <w:vAlign w:val="bottom"/>
            <w:hideMark/>
          </w:tcPr>
          <w:p w14:paraId="7B6B404A" w14:textId="77777777" w:rsidR="001B5641" w:rsidRDefault="001B5641">
            <w:pPr>
              <w:rPr>
                <w:sz w:val="20"/>
                <w:szCs w:val="20"/>
              </w:rPr>
            </w:pPr>
            <w:r>
              <w:rPr>
                <w:sz w:val="20"/>
                <w:szCs w:val="20"/>
              </w:rPr>
              <w:t xml:space="preserve">Dionice i udjeli u glavnici trgovačkih društava u javnom sektoru                                    </w:t>
            </w:r>
          </w:p>
        </w:tc>
        <w:tc>
          <w:tcPr>
            <w:tcW w:w="1360" w:type="dxa"/>
            <w:tcBorders>
              <w:top w:val="nil"/>
              <w:left w:val="nil"/>
              <w:bottom w:val="nil"/>
              <w:right w:val="nil"/>
            </w:tcBorders>
            <w:shd w:val="clear" w:color="auto" w:fill="auto"/>
            <w:noWrap/>
            <w:vAlign w:val="bottom"/>
            <w:hideMark/>
          </w:tcPr>
          <w:p w14:paraId="5C8E58CF" w14:textId="77777777" w:rsidR="001B5641" w:rsidRDefault="001B5641">
            <w:pPr>
              <w:jc w:val="right"/>
              <w:rPr>
                <w:sz w:val="20"/>
                <w:szCs w:val="20"/>
              </w:rPr>
            </w:pPr>
            <w:r>
              <w:rPr>
                <w:sz w:val="20"/>
                <w:szCs w:val="20"/>
              </w:rPr>
              <w:t>20.000,00</w:t>
            </w:r>
          </w:p>
        </w:tc>
        <w:tc>
          <w:tcPr>
            <w:tcW w:w="1503" w:type="dxa"/>
            <w:tcBorders>
              <w:top w:val="nil"/>
              <w:left w:val="nil"/>
              <w:bottom w:val="nil"/>
              <w:right w:val="nil"/>
            </w:tcBorders>
            <w:shd w:val="clear" w:color="auto" w:fill="auto"/>
            <w:noWrap/>
            <w:vAlign w:val="bottom"/>
            <w:hideMark/>
          </w:tcPr>
          <w:p w14:paraId="5BF1ECC4" w14:textId="77777777" w:rsidR="001B5641" w:rsidRDefault="001B5641">
            <w:pPr>
              <w:jc w:val="right"/>
              <w:rPr>
                <w:sz w:val="20"/>
                <w:szCs w:val="20"/>
              </w:rPr>
            </w:pPr>
          </w:p>
        </w:tc>
        <w:tc>
          <w:tcPr>
            <w:tcW w:w="1360" w:type="dxa"/>
            <w:tcBorders>
              <w:top w:val="nil"/>
              <w:left w:val="nil"/>
              <w:bottom w:val="nil"/>
              <w:right w:val="nil"/>
            </w:tcBorders>
            <w:shd w:val="clear" w:color="auto" w:fill="auto"/>
            <w:noWrap/>
            <w:vAlign w:val="bottom"/>
            <w:hideMark/>
          </w:tcPr>
          <w:p w14:paraId="6B1506CC" w14:textId="77777777" w:rsidR="001B5641" w:rsidRDefault="001B5641">
            <w:pPr>
              <w:jc w:val="right"/>
              <w:rPr>
                <w:sz w:val="20"/>
                <w:szCs w:val="20"/>
              </w:rPr>
            </w:pPr>
            <w:r>
              <w:rPr>
                <w:sz w:val="20"/>
                <w:szCs w:val="20"/>
              </w:rPr>
              <w:t>0,00</w:t>
            </w:r>
          </w:p>
        </w:tc>
        <w:tc>
          <w:tcPr>
            <w:tcW w:w="983" w:type="dxa"/>
            <w:tcBorders>
              <w:top w:val="nil"/>
              <w:left w:val="nil"/>
              <w:bottom w:val="nil"/>
              <w:right w:val="nil"/>
            </w:tcBorders>
            <w:shd w:val="clear" w:color="auto" w:fill="auto"/>
            <w:noWrap/>
            <w:vAlign w:val="bottom"/>
            <w:hideMark/>
          </w:tcPr>
          <w:p w14:paraId="20B2BA05" w14:textId="77777777" w:rsidR="001B5641" w:rsidRDefault="001B5641">
            <w:pPr>
              <w:jc w:val="right"/>
              <w:rPr>
                <w:sz w:val="20"/>
                <w:szCs w:val="20"/>
              </w:rPr>
            </w:pPr>
            <w:r>
              <w:rPr>
                <w:sz w:val="20"/>
                <w:szCs w:val="20"/>
              </w:rPr>
              <w:t>0,00</w:t>
            </w:r>
          </w:p>
        </w:tc>
        <w:tc>
          <w:tcPr>
            <w:tcW w:w="1180" w:type="dxa"/>
            <w:tcBorders>
              <w:top w:val="nil"/>
              <w:left w:val="nil"/>
              <w:bottom w:val="nil"/>
              <w:right w:val="nil"/>
            </w:tcBorders>
            <w:shd w:val="clear" w:color="auto" w:fill="auto"/>
            <w:noWrap/>
            <w:vAlign w:val="bottom"/>
            <w:hideMark/>
          </w:tcPr>
          <w:p w14:paraId="039719AD" w14:textId="77777777" w:rsidR="001B5641" w:rsidRDefault="001B5641">
            <w:pPr>
              <w:jc w:val="right"/>
              <w:rPr>
                <w:sz w:val="20"/>
                <w:szCs w:val="20"/>
              </w:rPr>
            </w:pPr>
          </w:p>
        </w:tc>
      </w:tr>
      <w:tr w:rsidR="001B5641" w14:paraId="1902B39C" w14:textId="77777777" w:rsidTr="001B5641">
        <w:trPr>
          <w:trHeight w:val="300"/>
        </w:trPr>
        <w:tc>
          <w:tcPr>
            <w:tcW w:w="616" w:type="dxa"/>
            <w:tcBorders>
              <w:top w:val="nil"/>
              <w:left w:val="nil"/>
              <w:bottom w:val="nil"/>
              <w:right w:val="nil"/>
            </w:tcBorders>
            <w:shd w:val="clear" w:color="auto" w:fill="auto"/>
            <w:noWrap/>
            <w:vAlign w:val="bottom"/>
            <w:hideMark/>
          </w:tcPr>
          <w:p w14:paraId="3B159606" w14:textId="77777777" w:rsidR="001B5641" w:rsidRDefault="001B5641">
            <w:pPr>
              <w:jc w:val="right"/>
              <w:rPr>
                <w:b/>
                <w:bCs/>
                <w:sz w:val="20"/>
                <w:szCs w:val="20"/>
              </w:rPr>
            </w:pPr>
            <w:r>
              <w:rPr>
                <w:b/>
                <w:bCs/>
                <w:sz w:val="20"/>
                <w:szCs w:val="20"/>
              </w:rPr>
              <w:t>84</w:t>
            </w:r>
          </w:p>
        </w:tc>
        <w:tc>
          <w:tcPr>
            <w:tcW w:w="6472" w:type="dxa"/>
            <w:tcBorders>
              <w:top w:val="nil"/>
              <w:left w:val="nil"/>
              <w:bottom w:val="nil"/>
              <w:right w:val="nil"/>
            </w:tcBorders>
            <w:shd w:val="clear" w:color="auto" w:fill="auto"/>
            <w:noWrap/>
            <w:vAlign w:val="bottom"/>
            <w:hideMark/>
          </w:tcPr>
          <w:p w14:paraId="46292538" w14:textId="77777777" w:rsidR="001B5641" w:rsidRDefault="001B5641">
            <w:pPr>
              <w:rPr>
                <w:b/>
                <w:bCs/>
                <w:sz w:val="20"/>
                <w:szCs w:val="20"/>
              </w:rPr>
            </w:pPr>
            <w:r>
              <w:rPr>
                <w:b/>
                <w:bCs/>
                <w:sz w:val="20"/>
                <w:szCs w:val="20"/>
              </w:rPr>
              <w:t xml:space="preserve">Primici od zaduživanja                                                                              </w:t>
            </w:r>
          </w:p>
        </w:tc>
        <w:tc>
          <w:tcPr>
            <w:tcW w:w="1360" w:type="dxa"/>
            <w:tcBorders>
              <w:top w:val="nil"/>
              <w:left w:val="nil"/>
              <w:bottom w:val="nil"/>
              <w:right w:val="nil"/>
            </w:tcBorders>
            <w:shd w:val="clear" w:color="auto" w:fill="auto"/>
            <w:noWrap/>
            <w:vAlign w:val="bottom"/>
            <w:hideMark/>
          </w:tcPr>
          <w:p w14:paraId="3385A24C" w14:textId="77777777" w:rsidR="001B5641" w:rsidRDefault="001B5641">
            <w:pPr>
              <w:jc w:val="right"/>
              <w:rPr>
                <w:b/>
                <w:bCs/>
                <w:sz w:val="20"/>
                <w:szCs w:val="20"/>
              </w:rPr>
            </w:pPr>
            <w:r>
              <w:rPr>
                <w:b/>
                <w:bCs/>
                <w:sz w:val="20"/>
                <w:szCs w:val="20"/>
              </w:rPr>
              <w:t>2.494.605,44</w:t>
            </w:r>
          </w:p>
        </w:tc>
        <w:tc>
          <w:tcPr>
            <w:tcW w:w="1503" w:type="dxa"/>
            <w:tcBorders>
              <w:top w:val="nil"/>
              <w:left w:val="nil"/>
              <w:bottom w:val="nil"/>
              <w:right w:val="nil"/>
            </w:tcBorders>
            <w:shd w:val="clear" w:color="auto" w:fill="auto"/>
            <w:noWrap/>
            <w:vAlign w:val="bottom"/>
            <w:hideMark/>
          </w:tcPr>
          <w:p w14:paraId="28B005FE" w14:textId="77777777" w:rsidR="001B5641" w:rsidRDefault="001B5641">
            <w:pPr>
              <w:jc w:val="right"/>
              <w:rPr>
                <w:b/>
                <w:bCs/>
                <w:sz w:val="20"/>
                <w:szCs w:val="20"/>
              </w:rPr>
            </w:pPr>
            <w:r>
              <w:rPr>
                <w:b/>
                <w:bCs/>
                <w:sz w:val="20"/>
                <w:szCs w:val="20"/>
              </w:rPr>
              <w:t>0,00</w:t>
            </w:r>
          </w:p>
        </w:tc>
        <w:tc>
          <w:tcPr>
            <w:tcW w:w="1360" w:type="dxa"/>
            <w:tcBorders>
              <w:top w:val="nil"/>
              <w:left w:val="nil"/>
              <w:bottom w:val="nil"/>
              <w:right w:val="nil"/>
            </w:tcBorders>
            <w:shd w:val="clear" w:color="auto" w:fill="auto"/>
            <w:noWrap/>
            <w:vAlign w:val="bottom"/>
            <w:hideMark/>
          </w:tcPr>
          <w:p w14:paraId="03E2A696" w14:textId="77777777" w:rsidR="001B5641" w:rsidRDefault="001B5641">
            <w:pPr>
              <w:jc w:val="right"/>
              <w:rPr>
                <w:b/>
                <w:bCs/>
                <w:sz w:val="20"/>
                <w:szCs w:val="20"/>
              </w:rPr>
            </w:pPr>
            <w:r>
              <w:rPr>
                <w:b/>
                <w:bCs/>
                <w:sz w:val="20"/>
                <w:szCs w:val="20"/>
              </w:rPr>
              <w:t>0,00</w:t>
            </w:r>
          </w:p>
        </w:tc>
        <w:tc>
          <w:tcPr>
            <w:tcW w:w="983" w:type="dxa"/>
            <w:tcBorders>
              <w:top w:val="nil"/>
              <w:left w:val="nil"/>
              <w:bottom w:val="nil"/>
              <w:right w:val="nil"/>
            </w:tcBorders>
            <w:shd w:val="clear" w:color="auto" w:fill="auto"/>
            <w:noWrap/>
            <w:vAlign w:val="bottom"/>
            <w:hideMark/>
          </w:tcPr>
          <w:p w14:paraId="291D7CA5" w14:textId="77777777" w:rsidR="001B5641" w:rsidRDefault="001B5641">
            <w:pPr>
              <w:jc w:val="right"/>
              <w:rPr>
                <w:b/>
                <w:bCs/>
                <w:sz w:val="20"/>
                <w:szCs w:val="20"/>
              </w:rPr>
            </w:pPr>
            <w:r>
              <w:rPr>
                <w:b/>
                <w:bCs/>
                <w:sz w:val="20"/>
                <w:szCs w:val="20"/>
              </w:rPr>
              <w:t>0,00</w:t>
            </w:r>
          </w:p>
        </w:tc>
        <w:tc>
          <w:tcPr>
            <w:tcW w:w="1180" w:type="dxa"/>
            <w:tcBorders>
              <w:top w:val="nil"/>
              <w:left w:val="nil"/>
              <w:bottom w:val="nil"/>
              <w:right w:val="nil"/>
            </w:tcBorders>
            <w:shd w:val="clear" w:color="auto" w:fill="auto"/>
            <w:noWrap/>
            <w:vAlign w:val="bottom"/>
            <w:hideMark/>
          </w:tcPr>
          <w:p w14:paraId="6B438999" w14:textId="77777777" w:rsidR="001B5641" w:rsidRDefault="001B5641">
            <w:pPr>
              <w:jc w:val="right"/>
              <w:rPr>
                <w:b/>
                <w:bCs/>
                <w:sz w:val="20"/>
                <w:szCs w:val="20"/>
              </w:rPr>
            </w:pPr>
            <w:r>
              <w:rPr>
                <w:b/>
                <w:bCs/>
                <w:sz w:val="20"/>
                <w:szCs w:val="20"/>
              </w:rPr>
              <w:t>0,00</w:t>
            </w:r>
          </w:p>
        </w:tc>
      </w:tr>
      <w:tr w:rsidR="001B5641" w14:paraId="10950676" w14:textId="77777777" w:rsidTr="001B5641">
        <w:trPr>
          <w:trHeight w:val="300"/>
        </w:trPr>
        <w:tc>
          <w:tcPr>
            <w:tcW w:w="616" w:type="dxa"/>
            <w:tcBorders>
              <w:top w:val="nil"/>
              <w:left w:val="nil"/>
              <w:bottom w:val="nil"/>
              <w:right w:val="nil"/>
            </w:tcBorders>
            <w:shd w:val="clear" w:color="auto" w:fill="auto"/>
            <w:noWrap/>
            <w:vAlign w:val="bottom"/>
            <w:hideMark/>
          </w:tcPr>
          <w:p w14:paraId="17B1396C" w14:textId="77777777" w:rsidR="001B5641" w:rsidRDefault="001B5641">
            <w:pPr>
              <w:jc w:val="right"/>
              <w:rPr>
                <w:b/>
                <w:bCs/>
                <w:sz w:val="20"/>
                <w:szCs w:val="20"/>
              </w:rPr>
            </w:pPr>
            <w:r>
              <w:rPr>
                <w:b/>
                <w:bCs/>
                <w:sz w:val="20"/>
                <w:szCs w:val="20"/>
              </w:rPr>
              <w:t>842</w:t>
            </w:r>
          </w:p>
        </w:tc>
        <w:tc>
          <w:tcPr>
            <w:tcW w:w="6472" w:type="dxa"/>
            <w:tcBorders>
              <w:top w:val="nil"/>
              <w:left w:val="nil"/>
              <w:bottom w:val="nil"/>
              <w:right w:val="nil"/>
            </w:tcBorders>
            <w:shd w:val="clear" w:color="auto" w:fill="auto"/>
            <w:noWrap/>
            <w:vAlign w:val="bottom"/>
            <w:hideMark/>
          </w:tcPr>
          <w:p w14:paraId="04F49E3C" w14:textId="77777777" w:rsidR="001B5641" w:rsidRDefault="001B5641">
            <w:pPr>
              <w:rPr>
                <w:b/>
                <w:bCs/>
                <w:sz w:val="20"/>
                <w:szCs w:val="20"/>
              </w:rPr>
            </w:pPr>
            <w:r>
              <w:rPr>
                <w:b/>
                <w:bCs/>
                <w:sz w:val="20"/>
                <w:szCs w:val="20"/>
              </w:rPr>
              <w:t xml:space="preserve">Primljeni krediti i zajmovi od kreditnih i ostalih financijskih institucija u javnom sektoru        </w:t>
            </w:r>
          </w:p>
        </w:tc>
        <w:tc>
          <w:tcPr>
            <w:tcW w:w="1360" w:type="dxa"/>
            <w:tcBorders>
              <w:top w:val="nil"/>
              <w:left w:val="nil"/>
              <w:bottom w:val="nil"/>
              <w:right w:val="nil"/>
            </w:tcBorders>
            <w:shd w:val="clear" w:color="auto" w:fill="auto"/>
            <w:noWrap/>
            <w:vAlign w:val="bottom"/>
            <w:hideMark/>
          </w:tcPr>
          <w:p w14:paraId="3767078A" w14:textId="77777777" w:rsidR="001B5641" w:rsidRDefault="001B5641">
            <w:pPr>
              <w:jc w:val="right"/>
              <w:rPr>
                <w:b/>
                <w:bCs/>
                <w:sz w:val="20"/>
                <w:szCs w:val="20"/>
              </w:rPr>
            </w:pPr>
            <w:r>
              <w:rPr>
                <w:b/>
                <w:bCs/>
                <w:sz w:val="20"/>
                <w:szCs w:val="20"/>
              </w:rPr>
              <w:t>1.654.489,44</w:t>
            </w:r>
          </w:p>
        </w:tc>
        <w:tc>
          <w:tcPr>
            <w:tcW w:w="1503" w:type="dxa"/>
            <w:tcBorders>
              <w:top w:val="nil"/>
              <w:left w:val="nil"/>
              <w:bottom w:val="nil"/>
              <w:right w:val="nil"/>
            </w:tcBorders>
            <w:shd w:val="clear" w:color="auto" w:fill="auto"/>
            <w:noWrap/>
            <w:vAlign w:val="bottom"/>
            <w:hideMark/>
          </w:tcPr>
          <w:p w14:paraId="06990544" w14:textId="77777777" w:rsidR="001B5641" w:rsidRDefault="001B5641">
            <w:pPr>
              <w:jc w:val="right"/>
              <w:rPr>
                <w:b/>
                <w:bCs/>
                <w:sz w:val="20"/>
                <w:szCs w:val="20"/>
              </w:rPr>
            </w:pPr>
            <w:r>
              <w:rPr>
                <w:b/>
                <w:bCs/>
                <w:sz w:val="20"/>
                <w:szCs w:val="20"/>
              </w:rPr>
              <w:t>0,00</w:t>
            </w:r>
          </w:p>
        </w:tc>
        <w:tc>
          <w:tcPr>
            <w:tcW w:w="1360" w:type="dxa"/>
            <w:tcBorders>
              <w:top w:val="nil"/>
              <w:left w:val="nil"/>
              <w:bottom w:val="nil"/>
              <w:right w:val="nil"/>
            </w:tcBorders>
            <w:shd w:val="clear" w:color="auto" w:fill="auto"/>
            <w:noWrap/>
            <w:vAlign w:val="bottom"/>
            <w:hideMark/>
          </w:tcPr>
          <w:p w14:paraId="376BA3CC" w14:textId="77777777" w:rsidR="001B5641" w:rsidRDefault="001B5641">
            <w:pPr>
              <w:jc w:val="right"/>
              <w:rPr>
                <w:b/>
                <w:bCs/>
                <w:sz w:val="20"/>
                <w:szCs w:val="20"/>
              </w:rPr>
            </w:pPr>
            <w:r>
              <w:rPr>
                <w:b/>
                <w:bCs/>
                <w:sz w:val="20"/>
                <w:szCs w:val="20"/>
              </w:rPr>
              <w:t>0,00</w:t>
            </w:r>
          </w:p>
        </w:tc>
        <w:tc>
          <w:tcPr>
            <w:tcW w:w="983" w:type="dxa"/>
            <w:tcBorders>
              <w:top w:val="nil"/>
              <w:left w:val="nil"/>
              <w:bottom w:val="nil"/>
              <w:right w:val="nil"/>
            </w:tcBorders>
            <w:shd w:val="clear" w:color="auto" w:fill="auto"/>
            <w:noWrap/>
            <w:vAlign w:val="bottom"/>
            <w:hideMark/>
          </w:tcPr>
          <w:p w14:paraId="37779563" w14:textId="77777777" w:rsidR="001B5641" w:rsidRDefault="001B5641">
            <w:pPr>
              <w:jc w:val="right"/>
              <w:rPr>
                <w:b/>
                <w:bCs/>
                <w:sz w:val="20"/>
                <w:szCs w:val="20"/>
              </w:rPr>
            </w:pPr>
            <w:r>
              <w:rPr>
                <w:b/>
                <w:bCs/>
                <w:sz w:val="20"/>
                <w:szCs w:val="20"/>
              </w:rPr>
              <w:t>0,00</w:t>
            </w:r>
          </w:p>
        </w:tc>
        <w:tc>
          <w:tcPr>
            <w:tcW w:w="1180" w:type="dxa"/>
            <w:tcBorders>
              <w:top w:val="nil"/>
              <w:left w:val="nil"/>
              <w:bottom w:val="nil"/>
              <w:right w:val="nil"/>
            </w:tcBorders>
            <w:shd w:val="clear" w:color="auto" w:fill="auto"/>
            <w:noWrap/>
            <w:vAlign w:val="bottom"/>
            <w:hideMark/>
          </w:tcPr>
          <w:p w14:paraId="01AACD5C" w14:textId="77777777" w:rsidR="001B5641" w:rsidRDefault="001B5641">
            <w:pPr>
              <w:jc w:val="right"/>
              <w:rPr>
                <w:b/>
                <w:bCs/>
                <w:sz w:val="20"/>
                <w:szCs w:val="20"/>
              </w:rPr>
            </w:pPr>
            <w:r>
              <w:rPr>
                <w:b/>
                <w:bCs/>
                <w:sz w:val="20"/>
                <w:szCs w:val="20"/>
              </w:rPr>
              <w:t>0,00</w:t>
            </w:r>
          </w:p>
        </w:tc>
      </w:tr>
      <w:tr w:rsidR="001B5641" w14:paraId="043E4AD1" w14:textId="77777777" w:rsidTr="001B5641">
        <w:trPr>
          <w:trHeight w:val="300"/>
        </w:trPr>
        <w:tc>
          <w:tcPr>
            <w:tcW w:w="616" w:type="dxa"/>
            <w:tcBorders>
              <w:top w:val="nil"/>
              <w:left w:val="nil"/>
              <w:bottom w:val="nil"/>
              <w:right w:val="nil"/>
            </w:tcBorders>
            <w:shd w:val="clear" w:color="auto" w:fill="auto"/>
            <w:noWrap/>
            <w:vAlign w:val="bottom"/>
            <w:hideMark/>
          </w:tcPr>
          <w:p w14:paraId="40258DA6" w14:textId="77777777" w:rsidR="001B5641" w:rsidRDefault="001B5641">
            <w:pPr>
              <w:jc w:val="right"/>
              <w:rPr>
                <w:sz w:val="20"/>
                <w:szCs w:val="20"/>
              </w:rPr>
            </w:pPr>
            <w:r>
              <w:rPr>
                <w:sz w:val="20"/>
                <w:szCs w:val="20"/>
              </w:rPr>
              <w:t>8422</w:t>
            </w:r>
          </w:p>
        </w:tc>
        <w:tc>
          <w:tcPr>
            <w:tcW w:w="6472" w:type="dxa"/>
            <w:tcBorders>
              <w:top w:val="nil"/>
              <w:left w:val="nil"/>
              <w:bottom w:val="nil"/>
              <w:right w:val="nil"/>
            </w:tcBorders>
            <w:shd w:val="clear" w:color="auto" w:fill="auto"/>
            <w:noWrap/>
            <w:vAlign w:val="bottom"/>
            <w:hideMark/>
          </w:tcPr>
          <w:p w14:paraId="7BB7ED4C" w14:textId="77777777" w:rsidR="001B5641" w:rsidRDefault="001B5641">
            <w:pPr>
              <w:rPr>
                <w:sz w:val="20"/>
                <w:szCs w:val="20"/>
              </w:rPr>
            </w:pPr>
            <w:r>
              <w:rPr>
                <w:sz w:val="20"/>
                <w:szCs w:val="20"/>
              </w:rPr>
              <w:t xml:space="preserve">Primljeni krediti od kreditnih institucija u javnom sektoru                                         </w:t>
            </w:r>
          </w:p>
        </w:tc>
        <w:tc>
          <w:tcPr>
            <w:tcW w:w="1360" w:type="dxa"/>
            <w:tcBorders>
              <w:top w:val="nil"/>
              <w:left w:val="nil"/>
              <w:bottom w:val="nil"/>
              <w:right w:val="nil"/>
            </w:tcBorders>
            <w:shd w:val="clear" w:color="auto" w:fill="auto"/>
            <w:noWrap/>
            <w:vAlign w:val="bottom"/>
            <w:hideMark/>
          </w:tcPr>
          <w:p w14:paraId="5A176E33" w14:textId="77777777" w:rsidR="001B5641" w:rsidRDefault="001B5641">
            <w:pPr>
              <w:jc w:val="right"/>
              <w:rPr>
                <w:sz w:val="20"/>
                <w:szCs w:val="20"/>
              </w:rPr>
            </w:pPr>
            <w:r>
              <w:rPr>
                <w:sz w:val="20"/>
                <w:szCs w:val="20"/>
              </w:rPr>
              <w:t>1.654.489,44</w:t>
            </w:r>
          </w:p>
        </w:tc>
        <w:tc>
          <w:tcPr>
            <w:tcW w:w="1503" w:type="dxa"/>
            <w:tcBorders>
              <w:top w:val="nil"/>
              <w:left w:val="nil"/>
              <w:bottom w:val="nil"/>
              <w:right w:val="nil"/>
            </w:tcBorders>
            <w:shd w:val="clear" w:color="auto" w:fill="auto"/>
            <w:noWrap/>
            <w:vAlign w:val="bottom"/>
            <w:hideMark/>
          </w:tcPr>
          <w:p w14:paraId="4FEB8274" w14:textId="77777777" w:rsidR="001B5641" w:rsidRDefault="001B5641">
            <w:pPr>
              <w:jc w:val="right"/>
              <w:rPr>
                <w:sz w:val="20"/>
                <w:szCs w:val="20"/>
              </w:rPr>
            </w:pPr>
          </w:p>
        </w:tc>
        <w:tc>
          <w:tcPr>
            <w:tcW w:w="1360" w:type="dxa"/>
            <w:tcBorders>
              <w:top w:val="nil"/>
              <w:left w:val="nil"/>
              <w:bottom w:val="nil"/>
              <w:right w:val="nil"/>
            </w:tcBorders>
            <w:shd w:val="clear" w:color="auto" w:fill="auto"/>
            <w:noWrap/>
            <w:vAlign w:val="bottom"/>
            <w:hideMark/>
          </w:tcPr>
          <w:p w14:paraId="18F87382" w14:textId="77777777" w:rsidR="001B5641" w:rsidRDefault="001B5641">
            <w:pPr>
              <w:jc w:val="right"/>
              <w:rPr>
                <w:sz w:val="20"/>
                <w:szCs w:val="20"/>
              </w:rPr>
            </w:pPr>
            <w:r>
              <w:rPr>
                <w:sz w:val="20"/>
                <w:szCs w:val="20"/>
              </w:rPr>
              <w:t>0,00</w:t>
            </w:r>
          </w:p>
        </w:tc>
        <w:tc>
          <w:tcPr>
            <w:tcW w:w="983" w:type="dxa"/>
            <w:tcBorders>
              <w:top w:val="nil"/>
              <w:left w:val="nil"/>
              <w:bottom w:val="nil"/>
              <w:right w:val="nil"/>
            </w:tcBorders>
            <w:shd w:val="clear" w:color="auto" w:fill="auto"/>
            <w:noWrap/>
            <w:vAlign w:val="bottom"/>
            <w:hideMark/>
          </w:tcPr>
          <w:p w14:paraId="0E741420" w14:textId="77777777" w:rsidR="001B5641" w:rsidRDefault="001B5641">
            <w:pPr>
              <w:jc w:val="right"/>
              <w:rPr>
                <w:sz w:val="20"/>
                <w:szCs w:val="20"/>
              </w:rPr>
            </w:pPr>
            <w:r>
              <w:rPr>
                <w:sz w:val="20"/>
                <w:szCs w:val="20"/>
              </w:rPr>
              <w:t>0,00</w:t>
            </w:r>
          </w:p>
        </w:tc>
        <w:tc>
          <w:tcPr>
            <w:tcW w:w="1180" w:type="dxa"/>
            <w:tcBorders>
              <w:top w:val="nil"/>
              <w:left w:val="nil"/>
              <w:bottom w:val="nil"/>
              <w:right w:val="nil"/>
            </w:tcBorders>
            <w:shd w:val="clear" w:color="auto" w:fill="auto"/>
            <w:noWrap/>
            <w:vAlign w:val="bottom"/>
            <w:hideMark/>
          </w:tcPr>
          <w:p w14:paraId="1634D78F" w14:textId="77777777" w:rsidR="001B5641" w:rsidRDefault="001B5641">
            <w:pPr>
              <w:jc w:val="right"/>
              <w:rPr>
                <w:sz w:val="20"/>
                <w:szCs w:val="20"/>
              </w:rPr>
            </w:pPr>
          </w:p>
        </w:tc>
      </w:tr>
      <w:tr w:rsidR="001B5641" w14:paraId="1A08665D" w14:textId="77777777" w:rsidTr="001B5641">
        <w:trPr>
          <w:trHeight w:val="300"/>
        </w:trPr>
        <w:tc>
          <w:tcPr>
            <w:tcW w:w="616" w:type="dxa"/>
            <w:tcBorders>
              <w:top w:val="nil"/>
              <w:left w:val="nil"/>
              <w:bottom w:val="nil"/>
              <w:right w:val="nil"/>
            </w:tcBorders>
            <w:shd w:val="clear" w:color="auto" w:fill="auto"/>
            <w:noWrap/>
            <w:vAlign w:val="bottom"/>
            <w:hideMark/>
          </w:tcPr>
          <w:p w14:paraId="64C8DA70" w14:textId="77777777" w:rsidR="001B5641" w:rsidRDefault="001B5641">
            <w:pPr>
              <w:jc w:val="right"/>
              <w:rPr>
                <w:b/>
                <w:bCs/>
                <w:sz w:val="20"/>
                <w:szCs w:val="20"/>
              </w:rPr>
            </w:pPr>
            <w:r>
              <w:rPr>
                <w:b/>
                <w:bCs/>
                <w:sz w:val="20"/>
                <w:szCs w:val="20"/>
              </w:rPr>
              <w:t>844</w:t>
            </w:r>
          </w:p>
        </w:tc>
        <w:tc>
          <w:tcPr>
            <w:tcW w:w="6472" w:type="dxa"/>
            <w:tcBorders>
              <w:top w:val="nil"/>
              <w:left w:val="nil"/>
              <w:bottom w:val="nil"/>
              <w:right w:val="nil"/>
            </w:tcBorders>
            <w:shd w:val="clear" w:color="auto" w:fill="auto"/>
            <w:noWrap/>
            <w:vAlign w:val="bottom"/>
            <w:hideMark/>
          </w:tcPr>
          <w:p w14:paraId="0870E278" w14:textId="77777777" w:rsidR="001B5641" w:rsidRDefault="001B5641">
            <w:pPr>
              <w:rPr>
                <w:b/>
                <w:bCs/>
                <w:sz w:val="20"/>
                <w:szCs w:val="20"/>
              </w:rPr>
            </w:pPr>
            <w:r>
              <w:rPr>
                <w:b/>
                <w:bCs/>
                <w:sz w:val="20"/>
                <w:szCs w:val="20"/>
              </w:rPr>
              <w:t xml:space="preserve">Primljeni krediti i zajmovi od kreditnih i ostalih financijskih institucija izvan javnog sektora    </w:t>
            </w:r>
          </w:p>
        </w:tc>
        <w:tc>
          <w:tcPr>
            <w:tcW w:w="1360" w:type="dxa"/>
            <w:tcBorders>
              <w:top w:val="nil"/>
              <w:left w:val="nil"/>
              <w:bottom w:val="nil"/>
              <w:right w:val="nil"/>
            </w:tcBorders>
            <w:shd w:val="clear" w:color="auto" w:fill="auto"/>
            <w:noWrap/>
            <w:vAlign w:val="bottom"/>
            <w:hideMark/>
          </w:tcPr>
          <w:p w14:paraId="6DACB8A8" w14:textId="77777777" w:rsidR="001B5641" w:rsidRDefault="001B5641">
            <w:pPr>
              <w:jc w:val="right"/>
              <w:rPr>
                <w:b/>
                <w:bCs/>
                <w:sz w:val="20"/>
                <w:szCs w:val="20"/>
              </w:rPr>
            </w:pPr>
            <w:r>
              <w:rPr>
                <w:b/>
                <w:bCs/>
                <w:sz w:val="20"/>
                <w:szCs w:val="20"/>
              </w:rPr>
              <w:t>840.116,00</w:t>
            </w:r>
          </w:p>
        </w:tc>
        <w:tc>
          <w:tcPr>
            <w:tcW w:w="1503" w:type="dxa"/>
            <w:tcBorders>
              <w:top w:val="nil"/>
              <w:left w:val="nil"/>
              <w:bottom w:val="nil"/>
              <w:right w:val="nil"/>
            </w:tcBorders>
            <w:shd w:val="clear" w:color="auto" w:fill="auto"/>
            <w:noWrap/>
            <w:vAlign w:val="bottom"/>
            <w:hideMark/>
          </w:tcPr>
          <w:p w14:paraId="16350589" w14:textId="77777777" w:rsidR="001B5641" w:rsidRDefault="001B5641">
            <w:pPr>
              <w:jc w:val="right"/>
              <w:rPr>
                <w:b/>
                <w:bCs/>
                <w:sz w:val="20"/>
                <w:szCs w:val="20"/>
              </w:rPr>
            </w:pPr>
            <w:r>
              <w:rPr>
                <w:b/>
                <w:bCs/>
                <w:sz w:val="20"/>
                <w:szCs w:val="20"/>
              </w:rPr>
              <w:t>0,00</w:t>
            </w:r>
          </w:p>
        </w:tc>
        <w:tc>
          <w:tcPr>
            <w:tcW w:w="1360" w:type="dxa"/>
            <w:tcBorders>
              <w:top w:val="nil"/>
              <w:left w:val="nil"/>
              <w:bottom w:val="nil"/>
              <w:right w:val="nil"/>
            </w:tcBorders>
            <w:shd w:val="clear" w:color="auto" w:fill="auto"/>
            <w:noWrap/>
            <w:vAlign w:val="bottom"/>
            <w:hideMark/>
          </w:tcPr>
          <w:p w14:paraId="0B222008" w14:textId="77777777" w:rsidR="001B5641" w:rsidRDefault="001B5641">
            <w:pPr>
              <w:jc w:val="right"/>
              <w:rPr>
                <w:b/>
                <w:bCs/>
                <w:sz w:val="20"/>
                <w:szCs w:val="20"/>
              </w:rPr>
            </w:pPr>
            <w:r>
              <w:rPr>
                <w:b/>
                <w:bCs/>
                <w:sz w:val="20"/>
                <w:szCs w:val="20"/>
              </w:rPr>
              <w:t>0,00</w:t>
            </w:r>
          </w:p>
        </w:tc>
        <w:tc>
          <w:tcPr>
            <w:tcW w:w="983" w:type="dxa"/>
            <w:tcBorders>
              <w:top w:val="nil"/>
              <w:left w:val="nil"/>
              <w:bottom w:val="nil"/>
              <w:right w:val="nil"/>
            </w:tcBorders>
            <w:shd w:val="clear" w:color="auto" w:fill="auto"/>
            <w:noWrap/>
            <w:vAlign w:val="bottom"/>
            <w:hideMark/>
          </w:tcPr>
          <w:p w14:paraId="37337C6B" w14:textId="77777777" w:rsidR="001B5641" w:rsidRDefault="001B5641">
            <w:pPr>
              <w:jc w:val="right"/>
              <w:rPr>
                <w:b/>
                <w:bCs/>
                <w:sz w:val="20"/>
                <w:szCs w:val="20"/>
              </w:rPr>
            </w:pPr>
            <w:r>
              <w:rPr>
                <w:b/>
                <w:bCs/>
                <w:sz w:val="20"/>
                <w:szCs w:val="20"/>
              </w:rPr>
              <w:t>0,00</w:t>
            </w:r>
          </w:p>
        </w:tc>
        <w:tc>
          <w:tcPr>
            <w:tcW w:w="1180" w:type="dxa"/>
            <w:tcBorders>
              <w:top w:val="nil"/>
              <w:left w:val="nil"/>
              <w:bottom w:val="nil"/>
              <w:right w:val="nil"/>
            </w:tcBorders>
            <w:shd w:val="clear" w:color="auto" w:fill="auto"/>
            <w:noWrap/>
            <w:vAlign w:val="bottom"/>
            <w:hideMark/>
          </w:tcPr>
          <w:p w14:paraId="4D38E079" w14:textId="77777777" w:rsidR="001B5641" w:rsidRDefault="001B5641">
            <w:pPr>
              <w:jc w:val="right"/>
              <w:rPr>
                <w:b/>
                <w:bCs/>
                <w:sz w:val="20"/>
                <w:szCs w:val="20"/>
              </w:rPr>
            </w:pPr>
            <w:r>
              <w:rPr>
                <w:b/>
                <w:bCs/>
                <w:sz w:val="20"/>
                <w:szCs w:val="20"/>
              </w:rPr>
              <w:t>0,00</w:t>
            </w:r>
          </w:p>
        </w:tc>
      </w:tr>
      <w:tr w:rsidR="001B5641" w14:paraId="63D73137" w14:textId="77777777" w:rsidTr="001B5641">
        <w:trPr>
          <w:trHeight w:val="300"/>
        </w:trPr>
        <w:tc>
          <w:tcPr>
            <w:tcW w:w="616" w:type="dxa"/>
            <w:tcBorders>
              <w:top w:val="nil"/>
              <w:left w:val="nil"/>
              <w:bottom w:val="nil"/>
              <w:right w:val="nil"/>
            </w:tcBorders>
            <w:shd w:val="clear" w:color="auto" w:fill="auto"/>
            <w:noWrap/>
            <w:vAlign w:val="bottom"/>
            <w:hideMark/>
          </w:tcPr>
          <w:p w14:paraId="4F4BC08C" w14:textId="77777777" w:rsidR="001B5641" w:rsidRDefault="001B5641">
            <w:pPr>
              <w:jc w:val="right"/>
              <w:rPr>
                <w:sz w:val="20"/>
                <w:szCs w:val="20"/>
              </w:rPr>
            </w:pPr>
            <w:r>
              <w:rPr>
                <w:sz w:val="20"/>
                <w:szCs w:val="20"/>
              </w:rPr>
              <w:t>8443</w:t>
            </w:r>
          </w:p>
        </w:tc>
        <w:tc>
          <w:tcPr>
            <w:tcW w:w="6472" w:type="dxa"/>
            <w:tcBorders>
              <w:top w:val="nil"/>
              <w:left w:val="nil"/>
              <w:bottom w:val="nil"/>
              <w:right w:val="nil"/>
            </w:tcBorders>
            <w:shd w:val="clear" w:color="auto" w:fill="auto"/>
            <w:noWrap/>
            <w:vAlign w:val="bottom"/>
            <w:hideMark/>
          </w:tcPr>
          <w:p w14:paraId="28268EA2" w14:textId="77777777" w:rsidR="001B5641" w:rsidRDefault="001B5641">
            <w:pPr>
              <w:rPr>
                <w:sz w:val="20"/>
                <w:szCs w:val="20"/>
              </w:rPr>
            </w:pPr>
            <w:r>
              <w:rPr>
                <w:sz w:val="20"/>
                <w:szCs w:val="20"/>
              </w:rPr>
              <w:t xml:space="preserve">Primljeni krediti od tuzemnih kreditnih institucija izvan javnog sektora                            </w:t>
            </w:r>
          </w:p>
        </w:tc>
        <w:tc>
          <w:tcPr>
            <w:tcW w:w="1360" w:type="dxa"/>
            <w:tcBorders>
              <w:top w:val="nil"/>
              <w:left w:val="nil"/>
              <w:bottom w:val="nil"/>
              <w:right w:val="nil"/>
            </w:tcBorders>
            <w:shd w:val="clear" w:color="auto" w:fill="auto"/>
            <w:noWrap/>
            <w:vAlign w:val="bottom"/>
            <w:hideMark/>
          </w:tcPr>
          <w:p w14:paraId="6A3A932C" w14:textId="77777777" w:rsidR="001B5641" w:rsidRDefault="001B5641">
            <w:pPr>
              <w:jc w:val="right"/>
              <w:rPr>
                <w:sz w:val="20"/>
                <w:szCs w:val="20"/>
              </w:rPr>
            </w:pPr>
            <w:r>
              <w:rPr>
                <w:sz w:val="20"/>
                <w:szCs w:val="20"/>
              </w:rPr>
              <w:t>840.116,00</w:t>
            </w:r>
          </w:p>
        </w:tc>
        <w:tc>
          <w:tcPr>
            <w:tcW w:w="1503" w:type="dxa"/>
            <w:tcBorders>
              <w:top w:val="nil"/>
              <w:left w:val="nil"/>
              <w:bottom w:val="nil"/>
              <w:right w:val="nil"/>
            </w:tcBorders>
            <w:shd w:val="clear" w:color="auto" w:fill="auto"/>
            <w:noWrap/>
            <w:vAlign w:val="bottom"/>
            <w:hideMark/>
          </w:tcPr>
          <w:p w14:paraId="642CF345" w14:textId="77777777" w:rsidR="001B5641" w:rsidRDefault="001B5641">
            <w:pPr>
              <w:jc w:val="right"/>
              <w:rPr>
                <w:sz w:val="20"/>
                <w:szCs w:val="20"/>
              </w:rPr>
            </w:pPr>
          </w:p>
        </w:tc>
        <w:tc>
          <w:tcPr>
            <w:tcW w:w="1360" w:type="dxa"/>
            <w:tcBorders>
              <w:top w:val="nil"/>
              <w:left w:val="nil"/>
              <w:bottom w:val="nil"/>
              <w:right w:val="nil"/>
            </w:tcBorders>
            <w:shd w:val="clear" w:color="auto" w:fill="auto"/>
            <w:noWrap/>
            <w:vAlign w:val="bottom"/>
            <w:hideMark/>
          </w:tcPr>
          <w:p w14:paraId="2B7D9AAC" w14:textId="77777777" w:rsidR="001B5641" w:rsidRDefault="001B5641">
            <w:pPr>
              <w:jc w:val="right"/>
              <w:rPr>
                <w:sz w:val="20"/>
                <w:szCs w:val="20"/>
              </w:rPr>
            </w:pPr>
            <w:r>
              <w:rPr>
                <w:sz w:val="20"/>
                <w:szCs w:val="20"/>
              </w:rPr>
              <w:t>0,00</w:t>
            </w:r>
          </w:p>
        </w:tc>
        <w:tc>
          <w:tcPr>
            <w:tcW w:w="983" w:type="dxa"/>
            <w:tcBorders>
              <w:top w:val="nil"/>
              <w:left w:val="nil"/>
              <w:bottom w:val="nil"/>
              <w:right w:val="nil"/>
            </w:tcBorders>
            <w:shd w:val="clear" w:color="auto" w:fill="auto"/>
            <w:noWrap/>
            <w:vAlign w:val="bottom"/>
            <w:hideMark/>
          </w:tcPr>
          <w:p w14:paraId="0CA394F3" w14:textId="77777777" w:rsidR="001B5641" w:rsidRDefault="001B5641">
            <w:pPr>
              <w:jc w:val="right"/>
              <w:rPr>
                <w:sz w:val="20"/>
                <w:szCs w:val="20"/>
              </w:rPr>
            </w:pPr>
            <w:r>
              <w:rPr>
                <w:sz w:val="20"/>
                <w:szCs w:val="20"/>
              </w:rPr>
              <w:t>0,00</w:t>
            </w:r>
          </w:p>
        </w:tc>
        <w:tc>
          <w:tcPr>
            <w:tcW w:w="1180" w:type="dxa"/>
            <w:tcBorders>
              <w:top w:val="nil"/>
              <w:left w:val="nil"/>
              <w:bottom w:val="nil"/>
              <w:right w:val="nil"/>
            </w:tcBorders>
            <w:shd w:val="clear" w:color="auto" w:fill="auto"/>
            <w:noWrap/>
            <w:vAlign w:val="bottom"/>
            <w:hideMark/>
          </w:tcPr>
          <w:p w14:paraId="7A95E74B" w14:textId="77777777" w:rsidR="001B5641" w:rsidRDefault="001B5641">
            <w:pPr>
              <w:jc w:val="right"/>
              <w:rPr>
                <w:sz w:val="20"/>
                <w:szCs w:val="20"/>
              </w:rPr>
            </w:pPr>
          </w:p>
        </w:tc>
      </w:tr>
      <w:tr w:rsidR="001B5641" w14:paraId="61EC4318" w14:textId="77777777" w:rsidTr="001B5641">
        <w:trPr>
          <w:trHeight w:val="300"/>
        </w:trPr>
        <w:tc>
          <w:tcPr>
            <w:tcW w:w="616" w:type="dxa"/>
            <w:tcBorders>
              <w:top w:val="single" w:sz="4" w:space="0" w:color="auto"/>
              <w:left w:val="nil"/>
              <w:bottom w:val="single" w:sz="4" w:space="0" w:color="auto"/>
              <w:right w:val="nil"/>
            </w:tcBorders>
            <w:shd w:val="clear" w:color="auto" w:fill="auto"/>
            <w:noWrap/>
            <w:vAlign w:val="bottom"/>
            <w:hideMark/>
          </w:tcPr>
          <w:p w14:paraId="5187E651" w14:textId="77777777" w:rsidR="001B5641" w:rsidRDefault="001B5641">
            <w:pPr>
              <w:jc w:val="right"/>
              <w:rPr>
                <w:b/>
                <w:bCs/>
                <w:sz w:val="20"/>
                <w:szCs w:val="20"/>
              </w:rPr>
            </w:pPr>
            <w:r>
              <w:rPr>
                <w:b/>
                <w:bCs/>
                <w:sz w:val="20"/>
                <w:szCs w:val="20"/>
              </w:rPr>
              <w:t>5</w:t>
            </w:r>
          </w:p>
        </w:tc>
        <w:tc>
          <w:tcPr>
            <w:tcW w:w="6472" w:type="dxa"/>
            <w:tcBorders>
              <w:top w:val="single" w:sz="4" w:space="0" w:color="auto"/>
              <w:left w:val="nil"/>
              <w:bottom w:val="single" w:sz="4" w:space="0" w:color="auto"/>
              <w:right w:val="nil"/>
            </w:tcBorders>
            <w:shd w:val="clear" w:color="auto" w:fill="auto"/>
            <w:noWrap/>
            <w:vAlign w:val="bottom"/>
            <w:hideMark/>
          </w:tcPr>
          <w:p w14:paraId="659B9B5F" w14:textId="77777777" w:rsidR="001B5641" w:rsidRDefault="001B5641">
            <w:pPr>
              <w:rPr>
                <w:b/>
                <w:bCs/>
                <w:sz w:val="20"/>
                <w:szCs w:val="20"/>
              </w:rPr>
            </w:pPr>
            <w:r>
              <w:rPr>
                <w:b/>
                <w:bCs/>
                <w:sz w:val="20"/>
                <w:szCs w:val="20"/>
              </w:rPr>
              <w:t xml:space="preserve">Izdaci za financijsku imovinu i otplate zajmova                                                     </w:t>
            </w:r>
          </w:p>
        </w:tc>
        <w:tc>
          <w:tcPr>
            <w:tcW w:w="1360" w:type="dxa"/>
            <w:tcBorders>
              <w:top w:val="single" w:sz="4" w:space="0" w:color="auto"/>
              <w:left w:val="nil"/>
              <w:bottom w:val="single" w:sz="4" w:space="0" w:color="auto"/>
              <w:right w:val="nil"/>
            </w:tcBorders>
            <w:shd w:val="clear" w:color="auto" w:fill="auto"/>
            <w:noWrap/>
            <w:vAlign w:val="bottom"/>
            <w:hideMark/>
          </w:tcPr>
          <w:p w14:paraId="1DA48593" w14:textId="77777777" w:rsidR="001B5641" w:rsidRDefault="001B5641">
            <w:pPr>
              <w:jc w:val="right"/>
              <w:rPr>
                <w:b/>
                <w:bCs/>
                <w:sz w:val="20"/>
                <w:szCs w:val="20"/>
              </w:rPr>
            </w:pPr>
            <w:r>
              <w:rPr>
                <w:b/>
                <w:bCs/>
                <w:sz w:val="20"/>
                <w:szCs w:val="20"/>
              </w:rPr>
              <w:t>2.186.397,02</w:t>
            </w:r>
          </w:p>
        </w:tc>
        <w:tc>
          <w:tcPr>
            <w:tcW w:w="1503" w:type="dxa"/>
            <w:tcBorders>
              <w:top w:val="single" w:sz="4" w:space="0" w:color="auto"/>
              <w:left w:val="nil"/>
              <w:bottom w:val="single" w:sz="4" w:space="0" w:color="auto"/>
              <w:right w:val="nil"/>
            </w:tcBorders>
            <w:shd w:val="clear" w:color="auto" w:fill="auto"/>
            <w:noWrap/>
            <w:vAlign w:val="bottom"/>
            <w:hideMark/>
          </w:tcPr>
          <w:p w14:paraId="4BA507C2" w14:textId="77777777" w:rsidR="001B5641" w:rsidRDefault="001B5641">
            <w:pPr>
              <w:jc w:val="right"/>
              <w:rPr>
                <w:b/>
                <w:bCs/>
                <w:sz w:val="20"/>
                <w:szCs w:val="20"/>
              </w:rPr>
            </w:pPr>
            <w:r>
              <w:rPr>
                <w:b/>
                <w:bCs/>
                <w:sz w:val="20"/>
                <w:szCs w:val="20"/>
              </w:rPr>
              <w:t>1.219.000,00</w:t>
            </w:r>
          </w:p>
        </w:tc>
        <w:tc>
          <w:tcPr>
            <w:tcW w:w="1360" w:type="dxa"/>
            <w:tcBorders>
              <w:top w:val="single" w:sz="4" w:space="0" w:color="auto"/>
              <w:left w:val="nil"/>
              <w:bottom w:val="single" w:sz="4" w:space="0" w:color="auto"/>
              <w:right w:val="nil"/>
            </w:tcBorders>
            <w:shd w:val="clear" w:color="auto" w:fill="auto"/>
            <w:noWrap/>
            <w:vAlign w:val="bottom"/>
            <w:hideMark/>
          </w:tcPr>
          <w:p w14:paraId="15276F87" w14:textId="77777777" w:rsidR="001B5641" w:rsidRDefault="001B5641">
            <w:pPr>
              <w:jc w:val="right"/>
              <w:rPr>
                <w:b/>
                <w:bCs/>
                <w:sz w:val="20"/>
                <w:szCs w:val="20"/>
              </w:rPr>
            </w:pPr>
            <w:r>
              <w:rPr>
                <w:b/>
                <w:bCs/>
                <w:sz w:val="20"/>
                <w:szCs w:val="20"/>
              </w:rPr>
              <w:t>1.216.116,80</w:t>
            </w:r>
          </w:p>
        </w:tc>
        <w:tc>
          <w:tcPr>
            <w:tcW w:w="983" w:type="dxa"/>
            <w:tcBorders>
              <w:top w:val="single" w:sz="4" w:space="0" w:color="auto"/>
              <w:left w:val="nil"/>
              <w:bottom w:val="single" w:sz="4" w:space="0" w:color="auto"/>
              <w:right w:val="nil"/>
            </w:tcBorders>
            <w:shd w:val="clear" w:color="auto" w:fill="auto"/>
            <w:noWrap/>
            <w:vAlign w:val="bottom"/>
            <w:hideMark/>
          </w:tcPr>
          <w:p w14:paraId="24EE3D8D" w14:textId="77777777" w:rsidR="001B5641" w:rsidRDefault="001B5641">
            <w:pPr>
              <w:jc w:val="right"/>
              <w:rPr>
                <w:b/>
                <w:bCs/>
                <w:sz w:val="20"/>
                <w:szCs w:val="20"/>
              </w:rPr>
            </w:pPr>
            <w:r>
              <w:rPr>
                <w:b/>
                <w:bCs/>
                <w:sz w:val="20"/>
                <w:szCs w:val="20"/>
              </w:rPr>
              <w:t>55,62</w:t>
            </w:r>
          </w:p>
        </w:tc>
        <w:tc>
          <w:tcPr>
            <w:tcW w:w="1180" w:type="dxa"/>
            <w:tcBorders>
              <w:top w:val="single" w:sz="4" w:space="0" w:color="auto"/>
              <w:left w:val="nil"/>
              <w:bottom w:val="single" w:sz="4" w:space="0" w:color="auto"/>
              <w:right w:val="nil"/>
            </w:tcBorders>
            <w:shd w:val="clear" w:color="auto" w:fill="auto"/>
            <w:noWrap/>
            <w:vAlign w:val="bottom"/>
            <w:hideMark/>
          </w:tcPr>
          <w:p w14:paraId="62BC03D7" w14:textId="77777777" w:rsidR="001B5641" w:rsidRDefault="001B5641">
            <w:pPr>
              <w:jc w:val="right"/>
              <w:rPr>
                <w:b/>
                <w:bCs/>
                <w:sz w:val="20"/>
                <w:szCs w:val="20"/>
              </w:rPr>
            </w:pPr>
            <w:r>
              <w:rPr>
                <w:b/>
                <w:bCs/>
                <w:sz w:val="20"/>
                <w:szCs w:val="20"/>
              </w:rPr>
              <w:t>99,76</w:t>
            </w:r>
          </w:p>
        </w:tc>
      </w:tr>
      <w:tr w:rsidR="001B5641" w14:paraId="06E9BBCF" w14:textId="77777777" w:rsidTr="001B5641">
        <w:trPr>
          <w:trHeight w:val="300"/>
        </w:trPr>
        <w:tc>
          <w:tcPr>
            <w:tcW w:w="616" w:type="dxa"/>
            <w:tcBorders>
              <w:top w:val="nil"/>
              <w:left w:val="nil"/>
              <w:bottom w:val="nil"/>
              <w:right w:val="nil"/>
            </w:tcBorders>
            <w:shd w:val="clear" w:color="auto" w:fill="auto"/>
            <w:noWrap/>
            <w:vAlign w:val="bottom"/>
            <w:hideMark/>
          </w:tcPr>
          <w:p w14:paraId="3FD6D074" w14:textId="77777777" w:rsidR="001B5641" w:rsidRDefault="001B5641">
            <w:pPr>
              <w:jc w:val="right"/>
              <w:rPr>
                <w:b/>
                <w:bCs/>
                <w:sz w:val="20"/>
                <w:szCs w:val="20"/>
              </w:rPr>
            </w:pPr>
            <w:r>
              <w:rPr>
                <w:b/>
                <w:bCs/>
                <w:sz w:val="20"/>
                <w:szCs w:val="20"/>
              </w:rPr>
              <w:t>53</w:t>
            </w:r>
          </w:p>
        </w:tc>
        <w:tc>
          <w:tcPr>
            <w:tcW w:w="6472" w:type="dxa"/>
            <w:tcBorders>
              <w:top w:val="nil"/>
              <w:left w:val="nil"/>
              <w:bottom w:val="nil"/>
              <w:right w:val="nil"/>
            </w:tcBorders>
            <w:shd w:val="clear" w:color="auto" w:fill="auto"/>
            <w:noWrap/>
            <w:vAlign w:val="bottom"/>
            <w:hideMark/>
          </w:tcPr>
          <w:p w14:paraId="2F07B8B9" w14:textId="77777777" w:rsidR="001B5641" w:rsidRDefault="001B5641">
            <w:pPr>
              <w:rPr>
                <w:b/>
                <w:bCs/>
                <w:sz w:val="20"/>
                <w:szCs w:val="20"/>
              </w:rPr>
            </w:pPr>
            <w:r>
              <w:rPr>
                <w:b/>
                <w:bCs/>
                <w:sz w:val="20"/>
                <w:szCs w:val="20"/>
              </w:rPr>
              <w:t xml:space="preserve">Izdaci za dionice i udjele u glavnici                                                               </w:t>
            </w:r>
          </w:p>
        </w:tc>
        <w:tc>
          <w:tcPr>
            <w:tcW w:w="1360" w:type="dxa"/>
            <w:tcBorders>
              <w:top w:val="nil"/>
              <w:left w:val="nil"/>
              <w:bottom w:val="nil"/>
              <w:right w:val="nil"/>
            </w:tcBorders>
            <w:shd w:val="clear" w:color="auto" w:fill="auto"/>
            <w:noWrap/>
            <w:vAlign w:val="bottom"/>
            <w:hideMark/>
          </w:tcPr>
          <w:p w14:paraId="56466F17" w14:textId="77777777" w:rsidR="001B5641" w:rsidRDefault="001B5641">
            <w:pPr>
              <w:jc w:val="right"/>
              <w:rPr>
                <w:b/>
                <w:bCs/>
                <w:sz w:val="20"/>
                <w:szCs w:val="20"/>
              </w:rPr>
            </w:pPr>
            <w:r>
              <w:rPr>
                <w:b/>
                <w:bCs/>
                <w:sz w:val="20"/>
                <w:szCs w:val="20"/>
              </w:rPr>
              <w:t>87.388,31</w:t>
            </w:r>
          </w:p>
        </w:tc>
        <w:tc>
          <w:tcPr>
            <w:tcW w:w="1503" w:type="dxa"/>
            <w:tcBorders>
              <w:top w:val="nil"/>
              <w:left w:val="nil"/>
              <w:bottom w:val="nil"/>
              <w:right w:val="nil"/>
            </w:tcBorders>
            <w:shd w:val="clear" w:color="auto" w:fill="auto"/>
            <w:noWrap/>
            <w:vAlign w:val="bottom"/>
            <w:hideMark/>
          </w:tcPr>
          <w:p w14:paraId="6720B60C" w14:textId="77777777" w:rsidR="001B5641" w:rsidRDefault="001B5641">
            <w:pPr>
              <w:jc w:val="right"/>
              <w:rPr>
                <w:b/>
                <w:bCs/>
                <w:sz w:val="20"/>
                <w:szCs w:val="20"/>
              </w:rPr>
            </w:pPr>
            <w:r>
              <w:rPr>
                <w:b/>
                <w:bCs/>
                <w:sz w:val="20"/>
                <w:szCs w:val="20"/>
              </w:rPr>
              <w:t>87.500,00</w:t>
            </w:r>
          </w:p>
        </w:tc>
        <w:tc>
          <w:tcPr>
            <w:tcW w:w="1360" w:type="dxa"/>
            <w:tcBorders>
              <w:top w:val="nil"/>
              <w:left w:val="nil"/>
              <w:bottom w:val="nil"/>
              <w:right w:val="nil"/>
            </w:tcBorders>
            <w:shd w:val="clear" w:color="auto" w:fill="auto"/>
            <w:noWrap/>
            <w:vAlign w:val="bottom"/>
            <w:hideMark/>
          </w:tcPr>
          <w:p w14:paraId="6CF4CB64" w14:textId="77777777" w:rsidR="001B5641" w:rsidRDefault="001B5641">
            <w:pPr>
              <w:jc w:val="right"/>
              <w:rPr>
                <w:b/>
                <w:bCs/>
                <w:sz w:val="20"/>
                <w:szCs w:val="20"/>
              </w:rPr>
            </w:pPr>
            <w:r>
              <w:rPr>
                <w:b/>
                <w:bCs/>
                <w:sz w:val="20"/>
                <w:szCs w:val="20"/>
              </w:rPr>
              <w:t>87.589,50</w:t>
            </w:r>
          </w:p>
        </w:tc>
        <w:tc>
          <w:tcPr>
            <w:tcW w:w="983" w:type="dxa"/>
            <w:tcBorders>
              <w:top w:val="nil"/>
              <w:left w:val="nil"/>
              <w:bottom w:val="nil"/>
              <w:right w:val="nil"/>
            </w:tcBorders>
            <w:shd w:val="clear" w:color="auto" w:fill="auto"/>
            <w:noWrap/>
            <w:vAlign w:val="bottom"/>
            <w:hideMark/>
          </w:tcPr>
          <w:p w14:paraId="062B9DCA" w14:textId="77777777" w:rsidR="001B5641" w:rsidRDefault="001B5641">
            <w:pPr>
              <w:jc w:val="right"/>
              <w:rPr>
                <w:b/>
                <w:bCs/>
                <w:sz w:val="20"/>
                <w:szCs w:val="20"/>
              </w:rPr>
            </w:pPr>
            <w:r>
              <w:rPr>
                <w:b/>
                <w:bCs/>
                <w:sz w:val="20"/>
                <w:szCs w:val="20"/>
              </w:rPr>
              <w:t>100,23</w:t>
            </w:r>
          </w:p>
        </w:tc>
        <w:tc>
          <w:tcPr>
            <w:tcW w:w="1180" w:type="dxa"/>
            <w:tcBorders>
              <w:top w:val="nil"/>
              <w:left w:val="nil"/>
              <w:bottom w:val="nil"/>
              <w:right w:val="nil"/>
            </w:tcBorders>
            <w:shd w:val="clear" w:color="auto" w:fill="auto"/>
            <w:noWrap/>
            <w:vAlign w:val="bottom"/>
            <w:hideMark/>
          </w:tcPr>
          <w:p w14:paraId="5250F592" w14:textId="77777777" w:rsidR="001B5641" w:rsidRDefault="001B5641">
            <w:pPr>
              <w:jc w:val="right"/>
              <w:rPr>
                <w:b/>
                <w:bCs/>
                <w:sz w:val="20"/>
                <w:szCs w:val="20"/>
              </w:rPr>
            </w:pPr>
            <w:r>
              <w:rPr>
                <w:b/>
                <w:bCs/>
                <w:sz w:val="20"/>
                <w:szCs w:val="20"/>
              </w:rPr>
              <w:t>100,10</w:t>
            </w:r>
          </w:p>
        </w:tc>
      </w:tr>
      <w:tr w:rsidR="001B5641" w14:paraId="7F5EC671" w14:textId="77777777" w:rsidTr="001B5641">
        <w:trPr>
          <w:trHeight w:val="300"/>
        </w:trPr>
        <w:tc>
          <w:tcPr>
            <w:tcW w:w="616" w:type="dxa"/>
            <w:tcBorders>
              <w:top w:val="nil"/>
              <w:left w:val="nil"/>
              <w:bottom w:val="nil"/>
              <w:right w:val="nil"/>
            </w:tcBorders>
            <w:shd w:val="clear" w:color="auto" w:fill="auto"/>
            <w:noWrap/>
            <w:vAlign w:val="bottom"/>
            <w:hideMark/>
          </w:tcPr>
          <w:p w14:paraId="4FD6988A" w14:textId="77777777" w:rsidR="001B5641" w:rsidRDefault="001B5641">
            <w:pPr>
              <w:jc w:val="right"/>
              <w:rPr>
                <w:b/>
                <w:bCs/>
                <w:sz w:val="20"/>
                <w:szCs w:val="20"/>
              </w:rPr>
            </w:pPr>
            <w:r>
              <w:rPr>
                <w:b/>
                <w:bCs/>
                <w:sz w:val="20"/>
                <w:szCs w:val="20"/>
              </w:rPr>
              <w:t>532</w:t>
            </w:r>
          </w:p>
        </w:tc>
        <w:tc>
          <w:tcPr>
            <w:tcW w:w="6472" w:type="dxa"/>
            <w:tcBorders>
              <w:top w:val="nil"/>
              <w:left w:val="nil"/>
              <w:bottom w:val="nil"/>
              <w:right w:val="nil"/>
            </w:tcBorders>
            <w:shd w:val="clear" w:color="auto" w:fill="auto"/>
            <w:noWrap/>
            <w:vAlign w:val="bottom"/>
            <w:hideMark/>
          </w:tcPr>
          <w:p w14:paraId="76A6C3A4" w14:textId="77777777" w:rsidR="001B5641" w:rsidRDefault="001B5641">
            <w:pPr>
              <w:rPr>
                <w:b/>
                <w:bCs/>
                <w:sz w:val="20"/>
                <w:szCs w:val="20"/>
              </w:rPr>
            </w:pPr>
            <w:r>
              <w:rPr>
                <w:b/>
                <w:bCs/>
                <w:sz w:val="20"/>
                <w:szCs w:val="20"/>
              </w:rPr>
              <w:t xml:space="preserve">Dionice i udjeli u glavnici trgovačkih društava u javnom sektoru                                    </w:t>
            </w:r>
          </w:p>
        </w:tc>
        <w:tc>
          <w:tcPr>
            <w:tcW w:w="1360" w:type="dxa"/>
            <w:tcBorders>
              <w:top w:val="nil"/>
              <w:left w:val="nil"/>
              <w:bottom w:val="nil"/>
              <w:right w:val="nil"/>
            </w:tcBorders>
            <w:shd w:val="clear" w:color="auto" w:fill="auto"/>
            <w:noWrap/>
            <w:vAlign w:val="bottom"/>
            <w:hideMark/>
          </w:tcPr>
          <w:p w14:paraId="76AC5ECA" w14:textId="77777777" w:rsidR="001B5641" w:rsidRDefault="001B5641">
            <w:pPr>
              <w:jc w:val="right"/>
              <w:rPr>
                <w:b/>
                <w:bCs/>
                <w:sz w:val="20"/>
                <w:szCs w:val="20"/>
              </w:rPr>
            </w:pPr>
            <w:r>
              <w:rPr>
                <w:b/>
                <w:bCs/>
                <w:sz w:val="20"/>
                <w:szCs w:val="20"/>
              </w:rPr>
              <w:t>87.388,31</w:t>
            </w:r>
          </w:p>
        </w:tc>
        <w:tc>
          <w:tcPr>
            <w:tcW w:w="1503" w:type="dxa"/>
            <w:tcBorders>
              <w:top w:val="nil"/>
              <w:left w:val="nil"/>
              <w:bottom w:val="nil"/>
              <w:right w:val="nil"/>
            </w:tcBorders>
            <w:shd w:val="clear" w:color="auto" w:fill="auto"/>
            <w:noWrap/>
            <w:vAlign w:val="bottom"/>
            <w:hideMark/>
          </w:tcPr>
          <w:p w14:paraId="4DBD6118" w14:textId="77777777" w:rsidR="001B5641" w:rsidRDefault="001B5641">
            <w:pPr>
              <w:jc w:val="right"/>
              <w:rPr>
                <w:b/>
                <w:bCs/>
                <w:sz w:val="20"/>
                <w:szCs w:val="20"/>
              </w:rPr>
            </w:pPr>
            <w:r>
              <w:rPr>
                <w:b/>
                <w:bCs/>
                <w:sz w:val="20"/>
                <w:szCs w:val="20"/>
              </w:rPr>
              <w:t>87.500,00</w:t>
            </w:r>
          </w:p>
        </w:tc>
        <w:tc>
          <w:tcPr>
            <w:tcW w:w="1360" w:type="dxa"/>
            <w:tcBorders>
              <w:top w:val="nil"/>
              <w:left w:val="nil"/>
              <w:bottom w:val="nil"/>
              <w:right w:val="nil"/>
            </w:tcBorders>
            <w:shd w:val="clear" w:color="auto" w:fill="auto"/>
            <w:noWrap/>
            <w:vAlign w:val="bottom"/>
            <w:hideMark/>
          </w:tcPr>
          <w:p w14:paraId="7542BD57" w14:textId="77777777" w:rsidR="001B5641" w:rsidRDefault="001B5641">
            <w:pPr>
              <w:jc w:val="right"/>
              <w:rPr>
                <w:b/>
                <w:bCs/>
                <w:sz w:val="20"/>
                <w:szCs w:val="20"/>
              </w:rPr>
            </w:pPr>
            <w:r>
              <w:rPr>
                <w:b/>
                <w:bCs/>
                <w:sz w:val="20"/>
                <w:szCs w:val="20"/>
              </w:rPr>
              <w:t>87.589,50</w:t>
            </w:r>
          </w:p>
        </w:tc>
        <w:tc>
          <w:tcPr>
            <w:tcW w:w="983" w:type="dxa"/>
            <w:tcBorders>
              <w:top w:val="nil"/>
              <w:left w:val="nil"/>
              <w:bottom w:val="nil"/>
              <w:right w:val="nil"/>
            </w:tcBorders>
            <w:shd w:val="clear" w:color="auto" w:fill="auto"/>
            <w:noWrap/>
            <w:vAlign w:val="bottom"/>
            <w:hideMark/>
          </w:tcPr>
          <w:p w14:paraId="1C66BAD4" w14:textId="77777777" w:rsidR="001B5641" w:rsidRDefault="001B5641">
            <w:pPr>
              <w:jc w:val="right"/>
              <w:rPr>
                <w:b/>
                <w:bCs/>
                <w:sz w:val="20"/>
                <w:szCs w:val="20"/>
              </w:rPr>
            </w:pPr>
            <w:r>
              <w:rPr>
                <w:b/>
                <w:bCs/>
                <w:sz w:val="20"/>
                <w:szCs w:val="20"/>
              </w:rPr>
              <w:t>100,23</w:t>
            </w:r>
          </w:p>
        </w:tc>
        <w:tc>
          <w:tcPr>
            <w:tcW w:w="1180" w:type="dxa"/>
            <w:tcBorders>
              <w:top w:val="nil"/>
              <w:left w:val="nil"/>
              <w:bottom w:val="nil"/>
              <w:right w:val="nil"/>
            </w:tcBorders>
            <w:shd w:val="clear" w:color="auto" w:fill="auto"/>
            <w:noWrap/>
            <w:vAlign w:val="bottom"/>
            <w:hideMark/>
          </w:tcPr>
          <w:p w14:paraId="2C1A132F" w14:textId="77777777" w:rsidR="001B5641" w:rsidRDefault="001B5641">
            <w:pPr>
              <w:jc w:val="right"/>
              <w:rPr>
                <w:b/>
                <w:bCs/>
                <w:sz w:val="20"/>
                <w:szCs w:val="20"/>
              </w:rPr>
            </w:pPr>
            <w:r>
              <w:rPr>
                <w:b/>
                <w:bCs/>
                <w:sz w:val="20"/>
                <w:szCs w:val="20"/>
              </w:rPr>
              <w:t>100,10</w:t>
            </w:r>
          </w:p>
        </w:tc>
      </w:tr>
      <w:tr w:rsidR="001B5641" w14:paraId="100DEE7C" w14:textId="77777777" w:rsidTr="001B5641">
        <w:trPr>
          <w:trHeight w:val="300"/>
        </w:trPr>
        <w:tc>
          <w:tcPr>
            <w:tcW w:w="616" w:type="dxa"/>
            <w:tcBorders>
              <w:top w:val="nil"/>
              <w:left w:val="nil"/>
              <w:bottom w:val="nil"/>
              <w:right w:val="nil"/>
            </w:tcBorders>
            <w:shd w:val="clear" w:color="auto" w:fill="auto"/>
            <w:noWrap/>
            <w:vAlign w:val="bottom"/>
            <w:hideMark/>
          </w:tcPr>
          <w:p w14:paraId="71EFCB1E" w14:textId="77777777" w:rsidR="001B5641" w:rsidRDefault="001B5641">
            <w:pPr>
              <w:jc w:val="right"/>
              <w:rPr>
                <w:sz w:val="20"/>
                <w:szCs w:val="20"/>
              </w:rPr>
            </w:pPr>
            <w:r>
              <w:rPr>
                <w:sz w:val="20"/>
                <w:szCs w:val="20"/>
              </w:rPr>
              <w:t>5321</w:t>
            </w:r>
          </w:p>
        </w:tc>
        <w:tc>
          <w:tcPr>
            <w:tcW w:w="6472" w:type="dxa"/>
            <w:tcBorders>
              <w:top w:val="nil"/>
              <w:left w:val="nil"/>
              <w:bottom w:val="nil"/>
              <w:right w:val="nil"/>
            </w:tcBorders>
            <w:shd w:val="clear" w:color="auto" w:fill="auto"/>
            <w:noWrap/>
            <w:vAlign w:val="bottom"/>
            <w:hideMark/>
          </w:tcPr>
          <w:p w14:paraId="175037A9" w14:textId="77777777" w:rsidR="001B5641" w:rsidRDefault="001B5641">
            <w:pPr>
              <w:rPr>
                <w:sz w:val="20"/>
                <w:szCs w:val="20"/>
              </w:rPr>
            </w:pPr>
            <w:r>
              <w:rPr>
                <w:sz w:val="20"/>
                <w:szCs w:val="20"/>
              </w:rPr>
              <w:t xml:space="preserve">Dionice i udjeli u glavnici trgovačkih društava u javnom sektoru                                    </w:t>
            </w:r>
          </w:p>
        </w:tc>
        <w:tc>
          <w:tcPr>
            <w:tcW w:w="1360" w:type="dxa"/>
            <w:tcBorders>
              <w:top w:val="nil"/>
              <w:left w:val="nil"/>
              <w:bottom w:val="nil"/>
              <w:right w:val="nil"/>
            </w:tcBorders>
            <w:shd w:val="clear" w:color="auto" w:fill="auto"/>
            <w:noWrap/>
            <w:vAlign w:val="bottom"/>
            <w:hideMark/>
          </w:tcPr>
          <w:p w14:paraId="7B740850" w14:textId="77777777" w:rsidR="001B5641" w:rsidRDefault="001B5641">
            <w:pPr>
              <w:jc w:val="right"/>
              <w:rPr>
                <w:sz w:val="20"/>
                <w:szCs w:val="20"/>
              </w:rPr>
            </w:pPr>
            <w:r>
              <w:rPr>
                <w:sz w:val="20"/>
                <w:szCs w:val="20"/>
              </w:rPr>
              <w:t>87.388,31</w:t>
            </w:r>
          </w:p>
        </w:tc>
        <w:tc>
          <w:tcPr>
            <w:tcW w:w="1503" w:type="dxa"/>
            <w:tcBorders>
              <w:top w:val="nil"/>
              <w:left w:val="nil"/>
              <w:bottom w:val="nil"/>
              <w:right w:val="nil"/>
            </w:tcBorders>
            <w:shd w:val="clear" w:color="auto" w:fill="auto"/>
            <w:noWrap/>
            <w:vAlign w:val="bottom"/>
            <w:hideMark/>
          </w:tcPr>
          <w:p w14:paraId="2D6FCE90" w14:textId="77777777" w:rsidR="001B5641" w:rsidRDefault="001B5641">
            <w:pPr>
              <w:jc w:val="right"/>
              <w:rPr>
                <w:sz w:val="20"/>
                <w:szCs w:val="20"/>
              </w:rPr>
            </w:pPr>
          </w:p>
        </w:tc>
        <w:tc>
          <w:tcPr>
            <w:tcW w:w="1360" w:type="dxa"/>
            <w:tcBorders>
              <w:top w:val="nil"/>
              <w:left w:val="nil"/>
              <w:bottom w:val="nil"/>
              <w:right w:val="nil"/>
            </w:tcBorders>
            <w:shd w:val="clear" w:color="auto" w:fill="auto"/>
            <w:noWrap/>
            <w:vAlign w:val="bottom"/>
            <w:hideMark/>
          </w:tcPr>
          <w:p w14:paraId="35543A90" w14:textId="77777777" w:rsidR="001B5641" w:rsidRDefault="001B5641">
            <w:pPr>
              <w:jc w:val="right"/>
              <w:rPr>
                <w:sz w:val="20"/>
                <w:szCs w:val="20"/>
              </w:rPr>
            </w:pPr>
            <w:r>
              <w:rPr>
                <w:sz w:val="20"/>
                <w:szCs w:val="20"/>
              </w:rPr>
              <w:t>87.589,50</w:t>
            </w:r>
          </w:p>
        </w:tc>
        <w:tc>
          <w:tcPr>
            <w:tcW w:w="983" w:type="dxa"/>
            <w:tcBorders>
              <w:top w:val="nil"/>
              <w:left w:val="nil"/>
              <w:bottom w:val="nil"/>
              <w:right w:val="nil"/>
            </w:tcBorders>
            <w:shd w:val="clear" w:color="auto" w:fill="auto"/>
            <w:noWrap/>
            <w:vAlign w:val="bottom"/>
            <w:hideMark/>
          </w:tcPr>
          <w:p w14:paraId="7B576E64" w14:textId="77777777" w:rsidR="001B5641" w:rsidRDefault="001B5641">
            <w:pPr>
              <w:jc w:val="right"/>
              <w:rPr>
                <w:sz w:val="20"/>
                <w:szCs w:val="20"/>
              </w:rPr>
            </w:pPr>
            <w:r>
              <w:rPr>
                <w:sz w:val="20"/>
                <w:szCs w:val="20"/>
              </w:rPr>
              <w:t>100,23</w:t>
            </w:r>
          </w:p>
        </w:tc>
        <w:tc>
          <w:tcPr>
            <w:tcW w:w="1180" w:type="dxa"/>
            <w:tcBorders>
              <w:top w:val="nil"/>
              <w:left w:val="nil"/>
              <w:bottom w:val="nil"/>
              <w:right w:val="nil"/>
            </w:tcBorders>
            <w:shd w:val="clear" w:color="auto" w:fill="auto"/>
            <w:noWrap/>
            <w:vAlign w:val="bottom"/>
            <w:hideMark/>
          </w:tcPr>
          <w:p w14:paraId="6432E87D" w14:textId="77777777" w:rsidR="001B5641" w:rsidRDefault="001B5641">
            <w:pPr>
              <w:jc w:val="right"/>
              <w:rPr>
                <w:sz w:val="20"/>
                <w:szCs w:val="20"/>
              </w:rPr>
            </w:pPr>
          </w:p>
        </w:tc>
      </w:tr>
      <w:tr w:rsidR="001B5641" w14:paraId="033EAA6C" w14:textId="77777777" w:rsidTr="001B5641">
        <w:trPr>
          <w:trHeight w:val="300"/>
        </w:trPr>
        <w:tc>
          <w:tcPr>
            <w:tcW w:w="616" w:type="dxa"/>
            <w:tcBorders>
              <w:top w:val="nil"/>
              <w:left w:val="nil"/>
              <w:bottom w:val="nil"/>
              <w:right w:val="nil"/>
            </w:tcBorders>
            <w:shd w:val="clear" w:color="auto" w:fill="auto"/>
            <w:noWrap/>
            <w:vAlign w:val="bottom"/>
            <w:hideMark/>
          </w:tcPr>
          <w:p w14:paraId="0182D42E" w14:textId="77777777" w:rsidR="001B5641" w:rsidRDefault="001B5641">
            <w:pPr>
              <w:jc w:val="right"/>
              <w:rPr>
                <w:b/>
                <w:bCs/>
                <w:sz w:val="20"/>
                <w:szCs w:val="20"/>
              </w:rPr>
            </w:pPr>
            <w:r>
              <w:rPr>
                <w:b/>
                <w:bCs/>
                <w:sz w:val="20"/>
                <w:szCs w:val="20"/>
              </w:rPr>
              <w:t>54</w:t>
            </w:r>
          </w:p>
        </w:tc>
        <w:tc>
          <w:tcPr>
            <w:tcW w:w="6472" w:type="dxa"/>
            <w:tcBorders>
              <w:top w:val="nil"/>
              <w:left w:val="nil"/>
              <w:bottom w:val="nil"/>
              <w:right w:val="nil"/>
            </w:tcBorders>
            <w:shd w:val="clear" w:color="auto" w:fill="auto"/>
            <w:noWrap/>
            <w:vAlign w:val="bottom"/>
            <w:hideMark/>
          </w:tcPr>
          <w:p w14:paraId="1312A6FB" w14:textId="77777777" w:rsidR="001B5641" w:rsidRDefault="001B5641">
            <w:pPr>
              <w:rPr>
                <w:b/>
                <w:bCs/>
                <w:sz w:val="20"/>
                <w:szCs w:val="20"/>
              </w:rPr>
            </w:pPr>
            <w:r>
              <w:rPr>
                <w:b/>
                <w:bCs/>
                <w:sz w:val="20"/>
                <w:szCs w:val="20"/>
              </w:rPr>
              <w:t xml:space="preserve">Izdaci za otplatu glavnice primljenih kredita i zajmova                                             </w:t>
            </w:r>
          </w:p>
        </w:tc>
        <w:tc>
          <w:tcPr>
            <w:tcW w:w="1360" w:type="dxa"/>
            <w:tcBorders>
              <w:top w:val="nil"/>
              <w:left w:val="nil"/>
              <w:bottom w:val="nil"/>
              <w:right w:val="nil"/>
            </w:tcBorders>
            <w:shd w:val="clear" w:color="auto" w:fill="auto"/>
            <w:noWrap/>
            <w:vAlign w:val="bottom"/>
            <w:hideMark/>
          </w:tcPr>
          <w:p w14:paraId="4D9C9C7D" w14:textId="77777777" w:rsidR="001B5641" w:rsidRDefault="001B5641">
            <w:pPr>
              <w:jc w:val="right"/>
              <w:rPr>
                <w:b/>
                <w:bCs/>
                <w:sz w:val="20"/>
                <w:szCs w:val="20"/>
              </w:rPr>
            </w:pPr>
            <w:r>
              <w:rPr>
                <w:b/>
                <w:bCs/>
                <w:sz w:val="20"/>
                <w:szCs w:val="20"/>
              </w:rPr>
              <w:t>2.099.008,71</w:t>
            </w:r>
          </w:p>
        </w:tc>
        <w:tc>
          <w:tcPr>
            <w:tcW w:w="1503" w:type="dxa"/>
            <w:tcBorders>
              <w:top w:val="nil"/>
              <w:left w:val="nil"/>
              <w:bottom w:val="nil"/>
              <w:right w:val="nil"/>
            </w:tcBorders>
            <w:shd w:val="clear" w:color="auto" w:fill="auto"/>
            <w:noWrap/>
            <w:vAlign w:val="bottom"/>
            <w:hideMark/>
          </w:tcPr>
          <w:p w14:paraId="0C2C3A52" w14:textId="77777777" w:rsidR="001B5641" w:rsidRDefault="001B5641">
            <w:pPr>
              <w:jc w:val="right"/>
              <w:rPr>
                <w:b/>
                <w:bCs/>
                <w:sz w:val="20"/>
                <w:szCs w:val="20"/>
              </w:rPr>
            </w:pPr>
            <w:r>
              <w:rPr>
                <w:b/>
                <w:bCs/>
                <w:sz w:val="20"/>
                <w:szCs w:val="20"/>
              </w:rPr>
              <w:t>1.131.500,00</w:t>
            </w:r>
          </w:p>
        </w:tc>
        <w:tc>
          <w:tcPr>
            <w:tcW w:w="1360" w:type="dxa"/>
            <w:tcBorders>
              <w:top w:val="nil"/>
              <w:left w:val="nil"/>
              <w:bottom w:val="nil"/>
              <w:right w:val="nil"/>
            </w:tcBorders>
            <w:shd w:val="clear" w:color="auto" w:fill="auto"/>
            <w:noWrap/>
            <w:vAlign w:val="bottom"/>
            <w:hideMark/>
          </w:tcPr>
          <w:p w14:paraId="17C621ED" w14:textId="77777777" w:rsidR="001B5641" w:rsidRDefault="001B5641">
            <w:pPr>
              <w:jc w:val="right"/>
              <w:rPr>
                <w:b/>
                <w:bCs/>
                <w:sz w:val="20"/>
                <w:szCs w:val="20"/>
              </w:rPr>
            </w:pPr>
            <w:r>
              <w:rPr>
                <w:b/>
                <w:bCs/>
                <w:sz w:val="20"/>
                <w:szCs w:val="20"/>
              </w:rPr>
              <w:t>1.128.527,30</w:t>
            </w:r>
          </w:p>
        </w:tc>
        <w:tc>
          <w:tcPr>
            <w:tcW w:w="983" w:type="dxa"/>
            <w:tcBorders>
              <w:top w:val="nil"/>
              <w:left w:val="nil"/>
              <w:bottom w:val="nil"/>
              <w:right w:val="nil"/>
            </w:tcBorders>
            <w:shd w:val="clear" w:color="auto" w:fill="auto"/>
            <w:noWrap/>
            <w:vAlign w:val="bottom"/>
            <w:hideMark/>
          </w:tcPr>
          <w:p w14:paraId="2710352D" w14:textId="77777777" w:rsidR="001B5641" w:rsidRDefault="001B5641">
            <w:pPr>
              <w:jc w:val="right"/>
              <w:rPr>
                <w:b/>
                <w:bCs/>
                <w:sz w:val="20"/>
                <w:szCs w:val="20"/>
              </w:rPr>
            </w:pPr>
            <w:r>
              <w:rPr>
                <w:b/>
                <w:bCs/>
                <w:sz w:val="20"/>
                <w:szCs w:val="20"/>
              </w:rPr>
              <w:t>53,76</w:t>
            </w:r>
          </w:p>
        </w:tc>
        <w:tc>
          <w:tcPr>
            <w:tcW w:w="1180" w:type="dxa"/>
            <w:tcBorders>
              <w:top w:val="nil"/>
              <w:left w:val="nil"/>
              <w:bottom w:val="nil"/>
              <w:right w:val="nil"/>
            </w:tcBorders>
            <w:shd w:val="clear" w:color="auto" w:fill="auto"/>
            <w:noWrap/>
            <w:vAlign w:val="bottom"/>
            <w:hideMark/>
          </w:tcPr>
          <w:p w14:paraId="33D4BC0A" w14:textId="77777777" w:rsidR="001B5641" w:rsidRDefault="001B5641">
            <w:pPr>
              <w:jc w:val="right"/>
              <w:rPr>
                <w:b/>
                <w:bCs/>
                <w:sz w:val="20"/>
                <w:szCs w:val="20"/>
              </w:rPr>
            </w:pPr>
            <w:r>
              <w:rPr>
                <w:b/>
                <w:bCs/>
                <w:sz w:val="20"/>
                <w:szCs w:val="20"/>
              </w:rPr>
              <w:t>99,74</w:t>
            </w:r>
          </w:p>
        </w:tc>
      </w:tr>
      <w:tr w:rsidR="001B5641" w14:paraId="0AFEB24C" w14:textId="77777777" w:rsidTr="001B5641">
        <w:trPr>
          <w:trHeight w:val="300"/>
        </w:trPr>
        <w:tc>
          <w:tcPr>
            <w:tcW w:w="616" w:type="dxa"/>
            <w:tcBorders>
              <w:top w:val="nil"/>
              <w:left w:val="nil"/>
              <w:bottom w:val="nil"/>
              <w:right w:val="nil"/>
            </w:tcBorders>
            <w:shd w:val="clear" w:color="auto" w:fill="auto"/>
            <w:noWrap/>
            <w:vAlign w:val="bottom"/>
            <w:hideMark/>
          </w:tcPr>
          <w:p w14:paraId="161C9C19" w14:textId="77777777" w:rsidR="001B5641" w:rsidRDefault="001B5641">
            <w:pPr>
              <w:jc w:val="right"/>
              <w:rPr>
                <w:b/>
                <w:bCs/>
                <w:sz w:val="20"/>
                <w:szCs w:val="20"/>
              </w:rPr>
            </w:pPr>
            <w:r>
              <w:rPr>
                <w:b/>
                <w:bCs/>
                <w:sz w:val="20"/>
                <w:szCs w:val="20"/>
              </w:rPr>
              <w:t>542</w:t>
            </w:r>
          </w:p>
        </w:tc>
        <w:tc>
          <w:tcPr>
            <w:tcW w:w="6472" w:type="dxa"/>
            <w:tcBorders>
              <w:top w:val="nil"/>
              <w:left w:val="nil"/>
              <w:bottom w:val="nil"/>
              <w:right w:val="nil"/>
            </w:tcBorders>
            <w:shd w:val="clear" w:color="auto" w:fill="auto"/>
            <w:noWrap/>
            <w:vAlign w:val="bottom"/>
            <w:hideMark/>
          </w:tcPr>
          <w:p w14:paraId="629D1AA9" w14:textId="1CC211A0" w:rsidR="001B5641" w:rsidRDefault="001B5641">
            <w:pPr>
              <w:rPr>
                <w:b/>
                <w:bCs/>
                <w:sz w:val="20"/>
                <w:szCs w:val="20"/>
              </w:rPr>
            </w:pPr>
            <w:r>
              <w:rPr>
                <w:b/>
                <w:bCs/>
                <w:sz w:val="20"/>
                <w:szCs w:val="20"/>
              </w:rPr>
              <w:t>Otplata glavnice primljenih kredita i zajmova od kreditnih i ostalih financijskih institucija u javn</w:t>
            </w:r>
            <w:r w:rsidR="009F61F7">
              <w:rPr>
                <w:b/>
                <w:bCs/>
                <w:sz w:val="20"/>
                <w:szCs w:val="20"/>
              </w:rPr>
              <w:t>om sektoru</w:t>
            </w:r>
          </w:p>
        </w:tc>
        <w:tc>
          <w:tcPr>
            <w:tcW w:w="1360" w:type="dxa"/>
            <w:tcBorders>
              <w:top w:val="nil"/>
              <w:left w:val="nil"/>
              <w:bottom w:val="nil"/>
              <w:right w:val="nil"/>
            </w:tcBorders>
            <w:shd w:val="clear" w:color="auto" w:fill="auto"/>
            <w:noWrap/>
            <w:vAlign w:val="bottom"/>
            <w:hideMark/>
          </w:tcPr>
          <w:p w14:paraId="4014C359" w14:textId="77777777" w:rsidR="001B5641" w:rsidRDefault="001B5641">
            <w:pPr>
              <w:jc w:val="right"/>
              <w:rPr>
                <w:b/>
                <w:bCs/>
                <w:sz w:val="20"/>
                <w:szCs w:val="20"/>
              </w:rPr>
            </w:pPr>
            <w:r>
              <w:rPr>
                <w:b/>
                <w:bCs/>
                <w:sz w:val="20"/>
                <w:szCs w:val="20"/>
              </w:rPr>
              <w:t>59.088,91</w:t>
            </w:r>
          </w:p>
        </w:tc>
        <w:tc>
          <w:tcPr>
            <w:tcW w:w="1503" w:type="dxa"/>
            <w:tcBorders>
              <w:top w:val="nil"/>
              <w:left w:val="nil"/>
              <w:bottom w:val="nil"/>
              <w:right w:val="nil"/>
            </w:tcBorders>
            <w:shd w:val="clear" w:color="auto" w:fill="auto"/>
            <w:noWrap/>
            <w:vAlign w:val="bottom"/>
            <w:hideMark/>
          </w:tcPr>
          <w:p w14:paraId="77971421" w14:textId="77777777" w:rsidR="001B5641" w:rsidRDefault="001B5641">
            <w:pPr>
              <w:jc w:val="right"/>
              <w:rPr>
                <w:b/>
                <w:bCs/>
                <w:sz w:val="20"/>
                <w:szCs w:val="20"/>
              </w:rPr>
            </w:pPr>
            <w:r>
              <w:rPr>
                <w:b/>
                <w:bCs/>
                <w:sz w:val="20"/>
                <w:szCs w:val="20"/>
              </w:rPr>
              <w:t>236.500,00</w:t>
            </w:r>
          </w:p>
        </w:tc>
        <w:tc>
          <w:tcPr>
            <w:tcW w:w="1360" w:type="dxa"/>
            <w:tcBorders>
              <w:top w:val="nil"/>
              <w:left w:val="nil"/>
              <w:bottom w:val="nil"/>
              <w:right w:val="nil"/>
            </w:tcBorders>
            <w:shd w:val="clear" w:color="auto" w:fill="auto"/>
            <w:noWrap/>
            <w:vAlign w:val="bottom"/>
            <w:hideMark/>
          </w:tcPr>
          <w:p w14:paraId="79EC3E48" w14:textId="77777777" w:rsidR="001B5641" w:rsidRDefault="001B5641">
            <w:pPr>
              <w:jc w:val="right"/>
              <w:rPr>
                <w:b/>
                <w:bCs/>
                <w:sz w:val="20"/>
                <w:szCs w:val="20"/>
              </w:rPr>
            </w:pPr>
            <w:r>
              <w:rPr>
                <w:b/>
                <w:bCs/>
                <w:sz w:val="20"/>
                <w:szCs w:val="20"/>
              </w:rPr>
              <w:t>236.355,64</w:t>
            </w:r>
          </w:p>
        </w:tc>
        <w:tc>
          <w:tcPr>
            <w:tcW w:w="983" w:type="dxa"/>
            <w:tcBorders>
              <w:top w:val="nil"/>
              <w:left w:val="nil"/>
              <w:bottom w:val="nil"/>
              <w:right w:val="nil"/>
            </w:tcBorders>
            <w:shd w:val="clear" w:color="auto" w:fill="auto"/>
            <w:noWrap/>
            <w:vAlign w:val="bottom"/>
            <w:hideMark/>
          </w:tcPr>
          <w:p w14:paraId="771E3994" w14:textId="77777777" w:rsidR="001B5641" w:rsidRDefault="001B5641">
            <w:pPr>
              <w:jc w:val="right"/>
              <w:rPr>
                <w:b/>
                <w:bCs/>
                <w:sz w:val="20"/>
                <w:szCs w:val="20"/>
              </w:rPr>
            </w:pPr>
            <w:r>
              <w:rPr>
                <w:b/>
                <w:bCs/>
                <w:sz w:val="20"/>
                <w:szCs w:val="20"/>
              </w:rPr>
              <w:t>400,00</w:t>
            </w:r>
          </w:p>
        </w:tc>
        <w:tc>
          <w:tcPr>
            <w:tcW w:w="1180" w:type="dxa"/>
            <w:tcBorders>
              <w:top w:val="nil"/>
              <w:left w:val="nil"/>
              <w:bottom w:val="nil"/>
              <w:right w:val="nil"/>
            </w:tcBorders>
            <w:shd w:val="clear" w:color="auto" w:fill="auto"/>
            <w:noWrap/>
            <w:vAlign w:val="bottom"/>
            <w:hideMark/>
          </w:tcPr>
          <w:p w14:paraId="5D93D27B" w14:textId="77777777" w:rsidR="001B5641" w:rsidRDefault="001B5641">
            <w:pPr>
              <w:jc w:val="right"/>
              <w:rPr>
                <w:b/>
                <w:bCs/>
                <w:sz w:val="20"/>
                <w:szCs w:val="20"/>
              </w:rPr>
            </w:pPr>
            <w:r>
              <w:rPr>
                <w:b/>
                <w:bCs/>
                <w:sz w:val="20"/>
                <w:szCs w:val="20"/>
              </w:rPr>
              <w:t>99,94</w:t>
            </w:r>
          </w:p>
        </w:tc>
      </w:tr>
      <w:tr w:rsidR="001B5641" w14:paraId="2B84E52E" w14:textId="77777777" w:rsidTr="001B5641">
        <w:trPr>
          <w:trHeight w:val="300"/>
        </w:trPr>
        <w:tc>
          <w:tcPr>
            <w:tcW w:w="616" w:type="dxa"/>
            <w:tcBorders>
              <w:top w:val="nil"/>
              <w:left w:val="nil"/>
              <w:bottom w:val="nil"/>
              <w:right w:val="nil"/>
            </w:tcBorders>
            <w:shd w:val="clear" w:color="auto" w:fill="auto"/>
            <w:noWrap/>
            <w:vAlign w:val="bottom"/>
            <w:hideMark/>
          </w:tcPr>
          <w:p w14:paraId="680AB984" w14:textId="77777777" w:rsidR="001B5641" w:rsidRDefault="001B5641">
            <w:pPr>
              <w:jc w:val="right"/>
              <w:rPr>
                <w:sz w:val="20"/>
                <w:szCs w:val="20"/>
              </w:rPr>
            </w:pPr>
            <w:r>
              <w:rPr>
                <w:sz w:val="20"/>
                <w:szCs w:val="20"/>
              </w:rPr>
              <w:t>5422</w:t>
            </w:r>
          </w:p>
        </w:tc>
        <w:tc>
          <w:tcPr>
            <w:tcW w:w="6472" w:type="dxa"/>
            <w:tcBorders>
              <w:top w:val="nil"/>
              <w:left w:val="nil"/>
              <w:bottom w:val="nil"/>
              <w:right w:val="nil"/>
            </w:tcBorders>
            <w:shd w:val="clear" w:color="auto" w:fill="auto"/>
            <w:noWrap/>
            <w:vAlign w:val="bottom"/>
            <w:hideMark/>
          </w:tcPr>
          <w:p w14:paraId="7E7BE7B9" w14:textId="77777777" w:rsidR="001B5641" w:rsidRDefault="001B5641">
            <w:pPr>
              <w:rPr>
                <w:sz w:val="20"/>
                <w:szCs w:val="20"/>
              </w:rPr>
            </w:pPr>
            <w:r>
              <w:rPr>
                <w:sz w:val="20"/>
                <w:szCs w:val="20"/>
              </w:rPr>
              <w:t xml:space="preserve">Otplata glavnice primljenih kredita od kreditnih institucija u javnom sektoru                       </w:t>
            </w:r>
          </w:p>
        </w:tc>
        <w:tc>
          <w:tcPr>
            <w:tcW w:w="1360" w:type="dxa"/>
            <w:tcBorders>
              <w:top w:val="nil"/>
              <w:left w:val="nil"/>
              <w:bottom w:val="nil"/>
              <w:right w:val="nil"/>
            </w:tcBorders>
            <w:shd w:val="clear" w:color="auto" w:fill="auto"/>
            <w:noWrap/>
            <w:vAlign w:val="bottom"/>
            <w:hideMark/>
          </w:tcPr>
          <w:p w14:paraId="72759E30" w14:textId="77777777" w:rsidR="001B5641" w:rsidRDefault="001B5641">
            <w:pPr>
              <w:jc w:val="right"/>
              <w:rPr>
                <w:sz w:val="20"/>
                <w:szCs w:val="20"/>
              </w:rPr>
            </w:pPr>
            <w:r>
              <w:rPr>
                <w:sz w:val="20"/>
                <w:szCs w:val="20"/>
              </w:rPr>
              <w:t>59.088,91</w:t>
            </w:r>
          </w:p>
        </w:tc>
        <w:tc>
          <w:tcPr>
            <w:tcW w:w="1503" w:type="dxa"/>
            <w:tcBorders>
              <w:top w:val="nil"/>
              <w:left w:val="nil"/>
              <w:bottom w:val="nil"/>
              <w:right w:val="nil"/>
            </w:tcBorders>
            <w:shd w:val="clear" w:color="auto" w:fill="auto"/>
            <w:noWrap/>
            <w:vAlign w:val="bottom"/>
            <w:hideMark/>
          </w:tcPr>
          <w:p w14:paraId="25428C8D" w14:textId="77777777" w:rsidR="001B5641" w:rsidRDefault="001B5641">
            <w:pPr>
              <w:jc w:val="right"/>
              <w:rPr>
                <w:sz w:val="20"/>
                <w:szCs w:val="20"/>
              </w:rPr>
            </w:pPr>
          </w:p>
        </w:tc>
        <w:tc>
          <w:tcPr>
            <w:tcW w:w="1360" w:type="dxa"/>
            <w:tcBorders>
              <w:top w:val="nil"/>
              <w:left w:val="nil"/>
              <w:bottom w:val="nil"/>
              <w:right w:val="nil"/>
            </w:tcBorders>
            <w:shd w:val="clear" w:color="auto" w:fill="auto"/>
            <w:noWrap/>
            <w:vAlign w:val="bottom"/>
            <w:hideMark/>
          </w:tcPr>
          <w:p w14:paraId="0516D378" w14:textId="77777777" w:rsidR="001B5641" w:rsidRDefault="001B5641">
            <w:pPr>
              <w:jc w:val="right"/>
              <w:rPr>
                <w:sz w:val="20"/>
                <w:szCs w:val="20"/>
              </w:rPr>
            </w:pPr>
            <w:r>
              <w:rPr>
                <w:sz w:val="20"/>
                <w:szCs w:val="20"/>
              </w:rPr>
              <w:t>236.355,64</w:t>
            </w:r>
          </w:p>
        </w:tc>
        <w:tc>
          <w:tcPr>
            <w:tcW w:w="983" w:type="dxa"/>
            <w:tcBorders>
              <w:top w:val="nil"/>
              <w:left w:val="nil"/>
              <w:bottom w:val="nil"/>
              <w:right w:val="nil"/>
            </w:tcBorders>
            <w:shd w:val="clear" w:color="auto" w:fill="auto"/>
            <w:noWrap/>
            <w:vAlign w:val="bottom"/>
            <w:hideMark/>
          </w:tcPr>
          <w:p w14:paraId="57BB58B1" w14:textId="77777777" w:rsidR="001B5641" w:rsidRDefault="001B5641">
            <w:pPr>
              <w:jc w:val="right"/>
              <w:rPr>
                <w:sz w:val="20"/>
                <w:szCs w:val="20"/>
              </w:rPr>
            </w:pPr>
            <w:r>
              <w:rPr>
                <w:sz w:val="20"/>
                <w:szCs w:val="20"/>
              </w:rPr>
              <w:t>400,00</w:t>
            </w:r>
          </w:p>
        </w:tc>
        <w:tc>
          <w:tcPr>
            <w:tcW w:w="1180" w:type="dxa"/>
            <w:tcBorders>
              <w:top w:val="nil"/>
              <w:left w:val="nil"/>
              <w:bottom w:val="nil"/>
              <w:right w:val="nil"/>
            </w:tcBorders>
            <w:shd w:val="clear" w:color="auto" w:fill="auto"/>
            <w:noWrap/>
            <w:vAlign w:val="bottom"/>
            <w:hideMark/>
          </w:tcPr>
          <w:p w14:paraId="49465DAF" w14:textId="77777777" w:rsidR="001B5641" w:rsidRDefault="001B5641">
            <w:pPr>
              <w:jc w:val="right"/>
              <w:rPr>
                <w:sz w:val="20"/>
                <w:szCs w:val="20"/>
              </w:rPr>
            </w:pPr>
          </w:p>
        </w:tc>
      </w:tr>
      <w:tr w:rsidR="001B5641" w14:paraId="746607AE" w14:textId="77777777" w:rsidTr="001B5641">
        <w:trPr>
          <w:trHeight w:val="300"/>
        </w:trPr>
        <w:tc>
          <w:tcPr>
            <w:tcW w:w="616" w:type="dxa"/>
            <w:tcBorders>
              <w:top w:val="nil"/>
              <w:left w:val="nil"/>
              <w:bottom w:val="nil"/>
              <w:right w:val="nil"/>
            </w:tcBorders>
            <w:shd w:val="clear" w:color="auto" w:fill="auto"/>
            <w:noWrap/>
            <w:vAlign w:val="bottom"/>
            <w:hideMark/>
          </w:tcPr>
          <w:p w14:paraId="2458F10D" w14:textId="77777777" w:rsidR="001B5641" w:rsidRDefault="001B5641">
            <w:pPr>
              <w:jc w:val="right"/>
              <w:rPr>
                <w:b/>
                <w:bCs/>
                <w:sz w:val="20"/>
                <w:szCs w:val="20"/>
              </w:rPr>
            </w:pPr>
            <w:r>
              <w:rPr>
                <w:b/>
                <w:bCs/>
                <w:sz w:val="20"/>
                <w:szCs w:val="20"/>
              </w:rPr>
              <w:t>544</w:t>
            </w:r>
          </w:p>
        </w:tc>
        <w:tc>
          <w:tcPr>
            <w:tcW w:w="6472" w:type="dxa"/>
            <w:tcBorders>
              <w:top w:val="nil"/>
              <w:left w:val="nil"/>
              <w:bottom w:val="nil"/>
              <w:right w:val="nil"/>
            </w:tcBorders>
            <w:shd w:val="clear" w:color="auto" w:fill="auto"/>
            <w:noWrap/>
            <w:vAlign w:val="bottom"/>
            <w:hideMark/>
          </w:tcPr>
          <w:p w14:paraId="03244350" w14:textId="21F7B92D" w:rsidR="001B5641" w:rsidRDefault="001B5641">
            <w:pPr>
              <w:rPr>
                <w:b/>
                <w:bCs/>
                <w:sz w:val="20"/>
                <w:szCs w:val="20"/>
              </w:rPr>
            </w:pPr>
            <w:r>
              <w:rPr>
                <w:b/>
                <w:bCs/>
                <w:sz w:val="20"/>
                <w:szCs w:val="20"/>
              </w:rPr>
              <w:t xml:space="preserve">Otplata glavnice primljenih kredita i zajmova od kreditnih i ostalih financijskih institucija izvan </w:t>
            </w:r>
            <w:r w:rsidR="009F61F7">
              <w:rPr>
                <w:b/>
                <w:bCs/>
                <w:sz w:val="20"/>
                <w:szCs w:val="20"/>
              </w:rPr>
              <w:t>javnog sektora</w:t>
            </w:r>
          </w:p>
        </w:tc>
        <w:tc>
          <w:tcPr>
            <w:tcW w:w="1360" w:type="dxa"/>
            <w:tcBorders>
              <w:top w:val="nil"/>
              <w:left w:val="nil"/>
              <w:bottom w:val="nil"/>
              <w:right w:val="nil"/>
            </w:tcBorders>
            <w:shd w:val="clear" w:color="auto" w:fill="auto"/>
            <w:noWrap/>
            <w:vAlign w:val="bottom"/>
            <w:hideMark/>
          </w:tcPr>
          <w:p w14:paraId="21370165" w14:textId="77777777" w:rsidR="001B5641" w:rsidRDefault="001B5641">
            <w:pPr>
              <w:jc w:val="right"/>
              <w:rPr>
                <w:b/>
                <w:bCs/>
                <w:sz w:val="20"/>
                <w:szCs w:val="20"/>
              </w:rPr>
            </w:pPr>
            <w:r>
              <w:rPr>
                <w:b/>
                <w:bCs/>
                <w:sz w:val="20"/>
                <w:szCs w:val="20"/>
              </w:rPr>
              <w:t>1.564.522,05</w:t>
            </w:r>
          </w:p>
        </w:tc>
        <w:tc>
          <w:tcPr>
            <w:tcW w:w="1503" w:type="dxa"/>
            <w:tcBorders>
              <w:top w:val="nil"/>
              <w:left w:val="nil"/>
              <w:bottom w:val="nil"/>
              <w:right w:val="nil"/>
            </w:tcBorders>
            <w:shd w:val="clear" w:color="auto" w:fill="auto"/>
            <w:noWrap/>
            <w:vAlign w:val="bottom"/>
            <w:hideMark/>
          </w:tcPr>
          <w:p w14:paraId="563D5569" w14:textId="77777777" w:rsidR="001B5641" w:rsidRDefault="001B5641">
            <w:pPr>
              <w:jc w:val="right"/>
              <w:rPr>
                <w:b/>
                <w:bCs/>
                <w:sz w:val="20"/>
                <w:szCs w:val="20"/>
              </w:rPr>
            </w:pPr>
            <w:r>
              <w:rPr>
                <w:b/>
                <w:bCs/>
                <w:sz w:val="20"/>
                <w:szCs w:val="20"/>
              </w:rPr>
              <w:t>575.000,00</w:t>
            </w:r>
          </w:p>
        </w:tc>
        <w:tc>
          <w:tcPr>
            <w:tcW w:w="1360" w:type="dxa"/>
            <w:tcBorders>
              <w:top w:val="nil"/>
              <w:left w:val="nil"/>
              <w:bottom w:val="nil"/>
              <w:right w:val="nil"/>
            </w:tcBorders>
            <w:shd w:val="clear" w:color="auto" w:fill="auto"/>
            <w:noWrap/>
            <w:vAlign w:val="bottom"/>
            <w:hideMark/>
          </w:tcPr>
          <w:p w14:paraId="0A028633" w14:textId="77777777" w:rsidR="001B5641" w:rsidRDefault="001B5641">
            <w:pPr>
              <w:jc w:val="right"/>
              <w:rPr>
                <w:b/>
                <w:bCs/>
                <w:sz w:val="20"/>
                <w:szCs w:val="20"/>
              </w:rPr>
            </w:pPr>
            <w:r>
              <w:rPr>
                <w:b/>
                <w:bCs/>
                <w:sz w:val="20"/>
                <w:szCs w:val="20"/>
              </w:rPr>
              <w:t>572.821,94</w:t>
            </w:r>
          </w:p>
        </w:tc>
        <w:tc>
          <w:tcPr>
            <w:tcW w:w="983" w:type="dxa"/>
            <w:tcBorders>
              <w:top w:val="nil"/>
              <w:left w:val="nil"/>
              <w:bottom w:val="nil"/>
              <w:right w:val="nil"/>
            </w:tcBorders>
            <w:shd w:val="clear" w:color="auto" w:fill="auto"/>
            <w:noWrap/>
            <w:vAlign w:val="bottom"/>
            <w:hideMark/>
          </w:tcPr>
          <w:p w14:paraId="1DE2F8F8" w14:textId="77777777" w:rsidR="001B5641" w:rsidRDefault="001B5641">
            <w:pPr>
              <w:jc w:val="right"/>
              <w:rPr>
                <w:b/>
                <w:bCs/>
                <w:sz w:val="20"/>
                <w:szCs w:val="20"/>
              </w:rPr>
            </w:pPr>
            <w:r>
              <w:rPr>
                <w:b/>
                <w:bCs/>
                <w:sz w:val="20"/>
                <w:szCs w:val="20"/>
              </w:rPr>
              <w:t>36,61</w:t>
            </w:r>
          </w:p>
        </w:tc>
        <w:tc>
          <w:tcPr>
            <w:tcW w:w="1180" w:type="dxa"/>
            <w:tcBorders>
              <w:top w:val="nil"/>
              <w:left w:val="nil"/>
              <w:bottom w:val="nil"/>
              <w:right w:val="nil"/>
            </w:tcBorders>
            <w:shd w:val="clear" w:color="auto" w:fill="auto"/>
            <w:noWrap/>
            <w:vAlign w:val="bottom"/>
            <w:hideMark/>
          </w:tcPr>
          <w:p w14:paraId="2775FC8A" w14:textId="77777777" w:rsidR="001B5641" w:rsidRDefault="001B5641">
            <w:pPr>
              <w:jc w:val="right"/>
              <w:rPr>
                <w:b/>
                <w:bCs/>
                <w:sz w:val="20"/>
                <w:szCs w:val="20"/>
              </w:rPr>
            </w:pPr>
            <w:r>
              <w:rPr>
                <w:b/>
                <w:bCs/>
                <w:sz w:val="20"/>
                <w:szCs w:val="20"/>
              </w:rPr>
              <w:t>99,62</w:t>
            </w:r>
          </w:p>
        </w:tc>
      </w:tr>
      <w:tr w:rsidR="001B5641" w14:paraId="364EB5A3" w14:textId="77777777" w:rsidTr="001B5641">
        <w:trPr>
          <w:trHeight w:val="300"/>
        </w:trPr>
        <w:tc>
          <w:tcPr>
            <w:tcW w:w="616" w:type="dxa"/>
            <w:tcBorders>
              <w:top w:val="nil"/>
              <w:left w:val="nil"/>
              <w:bottom w:val="nil"/>
              <w:right w:val="nil"/>
            </w:tcBorders>
            <w:shd w:val="clear" w:color="auto" w:fill="auto"/>
            <w:noWrap/>
            <w:vAlign w:val="bottom"/>
            <w:hideMark/>
          </w:tcPr>
          <w:p w14:paraId="09419E58" w14:textId="77777777" w:rsidR="001B5641" w:rsidRDefault="001B5641">
            <w:pPr>
              <w:jc w:val="right"/>
              <w:rPr>
                <w:sz w:val="20"/>
                <w:szCs w:val="20"/>
              </w:rPr>
            </w:pPr>
            <w:r>
              <w:rPr>
                <w:sz w:val="20"/>
                <w:szCs w:val="20"/>
              </w:rPr>
              <w:t>5443</w:t>
            </w:r>
          </w:p>
        </w:tc>
        <w:tc>
          <w:tcPr>
            <w:tcW w:w="6472" w:type="dxa"/>
            <w:tcBorders>
              <w:top w:val="nil"/>
              <w:left w:val="nil"/>
              <w:bottom w:val="nil"/>
              <w:right w:val="nil"/>
            </w:tcBorders>
            <w:shd w:val="clear" w:color="auto" w:fill="auto"/>
            <w:noWrap/>
            <w:vAlign w:val="bottom"/>
            <w:hideMark/>
          </w:tcPr>
          <w:p w14:paraId="35643A76" w14:textId="77777777" w:rsidR="001B5641" w:rsidRDefault="001B5641">
            <w:pPr>
              <w:rPr>
                <w:sz w:val="20"/>
                <w:szCs w:val="20"/>
              </w:rPr>
            </w:pPr>
            <w:r>
              <w:rPr>
                <w:sz w:val="20"/>
                <w:szCs w:val="20"/>
              </w:rPr>
              <w:t xml:space="preserve">Otplata glavnice primljenih kredita od tuzemnih kreditnih institucija izvan javnog sektora          </w:t>
            </w:r>
          </w:p>
        </w:tc>
        <w:tc>
          <w:tcPr>
            <w:tcW w:w="1360" w:type="dxa"/>
            <w:tcBorders>
              <w:top w:val="nil"/>
              <w:left w:val="nil"/>
              <w:bottom w:val="nil"/>
              <w:right w:val="nil"/>
            </w:tcBorders>
            <w:shd w:val="clear" w:color="auto" w:fill="auto"/>
            <w:noWrap/>
            <w:vAlign w:val="bottom"/>
            <w:hideMark/>
          </w:tcPr>
          <w:p w14:paraId="612385F3" w14:textId="77777777" w:rsidR="001B5641" w:rsidRDefault="001B5641">
            <w:pPr>
              <w:jc w:val="right"/>
              <w:rPr>
                <w:sz w:val="20"/>
                <w:szCs w:val="20"/>
              </w:rPr>
            </w:pPr>
            <w:r>
              <w:rPr>
                <w:sz w:val="20"/>
                <w:szCs w:val="20"/>
              </w:rPr>
              <w:t>1.564.522,05</w:t>
            </w:r>
          </w:p>
        </w:tc>
        <w:tc>
          <w:tcPr>
            <w:tcW w:w="1503" w:type="dxa"/>
            <w:tcBorders>
              <w:top w:val="nil"/>
              <w:left w:val="nil"/>
              <w:bottom w:val="nil"/>
              <w:right w:val="nil"/>
            </w:tcBorders>
            <w:shd w:val="clear" w:color="auto" w:fill="auto"/>
            <w:noWrap/>
            <w:vAlign w:val="bottom"/>
            <w:hideMark/>
          </w:tcPr>
          <w:p w14:paraId="2AD6A740" w14:textId="77777777" w:rsidR="001B5641" w:rsidRDefault="001B5641">
            <w:pPr>
              <w:jc w:val="right"/>
              <w:rPr>
                <w:sz w:val="20"/>
                <w:szCs w:val="20"/>
              </w:rPr>
            </w:pPr>
          </w:p>
        </w:tc>
        <w:tc>
          <w:tcPr>
            <w:tcW w:w="1360" w:type="dxa"/>
            <w:tcBorders>
              <w:top w:val="nil"/>
              <w:left w:val="nil"/>
              <w:bottom w:val="nil"/>
              <w:right w:val="nil"/>
            </w:tcBorders>
            <w:shd w:val="clear" w:color="auto" w:fill="auto"/>
            <w:noWrap/>
            <w:vAlign w:val="bottom"/>
            <w:hideMark/>
          </w:tcPr>
          <w:p w14:paraId="07DB1247" w14:textId="77777777" w:rsidR="001B5641" w:rsidRDefault="001B5641">
            <w:pPr>
              <w:jc w:val="right"/>
              <w:rPr>
                <w:sz w:val="20"/>
                <w:szCs w:val="20"/>
              </w:rPr>
            </w:pPr>
            <w:r>
              <w:rPr>
                <w:sz w:val="20"/>
                <w:szCs w:val="20"/>
              </w:rPr>
              <w:t>572.821,94</w:t>
            </w:r>
          </w:p>
        </w:tc>
        <w:tc>
          <w:tcPr>
            <w:tcW w:w="983" w:type="dxa"/>
            <w:tcBorders>
              <w:top w:val="nil"/>
              <w:left w:val="nil"/>
              <w:bottom w:val="nil"/>
              <w:right w:val="nil"/>
            </w:tcBorders>
            <w:shd w:val="clear" w:color="auto" w:fill="auto"/>
            <w:noWrap/>
            <w:vAlign w:val="bottom"/>
            <w:hideMark/>
          </w:tcPr>
          <w:p w14:paraId="7A58E0F7" w14:textId="77777777" w:rsidR="001B5641" w:rsidRDefault="001B5641">
            <w:pPr>
              <w:jc w:val="right"/>
              <w:rPr>
                <w:sz w:val="20"/>
                <w:szCs w:val="20"/>
              </w:rPr>
            </w:pPr>
            <w:r>
              <w:rPr>
                <w:sz w:val="20"/>
                <w:szCs w:val="20"/>
              </w:rPr>
              <w:t>36,61</w:t>
            </w:r>
          </w:p>
        </w:tc>
        <w:tc>
          <w:tcPr>
            <w:tcW w:w="1180" w:type="dxa"/>
            <w:tcBorders>
              <w:top w:val="nil"/>
              <w:left w:val="nil"/>
              <w:bottom w:val="nil"/>
              <w:right w:val="nil"/>
            </w:tcBorders>
            <w:shd w:val="clear" w:color="auto" w:fill="auto"/>
            <w:noWrap/>
            <w:vAlign w:val="bottom"/>
            <w:hideMark/>
          </w:tcPr>
          <w:p w14:paraId="3EBB6642" w14:textId="77777777" w:rsidR="001B5641" w:rsidRDefault="001B5641">
            <w:pPr>
              <w:jc w:val="right"/>
              <w:rPr>
                <w:sz w:val="20"/>
                <w:szCs w:val="20"/>
              </w:rPr>
            </w:pPr>
          </w:p>
        </w:tc>
      </w:tr>
      <w:tr w:rsidR="001B5641" w14:paraId="026350CE" w14:textId="77777777" w:rsidTr="001B5641">
        <w:trPr>
          <w:trHeight w:val="300"/>
        </w:trPr>
        <w:tc>
          <w:tcPr>
            <w:tcW w:w="616" w:type="dxa"/>
            <w:tcBorders>
              <w:top w:val="nil"/>
              <w:left w:val="nil"/>
              <w:bottom w:val="nil"/>
              <w:right w:val="nil"/>
            </w:tcBorders>
            <w:shd w:val="clear" w:color="auto" w:fill="auto"/>
            <w:noWrap/>
            <w:vAlign w:val="bottom"/>
            <w:hideMark/>
          </w:tcPr>
          <w:p w14:paraId="049B08E2" w14:textId="77777777" w:rsidR="001B5641" w:rsidRDefault="001B5641">
            <w:pPr>
              <w:jc w:val="right"/>
              <w:rPr>
                <w:b/>
                <w:bCs/>
                <w:sz w:val="20"/>
                <w:szCs w:val="20"/>
              </w:rPr>
            </w:pPr>
            <w:r>
              <w:rPr>
                <w:b/>
                <w:bCs/>
                <w:sz w:val="20"/>
                <w:szCs w:val="20"/>
              </w:rPr>
              <w:lastRenderedPageBreak/>
              <w:t>547</w:t>
            </w:r>
          </w:p>
        </w:tc>
        <w:tc>
          <w:tcPr>
            <w:tcW w:w="6472" w:type="dxa"/>
            <w:tcBorders>
              <w:top w:val="nil"/>
              <w:left w:val="nil"/>
              <w:bottom w:val="nil"/>
              <w:right w:val="nil"/>
            </w:tcBorders>
            <w:shd w:val="clear" w:color="auto" w:fill="auto"/>
            <w:noWrap/>
            <w:vAlign w:val="bottom"/>
            <w:hideMark/>
          </w:tcPr>
          <w:p w14:paraId="4AB07156" w14:textId="77777777" w:rsidR="001B5641" w:rsidRDefault="001B5641">
            <w:pPr>
              <w:rPr>
                <w:b/>
                <w:bCs/>
                <w:sz w:val="20"/>
                <w:szCs w:val="20"/>
              </w:rPr>
            </w:pPr>
            <w:r>
              <w:rPr>
                <w:b/>
                <w:bCs/>
                <w:sz w:val="20"/>
                <w:szCs w:val="20"/>
              </w:rPr>
              <w:t xml:space="preserve">Otplata glavnice primljenih zajmova od drugih razina vlasti                                         </w:t>
            </w:r>
          </w:p>
        </w:tc>
        <w:tc>
          <w:tcPr>
            <w:tcW w:w="1360" w:type="dxa"/>
            <w:tcBorders>
              <w:top w:val="nil"/>
              <w:left w:val="nil"/>
              <w:bottom w:val="nil"/>
              <w:right w:val="nil"/>
            </w:tcBorders>
            <w:shd w:val="clear" w:color="auto" w:fill="auto"/>
            <w:noWrap/>
            <w:vAlign w:val="bottom"/>
            <w:hideMark/>
          </w:tcPr>
          <w:p w14:paraId="6DF8C2A9" w14:textId="77777777" w:rsidR="001B5641" w:rsidRDefault="001B5641">
            <w:pPr>
              <w:jc w:val="right"/>
              <w:rPr>
                <w:b/>
                <w:bCs/>
                <w:sz w:val="20"/>
                <w:szCs w:val="20"/>
              </w:rPr>
            </w:pPr>
            <w:r>
              <w:rPr>
                <w:b/>
                <w:bCs/>
                <w:sz w:val="20"/>
                <w:szCs w:val="20"/>
              </w:rPr>
              <w:t>475.397,75</w:t>
            </w:r>
          </w:p>
        </w:tc>
        <w:tc>
          <w:tcPr>
            <w:tcW w:w="1503" w:type="dxa"/>
            <w:tcBorders>
              <w:top w:val="nil"/>
              <w:left w:val="nil"/>
              <w:bottom w:val="nil"/>
              <w:right w:val="nil"/>
            </w:tcBorders>
            <w:shd w:val="clear" w:color="auto" w:fill="auto"/>
            <w:noWrap/>
            <w:vAlign w:val="bottom"/>
            <w:hideMark/>
          </w:tcPr>
          <w:p w14:paraId="7B50C61A" w14:textId="77777777" w:rsidR="001B5641" w:rsidRDefault="001B5641">
            <w:pPr>
              <w:jc w:val="right"/>
              <w:rPr>
                <w:b/>
                <w:bCs/>
                <w:sz w:val="20"/>
                <w:szCs w:val="20"/>
              </w:rPr>
            </w:pPr>
            <w:r>
              <w:rPr>
                <w:b/>
                <w:bCs/>
                <w:sz w:val="20"/>
                <w:szCs w:val="20"/>
              </w:rPr>
              <w:t>320.000,00</w:t>
            </w:r>
          </w:p>
        </w:tc>
        <w:tc>
          <w:tcPr>
            <w:tcW w:w="1360" w:type="dxa"/>
            <w:tcBorders>
              <w:top w:val="nil"/>
              <w:left w:val="nil"/>
              <w:bottom w:val="nil"/>
              <w:right w:val="nil"/>
            </w:tcBorders>
            <w:shd w:val="clear" w:color="auto" w:fill="auto"/>
            <w:noWrap/>
            <w:vAlign w:val="bottom"/>
            <w:hideMark/>
          </w:tcPr>
          <w:p w14:paraId="64CCC542" w14:textId="77777777" w:rsidR="001B5641" w:rsidRDefault="001B5641">
            <w:pPr>
              <w:jc w:val="right"/>
              <w:rPr>
                <w:b/>
                <w:bCs/>
                <w:sz w:val="20"/>
                <w:szCs w:val="20"/>
              </w:rPr>
            </w:pPr>
            <w:r>
              <w:rPr>
                <w:b/>
                <w:bCs/>
                <w:sz w:val="20"/>
                <w:szCs w:val="20"/>
              </w:rPr>
              <w:t>319.349,72</w:t>
            </w:r>
          </w:p>
        </w:tc>
        <w:tc>
          <w:tcPr>
            <w:tcW w:w="983" w:type="dxa"/>
            <w:tcBorders>
              <w:top w:val="nil"/>
              <w:left w:val="nil"/>
              <w:bottom w:val="nil"/>
              <w:right w:val="nil"/>
            </w:tcBorders>
            <w:shd w:val="clear" w:color="auto" w:fill="auto"/>
            <w:noWrap/>
            <w:vAlign w:val="bottom"/>
            <w:hideMark/>
          </w:tcPr>
          <w:p w14:paraId="1EB871E2" w14:textId="77777777" w:rsidR="001B5641" w:rsidRDefault="001B5641">
            <w:pPr>
              <w:jc w:val="right"/>
              <w:rPr>
                <w:b/>
                <w:bCs/>
                <w:sz w:val="20"/>
                <w:szCs w:val="20"/>
              </w:rPr>
            </w:pPr>
            <w:r>
              <w:rPr>
                <w:b/>
                <w:bCs/>
                <w:sz w:val="20"/>
                <w:szCs w:val="20"/>
              </w:rPr>
              <w:t>67,18</w:t>
            </w:r>
          </w:p>
        </w:tc>
        <w:tc>
          <w:tcPr>
            <w:tcW w:w="1180" w:type="dxa"/>
            <w:tcBorders>
              <w:top w:val="nil"/>
              <w:left w:val="nil"/>
              <w:bottom w:val="nil"/>
              <w:right w:val="nil"/>
            </w:tcBorders>
            <w:shd w:val="clear" w:color="auto" w:fill="auto"/>
            <w:noWrap/>
            <w:vAlign w:val="bottom"/>
            <w:hideMark/>
          </w:tcPr>
          <w:p w14:paraId="24F5BD13" w14:textId="77777777" w:rsidR="001B5641" w:rsidRDefault="001B5641">
            <w:pPr>
              <w:jc w:val="right"/>
              <w:rPr>
                <w:b/>
                <w:bCs/>
                <w:sz w:val="20"/>
                <w:szCs w:val="20"/>
              </w:rPr>
            </w:pPr>
            <w:r>
              <w:rPr>
                <w:b/>
                <w:bCs/>
                <w:sz w:val="20"/>
                <w:szCs w:val="20"/>
              </w:rPr>
              <w:t>99,80</w:t>
            </w:r>
          </w:p>
        </w:tc>
      </w:tr>
      <w:tr w:rsidR="001B5641" w14:paraId="06EB5EC1" w14:textId="77777777" w:rsidTr="001B5641">
        <w:trPr>
          <w:trHeight w:val="300"/>
        </w:trPr>
        <w:tc>
          <w:tcPr>
            <w:tcW w:w="616" w:type="dxa"/>
            <w:tcBorders>
              <w:top w:val="nil"/>
              <w:left w:val="nil"/>
              <w:bottom w:val="single" w:sz="4" w:space="0" w:color="auto"/>
              <w:right w:val="nil"/>
            </w:tcBorders>
            <w:shd w:val="clear" w:color="auto" w:fill="auto"/>
            <w:noWrap/>
            <w:vAlign w:val="bottom"/>
            <w:hideMark/>
          </w:tcPr>
          <w:p w14:paraId="371FAC94" w14:textId="77777777" w:rsidR="001B5641" w:rsidRDefault="001B5641">
            <w:pPr>
              <w:jc w:val="right"/>
              <w:rPr>
                <w:sz w:val="20"/>
                <w:szCs w:val="20"/>
              </w:rPr>
            </w:pPr>
            <w:r>
              <w:rPr>
                <w:sz w:val="20"/>
                <w:szCs w:val="20"/>
              </w:rPr>
              <w:t>5471</w:t>
            </w:r>
          </w:p>
        </w:tc>
        <w:tc>
          <w:tcPr>
            <w:tcW w:w="6472" w:type="dxa"/>
            <w:tcBorders>
              <w:top w:val="nil"/>
              <w:left w:val="nil"/>
              <w:bottom w:val="single" w:sz="4" w:space="0" w:color="auto"/>
              <w:right w:val="nil"/>
            </w:tcBorders>
            <w:shd w:val="clear" w:color="auto" w:fill="auto"/>
            <w:noWrap/>
            <w:vAlign w:val="bottom"/>
            <w:hideMark/>
          </w:tcPr>
          <w:p w14:paraId="552C7705" w14:textId="77777777" w:rsidR="001B5641" w:rsidRDefault="001B5641">
            <w:pPr>
              <w:rPr>
                <w:sz w:val="20"/>
                <w:szCs w:val="20"/>
              </w:rPr>
            </w:pPr>
            <w:r>
              <w:rPr>
                <w:sz w:val="20"/>
                <w:szCs w:val="20"/>
              </w:rPr>
              <w:t xml:space="preserve">Otplata glavnice primljenih zajmova od državnog proračuna                                           </w:t>
            </w:r>
          </w:p>
        </w:tc>
        <w:tc>
          <w:tcPr>
            <w:tcW w:w="1360" w:type="dxa"/>
            <w:tcBorders>
              <w:top w:val="nil"/>
              <w:left w:val="nil"/>
              <w:bottom w:val="single" w:sz="4" w:space="0" w:color="auto"/>
              <w:right w:val="nil"/>
            </w:tcBorders>
            <w:shd w:val="clear" w:color="auto" w:fill="auto"/>
            <w:noWrap/>
            <w:vAlign w:val="bottom"/>
            <w:hideMark/>
          </w:tcPr>
          <w:p w14:paraId="25DECFB6" w14:textId="77777777" w:rsidR="001B5641" w:rsidRDefault="001B5641">
            <w:pPr>
              <w:jc w:val="right"/>
              <w:rPr>
                <w:sz w:val="20"/>
                <w:szCs w:val="20"/>
              </w:rPr>
            </w:pPr>
            <w:r>
              <w:rPr>
                <w:sz w:val="20"/>
                <w:szCs w:val="20"/>
              </w:rPr>
              <w:t>475.397,75</w:t>
            </w:r>
          </w:p>
        </w:tc>
        <w:tc>
          <w:tcPr>
            <w:tcW w:w="1503" w:type="dxa"/>
            <w:tcBorders>
              <w:top w:val="nil"/>
              <w:left w:val="nil"/>
              <w:bottom w:val="single" w:sz="4" w:space="0" w:color="auto"/>
              <w:right w:val="nil"/>
            </w:tcBorders>
            <w:shd w:val="clear" w:color="auto" w:fill="auto"/>
            <w:noWrap/>
            <w:vAlign w:val="bottom"/>
            <w:hideMark/>
          </w:tcPr>
          <w:p w14:paraId="6FD34B3C" w14:textId="77777777" w:rsidR="001B5641" w:rsidRDefault="001B5641">
            <w:pPr>
              <w:rPr>
                <w:sz w:val="20"/>
                <w:szCs w:val="20"/>
              </w:rPr>
            </w:pPr>
            <w:r>
              <w:rPr>
                <w:sz w:val="20"/>
                <w:szCs w:val="20"/>
              </w:rPr>
              <w:t> </w:t>
            </w:r>
          </w:p>
        </w:tc>
        <w:tc>
          <w:tcPr>
            <w:tcW w:w="1360" w:type="dxa"/>
            <w:tcBorders>
              <w:top w:val="nil"/>
              <w:left w:val="nil"/>
              <w:bottom w:val="single" w:sz="4" w:space="0" w:color="auto"/>
              <w:right w:val="nil"/>
            </w:tcBorders>
            <w:shd w:val="clear" w:color="auto" w:fill="auto"/>
            <w:noWrap/>
            <w:vAlign w:val="bottom"/>
            <w:hideMark/>
          </w:tcPr>
          <w:p w14:paraId="17FA4000" w14:textId="77777777" w:rsidR="001B5641" w:rsidRDefault="001B5641">
            <w:pPr>
              <w:jc w:val="right"/>
              <w:rPr>
                <w:sz w:val="20"/>
                <w:szCs w:val="20"/>
              </w:rPr>
            </w:pPr>
            <w:r>
              <w:rPr>
                <w:sz w:val="20"/>
                <w:szCs w:val="20"/>
              </w:rPr>
              <w:t>319.349,72</w:t>
            </w:r>
          </w:p>
        </w:tc>
        <w:tc>
          <w:tcPr>
            <w:tcW w:w="983" w:type="dxa"/>
            <w:tcBorders>
              <w:top w:val="nil"/>
              <w:left w:val="nil"/>
              <w:bottom w:val="single" w:sz="4" w:space="0" w:color="auto"/>
              <w:right w:val="nil"/>
            </w:tcBorders>
            <w:shd w:val="clear" w:color="auto" w:fill="auto"/>
            <w:noWrap/>
            <w:vAlign w:val="bottom"/>
            <w:hideMark/>
          </w:tcPr>
          <w:p w14:paraId="7675F592" w14:textId="77777777" w:rsidR="001B5641" w:rsidRDefault="001B5641">
            <w:pPr>
              <w:jc w:val="right"/>
              <w:rPr>
                <w:sz w:val="20"/>
                <w:szCs w:val="20"/>
              </w:rPr>
            </w:pPr>
            <w:r>
              <w:rPr>
                <w:sz w:val="20"/>
                <w:szCs w:val="20"/>
              </w:rPr>
              <w:t>67,18</w:t>
            </w:r>
          </w:p>
        </w:tc>
        <w:tc>
          <w:tcPr>
            <w:tcW w:w="1180" w:type="dxa"/>
            <w:tcBorders>
              <w:top w:val="nil"/>
              <w:left w:val="nil"/>
              <w:bottom w:val="single" w:sz="4" w:space="0" w:color="auto"/>
              <w:right w:val="nil"/>
            </w:tcBorders>
            <w:shd w:val="clear" w:color="auto" w:fill="auto"/>
            <w:noWrap/>
            <w:vAlign w:val="bottom"/>
            <w:hideMark/>
          </w:tcPr>
          <w:p w14:paraId="265ADD5F" w14:textId="77777777" w:rsidR="001B5641" w:rsidRDefault="001B5641">
            <w:pPr>
              <w:rPr>
                <w:sz w:val="20"/>
                <w:szCs w:val="20"/>
              </w:rPr>
            </w:pPr>
            <w:r>
              <w:rPr>
                <w:sz w:val="20"/>
                <w:szCs w:val="20"/>
              </w:rPr>
              <w:t> </w:t>
            </w:r>
          </w:p>
        </w:tc>
      </w:tr>
    </w:tbl>
    <w:p w14:paraId="1137ED57" w14:textId="62261231" w:rsidR="00162952" w:rsidRDefault="00162952" w:rsidP="005D5AA2">
      <w:pPr>
        <w:pStyle w:val="Subtitle1"/>
        <w:rPr>
          <w:rFonts w:ascii="Times New Roman" w:hAnsi="Times New Roman"/>
          <w:sz w:val="24"/>
          <w:szCs w:val="24"/>
        </w:rPr>
      </w:pPr>
    </w:p>
    <w:p w14:paraId="422084D7" w14:textId="77777777" w:rsidR="006D7C6A" w:rsidRDefault="006D7C6A" w:rsidP="005D5AA2">
      <w:pPr>
        <w:pStyle w:val="Subtitle1"/>
        <w:rPr>
          <w:rFonts w:ascii="Times New Roman" w:hAnsi="Times New Roman"/>
          <w:sz w:val="24"/>
          <w:szCs w:val="24"/>
        </w:rPr>
      </w:pPr>
    </w:p>
    <w:p w14:paraId="45CA8802" w14:textId="77777777" w:rsidR="00AA2BE1" w:rsidRDefault="00AA2BE1" w:rsidP="00AD72E4">
      <w:pPr>
        <w:pStyle w:val="Subtitle1"/>
        <w:rPr>
          <w:rFonts w:ascii="Times New Roman" w:hAnsi="Times New Roman"/>
          <w:sz w:val="22"/>
          <w:szCs w:val="22"/>
        </w:rPr>
      </w:pPr>
      <w:bookmarkStart w:id="16" w:name="_Toc78878313"/>
      <w:bookmarkStart w:id="17" w:name="_Toc79578500"/>
    </w:p>
    <w:tbl>
      <w:tblPr>
        <w:tblW w:w="12887" w:type="dxa"/>
        <w:tblLook w:val="04A0" w:firstRow="1" w:lastRow="0" w:firstColumn="1" w:lastColumn="0" w:noHBand="0" w:noVBand="1"/>
      </w:tblPr>
      <w:tblGrid>
        <w:gridCol w:w="716"/>
        <w:gridCol w:w="8311"/>
        <w:gridCol w:w="1465"/>
        <w:gridCol w:w="1416"/>
        <w:gridCol w:w="983"/>
      </w:tblGrid>
      <w:tr w:rsidR="009A2875" w:rsidRPr="00953AE7" w14:paraId="1AF5D6A4" w14:textId="77777777" w:rsidTr="009A2875">
        <w:trPr>
          <w:trHeight w:val="315"/>
        </w:trPr>
        <w:tc>
          <w:tcPr>
            <w:tcW w:w="10490" w:type="dxa"/>
            <w:gridSpan w:val="3"/>
            <w:tcBorders>
              <w:top w:val="nil"/>
              <w:left w:val="nil"/>
              <w:bottom w:val="nil"/>
              <w:right w:val="nil"/>
            </w:tcBorders>
            <w:shd w:val="clear" w:color="auto" w:fill="auto"/>
            <w:noWrap/>
            <w:vAlign w:val="center"/>
            <w:hideMark/>
          </w:tcPr>
          <w:p w14:paraId="58AAAF06" w14:textId="0EA6A62F" w:rsidR="009A2875" w:rsidRPr="00953AE7" w:rsidRDefault="009A2875" w:rsidP="00953AE7">
            <w:pPr>
              <w:pStyle w:val="Subtitle1"/>
              <w:rPr>
                <w:rFonts w:ascii="Times New Roman" w:hAnsi="Times New Roman"/>
                <w:sz w:val="20"/>
                <w:szCs w:val="20"/>
              </w:rPr>
            </w:pPr>
            <w:bookmarkStart w:id="18" w:name="_Toc133398668"/>
            <w:r w:rsidRPr="00953AE7">
              <w:rPr>
                <w:rFonts w:ascii="Times New Roman" w:hAnsi="Times New Roman"/>
                <w:sz w:val="20"/>
                <w:szCs w:val="20"/>
              </w:rPr>
              <w:t xml:space="preserve">2. B. </w:t>
            </w:r>
            <w:r w:rsidR="00873273">
              <w:rPr>
                <w:rFonts w:ascii="Times New Roman" w:hAnsi="Times New Roman"/>
                <w:sz w:val="20"/>
                <w:szCs w:val="20"/>
              </w:rPr>
              <w:t>1</w:t>
            </w:r>
            <w:r w:rsidRPr="00953AE7">
              <w:rPr>
                <w:rFonts w:ascii="Times New Roman" w:hAnsi="Times New Roman"/>
                <w:sz w:val="20"/>
                <w:szCs w:val="20"/>
              </w:rPr>
              <w:t>. 1. RAČUN FINANCIRANJA - PREMA EKONOMSKOJ KLASIFIKACIJI - ANALITIČKI PRIKAZ</w:t>
            </w:r>
            <w:bookmarkEnd w:id="18"/>
          </w:p>
        </w:tc>
        <w:tc>
          <w:tcPr>
            <w:tcW w:w="1416" w:type="dxa"/>
            <w:tcBorders>
              <w:top w:val="nil"/>
              <w:left w:val="nil"/>
              <w:bottom w:val="nil"/>
              <w:right w:val="nil"/>
            </w:tcBorders>
            <w:shd w:val="clear" w:color="auto" w:fill="auto"/>
            <w:noWrap/>
            <w:vAlign w:val="bottom"/>
            <w:hideMark/>
          </w:tcPr>
          <w:p w14:paraId="27096394" w14:textId="77777777" w:rsidR="009A2875" w:rsidRPr="00953AE7" w:rsidRDefault="009A2875" w:rsidP="00953AE7">
            <w:pPr>
              <w:pStyle w:val="Subtitle1"/>
              <w:rPr>
                <w:rFonts w:ascii="Times New Roman" w:hAnsi="Times New Roman"/>
                <w:sz w:val="20"/>
                <w:szCs w:val="20"/>
              </w:rPr>
            </w:pPr>
          </w:p>
        </w:tc>
        <w:tc>
          <w:tcPr>
            <w:tcW w:w="981" w:type="dxa"/>
            <w:tcBorders>
              <w:top w:val="nil"/>
              <w:left w:val="nil"/>
              <w:bottom w:val="nil"/>
              <w:right w:val="nil"/>
            </w:tcBorders>
            <w:shd w:val="clear" w:color="auto" w:fill="auto"/>
            <w:noWrap/>
            <w:vAlign w:val="bottom"/>
            <w:hideMark/>
          </w:tcPr>
          <w:p w14:paraId="2E3DFBE9" w14:textId="77777777" w:rsidR="009A2875" w:rsidRPr="00953AE7" w:rsidRDefault="009A2875" w:rsidP="00953AE7">
            <w:pPr>
              <w:pStyle w:val="Subtitle1"/>
              <w:rPr>
                <w:rFonts w:ascii="Times New Roman" w:hAnsi="Times New Roman"/>
                <w:sz w:val="20"/>
                <w:szCs w:val="20"/>
              </w:rPr>
            </w:pPr>
          </w:p>
        </w:tc>
      </w:tr>
      <w:tr w:rsidR="009A2875" w14:paraId="58E393F6" w14:textId="77777777" w:rsidTr="009A2875">
        <w:trPr>
          <w:trHeight w:val="345"/>
        </w:trPr>
        <w:tc>
          <w:tcPr>
            <w:tcW w:w="714" w:type="dxa"/>
            <w:tcBorders>
              <w:top w:val="nil"/>
              <w:left w:val="nil"/>
              <w:bottom w:val="nil"/>
              <w:right w:val="nil"/>
            </w:tcBorders>
            <w:shd w:val="clear" w:color="auto" w:fill="auto"/>
            <w:noWrap/>
            <w:vAlign w:val="bottom"/>
            <w:hideMark/>
          </w:tcPr>
          <w:p w14:paraId="6437FF82" w14:textId="77777777" w:rsidR="009A2875" w:rsidRDefault="009A2875">
            <w:pPr>
              <w:rPr>
                <w:sz w:val="20"/>
                <w:szCs w:val="20"/>
              </w:rPr>
            </w:pPr>
          </w:p>
        </w:tc>
        <w:tc>
          <w:tcPr>
            <w:tcW w:w="8311" w:type="dxa"/>
            <w:tcBorders>
              <w:top w:val="nil"/>
              <w:left w:val="nil"/>
              <w:bottom w:val="nil"/>
              <w:right w:val="nil"/>
            </w:tcBorders>
            <w:shd w:val="clear" w:color="auto" w:fill="auto"/>
            <w:noWrap/>
            <w:vAlign w:val="bottom"/>
            <w:hideMark/>
          </w:tcPr>
          <w:p w14:paraId="53520554" w14:textId="77777777" w:rsidR="009A2875" w:rsidRDefault="009A2875">
            <w:pPr>
              <w:rPr>
                <w:sz w:val="20"/>
                <w:szCs w:val="20"/>
              </w:rPr>
            </w:pPr>
          </w:p>
        </w:tc>
        <w:tc>
          <w:tcPr>
            <w:tcW w:w="1465" w:type="dxa"/>
            <w:tcBorders>
              <w:top w:val="nil"/>
              <w:left w:val="nil"/>
              <w:bottom w:val="nil"/>
              <w:right w:val="nil"/>
            </w:tcBorders>
            <w:shd w:val="clear" w:color="auto" w:fill="auto"/>
            <w:noWrap/>
            <w:vAlign w:val="bottom"/>
            <w:hideMark/>
          </w:tcPr>
          <w:p w14:paraId="0CA33EF6" w14:textId="77777777" w:rsidR="009A2875" w:rsidRDefault="009A2875">
            <w:pPr>
              <w:rPr>
                <w:sz w:val="20"/>
                <w:szCs w:val="20"/>
              </w:rPr>
            </w:pPr>
          </w:p>
        </w:tc>
        <w:tc>
          <w:tcPr>
            <w:tcW w:w="1416" w:type="dxa"/>
            <w:tcBorders>
              <w:top w:val="nil"/>
              <w:left w:val="nil"/>
              <w:bottom w:val="nil"/>
              <w:right w:val="nil"/>
            </w:tcBorders>
            <w:shd w:val="clear" w:color="auto" w:fill="auto"/>
            <w:noWrap/>
            <w:vAlign w:val="bottom"/>
            <w:hideMark/>
          </w:tcPr>
          <w:p w14:paraId="6DB315DE" w14:textId="77777777" w:rsidR="009A2875" w:rsidRDefault="009A2875">
            <w:pPr>
              <w:rPr>
                <w:sz w:val="20"/>
                <w:szCs w:val="20"/>
              </w:rPr>
            </w:pPr>
          </w:p>
        </w:tc>
        <w:tc>
          <w:tcPr>
            <w:tcW w:w="981" w:type="dxa"/>
            <w:tcBorders>
              <w:top w:val="nil"/>
              <w:left w:val="nil"/>
              <w:bottom w:val="nil"/>
              <w:right w:val="nil"/>
            </w:tcBorders>
            <w:shd w:val="clear" w:color="auto" w:fill="auto"/>
            <w:noWrap/>
            <w:vAlign w:val="bottom"/>
            <w:hideMark/>
          </w:tcPr>
          <w:p w14:paraId="0A5ACFD3" w14:textId="77777777" w:rsidR="009A2875" w:rsidRDefault="009A2875">
            <w:pPr>
              <w:rPr>
                <w:sz w:val="20"/>
                <w:szCs w:val="20"/>
              </w:rPr>
            </w:pPr>
          </w:p>
        </w:tc>
      </w:tr>
      <w:tr w:rsidR="009A2875" w14:paraId="1A483009" w14:textId="77777777" w:rsidTr="009A2875">
        <w:trPr>
          <w:trHeight w:val="300"/>
        </w:trPr>
        <w:tc>
          <w:tcPr>
            <w:tcW w:w="9025" w:type="dxa"/>
            <w:gridSpan w:val="2"/>
            <w:tcBorders>
              <w:top w:val="single" w:sz="4" w:space="0" w:color="auto"/>
              <w:left w:val="nil"/>
              <w:bottom w:val="nil"/>
              <w:right w:val="nil"/>
            </w:tcBorders>
            <w:shd w:val="clear" w:color="auto" w:fill="auto"/>
            <w:noWrap/>
            <w:vAlign w:val="bottom"/>
            <w:hideMark/>
          </w:tcPr>
          <w:p w14:paraId="2DB03B0E" w14:textId="77777777" w:rsidR="009A2875" w:rsidRDefault="009A2875">
            <w:pPr>
              <w:rPr>
                <w:b/>
                <w:bCs/>
                <w:sz w:val="20"/>
                <w:szCs w:val="20"/>
              </w:rPr>
            </w:pPr>
            <w:r>
              <w:rPr>
                <w:b/>
                <w:bCs/>
                <w:sz w:val="20"/>
                <w:szCs w:val="20"/>
              </w:rPr>
              <w:t>BROJČANA OZNAKA I NAZIV PRIMITKA/IZDATKA</w:t>
            </w:r>
          </w:p>
        </w:tc>
        <w:tc>
          <w:tcPr>
            <w:tcW w:w="1465" w:type="dxa"/>
            <w:tcBorders>
              <w:top w:val="single" w:sz="4" w:space="0" w:color="auto"/>
              <w:left w:val="nil"/>
              <w:bottom w:val="nil"/>
              <w:right w:val="nil"/>
            </w:tcBorders>
            <w:shd w:val="clear" w:color="auto" w:fill="auto"/>
            <w:noWrap/>
            <w:vAlign w:val="bottom"/>
            <w:hideMark/>
          </w:tcPr>
          <w:p w14:paraId="5CD65722" w14:textId="77777777" w:rsidR="009A2875" w:rsidRDefault="009A2875">
            <w:pPr>
              <w:jc w:val="center"/>
              <w:rPr>
                <w:b/>
                <w:bCs/>
                <w:color w:val="000000"/>
                <w:sz w:val="20"/>
                <w:szCs w:val="20"/>
              </w:rPr>
            </w:pPr>
            <w:r>
              <w:rPr>
                <w:b/>
                <w:bCs/>
                <w:color w:val="000000"/>
                <w:sz w:val="20"/>
                <w:szCs w:val="20"/>
              </w:rPr>
              <w:t xml:space="preserve">IZVRŠENJE </w:t>
            </w:r>
          </w:p>
        </w:tc>
        <w:tc>
          <w:tcPr>
            <w:tcW w:w="1416" w:type="dxa"/>
            <w:tcBorders>
              <w:top w:val="single" w:sz="4" w:space="0" w:color="auto"/>
              <w:left w:val="nil"/>
              <w:bottom w:val="nil"/>
              <w:right w:val="nil"/>
            </w:tcBorders>
            <w:shd w:val="clear" w:color="auto" w:fill="auto"/>
            <w:noWrap/>
            <w:vAlign w:val="bottom"/>
            <w:hideMark/>
          </w:tcPr>
          <w:p w14:paraId="25D9A565" w14:textId="77777777" w:rsidR="009A2875" w:rsidRDefault="009A2875">
            <w:pPr>
              <w:jc w:val="center"/>
              <w:rPr>
                <w:b/>
                <w:bCs/>
                <w:color w:val="000000"/>
                <w:sz w:val="20"/>
                <w:szCs w:val="20"/>
              </w:rPr>
            </w:pPr>
            <w:r>
              <w:rPr>
                <w:b/>
                <w:bCs/>
                <w:color w:val="000000"/>
                <w:sz w:val="20"/>
                <w:szCs w:val="20"/>
              </w:rPr>
              <w:t xml:space="preserve">IZVRŠENJE </w:t>
            </w:r>
          </w:p>
        </w:tc>
        <w:tc>
          <w:tcPr>
            <w:tcW w:w="981" w:type="dxa"/>
            <w:tcBorders>
              <w:top w:val="single" w:sz="4" w:space="0" w:color="auto"/>
              <w:left w:val="nil"/>
              <w:bottom w:val="nil"/>
              <w:right w:val="nil"/>
            </w:tcBorders>
            <w:shd w:val="clear" w:color="auto" w:fill="auto"/>
            <w:noWrap/>
            <w:vAlign w:val="bottom"/>
            <w:hideMark/>
          </w:tcPr>
          <w:p w14:paraId="29AAD8B4" w14:textId="77777777" w:rsidR="009A2875" w:rsidRDefault="009A2875">
            <w:pPr>
              <w:jc w:val="center"/>
              <w:rPr>
                <w:b/>
                <w:bCs/>
                <w:sz w:val="20"/>
                <w:szCs w:val="20"/>
              </w:rPr>
            </w:pPr>
            <w:r>
              <w:rPr>
                <w:b/>
                <w:bCs/>
                <w:sz w:val="20"/>
                <w:szCs w:val="20"/>
              </w:rPr>
              <w:t>INDEKS</w:t>
            </w:r>
          </w:p>
        </w:tc>
      </w:tr>
      <w:tr w:rsidR="009A2875" w14:paraId="0D3CD8F1" w14:textId="77777777" w:rsidTr="009A2875">
        <w:trPr>
          <w:trHeight w:val="300"/>
        </w:trPr>
        <w:tc>
          <w:tcPr>
            <w:tcW w:w="714" w:type="dxa"/>
            <w:tcBorders>
              <w:top w:val="nil"/>
              <w:left w:val="nil"/>
              <w:bottom w:val="single" w:sz="4" w:space="0" w:color="auto"/>
              <w:right w:val="nil"/>
            </w:tcBorders>
            <w:shd w:val="clear" w:color="auto" w:fill="auto"/>
            <w:noWrap/>
            <w:vAlign w:val="bottom"/>
            <w:hideMark/>
          </w:tcPr>
          <w:p w14:paraId="5E67770D" w14:textId="77777777" w:rsidR="009A2875" w:rsidRDefault="009A2875">
            <w:pPr>
              <w:rPr>
                <w:b/>
                <w:bCs/>
                <w:sz w:val="20"/>
                <w:szCs w:val="20"/>
              </w:rPr>
            </w:pPr>
            <w:r>
              <w:rPr>
                <w:b/>
                <w:bCs/>
                <w:sz w:val="20"/>
                <w:szCs w:val="20"/>
              </w:rPr>
              <w:t> </w:t>
            </w:r>
          </w:p>
        </w:tc>
        <w:tc>
          <w:tcPr>
            <w:tcW w:w="8311" w:type="dxa"/>
            <w:tcBorders>
              <w:top w:val="nil"/>
              <w:left w:val="nil"/>
              <w:bottom w:val="single" w:sz="4" w:space="0" w:color="auto"/>
              <w:right w:val="nil"/>
            </w:tcBorders>
            <w:shd w:val="clear" w:color="auto" w:fill="auto"/>
            <w:noWrap/>
            <w:vAlign w:val="bottom"/>
            <w:hideMark/>
          </w:tcPr>
          <w:p w14:paraId="424F06E3" w14:textId="77777777" w:rsidR="009A2875" w:rsidRDefault="009A2875">
            <w:pPr>
              <w:rPr>
                <w:b/>
                <w:bCs/>
                <w:sz w:val="20"/>
                <w:szCs w:val="20"/>
              </w:rPr>
            </w:pPr>
            <w:r>
              <w:rPr>
                <w:b/>
                <w:bCs/>
                <w:sz w:val="20"/>
                <w:szCs w:val="20"/>
              </w:rPr>
              <w:t> </w:t>
            </w:r>
          </w:p>
        </w:tc>
        <w:tc>
          <w:tcPr>
            <w:tcW w:w="1465" w:type="dxa"/>
            <w:tcBorders>
              <w:top w:val="nil"/>
              <w:left w:val="nil"/>
              <w:bottom w:val="single" w:sz="4" w:space="0" w:color="auto"/>
              <w:right w:val="nil"/>
            </w:tcBorders>
            <w:shd w:val="clear" w:color="auto" w:fill="auto"/>
            <w:noWrap/>
            <w:vAlign w:val="bottom"/>
            <w:hideMark/>
          </w:tcPr>
          <w:p w14:paraId="6CC81225" w14:textId="77777777" w:rsidR="009A2875" w:rsidRDefault="009A2875">
            <w:pPr>
              <w:jc w:val="center"/>
              <w:rPr>
                <w:b/>
                <w:bCs/>
                <w:sz w:val="20"/>
                <w:szCs w:val="20"/>
              </w:rPr>
            </w:pPr>
            <w:r>
              <w:rPr>
                <w:b/>
                <w:bCs/>
                <w:sz w:val="20"/>
                <w:szCs w:val="20"/>
              </w:rPr>
              <w:t>2021.</w:t>
            </w:r>
          </w:p>
        </w:tc>
        <w:tc>
          <w:tcPr>
            <w:tcW w:w="1416" w:type="dxa"/>
            <w:tcBorders>
              <w:top w:val="nil"/>
              <w:left w:val="nil"/>
              <w:bottom w:val="single" w:sz="4" w:space="0" w:color="auto"/>
              <w:right w:val="nil"/>
            </w:tcBorders>
            <w:shd w:val="clear" w:color="auto" w:fill="auto"/>
            <w:noWrap/>
            <w:vAlign w:val="bottom"/>
            <w:hideMark/>
          </w:tcPr>
          <w:p w14:paraId="526D13EB" w14:textId="77777777" w:rsidR="009A2875" w:rsidRDefault="009A2875">
            <w:pPr>
              <w:jc w:val="center"/>
              <w:rPr>
                <w:b/>
                <w:bCs/>
                <w:sz w:val="20"/>
                <w:szCs w:val="20"/>
              </w:rPr>
            </w:pPr>
            <w:r>
              <w:rPr>
                <w:b/>
                <w:bCs/>
                <w:sz w:val="20"/>
                <w:szCs w:val="20"/>
              </w:rPr>
              <w:t>2022.</w:t>
            </w:r>
          </w:p>
        </w:tc>
        <w:tc>
          <w:tcPr>
            <w:tcW w:w="981" w:type="dxa"/>
            <w:tcBorders>
              <w:top w:val="nil"/>
              <w:left w:val="nil"/>
              <w:bottom w:val="single" w:sz="4" w:space="0" w:color="auto"/>
              <w:right w:val="nil"/>
            </w:tcBorders>
            <w:shd w:val="clear" w:color="auto" w:fill="auto"/>
            <w:noWrap/>
            <w:vAlign w:val="bottom"/>
            <w:hideMark/>
          </w:tcPr>
          <w:p w14:paraId="3DA20F97" w14:textId="77777777" w:rsidR="009A2875" w:rsidRDefault="009A2875">
            <w:pPr>
              <w:jc w:val="center"/>
              <w:rPr>
                <w:b/>
                <w:bCs/>
                <w:sz w:val="20"/>
                <w:szCs w:val="20"/>
              </w:rPr>
            </w:pPr>
            <w:r>
              <w:rPr>
                <w:b/>
                <w:bCs/>
                <w:sz w:val="20"/>
                <w:szCs w:val="20"/>
              </w:rPr>
              <w:t>3/2*100</w:t>
            </w:r>
          </w:p>
        </w:tc>
      </w:tr>
      <w:tr w:rsidR="009A2875" w14:paraId="47A855B6" w14:textId="77777777" w:rsidTr="009A2875">
        <w:trPr>
          <w:trHeight w:val="300"/>
        </w:trPr>
        <w:tc>
          <w:tcPr>
            <w:tcW w:w="9025" w:type="dxa"/>
            <w:gridSpan w:val="2"/>
            <w:tcBorders>
              <w:top w:val="single" w:sz="4" w:space="0" w:color="auto"/>
              <w:left w:val="nil"/>
              <w:bottom w:val="single" w:sz="4" w:space="0" w:color="auto"/>
              <w:right w:val="nil"/>
            </w:tcBorders>
            <w:shd w:val="clear" w:color="auto" w:fill="auto"/>
            <w:noWrap/>
            <w:vAlign w:val="bottom"/>
            <w:hideMark/>
          </w:tcPr>
          <w:p w14:paraId="725B5B28" w14:textId="77777777" w:rsidR="009A2875" w:rsidRDefault="009A2875">
            <w:pPr>
              <w:jc w:val="center"/>
              <w:rPr>
                <w:b/>
                <w:bCs/>
                <w:sz w:val="20"/>
                <w:szCs w:val="20"/>
              </w:rPr>
            </w:pPr>
            <w:r>
              <w:rPr>
                <w:b/>
                <w:bCs/>
                <w:sz w:val="20"/>
                <w:szCs w:val="20"/>
              </w:rPr>
              <w:t>1</w:t>
            </w:r>
          </w:p>
        </w:tc>
        <w:tc>
          <w:tcPr>
            <w:tcW w:w="1465" w:type="dxa"/>
            <w:tcBorders>
              <w:top w:val="nil"/>
              <w:left w:val="nil"/>
              <w:bottom w:val="single" w:sz="4" w:space="0" w:color="auto"/>
              <w:right w:val="nil"/>
            </w:tcBorders>
            <w:shd w:val="clear" w:color="auto" w:fill="auto"/>
            <w:noWrap/>
            <w:vAlign w:val="bottom"/>
            <w:hideMark/>
          </w:tcPr>
          <w:p w14:paraId="35C503EB" w14:textId="77777777" w:rsidR="009A2875" w:rsidRDefault="009A2875">
            <w:pPr>
              <w:jc w:val="center"/>
              <w:rPr>
                <w:b/>
                <w:bCs/>
                <w:sz w:val="20"/>
                <w:szCs w:val="20"/>
              </w:rPr>
            </w:pPr>
            <w:r>
              <w:rPr>
                <w:b/>
                <w:bCs/>
                <w:sz w:val="20"/>
                <w:szCs w:val="20"/>
              </w:rPr>
              <w:t>3</w:t>
            </w:r>
          </w:p>
        </w:tc>
        <w:tc>
          <w:tcPr>
            <w:tcW w:w="1416" w:type="dxa"/>
            <w:tcBorders>
              <w:top w:val="nil"/>
              <w:left w:val="nil"/>
              <w:bottom w:val="single" w:sz="4" w:space="0" w:color="auto"/>
              <w:right w:val="nil"/>
            </w:tcBorders>
            <w:shd w:val="clear" w:color="auto" w:fill="auto"/>
            <w:noWrap/>
            <w:vAlign w:val="bottom"/>
            <w:hideMark/>
          </w:tcPr>
          <w:p w14:paraId="623427E9" w14:textId="77777777" w:rsidR="009A2875" w:rsidRDefault="009A2875">
            <w:pPr>
              <w:jc w:val="center"/>
              <w:rPr>
                <w:b/>
                <w:bCs/>
                <w:sz w:val="20"/>
                <w:szCs w:val="20"/>
              </w:rPr>
            </w:pPr>
            <w:r>
              <w:rPr>
                <w:b/>
                <w:bCs/>
                <w:sz w:val="20"/>
                <w:szCs w:val="20"/>
              </w:rPr>
              <w:t>3</w:t>
            </w:r>
          </w:p>
        </w:tc>
        <w:tc>
          <w:tcPr>
            <w:tcW w:w="981" w:type="dxa"/>
            <w:tcBorders>
              <w:top w:val="nil"/>
              <w:left w:val="nil"/>
              <w:bottom w:val="single" w:sz="4" w:space="0" w:color="auto"/>
              <w:right w:val="nil"/>
            </w:tcBorders>
            <w:shd w:val="clear" w:color="auto" w:fill="auto"/>
            <w:noWrap/>
            <w:vAlign w:val="bottom"/>
            <w:hideMark/>
          </w:tcPr>
          <w:p w14:paraId="05EBF1CF" w14:textId="77777777" w:rsidR="009A2875" w:rsidRDefault="009A2875">
            <w:pPr>
              <w:jc w:val="center"/>
              <w:rPr>
                <w:b/>
                <w:bCs/>
                <w:sz w:val="20"/>
                <w:szCs w:val="20"/>
              </w:rPr>
            </w:pPr>
            <w:r>
              <w:rPr>
                <w:b/>
                <w:bCs/>
                <w:sz w:val="20"/>
                <w:szCs w:val="20"/>
              </w:rPr>
              <w:t>4</w:t>
            </w:r>
          </w:p>
        </w:tc>
      </w:tr>
      <w:tr w:rsidR="009A2875" w14:paraId="561AE710" w14:textId="77777777" w:rsidTr="009A2875">
        <w:trPr>
          <w:trHeight w:val="300"/>
        </w:trPr>
        <w:tc>
          <w:tcPr>
            <w:tcW w:w="714" w:type="dxa"/>
            <w:tcBorders>
              <w:top w:val="nil"/>
              <w:left w:val="nil"/>
              <w:bottom w:val="single" w:sz="4" w:space="0" w:color="auto"/>
              <w:right w:val="nil"/>
            </w:tcBorders>
            <w:shd w:val="clear" w:color="auto" w:fill="auto"/>
            <w:noWrap/>
            <w:vAlign w:val="bottom"/>
            <w:hideMark/>
          </w:tcPr>
          <w:p w14:paraId="1FECF3D9" w14:textId="77777777" w:rsidR="009A2875" w:rsidRDefault="009A2875">
            <w:pPr>
              <w:jc w:val="right"/>
              <w:rPr>
                <w:b/>
                <w:bCs/>
                <w:sz w:val="20"/>
                <w:szCs w:val="20"/>
              </w:rPr>
            </w:pPr>
            <w:r>
              <w:rPr>
                <w:b/>
                <w:bCs/>
                <w:sz w:val="20"/>
                <w:szCs w:val="20"/>
              </w:rPr>
              <w:t>8</w:t>
            </w:r>
          </w:p>
        </w:tc>
        <w:tc>
          <w:tcPr>
            <w:tcW w:w="8311" w:type="dxa"/>
            <w:tcBorders>
              <w:top w:val="nil"/>
              <w:left w:val="nil"/>
              <w:bottom w:val="single" w:sz="4" w:space="0" w:color="auto"/>
              <w:right w:val="nil"/>
            </w:tcBorders>
            <w:shd w:val="clear" w:color="auto" w:fill="auto"/>
            <w:noWrap/>
            <w:vAlign w:val="bottom"/>
            <w:hideMark/>
          </w:tcPr>
          <w:p w14:paraId="60537F4E" w14:textId="77777777" w:rsidR="009A2875" w:rsidRDefault="009A2875">
            <w:pPr>
              <w:rPr>
                <w:b/>
                <w:bCs/>
                <w:sz w:val="20"/>
                <w:szCs w:val="20"/>
              </w:rPr>
            </w:pPr>
            <w:r>
              <w:rPr>
                <w:b/>
                <w:bCs/>
                <w:sz w:val="20"/>
                <w:szCs w:val="20"/>
              </w:rPr>
              <w:t xml:space="preserve">Primici od financijske imovine i zaduživanja                                                        </w:t>
            </w:r>
          </w:p>
        </w:tc>
        <w:tc>
          <w:tcPr>
            <w:tcW w:w="1465" w:type="dxa"/>
            <w:tcBorders>
              <w:top w:val="nil"/>
              <w:left w:val="nil"/>
              <w:bottom w:val="single" w:sz="4" w:space="0" w:color="auto"/>
              <w:right w:val="nil"/>
            </w:tcBorders>
            <w:shd w:val="clear" w:color="auto" w:fill="auto"/>
            <w:noWrap/>
            <w:vAlign w:val="bottom"/>
            <w:hideMark/>
          </w:tcPr>
          <w:p w14:paraId="7E47CB5E" w14:textId="77777777" w:rsidR="009A2875" w:rsidRDefault="009A2875">
            <w:pPr>
              <w:jc w:val="right"/>
              <w:rPr>
                <w:b/>
                <w:bCs/>
                <w:sz w:val="20"/>
                <w:szCs w:val="20"/>
              </w:rPr>
            </w:pPr>
            <w:r>
              <w:rPr>
                <w:b/>
                <w:bCs/>
                <w:sz w:val="20"/>
                <w:szCs w:val="20"/>
              </w:rPr>
              <w:t>2.514.605,44</w:t>
            </w:r>
          </w:p>
        </w:tc>
        <w:tc>
          <w:tcPr>
            <w:tcW w:w="1416" w:type="dxa"/>
            <w:tcBorders>
              <w:top w:val="nil"/>
              <w:left w:val="nil"/>
              <w:bottom w:val="single" w:sz="4" w:space="0" w:color="auto"/>
              <w:right w:val="nil"/>
            </w:tcBorders>
            <w:shd w:val="clear" w:color="auto" w:fill="auto"/>
            <w:noWrap/>
            <w:vAlign w:val="bottom"/>
            <w:hideMark/>
          </w:tcPr>
          <w:p w14:paraId="2351D4E7" w14:textId="77777777" w:rsidR="009A2875" w:rsidRDefault="009A2875">
            <w:pPr>
              <w:jc w:val="right"/>
              <w:rPr>
                <w:b/>
                <w:bCs/>
                <w:sz w:val="20"/>
                <w:szCs w:val="20"/>
              </w:rPr>
            </w:pPr>
            <w:r>
              <w:rPr>
                <w:b/>
                <w:bCs/>
                <w:sz w:val="20"/>
                <w:szCs w:val="20"/>
              </w:rPr>
              <w:t>0,00</w:t>
            </w:r>
          </w:p>
        </w:tc>
        <w:tc>
          <w:tcPr>
            <w:tcW w:w="981" w:type="dxa"/>
            <w:tcBorders>
              <w:top w:val="nil"/>
              <w:left w:val="nil"/>
              <w:bottom w:val="single" w:sz="4" w:space="0" w:color="auto"/>
              <w:right w:val="nil"/>
            </w:tcBorders>
            <w:shd w:val="clear" w:color="auto" w:fill="auto"/>
            <w:noWrap/>
            <w:vAlign w:val="bottom"/>
            <w:hideMark/>
          </w:tcPr>
          <w:p w14:paraId="15617039" w14:textId="77777777" w:rsidR="009A2875" w:rsidRDefault="009A2875">
            <w:pPr>
              <w:jc w:val="right"/>
              <w:rPr>
                <w:b/>
                <w:bCs/>
                <w:sz w:val="20"/>
                <w:szCs w:val="20"/>
              </w:rPr>
            </w:pPr>
            <w:r>
              <w:rPr>
                <w:b/>
                <w:bCs/>
                <w:sz w:val="20"/>
                <w:szCs w:val="20"/>
              </w:rPr>
              <w:t>0,00</w:t>
            </w:r>
          </w:p>
        </w:tc>
      </w:tr>
      <w:tr w:rsidR="009A2875" w14:paraId="7BB22C29" w14:textId="77777777" w:rsidTr="009A2875">
        <w:trPr>
          <w:trHeight w:val="300"/>
        </w:trPr>
        <w:tc>
          <w:tcPr>
            <w:tcW w:w="714" w:type="dxa"/>
            <w:tcBorders>
              <w:top w:val="nil"/>
              <w:left w:val="nil"/>
              <w:bottom w:val="nil"/>
              <w:right w:val="nil"/>
            </w:tcBorders>
            <w:shd w:val="clear" w:color="auto" w:fill="auto"/>
            <w:noWrap/>
            <w:vAlign w:val="bottom"/>
            <w:hideMark/>
          </w:tcPr>
          <w:p w14:paraId="611F3F08" w14:textId="77777777" w:rsidR="009A2875" w:rsidRDefault="009A2875">
            <w:pPr>
              <w:jc w:val="right"/>
              <w:rPr>
                <w:b/>
                <w:bCs/>
                <w:sz w:val="20"/>
                <w:szCs w:val="20"/>
              </w:rPr>
            </w:pPr>
            <w:r>
              <w:rPr>
                <w:b/>
                <w:bCs/>
                <w:sz w:val="20"/>
                <w:szCs w:val="20"/>
              </w:rPr>
              <w:t>83</w:t>
            </w:r>
          </w:p>
        </w:tc>
        <w:tc>
          <w:tcPr>
            <w:tcW w:w="8311" w:type="dxa"/>
            <w:tcBorders>
              <w:top w:val="nil"/>
              <w:left w:val="nil"/>
              <w:bottom w:val="nil"/>
              <w:right w:val="nil"/>
            </w:tcBorders>
            <w:shd w:val="clear" w:color="auto" w:fill="auto"/>
            <w:noWrap/>
            <w:vAlign w:val="bottom"/>
            <w:hideMark/>
          </w:tcPr>
          <w:p w14:paraId="06C1F72B" w14:textId="77777777" w:rsidR="009A2875" w:rsidRDefault="009A2875">
            <w:pPr>
              <w:rPr>
                <w:b/>
                <w:bCs/>
                <w:sz w:val="20"/>
                <w:szCs w:val="20"/>
              </w:rPr>
            </w:pPr>
            <w:r>
              <w:rPr>
                <w:b/>
                <w:bCs/>
                <w:sz w:val="20"/>
                <w:szCs w:val="20"/>
              </w:rPr>
              <w:t xml:space="preserve">Primici od prodaje dionica i udjela u glavnici                                                      </w:t>
            </w:r>
          </w:p>
        </w:tc>
        <w:tc>
          <w:tcPr>
            <w:tcW w:w="1465" w:type="dxa"/>
            <w:tcBorders>
              <w:top w:val="nil"/>
              <w:left w:val="nil"/>
              <w:bottom w:val="nil"/>
              <w:right w:val="nil"/>
            </w:tcBorders>
            <w:shd w:val="clear" w:color="auto" w:fill="auto"/>
            <w:noWrap/>
            <w:vAlign w:val="bottom"/>
            <w:hideMark/>
          </w:tcPr>
          <w:p w14:paraId="5A33D741" w14:textId="77777777" w:rsidR="009A2875" w:rsidRDefault="009A2875">
            <w:pPr>
              <w:jc w:val="right"/>
              <w:rPr>
                <w:b/>
                <w:bCs/>
                <w:sz w:val="20"/>
                <w:szCs w:val="20"/>
              </w:rPr>
            </w:pPr>
            <w:r>
              <w:rPr>
                <w:b/>
                <w:bCs/>
                <w:sz w:val="20"/>
                <w:szCs w:val="20"/>
              </w:rPr>
              <w:t>20.000,00</w:t>
            </w:r>
          </w:p>
        </w:tc>
        <w:tc>
          <w:tcPr>
            <w:tcW w:w="1416" w:type="dxa"/>
            <w:tcBorders>
              <w:top w:val="nil"/>
              <w:left w:val="nil"/>
              <w:bottom w:val="nil"/>
              <w:right w:val="nil"/>
            </w:tcBorders>
            <w:shd w:val="clear" w:color="auto" w:fill="auto"/>
            <w:noWrap/>
            <w:vAlign w:val="bottom"/>
            <w:hideMark/>
          </w:tcPr>
          <w:p w14:paraId="11D5C004" w14:textId="77777777" w:rsidR="009A2875" w:rsidRDefault="009A2875">
            <w:pPr>
              <w:jc w:val="right"/>
              <w:rPr>
                <w:b/>
                <w:bCs/>
                <w:sz w:val="20"/>
                <w:szCs w:val="20"/>
              </w:rPr>
            </w:pPr>
            <w:r>
              <w:rPr>
                <w:b/>
                <w:bCs/>
                <w:sz w:val="20"/>
                <w:szCs w:val="20"/>
              </w:rPr>
              <w:t>0,00</w:t>
            </w:r>
          </w:p>
        </w:tc>
        <w:tc>
          <w:tcPr>
            <w:tcW w:w="981" w:type="dxa"/>
            <w:tcBorders>
              <w:top w:val="nil"/>
              <w:left w:val="nil"/>
              <w:bottom w:val="nil"/>
              <w:right w:val="nil"/>
            </w:tcBorders>
            <w:shd w:val="clear" w:color="auto" w:fill="auto"/>
            <w:noWrap/>
            <w:vAlign w:val="bottom"/>
            <w:hideMark/>
          </w:tcPr>
          <w:p w14:paraId="50342667" w14:textId="77777777" w:rsidR="009A2875" w:rsidRDefault="009A2875">
            <w:pPr>
              <w:jc w:val="right"/>
              <w:rPr>
                <w:b/>
                <w:bCs/>
                <w:sz w:val="20"/>
                <w:szCs w:val="20"/>
              </w:rPr>
            </w:pPr>
            <w:r>
              <w:rPr>
                <w:b/>
                <w:bCs/>
                <w:sz w:val="20"/>
                <w:szCs w:val="20"/>
              </w:rPr>
              <w:t>0,00</w:t>
            </w:r>
          </w:p>
        </w:tc>
      </w:tr>
      <w:tr w:rsidR="009A2875" w14:paraId="4DF1805B" w14:textId="77777777" w:rsidTr="009A2875">
        <w:trPr>
          <w:trHeight w:val="300"/>
        </w:trPr>
        <w:tc>
          <w:tcPr>
            <w:tcW w:w="714" w:type="dxa"/>
            <w:tcBorders>
              <w:top w:val="nil"/>
              <w:left w:val="nil"/>
              <w:bottom w:val="nil"/>
              <w:right w:val="nil"/>
            </w:tcBorders>
            <w:shd w:val="clear" w:color="auto" w:fill="auto"/>
            <w:noWrap/>
            <w:vAlign w:val="bottom"/>
            <w:hideMark/>
          </w:tcPr>
          <w:p w14:paraId="7D550C90" w14:textId="77777777" w:rsidR="009A2875" w:rsidRDefault="009A2875">
            <w:pPr>
              <w:jc w:val="right"/>
              <w:rPr>
                <w:b/>
                <w:bCs/>
                <w:sz w:val="20"/>
                <w:szCs w:val="20"/>
              </w:rPr>
            </w:pPr>
            <w:r>
              <w:rPr>
                <w:b/>
                <w:bCs/>
                <w:sz w:val="20"/>
                <w:szCs w:val="20"/>
              </w:rPr>
              <w:t>832</w:t>
            </w:r>
          </w:p>
        </w:tc>
        <w:tc>
          <w:tcPr>
            <w:tcW w:w="8311" w:type="dxa"/>
            <w:tcBorders>
              <w:top w:val="nil"/>
              <w:left w:val="nil"/>
              <w:bottom w:val="nil"/>
              <w:right w:val="nil"/>
            </w:tcBorders>
            <w:shd w:val="clear" w:color="auto" w:fill="auto"/>
            <w:noWrap/>
            <w:vAlign w:val="bottom"/>
            <w:hideMark/>
          </w:tcPr>
          <w:p w14:paraId="42CFF144" w14:textId="77777777" w:rsidR="009A2875" w:rsidRDefault="009A2875">
            <w:pPr>
              <w:rPr>
                <w:b/>
                <w:bCs/>
                <w:sz w:val="20"/>
                <w:szCs w:val="20"/>
              </w:rPr>
            </w:pPr>
            <w:r>
              <w:rPr>
                <w:b/>
                <w:bCs/>
                <w:sz w:val="20"/>
                <w:szCs w:val="20"/>
              </w:rPr>
              <w:t xml:space="preserve">Primici od prodaje dionica i udjela u glavnici trgovačkih društava u javnom sektoru                 </w:t>
            </w:r>
          </w:p>
        </w:tc>
        <w:tc>
          <w:tcPr>
            <w:tcW w:w="1465" w:type="dxa"/>
            <w:tcBorders>
              <w:top w:val="nil"/>
              <w:left w:val="nil"/>
              <w:bottom w:val="nil"/>
              <w:right w:val="nil"/>
            </w:tcBorders>
            <w:shd w:val="clear" w:color="auto" w:fill="auto"/>
            <w:noWrap/>
            <w:vAlign w:val="bottom"/>
            <w:hideMark/>
          </w:tcPr>
          <w:p w14:paraId="3E678868" w14:textId="77777777" w:rsidR="009A2875" w:rsidRDefault="009A2875">
            <w:pPr>
              <w:jc w:val="right"/>
              <w:rPr>
                <w:b/>
                <w:bCs/>
                <w:sz w:val="20"/>
                <w:szCs w:val="20"/>
              </w:rPr>
            </w:pPr>
            <w:r>
              <w:rPr>
                <w:b/>
                <w:bCs/>
                <w:sz w:val="20"/>
                <w:szCs w:val="20"/>
              </w:rPr>
              <w:t>20.000,00</w:t>
            </w:r>
          </w:p>
        </w:tc>
        <w:tc>
          <w:tcPr>
            <w:tcW w:w="1416" w:type="dxa"/>
            <w:tcBorders>
              <w:top w:val="nil"/>
              <w:left w:val="nil"/>
              <w:bottom w:val="nil"/>
              <w:right w:val="nil"/>
            </w:tcBorders>
            <w:shd w:val="clear" w:color="auto" w:fill="auto"/>
            <w:noWrap/>
            <w:vAlign w:val="bottom"/>
            <w:hideMark/>
          </w:tcPr>
          <w:p w14:paraId="24E8DB4B" w14:textId="77777777" w:rsidR="009A2875" w:rsidRDefault="009A2875">
            <w:pPr>
              <w:jc w:val="right"/>
              <w:rPr>
                <w:b/>
                <w:bCs/>
                <w:sz w:val="20"/>
                <w:szCs w:val="20"/>
              </w:rPr>
            </w:pPr>
            <w:r>
              <w:rPr>
                <w:b/>
                <w:bCs/>
                <w:sz w:val="20"/>
                <w:szCs w:val="20"/>
              </w:rPr>
              <w:t>0,00</w:t>
            </w:r>
          </w:p>
        </w:tc>
        <w:tc>
          <w:tcPr>
            <w:tcW w:w="981" w:type="dxa"/>
            <w:tcBorders>
              <w:top w:val="nil"/>
              <w:left w:val="nil"/>
              <w:bottom w:val="nil"/>
              <w:right w:val="nil"/>
            </w:tcBorders>
            <w:shd w:val="clear" w:color="auto" w:fill="auto"/>
            <w:noWrap/>
            <w:vAlign w:val="bottom"/>
            <w:hideMark/>
          </w:tcPr>
          <w:p w14:paraId="14319A19" w14:textId="77777777" w:rsidR="009A2875" w:rsidRDefault="009A2875">
            <w:pPr>
              <w:jc w:val="right"/>
              <w:rPr>
                <w:b/>
                <w:bCs/>
                <w:sz w:val="20"/>
                <w:szCs w:val="20"/>
              </w:rPr>
            </w:pPr>
            <w:r>
              <w:rPr>
                <w:b/>
                <w:bCs/>
                <w:sz w:val="20"/>
                <w:szCs w:val="20"/>
              </w:rPr>
              <w:t>0,00</w:t>
            </w:r>
          </w:p>
        </w:tc>
      </w:tr>
      <w:tr w:rsidR="009A2875" w14:paraId="7B778383" w14:textId="77777777" w:rsidTr="009A2875">
        <w:trPr>
          <w:trHeight w:val="300"/>
        </w:trPr>
        <w:tc>
          <w:tcPr>
            <w:tcW w:w="714" w:type="dxa"/>
            <w:tcBorders>
              <w:top w:val="nil"/>
              <w:left w:val="nil"/>
              <w:bottom w:val="nil"/>
              <w:right w:val="nil"/>
            </w:tcBorders>
            <w:shd w:val="clear" w:color="auto" w:fill="auto"/>
            <w:noWrap/>
            <w:vAlign w:val="bottom"/>
            <w:hideMark/>
          </w:tcPr>
          <w:p w14:paraId="44D603A4" w14:textId="77777777" w:rsidR="009A2875" w:rsidRDefault="009A2875">
            <w:pPr>
              <w:jc w:val="right"/>
              <w:rPr>
                <w:sz w:val="20"/>
                <w:szCs w:val="20"/>
              </w:rPr>
            </w:pPr>
            <w:r>
              <w:rPr>
                <w:sz w:val="20"/>
                <w:szCs w:val="20"/>
              </w:rPr>
              <w:t>8321</w:t>
            </w:r>
          </w:p>
        </w:tc>
        <w:tc>
          <w:tcPr>
            <w:tcW w:w="8311" w:type="dxa"/>
            <w:tcBorders>
              <w:top w:val="nil"/>
              <w:left w:val="nil"/>
              <w:bottom w:val="nil"/>
              <w:right w:val="nil"/>
            </w:tcBorders>
            <w:shd w:val="clear" w:color="auto" w:fill="auto"/>
            <w:noWrap/>
            <w:vAlign w:val="bottom"/>
            <w:hideMark/>
          </w:tcPr>
          <w:p w14:paraId="61568996" w14:textId="77777777" w:rsidR="009A2875" w:rsidRDefault="009A2875">
            <w:pPr>
              <w:rPr>
                <w:sz w:val="20"/>
                <w:szCs w:val="20"/>
              </w:rPr>
            </w:pPr>
            <w:r>
              <w:rPr>
                <w:sz w:val="20"/>
                <w:szCs w:val="20"/>
              </w:rPr>
              <w:t xml:space="preserve">Dionice i udjeli u glavnici trgovačkih društava u javnom sektoru                                    </w:t>
            </w:r>
          </w:p>
        </w:tc>
        <w:tc>
          <w:tcPr>
            <w:tcW w:w="1465" w:type="dxa"/>
            <w:tcBorders>
              <w:top w:val="nil"/>
              <w:left w:val="nil"/>
              <w:bottom w:val="nil"/>
              <w:right w:val="nil"/>
            </w:tcBorders>
            <w:shd w:val="clear" w:color="auto" w:fill="auto"/>
            <w:noWrap/>
            <w:vAlign w:val="bottom"/>
            <w:hideMark/>
          </w:tcPr>
          <w:p w14:paraId="4FE9259E" w14:textId="77777777" w:rsidR="009A2875" w:rsidRDefault="009A2875">
            <w:pPr>
              <w:jc w:val="right"/>
              <w:rPr>
                <w:sz w:val="20"/>
                <w:szCs w:val="20"/>
              </w:rPr>
            </w:pPr>
            <w:r>
              <w:rPr>
                <w:sz w:val="20"/>
                <w:szCs w:val="20"/>
              </w:rPr>
              <w:t>20.000,00</w:t>
            </w:r>
          </w:p>
        </w:tc>
        <w:tc>
          <w:tcPr>
            <w:tcW w:w="1416" w:type="dxa"/>
            <w:tcBorders>
              <w:top w:val="nil"/>
              <w:left w:val="nil"/>
              <w:bottom w:val="nil"/>
              <w:right w:val="nil"/>
            </w:tcBorders>
            <w:shd w:val="clear" w:color="auto" w:fill="auto"/>
            <w:noWrap/>
            <w:vAlign w:val="bottom"/>
            <w:hideMark/>
          </w:tcPr>
          <w:p w14:paraId="3E550E57" w14:textId="77777777" w:rsidR="009A2875" w:rsidRDefault="009A2875">
            <w:pPr>
              <w:jc w:val="right"/>
              <w:rPr>
                <w:sz w:val="20"/>
                <w:szCs w:val="20"/>
              </w:rPr>
            </w:pPr>
            <w:r>
              <w:rPr>
                <w:sz w:val="20"/>
                <w:szCs w:val="20"/>
              </w:rPr>
              <w:t>0,00</w:t>
            </w:r>
          </w:p>
        </w:tc>
        <w:tc>
          <w:tcPr>
            <w:tcW w:w="981" w:type="dxa"/>
            <w:tcBorders>
              <w:top w:val="nil"/>
              <w:left w:val="nil"/>
              <w:bottom w:val="nil"/>
              <w:right w:val="nil"/>
            </w:tcBorders>
            <w:shd w:val="clear" w:color="auto" w:fill="auto"/>
            <w:noWrap/>
            <w:vAlign w:val="bottom"/>
            <w:hideMark/>
          </w:tcPr>
          <w:p w14:paraId="601407AE" w14:textId="77777777" w:rsidR="009A2875" w:rsidRDefault="009A2875">
            <w:pPr>
              <w:jc w:val="right"/>
              <w:rPr>
                <w:sz w:val="20"/>
                <w:szCs w:val="20"/>
              </w:rPr>
            </w:pPr>
            <w:r>
              <w:rPr>
                <w:sz w:val="20"/>
                <w:szCs w:val="20"/>
              </w:rPr>
              <w:t>0,00</w:t>
            </w:r>
          </w:p>
        </w:tc>
      </w:tr>
      <w:tr w:rsidR="009A2875" w14:paraId="1CD10085" w14:textId="77777777" w:rsidTr="009A2875">
        <w:trPr>
          <w:trHeight w:val="300"/>
        </w:trPr>
        <w:tc>
          <w:tcPr>
            <w:tcW w:w="714" w:type="dxa"/>
            <w:tcBorders>
              <w:top w:val="nil"/>
              <w:left w:val="nil"/>
              <w:bottom w:val="nil"/>
              <w:right w:val="nil"/>
            </w:tcBorders>
            <w:shd w:val="clear" w:color="auto" w:fill="auto"/>
            <w:noWrap/>
            <w:vAlign w:val="bottom"/>
            <w:hideMark/>
          </w:tcPr>
          <w:p w14:paraId="32FD289C" w14:textId="77777777" w:rsidR="009A2875" w:rsidRDefault="009A2875">
            <w:pPr>
              <w:rPr>
                <w:sz w:val="20"/>
                <w:szCs w:val="20"/>
              </w:rPr>
            </w:pPr>
            <w:r>
              <w:rPr>
                <w:sz w:val="20"/>
                <w:szCs w:val="20"/>
              </w:rPr>
              <w:t>83212</w:t>
            </w:r>
          </w:p>
        </w:tc>
        <w:tc>
          <w:tcPr>
            <w:tcW w:w="8311" w:type="dxa"/>
            <w:tcBorders>
              <w:top w:val="nil"/>
              <w:left w:val="nil"/>
              <w:bottom w:val="nil"/>
              <w:right w:val="nil"/>
            </w:tcBorders>
            <w:shd w:val="clear" w:color="auto" w:fill="auto"/>
            <w:vAlign w:val="bottom"/>
            <w:hideMark/>
          </w:tcPr>
          <w:p w14:paraId="350BB16E" w14:textId="77777777" w:rsidR="009A2875" w:rsidRDefault="009A2875">
            <w:pPr>
              <w:rPr>
                <w:sz w:val="20"/>
                <w:szCs w:val="20"/>
              </w:rPr>
            </w:pPr>
            <w:r>
              <w:rPr>
                <w:sz w:val="20"/>
                <w:szCs w:val="20"/>
              </w:rPr>
              <w:t xml:space="preserve">Dionice i udjeli u glavnici trgovačkih društava u javnom sektoru                                    </w:t>
            </w:r>
          </w:p>
        </w:tc>
        <w:tc>
          <w:tcPr>
            <w:tcW w:w="1465" w:type="dxa"/>
            <w:tcBorders>
              <w:top w:val="nil"/>
              <w:left w:val="nil"/>
              <w:bottom w:val="nil"/>
              <w:right w:val="nil"/>
            </w:tcBorders>
            <w:shd w:val="clear" w:color="auto" w:fill="auto"/>
            <w:noWrap/>
            <w:vAlign w:val="bottom"/>
            <w:hideMark/>
          </w:tcPr>
          <w:p w14:paraId="1CA28AC0" w14:textId="77777777" w:rsidR="009A2875" w:rsidRDefault="009A2875">
            <w:pPr>
              <w:jc w:val="right"/>
              <w:rPr>
                <w:sz w:val="20"/>
                <w:szCs w:val="20"/>
              </w:rPr>
            </w:pPr>
            <w:r>
              <w:rPr>
                <w:sz w:val="20"/>
                <w:szCs w:val="20"/>
              </w:rPr>
              <w:t>20.000,00</w:t>
            </w:r>
          </w:p>
        </w:tc>
        <w:tc>
          <w:tcPr>
            <w:tcW w:w="1416" w:type="dxa"/>
            <w:tcBorders>
              <w:top w:val="nil"/>
              <w:left w:val="nil"/>
              <w:bottom w:val="nil"/>
              <w:right w:val="nil"/>
            </w:tcBorders>
            <w:shd w:val="clear" w:color="auto" w:fill="auto"/>
            <w:noWrap/>
            <w:vAlign w:val="bottom"/>
            <w:hideMark/>
          </w:tcPr>
          <w:p w14:paraId="22B1ADA9" w14:textId="77777777" w:rsidR="009A2875" w:rsidRDefault="009A2875">
            <w:pPr>
              <w:jc w:val="right"/>
              <w:rPr>
                <w:sz w:val="20"/>
                <w:szCs w:val="20"/>
              </w:rPr>
            </w:pPr>
            <w:r>
              <w:rPr>
                <w:sz w:val="20"/>
                <w:szCs w:val="20"/>
              </w:rPr>
              <w:t>0,00</w:t>
            </w:r>
          </w:p>
        </w:tc>
        <w:tc>
          <w:tcPr>
            <w:tcW w:w="981" w:type="dxa"/>
            <w:tcBorders>
              <w:top w:val="nil"/>
              <w:left w:val="nil"/>
              <w:bottom w:val="nil"/>
              <w:right w:val="nil"/>
            </w:tcBorders>
            <w:shd w:val="clear" w:color="auto" w:fill="auto"/>
            <w:noWrap/>
            <w:vAlign w:val="bottom"/>
            <w:hideMark/>
          </w:tcPr>
          <w:p w14:paraId="155FF1EE" w14:textId="77777777" w:rsidR="009A2875" w:rsidRDefault="009A2875">
            <w:pPr>
              <w:jc w:val="right"/>
              <w:rPr>
                <w:sz w:val="20"/>
                <w:szCs w:val="20"/>
              </w:rPr>
            </w:pPr>
          </w:p>
        </w:tc>
      </w:tr>
      <w:tr w:rsidR="009A2875" w14:paraId="0125262C" w14:textId="77777777" w:rsidTr="009A2875">
        <w:trPr>
          <w:trHeight w:val="525"/>
        </w:trPr>
        <w:tc>
          <w:tcPr>
            <w:tcW w:w="714" w:type="dxa"/>
            <w:tcBorders>
              <w:top w:val="nil"/>
              <w:left w:val="nil"/>
              <w:bottom w:val="nil"/>
              <w:right w:val="nil"/>
            </w:tcBorders>
            <w:shd w:val="clear" w:color="auto" w:fill="auto"/>
            <w:noWrap/>
            <w:vAlign w:val="bottom"/>
            <w:hideMark/>
          </w:tcPr>
          <w:p w14:paraId="190DA59E" w14:textId="77777777" w:rsidR="009A2875" w:rsidRDefault="009A2875">
            <w:pPr>
              <w:rPr>
                <w:sz w:val="20"/>
                <w:szCs w:val="20"/>
              </w:rPr>
            </w:pPr>
          </w:p>
        </w:tc>
        <w:tc>
          <w:tcPr>
            <w:tcW w:w="8311" w:type="dxa"/>
            <w:tcBorders>
              <w:top w:val="nil"/>
              <w:left w:val="nil"/>
              <w:bottom w:val="nil"/>
              <w:right w:val="nil"/>
            </w:tcBorders>
            <w:shd w:val="clear" w:color="auto" w:fill="auto"/>
            <w:vAlign w:val="bottom"/>
            <w:hideMark/>
          </w:tcPr>
          <w:p w14:paraId="3B9753D3" w14:textId="77777777" w:rsidR="009A2875" w:rsidRDefault="009A2875">
            <w:pPr>
              <w:rPr>
                <w:i/>
                <w:iCs/>
                <w:sz w:val="20"/>
                <w:szCs w:val="20"/>
              </w:rPr>
            </w:pPr>
            <w:r>
              <w:rPr>
                <w:i/>
                <w:iCs/>
                <w:sz w:val="20"/>
                <w:szCs w:val="20"/>
              </w:rPr>
              <w:t xml:space="preserve">Business </w:t>
            </w:r>
            <w:proofErr w:type="spellStart"/>
            <w:r>
              <w:rPr>
                <w:i/>
                <w:iCs/>
                <w:sz w:val="20"/>
                <w:szCs w:val="20"/>
              </w:rPr>
              <w:t>Education</w:t>
            </w:r>
            <w:proofErr w:type="spellEnd"/>
            <w:r>
              <w:rPr>
                <w:i/>
                <w:iCs/>
                <w:sz w:val="20"/>
                <w:szCs w:val="20"/>
              </w:rPr>
              <w:t xml:space="preserve"> Centre d.o.o. - povrat osnivačkog uloga radi brisanja subjekta iz Sudskog registra (rješenje Tt-20/12897-54 od 31.05.2021.)</w:t>
            </w:r>
          </w:p>
        </w:tc>
        <w:tc>
          <w:tcPr>
            <w:tcW w:w="1465" w:type="dxa"/>
            <w:tcBorders>
              <w:top w:val="nil"/>
              <w:left w:val="nil"/>
              <w:bottom w:val="nil"/>
              <w:right w:val="nil"/>
            </w:tcBorders>
            <w:shd w:val="clear" w:color="auto" w:fill="auto"/>
            <w:noWrap/>
            <w:vAlign w:val="bottom"/>
            <w:hideMark/>
          </w:tcPr>
          <w:p w14:paraId="37778CAF" w14:textId="77777777" w:rsidR="009A2875" w:rsidRDefault="009A2875">
            <w:pPr>
              <w:jc w:val="right"/>
              <w:rPr>
                <w:i/>
                <w:iCs/>
                <w:sz w:val="20"/>
                <w:szCs w:val="20"/>
              </w:rPr>
            </w:pPr>
            <w:r>
              <w:rPr>
                <w:i/>
                <w:iCs/>
                <w:sz w:val="20"/>
                <w:szCs w:val="20"/>
              </w:rPr>
              <w:t>20.000,00</w:t>
            </w:r>
          </w:p>
        </w:tc>
        <w:tc>
          <w:tcPr>
            <w:tcW w:w="1416" w:type="dxa"/>
            <w:tcBorders>
              <w:top w:val="nil"/>
              <w:left w:val="nil"/>
              <w:bottom w:val="nil"/>
              <w:right w:val="nil"/>
            </w:tcBorders>
            <w:shd w:val="clear" w:color="auto" w:fill="auto"/>
            <w:noWrap/>
            <w:vAlign w:val="bottom"/>
            <w:hideMark/>
          </w:tcPr>
          <w:p w14:paraId="005CF6E9" w14:textId="77777777" w:rsidR="009A2875" w:rsidRDefault="009A2875">
            <w:pPr>
              <w:jc w:val="right"/>
              <w:rPr>
                <w:i/>
                <w:iCs/>
                <w:sz w:val="20"/>
                <w:szCs w:val="20"/>
              </w:rPr>
            </w:pPr>
          </w:p>
        </w:tc>
        <w:tc>
          <w:tcPr>
            <w:tcW w:w="981" w:type="dxa"/>
            <w:tcBorders>
              <w:top w:val="nil"/>
              <w:left w:val="nil"/>
              <w:bottom w:val="nil"/>
              <w:right w:val="nil"/>
            </w:tcBorders>
            <w:shd w:val="clear" w:color="auto" w:fill="auto"/>
            <w:noWrap/>
            <w:vAlign w:val="bottom"/>
            <w:hideMark/>
          </w:tcPr>
          <w:p w14:paraId="0978FA40" w14:textId="77777777" w:rsidR="009A2875" w:rsidRDefault="009A2875">
            <w:pPr>
              <w:rPr>
                <w:sz w:val="20"/>
                <w:szCs w:val="20"/>
              </w:rPr>
            </w:pPr>
          </w:p>
        </w:tc>
      </w:tr>
      <w:tr w:rsidR="009A2875" w14:paraId="02993DCD" w14:textId="77777777" w:rsidTr="009A2875">
        <w:trPr>
          <w:trHeight w:val="300"/>
        </w:trPr>
        <w:tc>
          <w:tcPr>
            <w:tcW w:w="714" w:type="dxa"/>
            <w:tcBorders>
              <w:top w:val="nil"/>
              <w:left w:val="nil"/>
              <w:bottom w:val="nil"/>
              <w:right w:val="nil"/>
            </w:tcBorders>
            <w:shd w:val="clear" w:color="auto" w:fill="auto"/>
            <w:noWrap/>
            <w:vAlign w:val="bottom"/>
            <w:hideMark/>
          </w:tcPr>
          <w:p w14:paraId="09361B54" w14:textId="77777777" w:rsidR="009A2875" w:rsidRDefault="009A2875">
            <w:pPr>
              <w:jc w:val="right"/>
              <w:rPr>
                <w:b/>
                <w:bCs/>
                <w:sz w:val="20"/>
                <w:szCs w:val="20"/>
              </w:rPr>
            </w:pPr>
            <w:r>
              <w:rPr>
                <w:b/>
                <w:bCs/>
                <w:sz w:val="20"/>
                <w:szCs w:val="20"/>
              </w:rPr>
              <w:t>84</w:t>
            </w:r>
          </w:p>
        </w:tc>
        <w:tc>
          <w:tcPr>
            <w:tcW w:w="8311" w:type="dxa"/>
            <w:tcBorders>
              <w:top w:val="nil"/>
              <w:left w:val="nil"/>
              <w:bottom w:val="nil"/>
              <w:right w:val="nil"/>
            </w:tcBorders>
            <w:shd w:val="clear" w:color="auto" w:fill="auto"/>
            <w:noWrap/>
            <w:vAlign w:val="bottom"/>
            <w:hideMark/>
          </w:tcPr>
          <w:p w14:paraId="7BC31652" w14:textId="77777777" w:rsidR="009A2875" w:rsidRDefault="009A2875">
            <w:pPr>
              <w:rPr>
                <w:b/>
                <w:bCs/>
                <w:sz w:val="20"/>
                <w:szCs w:val="20"/>
              </w:rPr>
            </w:pPr>
            <w:r>
              <w:rPr>
                <w:b/>
                <w:bCs/>
                <w:sz w:val="20"/>
                <w:szCs w:val="20"/>
              </w:rPr>
              <w:t xml:space="preserve">Primici od zaduživanja                                                                              </w:t>
            </w:r>
          </w:p>
        </w:tc>
        <w:tc>
          <w:tcPr>
            <w:tcW w:w="1465" w:type="dxa"/>
            <w:tcBorders>
              <w:top w:val="nil"/>
              <w:left w:val="nil"/>
              <w:bottom w:val="nil"/>
              <w:right w:val="nil"/>
            </w:tcBorders>
            <w:shd w:val="clear" w:color="auto" w:fill="auto"/>
            <w:noWrap/>
            <w:vAlign w:val="bottom"/>
            <w:hideMark/>
          </w:tcPr>
          <w:p w14:paraId="063C3E0F" w14:textId="77777777" w:rsidR="009A2875" w:rsidRDefault="009A2875">
            <w:pPr>
              <w:jc w:val="right"/>
              <w:rPr>
                <w:b/>
                <w:bCs/>
                <w:sz w:val="20"/>
                <w:szCs w:val="20"/>
              </w:rPr>
            </w:pPr>
            <w:r>
              <w:rPr>
                <w:b/>
                <w:bCs/>
                <w:sz w:val="20"/>
                <w:szCs w:val="20"/>
              </w:rPr>
              <w:t>2.494.605,44</w:t>
            </w:r>
          </w:p>
        </w:tc>
        <w:tc>
          <w:tcPr>
            <w:tcW w:w="1416" w:type="dxa"/>
            <w:tcBorders>
              <w:top w:val="nil"/>
              <w:left w:val="nil"/>
              <w:bottom w:val="nil"/>
              <w:right w:val="nil"/>
            </w:tcBorders>
            <w:shd w:val="clear" w:color="auto" w:fill="auto"/>
            <w:noWrap/>
            <w:vAlign w:val="bottom"/>
            <w:hideMark/>
          </w:tcPr>
          <w:p w14:paraId="5025722E" w14:textId="77777777" w:rsidR="009A2875" w:rsidRDefault="009A2875">
            <w:pPr>
              <w:jc w:val="right"/>
              <w:rPr>
                <w:b/>
                <w:bCs/>
                <w:sz w:val="20"/>
                <w:szCs w:val="20"/>
              </w:rPr>
            </w:pPr>
            <w:r>
              <w:rPr>
                <w:b/>
                <w:bCs/>
                <w:sz w:val="20"/>
                <w:szCs w:val="20"/>
              </w:rPr>
              <w:t>0,00</w:t>
            </w:r>
          </w:p>
        </w:tc>
        <w:tc>
          <w:tcPr>
            <w:tcW w:w="981" w:type="dxa"/>
            <w:tcBorders>
              <w:top w:val="nil"/>
              <w:left w:val="nil"/>
              <w:bottom w:val="nil"/>
              <w:right w:val="nil"/>
            </w:tcBorders>
            <w:shd w:val="clear" w:color="auto" w:fill="auto"/>
            <w:noWrap/>
            <w:vAlign w:val="bottom"/>
            <w:hideMark/>
          </w:tcPr>
          <w:p w14:paraId="479A3969" w14:textId="77777777" w:rsidR="009A2875" w:rsidRDefault="009A2875">
            <w:pPr>
              <w:jc w:val="right"/>
              <w:rPr>
                <w:b/>
                <w:bCs/>
                <w:sz w:val="20"/>
                <w:szCs w:val="20"/>
              </w:rPr>
            </w:pPr>
            <w:r>
              <w:rPr>
                <w:b/>
                <w:bCs/>
                <w:sz w:val="20"/>
                <w:szCs w:val="20"/>
              </w:rPr>
              <w:t>0,00</w:t>
            </w:r>
          </w:p>
        </w:tc>
      </w:tr>
      <w:tr w:rsidR="009A2875" w14:paraId="14E9EDAA" w14:textId="77777777" w:rsidTr="009A2875">
        <w:trPr>
          <w:trHeight w:val="300"/>
        </w:trPr>
        <w:tc>
          <w:tcPr>
            <w:tcW w:w="714" w:type="dxa"/>
            <w:tcBorders>
              <w:top w:val="nil"/>
              <w:left w:val="nil"/>
              <w:bottom w:val="nil"/>
              <w:right w:val="nil"/>
            </w:tcBorders>
            <w:shd w:val="clear" w:color="auto" w:fill="auto"/>
            <w:noWrap/>
            <w:vAlign w:val="bottom"/>
            <w:hideMark/>
          </w:tcPr>
          <w:p w14:paraId="4BE48DFB" w14:textId="77777777" w:rsidR="009A2875" w:rsidRDefault="009A2875">
            <w:pPr>
              <w:jc w:val="right"/>
              <w:rPr>
                <w:b/>
                <w:bCs/>
                <w:sz w:val="20"/>
                <w:szCs w:val="20"/>
              </w:rPr>
            </w:pPr>
            <w:r>
              <w:rPr>
                <w:b/>
                <w:bCs/>
                <w:sz w:val="20"/>
                <w:szCs w:val="20"/>
              </w:rPr>
              <w:t>842</w:t>
            </w:r>
          </w:p>
        </w:tc>
        <w:tc>
          <w:tcPr>
            <w:tcW w:w="8311" w:type="dxa"/>
            <w:tcBorders>
              <w:top w:val="nil"/>
              <w:left w:val="nil"/>
              <w:bottom w:val="nil"/>
              <w:right w:val="nil"/>
            </w:tcBorders>
            <w:shd w:val="clear" w:color="auto" w:fill="auto"/>
            <w:noWrap/>
            <w:vAlign w:val="bottom"/>
            <w:hideMark/>
          </w:tcPr>
          <w:p w14:paraId="1A27ABFB" w14:textId="77777777" w:rsidR="009A2875" w:rsidRDefault="009A2875">
            <w:pPr>
              <w:rPr>
                <w:b/>
                <w:bCs/>
                <w:sz w:val="20"/>
                <w:szCs w:val="20"/>
              </w:rPr>
            </w:pPr>
            <w:r>
              <w:rPr>
                <w:b/>
                <w:bCs/>
                <w:sz w:val="20"/>
                <w:szCs w:val="20"/>
              </w:rPr>
              <w:t xml:space="preserve">Primljeni krediti i zajmovi od kreditnih i ostalih financijskih institucija u javnom sektoru        </w:t>
            </w:r>
          </w:p>
        </w:tc>
        <w:tc>
          <w:tcPr>
            <w:tcW w:w="1465" w:type="dxa"/>
            <w:tcBorders>
              <w:top w:val="nil"/>
              <w:left w:val="nil"/>
              <w:bottom w:val="nil"/>
              <w:right w:val="nil"/>
            </w:tcBorders>
            <w:shd w:val="clear" w:color="auto" w:fill="auto"/>
            <w:noWrap/>
            <w:vAlign w:val="bottom"/>
            <w:hideMark/>
          </w:tcPr>
          <w:p w14:paraId="7EFD85D6" w14:textId="77777777" w:rsidR="009A2875" w:rsidRDefault="009A2875">
            <w:pPr>
              <w:jc w:val="right"/>
              <w:rPr>
                <w:b/>
                <w:bCs/>
                <w:sz w:val="20"/>
                <w:szCs w:val="20"/>
              </w:rPr>
            </w:pPr>
            <w:r>
              <w:rPr>
                <w:b/>
                <w:bCs/>
                <w:sz w:val="20"/>
                <w:szCs w:val="20"/>
              </w:rPr>
              <w:t>1.654.489,44</w:t>
            </w:r>
          </w:p>
        </w:tc>
        <w:tc>
          <w:tcPr>
            <w:tcW w:w="1416" w:type="dxa"/>
            <w:tcBorders>
              <w:top w:val="nil"/>
              <w:left w:val="nil"/>
              <w:bottom w:val="nil"/>
              <w:right w:val="nil"/>
            </w:tcBorders>
            <w:shd w:val="clear" w:color="auto" w:fill="auto"/>
            <w:noWrap/>
            <w:vAlign w:val="bottom"/>
            <w:hideMark/>
          </w:tcPr>
          <w:p w14:paraId="5F0451C9" w14:textId="77777777" w:rsidR="009A2875" w:rsidRDefault="009A2875">
            <w:pPr>
              <w:jc w:val="right"/>
              <w:rPr>
                <w:b/>
                <w:bCs/>
                <w:sz w:val="20"/>
                <w:szCs w:val="20"/>
              </w:rPr>
            </w:pPr>
            <w:r>
              <w:rPr>
                <w:b/>
                <w:bCs/>
                <w:sz w:val="20"/>
                <w:szCs w:val="20"/>
              </w:rPr>
              <w:t>0,00</w:t>
            </w:r>
          </w:p>
        </w:tc>
        <w:tc>
          <w:tcPr>
            <w:tcW w:w="981" w:type="dxa"/>
            <w:tcBorders>
              <w:top w:val="nil"/>
              <w:left w:val="nil"/>
              <w:bottom w:val="nil"/>
              <w:right w:val="nil"/>
            </w:tcBorders>
            <w:shd w:val="clear" w:color="auto" w:fill="auto"/>
            <w:noWrap/>
            <w:vAlign w:val="bottom"/>
            <w:hideMark/>
          </w:tcPr>
          <w:p w14:paraId="43C26D5A" w14:textId="77777777" w:rsidR="009A2875" w:rsidRDefault="009A2875">
            <w:pPr>
              <w:jc w:val="right"/>
              <w:rPr>
                <w:b/>
                <w:bCs/>
                <w:sz w:val="20"/>
                <w:szCs w:val="20"/>
              </w:rPr>
            </w:pPr>
            <w:r>
              <w:rPr>
                <w:b/>
                <w:bCs/>
                <w:sz w:val="20"/>
                <w:szCs w:val="20"/>
              </w:rPr>
              <w:t>0,00</w:t>
            </w:r>
          </w:p>
        </w:tc>
      </w:tr>
      <w:tr w:rsidR="009A2875" w14:paraId="6270F8C3" w14:textId="77777777" w:rsidTr="009A2875">
        <w:trPr>
          <w:trHeight w:val="300"/>
        </w:trPr>
        <w:tc>
          <w:tcPr>
            <w:tcW w:w="714" w:type="dxa"/>
            <w:tcBorders>
              <w:top w:val="nil"/>
              <w:left w:val="nil"/>
              <w:bottom w:val="nil"/>
              <w:right w:val="nil"/>
            </w:tcBorders>
            <w:shd w:val="clear" w:color="auto" w:fill="auto"/>
            <w:noWrap/>
            <w:vAlign w:val="bottom"/>
            <w:hideMark/>
          </w:tcPr>
          <w:p w14:paraId="6D4F4FAC" w14:textId="77777777" w:rsidR="009A2875" w:rsidRDefault="009A2875">
            <w:pPr>
              <w:jc w:val="right"/>
              <w:rPr>
                <w:sz w:val="20"/>
                <w:szCs w:val="20"/>
              </w:rPr>
            </w:pPr>
            <w:r>
              <w:rPr>
                <w:sz w:val="20"/>
                <w:szCs w:val="20"/>
              </w:rPr>
              <w:t>8422</w:t>
            </w:r>
          </w:p>
        </w:tc>
        <w:tc>
          <w:tcPr>
            <w:tcW w:w="8311" w:type="dxa"/>
            <w:tcBorders>
              <w:top w:val="nil"/>
              <w:left w:val="nil"/>
              <w:bottom w:val="nil"/>
              <w:right w:val="nil"/>
            </w:tcBorders>
            <w:shd w:val="clear" w:color="auto" w:fill="auto"/>
            <w:noWrap/>
            <w:vAlign w:val="bottom"/>
            <w:hideMark/>
          </w:tcPr>
          <w:p w14:paraId="16B06D2D" w14:textId="77777777" w:rsidR="009A2875" w:rsidRDefault="009A2875">
            <w:pPr>
              <w:rPr>
                <w:sz w:val="20"/>
                <w:szCs w:val="20"/>
              </w:rPr>
            </w:pPr>
            <w:r>
              <w:rPr>
                <w:sz w:val="20"/>
                <w:szCs w:val="20"/>
              </w:rPr>
              <w:t xml:space="preserve">Primljeni krediti od kreditnih institucija u javnom sektoru                                         </w:t>
            </w:r>
          </w:p>
        </w:tc>
        <w:tc>
          <w:tcPr>
            <w:tcW w:w="1465" w:type="dxa"/>
            <w:tcBorders>
              <w:top w:val="nil"/>
              <w:left w:val="nil"/>
              <w:bottom w:val="nil"/>
              <w:right w:val="nil"/>
            </w:tcBorders>
            <w:shd w:val="clear" w:color="auto" w:fill="auto"/>
            <w:noWrap/>
            <w:vAlign w:val="bottom"/>
            <w:hideMark/>
          </w:tcPr>
          <w:p w14:paraId="09591C36" w14:textId="77777777" w:rsidR="009A2875" w:rsidRDefault="009A2875">
            <w:pPr>
              <w:jc w:val="right"/>
              <w:rPr>
                <w:sz w:val="20"/>
                <w:szCs w:val="20"/>
              </w:rPr>
            </w:pPr>
            <w:r>
              <w:rPr>
                <w:sz w:val="20"/>
                <w:szCs w:val="20"/>
              </w:rPr>
              <w:t>1.654.489,44</w:t>
            </w:r>
          </w:p>
        </w:tc>
        <w:tc>
          <w:tcPr>
            <w:tcW w:w="1416" w:type="dxa"/>
            <w:tcBorders>
              <w:top w:val="nil"/>
              <w:left w:val="nil"/>
              <w:bottom w:val="nil"/>
              <w:right w:val="nil"/>
            </w:tcBorders>
            <w:shd w:val="clear" w:color="auto" w:fill="auto"/>
            <w:noWrap/>
            <w:vAlign w:val="bottom"/>
            <w:hideMark/>
          </w:tcPr>
          <w:p w14:paraId="3A9BF452" w14:textId="77777777" w:rsidR="009A2875" w:rsidRDefault="009A2875">
            <w:pPr>
              <w:jc w:val="right"/>
              <w:rPr>
                <w:sz w:val="20"/>
                <w:szCs w:val="20"/>
              </w:rPr>
            </w:pPr>
            <w:r>
              <w:rPr>
                <w:sz w:val="20"/>
                <w:szCs w:val="20"/>
              </w:rPr>
              <w:t>0,00</w:t>
            </w:r>
          </w:p>
        </w:tc>
        <w:tc>
          <w:tcPr>
            <w:tcW w:w="981" w:type="dxa"/>
            <w:tcBorders>
              <w:top w:val="nil"/>
              <w:left w:val="nil"/>
              <w:bottom w:val="nil"/>
              <w:right w:val="nil"/>
            </w:tcBorders>
            <w:shd w:val="clear" w:color="auto" w:fill="auto"/>
            <w:noWrap/>
            <w:vAlign w:val="bottom"/>
            <w:hideMark/>
          </w:tcPr>
          <w:p w14:paraId="0BF8CA2E" w14:textId="77777777" w:rsidR="009A2875" w:rsidRDefault="009A2875">
            <w:pPr>
              <w:jc w:val="right"/>
              <w:rPr>
                <w:sz w:val="20"/>
                <w:szCs w:val="20"/>
              </w:rPr>
            </w:pPr>
            <w:r>
              <w:rPr>
                <w:sz w:val="20"/>
                <w:szCs w:val="20"/>
              </w:rPr>
              <w:t>0,00</w:t>
            </w:r>
          </w:p>
        </w:tc>
      </w:tr>
      <w:tr w:rsidR="009A2875" w14:paraId="1ACE9DE4" w14:textId="77777777" w:rsidTr="009A2875">
        <w:trPr>
          <w:trHeight w:val="300"/>
        </w:trPr>
        <w:tc>
          <w:tcPr>
            <w:tcW w:w="714" w:type="dxa"/>
            <w:tcBorders>
              <w:top w:val="nil"/>
              <w:left w:val="nil"/>
              <w:bottom w:val="nil"/>
              <w:right w:val="nil"/>
            </w:tcBorders>
            <w:shd w:val="clear" w:color="auto" w:fill="auto"/>
            <w:noWrap/>
            <w:vAlign w:val="bottom"/>
            <w:hideMark/>
          </w:tcPr>
          <w:p w14:paraId="23043792" w14:textId="77777777" w:rsidR="009A2875" w:rsidRDefault="009A2875">
            <w:pPr>
              <w:rPr>
                <w:sz w:val="20"/>
                <w:szCs w:val="20"/>
              </w:rPr>
            </w:pPr>
            <w:r>
              <w:rPr>
                <w:sz w:val="20"/>
                <w:szCs w:val="20"/>
              </w:rPr>
              <w:t>84222</w:t>
            </w:r>
          </w:p>
        </w:tc>
        <w:tc>
          <w:tcPr>
            <w:tcW w:w="8311" w:type="dxa"/>
            <w:tcBorders>
              <w:top w:val="nil"/>
              <w:left w:val="nil"/>
              <w:bottom w:val="nil"/>
              <w:right w:val="nil"/>
            </w:tcBorders>
            <w:shd w:val="clear" w:color="auto" w:fill="auto"/>
            <w:vAlign w:val="bottom"/>
            <w:hideMark/>
          </w:tcPr>
          <w:p w14:paraId="73D490A3" w14:textId="77777777" w:rsidR="009A2875" w:rsidRDefault="009A2875">
            <w:pPr>
              <w:rPr>
                <w:sz w:val="20"/>
                <w:szCs w:val="20"/>
              </w:rPr>
            </w:pPr>
            <w:r>
              <w:rPr>
                <w:sz w:val="20"/>
                <w:szCs w:val="20"/>
              </w:rPr>
              <w:t xml:space="preserve">Primljeni krediti od kreditnih institucija u javnom sektoru - dugoročni                                         </w:t>
            </w:r>
          </w:p>
        </w:tc>
        <w:tc>
          <w:tcPr>
            <w:tcW w:w="1465" w:type="dxa"/>
            <w:tcBorders>
              <w:top w:val="nil"/>
              <w:left w:val="nil"/>
              <w:bottom w:val="nil"/>
              <w:right w:val="nil"/>
            </w:tcBorders>
            <w:shd w:val="clear" w:color="auto" w:fill="auto"/>
            <w:noWrap/>
            <w:vAlign w:val="bottom"/>
            <w:hideMark/>
          </w:tcPr>
          <w:p w14:paraId="3CBDAAB0" w14:textId="77777777" w:rsidR="009A2875" w:rsidRDefault="009A2875">
            <w:pPr>
              <w:jc w:val="right"/>
              <w:rPr>
                <w:sz w:val="20"/>
                <w:szCs w:val="20"/>
              </w:rPr>
            </w:pPr>
            <w:r>
              <w:rPr>
                <w:sz w:val="20"/>
                <w:szCs w:val="20"/>
              </w:rPr>
              <w:t>1.654.489,44</w:t>
            </w:r>
          </w:p>
        </w:tc>
        <w:tc>
          <w:tcPr>
            <w:tcW w:w="1416" w:type="dxa"/>
            <w:tcBorders>
              <w:top w:val="nil"/>
              <w:left w:val="nil"/>
              <w:bottom w:val="nil"/>
              <w:right w:val="nil"/>
            </w:tcBorders>
            <w:shd w:val="clear" w:color="auto" w:fill="auto"/>
            <w:noWrap/>
            <w:vAlign w:val="bottom"/>
            <w:hideMark/>
          </w:tcPr>
          <w:p w14:paraId="5349E3F3" w14:textId="77777777" w:rsidR="009A2875" w:rsidRDefault="009A2875">
            <w:pPr>
              <w:jc w:val="right"/>
              <w:rPr>
                <w:sz w:val="20"/>
                <w:szCs w:val="20"/>
              </w:rPr>
            </w:pPr>
            <w:r>
              <w:rPr>
                <w:sz w:val="20"/>
                <w:szCs w:val="20"/>
              </w:rPr>
              <w:t>0,00</w:t>
            </w:r>
          </w:p>
        </w:tc>
        <w:tc>
          <w:tcPr>
            <w:tcW w:w="981" w:type="dxa"/>
            <w:tcBorders>
              <w:top w:val="nil"/>
              <w:left w:val="nil"/>
              <w:bottom w:val="nil"/>
              <w:right w:val="nil"/>
            </w:tcBorders>
            <w:shd w:val="clear" w:color="auto" w:fill="auto"/>
            <w:noWrap/>
            <w:vAlign w:val="bottom"/>
            <w:hideMark/>
          </w:tcPr>
          <w:p w14:paraId="54BABC17" w14:textId="77777777" w:rsidR="009A2875" w:rsidRDefault="009A2875">
            <w:pPr>
              <w:jc w:val="right"/>
              <w:rPr>
                <w:sz w:val="20"/>
                <w:szCs w:val="20"/>
              </w:rPr>
            </w:pPr>
          </w:p>
        </w:tc>
      </w:tr>
      <w:tr w:rsidR="009A2875" w14:paraId="19CB90DF" w14:textId="77777777" w:rsidTr="009A2875">
        <w:trPr>
          <w:trHeight w:val="780"/>
        </w:trPr>
        <w:tc>
          <w:tcPr>
            <w:tcW w:w="714" w:type="dxa"/>
            <w:tcBorders>
              <w:top w:val="nil"/>
              <w:left w:val="nil"/>
              <w:bottom w:val="nil"/>
              <w:right w:val="nil"/>
            </w:tcBorders>
            <w:shd w:val="clear" w:color="auto" w:fill="auto"/>
            <w:noWrap/>
            <w:vAlign w:val="bottom"/>
            <w:hideMark/>
          </w:tcPr>
          <w:p w14:paraId="038BFE03" w14:textId="77777777" w:rsidR="009A2875" w:rsidRDefault="009A2875">
            <w:pPr>
              <w:rPr>
                <w:sz w:val="20"/>
                <w:szCs w:val="20"/>
              </w:rPr>
            </w:pPr>
          </w:p>
        </w:tc>
        <w:tc>
          <w:tcPr>
            <w:tcW w:w="8311" w:type="dxa"/>
            <w:tcBorders>
              <w:top w:val="nil"/>
              <w:left w:val="nil"/>
              <w:bottom w:val="nil"/>
              <w:right w:val="nil"/>
            </w:tcBorders>
            <w:shd w:val="clear" w:color="auto" w:fill="auto"/>
            <w:vAlign w:val="bottom"/>
            <w:hideMark/>
          </w:tcPr>
          <w:p w14:paraId="2C9C65D3" w14:textId="77777777" w:rsidR="009A2875" w:rsidRDefault="009A2875">
            <w:pPr>
              <w:rPr>
                <w:i/>
                <w:iCs/>
                <w:sz w:val="20"/>
                <w:szCs w:val="20"/>
              </w:rPr>
            </w:pPr>
            <w:r>
              <w:rPr>
                <w:i/>
                <w:iCs/>
                <w:sz w:val="20"/>
                <w:szCs w:val="20"/>
              </w:rPr>
              <w:t xml:space="preserve">Hrvatska banka za obnovu i razvitak - ugovor sklopljen 30.12.2020. na iznos od 1.654.489,44 kn, rok vraćanja 7 godina uz poček od 6 mjeseci, kamatna stopa 0,50%, namjena: energetska obnova javne rasvjete - zamjena LED rasvjetom </w:t>
            </w:r>
          </w:p>
        </w:tc>
        <w:tc>
          <w:tcPr>
            <w:tcW w:w="1465" w:type="dxa"/>
            <w:tcBorders>
              <w:top w:val="nil"/>
              <w:left w:val="nil"/>
              <w:bottom w:val="nil"/>
              <w:right w:val="nil"/>
            </w:tcBorders>
            <w:shd w:val="clear" w:color="auto" w:fill="auto"/>
            <w:noWrap/>
            <w:vAlign w:val="bottom"/>
            <w:hideMark/>
          </w:tcPr>
          <w:p w14:paraId="06FB13FE" w14:textId="77777777" w:rsidR="009A2875" w:rsidRDefault="009A2875">
            <w:pPr>
              <w:jc w:val="right"/>
              <w:rPr>
                <w:i/>
                <w:iCs/>
                <w:sz w:val="20"/>
                <w:szCs w:val="20"/>
              </w:rPr>
            </w:pPr>
            <w:r>
              <w:rPr>
                <w:i/>
                <w:iCs/>
                <w:sz w:val="20"/>
                <w:szCs w:val="20"/>
              </w:rPr>
              <w:t>1.654.489,44</w:t>
            </w:r>
          </w:p>
        </w:tc>
        <w:tc>
          <w:tcPr>
            <w:tcW w:w="1416" w:type="dxa"/>
            <w:tcBorders>
              <w:top w:val="nil"/>
              <w:left w:val="nil"/>
              <w:bottom w:val="nil"/>
              <w:right w:val="nil"/>
            </w:tcBorders>
            <w:shd w:val="clear" w:color="auto" w:fill="auto"/>
            <w:noWrap/>
            <w:vAlign w:val="bottom"/>
            <w:hideMark/>
          </w:tcPr>
          <w:p w14:paraId="693A9D8F" w14:textId="77777777" w:rsidR="009A2875" w:rsidRDefault="009A2875">
            <w:pPr>
              <w:jc w:val="right"/>
              <w:rPr>
                <w:i/>
                <w:iCs/>
                <w:sz w:val="20"/>
                <w:szCs w:val="20"/>
              </w:rPr>
            </w:pPr>
          </w:p>
        </w:tc>
        <w:tc>
          <w:tcPr>
            <w:tcW w:w="981" w:type="dxa"/>
            <w:tcBorders>
              <w:top w:val="nil"/>
              <w:left w:val="nil"/>
              <w:bottom w:val="nil"/>
              <w:right w:val="nil"/>
            </w:tcBorders>
            <w:shd w:val="clear" w:color="auto" w:fill="auto"/>
            <w:noWrap/>
            <w:vAlign w:val="bottom"/>
            <w:hideMark/>
          </w:tcPr>
          <w:p w14:paraId="08BB7030" w14:textId="77777777" w:rsidR="009A2875" w:rsidRDefault="009A2875">
            <w:pPr>
              <w:rPr>
                <w:sz w:val="20"/>
                <w:szCs w:val="20"/>
              </w:rPr>
            </w:pPr>
          </w:p>
        </w:tc>
      </w:tr>
      <w:tr w:rsidR="009A2875" w14:paraId="78E42AC1" w14:textId="77777777" w:rsidTr="009A2875">
        <w:trPr>
          <w:trHeight w:val="300"/>
        </w:trPr>
        <w:tc>
          <w:tcPr>
            <w:tcW w:w="714" w:type="dxa"/>
            <w:tcBorders>
              <w:top w:val="nil"/>
              <w:left w:val="nil"/>
              <w:bottom w:val="nil"/>
              <w:right w:val="nil"/>
            </w:tcBorders>
            <w:shd w:val="clear" w:color="auto" w:fill="auto"/>
            <w:noWrap/>
            <w:vAlign w:val="bottom"/>
            <w:hideMark/>
          </w:tcPr>
          <w:p w14:paraId="31816DAA" w14:textId="77777777" w:rsidR="009A2875" w:rsidRDefault="009A2875">
            <w:pPr>
              <w:jc w:val="right"/>
              <w:rPr>
                <w:b/>
                <w:bCs/>
                <w:sz w:val="20"/>
                <w:szCs w:val="20"/>
              </w:rPr>
            </w:pPr>
            <w:r>
              <w:rPr>
                <w:b/>
                <w:bCs/>
                <w:sz w:val="20"/>
                <w:szCs w:val="20"/>
              </w:rPr>
              <w:t>844</w:t>
            </w:r>
          </w:p>
        </w:tc>
        <w:tc>
          <w:tcPr>
            <w:tcW w:w="8311" w:type="dxa"/>
            <w:tcBorders>
              <w:top w:val="nil"/>
              <w:left w:val="nil"/>
              <w:bottom w:val="nil"/>
              <w:right w:val="nil"/>
            </w:tcBorders>
            <w:shd w:val="clear" w:color="auto" w:fill="auto"/>
            <w:noWrap/>
            <w:vAlign w:val="bottom"/>
            <w:hideMark/>
          </w:tcPr>
          <w:p w14:paraId="4D58E481" w14:textId="77777777" w:rsidR="009A2875" w:rsidRDefault="009A2875">
            <w:pPr>
              <w:rPr>
                <w:b/>
                <w:bCs/>
                <w:sz w:val="20"/>
                <w:szCs w:val="20"/>
              </w:rPr>
            </w:pPr>
            <w:r>
              <w:rPr>
                <w:b/>
                <w:bCs/>
                <w:sz w:val="20"/>
                <w:szCs w:val="20"/>
              </w:rPr>
              <w:t xml:space="preserve">Primljeni krediti i zajmovi od kreditnih i ostalih financijskih institucija izvan javnog sektora    </w:t>
            </w:r>
          </w:p>
        </w:tc>
        <w:tc>
          <w:tcPr>
            <w:tcW w:w="1465" w:type="dxa"/>
            <w:tcBorders>
              <w:top w:val="nil"/>
              <w:left w:val="nil"/>
              <w:bottom w:val="nil"/>
              <w:right w:val="nil"/>
            </w:tcBorders>
            <w:shd w:val="clear" w:color="auto" w:fill="auto"/>
            <w:noWrap/>
            <w:vAlign w:val="bottom"/>
            <w:hideMark/>
          </w:tcPr>
          <w:p w14:paraId="66430938" w14:textId="77777777" w:rsidR="009A2875" w:rsidRDefault="009A2875">
            <w:pPr>
              <w:jc w:val="right"/>
              <w:rPr>
                <w:b/>
                <w:bCs/>
                <w:sz w:val="20"/>
                <w:szCs w:val="20"/>
              </w:rPr>
            </w:pPr>
            <w:r>
              <w:rPr>
                <w:b/>
                <w:bCs/>
                <w:sz w:val="20"/>
                <w:szCs w:val="20"/>
              </w:rPr>
              <w:t>840.116,00</w:t>
            </w:r>
          </w:p>
        </w:tc>
        <w:tc>
          <w:tcPr>
            <w:tcW w:w="1416" w:type="dxa"/>
            <w:tcBorders>
              <w:top w:val="nil"/>
              <w:left w:val="nil"/>
              <w:bottom w:val="nil"/>
              <w:right w:val="nil"/>
            </w:tcBorders>
            <w:shd w:val="clear" w:color="auto" w:fill="auto"/>
            <w:noWrap/>
            <w:vAlign w:val="bottom"/>
            <w:hideMark/>
          </w:tcPr>
          <w:p w14:paraId="34C599D0" w14:textId="77777777" w:rsidR="009A2875" w:rsidRDefault="009A2875">
            <w:pPr>
              <w:jc w:val="right"/>
              <w:rPr>
                <w:b/>
                <w:bCs/>
                <w:sz w:val="20"/>
                <w:szCs w:val="20"/>
              </w:rPr>
            </w:pPr>
            <w:r>
              <w:rPr>
                <w:b/>
                <w:bCs/>
                <w:sz w:val="20"/>
                <w:szCs w:val="20"/>
              </w:rPr>
              <w:t>0,00</w:t>
            </w:r>
          </w:p>
        </w:tc>
        <w:tc>
          <w:tcPr>
            <w:tcW w:w="981" w:type="dxa"/>
            <w:tcBorders>
              <w:top w:val="nil"/>
              <w:left w:val="nil"/>
              <w:bottom w:val="nil"/>
              <w:right w:val="nil"/>
            </w:tcBorders>
            <w:shd w:val="clear" w:color="auto" w:fill="auto"/>
            <w:noWrap/>
            <w:vAlign w:val="bottom"/>
            <w:hideMark/>
          </w:tcPr>
          <w:p w14:paraId="1BAA8CB1" w14:textId="77777777" w:rsidR="009A2875" w:rsidRDefault="009A2875">
            <w:pPr>
              <w:jc w:val="right"/>
              <w:rPr>
                <w:b/>
                <w:bCs/>
                <w:sz w:val="20"/>
                <w:szCs w:val="20"/>
              </w:rPr>
            </w:pPr>
            <w:r>
              <w:rPr>
                <w:b/>
                <w:bCs/>
                <w:sz w:val="20"/>
                <w:szCs w:val="20"/>
              </w:rPr>
              <w:t>0,00</w:t>
            </w:r>
          </w:p>
        </w:tc>
      </w:tr>
      <w:tr w:rsidR="009A2875" w14:paraId="5C21B2AA" w14:textId="77777777" w:rsidTr="009A2875">
        <w:trPr>
          <w:trHeight w:val="300"/>
        </w:trPr>
        <w:tc>
          <w:tcPr>
            <w:tcW w:w="714" w:type="dxa"/>
            <w:tcBorders>
              <w:top w:val="nil"/>
              <w:left w:val="nil"/>
              <w:bottom w:val="nil"/>
              <w:right w:val="nil"/>
            </w:tcBorders>
            <w:shd w:val="clear" w:color="auto" w:fill="auto"/>
            <w:noWrap/>
            <w:vAlign w:val="bottom"/>
            <w:hideMark/>
          </w:tcPr>
          <w:p w14:paraId="644920C0" w14:textId="77777777" w:rsidR="009A2875" w:rsidRDefault="009A2875">
            <w:pPr>
              <w:jc w:val="right"/>
              <w:rPr>
                <w:sz w:val="20"/>
                <w:szCs w:val="20"/>
              </w:rPr>
            </w:pPr>
            <w:r>
              <w:rPr>
                <w:sz w:val="20"/>
                <w:szCs w:val="20"/>
              </w:rPr>
              <w:t>8443</w:t>
            </w:r>
          </w:p>
        </w:tc>
        <w:tc>
          <w:tcPr>
            <w:tcW w:w="8311" w:type="dxa"/>
            <w:tcBorders>
              <w:top w:val="nil"/>
              <w:left w:val="nil"/>
              <w:bottom w:val="nil"/>
              <w:right w:val="nil"/>
            </w:tcBorders>
            <w:shd w:val="clear" w:color="auto" w:fill="auto"/>
            <w:noWrap/>
            <w:vAlign w:val="bottom"/>
            <w:hideMark/>
          </w:tcPr>
          <w:p w14:paraId="647A62A7" w14:textId="77777777" w:rsidR="009A2875" w:rsidRDefault="009A2875">
            <w:pPr>
              <w:rPr>
                <w:sz w:val="20"/>
                <w:szCs w:val="20"/>
              </w:rPr>
            </w:pPr>
            <w:r>
              <w:rPr>
                <w:sz w:val="20"/>
                <w:szCs w:val="20"/>
              </w:rPr>
              <w:t xml:space="preserve">Primljeni krediti od tuzemnih kreditnih institucija izvan javnog sektora                            </w:t>
            </w:r>
          </w:p>
        </w:tc>
        <w:tc>
          <w:tcPr>
            <w:tcW w:w="1465" w:type="dxa"/>
            <w:tcBorders>
              <w:top w:val="nil"/>
              <w:left w:val="nil"/>
              <w:bottom w:val="nil"/>
              <w:right w:val="nil"/>
            </w:tcBorders>
            <w:shd w:val="clear" w:color="auto" w:fill="auto"/>
            <w:noWrap/>
            <w:vAlign w:val="bottom"/>
            <w:hideMark/>
          </w:tcPr>
          <w:p w14:paraId="46279901" w14:textId="77777777" w:rsidR="009A2875" w:rsidRDefault="009A2875">
            <w:pPr>
              <w:jc w:val="right"/>
              <w:rPr>
                <w:sz w:val="20"/>
                <w:szCs w:val="20"/>
              </w:rPr>
            </w:pPr>
            <w:r>
              <w:rPr>
                <w:sz w:val="20"/>
                <w:szCs w:val="20"/>
              </w:rPr>
              <w:t>840.116,00</w:t>
            </w:r>
          </w:p>
        </w:tc>
        <w:tc>
          <w:tcPr>
            <w:tcW w:w="1416" w:type="dxa"/>
            <w:tcBorders>
              <w:top w:val="nil"/>
              <w:left w:val="nil"/>
              <w:bottom w:val="nil"/>
              <w:right w:val="nil"/>
            </w:tcBorders>
            <w:shd w:val="clear" w:color="auto" w:fill="auto"/>
            <w:noWrap/>
            <w:vAlign w:val="bottom"/>
            <w:hideMark/>
          </w:tcPr>
          <w:p w14:paraId="78258A42" w14:textId="77777777" w:rsidR="009A2875" w:rsidRDefault="009A2875">
            <w:pPr>
              <w:jc w:val="right"/>
              <w:rPr>
                <w:sz w:val="20"/>
                <w:szCs w:val="20"/>
              </w:rPr>
            </w:pPr>
            <w:r>
              <w:rPr>
                <w:sz w:val="20"/>
                <w:szCs w:val="20"/>
              </w:rPr>
              <w:t>0,00</w:t>
            </w:r>
          </w:p>
        </w:tc>
        <w:tc>
          <w:tcPr>
            <w:tcW w:w="981" w:type="dxa"/>
            <w:tcBorders>
              <w:top w:val="nil"/>
              <w:left w:val="nil"/>
              <w:bottom w:val="nil"/>
              <w:right w:val="nil"/>
            </w:tcBorders>
            <w:shd w:val="clear" w:color="auto" w:fill="auto"/>
            <w:noWrap/>
            <w:vAlign w:val="bottom"/>
            <w:hideMark/>
          </w:tcPr>
          <w:p w14:paraId="53361071" w14:textId="77777777" w:rsidR="009A2875" w:rsidRDefault="009A2875">
            <w:pPr>
              <w:jc w:val="right"/>
              <w:rPr>
                <w:sz w:val="20"/>
                <w:szCs w:val="20"/>
              </w:rPr>
            </w:pPr>
            <w:r>
              <w:rPr>
                <w:sz w:val="20"/>
                <w:szCs w:val="20"/>
              </w:rPr>
              <w:t>0,00</w:t>
            </w:r>
          </w:p>
        </w:tc>
      </w:tr>
      <w:tr w:rsidR="009A2875" w14:paraId="79AA6BA4" w14:textId="77777777" w:rsidTr="009A2875">
        <w:trPr>
          <w:trHeight w:val="330"/>
        </w:trPr>
        <w:tc>
          <w:tcPr>
            <w:tcW w:w="714" w:type="dxa"/>
            <w:tcBorders>
              <w:top w:val="nil"/>
              <w:left w:val="nil"/>
              <w:bottom w:val="nil"/>
              <w:right w:val="nil"/>
            </w:tcBorders>
            <w:shd w:val="clear" w:color="auto" w:fill="auto"/>
            <w:noWrap/>
            <w:vAlign w:val="bottom"/>
            <w:hideMark/>
          </w:tcPr>
          <w:p w14:paraId="13D00804" w14:textId="77777777" w:rsidR="009A2875" w:rsidRDefault="009A2875">
            <w:pPr>
              <w:rPr>
                <w:sz w:val="20"/>
                <w:szCs w:val="20"/>
              </w:rPr>
            </w:pPr>
            <w:r>
              <w:rPr>
                <w:sz w:val="20"/>
                <w:szCs w:val="20"/>
              </w:rPr>
              <w:t>84432</w:t>
            </w:r>
          </w:p>
        </w:tc>
        <w:tc>
          <w:tcPr>
            <w:tcW w:w="8311" w:type="dxa"/>
            <w:tcBorders>
              <w:top w:val="nil"/>
              <w:left w:val="nil"/>
              <w:bottom w:val="nil"/>
              <w:right w:val="nil"/>
            </w:tcBorders>
            <w:shd w:val="clear" w:color="auto" w:fill="auto"/>
            <w:vAlign w:val="bottom"/>
            <w:hideMark/>
          </w:tcPr>
          <w:p w14:paraId="2ED03647" w14:textId="77777777" w:rsidR="009A2875" w:rsidRDefault="009A2875">
            <w:pPr>
              <w:rPr>
                <w:sz w:val="20"/>
                <w:szCs w:val="20"/>
              </w:rPr>
            </w:pPr>
            <w:r>
              <w:rPr>
                <w:sz w:val="20"/>
                <w:szCs w:val="20"/>
              </w:rPr>
              <w:t xml:space="preserve">Primljeni krediti od tuzemnih kreditnih institucija izvan javnog sektora - dugoročni                            </w:t>
            </w:r>
          </w:p>
        </w:tc>
        <w:tc>
          <w:tcPr>
            <w:tcW w:w="1465" w:type="dxa"/>
            <w:tcBorders>
              <w:top w:val="nil"/>
              <w:left w:val="nil"/>
              <w:bottom w:val="nil"/>
              <w:right w:val="nil"/>
            </w:tcBorders>
            <w:shd w:val="clear" w:color="auto" w:fill="auto"/>
            <w:noWrap/>
            <w:vAlign w:val="bottom"/>
            <w:hideMark/>
          </w:tcPr>
          <w:p w14:paraId="04BF1DCF" w14:textId="77777777" w:rsidR="009A2875" w:rsidRDefault="009A2875">
            <w:pPr>
              <w:jc w:val="right"/>
              <w:rPr>
                <w:sz w:val="20"/>
                <w:szCs w:val="20"/>
              </w:rPr>
            </w:pPr>
            <w:r>
              <w:rPr>
                <w:sz w:val="20"/>
                <w:szCs w:val="20"/>
              </w:rPr>
              <w:t>840.116,00</w:t>
            </w:r>
          </w:p>
        </w:tc>
        <w:tc>
          <w:tcPr>
            <w:tcW w:w="1416" w:type="dxa"/>
            <w:tcBorders>
              <w:top w:val="nil"/>
              <w:left w:val="nil"/>
              <w:bottom w:val="nil"/>
              <w:right w:val="nil"/>
            </w:tcBorders>
            <w:shd w:val="clear" w:color="auto" w:fill="auto"/>
            <w:noWrap/>
            <w:vAlign w:val="bottom"/>
            <w:hideMark/>
          </w:tcPr>
          <w:p w14:paraId="32E743C6" w14:textId="77777777" w:rsidR="009A2875" w:rsidRDefault="009A2875">
            <w:pPr>
              <w:jc w:val="right"/>
              <w:rPr>
                <w:sz w:val="20"/>
                <w:szCs w:val="20"/>
              </w:rPr>
            </w:pPr>
            <w:r>
              <w:rPr>
                <w:sz w:val="20"/>
                <w:szCs w:val="20"/>
              </w:rPr>
              <w:t>0,00</w:t>
            </w:r>
          </w:p>
        </w:tc>
        <w:tc>
          <w:tcPr>
            <w:tcW w:w="981" w:type="dxa"/>
            <w:tcBorders>
              <w:top w:val="nil"/>
              <w:left w:val="nil"/>
              <w:bottom w:val="nil"/>
              <w:right w:val="nil"/>
            </w:tcBorders>
            <w:shd w:val="clear" w:color="auto" w:fill="auto"/>
            <w:noWrap/>
            <w:vAlign w:val="bottom"/>
            <w:hideMark/>
          </w:tcPr>
          <w:p w14:paraId="6D1FD7E5" w14:textId="77777777" w:rsidR="009A2875" w:rsidRDefault="009A2875">
            <w:pPr>
              <w:jc w:val="right"/>
              <w:rPr>
                <w:sz w:val="20"/>
                <w:szCs w:val="20"/>
              </w:rPr>
            </w:pPr>
          </w:p>
        </w:tc>
      </w:tr>
      <w:tr w:rsidR="009A2875" w14:paraId="523A46FD" w14:textId="77777777" w:rsidTr="009A2875">
        <w:trPr>
          <w:trHeight w:val="1290"/>
        </w:trPr>
        <w:tc>
          <w:tcPr>
            <w:tcW w:w="714" w:type="dxa"/>
            <w:tcBorders>
              <w:top w:val="nil"/>
              <w:left w:val="nil"/>
              <w:bottom w:val="nil"/>
              <w:right w:val="nil"/>
            </w:tcBorders>
            <w:shd w:val="clear" w:color="auto" w:fill="auto"/>
            <w:noWrap/>
            <w:vAlign w:val="bottom"/>
            <w:hideMark/>
          </w:tcPr>
          <w:p w14:paraId="19F071BC" w14:textId="77777777" w:rsidR="009A2875" w:rsidRDefault="009A2875">
            <w:pPr>
              <w:rPr>
                <w:sz w:val="20"/>
                <w:szCs w:val="20"/>
              </w:rPr>
            </w:pPr>
          </w:p>
        </w:tc>
        <w:tc>
          <w:tcPr>
            <w:tcW w:w="8311" w:type="dxa"/>
            <w:tcBorders>
              <w:top w:val="nil"/>
              <w:left w:val="nil"/>
              <w:bottom w:val="nil"/>
              <w:right w:val="nil"/>
            </w:tcBorders>
            <w:shd w:val="clear" w:color="auto" w:fill="auto"/>
            <w:vAlign w:val="bottom"/>
            <w:hideMark/>
          </w:tcPr>
          <w:p w14:paraId="3847F637" w14:textId="77777777" w:rsidR="009A2875" w:rsidRDefault="009A2875">
            <w:pPr>
              <w:rPr>
                <w:i/>
                <w:iCs/>
                <w:sz w:val="20"/>
                <w:szCs w:val="20"/>
              </w:rPr>
            </w:pPr>
            <w:r>
              <w:rPr>
                <w:i/>
                <w:iCs/>
                <w:sz w:val="20"/>
                <w:szCs w:val="20"/>
              </w:rPr>
              <w:t>Istarska kreditna banka Umag d.d. - ugovor sklopljen 08.01.2021. na iznos do 840.116,00 kn, rok vraćanja 7 godina i 6 mjeseci (sa uključenim počekom od 6 mjeseci), kamatna stopa 1,00% u prvih 24 mjeseci nakon prijenosa kredita u otplatu, nakon toga postotak prinosa na trezorske zapise MF RH s dospijećem 364 dana +1,30 p.p., namjena: energetska obnova javne rasvjete - zamjena LED rasvjetom</w:t>
            </w:r>
          </w:p>
        </w:tc>
        <w:tc>
          <w:tcPr>
            <w:tcW w:w="1465" w:type="dxa"/>
            <w:tcBorders>
              <w:top w:val="nil"/>
              <w:left w:val="nil"/>
              <w:bottom w:val="nil"/>
              <w:right w:val="nil"/>
            </w:tcBorders>
            <w:shd w:val="clear" w:color="auto" w:fill="auto"/>
            <w:noWrap/>
            <w:vAlign w:val="bottom"/>
            <w:hideMark/>
          </w:tcPr>
          <w:p w14:paraId="3BBD694F" w14:textId="77777777" w:rsidR="009A2875" w:rsidRDefault="009A2875">
            <w:pPr>
              <w:jc w:val="right"/>
              <w:rPr>
                <w:i/>
                <w:iCs/>
                <w:sz w:val="20"/>
                <w:szCs w:val="20"/>
              </w:rPr>
            </w:pPr>
            <w:r>
              <w:rPr>
                <w:i/>
                <w:iCs/>
                <w:sz w:val="20"/>
                <w:szCs w:val="20"/>
              </w:rPr>
              <w:t>840.116,00</w:t>
            </w:r>
          </w:p>
        </w:tc>
        <w:tc>
          <w:tcPr>
            <w:tcW w:w="1416" w:type="dxa"/>
            <w:tcBorders>
              <w:top w:val="nil"/>
              <w:left w:val="nil"/>
              <w:bottom w:val="nil"/>
              <w:right w:val="nil"/>
            </w:tcBorders>
            <w:shd w:val="clear" w:color="auto" w:fill="auto"/>
            <w:noWrap/>
            <w:vAlign w:val="bottom"/>
            <w:hideMark/>
          </w:tcPr>
          <w:p w14:paraId="6C7DC08E" w14:textId="77777777" w:rsidR="009A2875" w:rsidRDefault="009A2875">
            <w:pPr>
              <w:jc w:val="right"/>
              <w:rPr>
                <w:i/>
                <w:iCs/>
                <w:sz w:val="20"/>
                <w:szCs w:val="20"/>
              </w:rPr>
            </w:pPr>
            <w:r>
              <w:rPr>
                <w:i/>
                <w:iCs/>
                <w:sz w:val="20"/>
                <w:szCs w:val="20"/>
              </w:rPr>
              <w:t>0,00</w:t>
            </w:r>
          </w:p>
        </w:tc>
        <w:tc>
          <w:tcPr>
            <w:tcW w:w="981" w:type="dxa"/>
            <w:tcBorders>
              <w:top w:val="nil"/>
              <w:left w:val="nil"/>
              <w:bottom w:val="nil"/>
              <w:right w:val="nil"/>
            </w:tcBorders>
            <w:shd w:val="clear" w:color="auto" w:fill="auto"/>
            <w:noWrap/>
            <w:vAlign w:val="bottom"/>
            <w:hideMark/>
          </w:tcPr>
          <w:p w14:paraId="2F510504" w14:textId="77777777" w:rsidR="009A2875" w:rsidRDefault="009A2875">
            <w:pPr>
              <w:jc w:val="right"/>
              <w:rPr>
                <w:i/>
                <w:iCs/>
                <w:sz w:val="20"/>
                <w:szCs w:val="20"/>
              </w:rPr>
            </w:pPr>
          </w:p>
        </w:tc>
      </w:tr>
      <w:tr w:rsidR="009A2875" w14:paraId="18E2A922" w14:textId="77777777" w:rsidTr="009A2875">
        <w:trPr>
          <w:trHeight w:val="300"/>
        </w:trPr>
        <w:tc>
          <w:tcPr>
            <w:tcW w:w="714" w:type="dxa"/>
            <w:tcBorders>
              <w:top w:val="single" w:sz="4" w:space="0" w:color="auto"/>
              <w:left w:val="nil"/>
              <w:bottom w:val="single" w:sz="4" w:space="0" w:color="auto"/>
              <w:right w:val="nil"/>
            </w:tcBorders>
            <w:shd w:val="clear" w:color="auto" w:fill="auto"/>
            <w:noWrap/>
            <w:vAlign w:val="bottom"/>
            <w:hideMark/>
          </w:tcPr>
          <w:p w14:paraId="20C23E44" w14:textId="77777777" w:rsidR="009A2875" w:rsidRDefault="009A2875">
            <w:pPr>
              <w:jc w:val="right"/>
              <w:rPr>
                <w:b/>
                <w:bCs/>
                <w:sz w:val="20"/>
                <w:szCs w:val="20"/>
              </w:rPr>
            </w:pPr>
            <w:r>
              <w:rPr>
                <w:b/>
                <w:bCs/>
                <w:sz w:val="20"/>
                <w:szCs w:val="20"/>
              </w:rPr>
              <w:t>5</w:t>
            </w:r>
          </w:p>
        </w:tc>
        <w:tc>
          <w:tcPr>
            <w:tcW w:w="8311" w:type="dxa"/>
            <w:tcBorders>
              <w:top w:val="single" w:sz="4" w:space="0" w:color="auto"/>
              <w:left w:val="nil"/>
              <w:bottom w:val="single" w:sz="4" w:space="0" w:color="auto"/>
              <w:right w:val="nil"/>
            </w:tcBorders>
            <w:shd w:val="clear" w:color="auto" w:fill="auto"/>
            <w:noWrap/>
            <w:vAlign w:val="bottom"/>
            <w:hideMark/>
          </w:tcPr>
          <w:p w14:paraId="56DB6ED3" w14:textId="77777777" w:rsidR="009A2875" w:rsidRDefault="009A2875">
            <w:pPr>
              <w:rPr>
                <w:b/>
                <w:bCs/>
                <w:sz w:val="20"/>
                <w:szCs w:val="20"/>
              </w:rPr>
            </w:pPr>
            <w:r>
              <w:rPr>
                <w:b/>
                <w:bCs/>
                <w:sz w:val="20"/>
                <w:szCs w:val="20"/>
              </w:rPr>
              <w:t xml:space="preserve">Izdaci za financijsku imovinu i otplate zajmova                                                     </w:t>
            </w:r>
          </w:p>
        </w:tc>
        <w:tc>
          <w:tcPr>
            <w:tcW w:w="1465" w:type="dxa"/>
            <w:tcBorders>
              <w:top w:val="single" w:sz="4" w:space="0" w:color="auto"/>
              <w:left w:val="nil"/>
              <w:bottom w:val="single" w:sz="4" w:space="0" w:color="auto"/>
              <w:right w:val="nil"/>
            </w:tcBorders>
            <w:shd w:val="clear" w:color="auto" w:fill="auto"/>
            <w:noWrap/>
            <w:vAlign w:val="bottom"/>
            <w:hideMark/>
          </w:tcPr>
          <w:p w14:paraId="3B37705D" w14:textId="77777777" w:rsidR="009A2875" w:rsidRDefault="009A2875">
            <w:pPr>
              <w:jc w:val="right"/>
              <w:rPr>
                <w:b/>
                <w:bCs/>
                <w:sz w:val="20"/>
                <w:szCs w:val="20"/>
              </w:rPr>
            </w:pPr>
            <w:r>
              <w:rPr>
                <w:b/>
                <w:bCs/>
                <w:sz w:val="20"/>
                <w:szCs w:val="20"/>
              </w:rPr>
              <w:t>2.186.957,02</w:t>
            </w:r>
          </w:p>
        </w:tc>
        <w:tc>
          <w:tcPr>
            <w:tcW w:w="1416" w:type="dxa"/>
            <w:tcBorders>
              <w:top w:val="single" w:sz="4" w:space="0" w:color="auto"/>
              <w:left w:val="nil"/>
              <w:bottom w:val="single" w:sz="4" w:space="0" w:color="auto"/>
              <w:right w:val="nil"/>
            </w:tcBorders>
            <w:shd w:val="clear" w:color="auto" w:fill="auto"/>
            <w:noWrap/>
            <w:vAlign w:val="bottom"/>
            <w:hideMark/>
          </w:tcPr>
          <w:p w14:paraId="58DE8636" w14:textId="77777777" w:rsidR="009A2875" w:rsidRDefault="009A2875">
            <w:pPr>
              <w:jc w:val="right"/>
              <w:rPr>
                <w:b/>
                <w:bCs/>
                <w:sz w:val="20"/>
                <w:szCs w:val="20"/>
              </w:rPr>
            </w:pPr>
            <w:r>
              <w:rPr>
                <w:b/>
                <w:bCs/>
                <w:sz w:val="20"/>
                <w:szCs w:val="20"/>
              </w:rPr>
              <w:t>1.216.116,80</w:t>
            </w:r>
          </w:p>
        </w:tc>
        <w:tc>
          <w:tcPr>
            <w:tcW w:w="981" w:type="dxa"/>
            <w:tcBorders>
              <w:top w:val="single" w:sz="4" w:space="0" w:color="auto"/>
              <w:left w:val="nil"/>
              <w:bottom w:val="single" w:sz="4" w:space="0" w:color="auto"/>
              <w:right w:val="nil"/>
            </w:tcBorders>
            <w:shd w:val="clear" w:color="auto" w:fill="auto"/>
            <w:noWrap/>
            <w:vAlign w:val="bottom"/>
            <w:hideMark/>
          </w:tcPr>
          <w:p w14:paraId="6BCFAB11" w14:textId="77777777" w:rsidR="009A2875" w:rsidRDefault="009A2875">
            <w:pPr>
              <w:jc w:val="right"/>
              <w:rPr>
                <w:b/>
                <w:bCs/>
                <w:sz w:val="20"/>
                <w:szCs w:val="20"/>
              </w:rPr>
            </w:pPr>
            <w:r>
              <w:rPr>
                <w:b/>
                <w:bCs/>
                <w:sz w:val="20"/>
                <w:szCs w:val="20"/>
              </w:rPr>
              <w:t>55,61</w:t>
            </w:r>
          </w:p>
        </w:tc>
      </w:tr>
      <w:tr w:rsidR="009A2875" w14:paraId="769152FD" w14:textId="77777777" w:rsidTr="009A2875">
        <w:trPr>
          <w:trHeight w:val="300"/>
        </w:trPr>
        <w:tc>
          <w:tcPr>
            <w:tcW w:w="714" w:type="dxa"/>
            <w:tcBorders>
              <w:top w:val="nil"/>
              <w:left w:val="nil"/>
              <w:bottom w:val="nil"/>
              <w:right w:val="nil"/>
            </w:tcBorders>
            <w:shd w:val="clear" w:color="auto" w:fill="auto"/>
            <w:noWrap/>
            <w:vAlign w:val="bottom"/>
            <w:hideMark/>
          </w:tcPr>
          <w:p w14:paraId="4A7F3DDD" w14:textId="77777777" w:rsidR="009A2875" w:rsidRDefault="009A2875">
            <w:pPr>
              <w:jc w:val="right"/>
              <w:rPr>
                <w:b/>
                <w:bCs/>
                <w:sz w:val="20"/>
                <w:szCs w:val="20"/>
              </w:rPr>
            </w:pPr>
            <w:r>
              <w:rPr>
                <w:b/>
                <w:bCs/>
                <w:sz w:val="20"/>
                <w:szCs w:val="20"/>
              </w:rPr>
              <w:t>53</w:t>
            </w:r>
          </w:p>
        </w:tc>
        <w:tc>
          <w:tcPr>
            <w:tcW w:w="8311" w:type="dxa"/>
            <w:tcBorders>
              <w:top w:val="nil"/>
              <w:left w:val="nil"/>
              <w:bottom w:val="nil"/>
              <w:right w:val="nil"/>
            </w:tcBorders>
            <w:shd w:val="clear" w:color="auto" w:fill="auto"/>
            <w:noWrap/>
            <w:vAlign w:val="bottom"/>
            <w:hideMark/>
          </w:tcPr>
          <w:p w14:paraId="0E753030" w14:textId="77777777" w:rsidR="009A2875" w:rsidRDefault="009A2875">
            <w:pPr>
              <w:rPr>
                <w:b/>
                <w:bCs/>
                <w:sz w:val="20"/>
                <w:szCs w:val="20"/>
              </w:rPr>
            </w:pPr>
            <w:r>
              <w:rPr>
                <w:b/>
                <w:bCs/>
                <w:sz w:val="20"/>
                <w:szCs w:val="20"/>
              </w:rPr>
              <w:t xml:space="preserve">Izdaci za dionice i udjele u glavnici                                                               </w:t>
            </w:r>
          </w:p>
        </w:tc>
        <w:tc>
          <w:tcPr>
            <w:tcW w:w="1465" w:type="dxa"/>
            <w:tcBorders>
              <w:top w:val="nil"/>
              <w:left w:val="nil"/>
              <w:bottom w:val="nil"/>
              <w:right w:val="nil"/>
            </w:tcBorders>
            <w:shd w:val="clear" w:color="auto" w:fill="auto"/>
            <w:noWrap/>
            <w:vAlign w:val="bottom"/>
            <w:hideMark/>
          </w:tcPr>
          <w:p w14:paraId="40C6604D" w14:textId="77777777" w:rsidR="009A2875" w:rsidRDefault="009A2875">
            <w:pPr>
              <w:jc w:val="right"/>
              <w:rPr>
                <w:b/>
                <w:bCs/>
                <w:sz w:val="20"/>
                <w:szCs w:val="20"/>
              </w:rPr>
            </w:pPr>
            <w:r>
              <w:rPr>
                <w:b/>
                <w:bCs/>
                <w:sz w:val="20"/>
                <w:szCs w:val="20"/>
              </w:rPr>
              <w:t>87.388,31</w:t>
            </w:r>
          </w:p>
        </w:tc>
        <w:tc>
          <w:tcPr>
            <w:tcW w:w="1416" w:type="dxa"/>
            <w:tcBorders>
              <w:top w:val="nil"/>
              <w:left w:val="nil"/>
              <w:bottom w:val="nil"/>
              <w:right w:val="nil"/>
            </w:tcBorders>
            <w:shd w:val="clear" w:color="auto" w:fill="auto"/>
            <w:noWrap/>
            <w:vAlign w:val="bottom"/>
            <w:hideMark/>
          </w:tcPr>
          <w:p w14:paraId="15695306" w14:textId="77777777" w:rsidR="009A2875" w:rsidRDefault="009A2875">
            <w:pPr>
              <w:jc w:val="right"/>
              <w:rPr>
                <w:b/>
                <w:bCs/>
                <w:sz w:val="20"/>
                <w:szCs w:val="20"/>
              </w:rPr>
            </w:pPr>
            <w:r>
              <w:rPr>
                <w:b/>
                <w:bCs/>
                <w:sz w:val="20"/>
                <w:szCs w:val="20"/>
              </w:rPr>
              <w:t>87.589,50</w:t>
            </w:r>
          </w:p>
        </w:tc>
        <w:tc>
          <w:tcPr>
            <w:tcW w:w="981" w:type="dxa"/>
            <w:tcBorders>
              <w:top w:val="nil"/>
              <w:left w:val="nil"/>
              <w:bottom w:val="nil"/>
              <w:right w:val="nil"/>
            </w:tcBorders>
            <w:shd w:val="clear" w:color="auto" w:fill="auto"/>
            <w:noWrap/>
            <w:vAlign w:val="bottom"/>
            <w:hideMark/>
          </w:tcPr>
          <w:p w14:paraId="04A2D9FC" w14:textId="77777777" w:rsidR="009A2875" w:rsidRDefault="009A2875">
            <w:pPr>
              <w:jc w:val="right"/>
              <w:rPr>
                <w:b/>
                <w:bCs/>
                <w:sz w:val="20"/>
                <w:szCs w:val="20"/>
              </w:rPr>
            </w:pPr>
            <w:r>
              <w:rPr>
                <w:b/>
                <w:bCs/>
                <w:sz w:val="20"/>
                <w:szCs w:val="20"/>
              </w:rPr>
              <w:t>100,23</w:t>
            </w:r>
          </w:p>
        </w:tc>
      </w:tr>
      <w:tr w:rsidR="009A2875" w14:paraId="5210FA90" w14:textId="77777777" w:rsidTr="009A2875">
        <w:trPr>
          <w:trHeight w:val="300"/>
        </w:trPr>
        <w:tc>
          <w:tcPr>
            <w:tcW w:w="714" w:type="dxa"/>
            <w:tcBorders>
              <w:top w:val="nil"/>
              <w:left w:val="nil"/>
              <w:bottom w:val="nil"/>
              <w:right w:val="nil"/>
            </w:tcBorders>
            <w:shd w:val="clear" w:color="auto" w:fill="auto"/>
            <w:noWrap/>
            <w:vAlign w:val="bottom"/>
            <w:hideMark/>
          </w:tcPr>
          <w:p w14:paraId="4029A7D3" w14:textId="77777777" w:rsidR="009A2875" w:rsidRDefault="009A2875">
            <w:pPr>
              <w:jc w:val="right"/>
              <w:rPr>
                <w:b/>
                <w:bCs/>
                <w:sz w:val="20"/>
                <w:szCs w:val="20"/>
              </w:rPr>
            </w:pPr>
            <w:r>
              <w:rPr>
                <w:b/>
                <w:bCs/>
                <w:sz w:val="20"/>
                <w:szCs w:val="20"/>
              </w:rPr>
              <w:t>532</w:t>
            </w:r>
          </w:p>
        </w:tc>
        <w:tc>
          <w:tcPr>
            <w:tcW w:w="8311" w:type="dxa"/>
            <w:tcBorders>
              <w:top w:val="nil"/>
              <w:left w:val="nil"/>
              <w:bottom w:val="nil"/>
              <w:right w:val="nil"/>
            </w:tcBorders>
            <w:shd w:val="clear" w:color="auto" w:fill="auto"/>
            <w:noWrap/>
            <w:vAlign w:val="bottom"/>
            <w:hideMark/>
          </w:tcPr>
          <w:p w14:paraId="1918237E" w14:textId="77777777" w:rsidR="009A2875" w:rsidRDefault="009A2875">
            <w:pPr>
              <w:rPr>
                <w:b/>
                <w:bCs/>
                <w:sz w:val="20"/>
                <w:szCs w:val="20"/>
              </w:rPr>
            </w:pPr>
            <w:r>
              <w:rPr>
                <w:b/>
                <w:bCs/>
                <w:sz w:val="20"/>
                <w:szCs w:val="20"/>
              </w:rPr>
              <w:t xml:space="preserve">Dionice i udjeli u glavnici trgovačkih društava u javnom sektoru                                    </w:t>
            </w:r>
          </w:p>
        </w:tc>
        <w:tc>
          <w:tcPr>
            <w:tcW w:w="1465" w:type="dxa"/>
            <w:tcBorders>
              <w:top w:val="nil"/>
              <w:left w:val="nil"/>
              <w:bottom w:val="nil"/>
              <w:right w:val="nil"/>
            </w:tcBorders>
            <w:shd w:val="clear" w:color="auto" w:fill="auto"/>
            <w:noWrap/>
            <w:vAlign w:val="bottom"/>
            <w:hideMark/>
          </w:tcPr>
          <w:p w14:paraId="4E166A72" w14:textId="77777777" w:rsidR="009A2875" w:rsidRDefault="009A2875">
            <w:pPr>
              <w:jc w:val="right"/>
              <w:rPr>
                <w:b/>
                <w:bCs/>
                <w:sz w:val="20"/>
                <w:szCs w:val="20"/>
              </w:rPr>
            </w:pPr>
            <w:r>
              <w:rPr>
                <w:b/>
                <w:bCs/>
                <w:sz w:val="20"/>
                <w:szCs w:val="20"/>
              </w:rPr>
              <w:t>87.388,31</w:t>
            </w:r>
          </w:p>
        </w:tc>
        <w:tc>
          <w:tcPr>
            <w:tcW w:w="1416" w:type="dxa"/>
            <w:tcBorders>
              <w:top w:val="nil"/>
              <w:left w:val="nil"/>
              <w:bottom w:val="nil"/>
              <w:right w:val="nil"/>
            </w:tcBorders>
            <w:shd w:val="clear" w:color="auto" w:fill="auto"/>
            <w:noWrap/>
            <w:vAlign w:val="bottom"/>
            <w:hideMark/>
          </w:tcPr>
          <w:p w14:paraId="4CFE70CE" w14:textId="77777777" w:rsidR="009A2875" w:rsidRDefault="009A2875">
            <w:pPr>
              <w:jc w:val="right"/>
              <w:rPr>
                <w:b/>
                <w:bCs/>
                <w:sz w:val="20"/>
                <w:szCs w:val="20"/>
              </w:rPr>
            </w:pPr>
            <w:r>
              <w:rPr>
                <w:b/>
                <w:bCs/>
                <w:sz w:val="20"/>
                <w:szCs w:val="20"/>
              </w:rPr>
              <w:t>87.589,50</w:t>
            </w:r>
          </w:p>
        </w:tc>
        <w:tc>
          <w:tcPr>
            <w:tcW w:w="981" w:type="dxa"/>
            <w:tcBorders>
              <w:top w:val="nil"/>
              <w:left w:val="nil"/>
              <w:bottom w:val="nil"/>
              <w:right w:val="nil"/>
            </w:tcBorders>
            <w:shd w:val="clear" w:color="auto" w:fill="auto"/>
            <w:noWrap/>
            <w:vAlign w:val="bottom"/>
            <w:hideMark/>
          </w:tcPr>
          <w:p w14:paraId="583A5D0F" w14:textId="77777777" w:rsidR="009A2875" w:rsidRDefault="009A2875">
            <w:pPr>
              <w:jc w:val="right"/>
              <w:rPr>
                <w:b/>
                <w:bCs/>
                <w:sz w:val="20"/>
                <w:szCs w:val="20"/>
              </w:rPr>
            </w:pPr>
            <w:r>
              <w:rPr>
                <w:b/>
                <w:bCs/>
                <w:sz w:val="20"/>
                <w:szCs w:val="20"/>
              </w:rPr>
              <w:t>100,23</w:t>
            </w:r>
          </w:p>
        </w:tc>
      </w:tr>
      <w:tr w:rsidR="009A2875" w14:paraId="3956C3B8" w14:textId="77777777" w:rsidTr="009A2875">
        <w:trPr>
          <w:trHeight w:val="300"/>
        </w:trPr>
        <w:tc>
          <w:tcPr>
            <w:tcW w:w="714" w:type="dxa"/>
            <w:tcBorders>
              <w:top w:val="nil"/>
              <w:left w:val="nil"/>
              <w:bottom w:val="nil"/>
              <w:right w:val="nil"/>
            </w:tcBorders>
            <w:shd w:val="clear" w:color="auto" w:fill="auto"/>
            <w:noWrap/>
            <w:vAlign w:val="bottom"/>
            <w:hideMark/>
          </w:tcPr>
          <w:p w14:paraId="706958A7" w14:textId="77777777" w:rsidR="009A2875" w:rsidRDefault="009A2875">
            <w:pPr>
              <w:jc w:val="right"/>
              <w:rPr>
                <w:sz w:val="20"/>
                <w:szCs w:val="20"/>
              </w:rPr>
            </w:pPr>
            <w:r>
              <w:rPr>
                <w:sz w:val="20"/>
                <w:szCs w:val="20"/>
              </w:rPr>
              <w:t>5321</w:t>
            </w:r>
          </w:p>
        </w:tc>
        <w:tc>
          <w:tcPr>
            <w:tcW w:w="8311" w:type="dxa"/>
            <w:tcBorders>
              <w:top w:val="nil"/>
              <w:left w:val="nil"/>
              <w:bottom w:val="nil"/>
              <w:right w:val="nil"/>
            </w:tcBorders>
            <w:shd w:val="clear" w:color="auto" w:fill="auto"/>
            <w:noWrap/>
            <w:vAlign w:val="bottom"/>
            <w:hideMark/>
          </w:tcPr>
          <w:p w14:paraId="147ADF8E" w14:textId="77777777" w:rsidR="009A2875" w:rsidRDefault="009A2875">
            <w:pPr>
              <w:rPr>
                <w:sz w:val="20"/>
                <w:szCs w:val="20"/>
              </w:rPr>
            </w:pPr>
            <w:r>
              <w:rPr>
                <w:sz w:val="20"/>
                <w:szCs w:val="20"/>
              </w:rPr>
              <w:t xml:space="preserve">Dionice i udjeli u glavnici trgovačkih društava u javnom sektoru                                    </w:t>
            </w:r>
          </w:p>
        </w:tc>
        <w:tc>
          <w:tcPr>
            <w:tcW w:w="1465" w:type="dxa"/>
            <w:tcBorders>
              <w:top w:val="nil"/>
              <w:left w:val="nil"/>
              <w:bottom w:val="nil"/>
              <w:right w:val="nil"/>
            </w:tcBorders>
            <w:shd w:val="clear" w:color="auto" w:fill="auto"/>
            <w:noWrap/>
            <w:vAlign w:val="bottom"/>
            <w:hideMark/>
          </w:tcPr>
          <w:p w14:paraId="48DEF8D1" w14:textId="77777777" w:rsidR="009A2875" w:rsidRDefault="009A2875">
            <w:pPr>
              <w:jc w:val="right"/>
              <w:rPr>
                <w:sz w:val="20"/>
                <w:szCs w:val="20"/>
              </w:rPr>
            </w:pPr>
            <w:r>
              <w:rPr>
                <w:sz w:val="20"/>
                <w:szCs w:val="20"/>
              </w:rPr>
              <w:t>87.388,31</w:t>
            </w:r>
          </w:p>
        </w:tc>
        <w:tc>
          <w:tcPr>
            <w:tcW w:w="1416" w:type="dxa"/>
            <w:tcBorders>
              <w:top w:val="nil"/>
              <w:left w:val="nil"/>
              <w:bottom w:val="nil"/>
              <w:right w:val="nil"/>
            </w:tcBorders>
            <w:shd w:val="clear" w:color="auto" w:fill="auto"/>
            <w:noWrap/>
            <w:vAlign w:val="bottom"/>
            <w:hideMark/>
          </w:tcPr>
          <w:p w14:paraId="2CFC468A" w14:textId="77777777" w:rsidR="009A2875" w:rsidRDefault="009A2875">
            <w:pPr>
              <w:jc w:val="right"/>
              <w:rPr>
                <w:sz w:val="20"/>
                <w:szCs w:val="20"/>
              </w:rPr>
            </w:pPr>
            <w:r>
              <w:rPr>
                <w:sz w:val="20"/>
                <w:szCs w:val="20"/>
              </w:rPr>
              <w:t>87.589,50</w:t>
            </w:r>
          </w:p>
        </w:tc>
        <w:tc>
          <w:tcPr>
            <w:tcW w:w="981" w:type="dxa"/>
            <w:tcBorders>
              <w:top w:val="nil"/>
              <w:left w:val="nil"/>
              <w:bottom w:val="nil"/>
              <w:right w:val="nil"/>
            </w:tcBorders>
            <w:shd w:val="clear" w:color="auto" w:fill="auto"/>
            <w:noWrap/>
            <w:vAlign w:val="bottom"/>
            <w:hideMark/>
          </w:tcPr>
          <w:p w14:paraId="652AE317" w14:textId="77777777" w:rsidR="009A2875" w:rsidRDefault="009A2875">
            <w:pPr>
              <w:jc w:val="right"/>
              <w:rPr>
                <w:sz w:val="20"/>
                <w:szCs w:val="20"/>
              </w:rPr>
            </w:pPr>
            <w:r>
              <w:rPr>
                <w:sz w:val="20"/>
                <w:szCs w:val="20"/>
              </w:rPr>
              <w:t>100,23</w:t>
            </w:r>
          </w:p>
        </w:tc>
      </w:tr>
      <w:tr w:rsidR="009A2875" w14:paraId="626FF935" w14:textId="77777777" w:rsidTr="009A2875">
        <w:trPr>
          <w:trHeight w:val="300"/>
        </w:trPr>
        <w:tc>
          <w:tcPr>
            <w:tcW w:w="714" w:type="dxa"/>
            <w:tcBorders>
              <w:top w:val="nil"/>
              <w:left w:val="nil"/>
              <w:bottom w:val="nil"/>
              <w:right w:val="nil"/>
            </w:tcBorders>
            <w:shd w:val="clear" w:color="auto" w:fill="auto"/>
            <w:noWrap/>
            <w:vAlign w:val="bottom"/>
            <w:hideMark/>
          </w:tcPr>
          <w:p w14:paraId="509F45EE" w14:textId="77777777" w:rsidR="009A2875" w:rsidRDefault="009A2875">
            <w:pPr>
              <w:rPr>
                <w:sz w:val="20"/>
                <w:szCs w:val="20"/>
              </w:rPr>
            </w:pPr>
            <w:r>
              <w:rPr>
                <w:sz w:val="20"/>
                <w:szCs w:val="20"/>
              </w:rPr>
              <w:t>53212</w:t>
            </w:r>
          </w:p>
        </w:tc>
        <w:tc>
          <w:tcPr>
            <w:tcW w:w="8311" w:type="dxa"/>
            <w:tcBorders>
              <w:top w:val="nil"/>
              <w:left w:val="nil"/>
              <w:bottom w:val="nil"/>
              <w:right w:val="nil"/>
            </w:tcBorders>
            <w:shd w:val="clear" w:color="auto" w:fill="auto"/>
            <w:vAlign w:val="bottom"/>
            <w:hideMark/>
          </w:tcPr>
          <w:p w14:paraId="094A9E5F" w14:textId="77777777" w:rsidR="009A2875" w:rsidRDefault="009A2875">
            <w:pPr>
              <w:rPr>
                <w:sz w:val="20"/>
                <w:szCs w:val="20"/>
              </w:rPr>
            </w:pPr>
            <w:r>
              <w:rPr>
                <w:sz w:val="20"/>
                <w:szCs w:val="20"/>
              </w:rPr>
              <w:t xml:space="preserve">Dionice i udjeli u glavnici trgovačkih društava u javnom sektoru                                    </w:t>
            </w:r>
          </w:p>
        </w:tc>
        <w:tc>
          <w:tcPr>
            <w:tcW w:w="1465" w:type="dxa"/>
            <w:tcBorders>
              <w:top w:val="nil"/>
              <w:left w:val="nil"/>
              <w:bottom w:val="nil"/>
              <w:right w:val="nil"/>
            </w:tcBorders>
            <w:shd w:val="clear" w:color="auto" w:fill="auto"/>
            <w:noWrap/>
            <w:vAlign w:val="bottom"/>
            <w:hideMark/>
          </w:tcPr>
          <w:p w14:paraId="0EAA4D00" w14:textId="77777777" w:rsidR="009A2875" w:rsidRDefault="009A2875">
            <w:pPr>
              <w:jc w:val="right"/>
              <w:rPr>
                <w:sz w:val="20"/>
                <w:szCs w:val="20"/>
              </w:rPr>
            </w:pPr>
            <w:r>
              <w:rPr>
                <w:sz w:val="20"/>
                <w:szCs w:val="20"/>
              </w:rPr>
              <w:t>87.388,31</w:t>
            </w:r>
          </w:p>
        </w:tc>
        <w:tc>
          <w:tcPr>
            <w:tcW w:w="1416" w:type="dxa"/>
            <w:tcBorders>
              <w:top w:val="nil"/>
              <w:left w:val="nil"/>
              <w:bottom w:val="nil"/>
              <w:right w:val="nil"/>
            </w:tcBorders>
            <w:shd w:val="clear" w:color="auto" w:fill="auto"/>
            <w:noWrap/>
            <w:vAlign w:val="bottom"/>
            <w:hideMark/>
          </w:tcPr>
          <w:p w14:paraId="3658AC1A" w14:textId="77777777" w:rsidR="009A2875" w:rsidRDefault="009A2875">
            <w:pPr>
              <w:jc w:val="right"/>
              <w:rPr>
                <w:sz w:val="20"/>
                <w:szCs w:val="20"/>
              </w:rPr>
            </w:pPr>
            <w:r>
              <w:rPr>
                <w:sz w:val="20"/>
                <w:szCs w:val="20"/>
              </w:rPr>
              <w:t>87.589,50</w:t>
            </w:r>
          </w:p>
        </w:tc>
        <w:tc>
          <w:tcPr>
            <w:tcW w:w="981" w:type="dxa"/>
            <w:tcBorders>
              <w:top w:val="nil"/>
              <w:left w:val="nil"/>
              <w:bottom w:val="nil"/>
              <w:right w:val="nil"/>
            </w:tcBorders>
            <w:shd w:val="clear" w:color="auto" w:fill="auto"/>
            <w:noWrap/>
            <w:vAlign w:val="bottom"/>
            <w:hideMark/>
          </w:tcPr>
          <w:p w14:paraId="02CF36A5" w14:textId="77777777" w:rsidR="009A2875" w:rsidRDefault="009A2875">
            <w:pPr>
              <w:jc w:val="right"/>
              <w:rPr>
                <w:sz w:val="20"/>
                <w:szCs w:val="20"/>
              </w:rPr>
            </w:pPr>
          </w:p>
        </w:tc>
      </w:tr>
      <w:tr w:rsidR="009A2875" w14:paraId="261E46A6" w14:textId="77777777" w:rsidTr="009A2875">
        <w:trPr>
          <w:trHeight w:val="300"/>
        </w:trPr>
        <w:tc>
          <w:tcPr>
            <w:tcW w:w="714" w:type="dxa"/>
            <w:tcBorders>
              <w:top w:val="nil"/>
              <w:left w:val="nil"/>
              <w:bottom w:val="nil"/>
              <w:right w:val="nil"/>
            </w:tcBorders>
            <w:shd w:val="clear" w:color="auto" w:fill="auto"/>
            <w:noWrap/>
            <w:vAlign w:val="bottom"/>
            <w:hideMark/>
          </w:tcPr>
          <w:p w14:paraId="7CB858F8" w14:textId="77777777" w:rsidR="009A2875" w:rsidRDefault="009A2875">
            <w:pPr>
              <w:rPr>
                <w:sz w:val="20"/>
                <w:szCs w:val="20"/>
              </w:rPr>
            </w:pPr>
          </w:p>
        </w:tc>
        <w:tc>
          <w:tcPr>
            <w:tcW w:w="8311" w:type="dxa"/>
            <w:tcBorders>
              <w:top w:val="nil"/>
              <w:left w:val="nil"/>
              <w:bottom w:val="nil"/>
              <w:right w:val="nil"/>
            </w:tcBorders>
            <w:shd w:val="clear" w:color="auto" w:fill="auto"/>
            <w:vAlign w:val="bottom"/>
            <w:hideMark/>
          </w:tcPr>
          <w:p w14:paraId="473A1675" w14:textId="77777777" w:rsidR="009A2875" w:rsidRDefault="009A2875">
            <w:pPr>
              <w:rPr>
                <w:i/>
                <w:iCs/>
                <w:sz w:val="20"/>
                <w:szCs w:val="20"/>
              </w:rPr>
            </w:pPr>
            <w:r>
              <w:rPr>
                <w:i/>
                <w:iCs/>
                <w:sz w:val="20"/>
                <w:szCs w:val="20"/>
              </w:rPr>
              <w:t xml:space="preserve">Istarska županija - ŽCGO </w:t>
            </w:r>
            <w:proofErr w:type="spellStart"/>
            <w:r>
              <w:rPr>
                <w:i/>
                <w:iCs/>
                <w:sz w:val="20"/>
                <w:szCs w:val="20"/>
              </w:rPr>
              <w:t>Kaštijun</w:t>
            </w:r>
            <w:proofErr w:type="spellEnd"/>
          </w:p>
        </w:tc>
        <w:tc>
          <w:tcPr>
            <w:tcW w:w="1465" w:type="dxa"/>
            <w:tcBorders>
              <w:top w:val="nil"/>
              <w:left w:val="nil"/>
              <w:bottom w:val="nil"/>
              <w:right w:val="nil"/>
            </w:tcBorders>
            <w:shd w:val="clear" w:color="auto" w:fill="auto"/>
            <w:noWrap/>
            <w:vAlign w:val="bottom"/>
            <w:hideMark/>
          </w:tcPr>
          <w:p w14:paraId="1A7C63CB" w14:textId="77777777" w:rsidR="009A2875" w:rsidRDefault="009A2875">
            <w:pPr>
              <w:jc w:val="right"/>
              <w:rPr>
                <w:i/>
                <w:iCs/>
                <w:sz w:val="20"/>
                <w:szCs w:val="20"/>
              </w:rPr>
            </w:pPr>
            <w:r>
              <w:rPr>
                <w:i/>
                <w:iCs/>
                <w:sz w:val="20"/>
                <w:szCs w:val="20"/>
              </w:rPr>
              <w:t>87.388,31</w:t>
            </w:r>
          </w:p>
        </w:tc>
        <w:tc>
          <w:tcPr>
            <w:tcW w:w="1416" w:type="dxa"/>
            <w:tcBorders>
              <w:top w:val="nil"/>
              <w:left w:val="nil"/>
              <w:bottom w:val="nil"/>
              <w:right w:val="nil"/>
            </w:tcBorders>
            <w:shd w:val="clear" w:color="auto" w:fill="auto"/>
            <w:noWrap/>
            <w:vAlign w:val="bottom"/>
            <w:hideMark/>
          </w:tcPr>
          <w:p w14:paraId="310D1BB1" w14:textId="77777777" w:rsidR="009A2875" w:rsidRDefault="009A2875">
            <w:pPr>
              <w:jc w:val="right"/>
              <w:rPr>
                <w:i/>
                <w:iCs/>
                <w:sz w:val="20"/>
                <w:szCs w:val="20"/>
              </w:rPr>
            </w:pPr>
            <w:r>
              <w:rPr>
                <w:i/>
                <w:iCs/>
                <w:sz w:val="20"/>
                <w:szCs w:val="20"/>
              </w:rPr>
              <w:t>87.589,50</w:t>
            </w:r>
          </w:p>
        </w:tc>
        <w:tc>
          <w:tcPr>
            <w:tcW w:w="981" w:type="dxa"/>
            <w:tcBorders>
              <w:top w:val="nil"/>
              <w:left w:val="nil"/>
              <w:bottom w:val="nil"/>
              <w:right w:val="nil"/>
            </w:tcBorders>
            <w:shd w:val="clear" w:color="auto" w:fill="auto"/>
            <w:noWrap/>
            <w:vAlign w:val="bottom"/>
            <w:hideMark/>
          </w:tcPr>
          <w:p w14:paraId="5EEC30F0" w14:textId="77777777" w:rsidR="009A2875" w:rsidRDefault="009A2875">
            <w:pPr>
              <w:jc w:val="right"/>
              <w:rPr>
                <w:i/>
                <w:iCs/>
                <w:sz w:val="20"/>
                <w:szCs w:val="20"/>
              </w:rPr>
            </w:pPr>
          </w:p>
        </w:tc>
      </w:tr>
      <w:tr w:rsidR="009A2875" w14:paraId="65545D83" w14:textId="77777777" w:rsidTr="009A2875">
        <w:trPr>
          <w:trHeight w:val="300"/>
        </w:trPr>
        <w:tc>
          <w:tcPr>
            <w:tcW w:w="714" w:type="dxa"/>
            <w:tcBorders>
              <w:top w:val="nil"/>
              <w:left w:val="nil"/>
              <w:bottom w:val="nil"/>
              <w:right w:val="nil"/>
            </w:tcBorders>
            <w:shd w:val="clear" w:color="auto" w:fill="auto"/>
            <w:noWrap/>
            <w:vAlign w:val="bottom"/>
            <w:hideMark/>
          </w:tcPr>
          <w:p w14:paraId="72891183" w14:textId="77777777" w:rsidR="009A2875" w:rsidRDefault="009A2875">
            <w:pPr>
              <w:jc w:val="right"/>
              <w:rPr>
                <w:b/>
                <w:bCs/>
                <w:sz w:val="20"/>
                <w:szCs w:val="20"/>
              </w:rPr>
            </w:pPr>
            <w:r>
              <w:rPr>
                <w:b/>
                <w:bCs/>
                <w:sz w:val="20"/>
                <w:szCs w:val="20"/>
              </w:rPr>
              <w:t>54</w:t>
            </w:r>
          </w:p>
        </w:tc>
        <w:tc>
          <w:tcPr>
            <w:tcW w:w="8311" w:type="dxa"/>
            <w:tcBorders>
              <w:top w:val="nil"/>
              <w:left w:val="nil"/>
              <w:bottom w:val="nil"/>
              <w:right w:val="nil"/>
            </w:tcBorders>
            <w:shd w:val="clear" w:color="auto" w:fill="auto"/>
            <w:noWrap/>
            <w:vAlign w:val="bottom"/>
            <w:hideMark/>
          </w:tcPr>
          <w:p w14:paraId="0F71CC2C" w14:textId="77777777" w:rsidR="009A2875" w:rsidRDefault="009A2875">
            <w:pPr>
              <w:rPr>
                <w:b/>
                <w:bCs/>
                <w:sz w:val="20"/>
                <w:szCs w:val="20"/>
              </w:rPr>
            </w:pPr>
            <w:r>
              <w:rPr>
                <w:b/>
                <w:bCs/>
                <w:sz w:val="20"/>
                <w:szCs w:val="20"/>
              </w:rPr>
              <w:t xml:space="preserve">Izdaci za otplatu glavnice primljenih kredita i zajmova                                             </w:t>
            </w:r>
          </w:p>
        </w:tc>
        <w:tc>
          <w:tcPr>
            <w:tcW w:w="1465" w:type="dxa"/>
            <w:tcBorders>
              <w:top w:val="nil"/>
              <w:left w:val="nil"/>
              <w:bottom w:val="nil"/>
              <w:right w:val="nil"/>
            </w:tcBorders>
            <w:shd w:val="clear" w:color="auto" w:fill="auto"/>
            <w:noWrap/>
            <w:vAlign w:val="bottom"/>
            <w:hideMark/>
          </w:tcPr>
          <w:p w14:paraId="1BB277F2" w14:textId="77777777" w:rsidR="009A2875" w:rsidRDefault="009A2875">
            <w:pPr>
              <w:jc w:val="right"/>
              <w:rPr>
                <w:b/>
                <w:bCs/>
                <w:sz w:val="20"/>
                <w:szCs w:val="20"/>
              </w:rPr>
            </w:pPr>
            <w:r>
              <w:rPr>
                <w:b/>
                <w:bCs/>
                <w:sz w:val="20"/>
                <w:szCs w:val="20"/>
              </w:rPr>
              <w:t>2.099.568,71</w:t>
            </w:r>
          </w:p>
        </w:tc>
        <w:tc>
          <w:tcPr>
            <w:tcW w:w="1416" w:type="dxa"/>
            <w:tcBorders>
              <w:top w:val="nil"/>
              <w:left w:val="nil"/>
              <w:bottom w:val="nil"/>
              <w:right w:val="nil"/>
            </w:tcBorders>
            <w:shd w:val="clear" w:color="auto" w:fill="auto"/>
            <w:noWrap/>
            <w:vAlign w:val="bottom"/>
            <w:hideMark/>
          </w:tcPr>
          <w:p w14:paraId="28B04F17" w14:textId="77777777" w:rsidR="009A2875" w:rsidRDefault="009A2875">
            <w:pPr>
              <w:jc w:val="right"/>
              <w:rPr>
                <w:b/>
                <w:bCs/>
                <w:sz w:val="20"/>
                <w:szCs w:val="20"/>
              </w:rPr>
            </w:pPr>
            <w:r>
              <w:rPr>
                <w:b/>
                <w:bCs/>
                <w:sz w:val="20"/>
                <w:szCs w:val="20"/>
              </w:rPr>
              <w:t>1.128.527,30</w:t>
            </w:r>
          </w:p>
        </w:tc>
        <w:tc>
          <w:tcPr>
            <w:tcW w:w="981" w:type="dxa"/>
            <w:tcBorders>
              <w:top w:val="nil"/>
              <w:left w:val="nil"/>
              <w:bottom w:val="nil"/>
              <w:right w:val="nil"/>
            </w:tcBorders>
            <w:shd w:val="clear" w:color="auto" w:fill="auto"/>
            <w:noWrap/>
            <w:vAlign w:val="bottom"/>
            <w:hideMark/>
          </w:tcPr>
          <w:p w14:paraId="0ED6E679" w14:textId="77777777" w:rsidR="009A2875" w:rsidRDefault="009A2875">
            <w:pPr>
              <w:jc w:val="right"/>
              <w:rPr>
                <w:b/>
                <w:bCs/>
                <w:sz w:val="20"/>
                <w:szCs w:val="20"/>
              </w:rPr>
            </w:pPr>
            <w:r>
              <w:rPr>
                <w:b/>
                <w:bCs/>
                <w:sz w:val="20"/>
                <w:szCs w:val="20"/>
              </w:rPr>
              <w:t>53,75</w:t>
            </w:r>
          </w:p>
        </w:tc>
      </w:tr>
      <w:tr w:rsidR="009A2875" w14:paraId="49B7424A" w14:textId="77777777" w:rsidTr="009A2875">
        <w:trPr>
          <w:trHeight w:val="300"/>
        </w:trPr>
        <w:tc>
          <w:tcPr>
            <w:tcW w:w="714" w:type="dxa"/>
            <w:tcBorders>
              <w:top w:val="nil"/>
              <w:left w:val="nil"/>
              <w:bottom w:val="nil"/>
              <w:right w:val="nil"/>
            </w:tcBorders>
            <w:shd w:val="clear" w:color="auto" w:fill="auto"/>
            <w:noWrap/>
            <w:vAlign w:val="bottom"/>
            <w:hideMark/>
          </w:tcPr>
          <w:p w14:paraId="70945536" w14:textId="77777777" w:rsidR="009A2875" w:rsidRDefault="009A2875">
            <w:pPr>
              <w:jc w:val="right"/>
              <w:rPr>
                <w:b/>
                <w:bCs/>
                <w:sz w:val="20"/>
                <w:szCs w:val="20"/>
              </w:rPr>
            </w:pPr>
            <w:r>
              <w:rPr>
                <w:b/>
                <w:bCs/>
                <w:sz w:val="20"/>
                <w:szCs w:val="20"/>
              </w:rPr>
              <w:t>542</w:t>
            </w:r>
          </w:p>
        </w:tc>
        <w:tc>
          <w:tcPr>
            <w:tcW w:w="8311" w:type="dxa"/>
            <w:tcBorders>
              <w:top w:val="nil"/>
              <w:left w:val="nil"/>
              <w:bottom w:val="nil"/>
              <w:right w:val="nil"/>
            </w:tcBorders>
            <w:shd w:val="clear" w:color="auto" w:fill="auto"/>
            <w:noWrap/>
            <w:vAlign w:val="bottom"/>
            <w:hideMark/>
          </w:tcPr>
          <w:p w14:paraId="0595E4AB" w14:textId="057C4C99" w:rsidR="009A2875" w:rsidRDefault="009A2875">
            <w:pPr>
              <w:rPr>
                <w:b/>
                <w:bCs/>
                <w:sz w:val="20"/>
                <w:szCs w:val="20"/>
              </w:rPr>
            </w:pPr>
            <w:r>
              <w:rPr>
                <w:b/>
                <w:bCs/>
                <w:sz w:val="20"/>
                <w:szCs w:val="20"/>
              </w:rPr>
              <w:t>Otplata glavnice primljenih kredita i zajmova od kreditnih i ostalih financijskih institucija u javn</w:t>
            </w:r>
            <w:r w:rsidR="009F61F7">
              <w:rPr>
                <w:b/>
                <w:bCs/>
                <w:sz w:val="20"/>
                <w:szCs w:val="20"/>
              </w:rPr>
              <w:t>om sektoru</w:t>
            </w:r>
          </w:p>
        </w:tc>
        <w:tc>
          <w:tcPr>
            <w:tcW w:w="1465" w:type="dxa"/>
            <w:tcBorders>
              <w:top w:val="nil"/>
              <w:left w:val="nil"/>
              <w:bottom w:val="nil"/>
              <w:right w:val="nil"/>
            </w:tcBorders>
            <w:shd w:val="clear" w:color="auto" w:fill="auto"/>
            <w:noWrap/>
            <w:vAlign w:val="bottom"/>
            <w:hideMark/>
          </w:tcPr>
          <w:p w14:paraId="627224E6" w14:textId="77777777" w:rsidR="009A2875" w:rsidRDefault="009A2875">
            <w:pPr>
              <w:jc w:val="right"/>
              <w:rPr>
                <w:b/>
                <w:bCs/>
                <w:sz w:val="20"/>
                <w:szCs w:val="20"/>
              </w:rPr>
            </w:pPr>
            <w:r>
              <w:rPr>
                <w:b/>
                <w:bCs/>
                <w:sz w:val="20"/>
                <w:szCs w:val="20"/>
              </w:rPr>
              <w:t>59.088,91</w:t>
            </w:r>
          </w:p>
        </w:tc>
        <w:tc>
          <w:tcPr>
            <w:tcW w:w="1416" w:type="dxa"/>
            <w:tcBorders>
              <w:top w:val="nil"/>
              <w:left w:val="nil"/>
              <w:bottom w:val="nil"/>
              <w:right w:val="nil"/>
            </w:tcBorders>
            <w:shd w:val="clear" w:color="auto" w:fill="auto"/>
            <w:noWrap/>
            <w:vAlign w:val="bottom"/>
            <w:hideMark/>
          </w:tcPr>
          <w:p w14:paraId="4FFE6EE9" w14:textId="77777777" w:rsidR="009A2875" w:rsidRDefault="009A2875">
            <w:pPr>
              <w:jc w:val="right"/>
              <w:rPr>
                <w:b/>
                <w:bCs/>
                <w:sz w:val="20"/>
                <w:szCs w:val="20"/>
              </w:rPr>
            </w:pPr>
            <w:r>
              <w:rPr>
                <w:b/>
                <w:bCs/>
                <w:sz w:val="20"/>
                <w:szCs w:val="20"/>
              </w:rPr>
              <w:t>236.355,64</w:t>
            </w:r>
          </w:p>
        </w:tc>
        <w:tc>
          <w:tcPr>
            <w:tcW w:w="981" w:type="dxa"/>
            <w:tcBorders>
              <w:top w:val="nil"/>
              <w:left w:val="nil"/>
              <w:bottom w:val="nil"/>
              <w:right w:val="nil"/>
            </w:tcBorders>
            <w:shd w:val="clear" w:color="auto" w:fill="auto"/>
            <w:noWrap/>
            <w:vAlign w:val="bottom"/>
            <w:hideMark/>
          </w:tcPr>
          <w:p w14:paraId="6EF1B4F0" w14:textId="77777777" w:rsidR="009A2875" w:rsidRDefault="009A2875">
            <w:pPr>
              <w:jc w:val="right"/>
              <w:rPr>
                <w:b/>
                <w:bCs/>
                <w:sz w:val="20"/>
                <w:szCs w:val="20"/>
              </w:rPr>
            </w:pPr>
            <w:r>
              <w:rPr>
                <w:b/>
                <w:bCs/>
                <w:sz w:val="20"/>
                <w:szCs w:val="20"/>
              </w:rPr>
              <w:t>0,00</w:t>
            </w:r>
          </w:p>
        </w:tc>
      </w:tr>
      <w:tr w:rsidR="009A2875" w14:paraId="73C8C144" w14:textId="77777777" w:rsidTr="009A2875">
        <w:trPr>
          <w:trHeight w:val="300"/>
        </w:trPr>
        <w:tc>
          <w:tcPr>
            <w:tcW w:w="714" w:type="dxa"/>
            <w:tcBorders>
              <w:top w:val="nil"/>
              <w:left w:val="nil"/>
              <w:bottom w:val="nil"/>
              <w:right w:val="nil"/>
            </w:tcBorders>
            <w:shd w:val="clear" w:color="auto" w:fill="auto"/>
            <w:noWrap/>
            <w:vAlign w:val="bottom"/>
            <w:hideMark/>
          </w:tcPr>
          <w:p w14:paraId="1676E854" w14:textId="77777777" w:rsidR="009A2875" w:rsidRDefault="009A2875">
            <w:pPr>
              <w:jc w:val="right"/>
              <w:rPr>
                <w:sz w:val="20"/>
                <w:szCs w:val="20"/>
              </w:rPr>
            </w:pPr>
            <w:r>
              <w:rPr>
                <w:sz w:val="20"/>
                <w:szCs w:val="20"/>
              </w:rPr>
              <w:t>5422</w:t>
            </w:r>
          </w:p>
        </w:tc>
        <w:tc>
          <w:tcPr>
            <w:tcW w:w="8311" w:type="dxa"/>
            <w:tcBorders>
              <w:top w:val="nil"/>
              <w:left w:val="nil"/>
              <w:bottom w:val="nil"/>
              <w:right w:val="nil"/>
            </w:tcBorders>
            <w:shd w:val="clear" w:color="auto" w:fill="auto"/>
            <w:noWrap/>
            <w:vAlign w:val="bottom"/>
            <w:hideMark/>
          </w:tcPr>
          <w:p w14:paraId="6ABB9104" w14:textId="77777777" w:rsidR="009A2875" w:rsidRDefault="009A2875">
            <w:pPr>
              <w:rPr>
                <w:sz w:val="20"/>
                <w:szCs w:val="20"/>
              </w:rPr>
            </w:pPr>
            <w:r>
              <w:rPr>
                <w:sz w:val="20"/>
                <w:szCs w:val="20"/>
              </w:rPr>
              <w:t xml:space="preserve">Otplata glavnice primljenih kredita od kreditnih institucija u javnom sektoru                       </w:t>
            </w:r>
          </w:p>
        </w:tc>
        <w:tc>
          <w:tcPr>
            <w:tcW w:w="1465" w:type="dxa"/>
            <w:tcBorders>
              <w:top w:val="nil"/>
              <w:left w:val="nil"/>
              <w:bottom w:val="nil"/>
              <w:right w:val="nil"/>
            </w:tcBorders>
            <w:shd w:val="clear" w:color="auto" w:fill="auto"/>
            <w:noWrap/>
            <w:vAlign w:val="bottom"/>
            <w:hideMark/>
          </w:tcPr>
          <w:p w14:paraId="38B730A1" w14:textId="77777777" w:rsidR="009A2875" w:rsidRDefault="009A2875">
            <w:pPr>
              <w:jc w:val="right"/>
              <w:rPr>
                <w:sz w:val="20"/>
                <w:szCs w:val="20"/>
              </w:rPr>
            </w:pPr>
            <w:r>
              <w:rPr>
                <w:sz w:val="20"/>
                <w:szCs w:val="20"/>
              </w:rPr>
              <w:t>59.088,91</w:t>
            </w:r>
          </w:p>
        </w:tc>
        <w:tc>
          <w:tcPr>
            <w:tcW w:w="1416" w:type="dxa"/>
            <w:tcBorders>
              <w:top w:val="nil"/>
              <w:left w:val="nil"/>
              <w:bottom w:val="nil"/>
              <w:right w:val="nil"/>
            </w:tcBorders>
            <w:shd w:val="clear" w:color="auto" w:fill="auto"/>
            <w:noWrap/>
            <w:vAlign w:val="bottom"/>
            <w:hideMark/>
          </w:tcPr>
          <w:p w14:paraId="66D152B9" w14:textId="77777777" w:rsidR="009A2875" w:rsidRDefault="009A2875">
            <w:pPr>
              <w:jc w:val="right"/>
              <w:rPr>
                <w:sz w:val="20"/>
                <w:szCs w:val="20"/>
              </w:rPr>
            </w:pPr>
            <w:r>
              <w:rPr>
                <w:sz w:val="20"/>
                <w:szCs w:val="20"/>
              </w:rPr>
              <w:t>236.355,64</w:t>
            </w:r>
          </w:p>
        </w:tc>
        <w:tc>
          <w:tcPr>
            <w:tcW w:w="981" w:type="dxa"/>
            <w:tcBorders>
              <w:top w:val="nil"/>
              <w:left w:val="nil"/>
              <w:bottom w:val="nil"/>
              <w:right w:val="nil"/>
            </w:tcBorders>
            <w:shd w:val="clear" w:color="auto" w:fill="auto"/>
            <w:noWrap/>
            <w:vAlign w:val="bottom"/>
            <w:hideMark/>
          </w:tcPr>
          <w:p w14:paraId="075F72EE" w14:textId="77777777" w:rsidR="009A2875" w:rsidRDefault="009A2875">
            <w:pPr>
              <w:jc w:val="right"/>
              <w:rPr>
                <w:sz w:val="20"/>
                <w:szCs w:val="20"/>
              </w:rPr>
            </w:pPr>
            <w:r>
              <w:rPr>
                <w:sz w:val="20"/>
                <w:szCs w:val="20"/>
              </w:rPr>
              <w:t>0,00</w:t>
            </w:r>
          </w:p>
        </w:tc>
      </w:tr>
      <w:tr w:rsidR="009A2875" w14:paraId="6A8E5266" w14:textId="77777777" w:rsidTr="009A2875">
        <w:trPr>
          <w:trHeight w:val="300"/>
        </w:trPr>
        <w:tc>
          <w:tcPr>
            <w:tcW w:w="714" w:type="dxa"/>
            <w:tcBorders>
              <w:top w:val="nil"/>
              <w:left w:val="nil"/>
              <w:bottom w:val="nil"/>
              <w:right w:val="nil"/>
            </w:tcBorders>
            <w:shd w:val="clear" w:color="auto" w:fill="auto"/>
            <w:noWrap/>
            <w:vAlign w:val="bottom"/>
            <w:hideMark/>
          </w:tcPr>
          <w:p w14:paraId="77AB3F5E" w14:textId="77777777" w:rsidR="009A2875" w:rsidRDefault="009A2875">
            <w:pPr>
              <w:jc w:val="right"/>
              <w:rPr>
                <w:sz w:val="20"/>
                <w:szCs w:val="20"/>
              </w:rPr>
            </w:pPr>
            <w:r>
              <w:rPr>
                <w:sz w:val="20"/>
                <w:szCs w:val="20"/>
              </w:rPr>
              <w:t>54222</w:t>
            </w:r>
          </w:p>
        </w:tc>
        <w:tc>
          <w:tcPr>
            <w:tcW w:w="8311" w:type="dxa"/>
            <w:tcBorders>
              <w:top w:val="nil"/>
              <w:left w:val="nil"/>
              <w:bottom w:val="nil"/>
              <w:right w:val="nil"/>
            </w:tcBorders>
            <w:shd w:val="clear" w:color="auto" w:fill="auto"/>
            <w:noWrap/>
            <w:vAlign w:val="bottom"/>
            <w:hideMark/>
          </w:tcPr>
          <w:p w14:paraId="7FAAE81D" w14:textId="77777777" w:rsidR="009A2875" w:rsidRDefault="009A2875">
            <w:pPr>
              <w:rPr>
                <w:sz w:val="20"/>
                <w:szCs w:val="20"/>
              </w:rPr>
            </w:pPr>
            <w:r>
              <w:rPr>
                <w:sz w:val="20"/>
                <w:szCs w:val="20"/>
              </w:rPr>
              <w:t xml:space="preserve">Otplata glavnice primljenih kredita od kreditnih institucija u javnom sektoru - dugoročnih                       </w:t>
            </w:r>
          </w:p>
        </w:tc>
        <w:tc>
          <w:tcPr>
            <w:tcW w:w="1465" w:type="dxa"/>
            <w:tcBorders>
              <w:top w:val="nil"/>
              <w:left w:val="nil"/>
              <w:bottom w:val="nil"/>
              <w:right w:val="nil"/>
            </w:tcBorders>
            <w:shd w:val="clear" w:color="auto" w:fill="auto"/>
            <w:noWrap/>
            <w:vAlign w:val="bottom"/>
            <w:hideMark/>
          </w:tcPr>
          <w:p w14:paraId="5A97A130" w14:textId="77777777" w:rsidR="009A2875" w:rsidRDefault="009A2875">
            <w:pPr>
              <w:jc w:val="right"/>
              <w:rPr>
                <w:sz w:val="20"/>
                <w:szCs w:val="20"/>
              </w:rPr>
            </w:pPr>
            <w:r>
              <w:rPr>
                <w:sz w:val="20"/>
                <w:szCs w:val="20"/>
              </w:rPr>
              <w:t>59.088,91</w:t>
            </w:r>
          </w:p>
        </w:tc>
        <w:tc>
          <w:tcPr>
            <w:tcW w:w="1416" w:type="dxa"/>
            <w:tcBorders>
              <w:top w:val="nil"/>
              <w:left w:val="nil"/>
              <w:bottom w:val="nil"/>
              <w:right w:val="nil"/>
            </w:tcBorders>
            <w:shd w:val="clear" w:color="auto" w:fill="auto"/>
            <w:noWrap/>
            <w:vAlign w:val="bottom"/>
            <w:hideMark/>
          </w:tcPr>
          <w:p w14:paraId="060F83A3" w14:textId="77777777" w:rsidR="009A2875" w:rsidRDefault="009A2875">
            <w:pPr>
              <w:jc w:val="right"/>
              <w:rPr>
                <w:sz w:val="20"/>
                <w:szCs w:val="20"/>
              </w:rPr>
            </w:pPr>
            <w:r>
              <w:rPr>
                <w:sz w:val="20"/>
                <w:szCs w:val="20"/>
              </w:rPr>
              <w:t>236.355,64</w:t>
            </w:r>
          </w:p>
        </w:tc>
        <w:tc>
          <w:tcPr>
            <w:tcW w:w="981" w:type="dxa"/>
            <w:tcBorders>
              <w:top w:val="nil"/>
              <w:left w:val="nil"/>
              <w:bottom w:val="nil"/>
              <w:right w:val="nil"/>
            </w:tcBorders>
            <w:shd w:val="clear" w:color="auto" w:fill="auto"/>
            <w:noWrap/>
            <w:vAlign w:val="bottom"/>
            <w:hideMark/>
          </w:tcPr>
          <w:p w14:paraId="1C39A57C" w14:textId="77777777" w:rsidR="009A2875" w:rsidRDefault="009A2875">
            <w:pPr>
              <w:jc w:val="right"/>
              <w:rPr>
                <w:sz w:val="20"/>
                <w:szCs w:val="20"/>
              </w:rPr>
            </w:pPr>
          </w:p>
        </w:tc>
      </w:tr>
      <w:tr w:rsidR="009A2875" w14:paraId="6F471846" w14:textId="77777777" w:rsidTr="009A2875">
        <w:trPr>
          <w:trHeight w:val="780"/>
        </w:trPr>
        <w:tc>
          <w:tcPr>
            <w:tcW w:w="714" w:type="dxa"/>
            <w:tcBorders>
              <w:top w:val="nil"/>
              <w:left w:val="nil"/>
              <w:bottom w:val="nil"/>
              <w:right w:val="nil"/>
            </w:tcBorders>
            <w:shd w:val="clear" w:color="auto" w:fill="auto"/>
            <w:noWrap/>
            <w:vAlign w:val="bottom"/>
            <w:hideMark/>
          </w:tcPr>
          <w:p w14:paraId="70FBF06A" w14:textId="77777777" w:rsidR="009A2875" w:rsidRDefault="009A2875">
            <w:pPr>
              <w:rPr>
                <w:sz w:val="20"/>
                <w:szCs w:val="20"/>
              </w:rPr>
            </w:pPr>
          </w:p>
        </w:tc>
        <w:tc>
          <w:tcPr>
            <w:tcW w:w="8311" w:type="dxa"/>
            <w:tcBorders>
              <w:top w:val="nil"/>
              <w:left w:val="nil"/>
              <w:bottom w:val="nil"/>
              <w:right w:val="nil"/>
            </w:tcBorders>
            <w:shd w:val="clear" w:color="auto" w:fill="auto"/>
            <w:vAlign w:val="bottom"/>
            <w:hideMark/>
          </w:tcPr>
          <w:p w14:paraId="0C42F8CA" w14:textId="77777777" w:rsidR="009A2875" w:rsidRDefault="009A2875">
            <w:pPr>
              <w:rPr>
                <w:i/>
                <w:iCs/>
                <w:sz w:val="20"/>
                <w:szCs w:val="20"/>
              </w:rPr>
            </w:pPr>
            <w:r>
              <w:rPr>
                <w:i/>
                <w:iCs/>
                <w:sz w:val="20"/>
                <w:szCs w:val="20"/>
              </w:rPr>
              <w:t xml:space="preserve">Hrvatska banka za obnovu i razvitak - ugovor sklopljen 30.12.2020. na iznos od 1.654.489,44 kn, rok vraćanja 7 godina uz poček od 6 mjeseci, kamatna stopa 0,50%, namjena: energetska obnova javne rasvjete - zamjena LED rasvjetom </w:t>
            </w:r>
          </w:p>
        </w:tc>
        <w:tc>
          <w:tcPr>
            <w:tcW w:w="1465" w:type="dxa"/>
            <w:tcBorders>
              <w:top w:val="nil"/>
              <w:left w:val="nil"/>
              <w:bottom w:val="nil"/>
              <w:right w:val="nil"/>
            </w:tcBorders>
            <w:shd w:val="clear" w:color="auto" w:fill="auto"/>
            <w:noWrap/>
            <w:vAlign w:val="bottom"/>
            <w:hideMark/>
          </w:tcPr>
          <w:p w14:paraId="004F0E9D" w14:textId="77777777" w:rsidR="009A2875" w:rsidRDefault="009A2875">
            <w:pPr>
              <w:jc w:val="right"/>
              <w:rPr>
                <w:i/>
                <w:iCs/>
                <w:sz w:val="20"/>
                <w:szCs w:val="20"/>
              </w:rPr>
            </w:pPr>
            <w:r>
              <w:rPr>
                <w:i/>
                <w:iCs/>
                <w:sz w:val="20"/>
                <w:szCs w:val="20"/>
              </w:rPr>
              <w:t>59.088,91</w:t>
            </w:r>
          </w:p>
        </w:tc>
        <w:tc>
          <w:tcPr>
            <w:tcW w:w="1416" w:type="dxa"/>
            <w:tcBorders>
              <w:top w:val="nil"/>
              <w:left w:val="nil"/>
              <w:bottom w:val="nil"/>
              <w:right w:val="nil"/>
            </w:tcBorders>
            <w:shd w:val="clear" w:color="auto" w:fill="auto"/>
            <w:noWrap/>
            <w:vAlign w:val="bottom"/>
            <w:hideMark/>
          </w:tcPr>
          <w:p w14:paraId="73F05D78" w14:textId="77777777" w:rsidR="009A2875" w:rsidRDefault="009A2875">
            <w:pPr>
              <w:jc w:val="right"/>
              <w:rPr>
                <w:i/>
                <w:iCs/>
                <w:sz w:val="20"/>
                <w:szCs w:val="20"/>
              </w:rPr>
            </w:pPr>
            <w:r>
              <w:rPr>
                <w:i/>
                <w:iCs/>
                <w:sz w:val="20"/>
                <w:szCs w:val="20"/>
              </w:rPr>
              <w:t>236.355,64</w:t>
            </w:r>
          </w:p>
        </w:tc>
        <w:tc>
          <w:tcPr>
            <w:tcW w:w="981" w:type="dxa"/>
            <w:tcBorders>
              <w:top w:val="nil"/>
              <w:left w:val="nil"/>
              <w:bottom w:val="nil"/>
              <w:right w:val="nil"/>
            </w:tcBorders>
            <w:shd w:val="clear" w:color="auto" w:fill="auto"/>
            <w:noWrap/>
            <w:vAlign w:val="bottom"/>
            <w:hideMark/>
          </w:tcPr>
          <w:p w14:paraId="673ECCE3" w14:textId="77777777" w:rsidR="009A2875" w:rsidRDefault="009A2875">
            <w:pPr>
              <w:jc w:val="right"/>
              <w:rPr>
                <w:i/>
                <w:iCs/>
                <w:sz w:val="20"/>
                <w:szCs w:val="20"/>
              </w:rPr>
            </w:pPr>
          </w:p>
        </w:tc>
      </w:tr>
      <w:tr w:rsidR="009A2875" w14:paraId="4554C662" w14:textId="77777777" w:rsidTr="009A2875">
        <w:trPr>
          <w:trHeight w:val="300"/>
        </w:trPr>
        <w:tc>
          <w:tcPr>
            <w:tcW w:w="714" w:type="dxa"/>
            <w:tcBorders>
              <w:top w:val="nil"/>
              <w:left w:val="nil"/>
              <w:bottom w:val="nil"/>
              <w:right w:val="nil"/>
            </w:tcBorders>
            <w:shd w:val="clear" w:color="auto" w:fill="auto"/>
            <w:noWrap/>
            <w:vAlign w:val="bottom"/>
            <w:hideMark/>
          </w:tcPr>
          <w:p w14:paraId="157B2048" w14:textId="77777777" w:rsidR="009A2875" w:rsidRDefault="009A2875">
            <w:pPr>
              <w:jc w:val="right"/>
              <w:rPr>
                <w:b/>
                <w:bCs/>
                <w:sz w:val="20"/>
                <w:szCs w:val="20"/>
              </w:rPr>
            </w:pPr>
            <w:r>
              <w:rPr>
                <w:b/>
                <w:bCs/>
                <w:sz w:val="20"/>
                <w:szCs w:val="20"/>
              </w:rPr>
              <w:t>544</w:t>
            </w:r>
          </w:p>
        </w:tc>
        <w:tc>
          <w:tcPr>
            <w:tcW w:w="8311" w:type="dxa"/>
            <w:tcBorders>
              <w:top w:val="nil"/>
              <w:left w:val="nil"/>
              <w:bottom w:val="nil"/>
              <w:right w:val="nil"/>
            </w:tcBorders>
            <w:shd w:val="clear" w:color="auto" w:fill="auto"/>
            <w:noWrap/>
            <w:vAlign w:val="bottom"/>
            <w:hideMark/>
          </w:tcPr>
          <w:p w14:paraId="2F921E88" w14:textId="2BB0CF22" w:rsidR="009A2875" w:rsidRDefault="009A2875">
            <w:pPr>
              <w:rPr>
                <w:b/>
                <w:bCs/>
                <w:sz w:val="20"/>
                <w:szCs w:val="20"/>
              </w:rPr>
            </w:pPr>
            <w:r>
              <w:rPr>
                <w:b/>
                <w:bCs/>
                <w:sz w:val="20"/>
                <w:szCs w:val="20"/>
              </w:rPr>
              <w:t xml:space="preserve">Otplata glavnice primljenih kredita i zajmova od kreditnih i ostalih financijskih institucija izvan </w:t>
            </w:r>
            <w:r w:rsidR="009F61F7">
              <w:rPr>
                <w:b/>
                <w:bCs/>
                <w:sz w:val="20"/>
                <w:szCs w:val="20"/>
              </w:rPr>
              <w:t>javnog sektora</w:t>
            </w:r>
          </w:p>
        </w:tc>
        <w:tc>
          <w:tcPr>
            <w:tcW w:w="1465" w:type="dxa"/>
            <w:tcBorders>
              <w:top w:val="nil"/>
              <w:left w:val="nil"/>
              <w:bottom w:val="nil"/>
              <w:right w:val="nil"/>
            </w:tcBorders>
            <w:shd w:val="clear" w:color="auto" w:fill="auto"/>
            <w:noWrap/>
            <w:vAlign w:val="bottom"/>
            <w:hideMark/>
          </w:tcPr>
          <w:p w14:paraId="13AA1FF9" w14:textId="77777777" w:rsidR="009A2875" w:rsidRDefault="009A2875">
            <w:pPr>
              <w:jc w:val="right"/>
              <w:rPr>
                <w:b/>
                <w:bCs/>
                <w:sz w:val="20"/>
                <w:szCs w:val="20"/>
              </w:rPr>
            </w:pPr>
            <w:r>
              <w:rPr>
                <w:b/>
                <w:bCs/>
                <w:sz w:val="20"/>
                <w:szCs w:val="20"/>
              </w:rPr>
              <w:t>1.565.315,26</w:t>
            </w:r>
          </w:p>
        </w:tc>
        <w:tc>
          <w:tcPr>
            <w:tcW w:w="1416" w:type="dxa"/>
            <w:tcBorders>
              <w:top w:val="nil"/>
              <w:left w:val="nil"/>
              <w:bottom w:val="nil"/>
              <w:right w:val="nil"/>
            </w:tcBorders>
            <w:shd w:val="clear" w:color="auto" w:fill="auto"/>
            <w:noWrap/>
            <w:vAlign w:val="bottom"/>
            <w:hideMark/>
          </w:tcPr>
          <w:p w14:paraId="009961C3" w14:textId="77777777" w:rsidR="009A2875" w:rsidRDefault="009A2875">
            <w:pPr>
              <w:jc w:val="right"/>
              <w:rPr>
                <w:b/>
                <w:bCs/>
                <w:sz w:val="20"/>
                <w:szCs w:val="20"/>
              </w:rPr>
            </w:pPr>
            <w:r>
              <w:rPr>
                <w:b/>
                <w:bCs/>
                <w:sz w:val="20"/>
                <w:szCs w:val="20"/>
              </w:rPr>
              <w:t>572.821,94</w:t>
            </w:r>
          </w:p>
        </w:tc>
        <w:tc>
          <w:tcPr>
            <w:tcW w:w="981" w:type="dxa"/>
            <w:tcBorders>
              <w:top w:val="nil"/>
              <w:left w:val="nil"/>
              <w:bottom w:val="nil"/>
              <w:right w:val="nil"/>
            </w:tcBorders>
            <w:shd w:val="clear" w:color="auto" w:fill="auto"/>
            <w:noWrap/>
            <w:vAlign w:val="bottom"/>
            <w:hideMark/>
          </w:tcPr>
          <w:p w14:paraId="17482233" w14:textId="77777777" w:rsidR="009A2875" w:rsidRDefault="009A2875">
            <w:pPr>
              <w:jc w:val="right"/>
              <w:rPr>
                <w:b/>
                <w:bCs/>
                <w:sz w:val="20"/>
                <w:szCs w:val="20"/>
              </w:rPr>
            </w:pPr>
            <w:r>
              <w:rPr>
                <w:b/>
                <w:bCs/>
                <w:sz w:val="20"/>
                <w:szCs w:val="20"/>
              </w:rPr>
              <w:t>36,59</w:t>
            </w:r>
          </w:p>
        </w:tc>
      </w:tr>
      <w:tr w:rsidR="009A2875" w14:paraId="344B16D0" w14:textId="77777777" w:rsidTr="009A2875">
        <w:trPr>
          <w:trHeight w:val="300"/>
        </w:trPr>
        <w:tc>
          <w:tcPr>
            <w:tcW w:w="714" w:type="dxa"/>
            <w:tcBorders>
              <w:top w:val="nil"/>
              <w:left w:val="nil"/>
              <w:bottom w:val="nil"/>
              <w:right w:val="nil"/>
            </w:tcBorders>
            <w:shd w:val="clear" w:color="auto" w:fill="auto"/>
            <w:noWrap/>
            <w:vAlign w:val="bottom"/>
            <w:hideMark/>
          </w:tcPr>
          <w:p w14:paraId="604B8A5C" w14:textId="77777777" w:rsidR="009A2875" w:rsidRDefault="009A2875">
            <w:pPr>
              <w:jc w:val="right"/>
              <w:rPr>
                <w:sz w:val="20"/>
                <w:szCs w:val="20"/>
              </w:rPr>
            </w:pPr>
            <w:r>
              <w:rPr>
                <w:sz w:val="20"/>
                <w:szCs w:val="20"/>
              </w:rPr>
              <w:t>5443</w:t>
            </w:r>
          </w:p>
        </w:tc>
        <w:tc>
          <w:tcPr>
            <w:tcW w:w="8311" w:type="dxa"/>
            <w:tcBorders>
              <w:top w:val="nil"/>
              <w:left w:val="nil"/>
              <w:bottom w:val="nil"/>
              <w:right w:val="nil"/>
            </w:tcBorders>
            <w:shd w:val="clear" w:color="auto" w:fill="auto"/>
            <w:noWrap/>
            <w:vAlign w:val="bottom"/>
            <w:hideMark/>
          </w:tcPr>
          <w:p w14:paraId="4D07CB08" w14:textId="77777777" w:rsidR="009A2875" w:rsidRDefault="009A2875">
            <w:pPr>
              <w:rPr>
                <w:sz w:val="20"/>
                <w:szCs w:val="20"/>
              </w:rPr>
            </w:pPr>
            <w:r>
              <w:rPr>
                <w:sz w:val="20"/>
                <w:szCs w:val="20"/>
              </w:rPr>
              <w:t xml:space="preserve">Otplata glavnice primljenih kredita od tuzemnih kreditnih institucija izvan javnog sektora          </w:t>
            </w:r>
          </w:p>
        </w:tc>
        <w:tc>
          <w:tcPr>
            <w:tcW w:w="1465" w:type="dxa"/>
            <w:tcBorders>
              <w:top w:val="nil"/>
              <w:left w:val="nil"/>
              <w:bottom w:val="nil"/>
              <w:right w:val="nil"/>
            </w:tcBorders>
            <w:shd w:val="clear" w:color="auto" w:fill="auto"/>
            <w:noWrap/>
            <w:vAlign w:val="bottom"/>
            <w:hideMark/>
          </w:tcPr>
          <w:p w14:paraId="3F04C30E" w14:textId="77777777" w:rsidR="009A2875" w:rsidRDefault="009A2875">
            <w:pPr>
              <w:jc w:val="right"/>
              <w:rPr>
                <w:sz w:val="20"/>
                <w:szCs w:val="20"/>
              </w:rPr>
            </w:pPr>
            <w:r>
              <w:rPr>
                <w:sz w:val="20"/>
                <w:szCs w:val="20"/>
              </w:rPr>
              <w:t>1.565.315,26</w:t>
            </w:r>
          </w:p>
        </w:tc>
        <w:tc>
          <w:tcPr>
            <w:tcW w:w="1416" w:type="dxa"/>
            <w:tcBorders>
              <w:top w:val="nil"/>
              <w:left w:val="nil"/>
              <w:bottom w:val="nil"/>
              <w:right w:val="nil"/>
            </w:tcBorders>
            <w:shd w:val="clear" w:color="auto" w:fill="auto"/>
            <w:noWrap/>
            <w:vAlign w:val="bottom"/>
            <w:hideMark/>
          </w:tcPr>
          <w:p w14:paraId="34BBBF10" w14:textId="77777777" w:rsidR="009A2875" w:rsidRDefault="009A2875">
            <w:pPr>
              <w:jc w:val="right"/>
              <w:rPr>
                <w:sz w:val="20"/>
                <w:szCs w:val="20"/>
              </w:rPr>
            </w:pPr>
            <w:r>
              <w:rPr>
                <w:sz w:val="20"/>
                <w:szCs w:val="20"/>
              </w:rPr>
              <w:t>572.821,94</w:t>
            </w:r>
          </w:p>
        </w:tc>
        <w:tc>
          <w:tcPr>
            <w:tcW w:w="981" w:type="dxa"/>
            <w:tcBorders>
              <w:top w:val="nil"/>
              <w:left w:val="nil"/>
              <w:bottom w:val="nil"/>
              <w:right w:val="nil"/>
            </w:tcBorders>
            <w:shd w:val="clear" w:color="auto" w:fill="auto"/>
            <w:noWrap/>
            <w:vAlign w:val="bottom"/>
            <w:hideMark/>
          </w:tcPr>
          <w:p w14:paraId="219D8D86" w14:textId="77777777" w:rsidR="009A2875" w:rsidRDefault="009A2875">
            <w:pPr>
              <w:jc w:val="right"/>
              <w:rPr>
                <w:sz w:val="20"/>
                <w:szCs w:val="20"/>
              </w:rPr>
            </w:pPr>
            <w:r>
              <w:rPr>
                <w:sz w:val="20"/>
                <w:szCs w:val="20"/>
              </w:rPr>
              <w:t>0,00</w:t>
            </w:r>
          </w:p>
        </w:tc>
      </w:tr>
      <w:tr w:rsidR="009A2875" w14:paraId="244B9D68" w14:textId="77777777" w:rsidTr="009A2875">
        <w:trPr>
          <w:trHeight w:val="525"/>
        </w:trPr>
        <w:tc>
          <w:tcPr>
            <w:tcW w:w="714" w:type="dxa"/>
            <w:tcBorders>
              <w:top w:val="nil"/>
              <w:left w:val="nil"/>
              <w:bottom w:val="nil"/>
              <w:right w:val="nil"/>
            </w:tcBorders>
            <w:shd w:val="clear" w:color="auto" w:fill="auto"/>
            <w:noWrap/>
            <w:vAlign w:val="bottom"/>
            <w:hideMark/>
          </w:tcPr>
          <w:p w14:paraId="3FB6E7D4" w14:textId="77777777" w:rsidR="009A2875" w:rsidRDefault="009A2875">
            <w:pPr>
              <w:rPr>
                <w:sz w:val="20"/>
                <w:szCs w:val="20"/>
              </w:rPr>
            </w:pPr>
            <w:r>
              <w:rPr>
                <w:sz w:val="20"/>
                <w:szCs w:val="20"/>
              </w:rPr>
              <w:t>54431</w:t>
            </w:r>
          </w:p>
        </w:tc>
        <w:tc>
          <w:tcPr>
            <w:tcW w:w="8311" w:type="dxa"/>
            <w:tcBorders>
              <w:top w:val="nil"/>
              <w:left w:val="nil"/>
              <w:bottom w:val="nil"/>
              <w:right w:val="nil"/>
            </w:tcBorders>
            <w:shd w:val="clear" w:color="auto" w:fill="auto"/>
            <w:vAlign w:val="bottom"/>
            <w:hideMark/>
          </w:tcPr>
          <w:p w14:paraId="66E887AE" w14:textId="77777777" w:rsidR="009A2875" w:rsidRDefault="009A2875">
            <w:pPr>
              <w:rPr>
                <w:sz w:val="20"/>
                <w:szCs w:val="20"/>
              </w:rPr>
            </w:pPr>
            <w:r>
              <w:rPr>
                <w:sz w:val="20"/>
                <w:szCs w:val="20"/>
              </w:rPr>
              <w:t>Otplata glavnice primljenih kredita od tuzemnih kreditnih institucija izvan javnog sektora - kratkoročnih</w:t>
            </w:r>
          </w:p>
        </w:tc>
        <w:tc>
          <w:tcPr>
            <w:tcW w:w="1465" w:type="dxa"/>
            <w:tcBorders>
              <w:top w:val="nil"/>
              <w:left w:val="nil"/>
              <w:bottom w:val="nil"/>
              <w:right w:val="nil"/>
            </w:tcBorders>
            <w:shd w:val="clear" w:color="auto" w:fill="auto"/>
            <w:noWrap/>
            <w:vAlign w:val="bottom"/>
            <w:hideMark/>
          </w:tcPr>
          <w:p w14:paraId="01AA0BFC" w14:textId="77777777" w:rsidR="009A2875" w:rsidRDefault="009A2875">
            <w:pPr>
              <w:jc w:val="right"/>
              <w:rPr>
                <w:sz w:val="20"/>
                <w:szCs w:val="20"/>
              </w:rPr>
            </w:pPr>
            <w:r>
              <w:rPr>
                <w:sz w:val="20"/>
                <w:szCs w:val="20"/>
              </w:rPr>
              <w:t>1.427.935,63</w:t>
            </w:r>
          </w:p>
        </w:tc>
        <w:tc>
          <w:tcPr>
            <w:tcW w:w="1416" w:type="dxa"/>
            <w:tcBorders>
              <w:top w:val="nil"/>
              <w:left w:val="nil"/>
              <w:bottom w:val="nil"/>
              <w:right w:val="nil"/>
            </w:tcBorders>
            <w:shd w:val="clear" w:color="auto" w:fill="auto"/>
            <w:noWrap/>
            <w:vAlign w:val="bottom"/>
            <w:hideMark/>
          </w:tcPr>
          <w:p w14:paraId="739A79FE" w14:textId="77777777" w:rsidR="009A2875" w:rsidRDefault="009A2875">
            <w:pPr>
              <w:jc w:val="right"/>
              <w:rPr>
                <w:sz w:val="20"/>
                <w:szCs w:val="20"/>
              </w:rPr>
            </w:pPr>
            <w:r>
              <w:rPr>
                <w:sz w:val="20"/>
                <w:szCs w:val="20"/>
              </w:rPr>
              <w:t>0,00</w:t>
            </w:r>
          </w:p>
        </w:tc>
        <w:tc>
          <w:tcPr>
            <w:tcW w:w="981" w:type="dxa"/>
            <w:tcBorders>
              <w:top w:val="nil"/>
              <w:left w:val="nil"/>
              <w:bottom w:val="nil"/>
              <w:right w:val="nil"/>
            </w:tcBorders>
            <w:shd w:val="clear" w:color="auto" w:fill="auto"/>
            <w:noWrap/>
            <w:vAlign w:val="bottom"/>
            <w:hideMark/>
          </w:tcPr>
          <w:p w14:paraId="0846EF01" w14:textId="77777777" w:rsidR="009A2875" w:rsidRDefault="009A2875">
            <w:pPr>
              <w:jc w:val="right"/>
              <w:rPr>
                <w:sz w:val="20"/>
                <w:szCs w:val="20"/>
              </w:rPr>
            </w:pPr>
          </w:p>
        </w:tc>
      </w:tr>
      <w:tr w:rsidR="009A2875" w14:paraId="48A5F96C" w14:textId="77777777" w:rsidTr="009A2875">
        <w:trPr>
          <w:trHeight w:val="525"/>
        </w:trPr>
        <w:tc>
          <w:tcPr>
            <w:tcW w:w="714" w:type="dxa"/>
            <w:tcBorders>
              <w:top w:val="nil"/>
              <w:left w:val="nil"/>
              <w:bottom w:val="nil"/>
              <w:right w:val="nil"/>
            </w:tcBorders>
            <w:shd w:val="clear" w:color="auto" w:fill="auto"/>
            <w:noWrap/>
            <w:vAlign w:val="bottom"/>
            <w:hideMark/>
          </w:tcPr>
          <w:p w14:paraId="03E2606C" w14:textId="77777777" w:rsidR="009A2875" w:rsidRDefault="009A2875">
            <w:pPr>
              <w:rPr>
                <w:sz w:val="20"/>
                <w:szCs w:val="20"/>
              </w:rPr>
            </w:pPr>
          </w:p>
        </w:tc>
        <w:tc>
          <w:tcPr>
            <w:tcW w:w="8311" w:type="dxa"/>
            <w:tcBorders>
              <w:top w:val="nil"/>
              <w:left w:val="nil"/>
              <w:bottom w:val="nil"/>
              <w:right w:val="nil"/>
            </w:tcBorders>
            <w:shd w:val="clear" w:color="auto" w:fill="auto"/>
            <w:vAlign w:val="bottom"/>
            <w:hideMark/>
          </w:tcPr>
          <w:p w14:paraId="1E99C735" w14:textId="77777777" w:rsidR="009A2875" w:rsidRDefault="009A2875">
            <w:pPr>
              <w:rPr>
                <w:i/>
                <w:iCs/>
                <w:sz w:val="20"/>
                <w:szCs w:val="20"/>
              </w:rPr>
            </w:pPr>
            <w:r>
              <w:rPr>
                <w:i/>
                <w:iCs/>
                <w:sz w:val="20"/>
                <w:szCs w:val="20"/>
              </w:rPr>
              <w:t>Zagrebačka banka d.d. - ugovor sklopljen 26.05.2020. na iznos od 7.500.000,00 kn, rok vraćanja 26.05.2021., kamatna stopa 1,00%</w:t>
            </w:r>
          </w:p>
        </w:tc>
        <w:tc>
          <w:tcPr>
            <w:tcW w:w="1465" w:type="dxa"/>
            <w:tcBorders>
              <w:top w:val="nil"/>
              <w:left w:val="nil"/>
              <w:bottom w:val="nil"/>
              <w:right w:val="nil"/>
            </w:tcBorders>
            <w:shd w:val="clear" w:color="auto" w:fill="auto"/>
            <w:noWrap/>
            <w:vAlign w:val="bottom"/>
            <w:hideMark/>
          </w:tcPr>
          <w:p w14:paraId="0C7C0A08" w14:textId="77777777" w:rsidR="009A2875" w:rsidRDefault="009A2875">
            <w:pPr>
              <w:jc w:val="right"/>
              <w:rPr>
                <w:i/>
                <w:iCs/>
                <w:sz w:val="20"/>
                <w:szCs w:val="20"/>
              </w:rPr>
            </w:pPr>
            <w:r>
              <w:rPr>
                <w:i/>
                <w:iCs/>
                <w:sz w:val="20"/>
                <w:szCs w:val="20"/>
              </w:rPr>
              <w:t>1.427.935,63</w:t>
            </w:r>
          </w:p>
        </w:tc>
        <w:tc>
          <w:tcPr>
            <w:tcW w:w="1416" w:type="dxa"/>
            <w:tcBorders>
              <w:top w:val="nil"/>
              <w:left w:val="nil"/>
              <w:bottom w:val="nil"/>
              <w:right w:val="nil"/>
            </w:tcBorders>
            <w:shd w:val="clear" w:color="auto" w:fill="auto"/>
            <w:noWrap/>
            <w:vAlign w:val="bottom"/>
            <w:hideMark/>
          </w:tcPr>
          <w:p w14:paraId="0D999D37" w14:textId="77777777" w:rsidR="009A2875" w:rsidRDefault="009A2875">
            <w:pPr>
              <w:jc w:val="right"/>
              <w:rPr>
                <w:i/>
                <w:iCs/>
                <w:sz w:val="20"/>
                <w:szCs w:val="20"/>
              </w:rPr>
            </w:pPr>
            <w:r>
              <w:rPr>
                <w:i/>
                <w:iCs/>
                <w:sz w:val="20"/>
                <w:szCs w:val="20"/>
              </w:rPr>
              <w:t>0,00</w:t>
            </w:r>
          </w:p>
        </w:tc>
        <w:tc>
          <w:tcPr>
            <w:tcW w:w="981" w:type="dxa"/>
            <w:tcBorders>
              <w:top w:val="nil"/>
              <w:left w:val="nil"/>
              <w:bottom w:val="nil"/>
              <w:right w:val="nil"/>
            </w:tcBorders>
            <w:shd w:val="clear" w:color="auto" w:fill="auto"/>
            <w:noWrap/>
            <w:vAlign w:val="bottom"/>
            <w:hideMark/>
          </w:tcPr>
          <w:p w14:paraId="59310552" w14:textId="77777777" w:rsidR="009A2875" w:rsidRDefault="009A2875">
            <w:pPr>
              <w:jc w:val="right"/>
              <w:rPr>
                <w:i/>
                <w:iCs/>
                <w:sz w:val="20"/>
                <w:szCs w:val="20"/>
              </w:rPr>
            </w:pPr>
          </w:p>
        </w:tc>
      </w:tr>
      <w:tr w:rsidR="009A2875" w14:paraId="439FC5DB" w14:textId="77777777" w:rsidTr="009A2875">
        <w:trPr>
          <w:trHeight w:val="525"/>
        </w:trPr>
        <w:tc>
          <w:tcPr>
            <w:tcW w:w="714" w:type="dxa"/>
            <w:tcBorders>
              <w:top w:val="nil"/>
              <w:left w:val="nil"/>
              <w:bottom w:val="nil"/>
              <w:right w:val="nil"/>
            </w:tcBorders>
            <w:shd w:val="clear" w:color="auto" w:fill="auto"/>
            <w:noWrap/>
            <w:vAlign w:val="bottom"/>
            <w:hideMark/>
          </w:tcPr>
          <w:p w14:paraId="225E8DE3" w14:textId="77777777" w:rsidR="009A2875" w:rsidRDefault="009A2875">
            <w:pPr>
              <w:rPr>
                <w:i/>
                <w:iCs/>
                <w:sz w:val="20"/>
                <w:szCs w:val="20"/>
              </w:rPr>
            </w:pPr>
            <w:r>
              <w:rPr>
                <w:i/>
                <w:iCs/>
                <w:sz w:val="20"/>
                <w:szCs w:val="20"/>
              </w:rPr>
              <w:t>54432</w:t>
            </w:r>
          </w:p>
        </w:tc>
        <w:tc>
          <w:tcPr>
            <w:tcW w:w="8311" w:type="dxa"/>
            <w:tcBorders>
              <w:top w:val="nil"/>
              <w:left w:val="nil"/>
              <w:bottom w:val="nil"/>
              <w:right w:val="nil"/>
            </w:tcBorders>
            <w:shd w:val="clear" w:color="auto" w:fill="auto"/>
            <w:vAlign w:val="bottom"/>
            <w:hideMark/>
          </w:tcPr>
          <w:p w14:paraId="2075F54A" w14:textId="77777777" w:rsidR="009A2875" w:rsidRDefault="009A2875">
            <w:pPr>
              <w:rPr>
                <w:sz w:val="20"/>
                <w:szCs w:val="20"/>
              </w:rPr>
            </w:pPr>
            <w:r>
              <w:rPr>
                <w:sz w:val="20"/>
                <w:szCs w:val="20"/>
              </w:rPr>
              <w:t>Otplata glavnice primljenih kredita od tuzemnih kreditnih institucija izvan javnog sektora - dugoročnih</w:t>
            </w:r>
          </w:p>
        </w:tc>
        <w:tc>
          <w:tcPr>
            <w:tcW w:w="1465" w:type="dxa"/>
            <w:tcBorders>
              <w:top w:val="nil"/>
              <w:left w:val="nil"/>
              <w:bottom w:val="nil"/>
              <w:right w:val="nil"/>
            </w:tcBorders>
            <w:shd w:val="clear" w:color="auto" w:fill="auto"/>
            <w:noWrap/>
            <w:vAlign w:val="bottom"/>
            <w:hideMark/>
          </w:tcPr>
          <w:p w14:paraId="684FD7B8" w14:textId="77777777" w:rsidR="009A2875" w:rsidRDefault="009A2875">
            <w:pPr>
              <w:jc w:val="right"/>
              <w:rPr>
                <w:i/>
                <w:iCs/>
                <w:sz w:val="20"/>
                <w:szCs w:val="20"/>
              </w:rPr>
            </w:pPr>
            <w:r>
              <w:rPr>
                <w:i/>
                <w:iCs/>
                <w:sz w:val="20"/>
                <w:szCs w:val="20"/>
              </w:rPr>
              <w:t>137.379,63</w:t>
            </w:r>
          </w:p>
        </w:tc>
        <w:tc>
          <w:tcPr>
            <w:tcW w:w="1416" w:type="dxa"/>
            <w:tcBorders>
              <w:top w:val="nil"/>
              <w:left w:val="nil"/>
              <w:bottom w:val="nil"/>
              <w:right w:val="nil"/>
            </w:tcBorders>
            <w:shd w:val="clear" w:color="auto" w:fill="auto"/>
            <w:noWrap/>
            <w:vAlign w:val="bottom"/>
            <w:hideMark/>
          </w:tcPr>
          <w:p w14:paraId="5A13A4C1" w14:textId="77777777" w:rsidR="009A2875" w:rsidRDefault="009A2875">
            <w:pPr>
              <w:jc w:val="right"/>
              <w:rPr>
                <w:i/>
                <w:iCs/>
                <w:sz w:val="20"/>
                <w:szCs w:val="20"/>
              </w:rPr>
            </w:pPr>
            <w:r>
              <w:rPr>
                <w:i/>
                <w:iCs/>
                <w:sz w:val="20"/>
                <w:szCs w:val="20"/>
              </w:rPr>
              <w:t>572.821,94</w:t>
            </w:r>
          </w:p>
        </w:tc>
        <w:tc>
          <w:tcPr>
            <w:tcW w:w="981" w:type="dxa"/>
            <w:tcBorders>
              <w:top w:val="nil"/>
              <w:left w:val="nil"/>
              <w:bottom w:val="nil"/>
              <w:right w:val="nil"/>
            </w:tcBorders>
            <w:shd w:val="clear" w:color="auto" w:fill="auto"/>
            <w:noWrap/>
            <w:vAlign w:val="bottom"/>
            <w:hideMark/>
          </w:tcPr>
          <w:p w14:paraId="3EA46411" w14:textId="77777777" w:rsidR="009A2875" w:rsidRDefault="009A2875">
            <w:pPr>
              <w:jc w:val="right"/>
              <w:rPr>
                <w:i/>
                <w:iCs/>
                <w:sz w:val="20"/>
                <w:szCs w:val="20"/>
              </w:rPr>
            </w:pPr>
          </w:p>
        </w:tc>
      </w:tr>
      <w:tr w:rsidR="009A2875" w14:paraId="5874EAE9" w14:textId="77777777" w:rsidTr="009A2875">
        <w:trPr>
          <w:trHeight w:val="1035"/>
        </w:trPr>
        <w:tc>
          <w:tcPr>
            <w:tcW w:w="714" w:type="dxa"/>
            <w:tcBorders>
              <w:top w:val="nil"/>
              <w:left w:val="nil"/>
              <w:bottom w:val="nil"/>
              <w:right w:val="nil"/>
            </w:tcBorders>
            <w:shd w:val="clear" w:color="auto" w:fill="auto"/>
            <w:noWrap/>
            <w:vAlign w:val="bottom"/>
            <w:hideMark/>
          </w:tcPr>
          <w:p w14:paraId="637628B1" w14:textId="77777777" w:rsidR="009A2875" w:rsidRDefault="009A2875">
            <w:pPr>
              <w:rPr>
                <w:sz w:val="20"/>
                <w:szCs w:val="20"/>
              </w:rPr>
            </w:pPr>
          </w:p>
        </w:tc>
        <w:tc>
          <w:tcPr>
            <w:tcW w:w="8311" w:type="dxa"/>
            <w:tcBorders>
              <w:top w:val="nil"/>
              <w:left w:val="nil"/>
              <w:bottom w:val="nil"/>
              <w:right w:val="nil"/>
            </w:tcBorders>
            <w:shd w:val="clear" w:color="auto" w:fill="auto"/>
            <w:vAlign w:val="bottom"/>
            <w:hideMark/>
          </w:tcPr>
          <w:p w14:paraId="4703E8BD" w14:textId="270BBC57" w:rsidR="009A2875" w:rsidRDefault="009A2875">
            <w:pPr>
              <w:rPr>
                <w:i/>
                <w:iCs/>
                <w:sz w:val="20"/>
                <w:szCs w:val="20"/>
              </w:rPr>
            </w:pPr>
            <w:r>
              <w:rPr>
                <w:i/>
                <w:iCs/>
                <w:sz w:val="20"/>
                <w:szCs w:val="20"/>
              </w:rPr>
              <w:t xml:space="preserve">Istarska kreditna banka Umag d.d. - ugovor sklopljen 18.09.2019. na iznos do 4.089.561,00 kn, rok vraćanja 10 godina (uključujući godinu dana počeka), kamatna stopa 1,20%, namjena: energetska obnova zgrade Centra za inkluziju i zgrade Gradske uprave </w:t>
            </w:r>
          </w:p>
        </w:tc>
        <w:tc>
          <w:tcPr>
            <w:tcW w:w="1465" w:type="dxa"/>
            <w:tcBorders>
              <w:top w:val="nil"/>
              <w:left w:val="nil"/>
              <w:bottom w:val="nil"/>
              <w:right w:val="nil"/>
            </w:tcBorders>
            <w:shd w:val="clear" w:color="auto" w:fill="auto"/>
            <w:noWrap/>
            <w:vAlign w:val="bottom"/>
            <w:hideMark/>
          </w:tcPr>
          <w:p w14:paraId="7C047DB6" w14:textId="77777777" w:rsidR="009A2875" w:rsidRDefault="009A2875">
            <w:pPr>
              <w:jc w:val="right"/>
              <w:rPr>
                <w:i/>
                <w:iCs/>
                <w:sz w:val="20"/>
                <w:szCs w:val="20"/>
              </w:rPr>
            </w:pPr>
            <w:r>
              <w:rPr>
                <w:i/>
                <w:iCs/>
                <w:sz w:val="20"/>
                <w:szCs w:val="20"/>
              </w:rPr>
              <w:t>137.379,63</w:t>
            </w:r>
          </w:p>
        </w:tc>
        <w:tc>
          <w:tcPr>
            <w:tcW w:w="1416" w:type="dxa"/>
            <w:tcBorders>
              <w:top w:val="nil"/>
              <w:left w:val="nil"/>
              <w:bottom w:val="nil"/>
              <w:right w:val="nil"/>
            </w:tcBorders>
            <w:shd w:val="clear" w:color="auto" w:fill="auto"/>
            <w:noWrap/>
            <w:vAlign w:val="bottom"/>
            <w:hideMark/>
          </w:tcPr>
          <w:p w14:paraId="5357B444" w14:textId="77777777" w:rsidR="009A2875" w:rsidRDefault="009A2875">
            <w:pPr>
              <w:jc w:val="right"/>
              <w:rPr>
                <w:i/>
                <w:iCs/>
                <w:sz w:val="20"/>
                <w:szCs w:val="20"/>
              </w:rPr>
            </w:pPr>
            <w:r>
              <w:rPr>
                <w:i/>
                <w:iCs/>
                <w:sz w:val="20"/>
                <w:szCs w:val="20"/>
              </w:rPr>
              <w:t>183.172,84</w:t>
            </w:r>
          </w:p>
        </w:tc>
        <w:tc>
          <w:tcPr>
            <w:tcW w:w="981" w:type="dxa"/>
            <w:tcBorders>
              <w:top w:val="nil"/>
              <w:left w:val="nil"/>
              <w:bottom w:val="nil"/>
              <w:right w:val="nil"/>
            </w:tcBorders>
            <w:shd w:val="clear" w:color="auto" w:fill="auto"/>
            <w:noWrap/>
            <w:vAlign w:val="bottom"/>
            <w:hideMark/>
          </w:tcPr>
          <w:p w14:paraId="66AB6600" w14:textId="77777777" w:rsidR="009A2875" w:rsidRDefault="009A2875">
            <w:pPr>
              <w:jc w:val="right"/>
              <w:rPr>
                <w:i/>
                <w:iCs/>
                <w:sz w:val="20"/>
                <w:szCs w:val="20"/>
              </w:rPr>
            </w:pPr>
          </w:p>
        </w:tc>
      </w:tr>
      <w:tr w:rsidR="009A2875" w14:paraId="36E88C77" w14:textId="77777777" w:rsidTr="009A2875">
        <w:trPr>
          <w:trHeight w:val="1290"/>
        </w:trPr>
        <w:tc>
          <w:tcPr>
            <w:tcW w:w="714" w:type="dxa"/>
            <w:tcBorders>
              <w:top w:val="nil"/>
              <w:left w:val="nil"/>
              <w:bottom w:val="nil"/>
              <w:right w:val="nil"/>
            </w:tcBorders>
            <w:shd w:val="clear" w:color="auto" w:fill="auto"/>
            <w:noWrap/>
            <w:vAlign w:val="bottom"/>
            <w:hideMark/>
          </w:tcPr>
          <w:p w14:paraId="1864CF7A" w14:textId="77777777" w:rsidR="009A2875" w:rsidRDefault="009A2875">
            <w:pPr>
              <w:rPr>
                <w:sz w:val="20"/>
                <w:szCs w:val="20"/>
              </w:rPr>
            </w:pPr>
          </w:p>
        </w:tc>
        <w:tc>
          <w:tcPr>
            <w:tcW w:w="8311" w:type="dxa"/>
            <w:tcBorders>
              <w:top w:val="nil"/>
              <w:left w:val="nil"/>
              <w:bottom w:val="nil"/>
              <w:right w:val="nil"/>
            </w:tcBorders>
            <w:shd w:val="clear" w:color="auto" w:fill="auto"/>
            <w:vAlign w:val="bottom"/>
            <w:hideMark/>
          </w:tcPr>
          <w:p w14:paraId="6E784532" w14:textId="77777777" w:rsidR="009A2875" w:rsidRDefault="009A2875">
            <w:pPr>
              <w:rPr>
                <w:i/>
                <w:iCs/>
                <w:sz w:val="20"/>
                <w:szCs w:val="20"/>
              </w:rPr>
            </w:pPr>
            <w:r>
              <w:rPr>
                <w:i/>
                <w:iCs/>
                <w:sz w:val="20"/>
                <w:szCs w:val="20"/>
              </w:rPr>
              <w:t xml:space="preserve">Istarska kreditna banka Umag d.d. - ugovor sklopljen 04.05.2020. na iznos do 2.696.730,00 kn, rok vraćanja 10 godina (uključujući godinu dana počeka), kamatna stopa 1,20% u prvih 36 mjeseci nakon prijenosa kredita u otplatu, nakon toga postotak prinosa na trezorske zapise MF RH s dospijećem 364 dana +1,30 p.p., namjena: energetska obnova zgrade dječjeg vrtića </w:t>
            </w:r>
          </w:p>
        </w:tc>
        <w:tc>
          <w:tcPr>
            <w:tcW w:w="1465" w:type="dxa"/>
            <w:tcBorders>
              <w:top w:val="nil"/>
              <w:left w:val="nil"/>
              <w:bottom w:val="nil"/>
              <w:right w:val="nil"/>
            </w:tcBorders>
            <w:shd w:val="clear" w:color="auto" w:fill="auto"/>
            <w:noWrap/>
            <w:vAlign w:val="bottom"/>
            <w:hideMark/>
          </w:tcPr>
          <w:p w14:paraId="1703931E" w14:textId="77777777" w:rsidR="009A2875" w:rsidRDefault="009A2875">
            <w:pPr>
              <w:jc w:val="right"/>
              <w:rPr>
                <w:i/>
                <w:iCs/>
                <w:sz w:val="20"/>
                <w:szCs w:val="20"/>
              </w:rPr>
            </w:pPr>
            <w:r>
              <w:rPr>
                <w:i/>
                <w:iCs/>
                <w:sz w:val="20"/>
                <w:szCs w:val="20"/>
              </w:rPr>
              <w:t>0,00</w:t>
            </w:r>
          </w:p>
        </w:tc>
        <w:tc>
          <w:tcPr>
            <w:tcW w:w="1416" w:type="dxa"/>
            <w:tcBorders>
              <w:top w:val="nil"/>
              <w:left w:val="nil"/>
              <w:bottom w:val="nil"/>
              <w:right w:val="nil"/>
            </w:tcBorders>
            <w:shd w:val="clear" w:color="auto" w:fill="auto"/>
            <w:noWrap/>
            <w:vAlign w:val="bottom"/>
            <w:hideMark/>
          </w:tcPr>
          <w:p w14:paraId="7F2F946D" w14:textId="77777777" w:rsidR="009A2875" w:rsidRDefault="009A2875">
            <w:pPr>
              <w:jc w:val="right"/>
              <w:rPr>
                <w:i/>
                <w:iCs/>
                <w:sz w:val="20"/>
                <w:szCs w:val="20"/>
              </w:rPr>
            </w:pPr>
            <w:r>
              <w:rPr>
                <w:i/>
                <w:iCs/>
                <w:sz w:val="20"/>
                <w:szCs w:val="20"/>
              </w:rPr>
              <w:t>299.636,68</w:t>
            </w:r>
          </w:p>
        </w:tc>
        <w:tc>
          <w:tcPr>
            <w:tcW w:w="981" w:type="dxa"/>
            <w:tcBorders>
              <w:top w:val="nil"/>
              <w:left w:val="nil"/>
              <w:bottom w:val="nil"/>
              <w:right w:val="nil"/>
            </w:tcBorders>
            <w:shd w:val="clear" w:color="auto" w:fill="auto"/>
            <w:noWrap/>
            <w:vAlign w:val="bottom"/>
            <w:hideMark/>
          </w:tcPr>
          <w:p w14:paraId="5F5E1215" w14:textId="77777777" w:rsidR="009A2875" w:rsidRDefault="009A2875">
            <w:pPr>
              <w:jc w:val="right"/>
              <w:rPr>
                <w:i/>
                <w:iCs/>
                <w:sz w:val="20"/>
                <w:szCs w:val="20"/>
              </w:rPr>
            </w:pPr>
          </w:p>
        </w:tc>
      </w:tr>
      <w:tr w:rsidR="009A2875" w14:paraId="3ECFFB25" w14:textId="77777777" w:rsidTr="009A2875">
        <w:trPr>
          <w:trHeight w:val="1290"/>
        </w:trPr>
        <w:tc>
          <w:tcPr>
            <w:tcW w:w="714" w:type="dxa"/>
            <w:tcBorders>
              <w:top w:val="nil"/>
              <w:left w:val="nil"/>
              <w:bottom w:val="nil"/>
              <w:right w:val="nil"/>
            </w:tcBorders>
            <w:shd w:val="clear" w:color="auto" w:fill="auto"/>
            <w:noWrap/>
            <w:vAlign w:val="bottom"/>
            <w:hideMark/>
          </w:tcPr>
          <w:p w14:paraId="12618D18" w14:textId="77777777" w:rsidR="009A2875" w:rsidRDefault="009A2875">
            <w:pPr>
              <w:rPr>
                <w:sz w:val="20"/>
                <w:szCs w:val="20"/>
              </w:rPr>
            </w:pPr>
          </w:p>
        </w:tc>
        <w:tc>
          <w:tcPr>
            <w:tcW w:w="8311" w:type="dxa"/>
            <w:tcBorders>
              <w:top w:val="nil"/>
              <w:left w:val="nil"/>
              <w:bottom w:val="nil"/>
              <w:right w:val="nil"/>
            </w:tcBorders>
            <w:shd w:val="clear" w:color="auto" w:fill="auto"/>
            <w:vAlign w:val="bottom"/>
            <w:hideMark/>
          </w:tcPr>
          <w:p w14:paraId="436E9FB8" w14:textId="77777777" w:rsidR="009A2875" w:rsidRDefault="009A2875">
            <w:pPr>
              <w:rPr>
                <w:i/>
                <w:iCs/>
                <w:sz w:val="20"/>
                <w:szCs w:val="20"/>
              </w:rPr>
            </w:pPr>
            <w:r>
              <w:rPr>
                <w:i/>
                <w:iCs/>
                <w:sz w:val="20"/>
                <w:szCs w:val="20"/>
              </w:rPr>
              <w:t>Istarska kreditna banka Umag d.d. - ugovor sklopljen 08.01.2021. na iznos do 840.116,00 kn, rok vraćanja 7 godina i 6 mjeseci (sa uključenim počekom od 6 mjeseci), kamatna stopa 1,00% u prvih 24 mjeseci nakon prijenosa kredita u otplatu, nakon toga postotak prinosa na trezorske zapise MF RH s dospijećem 364 dana +1,30 p.p., namjena: energetska obnova javne rasvjete - zamjena LED rasvjetom</w:t>
            </w:r>
          </w:p>
        </w:tc>
        <w:tc>
          <w:tcPr>
            <w:tcW w:w="1465" w:type="dxa"/>
            <w:tcBorders>
              <w:top w:val="nil"/>
              <w:left w:val="nil"/>
              <w:bottom w:val="nil"/>
              <w:right w:val="nil"/>
            </w:tcBorders>
            <w:shd w:val="clear" w:color="auto" w:fill="auto"/>
            <w:noWrap/>
            <w:vAlign w:val="bottom"/>
            <w:hideMark/>
          </w:tcPr>
          <w:p w14:paraId="05F2330F" w14:textId="77777777" w:rsidR="009A2875" w:rsidRDefault="009A2875">
            <w:pPr>
              <w:jc w:val="right"/>
              <w:rPr>
                <w:i/>
                <w:iCs/>
                <w:sz w:val="20"/>
                <w:szCs w:val="20"/>
              </w:rPr>
            </w:pPr>
            <w:r>
              <w:rPr>
                <w:i/>
                <w:iCs/>
                <w:sz w:val="20"/>
                <w:szCs w:val="20"/>
              </w:rPr>
              <w:t>0,00</w:t>
            </w:r>
          </w:p>
        </w:tc>
        <w:tc>
          <w:tcPr>
            <w:tcW w:w="1416" w:type="dxa"/>
            <w:tcBorders>
              <w:top w:val="nil"/>
              <w:left w:val="nil"/>
              <w:bottom w:val="nil"/>
              <w:right w:val="nil"/>
            </w:tcBorders>
            <w:shd w:val="clear" w:color="auto" w:fill="auto"/>
            <w:noWrap/>
            <w:vAlign w:val="bottom"/>
            <w:hideMark/>
          </w:tcPr>
          <w:p w14:paraId="379D786D" w14:textId="77777777" w:rsidR="009A2875" w:rsidRDefault="009A2875">
            <w:pPr>
              <w:jc w:val="right"/>
              <w:rPr>
                <w:i/>
                <w:iCs/>
                <w:sz w:val="20"/>
                <w:szCs w:val="20"/>
              </w:rPr>
            </w:pPr>
            <w:r>
              <w:rPr>
                <w:i/>
                <w:iCs/>
                <w:sz w:val="20"/>
                <w:szCs w:val="20"/>
              </w:rPr>
              <w:t>90.012,42</w:t>
            </w:r>
          </w:p>
        </w:tc>
        <w:tc>
          <w:tcPr>
            <w:tcW w:w="981" w:type="dxa"/>
            <w:tcBorders>
              <w:top w:val="nil"/>
              <w:left w:val="nil"/>
              <w:bottom w:val="nil"/>
              <w:right w:val="nil"/>
            </w:tcBorders>
            <w:shd w:val="clear" w:color="auto" w:fill="auto"/>
            <w:noWrap/>
            <w:vAlign w:val="bottom"/>
            <w:hideMark/>
          </w:tcPr>
          <w:p w14:paraId="2F21CD5B" w14:textId="77777777" w:rsidR="009A2875" w:rsidRDefault="009A2875">
            <w:pPr>
              <w:jc w:val="right"/>
              <w:rPr>
                <w:i/>
                <w:iCs/>
                <w:sz w:val="20"/>
                <w:szCs w:val="20"/>
              </w:rPr>
            </w:pPr>
          </w:p>
        </w:tc>
      </w:tr>
      <w:tr w:rsidR="009A2875" w14:paraId="76177684" w14:textId="77777777" w:rsidTr="009A2875">
        <w:trPr>
          <w:trHeight w:val="300"/>
        </w:trPr>
        <w:tc>
          <w:tcPr>
            <w:tcW w:w="714" w:type="dxa"/>
            <w:tcBorders>
              <w:top w:val="nil"/>
              <w:left w:val="nil"/>
              <w:bottom w:val="nil"/>
              <w:right w:val="nil"/>
            </w:tcBorders>
            <w:shd w:val="clear" w:color="auto" w:fill="auto"/>
            <w:noWrap/>
            <w:vAlign w:val="bottom"/>
            <w:hideMark/>
          </w:tcPr>
          <w:p w14:paraId="4BE2812C" w14:textId="77777777" w:rsidR="009A2875" w:rsidRDefault="009A2875">
            <w:pPr>
              <w:jc w:val="right"/>
              <w:rPr>
                <w:b/>
                <w:bCs/>
                <w:sz w:val="20"/>
                <w:szCs w:val="20"/>
              </w:rPr>
            </w:pPr>
            <w:r>
              <w:rPr>
                <w:b/>
                <w:bCs/>
                <w:sz w:val="20"/>
                <w:szCs w:val="20"/>
              </w:rPr>
              <w:t>547</w:t>
            </w:r>
          </w:p>
        </w:tc>
        <w:tc>
          <w:tcPr>
            <w:tcW w:w="8311" w:type="dxa"/>
            <w:tcBorders>
              <w:top w:val="nil"/>
              <w:left w:val="nil"/>
              <w:bottom w:val="nil"/>
              <w:right w:val="nil"/>
            </w:tcBorders>
            <w:shd w:val="clear" w:color="auto" w:fill="auto"/>
            <w:noWrap/>
            <w:vAlign w:val="bottom"/>
            <w:hideMark/>
          </w:tcPr>
          <w:p w14:paraId="4B8260CE" w14:textId="77777777" w:rsidR="009A2875" w:rsidRDefault="009A2875">
            <w:pPr>
              <w:rPr>
                <w:b/>
                <w:bCs/>
                <w:sz w:val="20"/>
                <w:szCs w:val="20"/>
              </w:rPr>
            </w:pPr>
            <w:r>
              <w:rPr>
                <w:b/>
                <w:bCs/>
                <w:sz w:val="20"/>
                <w:szCs w:val="20"/>
              </w:rPr>
              <w:t xml:space="preserve">Otplata glavnice primljenih zajmova od drugih razina vlasti                                         </w:t>
            </w:r>
          </w:p>
        </w:tc>
        <w:tc>
          <w:tcPr>
            <w:tcW w:w="1465" w:type="dxa"/>
            <w:tcBorders>
              <w:top w:val="nil"/>
              <w:left w:val="nil"/>
              <w:bottom w:val="nil"/>
              <w:right w:val="nil"/>
            </w:tcBorders>
            <w:shd w:val="clear" w:color="auto" w:fill="auto"/>
            <w:noWrap/>
            <w:vAlign w:val="bottom"/>
            <w:hideMark/>
          </w:tcPr>
          <w:p w14:paraId="63C8A749" w14:textId="77777777" w:rsidR="009A2875" w:rsidRDefault="009A2875">
            <w:pPr>
              <w:jc w:val="right"/>
              <w:rPr>
                <w:b/>
                <w:bCs/>
                <w:sz w:val="20"/>
                <w:szCs w:val="20"/>
              </w:rPr>
            </w:pPr>
            <w:r>
              <w:rPr>
                <w:b/>
                <w:bCs/>
                <w:sz w:val="20"/>
                <w:szCs w:val="20"/>
              </w:rPr>
              <w:t>475.164,54</w:t>
            </w:r>
          </w:p>
        </w:tc>
        <w:tc>
          <w:tcPr>
            <w:tcW w:w="1416" w:type="dxa"/>
            <w:tcBorders>
              <w:top w:val="nil"/>
              <w:left w:val="nil"/>
              <w:bottom w:val="nil"/>
              <w:right w:val="nil"/>
            </w:tcBorders>
            <w:shd w:val="clear" w:color="auto" w:fill="auto"/>
            <w:noWrap/>
            <w:vAlign w:val="bottom"/>
            <w:hideMark/>
          </w:tcPr>
          <w:p w14:paraId="23C67D4E" w14:textId="77777777" w:rsidR="009A2875" w:rsidRDefault="009A2875">
            <w:pPr>
              <w:jc w:val="right"/>
              <w:rPr>
                <w:b/>
                <w:bCs/>
                <w:sz w:val="20"/>
                <w:szCs w:val="20"/>
              </w:rPr>
            </w:pPr>
            <w:r>
              <w:rPr>
                <w:b/>
                <w:bCs/>
                <w:sz w:val="20"/>
                <w:szCs w:val="20"/>
              </w:rPr>
              <w:t>319.349,72</w:t>
            </w:r>
          </w:p>
        </w:tc>
        <w:tc>
          <w:tcPr>
            <w:tcW w:w="981" w:type="dxa"/>
            <w:tcBorders>
              <w:top w:val="nil"/>
              <w:left w:val="nil"/>
              <w:bottom w:val="nil"/>
              <w:right w:val="nil"/>
            </w:tcBorders>
            <w:shd w:val="clear" w:color="auto" w:fill="auto"/>
            <w:noWrap/>
            <w:vAlign w:val="bottom"/>
            <w:hideMark/>
          </w:tcPr>
          <w:p w14:paraId="10C1CE63" w14:textId="77777777" w:rsidR="009A2875" w:rsidRDefault="009A2875">
            <w:pPr>
              <w:jc w:val="right"/>
              <w:rPr>
                <w:b/>
                <w:bCs/>
                <w:sz w:val="20"/>
                <w:szCs w:val="20"/>
              </w:rPr>
            </w:pPr>
            <w:r>
              <w:rPr>
                <w:b/>
                <w:bCs/>
                <w:sz w:val="20"/>
                <w:szCs w:val="20"/>
              </w:rPr>
              <w:t>0,00</w:t>
            </w:r>
          </w:p>
        </w:tc>
      </w:tr>
      <w:tr w:rsidR="009A2875" w14:paraId="78E158CB" w14:textId="77777777" w:rsidTr="009A2875">
        <w:trPr>
          <w:trHeight w:val="300"/>
        </w:trPr>
        <w:tc>
          <w:tcPr>
            <w:tcW w:w="714" w:type="dxa"/>
            <w:tcBorders>
              <w:top w:val="nil"/>
              <w:left w:val="nil"/>
              <w:bottom w:val="nil"/>
              <w:right w:val="nil"/>
            </w:tcBorders>
            <w:shd w:val="clear" w:color="auto" w:fill="auto"/>
            <w:noWrap/>
            <w:vAlign w:val="bottom"/>
            <w:hideMark/>
          </w:tcPr>
          <w:p w14:paraId="7D2A9BE3" w14:textId="77777777" w:rsidR="009A2875" w:rsidRDefault="009A2875">
            <w:pPr>
              <w:jc w:val="right"/>
              <w:rPr>
                <w:sz w:val="20"/>
                <w:szCs w:val="20"/>
              </w:rPr>
            </w:pPr>
            <w:r>
              <w:rPr>
                <w:sz w:val="20"/>
                <w:szCs w:val="20"/>
              </w:rPr>
              <w:t>5471</w:t>
            </w:r>
          </w:p>
        </w:tc>
        <w:tc>
          <w:tcPr>
            <w:tcW w:w="8311" w:type="dxa"/>
            <w:tcBorders>
              <w:top w:val="nil"/>
              <w:left w:val="nil"/>
              <w:bottom w:val="nil"/>
              <w:right w:val="nil"/>
            </w:tcBorders>
            <w:shd w:val="clear" w:color="auto" w:fill="auto"/>
            <w:noWrap/>
            <w:vAlign w:val="bottom"/>
            <w:hideMark/>
          </w:tcPr>
          <w:p w14:paraId="66AB5012" w14:textId="77777777" w:rsidR="009A2875" w:rsidRDefault="009A2875">
            <w:pPr>
              <w:rPr>
                <w:sz w:val="20"/>
                <w:szCs w:val="20"/>
              </w:rPr>
            </w:pPr>
            <w:r>
              <w:rPr>
                <w:sz w:val="20"/>
                <w:szCs w:val="20"/>
              </w:rPr>
              <w:t xml:space="preserve">Otplata glavnice primljenih zajmova od državnog proračuna                                           </w:t>
            </w:r>
          </w:p>
        </w:tc>
        <w:tc>
          <w:tcPr>
            <w:tcW w:w="1465" w:type="dxa"/>
            <w:tcBorders>
              <w:top w:val="nil"/>
              <w:left w:val="nil"/>
              <w:bottom w:val="nil"/>
              <w:right w:val="nil"/>
            </w:tcBorders>
            <w:shd w:val="clear" w:color="auto" w:fill="auto"/>
            <w:noWrap/>
            <w:vAlign w:val="bottom"/>
            <w:hideMark/>
          </w:tcPr>
          <w:p w14:paraId="552B9F13" w14:textId="77777777" w:rsidR="009A2875" w:rsidRDefault="009A2875">
            <w:pPr>
              <w:jc w:val="right"/>
              <w:rPr>
                <w:sz w:val="20"/>
                <w:szCs w:val="20"/>
              </w:rPr>
            </w:pPr>
            <w:r>
              <w:rPr>
                <w:sz w:val="20"/>
                <w:szCs w:val="20"/>
              </w:rPr>
              <w:t>475.164,54</w:t>
            </w:r>
          </w:p>
        </w:tc>
        <w:tc>
          <w:tcPr>
            <w:tcW w:w="1416" w:type="dxa"/>
            <w:tcBorders>
              <w:top w:val="nil"/>
              <w:left w:val="nil"/>
              <w:bottom w:val="nil"/>
              <w:right w:val="nil"/>
            </w:tcBorders>
            <w:shd w:val="clear" w:color="auto" w:fill="auto"/>
            <w:noWrap/>
            <w:vAlign w:val="bottom"/>
            <w:hideMark/>
          </w:tcPr>
          <w:p w14:paraId="05828242" w14:textId="77777777" w:rsidR="009A2875" w:rsidRDefault="009A2875">
            <w:pPr>
              <w:jc w:val="right"/>
              <w:rPr>
                <w:sz w:val="20"/>
                <w:szCs w:val="20"/>
              </w:rPr>
            </w:pPr>
            <w:r>
              <w:rPr>
                <w:sz w:val="20"/>
                <w:szCs w:val="20"/>
              </w:rPr>
              <w:t>319.349,72</w:t>
            </w:r>
          </w:p>
        </w:tc>
        <w:tc>
          <w:tcPr>
            <w:tcW w:w="981" w:type="dxa"/>
            <w:tcBorders>
              <w:top w:val="nil"/>
              <w:left w:val="nil"/>
              <w:bottom w:val="nil"/>
              <w:right w:val="nil"/>
            </w:tcBorders>
            <w:shd w:val="clear" w:color="auto" w:fill="auto"/>
            <w:noWrap/>
            <w:vAlign w:val="bottom"/>
            <w:hideMark/>
          </w:tcPr>
          <w:p w14:paraId="7ACBD618" w14:textId="77777777" w:rsidR="009A2875" w:rsidRDefault="009A2875">
            <w:pPr>
              <w:jc w:val="right"/>
              <w:rPr>
                <w:sz w:val="20"/>
                <w:szCs w:val="20"/>
              </w:rPr>
            </w:pPr>
            <w:r>
              <w:rPr>
                <w:sz w:val="20"/>
                <w:szCs w:val="20"/>
              </w:rPr>
              <w:t>0,00</w:t>
            </w:r>
          </w:p>
        </w:tc>
      </w:tr>
      <w:tr w:rsidR="009A2875" w14:paraId="580430BA" w14:textId="77777777" w:rsidTr="009A2875">
        <w:trPr>
          <w:trHeight w:val="300"/>
        </w:trPr>
        <w:tc>
          <w:tcPr>
            <w:tcW w:w="714" w:type="dxa"/>
            <w:tcBorders>
              <w:top w:val="nil"/>
              <w:left w:val="nil"/>
              <w:bottom w:val="nil"/>
              <w:right w:val="nil"/>
            </w:tcBorders>
            <w:shd w:val="clear" w:color="auto" w:fill="auto"/>
            <w:noWrap/>
            <w:vAlign w:val="bottom"/>
            <w:hideMark/>
          </w:tcPr>
          <w:p w14:paraId="78184A2C" w14:textId="77777777" w:rsidR="009A2875" w:rsidRDefault="009A2875">
            <w:pPr>
              <w:rPr>
                <w:sz w:val="20"/>
                <w:szCs w:val="20"/>
              </w:rPr>
            </w:pPr>
            <w:r>
              <w:rPr>
                <w:sz w:val="20"/>
                <w:szCs w:val="20"/>
              </w:rPr>
              <w:t>54711</w:t>
            </w:r>
          </w:p>
        </w:tc>
        <w:tc>
          <w:tcPr>
            <w:tcW w:w="8311" w:type="dxa"/>
            <w:tcBorders>
              <w:top w:val="nil"/>
              <w:left w:val="nil"/>
              <w:bottom w:val="nil"/>
              <w:right w:val="nil"/>
            </w:tcBorders>
            <w:shd w:val="clear" w:color="auto" w:fill="auto"/>
            <w:vAlign w:val="bottom"/>
            <w:hideMark/>
          </w:tcPr>
          <w:p w14:paraId="56E25F83" w14:textId="77777777" w:rsidR="009A2875" w:rsidRDefault="009A2875">
            <w:pPr>
              <w:rPr>
                <w:sz w:val="20"/>
                <w:szCs w:val="20"/>
              </w:rPr>
            </w:pPr>
            <w:r>
              <w:rPr>
                <w:sz w:val="20"/>
                <w:szCs w:val="20"/>
              </w:rPr>
              <w:t xml:space="preserve">Otplata glavnice primljenih zajmova od državnog proračuna - kratkoročnih                                          </w:t>
            </w:r>
          </w:p>
        </w:tc>
        <w:tc>
          <w:tcPr>
            <w:tcW w:w="1465" w:type="dxa"/>
            <w:tcBorders>
              <w:top w:val="nil"/>
              <w:left w:val="nil"/>
              <w:bottom w:val="nil"/>
              <w:right w:val="nil"/>
            </w:tcBorders>
            <w:shd w:val="clear" w:color="auto" w:fill="auto"/>
            <w:noWrap/>
            <w:vAlign w:val="bottom"/>
            <w:hideMark/>
          </w:tcPr>
          <w:p w14:paraId="45770339" w14:textId="77777777" w:rsidR="009A2875" w:rsidRDefault="009A2875">
            <w:pPr>
              <w:jc w:val="right"/>
              <w:rPr>
                <w:sz w:val="20"/>
                <w:szCs w:val="20"/>
              </w:rPr>
            </w:pPr>
            <w:r>
              <w:rPr>
                <w:sz w:val="20"/>
                <w:szCs w:val="20"/>
              </w:rPr>
              <w:t>275.164,54</w:t>
            </w:r>
          </w:p>
        </w:tc>
        <w:tc>
          <w:tcPr>
            <w:tcW w:w="1416" w:type="dxa"/>
            <w:tcBorders>
              <w:top w:val="nil"/>
              <w:left w:val="nil"/>
              <w:bottom w:val="nil"/>
              <w:right w:val="nil"/>
            </w:tcBorders>
            <w:shd w:val="clear" w:color="auto" w:fill="auto"/>
            <w:noWrap/>
            <w:vAlign w:val="bottom"/>
            <w:hideMark/>
          </w:tcPr>
          <w:p w14:paraId="01C38B5C" w14:textId="77777777" w:rsidR="009A2875" w:rsidRDefault="009A2875">
            <w:pPr>
              <w:jc w:val="right"/>
              <w:rPr>
                <w:sz w:val="20"/>
                <w:szCs w:val="20"/>
              </w:rPr>
            </w:pPr>
            <w:r>
              <w:rPr>
                <w:sz w:val="20"/>
                <w:szCs w:val="20"/>
              </w:rPr>
              <w:t>0,00</w:t>
            </w:r>
          </w:p>
        </w:tc>
        <w:tc>
          <w:tcPr>
            <w:tcW w:w="981" w:type="dxa"/>
            <w:tcBorders>
              <w:top w:val="nil"/>
              <w:left w:val="nil"/>
              <w:bottom w:val="nil"/>
              <w:right w:val="nil"/>
            </w:tcBorders>
            <w:shd w:val="clear" w:color="auto" w:fill="auto"/>
            <w:noWrap/>
            <w:vAlign w:val="bottom"/>
            <w:hideMark/>
          </w:tcPr>
          <w:p w14:paraId="45C6003E" w14:textId="77777777" w:rsidR="009A2875" w:rsidRDefault="009A2875">
            <w:pPr>
              <w:jc w:val="right"/>
              <w:rPr>
                <w:sz w:val="20"/>
                <w:szCs w:val="20"/>
              </w:rPr>
            </w:pPr>
          </w:p>
        </w:tc>
      </w:tr>
      <w:tr w:rsidR="009A2875" w14:paraId="491C1AF6" w14:textId="77777777" w:rsidTr="009A2875">
        <w:trPr>
          <w:trHeight w:val="525"/>
        </w:trPr>
        <w:tc>
          <w:tcPr>
            <w:tcW w:w="714" w:type="dxa"/>
            <w:tcBorders>
              <w:top w:val="nil"/>
              <w:left w:val="nil"/>
              <w:bottom w:val="nil"/>
              <w:right w:val="nil"/>
            </w:tcBorders>
            <w:shd w:val="clear" w:color="auto" w:fill="auto"/>
            <w:noWrap/>
            <w:vAlign w:val="bottom"/>
            <w:hideMark/>
          </w:tcPr>
          <w:p w14:paraId="33CE371F" w14:textId="77777777" w:rsidR="009A2875" w:rsidRDefault="009A2875">
            <w:pPr>
              <w:rPr>
                <w:sz w:val="20"/>
                <w:szCs w:val="20"/>
              </w:rPr>
            </w:pPr>
          </w:p>
        </w:tc>
        <w:tc>
          <w:tcPr>
            <w:tcW w:w="8311" w:type="dxa"/>
            <w:tcBorders>
              <w:top w:val="nil"/>
              <w:left w:val="nil"/>
              <w:bottom w:val="nil"/>
              <w:right w:val="nil"/>
            </w:tcBorders>
            <w:shd w:val="clear" w:color="auto" w:fill="auto"/>
            <w:vAlign w:val="bottom"/>
            <w:hideMark/>
          </w:tcPr>
          <w:p w14:paraId="09257B27" w14:textId="1A472BC7" w:rsidR="009A2875" w:rsidRDefault="009A2875">
            <w:pPr>
              <w:rPr>
                <w:i/>
                <w:iCs/>
                <w:sz w:val="20"/>
                <w:szCs w:val="20"/>
              </w:rPr>
            </w:pPr>
            <w:r>
              <w:rPr>
                <w:i/>
                <w:iCs/>
                <w:sz w:val="20"/>
                <w:szCs w:val="20"/>
              </w:rPr>
              <w:t>Naputak o načinu isplate beskamatnog zajma JLPRS, HZMO i HZZO (NN 46/2020) - odgoda plaćanja i/ili obr</w:t>
            </w:r>
            <w:r w:rsidR="009F61F7">
              <w:rPr>
                <w:i/>
                <w:iCs/>
                <w:sz w:val="20"/>
                <w:szCs w:val="20"/>
              </w:rPr>
              <w:t>o</w:t>
            </w:r>
            <w:r>
              <w:rPr>
                <w:i/>
                <w:iCs/>
                <w:sz w:val="20"/>
                <w:szCs w:val="20"/>
              </w:rPr>
              <w:t>čna otplata poreza i prireza na dohodak</w:t>
            </w:r>
          </w:p>
        </w:tc>
        <w:tc>
          <w:tcPr>
            <w:tcW w:w="1465" w:type="dxa"/>
            <w:tcBorders>
              <w:top w:val="nil"/>
              <w:left w:val="nil"/>
              <w:bottom w:val="nil"/>
              <w:right w:val="nil"/>
            </w:tcBorders>
            <w:shd w:val="clear" w:color="auto" w:fill="auto"/>
            <w:noWrap/>
            <w:vAlign w:val="bottom"/>
            <w:hideMark/>
          </w:tcPr>
          <w:p w14:paraId="7DF2474E" w14:textId="77777777" w:rsidR="009A2875" w:rsidRDefault="009A2875">
            <w:pPr>
              <w:jc w:val="right"/>
              <w:rPr>
                <w:i/>
                <w:iCs/>
                <w:sz w:val="20"/>
                <w:szCs w:val="20"/>
              </w:rPr>
            </w:pPr>
            <w:r>
              <w:rPr>
                <w:i/>
                <w:iCs/>
                <w:sz w:val="20"/>
                <w:szCs w:val="20"/>
              </w:rPr>
              <w:t>5.164,54</w:t>
            </w:r>
          </w:p>
        </w:tc>
        <w:tc>
          <w:tcPr>
            <w:tcW w:w="1416" w:type="dxa"/>
            <w:tcBorders>
              <w:top w:val="nil"/>
              <w:left w:val="nil"/>
              <w:bottom w:val="nil"/>
              <w:right w:val="nil"/>
            </w:tcBorders>
            <w:shd w:val="clear" w:color="auto" w:fill="auto"/>
            <w:noWrap/>
            <w:vAlign w:val="bottom"/>
            <w:hideMark/>
          </w:tcPr>
          <w:p w14:paraId="52A667C2" w14:textId="77777777" w:rsidR="009A2875" w:rsidRDefault="009A2875">
            <w:pPr>
              <w:jc w:val="right"/>
              <w:rPr>
                <w:i/>
                <w:iCs/>
                <w:sz w:val="20"/>
                <w:szCs w:val="20"/>
              </w:rPr>
            </w:pPr>
            <w:r>
              <w:rPr>
                <w:i/>
                <w:iCs/>
                <w:sz w:val="20"/>
                <w:szCs w:val="20"/>
              </w:rPr>
              <w:t>0,00</w:t>
            </w:r>
          </w:p>
        </w:tc>
        <w:tc>
          <w:tcPr>
            <w:tcW w:w="981" w:type="dxa"/>
            <w:tcBorders>
              <w:top w:val="nil"/>
              <w:left w:val="nil"/>
              <w:bottom w:val="nil"/>
              <w:right w:val="nil"/>
            </w:tcBorders>
            <w:shd w:val="clear" w:color="auto" w:fill="auto"/>
            <w:noWrap/>
            <w:vAlign w:val="bottom"/>
            <w:hideMark/>
          </w:tcPr>
          <w:p w14:paraId="54E75105" w14:textId="77777777" w:rsidR="009A2875" w:rsidRDefault="009A2875">
            <w:pPr>
              <w:jc w:val="right"/>
              <w:rPr>
                <w:i/>
                <w:iCs/>
                <w:sz w:val="20"/>
                <w:szCs w:val="20"/>
              </w:rPr>
            </w:pPr>
          </w:p>
        </w:tc>
      </w:tr>
      <w:tr w:rsidR="009A2875" w14:paraId="3537AF81" w14:textId="77777777" w:rsidTr="009A2875">
        <w:trPr>
          <w:trHeight w:val="525"/>
        </w:trPr>
        <w:tc>
          <w:tcPr>
            <w:tcW w:w="714" w:type="dxa"/>
            <w:tcBorders>
              <w:top w:val="nil"/>
              <w:left w:val="nil"/>
              <w:bottom w:val="nil"/>
              <w:right w:val="nil"/>
            </w:tcBorders>
            <w:shd w:val="clear" w:color="auto" w:fill="auto"/>
            <w:noWrap/>
            <w:vAlign w:val="bottom"/>
            <w:hideMark/>
          </w:tcPr>
          <w:p w14:paraId="564329A8" w14:textId="77777777" w:rsidR="009A2875" w:rsidRDefault="009A2875">
            <w:pPr>
              <w:rPr>
                <w:sz w:val="20"/>
                <w:szCs w:val="20"/>
              </w:rPr>
            </w:pPr>
          </w:p>
        </w:tc>
        <w:tc>
          <w:tcPr>
            <w:tcW w:w="8311" w:type="dxa"/>
            <w:tcBorders>
              <w:top w:val="nil"/>
              <w:left w:val="nil"/>
              <w:bottom w:val="nil"/>
              <w:right w:val="nil"/>
            </w:tcBorders>
            <w:shd w:val="clear" w:color="auto" w:fill="auto"/>
            <w:vAlign w:val="bottom"/>
            <w:hideMark/>
          </w:tcPr>
          <w:p w14:paraId="69A1E726" w14:textId="77777777" w:rsidR="009A2875" w:rsidRDefault="009A2875">
            <w:pPr>
              <w:rPr>
                <w:i/>
                <w:iCs/>
                <w:sz w:val="20"/>
                <w:szCs w:val="20"/>
              </w:rPr>
            </w:pPr>
            <w:r>
              <w:rPr>
                <w:i/>
                <w:iCs/>
                <w:sz w:val="20"/>
                <w:szCs w:val="20"/>
              </w:rPr>
              <w:t>Naputak o načinu isplate beskamatnog zajma JLPRS, HZMO i HZZO (NN 46/2020) - povrat poreza i prireza na dohodak po godišnjim prijavama za 2019. godinu</w:t>
            </w:r>
          </w:p>
        </w:tc>
        <w:tc>
          <w:tcPr>
            <w:tcW w:w="1465" w:type="dxa"/>
            <w:tcBorders>
              <w:top w:val="nil"/>
              <w:left w:val="nil"/>
              <w:bottom w:val="nil"/>
              <w:right w:val="nil"/>
            </w:tcBorders>
            <w:shd w:val="clear" w:color="auto" w:fill="auto"/>
            <w:noWrap/>
            <w:vAlign w:val="bottom"/>
            <w:hideMark/>
          </w:tcPr>
          <w:p w14:paraId="032D83D6" w14:textId="77777777" w:rsidR="009A2875" w:rsidRDefault="009A2875">
            <w:pPr>
              <w:jc w:val="right"/>
              <w:rPr>
                <w:i/>
                <w:iCs/>
                <w:sz w:val="20"/>
                <w:szCs w:val="20"/>
              </w:rPr>
            </w:pPr>
            <w:r>
              <w:rPr>
                <w:i/>
                <w:iCs/>
                <w:sz w:val="20"/>
                <w:szCs w:val="20"/>
              </w:rPr>
              <w:t>270.000,00</w:t>
            </w:r>
          </w:p>
        </w:tc>
        <w:tc>
          <w:tcPr>
            <w:tcW w:w="1416" w:type="dxa"/>
            <w:tcBorders>
              <w:top w:val="nil"/>
              <w:left w:val="nil"/>
              <w:bottom w:val="nil"/>
              <w:right w:val="nil"/>
            </w:tcBorders>
            <w:shd w:val="clear" w:color="auto" w:fill="auto"/>
            <w:noWrap/>
            <w:vAlign w:val="bottom"/>
            <w:hideMark/>
          </w:tcPr>
          <w:p w14:paraId="042752DB" w14:textId="77777777" w:rsidR="009A2875" w:rsidRDefault="009A2875">
            <w:pPr>
              <w:jc w:val="right"/>
              <w:rPr>
                <w:i/>
                <w:iCs/>
                <w:sz w:val="20"/>
                <w:szCs w:val="20"/>
              </w:rPr>
            </w:pPr>
            <w:r>
              <w:rPr>
                <w:i/>
                <w:iCs/>
                <w:sz w:val="20"/>
                <w:szCs w:val="20"/>
              </w:rPr>
              <w:t>0,00</w:t>
            </w:r>
          </w:p>
        </w:tc>
        <w:tc>
          <w:tcPr>
            <w:tcW w:w="981" w:type="dxa"/>
            <w:tcBorders>
              <w:top w:val="nil"/>
              <w:left w:val="nil"/>
              <w:bottom w:val="nil"/>
              <w:right w:val="nil"/>
            </w:tcBorders>
            <w:shd w:val="clear" w:color="auto" w:fill="auto"/>
            <w:noWrap/>
            <w:vAlign w:val="bottom"/>
            <w:hideMark/>
          </w:tcPr>
          <w:p w14:paraId="73A2522E" w14:textId="77777777" w:rsidR="009A2875" w:rsidRDefault="009A2875">
            <w:pPr>
              <w:jc w:val="right"/>
              <w:rPr>
                <w:i/>
                <w:iCs/>
                <w:sz w:val="20"/>
                <w:szCs w:val="20"/>
              </w:rPr>
            </w:pPr>
          </w:p>
        </w:tc>
      </w:tr>
      <w:tr w:rsidR="009A2875" w14:paraId="4A769021" w14:textId="77777777" w:rsidTr="009A2875">
        <w:trPr>
          <w:trHeight w:val="300"/>
        </w:trPr>
        <w:tc>
          <w:tcPr>
            <w:tcW w:w="714" w:type="dxa"/>
            <w:tcBorders>
              <w:top w:val="nil"/>
              <w:left w:val="nil"/>
              <w:bottom w:val="nil"/>
              <w:right w:val="nil"/>
            </w:tcBorders>
            <w:shd w:val="clear" w:color="auto" w:fill="auto"/>
            <w:noWrap/>
            <w:vAlign w:val="bottom"/>
            <w:hideMark/>
          </w:tcPr>
          <w:p w14:paraId="3454BBB6" w14:textId="77777777" w:rsidR="009A2875" w:rsidRDefault="009A2875">
            <w:pPr>
              <w:rPr>
                <w:sz w:val="20"/>
                <w:szCs w:val="20"/>
              </w:rPr>
            </w:pPr>
            <w:r>
              <w:rPr>
                <w:sz w:val="20"/>
                <w:szCs w:val="20"/>
              </w:rPr>
              <w:t>54712</w:t>
            </w:r>
          </w:p>
        </w:tc>
        <w:tc>
          <w:tcPr>
            <w:tcW w:w="8311" w:type="dxa"/>
            <w:tcBorders>
              <w:top w:val="nil"/>
              <w:left w:val="nil"/>
              <w:bottom w:val="nil"/>
              <w:right w:val="nil"/>
            </w:tcBorders>
            <w:shd w:val="clear" w:color="auto" w:fill="auto"/>
            <w:vAlign w:val="bottom"/>
            <w:hideMark/>
          </w:tcPr>
          <w:p w14:paraId="31B1F269" w14:textId="77777777" w:rsidR="009A2875" w:rsidRDefault="009A2875">
            <w:pPr>
              <w:rPr>
                <w:sz w:val="20"/>
                <w:szCs w:val="20"/>
              </w:rPr>
            </w:pPr>
            <w:r>
              <w:rPr>
                <w:sz w:val="20"/>
                <w:szCs w:val="20"/>
              </w:rPr>
              <w:t xml:space="preserve">Otplata glavnice primljenih zajmova od državnog proračuna - dugoročnih                 </w:t>
            </w:r>
          </w:p>
        </w:tc>
        <w:tc>
          <w:tcPr>
            <w:tcW w:w="1465" w:type="dxa"/>
            <w:tcBorders>
              <w:top w:val="nil"/>
              <w:left w:val="nil"/>
              <w:bottom w:val="nil"/>
              <w:right w:val="nil"/>
            </w:tcBorders>
            <w:shd w:val="clear" w:color="auto" w:fill="auto"/>
            <w:noWrap/>
            <w:vAlign w:val="bottom"/>
            <w:hideMark/>
          </w:tcPr>
          <w:p w14:paraId="12AD6FF4" w14:textId="77777777" w:rsidR="009A2875" w:rsidRDefault="009A2875">
            <w:pPr>
              <w:jc w:val="right"/>
              <w:rPr>
                <w:sz w:val="20"/>
                <w:szCs w:val="20"/>
              </w:rPr>
            </w:pPr>
            <w:r>
              <w:rPr>
                <w:sz w:val="20"/>
                <w:szCs w:val="20"/>
              </w:rPr>
              <w:t>200.000,00</w:t>
            </w:r>
          </w:p>
        </w:tc>
        <w:tc>
          <w:tcPr>
            <w:tcW w:w="1416" w:type="dxa"/>
            <w:tcBorders>
              <w:top w:val="nil"/>
              <w:left w:val="nil"/>
              <w:bottom w:val="nil"/>
              <w:right w:val="nil"/>
            </w:tcBorders>
            <w:shd w:val="clear" w:color="auto" w:fill="auto"/>
            <w:noWrap/>
            <w:vAlign w:val="bottom"/>
            <w:hideMark/>
          </w:tcPr>
          <w:p w14:paraId="22AC93E6" w14:textId="77777777" w:rsidR="009A2875" w:rsidRDefault="009A2875">
            <w:pPr>
              <w:jc w:val="right"/>
              <w:rPr>
                <w:sz w:val="20"/>
                <w:szCs w:val="20"/>
              </w:rPr>
            </w:pPr>
            <w:r>
              <w:rPr>
                <w:sz w:val="20"/>
                <w:szCs w:val="20"/>
              </w:rPr>
              <w:t>319.349,72</w:t>
            </w:r>
          </w:p>
        </w:tc>
        <w:tc>
          <w:tcPr>
            <w:tcW w:w="981" w:type="dxa"/>
            <w:tcBorders>
              <w:top w:val="nil"/>
              <w:left w:val="nil"/>
              <w:bottom w:val="nil"/>
              <w:right w:val="nil"/>
            </w:tcBorders>
            <w:shd w:val="clear" w:color="auto" w:fill="auto"/>
            <w:noWrap/>
            <w:vAlign w:val="bottom"/>
            <w:hideMark/>
          </w:tcPr>
          <w:p w14:paraId="51B29121" w14:textId="77777777" w:rsidR="009A2875" w:rsidRDefault="009A2875">
            <w:pPr>
              <w:jc w:val="right"/>
              <w:rPr>
                <w:sz w:val="20"/>
                <w:szCs w:val="20"/>
              </w:rPr>
            </w:pPr>
          </w:p>
        </w:tc>
      </w:tr>
      <w:tr w:rsidR="009A2875" w14:paraId="6FEA84FB" w14:textId="77777777" w:rsidTr="009A2875">
        <w:trPr>
          <w:trHeight w:val="525"/>
        </w:trPr>
        <w:tc>
          <w:tcPr>
            <w:tcW w:w="714" w:type="dxa"/>
            <w:tcBorders>
              <w:top w:val="nil"/>
              <w:left w:val="nil"/>
              <w:bottom w:val="nil"/>
              <w:right w:val="nil"/>
            </w:tcBorders>
            <w:shd w:val="clear" w:color="auto" w:fill="auto"/>
            <w:noWrap/>
            <w:vAlign w:val="bottom"/>
            <w:hideMark/>
          </w:tcPr>
          <w:p w14:paraId="41842678" w14:textId="77777777" w:rsidR="009A2875" w:rsidRDefault="009A2875">
            <w:pPr>
              <w:rPr>
                <w:sz w:val="20"/>
                <w:szCs w:val="20"/>
              </w:rPr>
            </w:pPr>
          </w:p>
        </w:tc>
        <w:tc>
          <w:tcPr>
            <w:tcW w:w="8311" w:type="dxa"/>
            <w:tcBorders>
              <w:top w:val="nil"/>
              <w:left w:val="nil"/>
              <w:bottom w:val="nil"/>
              <w:right w:val="nil"/>
            </w:tcBorders>
            <w:shd w:val="clear" w:color="auto" w:fill="auto"/>
            <w:vAlign w:val="bottom"/>
            <w:hideMark/>
          </w:tcPr>
          <w:p w14:paraId="05C49354" w14:textId="5CF5AB3A" w:rsidR="009A2875" w:rsidRDefault="009A2875">
            <w:pPr>
              <w:rPr>
                <w:i/>
                <w:iCs/>
                <w:sz w:val="20"/>
                <w:szCs w:val="20"/>
              </w:rPr>
            </w:pPr>
            <w:r>
              <w:rPr>
                <w:i/>
                <w:iCs/>
                <w:sz w:val="20"/>
                <w:szCs w:val="20"/>
              </w:rPr>
              <w:t>Naputak o načinu isplate beskamatnog zajma JLPRS, HZMO i HZZO (NN 46/2020) - odgoda plaćanja i/ili obr</w:t>
            </w:r>
            <w:r w:rsidR="009F61F7">
              <w:rPr>
                <w:i/>
                <w:iCs/>
                <w:sz w:val="20"/>
                <w:szCs w:val="20"/>
              </w:rPr>
              <w:t>o</w:t>
            </w:r>
            <w:r>
              <w:rPr>
                <w:i/>
                <w:iCs/>
                <w:sz w:val="20"/>
                <w:szCs w:val="20"/>
              </w:rPr>
              <w:t>čna otplata poreza i prireza na dohodak</w:t>
            </w:r>
          </w:p>
        </w:tc>
        <w:tc>
          <w:tcPr>
            <w:tcW w:w="1465" w:type="dxa"/>
            <w:tcBorders>
              <w:top w:val="nil"/>
              <w:left w:val="nil"/>
              <w:bottom w:val="nil"/>
              <w:right w:val="nil"/>
            </w:tcBorders>
            <w:shd w:val="clear" w:color="auto" w:fill="auto"/>
            <w:noWrap/>
            <w:vAlign w:val="bottom"/>
            <w:hideMark/>
          </w:tcPr>
          <w:p w14:paraId="6154A6CD" w14:textId="77777777" w:rsidR="009A2875" w:rsidRDefault="009A2875">
            <w:pPr>
              <w:jc w:val="right"/>
              <w:rPr>
                <w:i/>
                <w:iCs/>
                <w:sz w:val="20"/>
                <w:szCs w:val="20"/>
              </w:rPr>
            </w:pPr>
            <w:r>
              <w:rPr>
                <w:i/>
                <w:iCs/>
                <w:sz w:val="20"/>
                <w:szCs w:val="20"/>
              </w:rPr>
              <w:t>0,00</w:t>
            </w:r>
          </w:p>
        </w:tc>
        <w:tc>
          <w:tcPr>
            <w:tcW w:w="1416" w:type="dxa"/>
            <w:tcBorders>
              <w:top w:val="nil"/>
              <w:left w:val="nil"/>
              <w:bottom w:val="nil"/>
              <w:right w:val="nil"/>
            </w:tcBorders>
            <w:shd w:val="clear" w:color="auto" w:fill="auto"/>
            <w:noWrap/>
            <w:vAlign w:val="bottom"/>
            <w:hideMark/>
          </w:tcPr>
          <w:p w14:paraId="078FE38A" w14:textId="77777777" w:rsidR="009A2875" w:rsidRDefault="009A2875">
            <w:pPr>
              <w:jc w:val="right"/>
              <w:rPr>
                <w:i/>
                <w:iCs/>
                <w:sz w:val="20"/>
                <w:szCs w:val="20"/>
              </w:rPr>
            </w:pPr>
            <w:r>
              <w:rPr>
                <w:i/>
                <w:iCs/>
                <w:sz w:val="20"/>
                <w:szCs w:val="20"/>
              </w:rPr>
              <w:t>219.349,72</w:t>
            </w:r>
          </w:p>
        </w:tc>
        <w:tc>
          <w:tcPr>
            <w:tcW w:w="981" w:type="dxa"/>
            <w:tcBorders>
              <w:top w:val="nil"/>
              <w:left w:val="nil"/>
              <w:bottom w:val="nil"/>
              <w:right w:val="nil"/>
            </w:tcBorders>
            <w:shd w:val="clear" w:color="auto" w:fill="auto"/>
            <w:noWrap/>
            <w:vAlign w:val="bottom"/>
            <w:hideMark/>
          </w:tcPr>
          <w:p w14:paraId="3618C92D" w14:textId="77777777" w:rsidR="009A2875" w:rsidRDefault="009A2875">
            <w:pPr>
              <w:jc w:val="right"/>
              <w:rPr>
                <w:i/>
                <w:iCs/>
                <w:sz w:val="20"/>
                <w:szCs w:val="20"/>
              </w:rPr>
            </w:pPr>
          </w:p>
        </w:tc>
      </w:tr>
      <w:tr w:rsidR="009A2875" w14:paraId="3B657B11" w14:textId="77777777" w:rsidTr="009A2875">
        <w:trPr>
          <w:trHeight w:val="525"/>
        </w:trPr>
        <w:tc>
          <w:tcPr>
            <w:tcW w:w="714" w:type="dxa"/>
            <w:tcBorders>
              <w:top w:val="nil"/>
              <w:left w:val="nil"/>
              <w:bottom w:val="single" w:sz="4" w:space="0" w:color="auto"/>
              <w:right w:val="nil"/>
            </w:tcBorders>
            <w:shd w:val="clear" w:color="auto" w:fill="auto"/>
            <w:noWrap/>
            <w:vAlign w:val="bottom"/>
            <w:hideMark/>
          </w:tcPr>
          <w:p w14:paraId="12FC95E2" w14:textId="77777777" w:rsidR="009A2875" w:rsidRDefault="009A2875">
            <w:pPr>
              <w:rPr>
                <w:color w:val="000000"/>
                <w:sz w:val="20"/>
                <w:szCs w:val="20"/>
              </w:rPr>
            </w:pPr>
            <w:r>
              <w:rPr>
                <w:color w:val="000000"/>
                <w:sz w:val="20"/>
                <w:szCs w:val="20"/>
              </w:rPr>
              <w:t> </w:t>
            </w:r>
          </w:p>
        </w:tc>
        <w:tc>
          <w:tcPr>
            <w:tcW w:w="8311" w:type="dxa"/>
            <w:tcBorders>
              <w:top w:val="nil"/>
              <w:left w:val="nil"/>
              <w:bottom w:val="single" w:sz="4" w:space="0" w:color="auto"/>
              <w:right w:val="nil"/>
            </w:tcBorders>
            <w:shd w:val="clear" w:color="auto" w:fill="auto"/>
            <w:vAlign w:val="bottom"/>
            <w:hideMark/>
          </w:tcPr>
          <w:p w14:paraId="7F0ECCF3" w14:textId="77777777" w:rsidR="009A2875" w:rsidRDefault="009A2875">
            <w:pPr>
              <w:rPr>
                <w:i/>
                <w:iCs/>
                <w:sz w:val="20"/>
                <w:szCs w:val="20"/>
              </w:rPr>
            </w:pPr>
            <w:r>
              <w:rPr>
                <w:i/>
                <w:iCs/>
                <w:sz w:val="20"/>
                <w:szCs w:val="20"/>
              </w:rPr>
              <w:t xml:space="preserve">Naputak o isplati sredstava beskamatnog zajma JLPRS uslijed pada prihoda (NN 130/20), isplaćen 24.12.2020., povrat najkasnije u roku od tri godine od dana isplate </w:t>
            </w:r>
          </w:p>
        </w:tc>
        <w:tc>
          <w:tcPr>
            <w:tcW w:w="1465" w:type="dxa"/>
            <w:tcBorders>
              <w:top w:val="nil"/>
              <w:left w:val="nil"/>
              <w:bottom w:val="single" w:sz="4" w:space="0" w:color="auto"/>
              <w:right w:val="nil"/>
            </w:tcBorders>
            <w:shd w:val="clear" w:color="auto" w:fill="auto"/>
            <w:noWrap/>
            <w:vAlign w:val="bottom"/>
            <w:hideMark/>
          </w:tcPr>
          <w:p w14:paraId="75D97BE9" w14:textId="77777777" w:rsidR="009A2875" w:rsidRDefault="009A2875">
            <w:pPr>
              <w:jc w:val="right"/>
              <w:rPr>
                <w:i/>
                <w:iCs/>
                <w:sz w:val="20"/>
                <w:szCs w:val="20"/>
              </w:rPr>
            </w:pPr>
            <w:r>
              <w:rPr>
                <w:i/>
                <w:iCs/>
                <w:sz w:val="20"/>
                <w:szCs w:val="20"/>
              </w:rPr>
              <w:t>200.000,00</w:t>
            </w:r>
          </w:p>
        </w:tc>
        <w:tc>
          <w:tcPr>
            <w:tcW w:w="1416" w:type="dxa"/>
            <w:tcBorders>
              <w:top w:val="nil"/>
              <w:left w:val="nil"/>
              <w:bottom w:val="single" w:sz="4" w:space="0" w:color="auto"/>
              <w:right w:val="nil"/>
            </w:tcBorders>
            <w:shd w:val="clear" w:color="auto" w:fill="auto"/>
            <w:noWrap/>
            <w:vAlign w:val="bottom"/>
            <w:hideMark/>
          </w:tcPr>
          <w:p w14:paraId="3373A0BE" w14:textId="77777777" w:rsidR="009A2875" w:rsidRDefault="009A2875">
            <w:pPr>
              <w:jc w:val="right"/>
              <w:rPr>
                <w:i/>
                <w:iCs/>
                <w:sz w:val="20"/>
                <w:szCs w:val="20"/>
              </w:rPr>
            </w:pPr>
            <w:r>
              <w:rPr>
                <w:i/>
                <w:iCs/>
                <w:sz w:val="20"/>
                <w:szCs w:val="20"/>
              </w:rPr>
              <w:t>100.000,00</w:t>
            </w:r>
          </w:p>
        </w:tc>
        <w:tc>
          <w:tcPr>
            <w:tcW w:w="981" w:type="dxa"/>
            <w:tcBorders>
              <w:top w:val="nil"/>
              <w:left w:val="nil"/>
              <w:bottom w:val="single" w:sz="4" w:space="0" w:color="auto"/>
              <w:right w:val="nil"/>
            </w:tcBorders>
            <w:shd w:val="clear" w:color="auto" w:fill="auto"/>
            <w:noWrap/>
            <w:vAlign w:val="bottom"/>
            <w:hideMark/>
          </w:tcPr>
          <w:p w14:paraId="75EA5FAE" w14:textId="77777777" w:rsidR="009A2875" w:rsidRDefault="009A2875">
            <w:pPr>
              <w:rPr>
                <w:i/>
                <w:iCs/>
                <w:sz w:val="20"/>
                <w:szCs w:val="20"/>
              </w:rPr>
            </w:pPr>
            <w:r>
              <w:rPr>
                <w:i/>
                <w:iCs/>
                <w:sz w:val="20"/>
                <w:szCs w:val="20"/>
              </w:rPr>
              <w:t> </w:t>
            </w:r>
          </w:p>
        </w:tc>
      </w:tr>
      <w:bookmarkEnd w:id="16"/>
      <w:bookmarkEnd w:id="17"/>
    </w:tbl>
    <w:p w14:paraId="31E2C509" w14:textId="77777777" w:rsidR="003745B0" w:rsidRDefault="003745B0" w:rsidP="00AD72E4">
      <w:pPr>
        <w:pStyle w:val="Subtitle1"/>
        <w:rPr>
          <w:rFonts w:ascii="Times New Roman" w:hAnsi="Times New Roman"/>
          <w:sz w:val="22"/>
          <w:szCs w:val="22"/>
        </w:rPr>
      </w:pPr>
    </w:p>
    <w:p w14:paraId="097A74EE" w14:textId="77777777" w:rsidR="009A2875" w:rsidRDefault="009A2875" w:rsidP="00AD72E4">
      <w:pPr>
        <w:pStyle w:val="Subtitle1"/>
        <w:rPr>
          <w:rFonts w:ascii="Times New Roman" w:hAnsi="Times New Roman"/>
          <w:sz w:val="22"/>
          <w:szCs w:val="22"/>
        </w:rPr>
      </w:pPr>
    </w:p>
    <w:p w14:paraId="0E42A6E6" w14:textId="77777777" w:rsidR="009A2875" w:rsidRDefault="009A2875" w:rsidP="00AD72E4">
      <w:pPr>
        <w:pStyle w:val="Subtitle1"/>
        <w:rPr>
          <w:rFonts w:ascii="Times New Roman" w:hAnsi="Times New Roman"/>
          <w:sz w:val="22"/>
          <w:szCs w:val="22"/>
        </w:rPr>
      </w:pPr>
    </w:p>
    <w:p w14:paraId="3B94C3AB" w14:textId="77777777" w:rsidR="009A2875" w:rsidRDefault="009A2875" w:rsidP="00AD72E4">
      <w:pPr>
        <w:pStyle w:val="Subtitle1"/>
        <w:rPr>
          <w:rFonts w:ascii="Times New Roman" w:hAnsi="Times New Roman"/>
          <w:sz w:val="22"/>
          <w:szCs w:val="22"/>
        </w:rPr>
      </w:pPr>
    </w:p>
    <w:p w14:paraId="434268F1" w14:textId="77777777" w:rsidR="009A2875" w:rsidRDefault="009A2875" w:rsidP="00AD72E4">
      <w:pPr>
        <w:pStyle w:val="Subtitle1"/>
        <w:rPr>
          <w:rFonts w:ascii="Times New Roman" w:hAnsi="Times New Roman"/>
          <w:sz w:val="22"/>
          <w:szCs w:val="22"/>
        </w:rPr>
      </w:pPr>
    </w:p>
    <w:p w14:paraId="3B6F9484" w14:textId="77777777" w:rsidR="00946AF6" w:rsidRDefault="00946AF6" w:rsidP="00AD72E4">
      <w:pPr>
        <w:pStyle w:val="Subtitle1"/>
        <w:rPr>
          <w:rFonts w:ascii="Times New Roman" w:hAnsi="Times New Roman"/>
          <w:sz w:val="22"/>
          <w:szCs w:val="22"/>
        </w:rPr>
      </w:pPr>
    </w:p>
    <w:p w14:paraId="2D4A7EB6" w14:textId="77777777" w:rsidR="009A2875" w:rsidRDefault="009A2875" w:rsidP="00AD72E4">
      <w:pPr>
        <w:pStyle w:val="Subtitle1"/>
        <w:rPr>
          <w:rFonts w:ascii="Times New Roman" w:hAnsi="Times New Roman"/>
          <w:sz w:val="22"/>
          <w:szCs w:val="22"/>
        </w:rPr>
      </w:pPr>
    </w:p>
    <w:p w14:paraId="7A49E30F" w14:textId="77777777" w:rsidR="009A2875" w:rsidRDefault="009A2875" w:rsidP="00AD72E4">
      <w:pPr>
        <w:pStyle w:val="Subtitle1"/>
        <w:rPr>
          <w:rFonts w:ascii="Times New Roman" w:hAnsi="Times New Roman"/>
          <w:sz w:val="22"/>
          <w:szCs w:val="22"/>
        </w:rPr>
      </w:pPr>
    </w:p>
    <w:p w14:paraId="1CFAE094" w14:textId="77777777" w:rsidR="009A2875" w:rsidRDefault="009A2875" w:rsidP="00AD72E4">
      <w:pPr>
        <w:pStyle w:val="Subtitle1"/>
        <w:rPr>
          <w:rFonts w:ascii="Times New Roman" w:hAnsi="Times New Roman"/>
          <w:sz w:val="22"/>
          <w:szCs w:val="22"/>
        </w:rPr>
      </w:pPr>
    </w:p>
    <w:p w14:paraId="3D9B6C86" w14:textId="77777777" w:rsidR="009A2875" w:rsidRDefault="009A2875" w:rsidP="00AD72E4">
      <w:pPr>
        <w:pStyle w:val="Subtitle1"/>
        <w:rPr>
          <w:rFonts w:ascii="Times New Roman" w:hAnsi="Times New Roman"/>
          <w:sz w:val="22"/>
          <w:szCs w:val="22"/>
        </w:rPr>
      </w:pPr>
    </w:p>
    <w:tbl>
      <w:tblPr>
        <w:tblW w:w="13069" w:type="dxa"/>
        <w:tblLook w:val="04A0" w:firstRow="1" w:lastRow="0" w:firstColumn="1" w:lastColumn="0" w:noHBand="0" w:noVBand="1"/>
      </w:tblPr>
      <w:tblGrid>
        <w:gridCol w:w="6580"/>
        <w:gridCol w:w="1600"/>
        <w:gridCol w:w="1503"/>
        <w:gridCol w:w="1420"/>
        <w:gridCol w:w="983"/>
        <w:gridCol w:w="983"/>
      </w:tblGrid>
      <w:tr w:rsidR="00946AF6" w:rsidRPr="00953AE7" w14:paraId="1021DFEF" w14:textId="77777777" w:rsidTr="00A854E3">
        <w:trPr>
          <w:trHeight w:val="315"/>
        </w:trPr>
        <w:tc>
          <w:tcPr>
            <w:tcW w:w="12086" w:type="dxa"/>
            <w:gridSpan w:val="5"/>
            <w:tcBorders>
              <w:top w:val="nil"/>
              <w:left w:val="nil"/>
              <w:bottom w:val="nil"/>
              <w:right w:val="nil"/>
            </w:tcBorders>
            <w:shd w:val="clear" w:color="auto" w:fill="auto"/>
            <w:noWrap/>
            <w:vAlign w:val="bottom"/>
            <w:hideMark/>
          </w:tcPr>
          <w:p w14:paraId="49775355" w14:textId="69043720" w:rsidR="00946AF6" w:rsidRPr="00953AE7" w:rsidRDefault="00946AF6" w:rsidP="00953AE7">
            <w:pPr>
              <w:pStyle w:val="Subtitle1"/>
              <w:rPr>
                <w:rFonts w:ascii="Times New Roman" w:hAnsi="Times New Roman"/>
                <w:sz w:val="20"/>
                <w:szCs w:val="20"/>
              </w:rPr>
            </w:pPr>
            <w:bookmarkStart w:id="19" w:name="_Toc133398669"/>
            <w:r w:rsidRPr="00953AE7">
              <w:rPr>
                <w:rFonts w:ascii="Times New Roman" w:hAnsi="Times New Roman"/>
                <w:sz w:val="20"/>
                <w:szCs w:val="20"/>
              </w:rPr>
              <w:lastRenderedPageBreak/>
              <w:t>2. B. 2. RAČUN FINANCIRANJA - PREMA IZVORIMA FINANCIRANJA</w:t>
            </w:r>
            <w:bookmarkEnd w:id="19"/>
          </w:p>
          <w:p w14:paraId="18B2E956" w14:textId="3D2181A4" w:rsidR="00946AF6" w:rsidRPr="00953AE7" w:rsidRDefault="00946AF6" w:rsidP="00953AE7">
            <w:pPr>
              <w:pStyle w:val="Subtitle1"/>
              <w:rPr>
                <w:rFonts w:ascii="Times New Roman" w:hAnsi="Times New Roman"/>
                <w:sz w:val="20"/>
                <w:szCs w:val="20"/>
              </w:rPr>
            </w:pPr>
          </w:p>
        </w:tc>
        <w:tc>
          <w:tcPr>
            <w:tcW w:w="983" w:type="dxa"/>
            <w:tcBorders>
              <w:top w:val="nil"/>
              <w:left w:val="nil"/>
              <w:bottom w:val="nil"/>
              <w:right w:val="nil"/>
            </w:tcBorders>
            <w:shd w:val="clear" w:color="auto" w:fill="auto"/>
            <w:noWrap/>
            <w:vAlign w:val="bottom"/>
            <w:hideMark/>
          </w:tcPr>
          <w:p w14:paraId="22AE3487" w14:textId="77777777" w:rsidR="00946AF6" w:rsidRPr="00953AE7" w:rsidRDefault="00946AF6" w:rsidP="00953AE7">
            <w:pPr>
              <w:pStyle w:val="Subtitle1"/>
              <w:rPr>
                <w:rFonts w:ascii="Times New Roman" w:hAnsi="Times New Roman"/>
                <w:sz w:val="20"/>
                <w:szCs w:val="20"/>
              </w:rPr>
            </w:pPr>
          </w:p>
        </w:tc>
      </w:tr>
      <w:tr w:rsidR="00946AF6" w14:paraId="2823668E" w14:textId="77777777" w:rsidTr="00946AF6">
        <w:trPr>
          <w:trHeight w:val="315"/>
        </w:trPr>
        <w:tc>
          <w:tcPr>
            <w:tcW w:w="6580" w:type="dxa"/>
            <w:tcBorders>
              <w:top w:val="nil"/>
              <w:left w:val="nil"/>
              <w:bottom w:val="nil"/>
              <w:right w:val="nil"/>
            </w:tcBorders>
            <w:shd w:val="clear" w:color="auto" w:fill="auto"/>
            <w:noWrap/>
            <w:vAlign w:val="bottom"/>
            <w:hideMark/>
          </w:tcPr>
          <w:p w14:paraId="7E9892D6" w14:textId="77777777" w:rsidR="00946AF6" w:rsidRDefault="00946AF6">
            <w:pPr>
              <w:rPr>
                <w:sz w:val="20"/>
                <w:szCs w:val="20"/>
              </w:rPr>
            </w:pPr>
          </w:p>
        </w:tc>
        <w:tc>
          <w:tcPr>
            <w:tcW w:w="1600" w:type="dxa"/>
            <w:tcBorders>
              <w:top w:val="nil"/>
              <w:left w:val="nil"/>
              <w:bottom w:val="nil"/>
              <w:right w:val="nil"/>
            </w:tcBorders>
            <w:shd w:val="clear" w:color="auto" w:fill="auto"/>
            <w:noWrap/>
            <w:vAlign w:val="bottom"/>
            <w:hideMark/>
          </w:tcPr>
          <w:p w14:paraId="3E4612BB" w14:textId="77777777" w:rsidR="00946AF6" w:rsidRDefault="00946AF6">
            <w:pPr>
              <w:rPr>
                <w:sz w:val="20"/>
                <w:szCs w:val="20"/>
              </w:rPr>
            </w:pPr>
          </w:p>
        </w:tc>
        <w:tc>
          <w:tcPr>
            <w:tcW w:w="1503" w:type="dxa"/>
            <w:tcBorders>
              <w:top w:val="nil"/>
              <w:left w:val="nil"/>
              <w:bottom w:val="nil"/>
              <w:right w:val="nil"/>
            </w:tcBorders>
            <w:shd w:val="clear" w:color="auto" w:fill="auto"/>
            <w:noWrap/>
            <w:vAlign w:val="bottom"/>
            <w:hideMark/>
          </w:tcPr>
          <w:p w14:paraId="2149547F" w14:textId="77777777" w:rsidR="00946AF6" w:rsidRDefault="00946AF6">
            <w:pPr>
              <w:rPr>
                <w:sz w:val="20"/>
                <w:szCs w:val="20"/>
              </w:rPr>
            </w:pPr>
          </w:p>
        </w:tc>
        <w:tc>
          <w:tcPr>
            <w:tcW w:w="1420" w:type="dxa"/>
            <w:tcBorders>
              <w:top w:val="nil"/>
              <w:left w:val="nil"/>
              <w:bottom w:val="nil"/>
              <w:right w:val="nil"/>
            </w:tcBorders>
            <w:shd w:val="clear" w:color="auto" w:fill="auto"/>
            <w:noWrap/>
            <w:vAlign w:val="bottom"/>
            <w:hideMark/>
          </w:tcPr>
          <w:p w14:paraId="153B4755" w14:textId="77777777" w:rsidR="00946AF6" w:rsidRDefault="00946AF6">
            <w:pPr>
              <w:rPr>
                <w:sz w:val="20"/>
                <w:szCs w:val="20"/>
              </w:rPr>
            </w:pPr>
          </w:p>
        </w:tc>
        <w:tc>
          <w:tcPr>
            <w:tcW w:w="983" w:type="dxa"/>
            <w:tcBorders>
              <w:top w:val="nil"/>
              <w:left w:val="nil"/>
              <w:bottom w:val="nil"/>
              <w:right w:val="nil"/>
            </w:tcBorders>
            <w:shd w:val="clear" w:color="auto" w:fill="auto"/>
            <w:noWrap/>
            <w:vAlign w:val="bottom"/>
            <w:hideMark/>
          </w:tcPr>
          <w:p w14:paraId="1E2C4E64" w14:textId="77777777" w:rsidR="00946AF6" w:rsidRDefault="00946AF6">
            <w:pPr>
              <w:rPr>
                <w:sz w:val="20"/>
                <w:szCs w:val="20"/>
              </w:rPr>
            </w:pPr>
          </w:p>
        </w:tc>
        <w:tc>
          <w:tcPr>
            <w:tcW w:w="983" w:type="dxa"/>
            <w:tcBorders>
              <w:top w:val="nil"/>
              <w:left w:val="nil"/>
              <w:bottom w:val="nil"/>
              <w:right w:val="nil"/>
            </w:tcBorders>
            <w:shd w:val="clear" w:color="auto" w:fill="auto"/>
            <w:noWrap/>
            <w:vAlign w:val="bottom"/>
            <w:hideMark/>
          </w:tcPr>
          <w:p w14:paraId="24C802E2" w14:textId="77777777" w:rsidR="00946AF6" w:rsidRDefault="00946AF6">
            <w:pPr>
              <w:rPr>
                <w:sz w:val="20"/>
                <w:szCs w:val="20"/>
              </w:rPr>
            </w:pPr>
          </w:p>
        </w:tc>
      </w:tr>
      <w:tr w:rsidR="00946AF6" w14:paraId="1BD4103C" w14:textId="77777777" w:rsidTr="00946AF6">
        <w:trPr>
          <w:trHeight w:val="300"/>
        </w:trPr>
        <w:tc>
          <w:tcPr>
            <w:tcW w:w="6580" w:type="dxa"/>
            <w:tcBorders>
              <w:top w:val="single" w:sz="4" w:space="0" w:color="auto"/>
              <w:left w:val="nil"/>
              <w:bottom w:val="nil"/>
              <w:right w:val="nil"/>
            </w:tcBorders>
            <w:shd w:val="clear" w:color="auto" w:fill="auto"/>
            <w:noWrap/>
            <w:vAlign w:val="bottom"/>
            <w:hideMark/>
          </w:tcPr>
          <w:p w14:paraId="71220FE1" w14:textId="77777777" w:rsidR="00946AF6" w:rsidRDefault="00946AF6">
            <w:pPr>
              <w:rPr>
                <w:b/>
                <w:bCs/>
                <w:sz w:val="20"/>
                <w:szCs w:val="20"/>
              </w:rPr>
            </w:pPr>
            <w:r>
              <w:rPr>
                <w:b/>
                <w:bCs/>
                <w:sz w:val="20"/>
                <w:szCs w:val="20"/>
              </w:rPr>
              <w:t>BROJČANA OZNAKA I NAZIV IZVORA FINANCIRANJA</w:t>
            </w:r>
          </w:p>
        </w:tc>
        <w:tc>
          <w:tcPr>
            <w:tcW w:w="1600" w:type="dxa"/>
            <w:tcBorders>
              <w:top w:val="single" w:sz="4" w:space="0" w:color="auto"/>
              <w:left w:val="nil"/>
              <w:bottom w:val="nil"/>
              <w:right w:val="nil"/>
            </w:tcBorders>
            <w:shd w:val="clear" w:color="auto" w:fill="auto"/>
            <w:noWrap/>
            <w:vAlign w:val="bottom"/>
            <w:hideMark/>
          </w:tcPr>
          <w:p w14:paraId="42C810B7" w14:textId="77777777" w:rsidR="00946AF6" w:rsidRDefault="00946AF6">
            <w:pPr>
              <w:jc w:val="center"/>
              <w:rPr>
                <w:b/>
                <w:bCs/>
                <w:sz w:val="20"/>
                <w:szCs w:val="20"/>
              </w:rPr>
            </w:pPr>
            <w:r>
              <w:rPr>
                <w:b/>
                <w:bCs/>
                <w:sz w:val="20"/>
                <w:szCs w:val="20"/>
              </w:rPr>
              <w:t xml:space="preserve">IZVRŠENJE </w:t>
            </w:r>
          </w:p>
        </w:tc>
        <w:tc>
          <w:tcPr>
            <w:tcW w:w="1503" w:type="dxa"/>
            <w:tcBorders>
              <w:top w:val="single" w:sz="4" w:space="0" w:color="auto"/>
              <w:left w:val="nil"/>
              <w:bottom w:val="nil"/>
              <w:right w:val="nil"/>
            </w:tcBorders>
            <w:shd w:val="clear" w:color="auto" w:fill="auto"/>
            <w:noWrap/>
            <w:vAlign w:val="bottom"/>
            <w:hideMark/>
          </w:tcPr>
          <w:p w14:paraId="10361E91" w14:textId="77777777" w:rsidR="00946AF6" w:rsidRDefault="00946AF6">
            <w:pPr>
              <w:jc w:val="center"/>
              <w:rPr>
                <w:b/>
                <w:bCs/>
                <w:sz w:val="20"/>
                <w:szCs w:val="20"/>
              </w:rPr>
            </w:pPr>
            <w:r>
              <w:rPr>
                <w:b/>
                <w:bCs/>
                <w:sz w:val="20"/>
                <w:szCs w:val="20"/>
              </w:rPr>
              <w:t>IZVORNI PLAN</w:t>
            </w:r>
          </w:p>
        </w:tc>
        <w:tc>
          <w:tcPr>
            <w:tcW w:w="1420" w:type="dxa"/>
            <w:tcBorders>
              <w:top w:val="single" w:sz="4" w:space="0" w:color="auto"/>
              <w:left w:val="nil"/>
              <w:bottom w:val="nil"/>
              <w:right w:val="nil"/>
            </w:tcBorders>
            <w:shd w:val="clear" w:color="auto" w:fill="auto"/>
            <w:noWrap/>
            <w:vAlign w:val="bottom"/>
            <w:hideMark/>
          </w:tcPr>
          <w:p w14:paraId="073F4B3D" w14:textId="77777777" w:rsidR="00946AF6" w:rsidRDefault="00946AF6">
            <w:pPr>
              <w:jc w:val="center"/>
              <w:rPr>
                <w:b/>
                <w:bCs/>
                <w:sz w:val="20"/>
                <w:szCs w:val="20"/>
              </w:rPr>
            </w:pPr>
            <w:r>
              <w:rPr>
                <w:b/>
                <w:bCs/>
                <w:sz w:val="20"/>
                <w:szCs w:val="20"/>
              </w:rPr>
              <w:t xml:space="preserve">IZVRŠENJE </w:t>
            </w:r>
          </w:p>
        </w:tc>
        <w:tc>
          <w:tcPr>
            <w:tcW w:w="983" w:type="dxa"/>
            <w:tcBorders>
              <w:top w:val="single" w:sz="4" w:space="0" w:color="auto"/>
              <w:left w:val="nil"/>
              <w:bottom w:val="nil"/>
              <w:right w:val="nil"/>
            </w:tcBorders>
            <w:shd w:val="clear" w:color="auto" w:fill="auto"/>
            <w:noWrap/>
            <w:vAlign w:val="bottom"/>
            <w:hideMark/>
          </w:tcPr>
          <w:p w14:paraId="22361D3B" w14:textId="77777777" w:rsidR="00946AF6" w:rsidRDefault="00946AF6">
            <w:pPr>
              <w:jc w:val="center"/>
              <w:rPr>
                <w:b/>
                <w:bCs/>
                <w:sz w:val="20"/>
                <w:szCs w:val="20"/>
              </w:rPr>
            </w:pPr>
            <w:r>
              <w:rPr>
                <w:b/>
                <w:bCs/>
                <w:sz w:val="20"/>
                <w:szCs w:val="20"/>
              </w:rPr>
              <w:t>INDEKS</w:t>
            </w:r>
          </w:p>
        </w:tc>
        <w:tc>
          <w:tcPr>
            <w:tcW w:w="983" w:type="dxa"/>
            <w:tcBorders>
              <w:top w:val="single" w:sz="4" w:space="0" w:color="auto"/>
              <w:left w:val="nil"/>
              <w:bottom w:val="nil"/>
              <w:right w:val="nil"/>
            </w:tcBorders>
            <w:shd w:val="clear" w:color="auto" w:fill="auto"/>
            <w:noWrap/>
            <w:vAlign w:val="bottom"/>
            <w:hideMark/>
          </w:tcPr>
          <w:p w14:paraId="110C3182" w14:textId="77777777" w:rsidR="00946AF6" w:rsidRDefault="00946AF6">
            <w:pPr>
              <w:jc w:val="center"/>
              <w:rPr>
                <w:b/>
                <w:bCs/>
                <w:sz w:val="20"/>
                <w:szCs w:val="20"/>
              </w:rPr>
            </w:pPr>
            <w:r>
              <w:rPr>
                <w:b/>
                <w:bCs/>
                <w:sz w:val="20"/>
                <w:szCs w:val="20"/>
              </w:rPr>
              <w:t>INDEKS</w:t>
            </w:r>
          </w:p>
        </w:tc>
      </w:tr>
      <w:tr w:rsidR="00946AF6" w14:paraId="0010BDDE" w14:textId="77777777" w:rsidTr="00946AF6">
        <w:trPr>
          <w:trHeight w:val="300"/>
        </w:trPr>
        <w:tc>
          <w:tcPr>
            <w:tcW w:w="6580" w:type="dxa"/>
            <w:tcBorders>
              <w:top w:val="nil"/>
              <w:left w:val="nil"/>
              <w:bottom w:val="single" w:sz="4" w:space="0" w:color="auto"/>
              <w:right w:val="nil"/>
            </w:tcBorders>
            <w:shd w:val="clear" w:color="auto" w:fill="auto"/>
            <w:noWrap/>
            <w:vAlign w:val="bottom"/>
            <w:hideMark/>
          </w:tcPr>
          <w:p w14:paraId="317F96A1" w14:textId="77777777" w:rsidR="00946AF6" w:rsidRDefault="00946AF6">
            <w:pPr>
              <w:rPr>
                <w:b/>
                <w:bCs/>
                <w:sz w:val="20"/>
                <w:szCs w:val="20"/>
              </w:rPr>
            </w:pPr>
            <w:r>
              <w:rPr>
                <w:b/>
                <w:bCs/>
                <w:sz w:val="20"/>
                <w:szCs w:val="20"/>
              </w:rPr>
              <w:t> </w:t>
            </w:r>
          </w:p>
        </w:tc>
        <w:tc>
          <w:tcPr>
            <w:tcW w:w="1600" w:type="dxa"/>
            <w:tcBorders>
              <w:top w:val="nil"/>
              <w:left w:val="nil"/>
              <w:bottom w:val="single" w:sz="4" w:space="0" w:color="auto"/>
              <w:right w:val="nil"/>
            </w:tcBorders>
            <w:shd w:val="clear" w:color="auto" w:fill="auto"/>
            <w:noWrap/>
            <w:vAlign w:val="bottom"/>
            <w:hideMark/>
          </w:tcPr>
          <w:p w14:paraId="06C2673F" w14:textId="77777777" w:rsidR="00946AF6" w:rsidRDefault="00946AF6">
            <w:pPr>
              <w:jc w:val="center"/>
              <w:rPr>
                <w:b/>
                <w:bCs/>
                <w:sz w:val="20"/>
                <w:szCs w:val="20"/>
              </w:rPr>
            </w:pPr>
            <w:r>
              <w:rPr>
                <w:b/>
                <w:bCs/>
                <w:sz w:val="20"/>
                <w:szCs w:val="20"/>
              </w:rPr>
              <w:t>2021.</w:t>
            </w:r>
          </w:p>
        </w:tc>
        <w:tc>
          <w:tcPr>
            <w:tcW w:w="1503" w:type="dxa"/>
            <w:tcBorders>
              <w:top w:val="nil"/>
              <w:left w:val="nil"/>
              <w:bottom w:val="single" w:sz="4" w:space="0" w:color="auto"/>
              <w:right w:val="nil"/>
            </w:tcBorders>
            <w:shd w:val="clear" w:color="auto" w:fill="auto"/>
            <w:noWrap/>
            <w:vAlign w:val="bottom"/>
            <w:hideMark/>
          </w:tcPr>
          <w:p w14:paraId="6AFF9DAC" w14:textId="77777777" w:rsidR="00946AF6" w:rsidRDefault="00946AF6">
            <w:pPr>
              <w:jc w:val="center"/>
              <w:rPr>
                <w:b/>
                <w:bCs/>
                <w:sz w:val="20"/>
                <w:szCs w:val="20"/>
              </w:rPr>
            </w:pPr>
            <w:r>
              <w:rPr>
                <w:b/>
                <w:bCs/>
                <w:sz w:val="20"/>
                <w:szCs w:val="20"/>
              </w:rPr>
              <w:t>2022.</w:t>
            </w:r>
          </w:p>
        </w:tc>
        <w:tc>
          <w:tcPr>
            <w:tcW w:w="1420" w:type="dxa"/>
            <w:tcBorders>
              <w:top w:val="nil"/>
              <w:left w:val="nil"/>
              <w:bottom w:val="single" w:sz="4" w:space="0" w:color="auto"/>
              <w:right w:val="nil"/>
            </w:tcBorders>
            <w:shd w:val="clear" w:color="auto" w:fill="auto"/>
            <w:noWrap/>
            <w:vAlign w:val="bottom"/>
            <w:hideMark/>
          </w:tcPr>
          <w:p w14:paraId="6B50BBC1" w14:textId="77777777" w:rsidR="00946AF6" w:rsidRDefault="00946AF6">
            <w:pPr>
              <w:jc w:val="center"/>
              <w:rPr>
                <w:b/>
                <w:bCs/>
                <w:sz w:val="20"/>
                <w:szCs w:val="20"/>
              </w:rPr>
            </w:pPr>
            <w:r>
              <w:rPr>
                <w:b/>
                <w:bCs/>
                <w:sz w:val="20"/>
                <w:szCs w:val="20"/>
              </w:rPr>
              <w:t>2022.</w:t>
            </w:r>
          </w:p>
        </w:tc>
        <w:tc>
          <w:tcPr>
            <w:tcW w:w="983" w:type="dxa"/>
            <w:tcBorders>
              <w:top w:val="nil"/>
              <w:left w:val="nil"/>
              <w:bottom w:val="single" w:sz="4" w:space="0" w:color="auto"/>
              <w:right w:val="nil"/>
            </w:tcBorders>
            <w:shd w:val="clear" w:color="auto" w:fill="auto"/>
            <w:noWrap/>
            <w:vAlign w:val="bottom"/>
            <w:hideMark/>
          </w:tcPr>
          <w:p w14:paraId="133FC717" w14:textId="77777777" w:rsidR="00946AF6" w:rsidRDefault="00946AF6">
            <w:pPr>
              <w:jc w:val="center"/>
              <w:rPr>
                <w:b/>
                <w:bCs/>
                <w:sz w:val="20"/>
                <w:szCs w:val="20"/>
              </w:rPr>
            </w:pPr>
            <w:r>
              <w:rPr>
                <w:b/>
                <w:bCs/>
                <w:sz w:val="20"/>
                <w:szCs w:val="20"/>
              </w:rPr>
              <w:t>4/2*100</w:t>
            </w:r>
          </w:p>
        </w:tc>
        <w:tc>
          <w:tcPr>
            <w:tcW w:w="983" w:type="dxa"/>
            <w:tcBorders>
              <w:top w:val="nil"/>
              <w:left w:val="nil"/>
              <w:bottom w:val="single" w:sz="4" w:space="0" w:color="auto"/>
              <w:right w:val="nil"/>
            </w:tcBorders>
            <w:shd w:val="clear" w:color="auto" w:fill="auto"/>
            <w:noWrap/>
            <w:vAlign w:val="bottom"/>
            <w:hideMark/>
          </w:tcPr>
          <w:p w14:paraId="10C56718" w14:textId="77777777" w:rsidR="00946AF6" w:rsidRDefault="00946AF6">
            <w:pPr>
              <w:jc w:val="center"/>
              <w:rPr>
                <w:b/>
                <w:bCs/>
                <w:sz w:val="20"/>
                <w:szCs w:val="20"/>
              </w:rPr>
            </w:pPr>
            <w:r>
              <w:rPr>
                <w:b/>
                <w:bCs/>
                <w:sz w:val="20"/>
                <w:szCs w:val="20"/>
              </w:rPr>
              <w:t>4/3*100</w:t>
            </w:r>
          </w:p>
        </w:tc>
      </w:tr>
      <w:tr w:rsidR="00946AF6" w14:paraId="6DA3DDD1" w14:textId="77777777" w:rsidTr="00946AF6">
        <w:trPr>
          <w:trHeight w:val="300"/>
        </w:trPr>
        <w:tc>
          <w:tcPr>
            <w:tcW w:w="6580" w:type="dxa"/>
            <w:tcBorders>
              <w:top w:val="nil"/>
              <w:left w:val="nil"/>
              <w:bottom w:val="single" w:sz="4" w:space="0" w:color="auto"/>
              <w:right w:val="nil"/>
            </w:tcBorders>
            <w:shd w:val="clear" w:color="auto" w:fill="auto"/>
            <w:noWrap/>
            <w:vAlign w:val="bottom"/>
            <w:hideMark/>
          </w:tcPr>
          <w:p w14:paraId="1D509F54" w14:textId="77777777" w:rsidR="00946AF6" w:rsidRDefault="00946AF6">
            <w:pPr>
              <w:jc w:val="center"/>
              <w:rPr>
                <w:b/>
                <w:bCs/>
                <w:sz w:val="20"/>
                <w:szCs w:val="20"/>
              </w:rPr>
            </w:pPr>
            <w:r>
              <w:rPr>
                <w:b/>
                <w:bCs/>
                <w:sz w:val="20"/>
                <w:szCs w:val="20"/>
              </w:rPr>
              <w:t>1</w:t>
            </w:r>
          </w:p>
        </w:tc>
        <w:tc>
          <w:tcPr>
            <w:tcW w:w="1600" w:type="dxa"/>
            <w:tcBorders>
              <w:top w:val="nil"/>
              <w:left w:val="nil"/>
              <w:bottom w:val="single" w:sz="4" w:space="0" w:color="auto"/>
              <w:right w:val="nil"/>
            </w:tcBorders>
            <w:shd w:val="clear" w:color="auto" w:fill="auto"/>
            <w:noWrap/>
            <w:vAlign w:val="bottom"/>
            <w:hideMark/>
          </w:tcPr>
          <w:p w14:paraId="38FD1D67" w14:textId="77777777" w:rsidR="00946AF6" w:rsidRDefault="00946AF6">
            <w:pPr>
              <w:jc w:val="center"/>
              <w:rPr>
                <w:b/>
                <w:bCs/>
                <w:sz w:val="20"/>
                <w:szCs w:val="20"/>
              </w:rPr>
            </w:pPr>
            <w:r>
              <w:rPr>
                <w:b/>
                <w:bCs/>
                <w:sz w:val="20"/>
                <w:szCs w:val="20"/>
              </w:rPr>
              <w:t>2</w:t>
            </w:r>
          </w:p>
        </w:tc>
        <w:tc>
          <w:tcPr>
            <w:tcW w:w="1503" w:type="dxa"/>
            <w:tcBorders>
              <w:top w:val="nil"/>
              <w:left w:val="nil"/>
              <w:bottom w:val="single" w:sz="4" w:space="0" w:color="auto"/>
              <w:right w:val="nil"/>
            </w:tcBorders>
            <w:shd w:val="clear" w:color="auto" w:fill="auto"/>
            <w:noWrap/>
            <w:vAlign w:val="bottom"/>
            <w:hideMark/>
          </w:tcPr>
          <w:p w14:paraId="615DCF42" w14:textId="77777777" w:rsidR="00946AF6" w:rsidRDefault="00946AF6">
            <w:pPr>
              <w:jc w:val="center"/>
              <w:rPr>
                <w:b/>
                <w:bCs/>
                <w:sz w:val="20"/>
                <w:szCs w:val="20"/>
              </w:rPr>
            </w:pPr>
            <w:r>
              <w:rPr>
                <w:b/>
                <w:bCs/>
                <w:sz w:val="20"/>
                <w:szCs w:val="20"/>
              </w:rPr>
              <w:t>3</w:t>
            </w:r>
          </w:p>
        </w:tc>
        <w:tc>
          <w:tcPr>
            <w:tcW w:w="1420" w:type="dxa"/>
            <w:tcBorders>
              <w:top w:val="nil"/>
              <w:left w:val="nil"/>
              <w:bottom w:val="single" w:sz="4" w:space="0" w:color="auto"/>
              <w:right w:val="nil"/>
            </w:tcBorders>
            <w:shd w:val="clear" w:color="auto" w:fill="auto"/>
            <w:noWrap/>
            <w:vAlign w:val="bottom"/>
            <w:hideMark/>
          </w:tcPr>
          <w:p w14:paraId="66E504D2" w14:textId="77777777" w:rsidR="00946AF6" w:rsidRDefault="00946AF6">
            <w:pPr>
              <w:jc w:val="center"/>
              <w:rPr>
                <w:b/>
                <w:bCs/>
                <w:sz w:val="20"/>
                <w:szCs w:val="20"/>
              </w:rPr>
            </w:pPr>
            <w:r>
              <w:rPr>
                <w:b/>
                <w:bCs/>
                <w:sz w:val="20"/>
                <w:szCs w:val="20"/>
              </w:rPr>
              <w:t>4</w:t>
            </w:r>
          </w:p>
        </w:tc>
        <w:tc>
          <w:tcPr>
            <w:tcW w:w="983" w:type="dxa"/>
            <w:tcBorders>
              <w:top w:val="nil"/>
              <w:left w:val="nil"/>
              <w:bottom w:val="single" w:sz="4" w:space="0" w:color="auto"/>
              <w:right w:val="nil"/>
            </w:tcBorders>
            <w:shd w:val="clear" w:color="auto" w:fill="auto"/>
            <w:noWrap/>
            <w:vAlign w:val="bottom"/>
            <w:hideMark/>
          </w:tcPr>
          <w:p w14:paraId="7AF6D110" w14:textId="77777777" w:rsidR="00946AF6" w:rsidRDefault="00946AF6">
            <w:pPr>
              <w:jc w:val="center"/>
              <w:rPr>
                <w:b/>
                <w:bCs/>
                <w:sz w:val="20"/>
                <w:szCs w:val="20"/>
              </w:rPr>
            </w:pPr>
            <w:r>
              <w:rPr>
                <w:b/>
                <w:bCs/>
                <w:sz w:val="20"/>
                <w:szCs w:val="20"/>
              </w:rPr>
              <w:t>5</w:t>
            </w:r>
          </w:p>
        </w:tc>
        <w:tc>
          <w:tcPr>
            <w:tcW w:w="983" w:type="dxa"/>
            <w:tcBorders>
              <w:top w:val="nil"/>
              <w:left w:val="nil"/>
              <w:bottom w:val="single" w:sz="4" w:space="0" w:color="auto"/>
              <w:right w:val="nil"/>
            </w:tcBorders>
            <w:shd w:val="clear" w:color="auto" w:fill="auto"/>
            <w:noWrap/>
            <w:vAlign w:val="bottom"/>
            <w:hideMark/>
          </w:tcPr>
          <w:p w14:paraId="69BF5EC7" w14:textId="77777777" w:rsidR="00946AF6" w:rsidRDefault="00946AF6">
            <w:pPr>
              <w:jc w:val="center"/>
              <w:rPr>
                <w:b/>
                <w:bCs/>
                <w:sz w:val="20"/>
                <w:szCs w:val="20"/>
              </w:rPr>
            </w:pPr>
            <w:r>
              <w:rPr>
                <w:b/>
                <w:bCs/>
                <w:sz w:val="20"/>
                <w:szCs w:val="20"/>
              </w:rPr>
              <w:t>6</w:t>
            </w:r>
          </w:p>
        </w:tc>
      </w:tr>
      <w:tr w:rsidR="00946AF6" w14:paraId="7606AA50" w14:textId="77777777" w:rsidTr="00946AF6">
        <w:trPr>
          <w:trHeight w:val="300"/>
        </w:trPr>
        <w:tc>
          <w:tcPr>
            <w:tcW w:w="6580" w:type="dxa"/>
            <w:tcBorders>
              <w:top w:val="nil"/>
              <w:left w:val="nil"/>
              <w:bottom w:val="single" w:sz="4" w:space="0" w:color="auto"/>
              <w:right w:val="nil"/>
            </w:tcBorders>
            <w:shd w:val="clear" w:color="auto" w:fill="auto"/>
            <w:vAlign w:val="bottom"/>
            <w:hideMark/>
          </w:tcPr>
          <w:p w14:paraId="42819FD9" w14:textId="77777777" w:rsidR="00946AF6" w:rsidRDefault="00946AF6">
            <w:pPr>
              <w:rPr>
                <w:b/>
                <w:bCs/>
                <w:sz w:val="20"/>
                <w:szCs w:val="20"/>
              </w:rPr>
            </w:pPr>
            <w:r>
              <w:rPr>
                <w:b/>
                <w:bCs/>
                <w:sz w:val="20"/>
                <w:szCs w:val="20"/>
              </w:rPr>
              <w:t xml:space="preserve"> UKUPNI PRIMICI</w:t>
            </w:r>
          </w:p>
        </w:tc>
        <w:tc>
          <w:tcPr>
            <w:tcW w:w="1600" w:type="dxa"/>
            <w:tcBorders>
              <w:top w:val="nil"/>
              <w:left w:val="nil"/>
              <w:bottom w:val="single" w:sz="4" w:space="0" w:color="auto"/>
              <w:right w:val="nil"/>
            </w:tcBorders>
            <w:shd w:val="clear" w:color="auto" w:fill="auto"/>
            <w:noWrap/>
            <w:vAlign w:val="bottom"/>
            <w:hideMark/>
          </w:tcPr>
          <w:p w14:paraId="01DE2AAB" w14:textId="77777777" w:rsidR="00946AF6" w:rsidRDefault="00946AF6">
            <w:pPr>
              <w:jc w:val="right"/>
              <w:rPr>
                <w:b/>
                <w:bCs/>
                <w:sz w:val="20"/>
                <w:szCs w:val="20"/>
              </w:rPr>
            </w:pPr>
            <w:r>
              <w:rPr>
                <w:b/>
                <w:bCs/>
                <w:sz w:val="20"/>
                <w:szCs w:val="20"/>
              </w:rPr>
              <w:t>2.514.605,44</w:t>
            </w:r>
          </w:p>
        </w:tc>
        <w:tc>
          <w:tcPr>
            <w:tcW w:w="1503" w:type="dxa"/>
            <w:tcBorders>
              <w:top w:val="nil"/>
              <w:left w:val="nil"/>
              <w:bottom w:val="single" w:sz="4" w:space="0" w:color="auto"/>
              <w:right w:val="nil"/>
            </w:tcBorders>
            <w:shd w:val="clear" w:color="auto" w:fill="auto"/>
            <w:noWrap/>
            <w:vAlign w:val="bottom"/>
            <w:hideMark/>
          </w:tcPr>
          <w:p w14:paraId="431785A3" w14:textId="77777777" w:rsidR="00946AF6" w:rsidRDefault="00946AF6">
            <w:pPr>
              <w:jc w:val="right"/>
              <w:rPr>
                <w:b/>
                <w:bCs/>
                <w:sz w:val="20"/>
                <w:szCs w:val="20"/>
              </w:rPr>
            </w:pPr>
            <w:r>
              <w:rPr>
                <w:b/>
                <w:bCs/>
                <w:sz w:val="20"/>
                <w:szCs w:val="20"/>
              </w:rPr>
              <w:t>0,00</w:t>
            </w:r>
          </w:p>
        </w:tc>
        <w:tc>
          <w:tcPr>
            <w:tcW w:w="1420" w:type="dxa"/>
            <w:tcBorders>
              <w:top w:val="nil"/>
              <w:left w:val="nil"/>
              <w:bottom w:val="single" w:sz="4" w:space="0" w:color="auto"/>
              <w:right w:val="nil"/>
            </w:tcBorders>
            <w:shd w:val="clear" w:color="auto" w:fill="auto"/>
            <w:noWrap/>
            <w:vAlign w:val="bottom"/>
            <w:hideMark/>
          </w:tcPr>
          <w:p w14:paraId="786E9BCD" w14:textId="77777777" w:rsidR="00946AF6" w:rsidRDefault="00946AF6">
            <w:pPr>
              <w:jc w:val="right"/>
              <w:rPr>
                <w:b/>
                <w:bCs/>
                <w:sz w:val="20"/>
                <w:szCs w:val="20"/>
              </w:rPr>
            </w:pPr>
            <w:r>
              <w:rPr>
                <w:b/>
                <w:bCs/>
                <w:sz w:val="20"/>
                <w:szCs w:val="20"/>
              </w:rPr>
              <w:t>0,00</w:t>
            </w:r>
          </w:p>
        </w:tc>
        <w:tc>
          <w:tcPr>
            <w:tcW w:w="983" w:type="dxa"/>
            <w:tcBorders>
              <w:top w:val="nil"/>
              <w:left w:val="nil"/>
              <w:bottom w:val="single" w:sz="4" w:space="0" w:color="auto"/>
              <w:right w:val="nil"/>
            </w:tcBorders>
            <w:shd w:val="clear" w:color="auto" w:fill="auto"/>
            <w:noWrap/>
            <w:vAlign w:val="bottom"/>
            <w:hideMark/>
          </w:tcPr>
          <w:p w14:paraId="465BF34B" w14:textId="77777777" w:rsidR="00946AF6" w:rsidRDefault="00946AF6">
            <w:pPr>
              <w:jc w:val="right"/>
              <w:rPr>
                <w:b/>
                <w:bCs/>
                <w:sz w:val="20"/>
                <w:szCs w:val="20"/>
              </w:rPr>
            </w:pPr>
            <w:r>
              <w:rPr>
                <w:b/>
                <w:bCs/>
                <w:sz w:val="20"/>
                <w:szCs w:val="20"/>
              </w:rPr>
              <w:t>0,00</w:t>
            </w:r>
          </w:p>
        </w:tc>
        <w:tc>
          <w:tcPr>
            <w:tcW w:w="983" w:type="dxa"/>
            <w:tcBorders>
              <w:top w:val="nil"/>
              <w:left w:val="nil"/>
              <w:bottom w:val="single" w:sz="4" w:space="0" w:color="auto"/>
              <w:right w:val="nil"/>
            </w:tcBorders>
            <w:shd w:val="clear" w:color="auto" w:fill="auto"/>
            <w:noWrap/>
            <w:vAlign w:val="bottom"/>
            <w:hideMark/>
          </w:tcPr>
          <w:p w14:paraId="50916CC5" w14:textId="77777777" w:rsidR="00946AF6" w:rsidRDefault="00946AF6">
            <w:pPr>
              <w:jc w:val="right"/>
              <w:rPr>
                <w:b/>
                <w:bCs/>
                <w:sz w:val="20"/>
                <w:szCs w:val="20"/>
              </w:rPr>
            </w:pPr>
            <w:r>
              <w:rPr>
                <w:b/>
                <w:bCs/>
                <w:sz w:val="20"/>
                <w:szCs w:val="20"/>
              </w:rPr>
              <w:t>0,00</w:t>
            </w:r>
          </w:p>
        </w:tc>
      </w:tr>
      <w:tr w:rsidR="00946AF6" w14:paraId="16A68AEA" w14:textId="77777777" w:rsidTr="00946AF6">
        <w:trPr>
          <w:trHeight w:val="300"/>
        </w:trPr>
        <w:tc>
          <w:tcPr>
            <w:tcW w:w="6580" w:type="dxa"/>
            <w:tcBorders>
              <w:top w:val="nil"/>
              <w:left w:val="nil"/>
              <w:bottom w:val="nil"/>
              <w:right w:val="nil"/>
            </w:tcBorders>
            <w:shd w:val="clear" w:color="auto" w:fill="auto"/>
            <w:noWrap/>
            <w:vAlign w:val="center"/>
            <w:hideMark/>
          </w:tcPr>
          <w:p w14:paraId="78C0BCB7" w14:textId="56DDB2ED" w:rsidR="00946AF6" w:rsidRDefault="00946AF6">
            <w:pPr>
              <w:rPr>
                <w:b/>
                <w:bCs/>
                <w:color w:val="000000"/>
                <w:sz w:val="20"/>
                <w:szCs w:val="20"/>
              </w:rPr>
            </w:pPr>
            <w:r>
              <w:rPr>
                <w:b/>
                <w:bCs/>
                <w:color w:val="000000"/>
                <w:sz w:val="20"/>
                <w:szCs w:val="20"/>
              </w:rPr>
              <w:t>7. Prihodi od nefinancijske imovine i nadoknade šteta od osiguranja</w:t>
            </w:r>
          </w:p>
        </w:tc>
        <w:tc>
          <w:tcPr>
            <w:tcW w:w="1600" w:type="dxa"/>
            <w:tcBorders>
              <w:top w:val="nil"/>
              <w:left w:val="nil"/>
              <w:bottom w:val="nil"/>
              <w:right w:val="nil"/>
            </w:tcBorders>
            <w:shd w:val="clear" w:color="auto" w:fill="auto"/>
            <w:noWrap/>
            <w:vAlign w:val="bottom"/>
            <w:hideMark/>
          </w:tcPr>
          <w:p w14:paraId="1514A9DA" w14:textId="77777777" w:rsidR="00946AF6" w:rsidRDefault="00946AF6">
            <w:pPr>
              <w:jc w:val="right"/>
              <w:rPr>
                <w:b/>
                <w:bCs/>
                <w:sz w:val="20"/>
                <w:szCs w:val="20"/>
              </w:rPr>
            </w:pPr>
            <w:r>
              <w:rPr>
                <w:b/>
                <w:bCs/>
                <w:sz w:val="20"/>
                <w:szCs w:val="20"/>
              </w:rPr>
              <w:t>20.000,00</w:t>
            </w:r>
          </w:p>
        </w:tc>
        <w:tc>
          <w:tcPr>
            <w:tcW w:w="1503" w:type="dxa"/>
            <w:tcBorders>
              <w:top w:val="nil"/>
              <w:left w:val="nil"/>
              <w:bottom w:val="nil"/>
              <w:right w:val="nil"/>
            </w:tcBorders>
            <w:shd w:val="clear" w:color="auto" w:fill="auto"/>
            <w:noWrap/>
            <w:vAlign w:val="bottom"/>
            <w:hideMark/>
          </w:tcPr>
          <w:p w14:paraId="54C4BCED" w14:textId="77777777" w:rsidR="00946AF6" w:rsidRDefault="00946AF6">
            <w:pPr>
              <w:jc w:val="right"/>
              <w:rPr>
                <w:b/>
                <w:bCs/>
                <w:sz w:val="20"/>
                <w:szCs w:val="20"/>
              </w:rPr>
            </w:pPr>
            <w:r>
              <w:rPr>
                <w:b/>
                <w:bCs/>
                <w:sz w:val="20"/>
                <w:szCs w:val="20"/>
              </w:rPr>
              <w:t>0,00</w:t>
            </w:r>
          </w:p>
        </w:tc>
        <w:tc>
          <w:tcPr>
            <w:tcW w:w="1420" w:type="dxa"/>
            <w:tcBorders>
              <w:top w:val="nil"/>
              <w:left w:val="nil"/>
              <w:bottom w:val="nil"/>
              <w:right w:val="nil"/>
            </w:tcBorders>
            <w:shd w:val="clear" w:color="auto" w:fill="auto"/>
            <w:noWrap/>
            <w:vAlign w:val="bottom"/>
            <w:hideMark/>
          </w:tcPr>
          <w:p w14:paraId="1A90BACC" w14:textId="77777777" w:rsidR="00946AF6" w:rsidRDefault="00946AF6">
            <w:pPr>
              <w:jc w:val="right"/>
              <w:rPr>
                <w:b/>
                <w:bCs/>
                <w:sz w:val="20"/>
                <w:szCs w:val="20"/>
              </w:rPr>
            </w:pPr>
            <w:r>
              <w:rPr>
                <w:b/>
                <w:bCs/>
                <w:sz w:val="20"/>
                <w:szCs w:val="20"/>
              </w:rPr>
              <w:t>0,00</w:t>
            </w:r>
          </w:p>
        </w:tc>
        <w:tc>
          <w:tcPr>
            <w:tcW w:w="983" w:type="dxa"/>
            <w:tcBorders>
              <w:top w:val="nil"/>
              <w:left w:val="nil"/>
              <w:bottom w:val="nil"/>
              <w:right w:val="nil"/>
            </w:tcBorders>
            <w:shd w:val="clear" w:color="auto" w:fill="auto"/>
            <w:noWrap/>
            <w:vAlign w:val="bottom"/>
            <w:hideMark/>
          </w:tcPr>
          <w:p w14:paraId="3D5AF0C3" w14:textId="77777777" w:rsidR="00946AF6" w:rsidRDefault="00946AF6">
            <w:pPr>
              <w:jc w:val="right"/>
              <w:rPr>
                <w:b/>
                <w:bCs/>
                <w:sz w:val="20"/>
                <w:szCs w:val="20"/>
              </w:rPr>
            </w:pPr>
            <w:r>
              <w:rPr>
                <w:b/>
                <w:bCs/>
                <w:sz w:val="20"/>
                <w:szCs w:val="20"/>
              </w:rPr>
              <w:t>0,00</w:t>
            </w:r>
          </w:p>
        </w:tc>
        <w:tc>
          <w:tcPr>
            <w:tcW w:w="983" w:type="dxa"/>
            <w:tcBorders>
              <w:top w:val="nil"/>
              <w:left w:val="nil"/>
              <w:bottom w:val="nil"/>
              <w:right w:val="nil"/>
            </w:tcBorders>
            <w:shd w:val="clear" w:color="auto" w:fill="auto"/>
            <w:noWrap/>
            <w:vAlign w:val="bottom"/>
            <w:hideMark/>
          </w:tcPr>
          <w:p w14:paraId="64D33BB5" w14:textId="77777777" w:rsidR="00946AF6" w:rsidRDefault="00946AF6">
            <w:pPr>
              <w:jc w:val="right"/>
              <w:rPr>
                <w:b/>
                <w:bCs/>
                <w:sz w:val="20"/>
                <w:szCs w:val="20"/>
              </w:rPr>
            </w:pPr>
            <w:r>
              <w:rPr>
                <w:b/>
                <w:bCs/>
                <w:sz w:val="20"/>
                <w:szCs w:val="20"/>
              </w:rPr>
              <w:t>0,00</w:t>
            </w:r>
          </w:p>
        </w:tc>
      </w:tr>
      <w:tr w:rsidR="00946AF6" w14:paraId="7DE908A7" w14:textId="77777777" w:rsidTr="00946AF6">
        <w:trPr>
          <w:trHeight w:val="300"/>
        </w:trPr>
        <w:tc>
          <w:tcPr>
            <w:tcW w:w="6580" w:type="dxa"/>
            <w:tcBorders>
              <w:top w:val="nil"/>
              <w:left w:val="nil"/>
              <w:bottom w:val="nil"/>
              <w:right w:val="nil"/>
            </w:tcBorders>
            <w:shd w:val="clear" w:color="auto" w:fill="auto"/>
            <w:noWrap/>
            <w:vAlign w:val="center"/>
            <w:hideMark/>
          </w:tcPr>
          <w:p w14:paraId="0E2BE5AA" w14:textId="1AA6D76D" w:rsidR="00946AF6" w:rsidRDefault="00946AF6">
            <w:pPr>
              <w:rPr>
                <w:color w:val="000000"/>
                <w:sz w:val="20"/>
                <w:szCs w:val="20"/>
              </w:rPr>
            </w:pPr>
            <w:r>
              <w:rPr>
                <w:color w:val="000000"/>
                <w:sz w:val="20"/>
                <w:szCs w:val="20"/>
              </w:rPr>
              <w:t>7.1. Prihodi od nefinancijske imovine i nadoknade šteta od osiguranja</w:t>
            </w:r>
          </w:p>
        </w:tc>
        <w:tc>
          <w:tcPr>
            <w:tcW w:w="1600" w:type="dxa"/>
            <w:tcBorders>
              <w:top w:val="nil"/>
              <w:left w:val="nil"/>
              <w:bottom w:val="nil"/>
              <w:right w:val="nil"/>
            </w:tcBorders>
            <w:shd w:val="clear" w:color="auto" w:fill="auto"/>
            <w:noWrap/>
            <w:vAlign w:val="bottom"/>
            <w:hideMark/>
          </w:tcPr>
          <w:p w14:paraId="45165624" w14:textId="77777777" w:rsidR="00946AF6" w:rsidRDefault="00946AF6">
            <w:pPr>
              <w:jc w:val="right"/>
              <w:rPr>
                <w:sz w:val="20"/>
                <w:szCs w:val="20"/>
              </w:rPr>
            </w:pPr>
            <w:r>
              <w:rPr>
                <w:sz w:val="20"/>
                <w:szCs w:val="20"/>
              </w:rPr>
              <w:t>20.000,00</w:t>
            </w:r>
          </w:p>
        </w:tc>
        <w:tc>
          <w:tcPr>
            <w:tcW w:w="1503" w:type="dxa"/>
            <w:tcBorders>
              <w:top w:val="nil"/>
              <w:left w:val="nil"/>
              <w:bottom w:val="nil"/>
              <w:right w:val="nil"/>
            </w:tcBorders>
            <w:shd w:val="clear" w:color="auto" w:fill="auto"/>
            <w:noWrap/>
            <w:vAlign w:val="bottom"/>
            <w:hideMark/>
          </w:tcPr>
          <w:p w14:paraId="04F38371" w14:textId="77777777" w:rsidR="00946AF6" w:rsidRDefault="00946AF6">
            <w:pPr>
              <w:jc w:val="right"/>
              <w:rPr>
                <w:sz w:val="20"/>
                <w:szCs w:val="20"/>
              </w:rPr>
            </w:pPr>
            <w:r>
              <w:rPr>
                <w:sz w:val="20"/>
                <w:szCs w:val="20"/>
              </w:rPr>
              <w:t>0,00</w:t>
            </w:r>
          </w:p>
        </w:tc>
        <w:tc>
          <w:tcPr>
            <w:tcW w:w="1420" w:type="dxa"/>
            <w:tcBorders>
              <w:top w:val="nil"/>
              <w:left w:val="nil"/>
              <w:bottom w:val="nil"/>
              <w:right w:val="nil"/>
            </w:tcBorders>
            <w:shd w:val="clear" w:color="auto" w:fill="auto"/>
            <w:noWrap/>
            <w:vAlign w:val="bottom"/>
            <w:hideMark/>
          </w:tcPr>
          <w:p w14:paraId="0D0629CC" w14:textId="77777777" w:rsidR="00946AF6" w:rsidRDefault="00946AF6">
            <w:pPr>
              <w:jc w:val="right"/>
              <w:rPr>
                <w:sz w:val="20"/>
                <w:szCs w:val="20"/>
              </w:rPr>
            </w:pPr>
            <w:r>
              <w:rPr>
                <w:sz w:val="20"/>
                <w:szCs w:val="20"/>
              </w:rPr>
              <w:t>0,00</w:t>
            </w:r>
          </w:p>
        </w:tc>
        <w:tc>
          <w:tcPr>
            <w:tcW w:w="983" w:type="dxa"/>
            <w:tcBorders>
              <w:top w:val="nil"/>
              <w:left w:val="nil"/>
              <w:bottom w:val="nil"/>
              <w:right w:val="nil"/>
            </w:tcBorders>
            <w:shd w:val="clear" w:color="auto" w:fill="auto"/>
            <w:noWrap/>
            <w:vAlign w:val="bottom"/>
            <w:hideMark/>
          </w:tcPr>
          <w:p w14:paraId="407E1CE0" w14:textId="77777777" w:rsidR="00946AF6" w:rsidRDefault="00946AF6">
            <w:pPr>
              <w:jc w:val="right"/>
              <w:rPr>
                <w:sz w:val="20"/>
                <w:szCs w:val="20"/>
              </w:rPr>
            </w:pPr>
            <w:r>
              <w:rPr>
                <w:sz w:val="20"/>
                <w:szCs w:val="20"/>
              </w:rPr>
              <w:t>0,00</w:t>
            </w:r>
          </w:p>
        </w:tc>
        <w:tc>
          <w:tcPr>
            <w:tcW w:w="983" w:type="dxa"/>
            <w:tcBorders>
              <w:top w:val="nil"/>
              <w:left w:val="nil"/>
              <w:bottom w:val="nil"/>
              <w:right w:val="nil"/>
            </w:tcBorders>
            <w:shd w:val="clear" w:color="auto" w:fill="auto"/>
            <w:noWrap/>
            <w:vAlign w:val="bottom"/>
            <w:hideMark/>
          </w:tcPr>
          <w:p w14:paraId="412685D5" w14:textId="77777777" w:rsidR="00946AF6" w:rsidRDefault="00946AF6">
            <w:pPr>
              <w:jc w:val="right"/>
              <w:rPr>
                <w:sz w:val="20"/>
                <w:szCs w:val="20"/>
              </w:rPr>
            </w:pPr>
            <w:r>
              <w:rPr>
                <w:sz w:val="20"/>
                <w:szCs w:val="20"/>
              </w:rPr>
              <w:t>0,00</w:t>
            </w:r>
          </w:p>
        </w:tc>
      </w:tr>
      <w:tr w:rsidR="00946AF6" w14:paraId="724F9E9D" w14:textId="77777777" w:rsidTr="00946AF6">
        <w:trPr>
          <w:trHeight w:val="300"/>
        </w:trPr>
        <w:tc>
          <w:tcPr>
            <w:tcW w:w="6580" w:type="dxa"/>
            <w:tcBorders>
              <w:top w:val="nil"/>
              <w:left w:val="nil"/>
              <w:bottom w:val="nil"/>
              <w:right w:val="nil"/>
            </w:tcBorders>
            <w:shd w:val="clear" w:color="auto" w:fill="auto"/>
            <w:noWrap/>
            <w:vAlign w:val="center"/>
            <w:hideMark/>
          </w:tcPr>
          <w:p w14:paraId="6FFDEB6C" w14:textId="77777777" w:rsidR="00946AF6" w:rsidRDefault="00946AF6">
            <w:pPr>
              <w:rPr>
                <w:b/>
                <w:bCs/>
                <w:color w:val="000000"/>
                <w:sz w:val="20"/>
                <w:szCs w:val="20"/>
              </w:rPr>
            </w:pPr>
            <w:r>
              <w:rPr>
                <w:b/>
                <w:bCs/>
                <w:color w:val="000000"/>
                <w:sz w:val="20"/>
                <w:szCs w:val="20"/>
              </w:rPr>
              <w:t>8. Namjenski primici od zaduživanja</w:t>
            </w:r>
          </w:p>
        </w:tc>
        <w:tc>
          <w:tcPr>
            <w:tcW w:w="1600" w:type="dxa"/>
            <w:tcBorders>
              <w:top w:val="nil"/>
              <w:left w:val="nil"/>
              <w:bottom w:val="nil"/>
              <w:right w:val="nil"/>
            </w:tcBorders>
            <w:shd w:val="clear" w:color="auto" w:fill="auto"/>
            <w:noWrap/>
            <w:vAlign w:val="bottom"/>
            <w:hideMark/>
          </w:tcPr>
          <w:p w14:paraId="7B3D78B4" w14:textId="77777777" w:rsidR="00946AF6" w:rsidRDefault="00946AF6">
            <w:pPr>
              <w:jc w:val="right"/>
              <w:rPr>
                <w:b/>
                <w:bCs/>
                <w:sz w:val="20"/>
                <w:szCs w:val="20"/>
              </w:rPr>
            </w:pPr>
            <w:r>
              <w:rPr>
                <w:b/>
                <w:bCs/>
                <w:sz w:val="20"/>
                <w:szCs w:val="20"/>
              </w:rPr>
              <w:t>2.494.605,44</w:t>
            </w:r>
          </w:p>
        </w:tc>
        <w:tc>
          <w:tcPr>
            <w:tcW w:w="1503" w:type="dxa"/>
            <w:tcBorders>
              <w:top w:val="nil"/>
              <w:left w:val="nil"/>
              <w:bottom w:val="nil"/>
              <w:right w:val="nil"/>
            </w:tcBorders>
            <w:shd w:val="clear" w:color="auto" w:fill="auto"/>
            <w:noWrap/>
            <w:vAlign w:val="bottom"/>
            <w:hideMark/>
          </w:tcPr>
          <w:p w14:paraId="004C95F1" w14:textId="77777777" w:rsidR="00946AF6" w:rsidRDefault="00946AF6">
            <w:pPr>
              <w:jc w:val="right"/>
              <w:rPr>
                <w:b/>
                <w:bCs/>
                <w:sz w:val="20"/>
                <w:szCs w:val="20"/>
              </w:rPr>
            </w:pPr>
            <w:r>
              <w:rPr>
                <w:b/>
                <w:bCs/>
                <w:sz w:val="20"/>
                <w:szCs w:val="20"/>
              </w:rPr>
              <w:t>0,00</w:t>
            </w:r>
          </w:p>
        </w:tc>
        <w:tc>
          <w:tcPr>
            <w:tcW w:w="1420" w:type="dxa"/>
            <w:tcBorders>
              <w:top w:val="nil"/>
              <w:left w:val="nil"/>
              <w:bottom w:val="nil"/>
              <w:right w:val="nil"/>
            </w:tcBorders>
            <w:shd w:val="clear" w:color="auto" w:fill="auto"/>
            <w:noWrap/>
            <w:vAlign w:val="bottom"/>
            <w:hideMark/>
          </w:tcPr>
          <w:p w14:paraId="1520FE78" w14:textId="77777777" w:rsidR="00946AF6" w:rsidRDefault="00946AF6">
            <w:pPr>
              <w:jc w:val="right"/>
              <w:rPr>
                <w:b/>
                <w:bCs/>
                <w:sz w:val="20"/>
                <w:szCs w:val="20"/>
              </w:rPr>
            </w:pPr>
            <w:r>
              <w:rPr>
                <w:b/>
                <w:bCs/>
                <w:sz w:val="20"/>
                <w:szCs w:val="20"/>
              </w:rPr>
              <w:t>0,00</w:t>
            </w:r>
          </w:p>
        </w:tc>
        <w:tc>
          <w:tcPr>
            <w:tcW w:w="983" w:type="dxa"/>
            <w:tcBorders>
              <w:top w:val="nil"/>
              <w:left w:val="nil"/>
              <w:bottom w:val="nil"/>
              <w:right w:val="nil"/>
            </w:tcBorders>
            <w:shd w:val="clear" w:color="auto" w:fill="auto"/>
            <w:noWrap/>
            <w:vAlign w:val="bottom"/>
            <w:hideMark/>
          </w:tcPr>
          <w:p w14:paraId="2DCEF2C0" w14:textId="77777777" w:rsidR="00946AF6" w:rsidRDefault="00946AF6">
            <w:pPr>
              <w:jc w:val="right"/>
              <w:rPr>
                <w:b/>
                <w:bCs/>
                <w:sz w:val="20"/>
                <w:szCs w:val="20"/>
              </w:rPr>
            </w:pPr>
            <w:r>
              <w:rPr>
                <w:b/>
                <w:bCs/>
                <w:sz w:val="20"/>
                <w:szCs w:val="20"/>
              </w:rPr>
              <w:t>0,00</w:t>
            </w:r>
          </w:p>
        </w:tc>
        <w:tc>
          <w:tcPr>
            <w:tcW w:w="983" w:type="dxa"/>
            <w:tcBorders>
              <w:top w:val="nil"/>
              <w:left w:val="nil"/>
              <w:bottom w:val="nil"/>
              <w:right w:val="nil"/>
            </w:tcBorders>
            <w:shd w:val="clear" w:color="auto" w:fill="auto"/>
            <w:noWrap/>
            <w:vAlign w:val="bottom"/>
            <w:hideMark/>
          </w:tcPr>
          <w:p w14:paraId="77437796" w14:textId="77777777" w:rsidR="00946AF6" w:rsidRDefault="00946AF6">
            <w:pPr>
              <w:jc w:val="right"/>
              <w:rPr>
                <w:b/>
                <w:bCs/>
                <w:sz w:val="20"/>
                <w:szCs w:val="20"/>
              </w:rPr>
            </w:pPr>
            <w:r>
              <w:rPr>
                <w:b/>
                <w:bCs/>
                <w:sz w:val="20"/>
                <w:szCs w:val="20"/>
              </w:rPr>
              <w:t>0,00</w:t>
            </w:r>
          </w:p>
        </w:tc>
      </w:tr>
      <w:tr w:rsidR="00946AF6" w14:paraId="29CBD120" w14:textId="77777777" w:rsidTr="00946AF6">
        <w:trPr>
          <w:trHeight w:val="300"/>
        </w:trPr>
        <w:tc>
          <w:tcPr>
            <w:tcW w:w="6580" w:type="dxa"/>
            <w:tcBorders>
              <w:top w:val="nil"/>
              <w:left w:val="nil"/>
              <w:bottom w:val="nil"/>
              <w:right w:val="nil"/>
            </w:tcBorders>
            <w:shd w:val="clear" w:color="auto" w:fill="auto"/>
            <w:noWrap/>
            <w:vAlign w:val="center"/>
            <w:hideMark/>
          </w:tcPr>
          <w:p w14:paraId="7384E73E" w14:textId="77777777" w:rsidR="00946AF6" w:rsidRDefault="00946AF6">
            <w:pPr>
              <w:rPr>
                <w:color w:val="000000"/>
                <w:sz w:val="20"/>
                <w:szCs w:val="20"/>
              </w:rPr>
            </w:pPr>
            <w:r>
              <w:rPr>
                <w:color w:val="000000"/>
                <w:sz w:val="20"/>
                <w:szCs w:val="20"/>
              </w:rPr>
              <w:t>8.1. Namjenski primici od zaduživanja</w:t>
            </w:r>
          </w:p>
        </w:tc>
        <w:tc>
          <w:tcPr>
            <w:tcW w:w="1600" w:type="dxa"/>
            <w:tcBorders>
              <w:top w:val="nil"/>
              <w:left w:val="nil"/>
              <w:bottom w:val="nil"/>
              <w:right w:val="nil"/>
            </w:tcBorders>
            <w:shd w:val="clear" w:color="auto" w:fill="auto"/>
            <w:noWrap/>
            <w:vAlign w:val="bottom"/>
            <w:hideMark/>
          </w:tcPr>
          <w:p w14:paraId="4CA81941" w14:textId="77777777" w:rsidR="00946AF6" w:rsidRDefault="00946AF6">
            <w:pPr>
              <w:jc w:val="right"/>
              <w:rPr>
                <w:sz w:val="20"/>
                <w:szCs w:val="20"/>
              </w:rPr>
            </w:pPr>
            <w:r>
              <w:rPr>
                <w:sz w:val="20"/>
                <w:szCs w:val="20"/>
              </w:rPr>
              <w:t>2.494.605,44</w:t>
            </w:r>
          </w:p>
        </w:tc>
        <w:tc>
          <w:tcPr>
            <w:tcW w:w="1503" w:type="dxa"/>
            <w:tcBorders>
              <w:top w:val="nil"/>
              <w:left w:val="nil"/>
              <w:bottom w:val="nil"/>
              <w:right w:val="nil"/>
            </w:tcBorders>
            <w:shd w:val="clear" w:color="auto" w:fill="auto"/>
            <w:noWrap/>
            <w:vAlign w:val="bottom"/>
            <w:hideMark/>
          </w:tcPr>
          <w:p w14:paraId="67DDA375" w14:textId="77777777" w:rsidR="00946AF6" w:rsidRDefault="00946AF6">
            <w:pPr>
              <w:jc w:val="right"/>
              <w:rPr>
                <w:sz w:val="20"/>
                <w:szCs w:val="20"/>
              </w:rPr>
            </w:pPr>
            <w:r>
              <w:rPr>
                <w:sz w:val="20"/>
                <w:szCs w:val="20"/>
              </w:rPr>
              <w:t>0,00</w:t>
            </w:r>
          </w:p>
        </w:tc>
        <w:tc>
          <w:tcPr>
            <w:tcW w:w="1420" w:type="dxa"/>
            <w:tcBorders>
              <w:top w:val="nil"/>
              <w:left w:val="nil"/>
              <w:bottom w:val="nil"/>
              <w:right w:val="nil"/>
            </w:tcBorders>
            <w:shd w:val="clear" w:color="auto" w:fill="auto"/>
            <w:noWrap/>
            <w:vAlign w:val="bottom"/>
            <w:hideMark/>
          </w:tcPr>
          <w:p w14:paraId="3CD4BF55" w14:textId="77777777" w:rsidR="00946AF6" w:rsidRDefault="00946AF6">
            <w:pPr>
              <w:jc w:val="right"/>
              <w:rPr>
                <w:sz w:val="20"/>
                <w:szCs w:val="20"/>
              </w:rPr>
            </w:pPr>
            <w:r>
              <w:rPr>
                <w:sz w:val="20"/>
                <w:szCs w:val="20"/>
              </w:rPr>
              <w:t>0,00</w:t>
            </w:r>
          </w:p>
        </w:tc>
        <w:tc>
          <w:tcPr>
            <w:tcW w:w="983" w:type="dxa"/>
            <w:tcBorders>
              <w:top w:val="nil"/>
              <w:left w:val="nil"/>
              <w:bottom w:val="nil"/>
              <w:right w:val="nil"/>
            </w:tcBorders>
            <w:shd w:val="clear" w:color="auto" w:fill="auto"/>
            <w:noWrap/>
            <w:vAlign w:val="bottom"/>
            <w:hideMark/>
          </w:tcPr>
          <w:p w14:paraId="48BCF512" w14:textId="77777777" w:rsidR="00946AF6" w:rsidRDefault="00946AF6">
            <w:pPr>
              <w:jc w:val="right"/>
              <w:rPr>
                <w:sz w:val="20"/>
                <w:szCs w:val="20"/>
              </w:rPr>
            </w:pPr>
            <w:r>
              <w:rPr>
                <w:sz w:val="20"/>
                <w:szCs w:val="20"/>
              </w:rPr>
              <w:t>0,00</w:t>
            </w:r>
          </w:p>
        </w:tc>
        <w:tc>
          <w:tcPr>
            <w:tcW w:w="983" w:type="dxa"/>
            <w:tcBorders>
              <w:top w:val="nil"/>
              <w:left w:val="nil"/>
              <w:bottom w:val="nil"/>
              <w:right w:val="nil"/>
            </w:tcBorders>
            <w:shd w:val="clear" w:color="auto" w:fill="auto"/>
            <w:noWrap/>
            <w:vAlign w:val="bottom"/>
            <w:hideMark/>
          </w:tcPr>
          <w:p w14:paraId="1412A189" w14:textId="77777777" w:rsidR="00946AF6" w:rsidRDefault="00946AF6">
            <w:pPr>
              <w:jc w:val="right"/>
              <w:rPr>
                <w:sz w:val="20"/>
                <w:szCs w:val="20"/>
              </w:rPr>
            </w:pPr>
            <w:r>
              <w:rPr>
                <w:sz w:val="20"/>
                <w:szCs w:val="20"/>
              </w:rPr>
              <w:t>0,00</w:t>
            </w:r>
          </w:p>
        </w:tc>
      </w:tr>
      <w:tr w:rsidR="00946AF6" w14:paraId="3455FE0C" w14:textId="77777777" w:rsidTr="00946AF6">
        <w:trPr>
          <w:trHeight w:val="300"/>
        </w:trPr>
        <w:tc>
          <w:tcPr>
            <w:tcW w:w="6580" w:type="dxa"/>
            <w:tcBorders>
              <w:top w:val="single" w:sz="4" w:space="0" w:color="auto"/>
              <w:left w:val="nil"/>
              <w:bottom w:val="single" w:sz="4" w:space="0" w:color="auto"/>
              <w:right w:val="nil"/>
            </w:tcBorders>
            <w:shd w:val="clear" w:color="auto" w:fill="auto"/>
            <w:vAlign w:val="bottom"/>
            <w:hideMark/>
          </w:tcPr>
          <w:p w14:paraId="0B226FA0" w14:textId="77777777" w:rsidR="00946AF6" w:rsidRDefault="00946AF6">
            <w:pPr>
              <w:rPr>
                <w:b/>
                <w:bCs/>
                <w:sz w:val="20"/>
                <w:szCs w:val="20"/>
              </w:rPr>
            </w:pPr>
            <w:r>
              <w:rPr>
                <w:b/>
                <w:bCs/>
                <w:sz w:val="20"/>
                <w:szCs w:val="20"/>
              </w:rPr>
              <w:t xml:space="preserve"> UKUPNI IZDACI</w:t>
            </w:r>
          </w:p>
        </w:tc>
        <w:tc>
          <w:tcPr>
            <w:tcW w:w="1600" w:type="dxa"/>
            <w:tcBorders>
              <w:top w:val="single" w:sz="4" w:space="0" w:color="auto"/>
              <w:left w:val="nil"/>
              <w:bottom w:val="single" w:sz="4" w:space="0" w:color="auto"/>
              <w:right w:val="nil"/>
            </w:tcBorders>
            <w:shd w:val="clear" w:color="auto" w:fill="auto"/>
            <w:noWrap/>
            <w:vAlign w:val="bottom"/>
            <w:hideMark/>
          </w:tcPr>
          <w:p w14:paraId="43210D0A" w14:textId="77777777" w:rsidR="00946AF6" w:rsidRDefault="00946AF6">
            <w:pPr>
              <w:jc w:val="right"/>
              <w:rPr>
                <w:b/>
                <w:bCs/>
                <w:sz w:val="20"/>
                <w:szCs w:val="20"/>
              </w:rPr>
            </w:pPr>
            <w:r>
              <w:rPr>
                <w:b/>
                <w:bCs/>
                <w:sz w:val="20"/>
                <w:szCs w:val="20"/>
              </w:rPr>
              <w:t>2.186.397,02</w:t>
            </w:r>
          </w:p>
        </w:tc>
        <w:tc>
          <w:tcPr>
            <w:tcW w:w="1503" w:type="dxa"/>
            <w:tcBorders>
              <w:top w:val="single" w:sz="4" w:space="0" w:color="auto"/>
              <w:left w:val="nil"/>
              <w:bottom w:val="single" w:sz="4" w:space="0" w:color="auto"/>
              <w:right w:val="nil"/>
            </w:tcBorders>
            <w:shd w:val="clear" w:color="auto" w:fill="auto"/>
            <w:noWrap/>
            <w:vAlign w:val="bottom"/>
            <w:hideMark/>
          </w:tcPr>
          <w:p w14:paraId="65FE1026" w14:textId="77777777" w:rsidR="00946AF6" w:rsidRDefault="00946AF6">
            <w:pPr>
              <w:jc w:val="right"/>
              <w:rPr>
                <w:b/>
                <w:bCs/>
                <w:sz w:val="20"/>
                <w:szCs w:val="20"/>
              </w:rPr>
            </w:pPr>
            <w:r>
              <w:rPr>
                <w:b/>
                <w:bCs/>
                <w:sz w:val="20"/>
                <w:szCs w:val="20"/>
              </w:rPr>
              <w:t>1.219.000,00</w:t>
            </w:r>
          </w:p>
        </w:tc>
        <w:tc>
          <w:tcPr>
            <w:tcW w:w="1420" w:type="dxa"/>
            <w:tcBorders>
              <w:top w:val="single" w:sz="4" w:space="0" w:color="auto"/>
              <w:left w:val="nil"/>
              <w:bottom w:val="single" w:sz="4" w:space="0" w:color="auto"/>
              <w:right w:val="nil"/>
            </w:tcBorders>
            <w:shd w:val="clear" w:color="auto" w:fill="auto"/>
            <w:noWrap/>
            <w:vAlign w:val="bottom"/>
            <w:hideMark/>
          </w:tcPr>
          <w:p w14:paraId="5EBE61A3" w14:textId="77777777" w:rsidR="00946AF6" w:rsidRDefault="00946AF6">
            <w:pPr>
              <w:jc w:val="right"/>
              <w:rPr>
                <w:b/>
                <w:bCs/>
                <w:sz w:val="20"/>
                <w:szCs w:val="20"/>
              </w:rPr>
            </w:pPr>
            <w:r>
              <w:rPr>
                <w:b/>
                <w:bCs/>
                <w:sz w:val="20"/>
                <w:szCs w:val="20"/>
              </w:rPr>
              <w:t>1.216.116,80</w:t>
            </w:r>
          </w:p>
        </w:tc>
        <w:tc>
          <w:tcPr>
            <w:tcW w:w="983" w:type="dxa"/>
            <w:tcBorders>
              <w:top w:val="single" w:sz="4" w:space="0" w:color="auto"/>
              <w:left w:val="nil"/>
              <w:bottom w:val="single" w:sz="4" w:space="0" w:color="auto"/>
              <w:right w:val="nil"/>
            </w:tcBorders>
            <w:shd w:val="clear" w:color="auto" w:fill="auto"/>
            <w:noWrap/>
            <w:vAlign w:val="bottom"/>
            <w:hideMark/>
          </w:tcPr>
          <w:p w14:paraId="48B49044" w14:textId="77777777" w:rsidR="00946AF6" w:rsidRDefault="00946AF6">
            <w:pPr>
              <w:jc w:val="right"/>
              <w:rPr>
                <w:b/>
                <w:bCs/>
                <w:sz w:val="20"/>
                <w:szCs w:val="20"/>
              </w:rPr>
            </w:pPr>
            <w:r>
              <w:rPr>
                <w:b/>
                <w:bCs/>
                <w:sz w:val="20"/>
                <w:szCs w:val="20"/>
              </w:rPr>
              <w:t>55,62</w:t>
            </w:r>
          </w:p>
        </w:tc>
        <w:tc>
          <w:tcPr>
            <w:tcW w:w="983" w:type="dxa"/>
            <w:tcBorders>
              <w:top w:val="single" w:sz="4" w:space="0" w:color="auto"/>
              <w:left w:val="nil"/>
              <w:bottom w:val="single" w:sz="4" w:space="0" w:color="auto"/>
              <w:right w:val="nil"/>
            </w:tcBorders>
            <w:shd w:val="clear" w:color="auto" w:fill="auto"/>
            <w:noWrap/>
            <w:vAlign w:val="bottom"/>
            <w:hideMark/>
          </w:tcPr>
          <w:p w14:paraId="520F69AD" w14:textId="77777777" w:rsidR="00946AF6" w:rsidRDefault="00946AF6">
            <w:pPr>
              <w:jc w:val="right"/>
              <w:rPr>
                <w:b/>
                <w:bCs/>
                <w:sz w:val="20"/>
                <w:szCs w:val="20"/>
              </w:rPr>
            </w:pPr>
            <w:r>
              <w:rPr>
                <w:b/>
                <w:bCs/>
                <w:sz w:val="20"/>
                <w:szCs w:val="20"/>
              </w:rPr>
              <w:t>99,76</w:t>
            </w:r>
          </w:p>
        </w:tc>
      </w:tr>
      <w:tr w:rsidR="00946AF6" w14:paraId="06B85102" w14:textId="77777777" w:rsidTr="00946AF6">
        <w:trPr>
          <w:trHeight w:val="300"/>
        </w:trPr>
        <w:tc>
          <w:tcPr>
            <w:tcW w:w="6580" w:type="dxa"/>
            <w:tcBorders>
              <w:top w:val="nil"/>
              <w:left w:val="nil"/>
              <w:bottom w:val="nil"/>
              <w:right w:val="nil"/>
            </w:tcBorders>
            <w:shd w:val="clear" w:color="auto" w:fill="auto"/>
            <w:noWrap/>
            <w:vAlign w:val="center"/>
            <w:hideMark/>
          </w:tcPr>
          <w:p w14:paraId="61FFD0EC" w14:textId="77777777" w:rsidR="00946AF6" w:rsidRDefault="00946AF6">
            <w:pPr>
              <w:rPr>
                <w:b/>
                <w:bCs/>
                <w:color w:val="000000"/>
                <w:sz w:val="20"/>
                <w:szCs w:val="20"/>
              </w:rPr>
            </w:pPr>
            <w:r>
              <w:rPr>
                <w:b/>
                <w:bCs/>
                <w:color w:val="000000"/>
                <w:sz w:val="20"/>
                <w:szCs w:val="20"/>
              </w:rPr>
              <w:t>1. Opći prihodi i primici</w:t>
            </w:r>
          </w:p>
        </w:tc>
        <w:tc>
          <w:tcPr>
            <w:tcW w:w="1600" w:type="dxa"/>
            <w:tcBorders>
              <w:top w:val="nil"/>
              <w:left w:val="nil"/>
              <w:bottom w:val="nil"/>
              <w:right w:val="nil"/>
            </w:tcBorders>
            <w:shd w:val="clear" w:color="auto" w:fill="auto"/>
            <w:noWrap/>
            <w:vAlign w:val="bottom"/>
            <w:hideMark/>
          </w:tcPr>
          <w:p w14:paraId="2DFEE146" w14:textId="77777777" w:rsidR="00946AF6" w:rsidRDefault="00946AF6">
            <w:pPr>
              <w:jc w:val="right"/>
              <w:rPr>
                <w:b/>
                <w:bCs/>
                <w:sz w:val="20"/>
                <w:szCs w:val="20"/>
              </w:rPr>
            </w:pPr>
            <w:r>
              <w:rPr>
                <w:b/>
                <w:bCs/>
                <w:sz w:val="20"/>
                <w:szCs w:val="20"/>
              </w:rPr>
              <w:t>475.397,75</w:t>
            </w:r>
          </w:p>
        </w:tc>
        <w:tc>
          <w:tcPr>
            <w:tcW w:w="1503" w:type="dxa"/>
            <w:tcBorders>
              <w:top w:val="nil"/>
              <w:left w:val="nil"/>
              <w:bottom w:val="nil"/>
              <w:right w:val="nil"/>
            </w:tcBorders>
            <w:shd w:val="clear" w:color="auto" w:fill="auto"/>
            <w:noWrap/>
            <w:vAlign w:val="bottom"/>
            <w:hideMark/>
          </w:tcPr>
          <w:p w14:paraId="261517B8" w14:textId="77777777" w:rsidR="00946AF6" w:rsidRDefault="00946AF6">
            <w:pPr>
              <w:jc w:val="right"/>
              <w:rPr>
                <w:b/>
                <w:bCs/>
                <w:sz w:val="20"/>
                <w:szCs w:val="20"/>
              </w:rPr>
            </w:pPr>
            <w:r>
              <w:rPr>
                <w:b/>
                <w:bCs/>
                <w:sz w:val="20"/>
                <w:szCs w:val="20"/>
              </w:rPr>
              <w:t>320.000,00</w:t>
            </w:r>
          </w:p>
        </w:tc>
        <w:tc>
          <w:tcPr>
            <w:tcW w:w="1420" w:type="dxa"/>
            <w:tcBorders>
              <w:top w:val="nil"/>
              <w:left w:val="nil"/>
              <w:bottom w:val="nil"/>
              <w:right w:val="nil"/>
            </w:tcBorders>
            <w:shd w:val="clear" w:color="auto" w:fill="auto"/>
            <w:noWrap/>
            <w:vAlign w:val="bottom"/>
            <w:hideMark/>
          </w:tcPr>
          <w:p w14:paraId="123BA6CB" w14:textId="77777777" w:rsidR="00946AF6" w:rsidRDefault="00946AF6">
            <w:pPr>
              <w:jc w:val="right"/>
              <w:rPr>
                <w:b/>
                <w:bCs/>
                <w:sz w:val="20"/>
                <w:szCs w:val="20"/>
              </w:rPr>
            </w:pPr>
            <w:r>
              <w:rPr>
                <w:b/>
                <w:bCs/>
                <w:sz w:val="20"/>
                <w:szCs w:val="20"/>
              </w:rPr>
              <w:t>319.349,72</w:t>
            </w:r>
          </w:p>
        </w:tc>
        <w:tc>
          <w:tcPr>
            <w:tcW w:w="983" w:type="dxa"/>
            <w:tcBorders>
              <w:top w:val="nil"/>
              <w:left w:val="nil"/>
              <w:bottom w:val="nil"/>
              <w:right w:val="nil"/>
            </w:tcBorders>
            <w:shd w:val="clear" w:color="auto" w:fill="auto"/>
            <w:noWrap/>
            <w:vAlign w:val="bottom"/>
            <w:hideMark/>
          </w:tcPr>
          <w:p w14:paraId="157A6F06" w14:textId="77777777" w:rsidR="00946AF6" w:rsidRDefault="00946AF6">
            <w:pPr>
              <w:jc w:val="right"/>
              <w:rPr>
                <w:b/>
                <w:bCs/>
                <w:sz w:val="20"/>
                <w:szCs w:val="20"/>
              </w:rPr>
            </w:pPr>
            <w:r>
              <w:rPr>
                <w:b/>
                <w:bCs/>
                <w:sz w:val="20"/>
                <w:szCs w:val="20"/>
              </w:rPr>
              <w:t>67,18</w:t>
            </w:r>
          </w:p>
        </w:tc>
        <w:tc>
          <w:tcPr>
            <w:tcW w:w="983" w:type="dxa"/>
            <w:tcBorders>
              <w:top w:val="nil"/>
              <w:left w:val="nil"/>
              <w:bottom w:val="nil"/>
              <w:right w:val="nil"/>
            </w:tcBorders>
            <w:shd w:val="clear" w:color="auto" w:fill="auto"/>
            <w:noWrap/>
            <w:vAlign w:val="bottom"/>
            <w:hideMark/>
          </w:tcPr>
          <w:p w14:paraId="1501F247" w14:textId="77777777" w:rsidR="00946AF6" w:rsidRDefault="00946AF6">
            <w:pPr>
              <w:jc w:val="right"/>
              <w:rPr>
                <w:b/>
                <w:bCs/>
                <w:sz w:val="20"/>
                <w:szCs w:val="20"/>
              </w:rPr>
            </w:pPr>
            <w:r>
              <w:rPr>
                <w:b/>
                <w:bCs/>
                <w:sz w:val="20"/>
                <w:szCs w:val="20"/>
              </w:rPr>
              <w:t>99,80</w:t>
            </w:r>
          </w:p>
        </w:tc>
      </w:tr>
      <w:tr w:rsidR="00946AF6" w14:paraId="058DACEC" w14:textId="77777777" w:rsidTr="00946AF6">
        <w:trPr>
          <w:trHeight w:val="300"/>
        </w:trPr>
        <w:tc>
          <w:tcPr>
            <w:tcW w:w="6580" w:type="dxa"/>
            <w:tcBorders>
              <w:top w:val="nil"/>
              <w:left w:val="nil"/>
              <w:bottom w:val="nil"/>
              <w:right w:val="nil"/>
            </w:tcBorders>
            <w:shd w:val="clear" w:color="auto" w:fill="auto"/>
            <w:noWrap/>
            <w:vAlign w:val="center"/>
            <w:hideMark/>
          </w:tcPr>
          <w:p w14:paraId="68086A94" w14:textId="77777777" w:rsidR="00946AF6" w:rsidRDefault="00946AF6">
            <w:pPr>
              <w:rPr>
                <w:color w:val="000000"/>
                <w:sz w:val="20"/>
                <w:szCs w:val="20"/>
              </w:rPr>
            </w:pPr>
            <w:r>
              <w:rPr>
                <w:color w:val="000000"/>
                <w:sz w:val="20"/>
                <w:szCs w:val="20"/>
              </w:rPr>
              <w:t>1.1. Opći prihodi i primici</w:t>
            </w:r>
          </w:p>
        </w:tc>
        <w:tc>
          <w:tcPr>
            <w:tcW w:w="1600" w:type="dxa"/>
            <w:tcBorders>
              <w:top w:val="nil"/>
              <w:left w:val="nil"/>
              <w:bottom w:val="nil"/>
              <w:right w:val="nil"/>
            </w:tcBorders>
            <w:shd w:val="clear" w:color="auto" w:fill="auto"/>
            <w:noWrap/>
            <w:vAlign w:val="bottom"/>
            <w:hideMark/>
          </w:tcPr>
          <w:p w14:paraId="25ED9A17" w14:textId="77777777" w:rsidR="00946AF6" w:rsidRDefault="00946AF6">
            <w:pPr>
              <w:jc w:val="right"/>
              <w:rPr>
                <w:sz w:val="20"/>
                <w:szCs w:val="20"/>
              </w:rPr>
            </w:pPr>
            <w:r>
              <w:rPr>
                <w:sz w:val="20"/>
                <w:szCs w:val="20"/>
              </w:rPr>
              <w:t>475.397,75</w:t>
            </w:r>
          </w:p>
        </w:tc>
        <w:tc>
          <w:tcPr>
            <w:tcW w:w="1503" w:type="dxa"/>
            <w:tcBorders>
              <w:top w:val="nil"/>
              <w:left w:val="nil"/>
              <w:bottom w:val="nil"/>
              <w:right w:val="nil"/>
            </w:tcBorders>
            <w:shd w:val="clear" w:color="auto" w:fill="auto"/>
            <w:noWrap/>
            <w:vAlign w:val="bottom"/>
            <w:hideMark/>
          </w:tcPr>
          <w:p w14:paraId="273D3488" w14:textId="77777777" w:rsidR="00946AF6" w:rsidRDefault="00946AF6">
            <w:pPr>
              <w:jc w:val="right"/>
              <w:rPr>
                <w:sz w:val="20"/>
                <w:szCs w:val="20"/>
              </w:rPr>
            </w:pPr>
            <w:r>
              <w:rPr>
                <w:sz w:val="20"/>
                <w:szCs w:val="20"/>
              </w:rPr>
              <w:t>320.000,00</w:t>
            </w:r>
          </w:p>
        </w:tc>
        <w:tc>
          <w:tcPr>
            <w:tcW w:w="1420" w:type="dxa"/>
            <w:tcBorders>
              <w:top w:val="nil"/>
              <w:left w:val="nil"/>
              <w:bottom w:val="nil"/>
              <w:right w:val="nil"/>
            </w:tcBorders>
            <w:shd w:val="clear" w:color="auto" w:fill="auto"/>
            <w:noWrap/>
            <w:vAlign w:val="bottom"/>
            <w:hideMark/>
          </w:tcPr>
          <w:p w14:paraId="72150684" w14:textId="77777777" w:rsidR="00946AF6" w:rsidRDefault="00946AF6">
            <w:pPr>
              <w:jc w:val="right"/>
              <w:rPr>
                <w:sz w:val="20"/>
                <w:szCs w:val="20"/>
              </w:rPr>
            </w:pPr>
            <w:r>
              <w:rPr>
                <w:sz w:val="20"/>
                <w:szCs w:val="20"/>
              </w:rPr>
              <w:t>319.349,72</w:t>
            </w:r>
          </w:p>
        </w:tc>
        <w:tc>
          <w:tcPr>
            <w:tcW w:w="983" w:type="dxa"/>
            <w:tcBorders>
              <w:top w:val="nil"/>
              <w:left w:val="nil"/>
              <w:bottom w:val="nil"/>
              <w:right w:val="nil"/>
            </w:tcBorders>
            <w:shd w:val="clear" w:color="auto" w:fill="auto"/>
            <w:noWrap/>
            <w:vAlign w:val="bottom"/>
            <w:hideMark/>
          </w:tcPr>
          <w:p w14:paraId="2BA7F03D" w14:textId="77777777" w:rsidR="00946AF6" w:rsidRDefault="00946AF6">
            <w:pPr>
              <w:jc w:val="right"/>
              <w:rPr>
                <w:sz w:val="20"/>
                <w:szCs w:val="20"/>
              </w:rPr>
            </w:pPr>
            <w:r>
              <w:rPr>
                <w:sz w:val="20"/>
                <w:szCs w:val="20"/>
              </w:rPr>
              <w:t>67,18</w:t>
            </w:r>
          </w:p>
        </w:tc>
        <w:tc>
          <w:tcPr>
            <w:tcW w:w="983" w:type="dxa"/>
            <w:tcBorders>
              <w:top w:val="nil"/>
              <w:left w:val="nil"/>
              <w:bottom w:val="nil"/>
              <w:right w:val="nil"/>
            </w:tcBorders>
            <w:shd w:val="clear" w:color="auto" w:fill="auto"/>
            <w:noWrap/>
            <w:vAlign w:val="bottom"/>
            <w:hideMark/>
          </w:tcPr>
          <w:p w14:paraId="64B8186B" w14:textId="77777777" w:rsidR="00946AF6" w:rsidRDefault="00946AF6">
            <w:pPr>
              <w:jc w:val="right"/>
              <w:rPr>
                <w:sz w:val="20"/>
                <w:szCs w:val="20"/>
              </w:rPr>
            </w:pPr>
            <w:r>
              <w:rPr>
                <w:sz w:val="20"/>
                <w:szCs w:val="20"/>
              </w:rPr>
              <w:t>99,80</w:t>
            </w:r>
          </w:p>
        </w:tc>
      </w:tr>
      <w:tr w:rsidR="00946AF6" w14:paraId="422D2CA6" w14:textId="77777777" w:rsidTr="00946AF6">
        <w:trPr>
          <w:trHeight w:val="300"/>
        </w:trPr>
        <w:tc>
          <w:tcPr>
            <w:tcW w:w="6580" w:type="dxa"/>
            <w:tcBorders>
              <w:top w:val="nil"/>
              <w:left w:val="nil"/>
              <w:bottom w:val="nil"/>
              <w:right w:val="nil"/>
            </w:tcBorders>
            <w:shd w:val="clear" w:color="auto" w:fill="auto"/>
            <w:noWrap/>
            <w:vAlign w:val="center"/>
            <w:hideMark/>
          </w:tcPr>
          <w:p w14:paraId="272F8A5D" w14:textId="231500C7" w:rsidR="00946AF6" w:rsidRDefault="00946AF6">
            <w:pPr>
              <w:rPr>
                <w:b/>
                <w:bCs/>
                <w:color w:val="000000"/>
                <w:sz w:val="20"/>
                <w:szCs w:val="20"/>
              </w:rPr>
            </w:pPr>
            <w:r>
              <w:rPr>
                <w:b/>
                <w:bCs/>
                <w:color w:val="000000"/>
                <w:sz w:val="20"/>
                <w:szCs w:val="20"/>
              </w:rPr>
              <w:t>7. Prihodi od nefinancijske imovine i nadoknade šteta od osiguranja</w:t>
            </w:r>
          </w:p>
        </w:tc>
        <w:tc>
          <w:tcPr>
            <w:tcW w:w="1600" w:type="dxa"/>
            <w:tcBorders>
              <w:top w:val="nil"/>
              <w:left w:val="nil"/>
              <w:bottom w:val="nil"/>
              <w:right w:val="nil"/>
            </w:tcBorders>
            <w:shd w:val="clear" w:color="auto" w:fill="auto"/>
            <w:noWrap/>
            <w:vAlign w:val="bottom"/>
            <w:hideMark/>
          </w:tcPr>
          <w:p w14:paraId="65DBE734" w14:textId="77777777" w:rsidR="00946AF6" w:rsidRDefault="00946AF6">
            <w:pPr>
              <w:jc w:val="right"/>
              <w:rPr>
                <w:b/>
                <w:bCs/>
                <w:sz w:val="20"/>
                <w:szCs w:val="20"/>
              </w:rPr>
            </w:pPr>
            <w:r>
              <w:rPr>
                <w:b/>
                <w:bCs/>
                <w:sz w:val="20"/>
                <w:szCs w:val="20"/>
              </w:rPr>
              <w:t>1.710.999,27</w:t>
            </w:r>
          </w:p>
        </w:tc>
        <w:tc>
          <w:tcPr>
            <w:tcW w:w="1503" w:type="dxa"/>
            <w:tcBorders>
              <w:top w:val="nil"/>
              <w:left w:val="nil"/>
              <w:bottom w:val="nil"/>
              <w:right w:val="nil"/>
            </w:tcBorders>
            <w:shd w:val="clear" w:color="auto" w:fill="auto"/>
            <w:noWrap/>
            <w:vAlign w:val="bottom"/>
            <w:hideMark/>
          </w:tcPr>
          <w:p w14:paraId="4041926D" w14:textId="77777777" w:rsidR="00946AF6" w:rsidRDefault="00946AF6">
            <w:pPr>
              <w:jc w:val="right"/>
              <w:rPr>
                <w:b/>
                <w:bCs/>
                <w:sz w:val="20"/>
                <w:szCs w:val="20"/>
              </w:rPr>
            </w:pPr>
            <w:r>
              <w:rPr>
                <w:b/>
                <w:bCs/>
                <w:sz w:val="20"/>
                <w:szCs w:val="20"/>
              </w:rPr>
              <w:t>899.000,00</w:t>
            </w:r>
          </w:p>
        </w:tc>
        <w:tc>
          <w:tcPr>
            <w:tcW w:w="1420" w:type="dxa"/>
            <w:tcBorders>
              <w:top w:val="nil"/>
              <w:left w:val="nil"/>
              <w:bottom w:val="nil"/>
              <w:right w:val="nil"/>
            </w:tcBorders>
            <w:shd w:val="clear" w:color="auto" w:fill="auto"/>
            <w:noWrap/>
            <w:vAlign w:val="bottom"/>
            <w:hideMark/>
          </w:tcPr>
          <w:p w14:paraId="2E9B45F3" w14:textId="77777777" w:rsidR="00946AF6" w:rsidRDefault="00946AF6">
            <w:pPr>
              <w:jc w:val="right"/>
              <w:rPr>
                <w:b/>
                <w:bCs/>
                <w:sz w:val="20"/>
                <w:szCs w:val="20"/>
              </w:rPr>
            </w:pPr>
            <w:r>
              <w:rPr>
                <w:b/>
                <w:bCs/>
                <w:sz w:val="20"/>
                <w:szCs w:val="20"/>
              </w:rPr>
              <w:t>896.767,08</w:t>
            </w:r>
          </w:p>
        </w:tc>
        <w:tc>
          <w:tcPr>
            <w:tcW w:w="983" w:type="dxa"/>
            <w:tcBorders>
              <w:top w:val="nil"/>
              <w:left w:val="nil"/>
              <w:bottom w:val="nil"/>
              <w:right w:val="nil"/>
            </w:tcBorders>
            <w:shd w:val="clear" w:color="auto" w:fill="auto"/>
            <w:noWrap/>
            <w:vAlign w:val="bottom"/>
            <w:hideMark/>
          </w:tcPr>
          <w:p w14:paraId="15D759C4" w14:textId="77777777" w:rsidR="00946AF6" w:rsidRDefault="00946AF6">
            <w:pPr>
              <w:jc w:val="right"/>
              <w:rPr>
                <w:b/>
                <w:bCs/>
                <w:sz w:val="20"/>
                <w:szCs w:val="20"/>
              </w:rPr>
            </w:pPr>
            <w:r>
              <w:rPr>
                <w:b/>
                <w:bCs/>
                <w:sz w:val="20"/>
                <w:szCs w:val="20"/>
              </w:rPr>
              <w:t>52,41</w:t>
            </w:r>
          </w:p>
        </w:tc>
        <w:tc>
          <w:tcPr>
            <w:tcW w:w="983" w:type="dxa"/>
            <w:tcBorders>
              <w:top w:val="nil"/>
              <w:left w:val="nil"/>
              <w:bottom w:val="nil"/>
              <w:right w:val="nil"/>
            </w:tcBorders>
            <w:shd w:val="clear" w:color="auto" w:fill="auto"/>
            <w:noWrap/>
            <w:vAlign w:val="bottom"/>
            <w:hideMark/>
          </w:tcPr>
          <w:p w14:paraId="019B698E" w14:textId="77777777" w:rsidR="00946AF6" w:rsidRDefault="00946AF6">
            <w:pPr>
              <w:jc w:val="right"/>
              <w:rPr>
                <w:b/>
                <w:bCs/>
                <w:sz w:val="20"/>
                <w:szCs w:val="20"/>
              </w:rPr>
            </w:pPr>
            <w:r>
              <w:rPr>
                <w:b/>
                <w:bCs/>
                <w:sz w:val="20"/>
                <w:szCs w:val="20"/>
              </w:rPr>
              <w:t>99,75</w:t>
            </w:r>
          </w:p>
        </w:tc>
      </w:tr>
      <w:tr w:rsidR="00946AF6" w14:paraId="53F0367C" w14:textId="77777777" w:rsidTr="00946AF6">
        <w:trPr>
          <w:trHeight w:val="300"/>
        </w:trPr>
        <w:tc>
          <w:tcPr>
            <w:tcW w:w="6580" w:type="dxa"/>
            <w:tcBorders>
              <w:top w:val="nil"/>
              <w:left w:val="nil"/>
              <w:bottom w:val="single" w:sz="4" w:space="0" w:color="auto"/>
              <w:right w:val="nil"/>
            </w:tcBorders>
            <w:shd w:val="clear" w:color="auto" w:fill="auto"/>
            <w:noWrap/>
            <w:vAlign w:val="center"/>
            <w:hideMark/>
          </w:tcPr>
          <w:p w14:paraId="5A16C1C2" w14:textId="3787A9BF" w:rsidR="00946AF6" w:rsidRDefault="00946AF6">
            <w:pPr>
              <w:rPr>
                <w:color w:val="000000"/>
                <w:sz w:val="20"/>
                <w:szCs w:val="20"/>
              </w:rPr>
            </w:pPr>
            <w:r>
              <w:rPr>
                <w:color w:val="000000"/>
                <w:sz w:val="20"/>
                <w:szCs w:val="20"/>
              </w:rPr>
              <w:t>7.1. Prihodi od nefinancijske imovine i nadoknade šteta od osiguranja</w:t>
            </w:r>
          </w:p>
        </w:tc>
        <w:tc>
          <w:tcPr>
            <w:tcW w:w="1600" w:type="dxa"/>
            <w:tcBorders>
              <w:top w:val="nil"/>
              <w:left w:val="nil"/>
              <w:bottom w:val="single" w:sz="4" w:space="0" w:color="auto"/>
              <w:right w:val="nil"/>
            </w:tcBorders>
            <w:shd w:val="clear" w:color="auto" w:fill="auto"/>
            <w:noWrap/>
            <w:vAlign w:val="bottom"/>
            <w:hideMark/>
          </w:tcPr>
          <w:p w14:paraId="36141288" w14:textId="77777777" w:rsidR="00946AF6" w:rsidRDefault="00946AF6">
            <w:pPr>
              <w:jc w:val="right"/>
              <w:rPr>
                <w:sz w:val="20"/>
                <w:szCs w:val="20"/>
              </w:rPr>
            </w:pPr>
            <w:r>
              <w:rPr>
                <w:sz w:val="20"/>
                <w:szCs w:val="20"/>
              </w:rPr>
              <w:t>1.710.999,27</w:t>
            </w:r>
          </w:p>
        </w:tc>
        <w:tc>
          <w:tcPr>
            <w:tcW w:w="1503" w:type="dxa"/>
            <w:tcBorders>
              <w:top w:val="nil"/>
              <w:left w:val="nil"/>
              <w:bottom w:val="single" w:sz="4" w:space="0" w:color="auto"/>
              <w:right w:val="nil"/>
            </w:tcBorders>
            <w:shd w:val="clear" w:color="auto" w:fill="auto"/>
            <w:noWrap/>
            <w:vAlign w:val="bottom"/>
            <w:hideMark/>
          </w:tcPr>
          <w:p w14:paraId="3B17CA31" w14:textId="77777777" w:rsidR="00946AF6" w:rsidRDefault="00946AF6">
            <w:pPr>
              <w:jc w:val="right"/>
              <w:rPr>
                <w:sz w:val="20"/>
                <w:szCs w:val="20"/>
              </w:rPr>
            </w:pPr>
            <w:r>
              <w:rPr>
                <w:sz w:val="20"/>
                <w:szCs w:val="20"/>
              </w:rPr>
              <w:t>899.000,00</w:t>
            </w:r>
          </w:p>
        </w:tc>
        <w:tc>
          <w:tcPr>
            <w:tcW w:w="1420" w:type="dxa"/>
            <w:tcBorders>
              <w:top w:val="nil"/>
              <w:left w:val="nil"/>
              <w:bottom w:val="single" w:sz="4" w:space="0" w:color="auto"/>
              <w:right w:val="nil"/>
            </w:tcBorders>
            <w:shd w:val="clear" w:color="auto" w:fill="auto"/>
            <w:noWrap/>
            <w:vAlign w:val="bottom"/>
            <w:hideMark/>
          </w:tcPr>
          <w:p w14:paraId="1AB48B07" w14:textId="77777777" w:rsidR="00946AF6" w:rsidRDefault="00946AF6">
            <w:pPr>
              <w:jc w:val="right"/>
              <w:rPr>
                <w:sz w:val="20"/>
                <w:szCs w:val="20"/>
              </w:rPr>
            </w:pPr>
            <w:r>
              <w:rPr>
                <w:sz w:val="20"/>
                <w:szCs w:val="20"/>
              </w:rPr>
              <w:t>896.767,08</w:t>
            </w:r>
          </w:p>
        </w:tc>
        <w:tc>
          <w:tcPr>
            <w:tcW w:w="983" w:type="dxa"/>
            <w:tcBorders>
              <w:top w:val="nil"/>
              <w:left w:val="nil"/>
              <w:bottom w:val="single" w:sz="4" w:space="0" w:color="auto"/>
              <w:right w:val="nil"/>
            </w:tcBorders>
            <w:shd w:val="clear" w:color="auto" w:fill="auto"/>
            <w:noWrap/>
            <w:vAlign w:val="bottom"/>
            <w:hideMark/>
          </w:tcPr>
          <w:p w14:paraId="1B463B20" w14:textId="77777777" w:rsidR="00946AF6" w:rsidRDefault="00946AF6">
            <w:pPr>
              <w:jc w:val="right"/>
              <w:rPr>
                <w:sz w:val="20"/>
                <w:szCs w:val="20"/>
              </w:rPr>
            </w:pPr>
            <w:r>
              <w:rPr>
                <w:sz w:val="20"/>
                <w:szCs w:val="20"/>
              </w:rPr>
              <w:t>52,41</w:t>
            </w:r>
          </w:p>
        </w:tc>
        <w:tc>
          <w:tcPr>
            <w:tcW w:w="983" w:type="dxa"/>
            <w:tcBorders>
              <w:top w:val="nil"/>
              <w:left w:val="nil"/>
              <w:bottom w:val="single" w:sz="4" w:space="0" w:color="auto"/>
              <w:right w:val="nil"/>
            </w:tcBorders>
            <w:shd w:val="clear" w:color="auto" w:fill="auto"/>
            <w:noWrap/>
            <w:vAlign w:val="bottom"/>
            <w:hideMark/>
          </w:tcPr>
          <w:p w14:paraId="7056FB36" w14:textId="77777777" w:rsidR="00946AF6" w:rsidRDefault="00946AF6">
            <w:pPr>
              <w:jc w:val="right"/>
              <w:rPr>
                <w:sz w:val="20"/>
                <w:szCs w:val="20"/>
              </w:rPr>
            </w:pPr>
            <w:r>
              <w:rPr>
                <w:sz w:val="20"/>
                <w:szCs w:val="20"/>
              </w:rPr>
              <w:t>99,75</w:t>
            </w:r>
          </w:p>
        </w:tc>
      </w:tr>
    </w:tbl>
    <w:p w14:paraId="165DB4E4" w14:textId="77777777" w:rsidR="00185FCB" w:rsidRDefault="00185FCB" w:rsidP="005C6B0A">
      <w:pPr>
        <w:pStyle w:val="xl97"/>
      </w:pPr>
    </w:p>
    <w:p w14:paraId="0EC69A07" w14:textId="77777777" w:rsidR="004D587E" w:rsidRDefault="004D587E" w:rsidP="005C6B0A">
      <w:pPr>
        <w:pStyle w:val="xl97"/>
      </w:pPr>
    </w:p>
    <w:p w14:paraId="4B2C6AB7" w14:textId="77777777" w:rsidR="00946AF6" w:rsidRDefault="00946AF6" w:rsidP="005C6B0A">
      <w:pPr>
        <w:pStyle w:val="xl97"/>
      </w:pPr>
    </w:p>
    <w:p w14:paraId="3EFA35E4" w14:textId="751A637A" w:rsidR="000465C8" w:rsidRDefault="000465C8" w:rsidP="005C6B0A">
      <w:pPr>
        <w:pStyle w:val="xl97"/>
      </w:pPr>
    </w:p>
    <w:p w14:paraId="10673FAD" w14:textId="77777777" w:rsidR="007124E5" w:rsidRPr="00E80A17" w:rsidRDefault="007124E5" w:rsidP="005C6B0A">
      <w:pPr>
        <w:pStyle w:val="xl97"/>
      </w:pPr>
    </w:p>
    <w:p w14:paraId="0EC743DD" w14:textId="77777777" w:rsidR="00942F67" w:rsidRDefault="00942F67" w:rsidP="005C6B0A">
      <w:pPr>
        <w:pStyle w:val="xl97"/>
      </w:pPr>
    </w:p>
    <w:p w14:paraId="4E7DA572" w14:textId="08719577" w:rsidR="007D604D" w:rsidRDefault="007C2D97" w:rsidP="00F22C87">
      <w:pPr>
        <w:pStyle w:val="Naslov1"/>
        <w:numPr>
          <w:ilvl w:val="0"/>
          <w:numId w:val="22"/>
        </w:numPr>
        <w:rPr>
          <w:rFonts w:ascii="Times New Roman" w:hAnsi="Times New Roman"/>
          <w:sz w:val="24"/>
          <w:szCs w:val="24"/>
        </w:rPr>
      </w:pPr>
      <w:bookmarkStart w:id="20" w:name="_Toc133398670"/>
      <w:r>
        <w:rPr>
          <w:rFonts w:ascii="Times New Roman" w:hAnsi="Times New Roman"/>
          <w:sz w:val="24"/>
          <w:szCs w:val="24"/>
        </w:rPr>
        <w:lastRenderedPageBreak/>
        <w:t>POSEBNI DIO PRORAČUNA</w:t>
      </w:r>
      <w:bookmarkEnd w:id="20"/>
    </w:p>
    <w:p w14:paraId="43D02249" w14:textId="1EC8F7BB" w:rsidR="007C2D97" w:rsidRDefault="007C2D97" w:rsidP="007C2D97">
      <w:pPr>
        <w:pStyle w:val="Title1"/>
        <w:numPr>
          <w:ilvl w:val="0"/>
          <w:numId w:val="0"/>
        </w:numPr>
        <w:rPr>
          <w:rFonts w:ascii="Times New Roman" w:hAnsi="Times New Roman" w:cs="Times New Roman"/>
          <w:sz w:val="24"/>
          <w:szCs w:val="24"/>
        </w:rPr>
      </w:pPr>
    </w:p>
    <w:tbl>
      <w:tblPr>
        <w:tblW w:w="14455" w:type="dxa"/>
        <w:tblLook w:val="04A0" w:firstRow="1" w:lastRow="0" w:firstColumn="1" w:lastColumn="0" w:noHBand="0" w:noVBand="1"/>
      </w:tblPr>
      <w:tblGrid>
        <w:gridCol w:w="4996"/>
        <w:gridCol w:w="4996"/>
        <w:gridCol w:w="1503"/>
        <w:gridCol w:w="1500"/>
        <w:gridCol w:w="1460"/>
      </w:tblGrid>
      <w:tr w:rsidR="00E236F2" w:rsidRPr="00953AE7" w14:paraId="41727E49" w14:textId="77777777" w:rsidTr="007F6614">
        <w:trPr>
          <w:trHeight w:val="315"/>
        </w:trPr>
        <w:tc>
          <w:tcPr>
            <w:tcW w:w="9992" w:type="dxa"/>
            <w:gridSpan w:val="2"/>
            <w:tcBorders>
              <w:top w:val="nil"/>
              <w:left w:val="nil"/>
              <w:bottom w:val="nil"/>
              <w:right w:val="nil"/>
            </w:tcBorders>
            <w:shd w:val="clear" w:color="auto" w:fill="auto"/>
            <w:noWrap/>
            <w:vAlign w:val="bottom"/>
            <w:hideMark/>
          </w:tcPr>
          <w:p w14:paraId="1D51FBC4" w14:textId="77777777" w:rsidR="00E236F2" w:rsidRPr="00953AE7" w:rsidRDefault="00E236F2" w:rsidP="00953AE7">
            <w:pPr>
              <w:pStyle w:val="Subtitle1"/>
              <w:rPr>
                <w:rFonts w:ascii="Times New Roman" w:hAnsi="Times New Roman"/>
                <w:sz w:val="24"/>
                <w:szCs w:val="24"/>
              </w:rPr>
            </w:pPr>
            <w:bookmarkStart w:id="21" w:name="_Toc133398671"/>
            <w:r w:rsidRPr="00953AE7">
              <w:rPr>
                <w:rFonts w:ascii="Times New Roman" w:hAnsi="Times New Roman"/>
                <w:sz w:val="24"/>
                <w:szCs w:val="24"/>
              </w:rPr>
              <w:t>3. A.  ORGANIZACIJSKA KLASIFIKACIJA</w:t>
            </w:r>
            <w:bookmarkEnd w:id="21"/>
          </w:p>
        </w:tc>
        <w:tc>
          <w:tcPr>
            <w:tcW w:w="1503" w:type="dxa"/>
            <w:tcBorders>
              <w:top w:val="nil"/>
              <w:left w:val="nil"/>
              <w:bottom w:val="nil"/>
              <w:right w:val="nil"/>
            </w:tcBorders>
            <w:shd w:val="clear" w:color="auto" w:fill="auto"/>
            <w:noWrap/>
            <w:vAlign w:val="bottom"/>
            <w:hideMark/>
          </w:tcPr>
          <w:p w14:paraId="6D344593" w14:textId="77777777" w:rsidR="00E236F2" w:rsidRPr="00953AE7" w:rsidRDefault="00E236F2" w:rsidP="00953AE7">
            <w:pPr>
              <w:pStyle w:val="Subtitle1"/>
              <w:rPr>
                <w:rFonts w:ascii="Times New Roman" w:hAnsi="Times New Roman"/>
                <w:sz w:val="24"/>
                <w:szCs w:val="24"/>
              </w:rPr>
            </w:pPr>
          </w:p>
        </w:tc>
        <w:tc>
          <w:tcPr>
            <w:tcW w:w="1500" w:type="dxa"/>
            <w:tcBorders>
              <w:top w:val="nil"/>
              <w:left w:val="nil"/>
              <w:bottom w:val="nil"/>
              <w:right w:val="nil"/>
            </w:tcBorders>
            <w:shd w:val="clear" w:color="auto" w:fill="auto"/>
            <w:noWrap/>
            <w:vAlign w:val="bottom"/>
            <w:hideMark/>
          </w:tcPr>
          <w:p w14:paraId="095DFB29" w14:textId="77777777" w:rsidR="00E236F2" w:rsidRPr="00953AE7" w:rsidRDefault="00E236F2" w:rsidP="00953AE7">
            <w:pPr>
              <w:pStyle w:val="Subtitle1"/>
              <w:rPr>
                <w:rFonts w:ascii="Times New Roman" w:hAnsi="Times New Roman"/>
                <w:sz w:val="24"/>
                <w:szCs w:val="24"/>
              </w:rPr>
            </w:pPr>
          </w:p>
        </w:tc>
        <w:tc>
          <w:tcPr>
            <w:tcW w:w="1460" w:type="dxa"/>
            <w:tcBorders>
              <w:top w:val="nil"/>
              <w:left w:val="nil"/>
              <w:bottom w:val="nil"/>
              <w:right w:val="nil"/>
            </w:tcBorders>
            <w:shd w:val="clear" w:color="auto" w:fill="auto"/>
            <w:noWrap/>
            <w:vAlign w:val="bottom"/>
            <w:hideMark/>
          </w:tcPr>
          <w:p w14:paraId="757916F4" w14:textId="77777777" w:rsidR="00E236F2" w:rsidRPr="00953AE7" w:rsidRDefault="00E236F2" w:rsidP="00953AE7">
            <w:pPr>
              <w:pStyle w:val="Subtitle1"/>
              <w:rPr>
                <w:rFonts w:ascii="Times New Roman" w:hAnsi="Times New Roman"/>
                <w:sz w:val="24"/>
                <w:szCs w:val="24"/>
              </w:rPr>
            </w:pPr>
          </w:p>
        </w:tc>
      </w:tr>
      <w:tr w:rsidR="00E236F2" w14:paraId="4A2D1F18" w14:textId="77777777" w:rsidTr="007F6614">
        <w:trPr>
          <w:trHeight w:val="300"/>
        </w:trPr>
        <w:tc>
          <w:tcPr>
            <w:tcW w:w="4996" w:type="dxa"/>
            <w:tcBorders>
              <w:top w:val="nil"/>
              <w:left w:val="nil"/>
              <w:bottom w:val="nil"/>
              <w:right w:val="nil"/>
            </w:tcBorders>
            <w:shd w:val="clear" w:color="auto" w:fill="auto"/>
            <w:noWrap/>
            <w:vAlign w:val="bottom"/>
            <w:hideMark/>
          </w:tcPr>
          <w:p w14:paraId="606382DF" w14:textId="77777777" w:rsidR="00E236F2" w:rsidRDefault="00E236F2">
            <w:pPr>
              <w:rPr>
                <w:sz w:val="20"/>
                <w:szCs w:val="20"/>
              </w:rPr>
            </w:pPr>
          </w:p>
        </w:tc>
        <w:tc>
          <w:tcPr>
            <w:tcW w:w="4996" w:type="dxa"/>
            <w:tcBorders>
              <w:top w:val="nil"/>
              <w:left w:val="nil"/>
              <w:bottom w:val="nil"/>
              <w:right w:val="nil"/>
            </w:tcBorders>
            <w:shd w:val="clear" w:color="auto" w:fill="auto"/>
            <w:noWrap/>
            <w:vAlign w:val="bottom"/>
            <w:hideMark/>
          </w:tcPr>
          <w:p w14:paraId="64A0825F" w14:textId="77777777" w:rsidR="00E236F2" w:rsidRDefault="00E236F2">
            <w:pPr>
              <w:rPr>
                <w:sz w:val="20"/>
                <w:szCs w:val="20"/>
              </w:rPr>
            </w:pPr>
          </w:p>
        </w:tc>
        <w:tc>
          <w:tcPr>
            <w:tcW w:w="1503" w:type="dxa"/>
            <w:tcBorders>
              <w:top w:val="nil"/>
              <w:left w:val="nil"/>
              <w:bottom w:val="nil"/>
              <w:right w:val="nil"/>
            </w:tcBorders>
            <w:shd w:val="clear" w:color="auto" w:fill="auto"/>
            <w:noWrap/>
            <w:vAlign w:val="bottom"/>
            <w:hideMark/>
          </w:tcPr>
          <w:p w14:paraId="7CB65CC9" w14:textId="77777777" w:rsidR="00E236F2" w:rsidRDefault="00E236F2">
            <w:pPr>
              <w:rPr>
                <w:sz w:val="20"/>
                <w:szCs w:val="20"/>
              </w:rPr>
            </w:pPr>
          </w:p>
        </w:tc>
        <w:tc>
          <w:tcPr>
            <w:tcW w:w="1500" w:type="dxa"/>
            <w:tcBorders>
              <w:top w:val="nil"/>
              <w:left w:val="nil"/>
              <w:bottom w:val="nil"/>
              <w:right w:val="nil"/>
            </w:tcBorders>
            <w:shd w:val="clear" w:color="auto" w:fill="auto"/>
            <w:noWrap/>
            <w:vAlign w:val="bottom"/>
            <w:hideMark/>
          </w:tcPr>
          <w:p w14:paraId="7B1288E5" w14:textId="77777777" w:rsidR="00E236F2" w:rsidRDefault="00E236F2">
            <w:pPr>
              <w:rPr>
                <w:sz w:val="20"/>
                <w:szCs w:val="20"/>
              </w:rPr>
            </w:pPr>
          </w:p>
        </w:tc>
        <w:tc>
          <w:tcPr>
            <w:tcW w:w="1460" w:type="dxa"/>
            <w:tcBorders>
              <w:top w:val="nil"/>
              <w:left w:val="nil"/>
              <w:bottom w:val="nil"/>
              <w:right w:val="nil"/>
            </w:tcBorders>
            <w:shd w:val="clear" w:color="auto" w:fill="auto"/>
            <w:noWrap/>
            <w:vAlign w:val="bottom"/>
            <w:hideMark/>
          </w:tcPr>
          <w:p w14:paraId="111ABF64" w14:textId="77777777" w:rsidR="00E236F2" w:rsidRDefault="00E236F2">
            <w:pPr>
              <w:rPr>
                <w:sz w:val="20"/>
                <w:szCs w:val="20"/>
              </w:rPr>
            </w:pPr>
          </w:p>
        </w:tc>
      </w:tr>
      <w:tr w:rsidR="00E236F2" w14:paraId="1A6C8260" w14:textId="77777777" w:rsidTr="007F6614">
        <w:trPr>
          <w:trHeight w:val="300"/>
        </w:trPr>
        <w:tc>
          <w:tcPr>
            <w:tcW w:w="9992" w:type="dxa"/>
            <w:gridSpan w:val="2"/>
            <w:tcBorders>
              <w:top w:val="single" w:sz="4" w:space="0" w:color="auto"/>
              <w:left w:val="nil"/>
              <w:bottom w:val="nil"/>
              <w:right w:val="nil"/>
            </w:tcBorders>
            <w:shd w:val="clear" w:color="auto" w:fill="auto"/>
            <w:noWrap/>
            <w:vAlign w:val="bottom"/>
            <w:hideMark/>
          </w:tcPr>
          <w:p w14:paraId="400EA54C" w14:textId="77777777" w:rsidR="00E236F2" w:rsidRDefault="00E236F2">
            <w:pPr>
              <w:rPr>
                <w:b/>
                <w:bCs/>
                <w:sz w:val="20"/>
                <w:szCs w:val="20"/>
              </w:rPr>
            </w:pPr>
            <w:r>
              <w:rPr>
                <w:b/>
                <w:bCs/>
                <w:sz w:val="20"/>
                <w:szCs w:val="20"/>
              </w:rPr>
              <w:t>BROJČANA OZNAKA I NAZIV RAZDJELA I GLAVE</w:t>
            </w:r>
          </w:p>
        </w:tc>
        <w:tc>
          <w:tcPr>
            <w:tcW w:w="1503" w:type="dxa"/>
            <w:tcBorders>
              <w:top w:val="single" w:sz="4" w:space="0" w:color="auto"/>
              <w:left w:val="nil"/>
              <w:bottom w:val="nil"/>
              <w:right w:val="nil"/>
            </w:tcBorders>
            <w:shd w:val="clear" w:color="auto" w:fill="auto"/>
            <w:noWrap/>
            <w:vAlign w:val="bottom"/>
            <w:hideMark/>
          </w:tcPr>
          <w:p w14:paraId="0CE83CB0" w14:textId="77777777" w:rsidR="00E236F2" w:rsidRDefault="00E236F2">
            <w:pPr>
              <w:jc w:val="center"/>
              <w:rPr>
                <w:b/>
                <w:bCs/>
                <w:sz w:val="20"/>
                <w:szCs w:val="20"/>
              </w:rPr>
            </w:pPr>
            <w:r>
              <w:rPr>
                <w:b/>
                <w:bCs/>
                <w:sz w:val="20"/>
                <w:szCs w:val="20"/>
              </w:rPr>
              <w:t>IZVORNI PLAN</w:t>
            </w:r>
          </w:p>
        </w:tc>
        <w:tc>
          <w:tcPr>
            <w:tcW w:w="1500" w:type="dxa"/>
            <w:tcBorders>
              <w:top w:val="single" w:sz="4" w:space="0" w:color="auto"/>
              <w:left w:val="nil"/>
              <w:bottom w:val="nil"/>
              <w:right w:val="nil"/>
            </w:tcBorders>
            <w:shd w:val="clear" w:color="auto" w:fill="auto"/>
            <w:noWrap/>
            <w:vAlign w:val="bottom"/>
            <w:hideMark/>
          </w:tcPr>
          <w:p w14:paraId="446CEAE1" w14:textId="77777777" w:rsidR="00E236F2" w:rsidRDefault="00E236F2">
            <w:pPr>
              <w:jc w:val="center"/>
              <w:rPr>
                <w:b/>
                <w:bCs/>
                <w:sz w:val="20"/>
                <w:szCs w:val="20"/>
              </w:rPr>
            </w:pPr>
            <w:r>
              <w:rPr>
                <w:b/>
                <w:bCs/>
                <w:sz w:val="20"/>
                <w:szCs w:val="20"/>
              </w:rPr>
              <w:t xml:space="preserve">IZVRŠENJE </w:t>
            </w:r>
          </w:p>
        </w:tc>
        <w:tc>
          <w:tcPr>
            <w:tcW w:w="1460" w:type="dxa"/>
            <w:tcBorders>
              <w:top w:val="single" w:sz="4" w:space="0" w:color="auto"/>
              <w:left w:val="nil"/>
              <w:bottom w:val="nil"/>
              <w:right w:val="nil"/>
            </w:tcBorders>
            <w:shd w:val="clear" w:color="auto" w:fill="auto"/>
            <w:noWrap/>
            <w:vAlign w:val="bottom"/>
            <w:hideMark/>
          </w:tcPr>
          <w:p w14:paraId="217B8365" w14:textId="77777777" w:rsidR="00E236F2" w:rsidRDefault="00E236F2">
            <w:pPr>
              <w:jc w:val="center"/>
              <w:rPr>
                <w:b/>
                <w:bCs/>
                <w:sz w:val="20"/>
                <w:szCs w:val="20"/>
              </w:rPr>
            </w:pPr>
            <w:r>
              <w:rPr>
                <w:b/>
                <w:bCs/>
                <w:sz w:val="20"/>
                <w:szCs w:val="20"/>
              </w:rPr>
              <w:t>INDEKS</w:t>
            </w:r>
          </w:p>
        </w:tc>
      </w:tr>
      <w:tr w:rsidR="00E236F2" w14:paraId="64640D27" w14:textId="77777777" w:rsidTr="007F6614">
        <w:trPr>
          <w:trHeight w:val="300"/>
        </w:trPr>
        <w:tc>
          <w:tcPr>
            <w:tcW w:w="4996" w:type="dxa"/>
            <w:tcBorders>
              <w:top w:val="nil"/>
              <w:left w:val="nil"/>
              <w:bottom w:val="single" w:sz="4" w:space="0" w:color="auto"/>
              <w:right w:val="nil"/>
            </w:tcBorders>
            <w:shd w:val="clear" w:color="auto" w:fill="auto"/>
            <w:noWrap/>
            <w:vAlign w:val="bottom"/>
            <w:hideMark/>
          </w:tcPr>
          <w:p w14:paraId="4FD257B1" w14:textId="77777777" w:rsidR="00E236F2" w:rsidRDefault="00E236F2">
            <w:pPr>
              <w:rPr>
                <w:b/>
                <w:bCs/>
                <w:sz w:val="20"/>
                <w:szCs w:val="20"/>
              </w:rPr>
            </w:pPr>
            <w:r>
              <w:rPr>
                <w:b/>
                <w:bCs/>
                <w:sz w:val="20"/>
                <w:szCs w:val="20"/>
              </w:rPr>
              <w:t> </w:t>
            </w:r>
          </w:p>
        </w:tc>
        <w:tc>
          <w:tcPr>
            <w:tcW w:w="4996" w:type="dxa"/>
            <w:tcBorders>
              <w:top w:val="nil"/>
              <w:left w:val="nil"/>
              <w:bottom w:val="single" w:sz="4" w:space="0" w:color="auto"/>
              <w:right w:val="nil"/>
            </w:tcBorders>
            <w:shd w:val="clear" w:color="auto" w:fill="auto"/>
            <w:noWrap/>
            <w:vAlign w:val="bottom"/>
            <w:hideMark/>
          </w:tcPr>
          <w:p w14:paraId="537B11B1" w14:textId="77777777" w:rsidR="00E236F2" w:rsidRDefault="00E236F2">
            <w:pPr>
              <w:rPr>
                <w:b/>
                <w:bCs/>
                <w:sz w:val="20"/>
                <w:szCs w:val="20"/>
              </w:rPr>
            </w:pPr>
            <w:r>
              <w:rPr>
                <w:b/>
                <w:bCs/>
                <w:sz w:val="20"/>
                <w:szCs w:val="20"/>
              </w:rPr>
              <w:t> </w:t>
            </w:r>
          </w:p>
        </w:tc>
        <w:tc>
          <w:tcPr>
            <w:tcW w:w="1503" w:type="dxa"/>
            <w:tcBorders>
              <w:top w:val="nil"/>
              <w:left w:val="nil"/>
              <w:bottom w:val="single" w:sz="4" w:space="0" w:color="auto"/>
              <w:right w:val="nil"/>
            </w:tcBorders>
            <w:shd w:val="clear" w:color="auto" w:fill="auto"/>
            <w:noWrap/>
            <w:vAlign w:val="bottom"/>
            <w:hideMark/>
          </w:tcPr>
          <w:p w14:paraId="33629ED3" w14:textId="77777777" w:rsidR="00E236F2" w:rsidRDefault="00E236F2">
            <w:pPr>
              <w:jc w:val="center"/>
              <w:rPr>
                <w:b/>
                <w:bCs/>
                <w:sz w:val="20"/>
                <w:szCs w:val="20"/>
              </w:rPr>
            </w:pPr>
            <w:r>
              <w:rPr>
                <w:b/>
                <w:bCs/>
                <w:sz w:val="20"/>
                <w:szCs w:val="20"/>
              </w:rPr>
              <w:t>2022.</w:t>
            </w:r>
          </w:p>
        </w:tc>
        <w:tc>
          <w:tcPr>
            <w:tcW w:w="1500" w:type="dxa"/>
            <w:tcBorders>
              <w:top w:val="nil"/>
              <w:left w:val="nil"/>
              <w:bottom w:val="single" w:sz="4" w:space="0" w:color="auto"/>
              <w:right w:val="nil"/>
            </w:tcBorders>
            <w:shd w:val="clear" w:color="auto" w:fill="auto"/>
            <w:noWrap/>
            <w:vAlign w:val="bottom"/>
            <w:hideMark/>
          </w:tcPr>
          <w:p w14:paraId="6973D13A" w14:textId="77777777" w:rsidR="00E236F2" w:rsidRDefault="00E236F2">
            <w:pPr>
              <w:jc w:val="center"/>
              <w:rPr>
                <w:b/>
                <w:bCs/>
                <w:sz w:val="20"/>
                <w:szCs w:val="20"/>
              </w:rPr>
            </w:pPr>
            <w:r>
              <w:rPr>
                <w:b/>
                <w:bCs/>
                <w:sz w:val="20"/>
                <w:szCs w:val="20"/>
              </w:rPr>
              <w:t>2022.</w:t>
            </w:r>
          </w:p>
        </w:tc>
        <w:tc>
          <w:tcPr>
            <w:tcW w:w="1460" w:type="dxa"/>
            <w:tcBorders>
              <w:top w:val="nil"/>
              <w:left w:val="nil"/>
              <w:bottom w:val="single" w:sz="4" w:space="0" w:color="auto"/>
              <w:right w:val="nil"/>
            </w:tcBorders>
            <w:shd w:val="clear" w:color="auto" w:fill="auto"/>
            <w:noWrap/>
            <w:vAlign w:val="bottom"/>
            <w:hideMark/>
          </w:tcPr>
          <w:p w14:paraId="1B2E9057" w14:textId="77777777" w:rsidR="00E236F2" w:rsidRDefault="00E236F2">
            <w:pPr>
              <w:jc w:val="center"/>
              <w:rPr>
                <w:b/>
                <w:bCs/>
                <w:sz w:val="20"/>
                <w:szCs w:val="20"/>
              </w:rPr>
            </w:pPr>
            <w:r>
              <w:rPr>
                <w:b/>
                <w:bCs/>
                <w:sz w:val="20"/>
                <w:szCs w:val="20"/>
              </w:rPr>
              <w:t>3/2*100</w:t>
            </w:r>
          </w:p>
        </w:tc>
      </w:tr>
      <w:tr w:rsidR="00E236F2" w14:paraId="25D09423" w14:textId="77777777" w:rsidTr="007F6614">
        <w:trPr>
          <w:trHeight w:val="300"/>
        </w:trPr>
        <w:tc>
          <w:tcPr>
            <w:tcW w:w="9992" w:type="dxa"/>
            <w:gridSpan w:val="2"/>
            <w:tcBorders>
              <w:top w:val="single" w:sz="4" w:space="0" w:color="auto"/>
              <w:left w:val="nil"/>
              <w:bottom w:val="single" w:sz="4" w:space="0" w:color="auto"/>
              <w:right w:val="nil"/>
            </w:tcBorders>
            <w:shd w:val="clear" w:color="auto" w:fill="auto"/>
            <w:noWrap/>
            <w:vAlign w:val="bottom"/>
            <w:hideMark/>
          </w:tcPr>
          <w:p w14:paraId="6D59902B" w14:textId="77777777" w:rsidR="00E236F2" w:rsidRDefault="00E236F2">
            <w:pPr>
              <w:jc w:val="center"/>
              <w:rPr>
                <w:b/>
                <w:bCs/>
                <w:sz w:val="20"/>
                <w:szCs w:val="20"/>
              </w:rPr>
            </w:pPr>
            <w:r>
              <w:rPr>
                <w:b/>
                <w:bCs/>
                <w:sz w:val="20"/>
                <w:szCs w:val="20"/>
              </w:rPr>
              <w:t>1</w:t>
            </w:r>
          </w:p>
        </w:tc>
        <w:tc>
          <w:tcPr>
            <w:tcW w:w="1503" w:type="dxa"/>
            <w:tcBorders>
              <w:top w:val="nil"/>
              <w:left w:val="nil"/>
              <w:bottom w:val="single" w:sz="4" w:space="0" w:color="auto"/>
              <w:right w:val="nil"/>
            </w:tcBorders>
            <w:shd w:val="clear" w:color="auto" w:fill="auto"/>
            <w:noWrap/>
            <w:vAlign w:val="bottom"/>
            <w:hideMark/>
          </w:tcPr>
          <w:p w14:paraId="1FFCBD41" w14:textId="77777777" w:rsidR="00E236F2" w:rsidRDefault="00E236F2">
            <w:pPr>
              <w:jc w:val="center"/>
              <w:rPr>
                <w:b/>
                <w:bCs/>
                <w:sz w:val="20"/>
                <w:szCs w:val="20"/>
              </w:rPr>
            </w:pPr>
            <w:r>
              <w:rPr>
                <w:b/>
                <w:bCs/>
                <w:sz w:val="20"/>
                <w:szCs w:val="20"/>
              </w:rPr>
              <w:t>2</w:t>
            </w:r>
          </w:p>
        </w:tc>
        <w:tc>
          <w:tcPr>
            <w:tcW w:w="1500" w:type="dxa"/>
            <w:tcBorders>
              <w:top w:val="nil"/>
              <w:left w:val="nil"/>
              <w:bottom w:val="single" w:sz="4" w:space="0" w:color="auto"/>
              <w:right w:val="nil"/>
            </w:tcBorders>
            <w:shd w:val="clear" w:color="auto" w:fill="auto"/>
            <w:noWrap/>
            <w:vAlign w:val="bottom"/>
            <w:hideMark/>
          </w:tcPr>
          <w:p w14:paraId="3DF5355D" w14:textId="77777777" w:rsidR="00E236F2" w:rsidRDefault="00E236F2">
            <w:pPr>
              <w:jc w:val="center"/>
              <w:rPr>
                <w:b/>
                <w:bCs/>
                <w:sz w:val="20"/>
                <w:szCs w:val="20"/>
              </w:rPr>
            </w:pPr>
            <w:r>
              <w:rPr>
                <w:b/>
                <w:bCs/>
                <w:sz w:val="20"/>
                <w:szCs w:val="20"/>
              </w:rPr>
              <w:t>3</w:t>
            </w:r>
          </w:p>
        </w:tc>
        <w:tc>
          <w:tcPr>
            <w:tcW w:w="1460" w:type="dxa"/>
            <w:tcBorders>
              <w:top w:val="nil"/>
              <w:left w:val="nil"/>
              <w:bottom w:val="single" w:sz="4" w:space="0" w:color="auto"/>
              <w:right w:val="nil"/>
            </w:tcBorders>
            <w:shd w:val="clear" w:color="auto" w:fill="auto"/>
            <w:noWrap/>
            <w:vAlign w:val="bottom"/>
            <w:hideMark/>
          </w:tcPr>
          <w:p w14:paraId="030D06F5" w14:textId="77777777" w:rsidR="00E236F2" w:rsidRDefault="00E236F2">
            <w:pPr>
              <w:jc w:val="center"/>
              <w:rPr>
                <w:b/>
                <w:bCs/>
                <w:sz w:val="20"/>
                <w:szCs w:val="20"/>
              </w:rPr>
            </w:pPr>
            <w:r>
              <w:rPr>
                <w:b/>
                <w:bCs/>
                <w:sz w:val="20"/>
                <w:szCs w:val="20"/>
              </w:rPr>
              <w:t>4</w:t>
            </w:r>
          </w:p>
        </w:tc>
      </w:tr>
      <w:tr w:rsidR="00E236F2" w14:paraId="7B66788C" w14:textId="77777777" w:rsidTr="007F6614">
        <w:trPr>
          <w:trHeight w:val="300"/>
        </w:trPr>
        <w:tc>
          <w:tcPr>
            <w:tcW w:w="9992" w:type="dxa"/>
            <w:gridSpan w:val="2"/>
            <w:tcBorders>
              <w:top w:val="single" w:sz="4" w:space="0" w:color="auto"/>
              <w:left w:val="nil"/>
              <w:bottom w:val="single" w:sz="4" w:space="0" w:color="auto"/>
              <w:right w:val="nil"/>
            </w:tcBorders>
            <w:shd w:val="clear" w:color="auto" w:fill="auto"/>
            <w:noWrap/>
            <w:vAlign w:val="bottom"/>
            <w:hideMark/>
          </w:tcPr>
          <w:p w14:paraId="4DCFBFDC" w14:textId="77777777" w:rsidR="00E236F2" w:rsidRDefault="00E236F2">
            <w:pPr>
              <w:rPr>
                <w:b/>
                <w:bCs/>
                <w:sz w:val="20"/>
                <w:szCs w:val="20"/>
              </w:rPr>
            </w:pPr>
            <w:r>
              <w:rPr>
                <w:b/>
                <w:bCs/>
                <w:sz w:val="20"/>
                <w:szCs w:val="20"/>
              </w:rPr>
              <w:t>RAZDJEL  001   UPRAVNI ODJEL ZA OPĆE POSLOVE</w:t>
            </w:r>
          </w:p>
        </w:tc>
        <w:tc>
          <w:tcPr>
            <w:tcW w:w="1503" w:type="dxa"/>
            <w:tcBorders>
              <w:top w:val="nil"/>
              <w:left w:val="nil"/>
              <w:bottom w:val="single" w:sz="4" w:space="0" w:color="auto"/>
              <w:right w:val="nil"/>
            </w:tcBorders>
            <w:shd w:val="clear" w:color="auto" w:fill="auto"/>
            <w:noWrap/>
            <w:vAlign w:val="bottom"/>
            <w:hideMark/>
          </w:tcPr>
          <w:p w14:paraId="36002DCB" w14:textId="77777777" w:rsidR="00E236F2" w:rsidRDefault="00E236F2">
            <w:pPr>
              <w:jc w:val="right"/>
              <w:rPr>
                <w:b/>
                <w:bCs/>
                <w:sz w:val="20"/>
                <w:szCs w:val="20"/>
              </w:rPr>
            </w:pPr>
            <w:r>
              <w:rPr>
                <w:b/>
                <w:bCs/>
                <w:sz w:val="20"/>
                <w:szCs w:val="20"/>
              </w:rPr>
              <w:t>19.147.450,19</w:t>
            </w:r>
          </w:p>
        </w:tc>
        <w:tc>
          <w:tcPr>
            <w:tcW w:w="1500" w:type="dxa"/>
            <w:tcBorders>
              <w:top w:val="nil"/>
              <w:left w:val="nil"/>
              <w:bottom w:val="single" w:sz="4" w:space="0" w:color="auto"/>
              <w:right w:val="nil"/>
            </w:tcBorders>
            <w:shd w:val="clear" w:color="auto" w:fill="auto"/>
            <w:noWrap/>
            <w:vAlign w:val="bottom"/>
            <w:hideMark/>
          </w:tcPr>
          <w:p w14:paraId="3FE99A8A" w14:textId="77777777" w:rsidR="00E236F2" w:rsidRDefault="00E236F2">
            <w:pPr>
              <w:jc w:val="right"/>
              <w:rPr>
                <w:b/>
                <w:bCs/>
                <w:sz w:val="20"/>
                <w:szCs w:val="20"/>
              </w:rPr>
            </w:pPr>
            <w:r>
              <w:rPr>
                <w:b/>
                <w:bCs/>
                <w:sz w:val="20"/>
                <w:szCs w:val="20"/>
              </w:rPr>
              <w:t>17.648.087,79</w:t>
            </w:r>
          </w:p>
        </w:tc>
        <w:tc>
          <w:tcPr>
            <w:tcW w:w="1460" w:type="dxa"/>
            <w:tcBorders>
              <w:top w:val="nil"/>
              <w:left w:val="nil"/>
              <w:bottom w:val="single" w:sz="4" w:space="0" w:color="auto"/>
              <w:right w:val="nil"/>
            </w:tcBorders>
            <w:shd w:val="clear" w:color="auto" w:fill="auto"/>
            <w:noWrap/>
            <w:vAlign w:val="bottom"/>
            <w:hideMark/>
          </w:tcPr>
          <w:p w14:paraId="7FDA7925" w14:textId="77777777" w:rsidR="00E236F2" w:rsidRDefault="00E236F2">
            <w:pPr>
              <w:jc w:val="right"/>
              <w:rPr>
                <w:b/>
                <w:bCs/>
                <w:sz w:val="20"/>
                <w:szCs w:val="20"/>
              </w:rPr>
            </w:pPr>
            <w:r>
              <w:rPr>
                <w:b/>
                <w:bCs/>
                <w:sz w:val="20"/>
                <w:szCs w:val="20"/>
              </w:rPr>
              <w:t>92,17</w:t>
            </w:r>
          </w:p>
        </w:tc>
      </w:tr>
      <w:tr w:rsidR="00E236F2" w14:paraId="35A92770" w14:textId="77777777" w:rsidTr="007F6614">
        <w:trPr>
          <w:trHeight w:val="300"/>
        </w:trPr>
        <w:tc>
          <w:tcPr>
            <w:tcW w:w="9992" w:type="dxa"/>
            <w:gridSpan w:val="2"/>
            <w:tcBorders>
              <w:top w:val="single" w:sz="4" w:space="0" w:color="auto"/>
              <w:left w:val="nil"/>
              <w:bottom w:val="nil"/>
              <w:right w:val="nil"/>
            </w:tcBorders>
            <w:shd w:val="clear" w:color="auto" w:fill="auto"/>
            <w:noWrap/>
            <w:vAlign w:val="bottom"/>
            <w:hideMark/>
          </w:tcPr>
          <w:p w14:paraId="252B99A8" w14:textId="77777777" w:rsidR="00E236F2" w:rsidRDefault="00E236F2">
            <w:pPr>
              <w:rPr>
                <w:b/>
                <w:bCs/>
                <w:sz w:val="20"/>
                <w:szCs w:val="20"/>
              </w:rPr>
            </w:pPr>
            <w:r>
              <w:rPr>
                <w:b/>
                <w:bCs/>
                <w:sz w:val="20"/>
                <w:szCs w:val="20"/>
              </w:rPr>
              <w:t>Glava 00101 PREDSTAVNIČKO, IZVRŠNA I RADNA TIJELA GRADA</w:t>
            </w:r>
          </w:p>
        </w:tc>
        <w:tc>
          <w:tcPr>
            <w:tcW w:w="1503" w:type="dxa"/>
            <w:tcBorders>
              <w:top w:val="nil"/>
              <w:left w:val="nil"/>
              <w:bottom w:val="nil"/>
              <w:right w:val="nil"/>
            </w:tcBorders>
            <w:shd w:val="clear" w:color="auto" w:fill="auto"/>
            <w:noWrap/>
            <w:vAlign w:val="bottom"/>
            <w:hideMark/>
          </w:tcPr>
          <w:p w14:paraId="14B2932E" w14:textId="77777777" w:rsidR="00E236F2" w:rsidRDefault="00E236F2">
            <w:pPr>
              <w:jc w:val="right"/>
              <w:rPr>
                <w:b/>
                <w:bCs/>
                <w:sz w:val="20"/>
                <w:szCs w:val="20"/>
              </w:rPr>
            </w:pPr>
            <w:r>
              <w:rPr>
                <w:b/>
                <w:bCs/>
                <w:sz w:val="20"/>
                <w:szCs w:val="20"/>
              </w:rPr>
              <w:t>1.182.397,62</w:t>
            </w:r>
          </w:p>
        </w:tc>
        <w:tc>
          <w:tcPr>
            <w:tcW w:w="1500" w:type="dxa"/>
            <w:tcBorders>
              <w:top w:val="nil"/>
              <w:left w:val="nil"/>
              <w:bottom w:val="nil"/>
              <w:right w:val="nil"/>
            </w:tcBorders>
            <w:shd w:val="clear" w:color="auto" w:fill="auto"/>
            <w:noWrap/>
            <w:vAlign w:val="bottom"/>
            <w:hideMark/>
          </w:tcPr>
          <w:p w14:paraId="21C51AB0" w14:textId="77777777" w:rsidR="00E236F2" w:rsidRDefault="00E236F2">
            <w:pPr>
              <w:jc w:val="right"/>
              <w:rPr>
                <w:b/>
                <w:bCs/>
                <w:sz w:val="20"/>
                <w:szCs w:val="20"/>
              </w:rPr>
            </w:pPr>
            <w:r>
              <w:rPr>
                <w:b/>
                <w:bCs/>
                <w:sz w:val="20"/>
                <w:szCs w:val="20"/>
              </w:rPr>
              <w:t>1.012.011,07</w:t>
            </w:r>
          </w:p>
        </w:tc>
        <w:tc>
          <w:tcPr>
            <w:tcW w:w="1460" w:type="dxa"/>
            <w:tcBorders>
              <w:top w:val="nil"/>
              <w:left w:val="nil"/>
              <w:bottom w:val="nil"/>
              <w:right w:val="nil"/>
            </w:tcBorders>
            <w:shd w:val="clear" w:color="auto" w:fill="auto"/>
            <w:noWrap/>
            <w:vAlign w:val="bottom"/>
            <w:hideMark/>
          </w:tcPr>
          <w:p w14:paraId="219D96A6" w14:textId="77777777" w:rsidR="00E236F2" w:rsidRDefault="00E236F2">
            <w:pPr>
              <w:jc w:val="right"/>
              <w:rPr>
                <w:b/>
                <w:bCs/>
                <w:sz w:val="20"/>
                <w:szCs w:val="20"/>
              </w:rPr>
            </w:pPr>
            <w:r>
              <w:rPr>
                <w:b/>
                <w:bCs/>
                <w:sz w:val="20"/>
                <w:szCs w:val="20"/>
              </w:rPr>
              <w:t>85,59</w:t>
            </w:r>
          </w:p>
        </w:tc>
      </w:tr>
      <w:tr w:rsidR="00E236F2" w14:paraId="4D54B2FE" w14:textId="77777777" w:rsidTr="007F6614">
        <w:trPr>
          <w:trHeight w:val="300"/>
        </w:trPr>
        <w:tc>
          <w:tcPr>
            <w:tcW w:w="9992" w:type="dxa"/>
            <w:gridSpan w:val="2"/>
            <w:tcBorders>
              <w:top w:val="nil"/>
              <w:left w:val="nil"/>
              <w:bottom w:val="nil"/>
              <w:right w:val="nil"/>
            </w:tcBorders>
            <w:shd w:val="clear" w:color="auto" w:fill="auto"/>
            <w:noWrap/>
            <w:vAlign w:val="bottom"/>
            <w:hideMark/>
          </w:tcPr>
          <w:p w14:paraId="355AB1F4" w14:textId="77777777" w:rsidR="00E236F2" w:rsidRDefault="00E236F2">
            <w:pPr>
              <w:rPr>
                <w:b/>
                <w:bCs/>
                <w:sz w:val="20"/>
                <w:szCs w:val="20"/>
              </w:rPr>
            </w:pPr>
            <w:r>
              <w:rPr>
                <w:b/>
                <w:bCs/>
                <w:sz w:val="20"/>
                <w:szCs w:val="20"/>
              </w:rPr>
              <w:t>Glava 00102 UPRAVNI ODJEL ZA OPĆE POSLOVE</w:t>
            </w:r>
          </w:p>
        </w:tc>
        <w:tc>
          <w:tcPr>
            <w:tcW w:w="1503" w:type="dxa"/>
            <w:tcBorders>
              <w:top w:val="nil"/>
              <w:left w:val="nil"/>
              <w:bottom w:val="nil"/>
              <w:right w:val="nil"/>
            </w:tcBorders>
            <w:shd w:val="clear" w:color="auto" w:fill="auto"/>
            <w:noWrap/>
            <w:vAlign w:val="bottom"/>
            <w:hideMark/>
          </w:tcPr>
          <w:p w14:paraId="7369B54E" w14:textId="77777777" w:rsidR="00E236F2" w:rsidRDefault="00E236F2">
            <w:pPr>
              <w:jc w:val="right"/>
              <w:rPr>
                <w:b/>
                <w:bCs/>
                <w:sz w:val="20"/>
                <w:szCs w:val="20"/>
              </w:rPr>
            </w:pPr>
            <w:r>
              <w:rPr>
                <w:b/>
                <w:bCs/>
                <w:sz w:val="20"/>
                <w:szCs w:val="20"/>
              </w:rPr>
              <w:t>9.557.143,35</w:t>
            </w:r>
          </w:p>
        </w:tc>
        <w:tc>
          <w:tcPr>
            <w:tcW w:w="1500" w:type="dxa"/>
            <w:tcBorders>
              <w:top w:val="nil"/>
              <w:left w:val="nil"/>
              <w:bottom w:val="nil"/>
              <w:right w:val="nil"/>
            </w:tcBorders>
            <w:shd w:val="clear" w:color="auto" w:fill="auto"/>
            <w:noWrap/>
            <w:vAlign w:val="bottom"/>
            <w:hideMark/>
          </w:tcPr>
          <w:p w14:paraId="395D5F1B" w14:textId="77777777" w:rsidR="00E236F2" w:rsidRDefault="00E236F2">
            <w:pPr>
              <w:jc w:val="right"/>
              <w:rPr>
                <w:b/>
                <w:bCs/>
                <w:sz w:val="20"/>
                <w:szCs w:val="20"/>
              </w:rPr>
            </w:pPr>
            <w:r>
              <w:rPr>
                <w:b/>
                <w:bCs/>
                <w:sz w:val="20"/>
                <w:szCs w:val="20"/>
              </w:rPr>
              <w:t>8.416.616,69</w:t>
            </w:r>
          </w:p>
        </w:tc>
        <w:tc>
          <w:tcPr>
            <w:tcW w:w="1460" w:type="dxa"/>
            <w:tcBorders>
              <w:top w:val="nil"/>
              <w:left w:val="nil"/>
              <w:bottom w:val="nil"/>
              <w:right w:val="nil"/>
            </w:tcBorders>
            <w:shd w:val="clear" w:color="auto" w:fill="auto"/>
            <w:noWrap/>
            <w:vAlign w:val="bottom"/>
            <w:hideMark/>
          </w:tcPr>
          <w:p w14:paraId="4E166CB1" w14:textId="77777777" w:rsidR="00E236F2" w:rsidRDefault="00E236F2">
            <w:pPr>
              <w:jc w:val="right"/>
              <w:rPr>
                <w:b/>
                <w:bCs/>
                <w:sz w:val="20"/>
                <w:szCs w:val="20"/>
              </w:rPr>
            </w:pPr>
            <w:r>
              <w:rPr>
                <w:b/>
                <w:bCs/>
                <w:sz w:val="20"/>
                <w:szCs w:val="20"/>
              </w:rPr>
              <w:t>88,07</w:t>
            </w:r>
          </w:p>
        </w:tc>
      </w:tr>
      <w:tr w:rsidR="00E236F2" w14:paraId="1DA8A8CD" w14:textId="77777777" w:rsidTr="007F6614">
        <w:trPr>
          <w:trHeight w:val="300"/>
        </w:trPr>
        <w:tc>
          <w:tcPr>
            <w:tcW w:w="9992" w:type="dxa"/>
            <w:gridSpan w:val="2"/>
            <w:tcBorders>
              <w:top w:val="nil"/>
              <w:left w:val="nil"/>
              <w:bottom w:val="nil"/>
              <w:right w:val="nil"/>
            </w:tcBorders>
            <w:shd w:val="clear" w:color="auto" w:fill="auto"/>
            <w:noWrap/>
            <w:vAlign w:val="bottom"/>
            <w:hideMark/>
          </w:tcPr>
          <w:p w14:paraId="45639B4E" w14:textId="77777777" w:rsidR="00E236F2" w:rsidRDefault="00E236F2">
            <w:pPr>
              <w:rPr>
                <w:b/>
                <w:bCs/>
                <w:sz w:val="20"/>
                <w:szCs w:val="20"/>
              </w:rPr>
            </w:pPr>
            <w:r>
              <w:rPr>
                <w:b/>
                <w:bCs/>
                <w:sz w:val="20"/>
                <w:szCs w:val="20"/>
              </w:rPr>
              <w:t>Glava 00103 DJEČJI VRTIĆI</w:t>
            </w:r>
          </w:p>
        </w:tc>
        <w:tc>
          <w:tcPr>
            <w:tcW w:w="1503" w:type="dxa"/>
            <w:tcBorders>
              <w:top w:val="nil"/>
              <w:left w:val="nil"/>
              <w:bottom w:val="nil"/>
              <w:right w:val="nil"/>
            </w:tcBorders>
            <w:shd w:val="clear" w:color="auto" w:fill="auto"/>
            <w:noWrap/>
            <w:vAlign w:val="bottom"/>
            <w:hideMark/>
          </w:tcPr>
          <w:p w14:paraId="1949E1CB" w14:textId="77777777" w:rsidR="00E236F2" w:rsidRDefault="00E236F2">
            <w:pPr>
              <w:jc w:val="right"/>
              <w:rPr>
                <w:b/>
                <w:bCs/>
                <w:sz w:val="20"/>
                <w:szCs w:val="20"/>
              </w:rPr>
            </w:pPr>
            <w:r>
              <w:rPr>
                <w:b/>
                <w:bCs/>
                <w:sz w:val="20"/>
                <w:szCs w:val="20"/>
              </w:rPr>
              <w:t>6.828.910,10</w:t>
            </w:r>
          </w:p>
        </w:tc>
        <w:tc>
          <w:tcPr>
            <w:tcW w:w="1500" w:type="dxa"/>
            <w:tcBorders>
              <w:top w:val="nil"/>
              <w:left w:val="nil"/>
              <w:bottom w:val="nil"/>
              <w:right w:val="nil"/>
            </w:tcBorders>
            <w:shd w:val="clear" w:color="auto" w:fill="auto"/>
            <w:noWrap/>
            <w:vAlign w:val="bottom"/>
            <w:hideMark/>
          </w:tcPr>
          <w:p w14:paraId="4267F626" w14:textId="77777777" w:rsidR="00E236F2" w:rsidRDefault="00E236F2">
            <w:pPr>
              <w:jc w:val="right"/>
              <w:rPr>
                <w:b/>
                <w:bCs/>
                <w:sz w:val="20"/>
                <w:szCs w:val="20"/>
              </w:rPr>
            </w:pPr>
            <w:r>
              <w:rPr>
                <w:b/>
                <w:bCs/>
                <w:sz w:val="20"/>
                <w:szCs w:val="20"/>
              </w:rPr>
              <w:t>6.867.876,85</w:t>
            </w:r>
          </w:p>
        </w:tc>
        <w:tc>
          <w:tcPr>
            <w:tcW w:w="1460" w:type="dxa"/>
            <w:tcBorders>
              <w:top w:val="nil"/>
              <w:left w:val="nil"/>
              <w:bottom w:val="nil"/>
              <w:right w:val="nil"/>
            </w:tcBorders>
            <w:shd w:val="clear" w:color="auto" w:fill="auto"/>
            <w:noWrap/>
            <w:vAlign w:val="bottom"/>
            <w:hideMark/>
          </w:tcPr>
          <w:p w14:paraId="295ADBA2" w14:textId="77777777" w:rsidR="00E236F2" w:rsidRDefault="00E236F2">
            <w:pPr>
              <w:jc w:val="right"/>
              <w:rPr>
                <w:b/>
                <w:bCs/>
                <w:sz w:val="20"/>
                <w:szCs w:val="20"/>
              </w:rPr>
            </w:pPr>
            <w:r>
              <w:rPr>
                <w:b/>
                <w:bCs/>
                <w:sz w:val="20"/>
                <w:szCs w:val="20"/>
              </w:rPr>
              <w:t>100,57</w:t>
            </w:r>
          </w:p>
        </w:tc>
      </w:tr>
      <w:tr w:rsidR="00E236F2" w14:paraId="0A1A8C7B" w14:textId="77777777" w:rsidTr="007F6614">
        <w:trPr>
          <w:trHeight w:val="300"/>
        </w:trPr>
        <w:tc>
          <w:tcPr>
            <w:tcW w:w="9992" w:type="dxa"/>
            <w:gridSpan w:val="2"/>
            <w:tcBorders>
              <w:top w:val="nil"/>
              <w:left w:val="nil"/>
              <w:bottom w:val="nil"/>
              <w:right w:val="nil"/>
            </w:tcBorders>
            <w:shd w:val="clear" w:color="auto" w:fill="auto"/>
            <w:noWrap/>
            <w:vAlign w:val="bottom"/>
            <w:hideMark/>
          </w:tcPr>
          <w:p w14:paraId="6A6076DE" w14:textId="77777777" w:rsidR="00E236F2" w:rsidRDefault="00E236F2">
            <w:pPr>
              <w:rPr>
                <w:sz w:val="20"/>
                <w:szCs w:val="20"/>
              </w:rPr>
            </w:pPr>
            <w:r>
              <w:rPr>
                <w:sz w:val="20"/>
                <w:szCs w:val="20"/>
              </w:rPr>
              <w:t>Proračunski korisnik 36305 DJEČJI VRTIĆ BUJE</w:t>
            </w:r>
          </w:p>
        </w:tc>
        <w:tc>
          <w:tcPr>
            <w:tcW w:w="1503" w:type="dxa"/>
            <w:tcBorders>
              <w:top w:val="nil"/>
              <w:left w:val="nil"/>
              <w:bottom w:val="nil"/>
              <w:right w:val="nil"/>
            </w:tcBorders>
            <w:shd w:val="clear" w:color="auto" w:fill="auto"/>
            <w:noWrap/>
            <w:vAlign w:val="bottom"/>
            <w:hideMark/>
          </w:tcPr>
          <w:p w14:paraId="11BD1DE9" w14:textId="77777777" w:rsidR="00E236F2" w:rsidRDefault="00E236F2">
            <w:pPr>
              <w:jc w:val="right"/>
              <w:rPr>
                <w:sz w:val="20"/>
                <w:szCs w:val="20"/>
              </w:rPr>
            </w:pPr>
            <w:r>
              <w:rPr>
                <w:sz w:val="20"/>
                <w:szCs w:val="20"/>
              </w:rPr>
              <w:t>4.204.471,32</w:t>
            </w:r>
          </w:p>
        </w:tc>
        <w:tc>
          <w:tcPr>
            <w:tcW w:w="1500" w:type="dxa"/>
            <w:tcBorders>
              <w:top w:val="nil"/>
              <w:left w:val="nil"/>
              <w:bottom w:val="nil"/>
              <w:right w:val="nil"/>
            </w:tcBorders>
            <w:shd w:val="clear" w:color="auto" w:fill="auto"/>
            <w:noWrap/>
            <w:vAlign w:val="bottom"/>
            <w:hideMark/>
          </w:tcPr>
          <w:p w14:paraId="1F311F68" w14:textId="77777777" w:rsidR="00E236F2" w:rsidRDefault="00E236F2">
            <w:pPr>
              <w:jc w:val="right"/>
              <w:rPr>
                <w:sz w:val="20"/>
                <w:szCs w:val="20"/>
              </w:rPr>
            </w:pPr>
            <w:r>
              <w:rPr>
                <w:sz w:val="20"/>
                <w:szCs w:val="20"/>
              </w:rPr>
              <w:t>4.172.188,33</w:t>
            </w:r>
          </w:p>
        </w:tc>
        <w:tc>
          <w:tcPr>
            <w:tcW w:w="1460" w:type="dxa"/>
            <w:tcBorders>
              <w:top w:val="nil"/>
              <w:left w:val="nil"/>
              <w:bottom w:val="nil"/>
              <w:right w:val="nil"/>
            </w:tcBorders>
            <w:shd w:val="clear" w:color="auto" w:fill="auto"/>
            <w:noWrap/>
            <w:vAlign w:val="bottom"/>
            <w:hideMark/>
          </w:tcPr>
          <w:p w14:paraId="3A8E8F41" w14:textId="77777777" w:rsidR="00E236F2" w:rsidRDefault="00E236F2">
            <w:pPr>
              <w:jc w:val="right"/>
              <w:rPr>
                <w:sz w:val="20"/>
                <w:szCs w:val="20"/>
              </w:rPr>
            </w:pPr>
            <w:r>
              <w:rPr>
                <w:sz w:val="20"/>
                <w:szCs w:val="20"/>
              </w:rPr>
              <w:t>99,23</w:t>
            </w:r>
          </w:p>
        </w:tc>
      </w:tr>
      <w:tr w:rsidR="00E236F2" w14:paraId="673C60DE" w14:textId="77777777" w:rsidTr="007F6614">
        <w:trPr>
          <w:trHeight w:val="300"/>
        </w:trPr>
        <w:tc>
          <w:tcPr>
            <w:tcW w:w="9992" w:type="dxa"/>
            <w:gridSpan w:val="2"/>
            <w:tcBorders>
              <w:top w:val="nil"/>
              <w:left w:val="nil"/>
              <w:bottom w:val="nil"/>
              <w:right w:val="nil"/>
            </w:tcBorders>
            <w:shd w:val="clear" w:color="auto" w:fill="auto"/>
            <w:noWrap/>
            <w:vAlign w:val="bottom"/>
            <w:hideMark/>
          </w:tcPr>
          <w:p w14:paraId="378BF252" w14:textId="77777777" w:rsidR="00E236F2" w:rsidRDefault="00E236F2">
            <w:pPr>
              <w:rPr>
                <w:sz w:val="20"/>
                <w:szCs w:val="20"/>
              </w:rPr>
            </w:pPr>
            <w:r>
              <w:rPr>
                <w:sz w:val="20"/>
                <w:szCs w:val="20"/>
              </w:rPr>
              <w:t>Proračunski korisnik 38663 TALIJANSKI DJEČJI VRTIĆ MRVICA</w:t>
            </w:r>
          </w:p>
        </w:tc>
        <w:tc>
          <w:tcPr>
            <w:tcW w:w="1503" w:type="dxa"/>
            <w:tcBorders>
              <w:top w:val="nil"/>
              <w:left w:val="nil"/>
              <w:bottom w:val="nil"/>
              <w:right w:val="nil"/>
            </w:tcBorders>
            <w:shd w:val="clear" w:color="auto" w:fill="auto"/>
            <w:noWrap/>
            <w:vAlign w:val="bottom"/>
            <w:hideMark/>
          </w:tcPr>
          <w:p w14:paraId="0EDC1101" w14:textId="77777777" w:rsidR="00E236F2" w:rsidRDefault="00E236F2">
            <w:pPr>
              <w:jc w:val="right"/>
              <w:rPr>
                <w:sz w:val="20"/>
                <w:szCs w:val="20"/>
              </w:rPr>
            </w:pPr>
            <w:r>
              <w:rPr>
                <w:sz w:val="20"/>
                <w:szCs w:val="20"/>
              </w:rPr>
              <w:t>2.624.438,78</w:t>
            </w:r>
          </w:p>
        </w:tc>
        <w:tc>
          <w:tcPr>
            <w:tcW w:w="1500" w:type="dxa"/>
            <w:tcBorders>
              <w:top w:val="nil"/>
              <w:left w:val="nil"/>
              <w:bottom w:val="nil"/>
              <w:right w:val="nil"/>
            </w:tcBorders>
            <w:shd w:val="clear" w:color="auto" w:fill="auto"/>
            <w:noWrap/>
            <w:vAlign w:val="bottom"/>
            <w:hideMark/>
          </w:tcPr>
          <w:p w14:paraId="2B850558" w14:textId="77777777" w:rsidR="00E236F2" w:rsidRDefault="00E236F2">
            <w:pPr>
              <w:jc w:val="right"/>
              <w:rPr>
                <w:sz w:val="20"/>
                <w:szCs w:val="20"/>
              </w:rPr>
            </w:pPr>
            <w:r>
              <w:rPr>
                <w:sz w:val="20"/>
                <w:szCs w:val="20"/>
              </w:rPr>
              <w:t>2.695.688,52</w:t>
            </w:r>
          </w:p>
        </w:tc>
        <w:tc>
          <w:tcPr>
            <w:tcW w:w="1460" w:type="dxa"/>
            <w:tcBorders>
              <w:top w:val="nil"/>
              <w:left w:val="nil"/>
              <w:bottom w:val="nil"/>
              <w:right w:val="nil"/>
            </w:tcBorders>
            <w:shd w:val="clear" w:color="auto" w:fill="auto"/>
            <w:noWrap/>
            <w:vAlign w:val="bottom"/>
            <w:hideMark/>
          </w:tcPr>
          <w:p w14:paraId="292ABA5E" w14:textId="77777777" w:rsidR="00E236F2" w:rsidRDefault="00E236F2">
            <w:pPr>
              <w:jc w:val="right"/>
              <w:rPr>
                <w:sz w:val="20"/>
                <w:szCs w:val="20"/>
              </w:rPr>
            </w:pPr>
            <w:r>
              <w:rPr>
                <w:sz w:val="20"/>
                <w:szCs w:val="20"/>
              </w:rPr>
              <w:t>102,71</w:t>
            </w:r>
          </w:p>
        </w:tc>
      </w:tr>
      <w:tr w:rsidR="00E236F2" w14:paraId="763C93A7" w14:textId="77777777" w:rsidTr="007F6614">
        <w:trPr>
          <w:trHeight w:val="300"/>
        </w:trPr>
        <w:tc>
          <w:tcPr>
            <w:tcW w:w="9992" w:type="dxa"/>
            <w:gridSpan w:val="2"/>
            <w:tcBorders>
              <w:top w:val="nil"/>
              <w:left w:val="nil"/>
              <w:bottom w:val="nil"/>
              <w:right w:val="nil"/>
            </w:tcBorders>
            <w:shd w:val="clear" w:color="auto" w:fill="auto"/>
            <w:noWrap/>
            <w:vAlign w:val="bottom"/>
            <w:hideMark/>
          </w:tcPr>
          <w:p w14:paraId="125D11BF" w14:textId="77777777" w:rsidR="00E236F2" w:rsidRDefault="00E236F2">
            <w:pPr>
              <w:rPr>
                <w:b/>
                <w:bCs/>
                <w:sz w:val="20"/>
                <w:szCs w:val="20"/>
              </w:rPr>
            </w:pPr>
            <w:r>
              <w:rPr>
                <w:b/>
                <w:bCs/>
                <w:sz w:val="20"/>
                <w:szCs w:val="20"/>
              </w:rPr>
              <w:t>Glava 00104 PUČKO OTVORENO UČILIŠTE BUJE</w:t>
            </w:r>
          </w:p>
        </w:tc>
        <w:tc>
          <w:tcPr>
            <w:tcW w:w="1503" w:type="dxa"/>
            <w:tcBorders>
              <w:top w:val="nil"/>
              <w:left w:val="nil"/>
              <w:bottom w:val="nil"/>
              <w:right w:val="nil"/>
            </w:tcBorders>
            <w:shd w:val="clear" w:color="auto" w:fill="auto"/>
            <w:noWrap/>
            <w:vAlign w:val="bottom"/>
            <w:hideMark/>
          </w:tcPr>
          <w:p w14:paraId="177E91D9" w14:textId="77777777" w:rsidR="00E236F2" w:rsidRDefault="00E236F2">
            <w:pPr>
              <w:jc w:val="right"/>
              <w:rPr>
                <w:b/>
                <w:bCs/>
                <w:sz w:val="20"/>
                <w:szCs w:val="20"/>
              </w:rPr>
            </w:pPr>
            <w:r>
              <w:rPr>
                <w:b/>
                <w:bCs/>
                <w:sz w:val="20"/>
                <w:szCs w:val="20"/>
              </w:rPr>
              <w:t>1.578.999,12</w:t>
            </w:r>
          </w:p>
        </w:tc>
        <w:tc>
          <w:tcPr>
            <w:tcW w:w="1500" w:type="dxa"/>
            <w:tcBorders>
              <w:top w:val="nil"/>
              <w:left w:val="nil"/>
              <w:bottom w:val="nil"/>
              <w:right w:val="nil"/>
            </w:tcBorders>
            <w:shd w:val="clear" w:color="auto" w:fill="auto"/>
            <w:noWrap/>
            <w:vAlign w:val="bottom"/>
            <w:hideMark/>
          </w:tcPr>
          <w:p w14:paraId="6DADF3EB" w14:textId="77777777" w:rsidR="00E236F2" w:rsidRDefault="00E236F2">
            <w:pPr>
              <w:jc w:val="right"/>
              <w:rPr>
                <w:b/>
                <w:bCs/>
                <w:sz w:val="20"/>
                <w:szCs w:val="20"/>
              </w:rPr>
            </w:pPr>
            <w:r>
              <w:rPr>
                <w:b/>
                <w:bCs/>
                <w:sz w:val="20"/>
                <w:szCs w:val="20"/>
              </w:rPr>
              <w:t>1.351.583,18</w:t>
            </w:r>
          </w:p>
        </w:tc>
        <w:tc>
          <w:tcPr>
            <w:tcW w:w="1460" w:type="dxa"/>
            <w:tcBorders>
              <w:top w:val="nil"/>
              <w:left w:val="nil"/>
              <w:bottom w:val="nil"/>
              <w:right w:val="nil"/>
            </w:tcBorders>
            <w:shd w:val="clear" w:color="auto" w:fill="auto"/>
            <w:noWrap/>
            <w:vAlign w:val="bottom"/>
            <w:hideMark/>
          </w:tcPr>
          <w:p w14:paraId="45736027" w14:textId="77777777" w:rsidR="00E236F2" w:rsidRDefault="00E236F2">
            <w:pPr>
              <w:jc w:val="right"/>
              <w:rPr>
                <w:b/>
                <w:bCs/>
                <w:sz w:val="20"/>
                <w:szCs w:val="20"/>
              </w:rPr>
            </w:pPr>
            <w:r>
              <w:rPr>
                <w:b/>
                <w:bCs/>
                <w:sz w:val="20"/>
                <w:szCs w:val="20"/>
              </w:rPr>
              <w:t>85,60</w:t>
            </w:r>
          </w:p>
        </w:tc>
      </w:tr>
      <w:tr w:rsidR="00E236F2" w14:paraId="46CE58CC" w14:textId="77777777" w:rsidTr="007F6614">
        <w:trPr>
          <w:trHeight w:val="300"/>
        </w:trPr>
        <w:tc>
          <w:tcPr>
            <w:tcW w:w="9992" w:type="dxa"/>
            <w:gridSpan w:val="2"/>
            <w:tcBorders>
              <w:top w:val="nil"/>
              <w:left w:val="nil"/>
              <w:bottom w:val="single" w:sz="4" w:space="0" w:color="auto"/>
              <w:right w:val="nil"/>
            </w:tcBorders>
            <w:shd w:val="clear" w:color="auto" w:fill="auto"/>
            <w:noWrap/>
            <w:vAlign w:val="bottom"/>
            <w:hideMark/>
          </w:tcPr>
          <w:p w14:paraId="0CF9658F" w14:textId="77777777" w:rsidR="00E236F2" w:rsidRDefault="00E236F2">
            <w:pPr>
              <w:rPr>
                <w:sz w:val="20"/>
                <w:szCs w:val="20"/>
              </w:rPr>
            </w:pPr>
            <w:r>
              <w:rPr>
                <w:sz w:val="20"/>
                <w:szCs w:val="20"/>
              </w:rPr>
              <w:t>Proračunski korisnik 48200 PUČKO OTVORENO UČILIŠTE BUJE - UNIVERSITA` POPOLARE APERTA DI BUIE</w:t>
            </w:r>
          </w:p>
        </w:tc>
        <w:tc>
          <w:tcPr>
            <w:tcW w:w="1503" w:type="dxa"/>
            <w:tcBorders>
              <w:top w:val="nil"/>
              <w:left w:val="nil"/>
              <w:bottom w:val="nil"/>
              <w:right w:val="nil"/>
            </w:tcBorders>
            <w:shd w:val="clear" w:color="auto" w:fill="auto"/>
            <w:noWrap/>
            <w:vAlign w:val="bottom"/>
            <w:hideMark/>
          </w:tcPr>
          <w:p w14:paraId="56B9C40A" w14:textId="77777777" w:rsidR="00E236F2" w:rsidRDefault="00E236F2">
            <w:pPr>
              <w:jc w:val="right"/>
              <w:rPr>
                <w:sz w:val="20"/>
                <w:szCs w:val="20"/>
              </w:rPr>
            </w:pPr>
            <w:r>
              <w:rPr>
                <w:sz w:val="20"/>
                <w:szCs w:val="20"/>
              </w:rPr>
              <w:t>1.578.999,12</w:t>
            </w:r>
          </w:p>
        </w:tc>
        <w:tc>
          <w:tcPr>
            <w:tcW w:w="1500" w:type="dxa"/>
            <w:tcBorders>
              <w:top w:val="nil"/>
              <w:left w:val="nil"/>
              <w:bottom w:val="nil"/>
              <w:right w:val="nil"/>
            </w:tcBorders>
            <w:shd w:val="clear" w:color="auto" w:fill="auto"/>
            <w:noWrap/>
            <w:vAlign w:val="bottom"/>
            <w:hideMark/>
          </w:tcPr>
          <w:p w14:paraId="2FA28A1A" w14:textId="77777777" w:rsidR="00E236F2" w:rsidRDefault="00E236F2">
            <w:pPr>
              <w:jc w:val="right"/>
              <w:rPr>
                <w:sz w:val="20"/>
                <w:szCs w:val="20"/>
              </w:rPr>
            </w:pPr>
            <w:r>
              <w:rPr>
                <w:sz w:val="20"/>
                <w:szCs w:val="20"/>
              </w:rPr>
              <w:t>1.351.583,18</w:t>
            </w:r>
          </w:p>
        </w:tc>
        <w:tc>
          <w:tcPr>
            <w:tcW w:w="1460" w:type="dxa"/>
            <w:tcBorders>
              <w:top w:val="nil"/>
              <w:left w:val="nil"/>
              <w:bottom w:val="nil"/>
              <w:right w:val="nil"/>
            </w:tcBorders>
            <w:shd w:val="clear" w:color="auto" w:fill="auto"/>
            <w:noWrap/>
            <w:vAlign w:val="bottom"/>
            <w:hideMark/>
          </w:tcPr>
          <w:p w14:paraId="0998D274" w14:textId="77777777" w:rsidR="00E236F2" w:rsidRDefault="00E236F2">
            <w:pPr>
              <w:jc w:val="right"/>
              <w:rPr>
                <w:sz w:val="20"/>
                <w:szCs w:val="20"/>
              </w:rPr>
            </w:pPr>
            <w:r>
              <w:rPr>
                <w:sz w:val="20"/>
                <w:szCs w:val="20"/>
              </w:rPr>
              <w:t>85,60</w:t>
            </w:r>
          </w:p>
        </w:tc>
      </w:tr>
      <w:tr w:rsidR="00E236F2" w14:paraId="34398DB9" w14:textId="77777777" w:rsidTr="007F6614">
        <w:trPr>
          <w:trHeight w:val="300"/>
        </w:trPr>
        <w:tc>
          <w:tcPr>
            <w:tcW w:w="9992" w:type="dxa"/>
            <w:gridSpan w:val="2"/>
            <w:tcBorders>
              <w:top w:val="single" w:sz="4" w:space="0" w:color="auto"/>
              <w:left w:val="nil"/>
              <w:bottom w:val="single" w:sz="4" w:space="0" w:color="auto"/>
              <w:right w:val="nil"/>
            </w:tcBorders>
            <w:shd w:val="clear" w:color="auto" w:fill="auto"/>
            <w:noWrap/>
            <w:vAlign w:val="bottom"/>
            <w:hideMark/>
          </w:tcPr>
          <w:p w14:paraId="75316DD6" w14:textId="77777777" w:rsidR="00E236F2" w:rsidRDefault="00E236F2">
            <w:pPr>
              <w:rPr>
                <w:b/>
                <w:bCs/>
                <w:sz w:val="20"/>
                <w:szCs w:val="20"/>
              </w:rPr>
            </w:pPr>
            <w:r>
              <w:rPr>
                <w:b/>
                <w:bCs/>
                <w:sz w:val="20"/>
                <w:szCs w:val="20"/>
              </w:rPr>
              <w:t>RAZDJEL  002   UPRAVNI ODJEL ZA KOMUNALNE DJELATNOSTI</w:t>
            </w:r>
          </w:p>
        </w:tc>
        <w:tc>
          <w:tcPr>
            <w:tcW w:w="1503" w:type="dxa"/>
            <w:tcBorders>
              <w:top w:val="single" w:sz="4" w:space="0" w:color="auto"/>
              <w:left w:val="nil"/>
              <w:bottom w:val="single" w:sz="4" w:space="0" w:color="auto"/>
              <w:right w:val="nil"/>
            </w:tcBorders>
            <w:shd w:val="clear" w:color="auto" w:fill="auto"/>
            <w:noWrap/>
            <w:vAlign w:val="bottom"/>
            <w:hideMark/>
          </w:tcPr>
          <w:p w14:paraId="044FA1E2" w14:textId="77777777" w:rsidR="00E236F2" w:rsidRDefault="00E236F2">
            <w:pPr>
              <w:jc w:val="right"/>
              <w:rPr>
                <w:b/>
                <w:bCs/>
                <w:sz w:val="20"/>
                <w:szCs w:val="20"/>
              </w:rPr>
            </w:pPr>
            <w:r>
              <w:rPr>
                <w:b/>
                <w:bCs/>
                <w:sz w:val="20"/>
                <w:szCs w:val="20"/>
              </w:rPr>
              <w:t>17.852.711,10</w:t>
            </w:r>
          </w:p>
        </w:tc>
        <w:tc>
          <w:tcPr>
            <w:tcW w:w="1500" w:type="dxa"/>
            <w:tcBorders>
              <w:top w:val="single" w:sz="4" w:space="0" w:color="auto"/>
              <w:left w:val="nil"/>
              <w:bottom w:val="single" w:sz="4" w:space="0" w:color="auto"/>
              <w:right w:val="nil"/>
            </w:tcBorders>
            <w:shd w:val="clear" w:color="auto" w:fill="auto"/>
            <w:noWrap/>
            <w:vAlign w:val="bottom"/>
            <w:hideMark/>
          </w:tcPr>
          <w:p w14:paraId="7E020761" w14:textId="77777777" w:rsidR="00E236F2" w:rsidRDefault="00E236F2">
            <w:pPr>
              <w:jc w:val="right"/>
              <w:rPr>
                <w:b/>
                <w:bCs/>
                <w:sz w:val="20"/>
                <w:szCs w:val="20"/>
              </w:rPr>
            </w:pPr>
            <w:r>
              <w:rPr>
                <w:b/>
                <w:bCs/>
                <w:sz w:val="20"/>
                <w:szCs w:val="20"/>
              </w:rPr>
              <w:t>16.646.528,06</w:t>
            </w:r>
          </w:p>
        </w:tc>
        <w:tc>
          <w:tcPr>
            <w:tcW w:w="1460" w:type="dxa"/>
            <w:tcBorders>
              <w:top w:val="single" w:sz="4" w:space="0" w:color="auto"/>
              <w:left w:val="nil"/>
              <w:bottom w:val="single" w:sz="4" w:space="0" w:color="auto"/>
              <w:right w:val="nil"/>
            </w:tcBorders>
            <w:shd w:val="clear" w:color="auto" w:fill="auto"/>
            <w:noWrap/>
            <w:vAlign w:val="bottom"/>
            <w:hideMark/>
          </w:tcPr>
          <w:p w14:paraId="2EE221DB" w14:textId="77777777" w:rsidR="00E236F2" w:rsidRDefault="00E236F2">
            <w:pPr>
              <w:jc w:val="right"/>
              <w:rPr>
                <w:b/>
                <w:bCs/>
                <w:sz w:val="20"/>
                <w:szCs w:val="20"/>
              </w:rPr>
            </w:pPr>
            <w:r>
              <w:rPr>
                <w:b/>
                <w:bCs/>
                <w:sz w:val="20"/>
                <w:szCs w:val="20"/>
              </w:rPr>
              <w:t>93,24</w:t>
            </w:r>
          </w:p>
        </w:tc>
      </w:tr>
      <w:tr w:rsidR="00E236F2" w14:paraId="3B86B8BE" w14:textId="77777777" w:rsidTr="007F6614">
        <w:trPr>
          <w:trHeight w:val="300"/>
        </w:trPr>
        <w:tc>
          <w:tcPr>
            <w:tcW w:w="9992" w:type="dxa"/>
            <w:gridSpan w:val="2"/>
            <w:tcBorders>
              <w:top w:val="single" w:sz="4" w:space="0" w:color="auto"/>
              <w:left w:val="nil"/>
              <w:bottom w:val="single" w:sz="4" w:space="0" w:color="auto"/>
              <w:right w:val="nil"/>
            </w:tcBorders>
            <w:shd w:val="clear" w:color="auto" w:fill="auto"/>
            <w:noWrap/>
            <w:vAlign w:val="bottom"/>
            <w:hideMark/>
          </w:tcPr>
          <w:p w14:paraId="1EFED0C5" w14:textId="77777777" w:rsidR="00E236F2" w:rsidRDefault="00E236F2">
            <w:pPr>
              <w:rPr>
                <w:b/>
                <w:bCs/>
                <w:sz w:val="20"/>
                <w:szCs w:val="20"/>
              </w:rPr>
            </w:pPr>
            <w:r>
              <w:rPr>
                <w:b/>
                <w:bCs/>
                <w:sz w:val="20"/>
                <w:szCs w:val="20"/>
              </w:rPr>
              <w:t>Glava 00201 UPRAVNI ODJEL ZA KOMUNALNE DJELATNOSTI</w:t>
            </w:r>
          </w:p>
        </w:tc>
        <w:tc>
          <w:tcPr>
            <w:tcW w:w="1503" w:type="dxa"/>
            <w:tcBorders>
              <w:top w:val="nil"/>
              <w:left w:val="nil"/>
              <w:bottom w:val="nil"/>
              <w:right w:val="nil"/>
            </w:tcBorders>
            <w:shd w:val="clear" w:color="auto" w:fill="auto"/>
            <w:noWrap/>
            <w:vAlign w:val="bottom"/>
            <w:hideMark/>
          </w:tcPr>
          <w:p w14:paraId="309BD1E3" w14:textId="77777777" w:rsidR="00E236F2" w:rsidRDefault="00E236F2">
            <w:pPr>
              <w:jc w:val="right"/>
              <w:rPr>
                <w:b/>
                <w:bCs/>
                <w:sz w:val="20"/>
                <w:szCs w:val="20"/>
              </w:rPr>
            </w:pPr>
            <w:r>
              <w:rPr>
                <w:b/>
                <w:bCs/>
                <w:sz w:val="20"/>
                <w:szCs w:val="20"/>
              </w:rPr>
              <w:t>17.852.711,10</w:t>
            </w:r>
          </w:p>
        </w:tc>
        <w:tc>
          <w:tcPr>
            <w:tcW w:w="1500" w:type="dxa"/>
            <w:tcBorders>
              <w:top w:val="nil"/>
              <w:left w:val="nil"/>
              <w:bottom w:val="nil"/>
              <w:right w:val="nil"/>
            </w:tcBorders>
            <w:shd w:val="clear" w:color="auto" w:fill="auto"/>
            <w:noWrap/>
            <w:vAlign w:val="bottom"/>
            <w:hideMark/>
          </w:tcPr>
          <w:p w14:paraId="64CFAD68" w14:textId="77777777" w:rsidR="00E236F2" w:rsidRDefault="00E236F2">
            <w:pPr>
              <w:jc w:val="right"/>
              <w:rPr>
                <w:b/>
                <w:bCs/>
                <w:sz w:val="20"/>
                <w:szCs w:val="20"/>
              </w:rPr>
            </w:pPr>
            <w:r>
              <w:rPr>
                <w:b/>
                <w:bCs/>
                <w:sz w:val="20"/>
                <w:szCs w:val="20"/>
              </w:rPr>
              <w:t>16.646.528,06</w:t>
            </w:r>
          </w:p>
        </w:tc>
        <w:tc>
          <w:tcPr>
            <w:tcW w:w="1460" w:type="dxa"/>
            <w:tcBorders>
              <w:top w:val="nil"/>
              <w:left w:val="nil"/>
              <w:bottom w:val="nil"/>
              <w:right w:val="nil"/>
            </w:tcBorders>
            <w:shd w:val="clear" w:color="auto" w:fill="auto"/>
            <w:noWrap/>
            <w:vAlign w:val="bottom"/>
            <w:hideMark/>
          </w:tcPr>
          <w:p w14:paraId="0E3C549D" w14:textId="77777777" w:rsidR="00E236F2" w:rsidRDefault="00E236F2">
            <w:pPr>
              <w:jc w:val="right"/>
              <w:rPr>
                <w:b/>
                <w:bCs/>
                <w:sz w:val="20"/>
                <w:szCs w:val="20"/>
              </w:rPr>
            </w:pPr>
            <w:r>
              <w:rPr>
                <w:b/>
                <w:bCs/>
                <w:sz w:val="20"/>
                <w:szCs w:val="20"/>
              </w:rPr>
              <w:t>93,24</w:t>
            </w:r>
          </w:p>
        </w:tc>
      </w:tr>
      <w:tr w:rsidR="00E236F2" w14:paraId="664A68A2" w14:textId="77777777" w:rsidTr="0044560C">
        <w:trPr>
          <w:trHeight w:val="300"/>
        </w:trPr>
        <w:tc>
          <w:tcPr>
            <w:tcW w:w="9992" w:type="dxa"/>
            <w:gridSpan w:val="2"/>
            <w:tcBorders>
              <w:top w:val="single" w:sz="4" w:space="0" w:color="auto"/>
              <w:left w:val="nil"/>
              <w:bottom w:val="single" w:sz="4" w:space="0" w:color="auto"/>
              <w:right w:val="nil"/>
            </w:tcBorders>
            <w:shd w:val="clear" w:color="auto" w:fill="auto"/>
            <w:noWrap/>
            <w:vAlign w:val="bottom"/>
            <w:hideMark/>
          </w:tcPr>
          <w:p w14:paraId="3A6A2338" w14:textId="77777777" w:rsidR="00E236F2" w:rsidRDefault="00E236F2">
            <w:pPr>
              <w:rPr>
                <w:b/>
                <w:bCs/>
                <w:sz w:val="20"/>
                <w:szCs w:val="20"/>
              </w:rPr>
            </w:pPr>
            <w:r>
              <w:rPr>
                <w:b/>
                <w:bCs/>
                <w:sz w:val="20"/>
                <w:szCs w:val="20"/>
              </w:rPr>
              <w:t>RAZDJEL  003   UPRAVNI ODJEL ZA PROSTORNO UREĐENJE I UPRAVLJANJE GRADSKOM IMOVINOM</w:t>
            </w:r>
          </w:p>
        </w:tc>
        <w:tc>
          <w:tcPr>
            <w:tcW w:w="1503" w:type="dxa"/>
            <w:tcBorders>
              <w:top w:val="single" w:sz="4" w:space="0" w:color="auto"/>
              <w:left w:val="nil"/>
              <w:bottom w:val="single" w:sz="4" w:space="0" w:color="auto"/>
              <w:right w:val="nil"/>
            </w:tcBorders>
            <w:shd w:val="clear" w:color="auto" w:fill="auto"/>
            <w:noWrap/>
            <w:vAlign w:val="bottom"/>
            <w:hideMark/>
          </w:tcPr>
          <w:p w14:paraId="14D5FF27" w14:textId="77777777" w:rsidR="00E236F2" w:rsidRDefault="00E236F2">
            <w:pPr>
              <w:jc w:val="right"/>
              <w:rPr>
                <w:b/>
                <w:bCs/>
                <w:sz w:val="20"/>
                <w:szCs w:val="20"/>
              </w:rPr>
            </w:pPr>
            <w:r>
              <w:rPr>
                <w:b/>
                <w:bCs/>
                <w:sz w:val="20"/>
                <w:szCs w:val="20"/>
              </w:rPr>
              <w:t>4.135.825,96</w:t>
            </w:r>
          </w:p>
        </w:tc>
        <w:tc>
          <w:tcPr>
            <w:tcW w:w="1500" w:type="dxa"/>
            <w:tcBorders>
              <w:top w:val="single" w:sz="4" w:space="0" w:color="auto"/>
              <w:left w:val="nil"/>
              <w:bottom w:val="single" w:sz="4" w:space="0" w:color="auto"/>
              <w:right w:val="nil"/>
            </w:tcBorders>
            <w:shd w:val="clear" w:color="auto" w:fill="auto"/>
            <w:noWrap/>
            <w:vAlign w:val="bottom"/>
            <w:hideMark/>
          </w:tcPr>
          <w:p w14:paraId="70AA2C8B" w14:textId="77777777" w:rsidR="00E236F2" w:rsidRDefault="00E236F2">
            <w:pPr>
              <w:jc w:val="right"/>
              <w:rPr>
                <w:b/>
                <w:bCs/>
                <w:sz w:val="20"/>
                <w:szCs w:val="20"/>
              </w:rPr>
            </w:pPr>
            <w:r>
              <w:rPr>
                <w:b/>
                <w:bCs/>
                <w:sz w:val="20"/>
                <w:szCs w:val="20"/>
              </w:rPr>
              <w:t>3.884.212,25</w:t>
            </w:r>
          </w:p>
        </w:tc>
        <w:tc>
          <w:tcPr>
            <w:tcW w:w="1460" w:type="dxa"/>
            <w:tcBorders>
              <w:top w:val="single" w:sz="4" w:space="0" w:color="auto"/>
              <w:left w:val="nil"/>
              <w:bottom w:val="single" w:sz="4" w:space="0" w:color="auto"/>
              <w:right w:val="nil"/>
            </w:tcBorders>
            <w:shd w:val="clear" w:color="auto" w:fill="auto"/>
            <w:noWrap/>
            <w:vAlign w:val="bottom"/>
            <w:hideMark/>
          </w:tcPr>
          <w:p w14:paraId="4B7BC53C" w14:textId="77777777" w:rsidR="00E236F2" w:rsidRDefault="00E236F2">
            <w:pPr>
              <w:jc w:val="right"/>
              <w:rPr>
                <w:b/>
                <w:bCs/>
                <w:sz w:val="20"/>
                <w:szCs w:val="20"/>
              </w:rPr>
            </w:pPr>
            <w:r>
              <w:rPr>
                <w:b/>
                <w:bCs/>
                <w:sz w:val="20"/>
                <w:szCs w:val="20"/>
              </w:rPr>
              <w:t>93,92</w:t>
            </w:r>
          </w:p>
        </w:tc>
      </w:tr>
      <w:tr w:rsidR="00E236F2" w14:paraId="36E087E8" w14:textId="77777777" w:rsidTr="0044560C">
        <w:trPr>
          <w:trHeight w:val="300"/>
        </w:trPr>
        <w:tc>
          <w:tcPr>
            <w:tcW w:w="9992" w:type="dxa"/>
            <w:gridSpan w:val="2"/>
            <w:tcBorders>
              <w:top w:val="single" w:sz="4" w:space="0" w:color="auto"/>
              <w:left w:val="nil"/>
              <w:bottom w:val="single" w:sz="4" w:space="0" w:color="auto"/>
              <w:right w:val="nil"/>
            </w:tcBorders>
            <w:shd w:val="clear" w:color="auto" w:fill="auto"/>
            <w:noWrap/>
            <w:vAlign w:val="bottom"/>
            <w:hideMark/>
          </w:tcPr>
          <w:p w14:paraId="4F9D06E3" w14:textId="77777777" w:rsidR="00E236F2" w:rsidRDefault="00E236F2">
            <w:pPr>
              <w:rPr>
                <w:b/>
                <w:bCs/>
                <w:sz w:val="20"/>
                <w:szCs w:val="20"/>
              </w:rPr>
            </w:pPr>
            <w:r>
              <w:rPr>
                <w:b/>
                <w:bCs/>
                <w:sz w:val="20"/>
                <w:szCs w:val="20"/>
              </w:rPr>
              <w:t>Glava 00301 UPRAVNI ODJEL ZA PROSTORNO UREĐENJE I UPRAVLJANJE GRADSKOM IMOVINOM</w:t>
            </w:r>
          </w:p>
        </w:tc>
        <w:tc>
          <w:tcPr>
            <w:tcW w:w="1503" w:type="dxa"/>
            <w:tcBorders>
              <w:top w:val="single" w:sz="4" w:space="0" w:color="auto"/>
              <w:left w:val="nil"/>
              <w:bottom w:val="single" w:sz="4" w:space="0" w:color="auto"/>
              <w:right w:val="nil"/>
            </w:tcBorders>
            <w:shd w:val="clear" w:color="auto" w:fill="auto"/>
            <w:noWrap/>
            <w:vAlign w:val="bottom"/>
            <w:hideMark/>
          </w:tcPr>
          <w:p w14:paraId="561E0BDA" w14:textId="77777777" w:rsidR="00E236F2" w:rsidRDefault="00E236F2">
            <w:pPr>
              <w:jc w:val="right"/>
              <w:rPr>
                <w:b/>
                <w:bCs/>
                <w:sz w:val="20"/>
                <w:szCs w:val="20"/>
              </w:rPr>
            </w:pPr>
            <w:r>
              <w:rPr>
                <w:b/>
                <w:bCs/>
                <w:sz w:val="20"/>
                <w:szCs w:val="20"/>
              </w:rPr>
              <w:t>4.135.825,96</w:t>
            </w:r>
          </w:p>
        </w:tc>
        <w:tc>
          <w:tcPr>
            <w:tcW w:w="1500" w:type="dxa"/>
            <w:tcBorders>
              <w:top w:val="single" w:sz="4" w:space="0" w:color="auto"/>
              <w:left w:val="nil"/>
              <w:bottom w:val="single" w:sz="4" w:space="0" w:color="auto"/>
              <w:right w:val="nil"/>
            </w:tcBorders>
            <w:shd w:val="clear" w:color="auto" w:fill="auto"/>
            <w:noWrap/>
            <w:vAlign w:val="bottom"/>
            <w:hideMark/>
          </w:tcPr>
          <w:p w14:paraId="59B99EC8" w14:textId="77777777" w:rsidR="00E236F2" w:rsidRDefault="00E236F2">
            <w:pPr>
              <w:jc w:val="right"/>
              <w:rPr>
                <w:b/>
                <w:bCs/>
                <w:sz w:val="20"/>
                <w:szCs w:val="20"/>
              </w:rPr>
            </w:pPr>
            <w:r>
              <w:rPr>
                <w:b/>
                <w:bCs/>
                <w:sz w:val="20"/>
                <w:szCs w:val="20"/>
              </w:rPr>
              <w:t>3.884.212,25</w:t>
            </w:r>
          </w:p>
        </w:tc>
        <w:tc>
          <w:tcPr>
            <w:tcW w:w="1460" w:type="dxa"/>
            <w:tcBorders>
              <w:top w:val="single" w:sz="4" w:space="0" w:color="auto"/>
              <w:left w:val="nil"/>
              <w:bottom w:val="single" w:sz="4" w:space="0" w:color="auto"/>
              <w:right w:val="nil"/>
            </w:tcBorders>
            <w:shd w:val="clear" w:color="auto" w:fill="auto"/>
            <w:noWrap/>
            <w:vAlign w:val="bottom"/>
            <w:hideMark/>
          </w:tcPr>
          <w:p w14:paraId="410D50C6" w14:textId="77777777" w:rsidR="00E236F2" w:rsidRDefault="00E236F2">
            <w:pPr>
              <w:jc w:val="right"/>
              <w:rPr>
                <w:b/>
                <w:bCs/>
                <w:sz w:val="20"/>
                <w:szCs w:val="20"/>
              </w:rPr>
            </w:pPr>
            <w:r>
              <w:rPr>
                <w:b/>
                <w:bCs/>
                <w:sz w:val="20"/>
                <w:szCs w:val="20"/>
              </w:rPr>
              <w:t>93,92</w:t>
            </w:r>
          </w:p>
        </w:tc>
      </w:tr>
      <w:tr w:rsidR="00E236F2" w14:paraId="1842EEB2" w14:textId="77777777" w:rsidTr="0044560C">
        <w:trPr>
          <w:trHeight w:val="300"/>
        </w:trPr>
        <w:tc>
          <w:tcPr>
            <w:tcW w:w="9992" w:type="dxa"/>
            <w:gridSpan w:val="2"/>
            <w:tcBorders>
              <w:top w:val="single" w:sz="4" w:space="0" w:color="auto"/>
              <w:left w:val="nil"/>
              <w:bottom w:val="single" w:sz="4" w:space="0" w:color="auto"/>
              <w:right w:val="nil"/>
            </w:tcBorders>
            <w:shd w:val="clear" w:color="auto" w:fill="auto"/>
            <w:noWrap/>
            <w:vAlign w:val="bottom"/>
            <w:hideMark/>
          </w:tcPr>
          <w:p w14:paraId="5ECAB029" w14:textId="77777777" w:rsidR="00E236F2" w:rsidRDefault="00E236F2">
            <w:pPr>
              <w:rPr>
                <w:b/>
                <w:bCs/>
                <w:sz w:val="20"/>
                <w:szCs w:val="20"/>
              </w:rPr>
            </w:pPr>
            <w:r>
              <w:rPr>
                <w:b/>
                <w:bCs/>
                <w:sz w:val="20"/>
                <w:szCs w:val="20"/>
              </w:rPr>
              <w:t>UKUPNO RASHODI / IZDACI</w:t>
            </w:r>
          </w:p>
        </w:tc>
        <w:tc>
          <w:tcPr>
            <w:tcW w:w="1503" w:type="dxa"/>
            <w:tcBorders>
              <w:top w:val="single" w:sz="4" w:space="0" w:color="auto"/>
              <w:left w:val="nil"/>
              <w:bottom w:val="single" w:sz="4" w:space="0" w:color="auto"/>
              <w:right w:val="nil"/>
            </w:tcBorders>
            <w:shd w:val="clear" w:color="auto" w:fill="auto"/>
            <w:noWrap/>
            <w:vAlign w:val="bottom"/>
            <w:hideMark/>
          </w:tcPr>
          <w:p w14:paraId="20D50FC7" w14:textId="77777777" w:rsidR="00E236F2" w:rsidRDefault="00E236F2">
            <w:pPr>
              <w:jc w:val="right"/>
              <w:rPr>
                <w:b/>
                <w:bCs/>
                <w:sz w:val="20"/>
                <w:szCs w:val="20"/>
              </w:rPr>
            </w:pPr>
            <w:r>
              <w:rPr>
                <w:b/>
                <w:bCs/>
                <w:sz w:val="20"/>
                <w:szCs w:val="20"/>
              </w:rPr>
              <w:t>41.135.987,25</w:t>
            </w:r>
          </w:p>
        </w:tc>
        <w:tc>
          <w:tcPr>
            <w:tcW w:w="1500" w:type="dxa"/>
            <w:tcBorders>
              <w:top w:val="single" w:sz="4" w:space="0" w:color="auto"/>
              <w:left w:val="nil"/>
              <w:bottom w:val="single" w:sz="4" w:space="0" w:color="auto"/>
              <w:right w:val="nil"/>
            </w:tcBorders>
            <w:shd w:val="clear" w:color="auto" w:fill="auto"/>
            <w:noWrap/>
            <w:vAlign w:val="bottom"/>
            <w:hideMark/>
          </w:tcPr>
          <w:p w14:paraId="28CB1AF0" w14:textId="77777777" w:rsidR="00E236F2" w:rsidRDefault="00E236F2">
            <w:pPr>
              <w:jc w:val="right"/>
              <w:rPr>
                <w:b/>
                <w:bCs/>
                <w:sz w:val="20"/>
                <w:szCs w:val="20"/>
              </w:rPr>
            </w:pPr>
            <w:r>
              <w:rPr>
                <w:b/>
                <w:bCs/>
                <w:sz w:val="20"/>
                <w:szCs w:val="20"/>
              </w:rPr>
              <w:t>38.178.828,10</w:t>
            </w:r>
          </w:p>
        </w:tc>
        <w:tc>
          <w:tcPr>
            <w:tcW w:w="1460" w:type="dxa"/>
            <w:tcBorders>
              <w:top w:val="single" w:sz="4" w:space="0" w:color="auto"/>
              <w:left w:val="nil"/>
              <w:bottom w:val="single" w:sz="4" w:space="0" w:color="auto"/>
              <w:right w:val="nil"/>
            </w:tcBorders>
            <w:shd w:val="clear" w:color="auto" w:fill="auto"/>
            <w:noWrap/>
            <w:vAlign w:val="bottom"/>
            <w:hideMark/>
          </w:tcPr>
          <w:p w14:paraId="12D53445" w14:textId="77777777" w:rsidR="00E236F2" w:rsidRDefault="00E236F2">
            <w:pPr>
              <w:jc w:val="right"/>
              <w:rPr>
                <w:b/>
                <w:bCs/>
                <w:sz w:val="20"/>
                <w:szCs w:val="20"/>
              </w:rPr>
            </w:pPr>
            <w:r>
              <w:rPr>
                <w:b/>
                <w:bCs/>
                <w:sz w:val="20"/>
                <w:szCs w:val="20"/>
              </w:rPr>
              <w:t>92,81</w:t>
            </w:r>
          </w:p>
        </w:tc>
      </w:tr>
    </w:tbl>
    <w:p w14:paraId="3E63B15C" w14:textId="1197F668" w:rsidR="002D0E0C" w:rsidRDefault="002D0E0C" w:rsidP="007C2D97">
      <w:pPr>
        <w:pStyle w:val="Title1"/>
        <w:numPr>
          <w:ilvl w:val="0"/>
          <w:numId w:val="0"/>
        </w:numPr>
        <w:rPr>
          <w:rFonts w:ascii="Times New Roman" w:hAnsi="Times New Roman" w:cs="Times New Roman"/>
          <w:sz w:val="24"/>
          <w:szCs w:val="24"/>
        </w:rPr>
      </w:pPr>
    </w:p>
    <w:p w14:paraId="6947D28A" w14:textId="77777777" w:rsidR="0044560C" w:rsidRDefault="0044560C" w:rsidP="007C2D97">
      <w:pPr>
        <w:pStyle w:val="Title1"/>
        <w:numPr>
          <w:ilvl w:val="0"/>
          <w:numId w:val="0"/>
        </w:numPr>
        <w:rPr>
          <w:rFonts w:ascii="Times New Roman" w:hAnsi="Times New Roman" w:cs="Times New Roman"/>
          <w:sz w:val="24"/>
          <w:szCs w:val="24"/>
        </w:rPr>
      </w:pPr>
    </w:p>
    <w:p w14:paraId="501CB501" w14:textId="77777777" w:rsidR="0044560C" w:rsidRDefault="0044560C" w:rsidP="007C2D97">
      <w:pPr>
        <w:pStyle w:val="Title1"/>
        <w:numPr>
          <w:ilvl w:val="0"/>
          <w:numId w:val="0"/>
        </w:numPr>
        <w:rPr>
          <w:rFonts w:ascii="Times New Roman" w:hAnsi="Times New Roman" w:cs="Times New Roman"/>
          <w:sz w:val="24"/>
          <w:szCs w:val="24"/>
        </w:rPr>
      </w:pPr>
    </w:p>
    <w:p w14:paraId="01A2266D" w14:textId="77777777" w:rsidR="0044560C" w:rsidRDefault="0044560C" w:rsidP="007C2D97">
      <w:pPr>
        <w:pStyle w:val="Title1"/>
        <w:numPr>
          <w:ilvl w:val="0"/>
          <w:numId w:val="0"/>
        </w:numPr>
        <w:rPr>
          <w:rFonts w:ascii="Times New Roman" w:hAnsi="Times New Roman" w:cs="Times New Roman"/>
          <w:sz w:val="24"/>
          <w:szCs w:val="24"/>
        </w:rPr>
      </w:pPr>
    </w:p>
    <w:tbl>
      <w:tblPr>
        <w:tblW w:w="14263" w:type="dxa"/>
        <w:tblLook w:val="04A0" w:firstRow="1" w:lastRow="0" w:firstColumn="1" w:lastColumn="0" w:noHBand="0" w:noVBand="1"/>
      </w:tblPr>
      <w:tblGrid>
        <w:gridCol w:w="1703"/>
        <w:gridCol w:w="8457"/>
        <w:gridCol w:w="1503"/>
        <w:gridCol w:w="1500"/>
        <w:gridCol w:w="1100"/>
      </w:tblGrid>
      <w:tr w:rsidR="00BE6461" w:rsidRPr="00BE6461" w14:paraId="3CE862B4" w14:textId="77777777" w:rsidTr="00BE6461">
        <w:trPr>
          <w:trHeight w:val="315"/>
        </w:trPr>
        <w:tc>
          <w:tcPr>
            <w:tcW w:w="10160" w:type="dxa"/>
            <w:gridSpan w:val="2"/>
            <w:tcBorders>
              <w:top w:val="nil"/>
              <w:left w:val="nil"/>
              <w:bottom w:val="nil"/>
              <w:right w:val="nil"/>
            </w:tcBorders>
            <w:shd w:val="clear" w:color="auto" w:fill="auto"/>
            <w:noWrap/>
            <w:vAlign w:val="bottom"/>
            <w:hideMark/>
          </w:tcPr>
          <w:p w14:paraId="364716C4" w14:textId="77777777" w:rsidR="00BE6461" w:rsidRPr="00953AE7" w:rsidRDefault="00BE6461" w:rsidP="00953AE7">
            <w:pPr>
              <w:pStyle w:val="Subtitle1"/>
              <w:rPr>
                <w:rFonts w:ascii="Times New Roman" w:hAnsi="Times New Roman"/>
                <w:sz w:val="24"/>
                <w:szCs w:val="24"/>
              </w:rPr>
            </w:pPr>
            <w:bookmarkStart w:id="22" w:name="_Toc133398672"/>
            <w:r w:rsidRPr="00953AE7">
              <w:rPr>
                <w:rFonts w:ascii="Times New Roman" w:hAnsi="Times New Roman"/>
                <w:sz w:val="24"/>
                <w:szCs w:val="24"/>
              </w:rPr>
              <w:lastRenderedPageBreak/>
              <w:t>3. B. PROGRAMSKA KLASIFIKACIJA</w:t>
            </w:r>
            <w:bookmarkEnd w:id="22"/>
          </w:p>
        </w:tc>
        <w:tc>
          <w:tcPr>
            <w:tcW w:w="1503" w:type="dxa"/>
            <w:tcBorders>
              <w:top w:val="nil"/>
              <w:left w:val="nil"/>
              <w:bottom w:val="nil"/>
              <w:right w:val="nil"/>
            </w:tcBorders>
            <w:shd w:val="clear" w:color="auto" w:fill="auto"/>
            <w:noWrap/>
            <w:vAlign w:val="bottom"/>
            <w:hideMark/>
          </w:tcPr>
          <w:p w14:paraId="604123C9" w14:textId="77777777" w:rsidR="00BE6461" w:rsidRPr="00BE6461" w:rsidRDefault="00BE6461" w:rsidP="00BE6461">
            <w:pPr>
              <w:rPr>
                <w:b/>
                <w:bCs/>
              </w:rPr>
            </w:pPr>
          </w:p>
        </w:tc>
        <w:tc>
          <w:tcPr>
            <w:tcW w:w="1500" w:type="dxa"/>
            <w:tcBorders>
              <w:top w:val="nil"/>
              <w:left w:val="nil"/>
              <w:bottom w:val="nil"/>
              <w:right w:val="nil"/>
            </w:tcBorders>
            <w:shd w:val="clear" w:color="auto" w:fill="auto"/>
            <w:noWrap/>
            <w:vAlign w:val="bottom"/>
            <w:hideMark/>
          </w:tcPr>
          <w:p w14:paraId="3E06B3E8" w14:textId="77777777" w:rsidR="00BE6461" w:rsidRPr="00BE6461" w:rsidRDefault="00BE6461" w:rsidP="00BE6461">
            <w:pPr>
              <w:rPr>
                <w:sz w:val="20"/>
                <w:szCs w:val="20"/>
              </w:rPr>
            </w:pPr>
          </w:p>
        </w:tc>
        <w:tc>
          <w:tcPr>
            <w:tcW w:w="1100" w:type="dxa"/>
            <w:tcBorders>
              <w:top w:val="nil"/>
              <w:left w:val="nil"/>
              <w:bottom w:val="nil"/>
              <w:right w:val="nil"/>
            </w:tcBorders>
            <w:shd w:val="clear" w:color="auto" w:fill="auto"/>
            <w:noWrap/>
            <w:vAlign w:val="bottom"/>
            <w:hideMark/>
          </w:tcPr>
          <w:p w14:paraId="2230959D" w14:textId="77777777" w:rsidR="00BE6461" w:rsidRPr="00BE6461" w:rsidRDefault="00BE6461" w:rsidP="00BE6461">
            <w:pPr>
              <w:rPr>
                <w:sz w:val="20"/>
                <w:szCs w:val="20"/>
              </w:rPr>
            </w:pPr>
          </w:p>
        </w:tc>
      </w:tr>
      <w:tr w:rsidR="00BE6461" w:rsidRPr="00BE6461" w14:paraId="7FB576DD" w14:textId="77777777" w:rsidTr="00BE6461">
        <w:trPr>
          <w:trHeight w:val="255"/>
        </w:trPr>
        <w:tc>
          <w:tcPr>
            <w:tcW w:w="1703" w:type="dxa"/>
            <w:tcBorders>
              <w:top w:val="nil"/>
              <w:left w:val="nil"/>
              <w:bottom w:val="nil"/>
              <w:right w:val="nil"/>
            </w:tcBorders>
            <w:shd w:val="clear" w:color="auto" w:fill="auto"/>
            <w:noWrap/>
            <w:vAlign w:val="bottom"/>
            <w:hideMark/>
          </w:tcPr>
          <w:p w14:paraId="3A1F75D9" w14:textId="77777777" w:rsidR="00BE6461" w:rsidRPr="00953AE7" w:rsidRDefault="00BE6461" w:rsidP="00953AE7">
            <w:pPr>
              <w:pStyle w:val="Subtitle1"/>
              <w:rPr>
                <w:rFonts w:ascii="Times New Roman" w:hAnsi="Times New Roman"/>
                <w:sz w:val="24"/>
                <w:szCs w:val="24"/>
              </w:rPr>
            </w:pPr>
          </w:p>
        </w:tc>
        <w:tc>
          <w:tcPr>
            <w:tcW w:w="8457" w:type="dxa"/>
            <w:tcBorders>
              <w:top w:val="nil"/>
              <w:left w:val="nil"/>
              <w:bottom w:val="nil"/>
              <w:right w:val="nil"/>
            </w:tcBorders>
            <w:shd w:val="clear" w:color="auto" w:fill="auto"/>
            <w:noWrap/>
            <w:vAlign w:val="bottom"/>
            <w:hideMark/>
          </w:tcPr>
          <w:p w14:paraId="63F8D33B" w14:textId="77777777" w:rsidR="00BE6461" w:rsidRPr="00BE6461" w:rsidRDefault="00BE6461" w:rsidP="00BE6461">
            <w:pPr>
              <w:rPr>
                <w:sz w:val="20"/>
                <w:szCs w:val="20"/>
              </w:rPr>
            </w:pPr>
          </w:p>
        </w:tc>
        <w:tc>
          <w:tcPr>
            <w:tcW w:w="1503" w:type="dxa"/>
            <w:tcBorders>
              <w:top w:val="nil"/>
              <w:left w:val="nil"/>
              <w:bottom w:val="nil"/>
              <w:right w:val="nil"/>
            </w:tcBorders>
            <w:shd w:val="clear" w:color="auto" w:fill="auto"/>
            <w:noWrap/>
            <w:vAlign w:val="bottom"/>
            <w:hideMark/>
          </w:tcPr>
          <w:p w14:paraId="5BCC709F"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D097D12" w14:textId="77777777" w:rsidR="00BE6461" w:rsidRPr="00BE6461" w:rsidRDefault="00BE6461" w:rsidP="00BE6461">
            <w:pPr>
              <w:rPr>
                <w:sz w:val="20"/>
                <w:szCs w:val="20"/>
              </w:rPr>
            </w:pPr>
          </w:p>
        </w:tc>
        <w:tc>
          <w:tcPr>
            <w:tcW w:w="1100" w:type="dxa"/>
            <w:tcBorders>
              <w:top w:val="nil"/>
              <w:left w:val="nil"/>
              <w:bottom w:val="nil"/>
              <w:right w:val="nil"/>
            </w:tcBorders>
            <w:shd w:val="clear" w:color="auto" w:fill="auto"/>
            <w:noWrap/>
            <w:vAlign w:val="bottom"/>
            <w:hideMark/>
          </w:tcPr>
          <w:p w14:paraId="000FF84E" w14:textId="77777777" w:rsidR="00BE6461" w:rsidRPr="00BE6461" w:rsidRDefault="00BE6461" w:rsidP="00BE6461">
            <w:pPr>
              <w:rPr>
                <w:sz w:val="20"/>
                <w:szCs w:val="20"/>
              </w:rPr>
            </w:pPr>
          </w:p>
        </w:tc>
      </w:tr>
      <w:tr w:rsidR="00BE6461" w:rsidRPr="00BE6461" w14:paraId="796F23F0" w14:textId="77777777" w:rsidTr="00BE6461">
        <w:trPr>
          <w:trHeight w:val="300"/>
        </w:trPr>
        <w:tc>
          <w:tcPr>
            <w:tcW w:w="10160" w:type="dxa"/>
            <w:gridSpan w:val="2"/>
            <w:vMerge w:val="restart"/>
            <w:tcBorders>
              <w:top w:val="single" w:sz="4" w:space="0" w:color="auto"/>
              <w:left w:val="nil"/>
              <w:bottom w:val="single" w:sz="4" w:space="0" w:color="000000"/>
              <w:right w:val="nil"/>
            </w:tcBorders>
            <w:shd w:val="clear" w:color="auto" w:fill="auto"/>
            <w:vAlign w:val="bottom"/>
            <w:hideMark/>
          </w:tcPr>
          <w:p w14:paraId="6F9DF4C5" w14:textId="77777777" w:rsidR="00BE6461" w:rsidRPr="00BE6461" w:rsidRDefault="00BE6461" w:rsidP="00BE6461">
            <w:pPr>
              <w:rPr>
                <w:b/>
                <w:bCs/>
                <w:sz w:val="20"/>
                <w:szCs w:val="20"/>
              </w:rPr>
            </w:pPr>
            <w:r w:rsidRPr="00BE6461">
              <w:rPr>
                <w:b/>
                <w:bCs/>
                <w:sz w:val="20"/>
                <w:szCs w:val="20"/>
              </w:rPr>
              <w:t xml:space="preserve">BROJČANA OZNAKA I NAZIV RAZDJELA / GLAVE / IZVORA FINANCIRANJA / PROGRAMA / AKTIVNOSTI I PROJEKTA / RAČUNA EKONOMSKE KLASIFIKACIJE </w:t>
            </w:r>
          </w:p>
        </w:tc>
        <w:tc>
          <w:tcPr>
            <w:tcW w:w="1503" w:type="dxa"/>
            <w:tcBorders>
              <w:top w:val="single" w:sz="4" w:space="0" w:color="auto"/>
              <w:left w:val="nil"/>
              <w:bottom w:val="nil"/>
              <w:right w:val="nil"/>
            </w:tcBorders>
            <w:shd w:val="clear" w:color="auto" w:fill="auto"/>
            <w:noWrap/>
            <w:vAlign w:val="bottom"/>
            <w:hideMark/>
          </w:tcPr>
          <w:p w14:paraId="19C41431" w14:textId="77777777" w:rsidR="00BE6461" w:rsidRPr="00BE6461" w:rsidRDefault="00BE6461" w:rsidP="00BE6461">
            <w:pPr>
              <w:jc w:val="center"/>
              <w:rPr>
                <w:b/>
                <w:bCs/>
                <w:sz w:val="20"/>
                <w:szCs w:val="20"/>
              </w:rPr>
            </w:pPr>
            <w:r w:rsidRPr="00BE6461">
              <w:rPr>
                <w:b/>
                <w:bCs/>
                <w:sz w:val="20"/>
                <w:szCs w:val="20"/>
              </w:rPr>
              <w:t>IZVORNI PLAN</w:t>
            </w:r>
          </w:p>
        </w:tc>
        <w:tc>
          <w:tcPr>
            <w:tcW w:w="1500" w:type="dxa"/>
            <w:tcBorders>
              <w:top w:val="single" w:sz="4" w:space="0" w:color="auto"/>
              <w:left w:val="nil"/>
              <w:bottom w:val="nil"/>
              <w:right w:val="nil"/>
            </w:tcBorders>
            <w:shd w:val="clear" w:color="auto" w:fill="auto"/>
            <w:noWrap/>
            <w:vAlign w:val="bottom"/>
            <w:hideMark/>
          </w:tcPr>
          <w:p w14:paraId="12476190" w14:textId="77777777" w:rsidR="00BE6461" w:rsidRPr="00BE6461" w:rsidRDefault="00BE6461" w:rsidP="00BE6461">
            <w:pPr>
              <w:jc w:val="center"/>
              <w:rPr>
                <w:b/>
                <w:bCs/>
                <w:sz w:val="20"/>
                <w:szCs w:val="20"/>
              </w:rPr>
            </w:pPr>
            <w:r w:rsidRPr="00BE6461">
              <w:rPr>
                <w:b/>
                <w:bCs/>
                <w:sz w:val="20"/>
                <w:szCs w:val="20"/>
              </w:rPr>
              <w:t xml:space="preserve">IZVRŠENJE </w:t>
            </w:r>
          </w:p>
        </w:tc>
        <w:tc>
          <w:tcPr>
            <w:tcW w:w="1100" w:type="dxa"/>
            <w:tcBorders>
              <w:top w:val="single" w:sz="4" w:space="0" w:color="auto"/>
              <w:left w:val="nil"/>
              <w:bottom w:val="nil"/>
              <w:right w:val="nil"/>
            </w:tcBorders>
            <w:shd w:val="clear" w:color="auto" w:fill="auto"/>
            <w:noWrap/>
            <w:vAlign w:val="bottom"/>
            <w:hideMark/>
          </w:tcPr>
          <w:p w14:paraId="577688E8" w14:textId="77777777" w:rsidR="00BE6461" w:rsidRPr="00BE6461" w:rsidRDefault="00BE6461" w:rsidP="00BE6461">
            <w:pPr>
              <w:jc w:val="center"/>
              <w:rPr>
                <w:b/>
                <w:bCs/>
                <w:sz w:val="20"/>
                <w:szCs w:val="20"/>
              </w:rPr>
            </w:pPr>
            <w:r w:rsidRPr="00BE6461">
              <w:rPr>
                <w:b/>
                <w:bCs/>
                <w:sz w:val="20"/>
                <w:szCs w:val="20"/>
              </w:rPr>
              <w:t>INDEKS</w:t>
            </w:r>
          </w:p>
        </w:tc>
      </w:tr>
      <w:tr w:rsidR="00BE6461" w:rsidRPr="00BE6461" w14:paraId="68B16877" w14:textId="77777777" w:rsidTr="00BE6461">
        <w:trPr>
          <w:trHeight w:val="255"/>
        </w:trPr>
        <w:tc>
          <w:tcPr>
            <w:tcW w:w="10160" w:type="dxa"/>
            <w:gridSpan w:val="2"/>
            <w:vMerge/>
            <w:tcBorders>
              <w:top w:val="single" w:sz="4" w:space="0" w:color="auto"/>
              <w:left w:val="nil"/>
              <w:bottom w:val="single" w:sz="4" w:space="0" w:color="000000"/>
              <w:right w:val="nil"/>
            </w:tcBorders>
            <w:vAlign w:val="center"/>
            <w:hideMark/>
          </w:tcPr>
          <w:p w14:paraId="37C2B176" w14:textId="77777777" w:rsidR="00BE6461" w:rsidRPr="00BE6461" w:rsidRDefault="00BE6461" w:rsidP="00BE6461">
            <w:pPr>
              <w:rPr>
                <w:b/>
                <w:bCs/>
                <w:sz w:val="20"/>
                <w:szCs w:val="20"/>
              </w:rPr>
            </w:pPr>
          </w:p>
        </w:tc>
        <w:tc>
          <w:tcPr>
            <w:tcW w:w="1503" w:type="dxa"/>
            <w:tcBorders>
              <w:top w:val="nil"/>
              <w:left w:val="nil"/>
              <w:bottom w:val="single" w:sz="4" w:space="0" w:color="auto"/>
              <w:right w:val="nil"/>
            </w:tcBorders>
            <w:shd w:val="clear" w:color="auto" w:fill="auto"/>
            <w:noWrap/>
            <w:vAlign w:val="bottom"/>
            <w:hideMark/>
          </w:tcPr>
          <w:p w14:paraId="431EDEB3" w14:textId="77777777" w:rsidR="00BE6461" w:rsidRPr="00BE6461" w:rsidRDefault="00BE6461" w:rsidP="00BE6461">
            <w:pPr>
              <w:jc w:val="center"/>
              <w:rPr>
                <w:b/>
                <w:bCs/>
                <w:sz w:val="20"/>
                <w:szCs w:val="20"/>
              </w:rPr>
            </w:pPr>
            <w:r w:rsidRPr="00BE6461">
              <w:rPr>
                <w:b/>
                <w:bCs/>
                <w:sz w:val="20"/>
                <w:szCs w:val="20"/>
              </w:rPr>
              <w:t>2022.</w:t>
            </w:r>
          </w:p>
        </w:tc>
        <w:tc>
          <w:tcPr>
            <w:tcW w:w="1500" w:type="dxa"/>
            <w:tcBorders>
              <w:top w:val="nil"/>
              <w:left w:val="nil"/>
              <w:bottom w:val="single" w:sz="4" w:space="0" w:color="auto"/>
              <w:right w:val="nil"/>
            </w:tcBorders>
            <w:shd w:val="clear" w:color="auto" w:fill="auto"/>
            <w:noWrap/>
            <w:vAlign w:val="bottom"/>
            <w:hideMark/>
          </w:tcPr>
          <w:p w14:paraId="125242E9" w14:textId="77777777" w:rsidR="00BE6461" w:rsidRPr="00BE6461" w:rsidRDefault="00BE6461" w:rsidP="00BE6461">
            <w:pPr>
              <w:jc w:val="center"/>
              <w:rPr>
                <w:b/>
                <w:bCs/>
                <w:sz w:val="20"/>
                <w:szCs w:val="20"/>
              </w:rPr>
            </w:pPr>
            <w:r w:rsidRPr="00BE6461">
              <w:rPr>
                <w:b/>
                <w:bCs/>
                <w:sz w:val="20"/>
                <w:szCs w:val="20"/>
              </w:rPr>
              <w:t>2022.</w:t>
            </w:r>
          </w:p>
        </w:tc>
        <w:tc>
          <w:tcPr>
            <w:tcW w:w="1100" w:type="dxa"/>
            <w:tcBorders>
              <w:top w:val="nil"/>
              <w:left w:val="nil"/>
              <w:bottom w:val="single" w:sz="4" w:space="0" w:color="auto"/>
              <w:right w:val="nil"/>
            </w:tcBorders>
            <w:shd w:val="clear" w:color="auto" w:fill="auto"/>
            <w:noWrap/>
            <w:vAlign w:val="bottom"/>
            <w:hideMark/>
          </w:tcPr>
          <w:p w14:paraId="78DD9BDD" w14:textId="77777777" w:rsidR="00BE6461" w:rsidRPr="00BE6461" w:rsidRDefault="00BE6461" w:rsidP="00BE6461">
            <w:pPr>
              <w:jc w:val="center"/>
              <w:rPr>
                <w:b/>
                <w:bCs/>
                <w:sz w:val="20"/>
                <w:szCs w:val="20"/>
              </w:rPr>
            </w:pPr>
            <w:r w:rsidRPr="00BE6461">
              <w:rPr>
                <w:b/>
                <w:bCs/>
                <w:sz w:val="20"/>
                <w:szCs w:val="20"/>
              </w:rPr>
              <w:t>3/2*100</w:t>
            </w:r>
          </w:p>
        </w:tc>
      </w:tr>
      <w:tr w:rsidR="00BE6461" w:rsidRPr="00BE6461" w14:paraId="27C56EC7" w14:textId="77777777" w:rsidTr="00BE6461">
        <w:trPr>
          <w:trHeight w:val="300"/>
        </w:trPr>
        <w:tc>
          <w:tcPr>
            <w:tcW w:w="10160" w:type="dxa"/>
            <w:gridSpan w:val="2"/>
            <w:tcBorders>
              <w:top w:val="single" w:sz="4" w:space="0" w:color="auto"/>
              <w:left w:val="nil"/>
              <w:bottom w:val="single" w:sz="4" w:space="0" w:color="auto"/>
              <w:right w:val="nil"/>
            </w:tcBorders>
            <w:shd w:val="clear" w:color="auto" w:fill="auto"/>
            <w:noWrap/>
            <w:vAlign w:val="bottom"/>
            <w:hideMark/>
          </w:tcPr>
          <w:p w14:paraId="79018EBE" w14:textId="77777777" w:rsidR="00BE6461" w:rsidRPr="00BE6461" w:rsidRDefault="00BE6461" w:rsidP="00BE6461">
            <w:pPr>
              <w:jc w:val="center"/>
              <w:rPr>
                <w:b/>
                <w:bCs/>
                <w:sz w:val="20"/>
                <w:szCs w:val="20"/>
              </w:rPr>
            </w:pPr>
            <w:r w:rsidRPr="00BE6461">
              <w:rPr>
                <w:b/>
                <w:bCs/>
                <w:sz w:val="20"/>
                <w:szCs w:val="20"/>
              </w:rPr>
              <w:t>1</w:t>
            </w:r>
          </w:p>
        </w:tc>
        <w:tc>
          <w:tcPr>
            <w:tcW w:w="1503" w:type="dxa"/>
            <w:tcBorders>
              <w:top w:val="nil"/>
              <w:left w:val="nil"/>
              <w:bottom w:val="single" w:sz="4" w:space="0" w:color="auto"/>
              <w:right w:val="nil"/>
            </w:tcBorders>
            <w:shd w:val="clear" w:color="auto" w:fill="auto"/>
            <w:noWrap/>
            <w:vAlign w:val="bottom"/>
            <w:hideMark/>
          </w:tcPr>
          <w:p w14:paraId="4BCE1658" w14:textId="77777777" w:rsidR="00BE6461" w:rsidRPr="00BE6461" w:rsidRDefault="00BE6461" w:rsidP="00BE6461">
            <w:pPr>
              <w:jc w:val="center"/>
              <w:rPr>
                <w:b/>
                <w:bCs/>
                <w:sz w:val="20"/>
                <w:szCs w:val="20"/>
              </w:rPr>
            </w:pPr>
            <w:r w:rsidRPr="00BE6461">
              <w:rPr>
                <w:b/>
                <w:bCs/>
                <w:sz w:val="20"/>
                <w:szCs w:val="20"/>
              </w:rPr>
              <w:t>2</w:t>
            </w:r>
          </w:p>
        </w:tc>
        <w:tc>
          <w:tcPr>
            <w:tcW w:w="1500" w:type="dxa"/>
            <w:tcBorders>
              <w:top w:val="nil"/>
              <w:left w:val="nil"/>
              <w:bottom w:val="single" w:sz="4" w:space="0" w:color="auto"/>
              <w:right w:val="nil"/>
            </w:tcBorders>
            <w:shd w:val="clear" w:color="auto" w:fill="auto"/>
            <w:noWrap/>
            <w:vAlign w:val="bottom"/>
            <w:hideMark/>
          </w:tcPr>
          <w:p w14:paraId="3C3C099B" w14:textId="77777777" w:rsidR="00BE6461" w:rsidRPr="00BE6461" w:rsidRDefault="00BE6461" w:rsidP="00BE6461">
            <w:pPr>
              <w:jc w:val="center"/>
              <w:rPr>
                <w:b/>
                <w:bCs/>
                <w:sz w:val="20"/>
                <w:szCs w:val="20"/>
              </w:rPr>
            </w:pPr>
            <w:r w:rsidRPr="00BE6461">
              <w:rPr>
                <w:b/>
                <w:bCs/>
                <w:sz w:val="20"/>
                <w:szCs w:val="20"/>
              </w:rPr>
              <w:t>3</w:t>
            </w:r>
          </w:p>
        </w:tc>
        <w:tc>
          <w:tcPr>
            <w:tcW w:w="1100" w:type="dxa"/>
            <w:tcBorders>
              <w:top w:val="nil"/>
              <w:left w:val="nil"/>
              <w:bottom w:val="single" w:sz="4" w:space="0" w:color="auto"/>
              <w:right w:val="nil"/>
            </w:tcBorders>
            <w:shd w:val="clear" w:color="auto" w:fill="auto"/>
            <w:noWrap/>
            <w:vAlign w:val="bottom"/>
            <w:hideMark/>
          </w:tcPr>
          <w:p w14:paraId="66495EC4" w14:textId="77777777" w:rsidR="00BE6461" w:rsidRPr="00BE6461" w:rsidRDefault="00BE6461" w:rsidP="00BE6461">
            <w:pPr>
              <w:jc w:val="center"/>
              <w:rPr>
                <w:b/>
                <w:bCs/>
                <w:sz w:val="20"/>
                <w:szCs w:val="20"/>
              </w:rPr>
            </w:pPr>
            <w:r w:rsidRPr="00BE6461">
              <w:rPr>
                <w:b/>
                <w:bCs/>
                <w:sz w:val="20"/>
                <w:szCs w:val="20"/>
              </w:rPr>
              <w:t>4</w:t>
            </w:r>
          </w:p>
        </w:tc>
      </w:tr>
      <w:tr w:rsidR="00BE6461" w:rsidRPr="00BE6461" w14:paraId="693DE88A" w14:textId="77777777" w:rsidTr="00BE6461">
        <w:trPr>
          <w:trHeight w:val="600"/>
        </w:trPr>
        <w:tc>
          <w:tcPr>
            <w:tcW w:w="10160" w:type="dxa"/>
            <w:gridSpan w:val="2"/>
            <w:tcBorders>
              <w:top w:val="single" w:sz="4" w:space="0" w:color="auto"/>
              <w:left w:val="nil"/>
              <w:bottom w:val="single" w:sz="4" w:space="0" w:color="auto"/>
              <w:right w:val="nil"/>
            </w:tcBorders>
            <w:shd w:val="clear" w:color="auto" w:fill="auto"/>
            <w:noWrap/>
            <w:vAlign w:val="bottom"/>
            <w:hideMark/>
          </w:tcPr>
          <w:p w14:paraId="5C379F82" w14:textId="77777777" w:rsidR="00BE6461" w:rsidRPr="00BE6461" w:rsidRDefault="00BE6461" w:rsidP="00BE6461">
            <w:pPr>
              <w:rPr>
                <w:b/>
                <w:bCs/>
                <w:sz w:val="20"/>
                <w:szCs w:val="20"/>
              </w:rPr>
            </w:pPr>
            <w:r w:rsidRPr="00BE6461">
              <w:rPr>
                <w:b/>
                <w:bCs/>
                <w:sz w:val="20"/>
                <w:szCs w:val="20"/>
              </w:rPr>
              <w:t>RAZDJEL 001 UPRAVNI ODJEL ZA OPĆE POSLOVE</w:t>
            </w:r>
          </w:p>
        </w:tc>
        <w:tc>
          <w:tcPr>
            <w:tcW w:w="1503" w:type="dxa"/>
            <w:tcBorders>
              <w:top w:val="nil"/>
              <w:left w:val="nil"/>
              <w:bottom w:val="single" w:sz="4" w:space="0" w:color="auto"/>
              <w:right w:val="nil"/>
            </w:tcBorders>
            <w:shd w:val="clear" w:color="auto" w:fill="auto"/>
            <w:noWrap/>
            <w:vAlign w:val="bottom"/>
            <w:hideMark/>
          </w:tcPr>
          <w:p w14:paraId="5CEF288C" w14:textId="77777777" w:rsidR="00BE6461" w:rsidRPr="00BE6461" w:rsidRDefault="00BE6461" w:rsidP="00BE6461">
            <w:pPr>
              <w:jc w:val="right"/>
              <w:rPr>
                <w:b/>
                <w:bCs/>
                <w:sz w:val="20"/>
                <w:szCs w:val="20"/>
              </w:rPr>
            </w:pPr>
            <w:r w:rsidRPr="00BE6461">
              <w:rPr>
                <w:b/>
                <w:bCs/>
                <w:sz w:val="20"/>
                <w:szCs w:val="20"/>
              </w:rPr>
              <w:t>19.147.450,19</w:t>
            </w:r>
          </w:p>
        </w:tc>
        <w:tc>
          <w:tcPr>
            <w:tcW w:w="1500" w:type="dxa"/>
            <w:tcBorders>
              <w:top w:val="nil"/>
              <w:left w:val="nil"/>
              <w:bottom w:val="single" w:sz="4" w:space="0" w:color="auto"/>
              <w:right w:val="nil"/>
            </w:tcBorders>
            <w:shd w:val="clear" w:color="auto" w:fill="auto"/>
            <w:noWrap/>
            <w:vAlign w:val="bottom"/>
            <w:hideMark/>
          </w:tcPr>
          <w:p w14:paraId="5DF37965" w14:textId="77777777" w:rsidR="00BE6461" w:rsidRPr="00BE6461" w:rsidRDefault="00BE6461" w:rsidP="00BE6461">
            <w:pPr>
              <w:jc w:val="right"/>
              <w:rPr>
                <w:b/>
                <w:bCs/>
                <w:sz w:val="20"/>
                <w:szCs w:val="20"/>
              </w:rPr>
            </w:pPr>
            <w:r w:rsidRPr="00BE6461">
              <w:rPr>
                <w:b/>
                <w:bCs/>
                <w:sz w:val="20"/>
                <w:szCs w:val="20"/>
              </w:rPr>
              <w:t>17.648.087,79</w:t>
            </w:r>
          </w:p>
        </w:tc>
        <w:tc>
          <w:tcPr>
            <w:tcW w:w="1100" w:type="dxa"/>
            <w:tcBorders>
              <w:top w:val="nil"/>
              <w:left w:val="nil"/>
              <w:bottom w:val="single" w:sz="4" w:space="0" w:color="auto"/>
              <w:right w:val="nil"/>
            </w:tcBorders>
            <w:shd w:val="clear" w:color="auto" w:fill="auto"/>
            <w:noWrap/>
            <w:vAlign w:val="bottom"/>
            <w:hideMark/>
          </w:tcPr>
          <w:p w14:paraId="6084FF2A" w14:textId="77777777" w:rsidR="00BE6461" w:rsidRPr="00BE6461" w:rsidRDefault="00BE6461" w:rsidP="00BE6461">
            <w:pPr>
              <w:jc w:val="right"/>
              <w:rPr>
                <w:b/>
                <w:bCs/>
                <w:sz w:val="20"/>
                <w:szCs w:val="20"/>
              </w:rPr>
            </w:pPr>
            <w:r w:rsidRPr="00BE6461">
              <w:rPr>
                <w:b/>
                <w:bCs/>
                <w:sz w:val="20"/>
                <w:szCs w:val="20"/>
              </w:rPr>
              <w:t>92,17</w:t>
            </w:r>
          </w:p>
        </w:tc>
      </w:tr>
      <w:tr w:rsidR="00BE6461" w:rsidRPr="00BE6461" w14:paraId="7975BAA3" w14:textId="77777777" w:rsidTr="00BE6461">
        <w:trPr>
          <w:trHeight w:val="495"/>
        </w:trPr>
        <w:tc>
          <w:tcPr>
            <w:tcW w:w="10160" w:type="dxa"/>
            <w:gridSpan w:val="2"/>
            <w:tcBorders>
              <w:top w:val="single" w:sz="4" w:space="0" w:color="auto"/>
              <w:left w:val="nil"/>
              <w:bottom w:val="single" w:sz="4" w:space="0" w:color="auto"/>
              <w:right w:val="nil"/>
            </w:tcBorders>
            <w:shd w:val="clear" w:color="auto" w:fill="auto"/>
            <w:noWrap/>
            <w:vAlign w:val="bottom"/>
            <w:hideMark/>
          </w:tcPr>
          <w:p w14:paraId="070EE0C2" w14:textId="77777777" w:rsidR="00BE6461" w:rsidRPr="00BE6461" w:rsidRDefault="00BE6461" w:rsidP="00BE6461">
            <w:pPr>
              <w:rPr>
                <w:b/>
                <w:bCs/>
                <w:sz w:val="20"/>
                <w:szCs w:val="20"/>
              </w:rPr>
            </w:pPr>
            <w:r w:rsidRPr="00BE6461">
              <w:rPr>
                <w:b/>
                <w:bCs/>
                <w:sz w:val="20"/>
                <w:szCs w:val="20"/>
              </w:rPr>
              <w:t>GLAVA 00101 PREDSTAVNIČKO, IZVRŠNA I RADNA TIJELA GRADA</w:t>
            </w:r>
          </w:p>
        </w:tc>
        <w:tc>
          <w:tcPr>
            <w:tcW w:w="1503" w:type="dxa"/>
            <w:tcBorders>
              <w:top w:val="nil"/>
              <w:left w:val="nil"/>
              <w:bottom w:val="single" w:sz="4" w:space="0" w:color="auto"/>
              <w:right w:val="nil"/>
            </w:tcBorders>
            <w:shd w:val="clear" w:color="auto" w:fill="auto"/>
            <w:noWrap/>
            <w:vAlign w:val="bottom"/>
            <w:hideMark/>
          </w:tcPr>
          <w:p w14:paraId="60D13828" w14:textId="77777777" w:rsidR="00BE6461" w:rsidRPr="00BE6461" w:rsidRDefault="00BE6461" w:rsidP="00BE6461">
            <w:pPr>
              <w:jc w:val="right"/>
              <w:rPr>
                <w:b/>
                <w:bCs/>
                <w:sz w:val="20"/>
                <w:szCs w:val="20"/>
              </w:rPr>
            </w:pPr>
            <w:r w:rsidRPr="00BE6461">
              <w:rPr>
                <w:b/>
                <w:bCs/>
                <w:sz w:val="20"/>
                <w:szCs w:val="20"/>
              </w:rPr>
              <w:t>1.182.397,62</w:t>
            </w:r>
          </w:p>
        </w:tc>
        <w:tc>
          <w:tcPr>
            <w:tcW w:w="1500" w:type="dxa"/>
            <w:tcBorders>
              <w:top w:val="nil"/>
              <w:left w:val="nil"/>
              <w:bottom w:val="single" w:sz="4" w:space="0" w:color="auto"/>
              <w:right w:val="nil"/>
            </w:tcBorders>
            <w:shd w:val="clear" w:color="auto" w:fill="auto"/>
            <w:noWrap/>
            <w:vAlign w:val="bottom"/>
            <w:hideMark/>
          </w:tcPr>
          <w:p w14:paraId="556453E3" w14:textId="77777777" w:rsidR="00BE6461" w:rsidRPr="00BE6461" w:rsidRDefault="00BE6461" w:rsidP="00BE6461">
            <w:pPr>
              <w:jc w:val="right"/>
              <w:rPr>
                <w:b/>
                <w:bCs/>
                <w:sz w:val="20"/>
                <w:szCs w:val="20"/>
              </w:rPr>
            </w:pPr>
            <w:r w:rsidRPr="00BE6461">
              <w:rPr>
                <w:b/>
                <w:bCs/>
                <w:sz w:val="20"/>
                <w:szCs w:val="20"/>
              </w:rPr>
              <w:t>1.012.011,07</w:t>
            </w:r>
          </w:p>
        </w:tc>
        <w:tc>
          <w:tcPr>
            <w:tcW w:w="1100" w:type="dxa"/>
            <w:tcBorders>
              <w:top w:val="nil"/>
              <w:left w:val="nil"/>
              <w:bottom w:val="single" w:sz="4" w:space="0" w:color="auto"/>
              <w:right w:val="nil"/>
            </w:tcBorders>
            <w:shd w:val="clear" w:color="auto" w:fill="auto"/>
            <w:noWrap/>
            <w:vAlign w:val="bottom"/>
            <w:hideMark/>
          </w:tcPr>
          <w:p w14:paraId="04F300E3" w14:textId="77777777" w:rsidR="00BE6461" w:rsidRPr="00BE6461" w:rsidRDefault="00BE6461" w:rsidP="00BE6461">
            <w:pPr>
              <w:jc w:val="right"/>
              <w:rPr>
                <w:b/>
                <w:bCs/>
                <w:sz w:val="20"/>
                <w:szCs w:val="20"/>
              </w:rPr>
            </w:pPr>
            <w:r w:rsidRPr="00BE6461">
              <w:rPr>
                <w:b/>
                <w:bCs/>
                <w:sz w:val="20"/>
                <w:szCs w:val="20"/>
              </w:rPr>
              <w:t>85,59</w:t>
            </w:r>
          </w:p>
        </w:tc>
      </w:tr>
      <w:tr w:rsidR="00BE6461" w:rsidRPr="00BE6461" w14:paraId="2E344428"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485E591"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0FC4CA50" w14:textId="77777777" w:rsidR="00BE6461" w:rsidRPr="00BE6461" w:rsidRDefault="00BE6461" w:rsidP="00BE6461">
            <w:pPr>
              <w:jc w:val="right"/>
              <w:rPr>
                <w:b/>
                <w:bCs/>
                <w:color w:val="333333"/>
                <w:sz w:val="20"/>
                <w:szCs w:val="20"/>
              </w:rPr>
            </w:pPr>
            <w:r w:rsidRPr="00BE6461">
              <w:rPr>
                <w:b/>
                <w:bCs/>
                <w:color w:val="333333"/>
                <w:sz w:val="20"/>
                <w:szCs w:val="20"/>
              </w:rPr>
              <w:t>1.182.397,62</w:t>
            </w:r>
          </w:p>
        </w:tc>
        <w:tc>
          <w:tcPr>
            <w:tcW w:w="1500" w:type="dxa"/>
            <w:tcBorders>
              <w:top w:val="nil"/>
              <w:left w:val="nil"/>
              <w:bottom w:val="nil"/>
              <w:right w:val="nil"/>
            </w:tcBorders>
            <w:shd w:val="clear" w:color="auto" w:fill="auto"/>
            <w:noWrap/>
            <w:vAlign w:val="bottom"/>
            <w:hideMark/>
          </w:tcPr>
          <w:p w14:paraId="0B92225A" w14:textId="77777777" w:rsidR="00BE6461" w:rsidRPr="00BE6461" w:rsidRDefault="00BE6461" w:rsidP="00BE6461">
            <w:pPr>
              <w:jc w:val="right"/>
              <w:rPr>
                <w:b/>
                <w:bCs/>
                <w:color w:val="333333"/>
                <w:sz w:val="20"/>
                <w:szCs w:val="20"/>
              </w:rPr>
            </w:pPr>
            <w:r w:rsidRPr="00BE6461">
              <w:rPr>
                <w:b/>
                <w:bCs/>
                <w:color w:val="333333"/>
                <w:sz w:val="20"/>
                <w:szCs w:val="20"/>
              </w:rPr>
              <w:t>1.012.011,07</w:t>
            </w:r>
          </w:p>
        </w:tc>
        <w:tc>
          <w:tcPr>
            <w:tcW w:w="1100" w:type="dxa"/>
            <w:tcBorders>
              <w:top w:val="nil"/>
              <w:left w:val="nil"/>
              <w:bottom w:val="nil"/>
              <w:right w:val="nil"/>
            </w:tcBorders>
            <w:shd w:val="clear" w:color="auto" w:fill="auto"/>
            <w:noWrap/>
            <w:vAlign w:val="bottom"/>
            <w:hideMark/>
          </w:tcPr>
          <w:p w14:paraId="003C8E85" w14:textId="77777777" w:rsidR="00BE6461" w:rsidRPr="00BE6461" w:rsidRDefault="00BE6461" w:rsidP="00BE6461">
            <w:pPr>
              <w:jc w:val="right"/>
              <w:rPr>
                <w:b/>
                <w:bCs/>
                <w:color w:val="333333"/>
                <w:sz w:val="20"/>
                <w:szCs w:val="20"/>
              </w:rPr>
            </w:pPr>
            <w:r w:rsidRPr="00BE6461">
              <w:rPr>
                <w:b/>
                <w:bCs/>
                <w:color w:val="333333"/>
                <w:sz w:val="20"/>
                <w:szCs w:val="20"/>
              </w:rPr>
              <w:t>85,59</w:t>
            </w:r>
          </w:p>
        </w:tc>
      </w:tr>
      <w:tr w:rsidR="00BE6461" w:rsidRPr="00BE6461" w14:paraId="16CBF66F"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6278315"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54DC889B" w14:textId="77777777" w:rsidR="00BE6461" w:rsidRPr="00BE6461" w:rsidRDefault="00BE6461" w:rsidP="00BE6461">
            <w:pPr>
              <w:jc w:val="right"/>
              <w:rPr>
                <w:b/>
                <w:bCs/>
                <w:color w:val="333333"/>
                <w:sz w:val="20"/>
                <w:szCs w:val="20"/>
              </w:rPr>
            </w:pPr>
            <w:r w:rsidRPr="00BE6461">
              <w:rPr>
                <w:b/>
                <w:bCs/>
                <w:color w:val="333333"/>
                <w:sz w:val="20"/>
                <w:szCs w:val="20"/>
              </w:rPr>
              <w:t>1.182.397,62</w:t>
            </w:r>
          </w:p>
        </w:tc>
        <w:tc>
          <w:tcPr>
            <w:tcW w:w="1500" w:type="dxa"/>
            <w:tcBorders>
              <w:top w:val="nil"/>
              <w:left w:val="nil"/>
              <w:bottom w:val="nil"/>
              <w:right w:val="nil"/>
            </w:tcBorders>
            <w:shd w:val="clear" w:color="auto" w:fill="auto"/>
            <w:noWrap/>
            <w:vAlign w:val="bottom"/>
            <w:hideMark/>
          </w:tcPr>
          <w:p w14:paraId="2B718331" w14:textId="77777777" w:rsidR="00BE6461" w:rsidRPr="00BE6461" w:rsidRDefault="00BE6461" w:rsidP="00BE6461">
            <w:pPr>
              <w:jc w:val="right"/>
              <w:rPr>
                <w:b/>
                <w:bCs/>
                <w:color w:val="333333"/>
                <w:sz w:val="20"/>
                <w:szCs w:val="20"/>
              </w:rPr>
            </w:pPr>
            <w:r w:rsidRPr="00BE6461">
              <w:rPr>
                <w:b/>
                <w:bCs/>
                <w:color w:val="333333"/>
                <w:sz w:val="20"/>
                <w:szCs w:val="20"/>
              </w:rPr>
              <w:t>1.012.011,07</w:t>
            </w:r>
          </w:p>
        </w:tc>
        <w:tc>
          <w:tcPr>
            <w:tcW w:w="1100" w:type="dxa"/>
            <w:tcBorders>
              <w:top w:val="nil"/>
              <w:left w:val="nil"/>
              <w:bottom w:val="nil"/>
              <w:right w:val="nil"/>
            </w:tcBorders>
            <w:shd w:val="clear" w:color="auto" w:fill="auto"/>
            <w:noWrap/>
            <w:vAlign w:val="bottom"/>
            <w:hideMark/>
          </w:tcPr>
          <w:p w14:paraId="3CC2C352" w14:textId="77777777" w:rsidR="00BE6461" w:rsidRPr="00BE6461" w:rsidRDefault="00BE6461" w:rsidP="00BE6461">
            <w:pPr>
              <w:jc w:val="right"/>
              <w:rPr>
                <w:b/>
                <w:bCs/>
                <w:color w:val="333333"/>
                <w:sz w:val="20"/>
                <w:szCs w:val="20"/>
              </w:rPr>
            </w:pPr>
            <w:r w:rsidRPr="00BE6461">
              <w:rPr>
                <w:b/>
                <w:bCs/>
                <w:color w:val="333333"/>
                <w:sz w:val="20"/>
                <w:szCs w:val="20"/>
              </w:rPr>
              <w:t>85,59</w:t>
            </w:r>
          </w:p>
        </w:tc>
      </w:tr>
      <w:tr w:rsidR="00BE6461" w:rsidRPr="00BE6461" w14:paraId="367C4952" w14:textId="77777777" w:rsidTr="00BE6461">
        <w:trPr>
          <w:trHeight w:val="390"/>
        </w:trPr>
        <w:tc>
          <w:tcPr>
            <w:tcW w:w="1703" w:type="dxa"/>
            <w:tcBorders>
              <w:top w:val="single" w:sz="4" w:space="0" w:color="auto"/>
              <w:left w:val="nil"/>
              <w:bottom w:val="nil"/>
              <w:right w:val="nil"/>
            </w:tcBorders>
            <w:shd w:val="clear" w:color="auto" w:fill="auto"/>
            <w:noWrap/>
            <w:vAlign w:val="bottom"/>
            <w:hideMark/>
          </w:tcPr>
          <w:p w14:paraId="29B9CB67" w14:textId="77777777" w:rsidR="00BE6461" w:rsidRPr="00BE6461" w:rsidRDefault="00BE6461" w:rsidP="00BE6461">
            <w:pPr>
              <w:rPr>
                <w:b/>
                <w:bCs/>
                <w:sz w:val="20"/>
                <w:szCs w:val="20"/>
              </w:rPr>
            </w:pPr>
            <w:r w:rsidRPr="00BE6461">
              <w:rPr>
                <w:b/>
                <w:bCs/>
                <w:sz w:val="20"/>
                <w:szCs w:val="20"/>
              </w:rPr>
              <w:t>1001</w:t>
            </w:r>
          </w:p>
        </w:tc>
        <w:tc>
          <w:tcPr>
            <w:tcW w:w="8457" w:type="dxa"/>
            <w:tcBorders>
              <w:top w:val="single" w:sz="4" w:space="0" w:color="auto"/>
              <w:left w:val="nil"/>
              <w:bottom w:val="nil"/>
              <w:right w:val="nil"/>
            </w:tcBorders>
            <w:shd w:val="clear" w:color="auto" w:fill="auto"/>
            <w:vAlign w:val="bottom"/>
            <w:hideMark/>
          </w:tcPr>
          <w:p w14:paraId="57BD0868" w14:textId="77777777" w:rsidR="00BE6461" w:rsidRPr="00BE6461" w:rsidRDefault="00BE6461" w:rsidP="00BE6461">
            <w:pPr>
              <w:rPr>
                <w:b/>
                <w:bCs/>
                <w:sz w:val="20"/>
                <w:szCs w:val="20"/>
              </w:rPr>
            </w:pPr>
            <w:r w:rsidRPr="00BE6461">
              <w:rPr>
                <w:b/>
                <w:bCs/>
                <w:sz w:val="20"/>
                <w:szCs w:val="20"/>
              </w:rPr>
              <w:t>Program: REDOVNA DJELATNOST</w:t>
            </w:r>
          </w:p>
        </w:tc>
        <w:tc>
          <w:tcPr>
            <w:tcW w:w="1503" w:type="dxa"/>
            <w:tcBorders>
              <w:top w:val="single" w:sz="4" w:space="0" w:color="auto"/>
              <w:left w:val="nil"/>
              <w:bottom w:val="nil"/>
              <w:right w:val="nil"/>
            </w:tcBorders>
            <w:shd w:val="clear" w:color="auto" w:fill="auto"/>
            <w:noWrap/>
            <w:vAlign w:val="bottom"/>
            <w:hideMark/>
          </w:tcPr>
          <w:p w14:paraId="09F85D65" w14:textId="77777777" w:rsidR="00BE6461" w:rsidRPr="00BE6461" w:rsidRDefault="00BE6461" w:rsidP="00BE6461">
            <w:pPr>
              <w:jc w:val="right"/>
              <w:rPr>
                <w:b/>
                <w:bCs/>
                <w:sz w:val="20"/>
                <w:szCs w:val="20"/>
              </w:rPr>
            </w:pPr>
            <w:r w:rsidRPr="00BE6461">
              <w:rPr>
                <w:b/>
                <w:bCs/>
                <w:sz w:val="20"/>
                <w:szCs w:val="20"/>
              </w:rPr>
              <w:t>1.084.800,00</w:t>
            </w:r>
          </w:p>
        </w:tc>
        <w:tc>
          <w:tcPr>
            <w:tcW w:w="1500" w:type="dxa"/>
            <w:tcBorders>
              <w:top w:val="single" w:sz="4" w:space="0" w:color="auto"/>
              <w:left w:val="nil"/>
              <w:bottom w:val="nil"/>
              <w:right w:val="nil"/>
            </w:tcBorders>
            <w:shd w:val="clear" w:color="auto" w:fill="auto"/>
            <w:noWrap/>
            <w:vAlign w:val="bottom"/>
            <w:hideMark/>
          </w:tcPr>
          <w:p w14:paraId="1823967A" w14:textId="77777777" w:rsidR="00BE6461" w:rsidRPr="00BE6461" w:rsidRDefault="00BE6461" w:rsidP="00BE6461">
            <w:pPr>
              <w:jc w:val="right"/>
              <w:rPr>
                <w:b/>
                <w:bCs/>
                <w:sz w:val="20"/>
                <w:szCs w:val="20"/>
              </w:rPr>
            </w:pPr>
            <w:r w:rsidRPr="00BE6461">
              <w:rPr>
                <w:b/>
                <w:bCs/>
                <w:sz w:val="20"/>
                <w:szCs w:val="20"/>
              </w:rPr>
              <w:t>960.549,48</w:t>
            </w:r>
          </w:p>
        </w:tc>
        <w:tc>
          <w:tcPr>
            <w:tcW w:w="1100" w:type="dxa"/>
            <w:tcBorders>
              <w:top w:val="single" w:sz="4" w:space="0" w:color="auto"/>
              <w:left w:val="nil"/>
              <w:bottom w:val="nil"/>
              <w:right w:val="nil"/>
            </w:tcBorders>
            <w:shd w:val="clear" w:color="auto" w:fill="auto"/>
            <w:noWrap/>
            <w:vAlign w:val="bottom"/>
            <w:hideMark/>
          </w:tcPr>
          <w:p w14:paraId="2850954C" w14:textId="77777777" w:rsidR="00BE6461" w:rsidRPr="00BE6461" w:rsidRDefault="00BE6461" w:rsidP="00BE6461">
            <w:pPr>
              <w:jc w:val="right"/>
              <w:rPr>
                <w:b/>
                <w:bCs/>
                <w:sz w:val="20"/>
                <w:szCs w:val="20"/>
              </w:rPr>
            </w:pPr>
            <w:r w:rsidRPr="00BE6461">
              <w:rPr>
                <w:b/>
                <w:bCs/>
                <w:sz w:val="20"/>
                <w:szCs w:val="20"/>
              </w:rPr>
              <w:t>88,55</w:t>
            </w:r>
          </w:p>
        </w:tc>
      </w:tr>
      <w:tr w:rsidR="00BE6461" w:rsidRPr="00BE6461" w14:paraId="2B9905EC"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591597EB" w14:textId="77777777" w:rsidR="00BE6461" w:rsidRPr="00BE6461" w:rsidRDefault="00BE6461" w:rsidP="00BE6461">
            <w:pPr>
              <w:rPr>
                <w:b/>
                <w:bCs/>
                <w:sz w:val="20"/>
                <w:szCs w:val="20"/>
              </w:rPr>
            </w:pPr>
            <w:r w:rsidRPr="00BE6461">
              <w:rPr>
                <w:b/>
                <w:bCs/>
                <w:sz w:val="20"/>
                <w:szCs w:val="20"/>
              </w:rPr>
              <w:t>A100001</w:t>
            </w:r>
          </w:p>
        </w:tc>
        <w:tc>
          <w:tcPr>
            <w:tcW w:w="8457" w:type="dxa"/>
            <w:tcBorders>
              <w:top w:val="single" w:sz="4" w:space="0" w:color="auto"/>
              <w:left w:val="nil"/>
              <w:bottom w:val="single" w:sz="4" w:space="0" w:color="auto"/>
              <w:right w:val="nil"/>
            </w:tcBorders>
            <w:shd w:val="clear" w:color="auto" w:fill="auto"/>
            <w:vAlign w:val="bottom"/>
            <w:hideMark/>
          </w:tcPr>
          <w:p w14:paraId="2C71F700" w14:textId="77777777" w:rsidR="00BE6461" w:rsidRPr="00BE6461" w:rsidRDefault="00BE6461" w:rsidP="00BE6461">
            <w:pPr>
              <w:rPr>
                <w:b/>
                <w:bCs/>
                <w:sz w:val="20"/>
                <w:szCs w:val="20"/>
              </w:rPr>
            </w:pPr>
            <w:r w:rsidRPr="00BE6461">
              <w:rPr>
                <w:b/>
                <w:bCs/>
                <w:sz w:val="20"/>
                <w:szCs w:val="20"/>
              </w:rPr>
              <w:t>Aktivnost: RASHODI ZA ZAPOSLENE</w:t>
            </w:r>
          </w:p>
        </w:tc>
        <w:tc>
          <w:tcPr>
            <w:tcW w:w="1503" w:type="dxa"/>
            <w:tcBorders>
              <w:top w:val="single" w:sz="4" w:space="0" w:color="auto"/>
              <w:left w:val="nil"/>
              <w:bottom w:val="single" w:sz="4" w:space="0" w:color="auto"/>
              <w:right w:val="nil"/>
            </w:tcBorders>
            <w:shd w:val="clear" w:color="auto" w:fill="auto"/>
            <w:noWrap/>
            <w:vAlign w:val="bottom"/>
            <w:hideMark/>
          </w:tcPr>
          <w:p w14:paraId="2B1D92AB" w14:textId="77777777" w:rsidR="00BE6461" w:rsidRPr="00BE6461" w:rsidRDefault="00BE6461" w:rsidP="00BE6461">
            <w:pPr>
              <w:jc w:val="right"/>
              <w:rPr>
                <w:b/>
                <w:bCs/>
                <w:sz w:val="20"/>
                <w:szCs w:val="20"/>
              </w:rPr>
            </w:pPr>
            <w:r w:rsidRPr="00BE6461">
              <w:rPr>
                <w:b/>
                <w:bCs/>
                <w:sz w:val="20"/>
                <w:szCs w:val="20"/>
              </w:rPr>
              <w:t>280.600,00</w:t>
            </w:r>
          </w:p>
        </w:tc>
        <w:tc>
          <w:tcPr>
            <w:tcW w:w="1500" w:type="dxa"/>
            <w:tcBorders>
              <w:top w:val="single" w:sz="4" w:space="0" w:color="auto"/>
              <w:left w:val="nil"/>
              <w:bottom w:val="single" w:sz="4" w:space="0" w:color="auto"/>
              <w:right w:val="nil"/>
            </w:tcBorders>
            <w:shd w:val="clear" w:color="auto" w:fill="auto"/>
            <w:noWrap/>
            <w:vAlign w:val="bottom"/>
            <w:hideMark/>
          </w:tcPr>
          <w:p w14:paraId="28907188" w14:textId="77777777" w:rsidR="00BE6461" w:rsidRPr="00BE6461" w:rsidRDefault="00BE6461" w:rsidP="00BE6461">
            <w:pPr>
              <w:jc w:val="right"/>
              <w:rPr>
                <w:b/>
                <w:bCs/>
                <w:sz w:val="20"/>
                <w:szCs w:val="20"/>
              </w:rPr>
            </w:pPr>
            <w:r w:rsidRPr="00BE6461">
              <w:rPr>
                <w:b/>
                <w:bCs/>
                <w:sz w:val="20"/>
                <w:szCs w:val="20"/>
              </w:rPr>
              <w:t>275.299,63</w:t>
            </w:r>
          </w:p>
        </w:tc>
        <w:tc>
          <w:tcPr>
            <w:tcW w:w="1100" w:type="dxa"/>
            <w:tcBorders>
              <w:top w:val="single" w:sz="4" w:space="0" w:color="auto"/>
              <w:left w:val="nil"/>
              <w:bottom w:val="single" w:sz="4" w:space="0" w:color="auto"/>
              <w:right w:val="nil"/>
            </w:tcBorders>
            <w:shd w:val="clear" w:color="auto" w:fill="auto"/>
            <w:noWrap/>
            <w:vAlign w:val="bottom"/>
            <w:hideMark/>
          </w:tcPr>
          <w:p w14:paraId="486025DA" w14:textId="77777777" w:rsidR="00BE6461" w:rsidRPr="00BE6461" w:rsidRDefault="00BE6461" w:rsidP="00BE6461">
            <w:pPr>
              <w:jc w:val="right"/>
              <w:rPr>
                <w:b/>
                <w:bCs/>
                <w:sz w:val="20"/>
                <w:szCs w:val="20"/>
              </w:rPr>
            </w:pPr>
            <w:r w:rsidRPr="00BE6461">
              <w:rPr>
                <w:b/>
                <w:bCs/>
                <w:sz w:val="20"/>
                <w:szCs w:val="20"/>
              </w:rPr>
              <w:t>98,11</w:t>
            </w:r>
          </w:p>
        </w:tc>
      </w:tr>
      <w:tr w:rsidR="00BE6461" w:rsidRPr="00BE6461" w14:paraId="0673BF82"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884ED87"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0E990FC4" w14:textId="77777777" w:rsidR="00BE6461" w:rsidRPr="00BE6461" w:rsidRDefault="00BE6461" w:rsidP="00BE6461">
            <w:pPr>
              <w:jc w:val="right"/>
              <w:rPr>
                <w:b/>
                <w:bCs/>
                <w:color w:val="333333"/>
                <w:sz w:val="20"/>
                <w:szCs w:val="20"/>
              </w:rPr>
            </w:pPr>
            <w:r w:rsidRPr="00BE6461">
              <w:rPr>
                <w:b/>
                <w:bCs/>
                <w:color w:val="333333"/>
                <w:sz w:val="20"/>
                <w:szCs w:val="20"/>
              </w:rPr>
              <w:t>280.600,00</w:t>
            </w:r>
          </w:p>
        </w:tc>
        <w:tc>
          <w:tcPr>
            <w:tcW w:w="1500" w:type="dxa"/>
            <w:tcBorders>
              <w:top w:val="nil"/>
              <w:left w:val="nil"/>
              <w:bottom w:val="nil"/>
              <w:right w:val="nil"/>
            </w:tcBorders>
            <w:shd w:val="clear" w:color="auto" w:fill="auto"/>
            <w:noWrap/>
            <w:vAlign w:val="bottom"/>
            <w:hideMark/>
          </w:tcPr>
          <w:p w14:paraId="20FE7CC4" w14:textId="77777777" w:rsidR="00BE6461" w:rsidRPr="00BE6461" w:rsidRDefault="00BE6461" w:rsidP="00BE6461">
            <w:pPr>
              <w:jc w:val="right"/>
              <w:rPr>
                <w:b/>
                <w:bCs/>
                <w:color w:val="333333"/>
                <w:sz w:val="20"/>
                <w:szCs w:val="20"/>
              </w:rPr>
            </w:pPr>
            <w:r w:rsidRPr="00BE6461">
              <w:rPr>
                <w:b/>
                <w:bCs/>
                <w:color w:val="333333"/>
                <w:sz w:val="20"/>
                <w:szCs w:val="20"/>
              </w:rPr>
              <w:t>275.299,63</w:t>
            </w:r>
          </w:p>
        </w:tc>
        <w:tc>
          <w:tcPr>
            <w:tcW w:w="1100" w:type="dxa"/>
            <w:tcBorders>
              <w:top w:val="nil"/>
              <w:left w:val="nil"/>
              <w:bottom w:val="nil"/>
              <w:right w:val="nil"/>
            </w:tcBorders>
            <w:shd w:val="clear" w:color="auto" w:fill="auto"/>
            <w:noWrap/>
            <w:vAlign w:val="bottom"/>
            <w:hideMark/>
          </w:tcPr>
          <w:p w14:paraId="5E052545" w14:textId="77777777" w:rsidR="00BE6461" w:rsidRPr="00BE6461" w:rsidRDefault="00BE6461" w:rsidP="00BE6461">
            <w:pPr>
              <w:jc w:val="right"/>
              <w:rPr>
                <w:b/>
                <w:bCs/>
                <w:color w:val="333333"/>
                <w:sz w:val="20"/>
                <w:szCs w:val="20"/>
              </w:rPr>
            </w:pPr>
            <w:r w:rsidRPr="00BE6461">
              <w:rPr>
                <w:b/>
                <w:bCs/>
                <w:color w:val="333333"/>
                <w:sz w:val="20"/>
                <w:szCs w:val="20"/>
              </w:rPr>
              <w:t>98,11</w:t>
            </w:r>
          </w:p>
        </w:tc>
      </w:tr>
      <w:tr w:rsidR="00BE6461" w:rsidRPr="00BE6461" w14:paraId="6AC874D4"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1867FDF"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3FE456D8" w14:textId="77777777" w:rsidR="00BE6461" w:rsidRPr="00BE6461" w:rsidRDefault="00BE6461" w:rsidP="00BE6461">
            <w:pPr>
              <w:jc w:val="right"/>
              <w:rPr>
                <w:b/>
                <w:bCs/>
                <w:color w:val="333333"/>
                <w:sz w:val="20"/>
                <w:szCs w:val="20"/>
              </w:rPr>
            </w:pPr>
            <w:r w:rsidRPr="00BE6461">
              <w:rPr>
                <w:b/>
                <w:bCs/>
                <w:color w:val="333333"/>
                <w:sz w:val="20"/>
                <w:szCs w:val="20"/>
              </w:rPr>
              <w:t>280.600,00</w:t>
            </w:r>
          </w:p>
        </w:tc>
        <w:tc>
          <w:tcPr>
            <w:tcW w:w="1500" w:type="dxa"/>
            <w:tcBorders>
              <w:top w:val="nil"/>
              <w:left w:val="nil"/>
              <w:bottom w:val="nil"/>
              <w:right w:val="nil"/>
            </w:tcBorders>
            <w:shd w:val="clear" w:color="auto" w:fill="auto"/>
            <w:noWrap/>
            <w:vAlign w:val="bottom"/>
            <w:hideMark/>
          </w:tcPr>
          <w:p w14:paraId="35E4653A" w14:textId="77777777" w:rsidR="00BE6461" w:rsidRPr="00BE6461" w:rsidRDefault="00BE6461" w:rsidP="00BE6461">
            <w:pPr>
              <w:jc w:val="right"/>
              <w:rPr>
                <w:b/>
                <w:bCs/>
                <w:color w:val="333333"/>
                <w:sz w:val="20"/>
                <w:szCs w:val="20"/>
              </w:rPr>
            </w:pPr>
            <w:r w:rsidRPr="00BE6461">
              <w:rPr>
                <w:b/>
                <w:bCs/>
                <w:color w:val="333333"/>
                <w:sz w:val="20"/>
                <w:szCs w:val="20"/>
              </w:rPr>
              <w:t>275.299,63</w:t>
            </w:r>
          </w:p>
        </w:tc>
        <w:tc>
          <w:tcPr>
            <w:tcW w:w="1100" w:type="dxa"/>
            <w:tcBorders>
              <w:top w:val="nil"/>
              <w:left w:val="nil"/>
              <w:bottom w:val="nil"/>
              <w:right w:val="nil"/>
            </w:tcBorders>
            <w:shd w:val="clear" w:color="auto" w:fill="auto"/>
            <w:noWrap/>
            <w:vAlign w:val="bottom"/>
            <w:hideMark/>
          </w:tcPr>
          <w:p w14:paraId="160C23DC" w14:textId="77777777" w:rsidR="00BE6461" w:rsidRPr="00BE6461" w:rsidRDefault="00BE6461" w:rsidP="00BE6461">
            <w:pPr>
              <w:jc w:val="right"/>
              <w:rPr>
                <w:b/>
                <w:bCs/>
                <w:color w:val="333333"/>
                <w:sz w:val="20"/>
                <w:szCs w:val="20"/>
              </w:rPr>
            </w:pPr>
            <w:r w:rsidRPr="00BE6461">
              <w:rPr>
                <w:b/>
                <w:bCs/>
                <w:color w:val="333333"/>
                <w:sz w:val="20"/>
                <w:szCs w:val="20"/>
              </w:rPr>
              <w:t>98,11</w:t>
            </w:r>
          </w:p>
        </w:tc>
      </w:tr>
      <w:tr w:rsidR="00BE6461" w:rsidRPr="00BE6461" w14:paraId="72D2FDFB" w14:textId="77777777" w:rsidTr="00BE6461">
        <w:trPr>
          <w:trHeight w:val="300"/>
        </w:trPr>
        <w:tc>
          <w:tcPr>
            <w:tcW w:w="1703" w:type="dxa"/>
            <w:tcBorders>
              <w:top w:val="nil"/>
              <w:left w:val="nil"/>
              <w:bottom w:val="nil"/>
              <w:right w:val="nil"/>
            </w:tcBorders>
            <w:shd w:val="clear" w:color="auto" w:fill="auto"/>
            <w:noWrap/>
            <w:vAlign w:val="bottom"/>
            <w:hideMark/>
          </w:tcPr>
          <w:p w14:paraId="2736D4EA" w14:textId="77777777" w:rsidR="00BE6461" w:rsidRPr="00BE6461" w:rsidRDefault="00BE6461" w:rsidP="00BE6461">
            <w:pPr>
              <w:rPr>
                <w:b/>
                <w:bCs/>
                <w:sz w:val="20"/>
                <w:szCs w:val="20"/>
              </w:rPr>
            </w:pPr>
            <w:r w:rsidRPr="00BE6461">
              <w:rPr>
                <w:b/>
                <w:bCs/>
                <w:sz w:val="20"/>
                <w:szCs w:val="20"/>
              </w:rPr>
              <w:t>311</w:t>
            </w:r>
          </w:p>
        </w:tc>
        <w:tc>
          <w:tcPr>
            <w:tcW w:w="8457" w:type="dxa"/>
            <w:tcBorders>
              <w:top w:val="nil"/>
              <w:left w:val="nil"/>
              <w:bottom w:val="nil"/>
              <w:right w:val="nil"/>
            </w:tcBorders>
            <w:shd w:val="clear" w:color="auto" w:fill="auto"/>
            <w:vAlign w:val="bottom"/>
            <w:hideMark/>
          </w:tcPr>
          <w:p w14:paraId="7D92DE0F" w14:textId="77777777" w:rsidR="00BE6461" w:rsidRPr="00BE6461" w:rsidRDefault="00BE6461" w:rsidP="00BE6461">
            <w:pPr>
              <w:rPr>
                <w:b/>
                <w:bCs/>
                <w:sz w:val="20"/>
                <w:szCs w:val="20"/>
              </w:rPr>
            </w:pPr>
            <w:r w:rsidRPr="00BE6461">
              <w:rPr>
                <w:b/>
                <w:bCs/>
                <w:sz w:val="20"/>
                <w:szCs w:val="20"/>
              </w:rPr>
              <w:t xml:space="preserve">Plaće (Bruto)                                                                                       </w:t>
            </w:r>
          </w:p>
        </w:tc>
        <w:tc>
          <w:tcPr>
            <w:tcW w:w="1503" w:type="dxa"/>
            <w:tcBorders>
              <w:top w:val="nil"/>
              <w:left w:val="nil"/>
              <w:bottom w:val="nil"/>
              <w:right w:val="nil"/>
            </w:tcBorders>
            <w:shd w:val="clear" w:color="auto" w:fill="auto"/>
            <w:noWrap/>
            <w:vAlign w:val="bottom"/>
            <w:hideMark/>
          </w:tcPr>
          <w:p w14:paraId="065DE97A" w14:textId="77777777" w:rsidR="00BE6461" w:rsidRPr="00BE6461" w:rsidRDefault="00BE6461" w:rsidP="00BE6461">
            <w:pPr>
              <w:jc w:val="right"/>
              <w:rPr>
                <w:b/>
                <w:bCs/>
                <w:sz w:val="20"/>
                <w:szCs w:val="20"/>
              </w:rPr>
            </w:pPr>
            <w:r w:rsidRPr="00BE6461">
              <w:rPr>
                <w:b/>
                <w:bCs/>
                <w:sz w:val="20"/>
                <w:szCs w:val="20"/>
              </w:rPr>
              <w:t>240.000,00</w:t>
            </w:r>
          </w:p>
        </w:tc>
        <w:tc>
          <w:tcPr>
            <w:tcW w:w="1500" w:type="dxa"/>
            <w:tcBorders>
              <w:top w:val="nil"/>
              <w:left w:val="nil"/>
              <w:bottom w:val="nil"/>
              <w:right w:val="nil"/>
            </w:tcBorders>
            <w:shd w:val="clear" w:color="auto" w:fill="auto"/>
            <w:noWrap/>
            <w:vAlign w:val="bottom"/>
            <w:hideMark/>
          </w:tcPr>
          <w:p w14:paraId="5BD2A2E5" w14:textId="77777777" w:rsidR="00BE6461" w:rsidRPr="00BE6461" w:rsidRDefault="00BE6461" w:rsidP="00BE6461">
            <w:pPr>
              <w:jc w:val="right"/>
              <w:rPr>
                <w:b/>
                <w:bCs/>
                <w:sz w:val="20"/>
                <w:szCs w:val="20"/>
              </w:rPr>
            </w:pPr>
            <w:r w:rsidRPr="00BE6461">
              <w:rPr>
                <w:b/>
                <w:bCs/>
                <w:sz w:val="20"/>
                <w:szCs w:val="20"/>
              </w:rPr>
              <w:t>235.668,89</w:t>
            </w:r>
          </w:p>
        </w:tc>
        <w:tc>
          <w:tcPr>
            <w:tcW w:w="1100" w:type="dxa"/>
            <w:tcBorders>
              <w:top w:val="nil"/>
              <w:left w:val="nil"/>
              <w:bottom w:val="nil"/>
              <w:right w:val="nil"/>
            </w:tcBorders>
            <w:shd w:val="clear" w:color="auto" w:fill="auto"/>
            <w:noWrap/>
            <w:vAlign w:val="bottom"/>
            <w:hideMark/>
          </w:tcPr>
          <w:p w14:paraId="3AC00029" w14:textId="77777777" w:rsidR="00BE6461" w:rsidRPr="00BE6461" w:rsidRDefault="00BE6461" w:rsidP="00BE6461">
            <w:pPr>
              <w:jc w:val="right"/>
              <w:rPr>
                <w:b/>
                <w:bCs/>
                <w:sz w:val="20"/>
                <w:szCs w:val="20"/>
              </w:rPr>
            </w:pPr>
            <w:r w:rsidRPr="00BE6461">
              <w:rPr>
                <w:b/>
                <w:bCs/>
                <w:sz w:val="20"/>
                <w:szCs w:val="20"/>
              </w:rPr>
              <w:t>98,20</w:t>
            </w:r>
          </w:p>
        </w:tc>
      </w:tr>
      <w:tr w:rsidR="00BE6461" w:rsidRPr="00BE6461" w14:paraId="2A432710" w14:textId="77777777" w:rsidTr="00BE6461">
        <w:trPr>
          <w:trHeight w:val="300"/>
        </w:trPr>
        <w:tc>
          <w:tcPr>
            <w:tcW w:w="1703" w:type="dxa"/>
            <w:tcBorders>
              <w:top w:val="nil"/>
              <w:left w:val="nil"/>
              <w:bottom w:val="nil"/>
              <w:right w:val="nil"/>
            </w:tcBorders>
            <w:shd w:val="clear" w:color="auto" w:fill="auto"/>
            <w:noWrap/>
            <w:vAlign w:val="bottom"/>
            <w:hideMark/>
          </w:tcPr>
          <w:p w14:paraId="23668544" w14:textId="77777777" w:rsidR="00BE6461" w:rsidRPr="00BE6461" w:rsidRDefault="00BE6461" w:rsidP="00BE6461">
            <w:pPr>
              <w:rPr>
                <w:sz w:val="20"/>
                <w:szCs w:val="20"/>
              </w:rPr>
            </w:pPr>
            <w:r w:rsidRPr="00BE6461">
              <w:rPr>
                <w:sz w:val="20"/>
                <w:szCs w:val="20"/>
              </w:rPr>
              <w:t>3111</w:t>
            </w:r>
          </w:p>
        </w:tc>
        <w:tc>
          <w:tcPr>
            <w:tcW w:w="8457" w:type="dxa"/>
            <w:tcBorders>
              <w:top w:val="nil"/>
              <w:left w:val="nil"/>
              <w:bottom w:val="nil"/>
              <w:right w:val="nil"/>
            </w:tcBorders>
            <w:shd w:val="clear" w:color="auto" w:fill="auto"/>
            <w:vAlign w:val="bottom"/>
            <w:hideMark/>
          </w:tcPr>
          <w:p w14:paraId="2F133794" w14:textId="77777777" w:rsidR="00BE6461" w:rsidRPr="00BE6461" w:rsidRDefault="00BE6461" w:rsidP="00BE6461">
            <w:pPr>
              <w:rPr>
                <w:sz w:val="20"/>
                <w:szCs w:val="20"/>
              </w:rPr>
            </w:pPr>
            <w:r w:rsidRPr="00BE6461">
              <w:rPr>
                <w:sz w:val="20"/>
                <w:szCs w:val="20"/>
              </w:rPr>
              <w:t xml:space="preserve">Plaće za redovan rad                                                                                </w:t>
            </w:r>
          </w:p>
        </w:tc>
        <w:tc>
          <w:tcPr>
            <w:tcW w:w="1503" w:type="dxa"/>
            <w:tcBorders>
              <w:top w:val="nil"/>
              <w:left w:val="nil"/>
              <w:bottom w:val="nil"/>
              <w:right w:val="nil"/>
            </w:tcBorders>
            <w:shd w:val="clear" w:color="auto" w:fill="auto"/>
            <w:noWrap/>
            <w:vAlign w:val="bottom"/>
            <w:hideMark/>
          </w:tcPr>
          <w:p w14:paraId="0F47F33F"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64B807E" w14:textId="77777777" w:rsidR="00BE6461" w:rsidRPr="00BE6461" w:rsidRDefault="00BE6461" w:rsidP="00BE6461">
            <w:pPr>
              <w:jc w:val="right"/>
              <w:rPr>
                <w:sz w:val="20"/>
                <w:szCs w:val="20"/>
              </w:rPr>
            </w:pPr>
            <w:r w:rsidRPr="00BE6461">
              <w:rPr>
                <w:sz w:val="20"/>
                <w:szCs w:val="20"/>
              </w:rPr>
              <w:t>235.668,89</w:t>
            </w:r>
          </w:p>
        </w:tc>
        <w:tc>
          <w:tcPr>
            <w:tcW w:w="1100" w:type="dxa"/>
            <w:tcBorders>
              <w:top w:val="nil"/>
              <w:left w:val="nil"/>
              <w:bottom w:val="nil"/>
              <w:right w:val="nil"/>
            </w:tcBorders>
            <w:shd w:val="clear" w:color="auto" w:fill="auto"/>
            <w:noWrap/>
            <w:vAlign w:val="bottom"/>
            <w:hideMark/>
          </w:tcPr>
          <w:p w14:paraId="298D3BFD" w14:textId="77777777" w:rsidR="00BE6461" w:rsidRPr="00BE6461" w:rsidRDefault="00BE6461" w:rsidP="00BE6461">
            <w:pPr>
              <w:jc w:val="right"/>
              <w:rPr>
                <w:sz w:val="20"/>
                <w:szCs w:val="20"/>
              </w:rPr>
            </w:pPr>
          </w:p>
        </w:tc>
      </w:tr>
      <w:tr w:rsidR="00BE6461" w:rsidRPr="00BE6461" w14:paraId="4606351A" w14:textId="77777777" w:rsidTr="00BE6461">
        <w:trPr>
          <w:trHeight w:val="300"/>
        </w:trPr>
        <w:tc>
          <w:tcPr>
            <w:tcW w:w="1703" w:type="dxa"/>
            <w:tcBorders>
              <w:top w:val="nil"/>
              <w:left w:val="nil"/>
              <w:bottom w:val="nil"/>
              <w:right w:val="nil"/>
            </w:tcBorders>
            <w:shd w:val="clear" w:color="auto" w:fill="auto"/>
            <w:noWrap/>
            <w:vAlign w:val="bottom"/>
            <w:hideMark/>
          </w:tcPr>
          <w:p w14:paraId="6D3E5598" w14:textId="77777777" w:rsidR="00BE6461" w:rsidRPr="00BE6461" w:rsidRDefault="00BE6461" w:rsidP="00BE6461">
            <w:pPr>
              <w:rPr>
                <w:b/>
                <w:bCs/>
                <w:sz w:val="20"/>
                <w:szCs w:val="20"/>
              </w:rPr>
            </w:pPr>
            <w:r w:rsidRPr="00BE6461">
              <w:rPr>
                <w:b/>
                <w:bCs/>
                <w:sz w:val="20"/>
                <w:szCs w:val="20"/>
              </w:rPr>
              <w:t>312</w:t>
            </w:r>
          </w:p>
        </w:tc>
        <w:tc>
          <w:tcPr>
            <w:tcW w:w="8457" w:type="dxa"/>
            <w:tcBorders>
              <w:top w:val="nil"/>
              <w:left w:val="nil"/>
              <w:bottom w:val="nil"/>
              <w:right w:val="nil"/>
            </w:tcBorders>
            <w:shd w:val="clear" w:color="auto" w:fill="auto"/>
            <w:vAlign w:val="bottom"/>
            <w:hideMark/>
          </w:tcPr>
          <w:p w14:paraId="0B669EAF" w14:textId="77777777" w:rsidR="00BE6461" w:rsidRPr="00BE6461" w:rsidRDefault="00BE6461" w:rsidP="00BE6461">
            <w:pPr>
              <w:rPr>
                <w:b/>
                <w:bCs/>
                <w:sz w:val="20"/>
                <w:szCs w:val="20"/>
              </w:rPr>
            </w:pPr>
            <w:r w:rsidRPr="00BE6461">
              <w:rPr>
                <w:b/>
                <w:bCs/>
                <w:sz w:val="20"/>
                <w:szCs w:val="20"/>
              </w:rPr>
              <w:t xml:space="preserve">Ostali rashodi za zaposlene                                                                         </w:t>
            </w:r>
          </w:p>
        </w:tc>
        <w:tc>
          <w:tcPr>
            <w:tcW w:w="1503" w:type="dxa"/>
            <w:tcBorders>
              <w:top w:val="nil"/>
              <w:left w:val="nil"/>
              <w:bottom w:val="nil"/>
              <w:right w:val="nil"/>
            </w:tcBorders>
            <w:shd w:val="clear" w:color="auto" w:fill="auto"/>
            <w:noWrap/>
            <w:vAlign w:val="bottom"/>
            <w:hideMark/>
          </w:tcPr>
          <w:p w14:paraId="7AE259CA" w14:textId="77777777" w:rsidR="00BE6461" w:rsidRPr="00BE6461" w:rsidRDefault="00BE6461" w:rsidP="00BE6461">
            <w:pPr>
              <w:jc w:val="right"/>
              <w:rPr>
                <w:b/>
                <w:bCs/>
                <w:sz w:val="20"/>
                <w:szCs w:val="20"/>
              </w:rPr>
            </w:pPr>
            <w:r w:rsidRPr="00BE6461">
              <w:rPr>
                <w:b/>
                <w:bCs/>
                <w:sz w:val="20"/>
                <w:szCs w:val="20"/>
              </w:rPr>
              <w:t>1.000,00</w:t>
            </w:r>
          </w:p>
        </w:tc>
        <w:tc>
          <w:tcPr>
            <w:tcW w:w="1500" w:type="dxa"/>
            <w:tcBorders>
              <w:top w:val="nil"/>
              <w:left w:val="nil"/>
              <w:bottom w:val="nil"/>
              <w:right w:val="nil"/>
            </w:tcBorders>
            <w:shd w:val="clear" w:color="auto" w:fill="auto"/>
            <w:noWrap/>
            <w:vAlign w:val="bottom"/>
            <w:hideMark/>
          </w:tcPr>
          <w:p w14:paraId="589B9FC1" w14:textId="77777777" w:rsidR="00BE6461" w:rsidRPr="00BE6461" w:rsidRDefault="00BE6461" w:rsidP="00BE6461">
            <w:pPr>
              <w:jc w:val="right"/>
              <w:rPr>
                <w:b/>
                <w:bCs/>
                <w:sz w:val="20"/>
                <w:szCs w:val="20"/>
              </w:rPr>
            </w:pPr>
            <w:r w:rsidRPr="00BE6461">
              <w:rPr>
                <w:b/>
                <w:bCs/>
                <w:sz w:val="20"/>
                <w:szCs w:val="20"/>
              </w:rPr>
              <w:t>745,38</w:t>
            </w:r>
          </w:p>
        </w:tc>
        <w:tc>
          <w:tcPr>
            <w:tcW w:w="1100" w:type="dxa"/>
            <w:tcBorders>
              <w:top w:val="nil"/>
              <w:left w:val="nil"/>
              <w:bottom w:val="nil"/>
              <w:right w:val="nil"/>
            </w:tcBorders>
            <w:shd w:val="clear" w:color="auto" w:fill="auto"/>
            <w:noWrap/>
            <w:vAlign w:val="bottom"/>
            <w:hideMark/>
          </w:tcPr>
          <w:p w14:paraId="654C953D" w14:textId="77777777" w:rsidR="00BE6461" w:rsidRPr="00BE6461" w:rsidRDefault="00BE6461" w:rsidP="00BE6461">
            <w:pPr>
              <w:jc w:val="right"/>
              <w:rPr>
                <w:b/>
                <w:bCs/>
                <w:sz w:val="20"/>
                <w:szCs w:val="20"/>
              </w:rPr>
            </w:pPr>
            <w:r w:rsidRPr="00BE6461">
              <w:rPr>
                <w:b/>
                <w:bCs/>
                <w:sz w:val="20"/>
                <w:szCs w:val="20"/>
              </w:rPr>
              <w:t>74,54</w:t>
            </w:r>
          </w:p>
        </w:tc>
      </w:tr>
      <w:tr w:rsidR="00BE6461" w:rsidRPr="00BE6461" w14:paraId="6B857CCF" w14:textId="77777777" w:rsidTr="00BE6461">
        <w:trPr>
          <w:trHeight w:val="300"/>
        </w:trPr>
        <w:tc>
          <w:tcPr>
            <w:tcW w:w="1703" w:type="dxa"/>
            <w:tcBorders>
              <w:top w:val="nil"/>
              <w:left w:val="nil"/>
              <w:bottom w:val="nil"/>
              <w:right w:val="nil"/>
            </w:tcBorders>
            <w:shd w:val="clear" w:color="auto" w:fill="auto"/>
            <w:noWrap/>
            <w:vAlign w:val="bottom"/>
            <w:hideMark/>
          </w:tcPr>
          <w:p w14:paraId="77300E85" w14:textId="77777777" w:rsidR="00BE6461" w:rsidRPr="00BE6461" w:rsidRDefault="00BE6461" w:rsidP="00BE6461">
            <w:pPr>
              <w:rPr>
                <w:sz w:val="20"/>
                <w:szCs w:val="20"/>
              </w:rPr>
            </w:pPr>
            <w:r w:rsidRPr="00BE6461">
              <w:rPr>
                <w:sz w:val="20"/>
                <w:szCs w:val="20"/>
              </w:rPr>
              <w:t>3121</w:t>
            </w:r>
          </w:p>
        </w:tc>
        <w:tc>
          <w:tcPr>
            <w:tcW w:w="8457" w:type="dxa"/>
            <w:tcBorders>
              <w:top w:val="nil"/>
              <w:left w:val="nil"/>
              <w:bottom w:val="nil"/>
              <w:right w:val="nil"/>
            </w:tcBorders>
            <w:shd w:val="clear" w:color="auto" w:fill="auto"/>
            <w:vAlign w:val="bottom"/>
            <w:hideMark/>
          </w:tcPr>
          <w:p w14:paraId="09A9E9A0" w14:textId="77777777" w:rsidR="00BE6461" w:rsidRPr="00BE6461" w:rsidRDefault="00BE6461" w:rsidP="00BE6461">
            <w:pPr>
              <w:rPr>
                <w:sz w:val="20"/>
                <w:szCs w:val="20"/>
              </w:rPr>
            </w:pPr>
            <w:r w:rsidRPr="00BE6461">
              <w:rPr>
                <w:sz w:val="20"/>
                <w:szCs w:val="20"/>
              </w:rPr>
              <w:t xml:space="preserve">Ostali rashodi za zaposlene                                                                         </w:t>
            </w:r>
          </w:p>
        </w:tc>
        <w:tc>
          <w:tcPr>
            <w:tcW w:w="1503" w:type="dxa"/>
            <w:tcBorders>
              <w:top w:val="nil"/>
              <w:left w:val="nil"/>
              <w:bottom w:val="nil"/>
              <w:right w:val="nil"/>
            </w:tcBorders>
            <w:shd w:val="clear" w:color="auto" w:fill="auto"/>
            <w:noWrap/>
            <w:vAlign w:val="bottom"/>
            <w:hideMark/>
          </w:tcPr>
          <w:p w14:paraId="5674426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524CB8D" w14:textId="77777777" w:rsidR="00BE6461" w:rsidRPr="00BE6461" w:rsidRDefault="00BE6461" w:rsidP="00BE6461">
            <w:pPr>
              <w:jc w:val="right"/>
              <w:rPr>
                <w:sz w:val="20"/>
                <w:szCs w:val="20"/>
              </w:rPr>
            </w:pPr>
            <w:r w:rsidRPr="00BE6461">
              <w:rPr>
                <w:sz w:val="20"/>
                <w:szCs w:val="20"/>
              </w:rPr>
              <w:t>745,38</w:t>
            </w:r>
          </w:p>
        </w:tc>
        <w:tc>
          <w:tcPr>
            <w:tcW w:w="1100" w:type="dxa"/>
            <w:tcBorders>
              <w:top w:val="nil"/>
              <w:left w:val="nil"/>
              <w:bottom w:val="nil"/>
              <w:right w:val="nil"/>
            </w:tcBorders>
            <w:shd w:val="clear" w:color="auto" w:fill="auto"/>
            <w:noWrap/>
            <w:vAlign w:val="bottom"/>
            <w:hideMark/>
          </w:tcPr>
          <w:p w14:paraId="2FA1C168" w14:textId="77777777" w:rsidR="00BE6461" w:rsidRPr="00BE6461" w:rsidRDefault="00BE6461" w:rsidP="00BE6461">
            <w:pPr>
              <w:jc w:val="right"/>
              <w:rPr>
                <w:sz w:val="20"/>
                <w:szCs w:val="20"/>
              </w:rPr>
            </w:pPr>
          </w:p>
        </w:tc>
      </w:tr>
      <w:tr w:rsidR="00BE6461" w:rsidRPr="00BE6461" w14:paraId="76D324A4" w14:textId="77777777" w:rsidTr="00BE6461">
        <w:trPr>
          <w:trHeight w:val="300"/>
        </w:trPr>
        <w:tc>
          <w:tcPr>
            <w:tcW w:w="1703" w:type="dxa"/>
            <w:tcBorders>
              <w:top w:val="nil"/>
              <w:left w:val="nil"/>
              <w:bottom w:val="nil"/>
              <w:right w:val="nil"/>
            </w:tcBorders>
            <w:shd w:val="clear" w:color="auto" w:fill="auto"/>
            <w:noWrap/>
            <w:vAlign w:val="bottom"/>
            <w:hideMark/>
          </w:tcPr>
          <w:p w14:paraId="7B11FCB8" w14:textId="77777777" w:rsidR="00BE6461" w:rsidRPr="00BE6461" w:rsidRDefault="00BE6461" w:rsidP="00BE6461">
            <w:pPr>
              <w:rPr>
                <w:b/>
                <w:bCs/>
                <w:sz w:val="20"/>
                <w:szCs w:val="20"/>
              </w:rPr>
            </w:pPr>
            <w:r w:rsidRPr="00BE6461">
              <w:rPr>
                <w:b/>
                <w:bCs/>
                <w:sz w:val="20"/>
                <w:szCs w:val="20"/>
              </w:rPr>
              <w:t>313</w:t>
            </w:r>
          </w:p>
        </w:tc>
        <w:tc>
          <w:tcPr>
            <w:tcW w:w="8457" w:type="dxa"/>
            <w:tcBorders>
              <w:top w:val="nil"/>
              <w:left w:val="nil"/>
              <w:bottom w:val="nil"/>
              <w:right w:val="nil"/>
            </w:tcBorders>
            <w:shd w:val="clear" w:color="auto" w:fill="auto"/>
            <w:vAlign w:val="bottom"/>
            <w:hideMark/>
          </w:tcPr>
          <w:p w14:paraId="7C1911DB" w14:textId="77777777" w:rsidR="00BE6461" w:rsidRPr="00BE6461" w:rsidRDefault="00BE6461" w:rsidP="00BE6461">
            <w:pPr>
              <w:rPr>
                <w:b/>
                <w:bCs/>
                <w:sz w:val="20"/>
                <w:szCs w:val="20"/>
              </w:rPr>
            </w:pPr>
            <w:r w:rsidRPr="00BE6461">
              <w:rPr>
                <w:b/>
                <w:bCs/>
                <w:sz w:val="20"/>
                <w:szCs w:val="20"/>
              </w:rPr>
              <w:t xml:space="preserve">Doprinosi na plaće                                                                                  </w:t>
            </w:r>
          </w:p>
        </w:tc>
        <w:tc>
          <w:tcPr>
            <w:tcW w:w="1503" w:type="dxa"/>
            <w:tcBorders>
              <w:top w:val="nil"/>
              <w:left w:val="nil"/>
              <w:bottom w:val="nil"/>
              <w:right w:val="nil"/>
            </w:tcBorders>
            <w:shd w:val="clear" w:color="auto" w:fill="auto"/>
            <w:noWrap/>
            <w:vAlign w:val="bottom"/>
            <w:hideMark/>
          </w:tcPr>
          <w:p w14:paraId="68CEF7DE" w14:textId="77777777" w:rsidR="00BE6461" w:rsidRPr="00BE6461" w:rsidRDefault="00BE6461" w:rsidP="00BE6461">
            <w:pPr>
              <w:jc w:val="right"/>
              <w:rPr>
                <w:b/>
                <w:bCs/>
                <w:sz w:val="20"/>
                <w:szCs w:val="20"/>
              </w:rPr>
            </w:pPr>
            <w:r w:rsidRPr="00BE6461">
              <w:rPr>
                <w:b/>
                <w:bCs/>
                <w:sz w:val="20"/>
                <w:szCs w:val="20"/>
              </w:rPr>
              <w:t>39.600,00</w:t>
            </w:r>
          </w:p>
        </w:tc>
        <w:tc>
          <w:tcPr>
            <w:tcW w:w="1500" w:type="dxa"/>
            <w:tcBorders>
              <w:top w:val="nil"/>
              <w:left w:val="nil"/>
              <w:bottom w:val="nil"/>
              <w:right w:val="nil"/>
            </w:tcBorders>
            <w:shd w:val="clear" w:color="auto" w:fill="auto"/>
            <w:noWrap/>
            <w:vAlign w:val="bottom"/>
            <w:hideMark/>
          </w:tcPr>
          <w:p w14:paraId="6707DC7C" w14:textId="77777777" w:rsidR="00BE6461" w:rsidRPr="00BE6461" w:rsidRDefault="00BE6461" w:rsidP="00BE6461">
            <w:pPr>
              <w:jc w:val="right"/>
              <w:rPr>
                <w:b/>
                <w:bCs/>
                <w:sz w:val="20"/>
                <w:szCs w:val="20"/>
              </w:rPr>
            </w:pPr>
            <w:r w:rsidRPr="00BE6461">
              <w:rPr>
                <w:b/>
                <w:bCs/>
                <w:sz w:val="20"/>
                <w:szCs w:val="20"/>
              </w:rPr>
              <w:t>38.885,36</w:t>
            </w:r>
          </w:p>
        </w:tc>
        <w:tc>
          <w:tcPr>
            <w:tcW w:w="1100" w:type="dxa"/>
            <w:tcBorders>
              <w:top w:val="nil"/>
              <w:left w:val="nil"/>
              <w:bottom w:val="nil"/>
              <w:right w:val="nil"/>
            </w:tcBorders>
            <w:shd w:val="clear" w:color="auto" w:fill="auto"/>
            <w:noWrap/>
            <w:vAlign w:val="bottom"/>
            <w:hideMark/>
          </w:tcPr>
          <w:p w14:paraId="33A25CE9" w14:textId="77777777" w:rsidR="00BE6461" w:rsidRPr="00BE6461" w:rsidRDefault="00BE6461" w:rsidP="00BE6461">
            <w:pPr>
              <w:jc w:val="right"/>
              <w:rPr>
                <w:b/>
                <w:bCs/>
                <w:sz w:val="20"/>
                <w:szCs w:val="20"/>
              </w:rPr>
            </w:pPr>
            <w:r w:rsidRPr="00BE6461">
              <w:rPr>
                <w:b/>
                <w:bCs/>
                <w:sz w:val="20"/>
                <w:szCs w:val="20"/>
              </w:rPr>
              <w:t>98,20</w:t>
            </w:r>
          </w:p>
        </w:tc>
      </w:tr>
      <w:tr w:rsidR="00BE6461" w:rsidRPr="00BE6461" w14:paraId="6774EBF3" w14:textId="77777777" w:rsidTr="00BE6461">
        <w:trPr>
          <w:trHeight w:val="300"/>
        </w:trPr>
        <w:tc>
          <w:tcPr>
            <w:tcW w:w="1703" w:type="dxa"/>
            <w:tcBorders>
              <w:top w:val="nil"/>
              <w:left w:val="nil"/>
              <w:bottom w:val="nil"/>
              <w:right w:val="nil"/>
            </w:tcBorders>
            <w:shd w:val="clear" w:color="auto" w:fill="auto"/>
            <w:noWrap/>
            <w:vAlign w:val="bottom"/>
            <w:hideMark/>
          </w:tcPr>
          <w:p w14:paraId="1D31AB28" w14:textId="77777777" w:rsidR="00BE6461" w:rsidRPr="00BE6461" w:rsidRDefault="00BE6461" w:rsidP="00BE6461">
            <w:pPr>
              <w:rPr>
                <w:sz w:val="20"/>
                <w:szCs w:val="20"/>
              </w:rPr>
            </w:pPr>
            <w:r w:rsidRPr="00BE6461">
              <w:rPr>
                <w:sz w:val="20"/>
                <w:szCs w:val="20"/>
              </w:rPr>
              <w:t>3132</w:t>
            </w:r>
          </w:p>
        </w:tc>
        <w:tc>
          <w:tcPr>
            <w:tcW w:w="8457" w:type="dxa"/>
            <w:tcBorders>
              <w:top w:val="nil"/>
              <w:left w:val="nil"/>
              <w:bottom w:val="nil"/>
              <w:right w:val="nil"/>
            </w:tcBorders>
            <w:shd w:val="clear" w:color="auto" w:fill="auto"/>
            <w:vAlign w:val="bottom"/>
            <w:hideMark/>
          </w:tcPr>
          <w:p w14:paraId="157FCF83" w14:textId="77777777" w:rsidR="00BE6461" w:rsidRPr="00BE6461" w:rsidRDefault="00BE6461" w:rsidP="00BE6461">
            <w:pPr>
              <w:rPr>
                <w:sz w:val="20"/>
                <w:szCs w:val="20"/>
              </w:rPr>
            </w:pPr>
            <w:r w:rsidRPr="00BE6461">
              <w:rPr>
                <w:sz w:val="20"/>
                <w:szCs w:val="20"/>
              </w:rPr>
              <w:t xml:space="preserve">Doprinosi za obvezno zdravstveno osiguranje                                                         </w:t>
            </w:r>
          </w:p>
        </w:tc>
        <w:tc>
          <w:tcPr>
            <w:tcW w:w="1503" w:type="dxa"/>
            <w:tcBorders>
              <w:top w:val="nil"/>
              <w:left w:val="nil"/>
              <w:bottom w:val="nil"/>
              <w:right w:val="nil"/>
            </w:tcBorders>
            <w:shd w:val="clear" w:color="auto" w:fill="auto"/>
            <w:noWrap/>
            <w:vAlign w:val="bottom"/>
            <w:hideMark/>
          </w:tcPr>
          <w:p w14:paraId="63488DF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17BDBA1" w14:textId="77777777" w:rsidR="00BE6461" w:rsidRPr="00BE6461" w:rsidRDefault="00BE6461" w:rsidP="00BE6461">
            <w:pPr>
              <w:jc w:val="right"/>
              <w:rPr>
                <w:sz w:val="20"/>
                <w:szCs w:val="20"/>
              </w:rPr>
            </w:pPr>
            <w:r w:rsidRPr="00BE6461">
              <w:rPr>
                <w:sz w:val="20"/>
                <w:szCs w:val="20"/>
              </w:rPr>
              <w:t>38.885,36</w:t>
            </w:r>
          </w:p>
        </w:tc>
        <w:tc>
          <w:tcPr>
            <w:tcW w:w="1100" w:type="dxa"/>
            <w:tcBorders>
              <w:top w:val="nil"/>
              <w:left w:val="nil"/>
              <w:bottom w:val="nil"/>
              <w:right w:val="nil"/>
            </w:tcBorders>
            <w:shd w:val="clear" w:color="auto" w:fill="auto"/>
            <w:noWrap/>
            <w:vAlign w:val="bottom"/>
            <w:hideMark/>
          </w:tcPr>
          <w:p w14:paraId="37A59C96" w14:textId="77777777" w:rsidR="00BE6461" w:rsidRPr="00BE6461" w:rsidRDefault="00BE6461" w:rsidP="00BE6461">
            <w:pPr>
              <w:jc w:val="right"/>
              <w:rPr>
                <w:sz w:val="20"/>
                <w:szCs w:val="20"/>
              </w:rPr>
            </w:pPr>
          </w:p>
        </w:tc>
      </w:tr>
      <w:tr w:rsidR="00BE6461" w:rsidRPr="00BE6461" w14:paraId="78A1F688"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0B8CB1BB" w14:textId="77777777" w:rsidR="00BE6461" w:rsidRPr="00BE6461" w:rsidRDefault="00BE6461" w:rsidP="00BE6461">
            <w:pPr>
              <w:rPr>
                <w:b/>
                <w:bCs/>
                <w:sz w:val="20"/>
                <w:szCs w:val="20"/>
              </w:rPr>
            </w:pPr>
            <w:r w:rsidRPr="00BE6461">
              <w:rPr>
                <w:b/>
                <w:bCs/>
                <w:sz w:val="20"/>
                <w:szCs w:val="20"/>
              </w:rPr>
              <w:t>A100002</w:t>
            </w:r>
          </w:p>
        </w:tc>
        <w:tc>
          <w:tcPr>
            <w:tcW w:w="8457" w:type="dxa"/>
            <w:tcBorders>
              <w:top w:val="single" w:sz="4" w:space="0" w:color="auto"/>
              <w:left w:val="nil"/>
              <w:bottom w:val="single" w:sz="4" w:space="0" w:color="auto"/>
              <w:right w:val="nil"/>
            </w:tcBorders>
            <w:shd w:val="clear" w:color="auto" w:fill="auto"/>
            <w:vAlign w:val="bottom"/>
            <w:hideMark/>
          </w:tcPr>
          <w:p w14:paraId="2F8B0E5A" w14:textId="77777777" w:rsidR="00BE6461" w:rsidRPr="00BE6461" w:rsidRDefault="00BE6461" w:rsidP="00BE6461">
            <w:pPr>
              <w:rPr>
                <w:b/>
                <w:bCs/>
                <w:sz w:val="20"/>
                <w:szCs w:val="20"/>
              </w:rPr>
            </w:pPr>
            <w:r w:rsidRPr="00BE6461">
              <w:rPr>
                <w:b/>
                <w:bCs/>
                <w:sz w:val="20"/>
                <w:szCs w:val="20"/>
              </w:rPr>
              <w:t>Aktivnost: PRORAČUNSKA ZALIHA</w:t>
            </w:r>
          </w:p>
        </w:tc>
        <w:tc>
          <w:tcPr>
            <w:tcW w:w="1503" w:type="dxa"/>
            <w:tcBorders>
              <w:top w:val="single" w:sz="4" w:space="0" w:color="auto"/>
              <w:left w:val="nil"/>
              <w:bottom w:val="single" w:sz="4" w:space="0" w:color="auto"/>
              <w:right w:val="nil"/>
            </w:tcBorders>
            <w:shd w:val="clear" w:color="auto" w:fill="auto"/>
            <w:noWrap/>
            <w:vAlign w:val="bottom"/>
            <w:hideMark/>
          </w:tcPr>
          <w:p w14:paraId="04B26E1D" w14:textId="77777777" w:rsidR="00BE6461" w:rsidRPr="00BE6461" w:rsidRDefault="00BE6461" w:rsidP="00BE6461">
            <w:pPr>
              <w:jc w:val="right"/>
              <w:rPr>
                <w:b/>
                <w:bCs/>
                <w:sz w:val="20"/>
                <w:szCs w:val="20"/>
              </w:rPr>
            </w:pPr>
            <w:r w:rsidRPr="00BE6461">
              <w:rPr>
                <w:b/>
                <w:bCs/>
                <w:sz w:val="20"/>
                <w:szCs w:val="20"/>
              </w:rPr>
              <w:t>100.000,00</w:t>
            </w:r>
          </w:p>
        </w:tc>
        <w:tc>
          <w:tcPr>
            <w:tcW w:w="1500" w:type="dxa"/>
            <w:tcBorders>
              <w:top w:val="single" w:sz="4" w:space="0" w:color="auto"/>
              <w:left w:val="nil"/>
              <w:bottom w:val="single" w:sz="4" w:space="0" w:color="auto"/>
              <w:right w:val="nil"/>
            </w:tcBorders>
            <w:shd w:val="clear" w:color="auto" w:fill="auto"/>
            <w:noWrap/>
            <w:vAlign w:val="bottom"/>
            <w:hideMark/>
          </w:tcPr>
          <w:p w14:paraId="4C36F2BA"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730A9924"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384809CD"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87BB45E"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3CC368D1" w14:textId="77777777" w:rsidR="00BE6461" w:rsidRPr="00BE6461" w:rsidRDefault="00BE6461" w:rsidP="00BE6461">
            <w:pPr>
              <w:jc w:val="right"/>
              <w:rPr>
                <w:b/>
                <w:bCs/>
                <w:color w:val="333333"/>
                <w:sz w:val="20"/>
                <w:szCs w:val="20"/>
              </w:rPr>
            </w:pPr>
            <w:r w:rsidRPr="00BE6461">
              <w:rPr>
                <w:b/>
                <w:bCs/>
                <w:color w:val="333333"/>
                <w:sz w:val="20"/>
                <w:szCs w:val="20"/>
              </w:rPr>
              <w:t>100.000,00</w:t>
            </w:r>
          </w:p>
        </w:tc>
        <w:tc>
          <w:tcPr>
            <w:tcW w:w="1500" w:type="dxa"/>
            <w:tcBorders>
              <w:top w:val="nil"/>
              <w:left w:val="nil"/>
              <w:bottom w:val="nil"/>
              <w:right w:val="nil"/>
            </w:tcBorders>
            <w:shd w:val="clear" w:color="auto" w:fill="auto"/>
            <w:noWrap/>
            <w:vAlign w:val="bottom"/>
            <w:hideMark/>
          </w:tcPr>
          <w:p w14:paraId="2F98FEB5"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100" w:type="dxa"/>
            <w:tcBorders>
              <w:top w:val="nil"/>
              <w:left w:val="nil"/>
              <w:bottom w:val="nil"/>
              <w:right w:val="nil"/>
            </w:tcBorders>
            <w:shd w:val="clear" w:color="auto" w:fill="auto"/>
            <w:noWrap/>
            <w:vAlign w:val="bottom"/>
            <w:hideMark/>
          </w:tcPr>
          <w:p w14:paraId="1B7024FF"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09A6475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EACDC08"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08820197" w14:textId="77777777" w:rsidR="00BE6461" w:rsidRPr="00BE6461" w:rsidRDefault="00BE6461" w:rsidP="00BE6461">
            <w:pPr>
              <w:jc w:val="right"/>
              <w:rPr>
                <w:b/>
                <w:bCs/>
                <w:color w:val="333333"/>
                <w:sz w:val="20"/>
                <w:szCs w:val="20"/>
              </w:rPr>
            </w:pPr>
            <w:r w:rsidRPr="00BE6461">
              <w:rPr>
                <w:b/>
                <w:bCs/>
                <w:color w:val="333333"/>
                <w:sz w:val="20"/>
                <w:szCs w:val="20"/>
              </w:rPr>
              <w:t>100.000,00</w:t>
            </w:r>
          </w:p>
        </w:tc>
        <w:tc>
          <w:tcPr>
            <w:tcW w:w="1500" w:type="dxa"/>
            <w:tcBorders>
              <w:top w:val="nil"/>
              <w:left w:val="nil"/>
              <w:bottom w:val="nil"/>
              <w:right w:val="nil"/>
            </w:tcBorders>
            <w:shd w:val="clear" w:color="auto" w:fill="auto"/>
            <w:noWrap/>
            <w:vAlign w:val="bottom"/>
            <w:hideMark/>
          </w:tcPr>
          <w:p w14:paraId="7E83B9CB"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100" w:type="dxa"/>
            <w:tcBorders>
              <w:top w:val="nil"/>
              <w:left w:val="nil"/>
              <w:bottom w:val="nil"/>
              <w:right w:val="nil"/>
            </w:tcBorders>
            <w:shd w:val="clear" w:color="auto" w:fill="auto"/>
            <w:noWrap/>
            <w:vAlign w:val="bottom"/>
            <w:hideMark/>
          </w:tcPr>
          <w:p w14:paraId="1E7BACF0"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4A203231" w14:textId="77777777" w:rsidTr="00BE6461">
        <w:trPr>
          <w:trHeight w:val="300"/>
        </w:trPr>
        <w:tc>
          <w:tcPr>
            <w:tcW w:w="1703" w:type="dxa"/>
            <w:tcBorders>
              <w:top w:val="nil"/>
              <w:left w:val="nil"/>
              <w:bottom w:val="nil"/>
              <w:right w:val="nil"/>
            </w:tcBorders>
            <w:shd w:val="clear" w:color="auto" w:fill="auto"/>
            <w:noWrap/>
            <w:vAlign w:val="bottom"/>
            <w:hideMark/>
          </w:tcPr>
          <w:p w14:paraId="4B0B610B" w14:textId="77777777" w:rsidR="00BE6461" w:rsidRPr="00BE6461" w:rsidRDefault="00BE6461" w:rsidP="00BE6461">
            <w:pPr>
              <w:rPr>
                <w:b/>
                <w:bCs/>
                <w:sz w:val="20"/>
                <w:szCs w:val="20"/>
              </w:rPr>
            </w:pPr>
            <w:r w:rsidRPr="00BE6461">
              <w:rPr>
                <w:b/>
                <w:bCs/>
                <w:sz w:val="20"/>
                <w:szCs w:val="20"/>
              </w:rPr>
              <w:t>385</w:t>
            </w:r>
          </w:p>
        </w:tc>
        <w:tc>
          <w:tcPr>
            <w:tcW w:w="8457" w:type="dxa"/>
            <w:tcBorders>
              <w:top w:val="nil"/>
              <w:left w:val="nil"/>
              <w:bottom w:val="nil"/>
              <w:right w:val="nil"/>
            </w:tcBorders>
            <w:shd w:val="clear" w:color="auto" w:fill="auto"/>
            <w:vAlign w:val="bottom"/>
            <w:hideMark/>
          </w:tcPr>
          <w:p w14:paraId="0E96C2AF" w14:textId="77777777" w:rsidR="00BE6461" w:rsidRPr="00BE6461" w:rsidRDefault="00BE6461" w:rsidP="00BE6461">
            <w:pPr>
              <w:rPr>
                <w:b/>
                <w:bCs/>
                <w:sz w:val="20"/>
                <w:szCs w:val="20"/>
              </w:rPr>
            </w:pPr>
            <w:r w:rsidRPr="00BE6461">
              <w:rPr>
                <w:b/>
                <w:bCs/>
                <w:sz w:val="20"/>
                <w:szCs w:val="20"/>
              </w:rPr>
              <w:t>Izvanredni rashodi</w:t>
            </w:r>
          </w:p>
        </w:tc>
        <w:tc>
          <w:tcPr>
            <w:tcW w:w="1503" w:type="dxa"/>
            <w:tcBorders>
              <w:top w:val="nil"/>
              <w:left w:val="nil"/>
              <w:bottom w:val="nil"/>
              <w:right w:val="nil"/>
            </w:tcBorders>
            <w:shd w:val="clear" w:color="auto" w:fill="auto"/>
            <w:noWrap/>
            <w:vAlign w:val="bottom"/>
            <w:hideMark/>
          </w:tcPr>
          <w:p w14:paraId="48B76554" w14:textId="77777777" w:rsidR="00BE6461" w:rsidRPr="00BE6461" w:rsidRDefault="00BE6461" w:rsidP="00BE6461">
            <w:pPr>
              <w:jc w:val="right"/>
              <w:rPr>
                <w:b/>
                <w:bCs/>
                <w:sz w:val="20"/>
                <w:szCs w:val="20"/>
              </w:rPr>
            </w:pPr>
            <w:r w:rsidRPr="00BE6461">
              <w:rPr>
                <w:b/>
                <w:bCs/>
                <w:sz w:val="20"/>
                <w:szCs w:val="20"/>
              </w:rPr>
              <w:t>100.000,00</w:t>
            </w:r>
          </w:p>
        </w:tc>
        <w:tc>
          <w:tcPr>
            <w:tcW w:w="1500" w:type="dxa"/>
            <w:tcBorders>
              <w:top w:val="nil"/>
              <w:left w:val="nil"/>
              <w:bottom w:val="nil"/>
              <w:right w:val="nil"/>
            </w:tcBorders>
            <w:shd w:val="clear" w:color="auto" w:fill="auto"/>
            <w:noWrap/>
            <w:vAlign w:val="bottom"/>
            <w:hideMark/>
          </w:tcPr>
          <w:p w14:paraId="3EB7125F"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10488B99"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786AFF16" w14:textId="77777777" w:rsidTr="00BE6461">
        <w:trPr>
          <w:trHeight w:val="300"/>
        </w:trPr>
        <w:tc>
          <w:tcPr>
            <w:tcW w:w="1703" w:type="dxa"/>
            <w:tcBorders>
              <w:top w:val="nil"/>
              <w:left w:val="nil"/>
              <w:bottom w:val="nil"/>
              <w:right w:val="nil"/>
            </w:tcBorders>
            <w:shd w:val="clear" w:color="auto" w:fill="auto"/>
            <w:noWrap/>
            <w:vAlign w:val="bottom"/>
            <w:hideMark/>
          </w:tcPr>
          <w:p w14:paraId="503251D3" w14:textId="77777777" w:rsidR="00BE6461" w:rsidRPr="00BE6461" w:rsidRDefault="00BE6461" w:rsidP="00BE6461">
            <w:pPr>
              <w:rPr>
                <w:sz w:val="20"/>
                <w:szCs w:val="20"/>
              </w:rPr>
            </w:pPr>
            <w:r w:rsidRPr="00BE6461">
              <w:rPr>
                <w:sz w:val="20"/>
                <w:szCs w:val="20"/>
              </w:rPr>
              <w:t>3851</w:t>
            </w:r>
          </w:p>
        </w:tc>
        <w:tc>
          <w:tcPr>
            <w:tcW w:w="8457" w:type="dxa"/>
            <w:tcBorders>
              <w:top w:val="nil"/>
              <w:left w:val="nil"/>
              <w:bottom w:val="nil"/>
              <w:right w:val="nil"/>
            </w:tcBorders>
            <w:shd w:val="clear" w:color="auto" w:fill="auto"/>
            <w:vAlign w:val="bottom"/>
            <w:hideMark/>
          </w:tcPr>
          <w:p w14:paraId="3579E531" w14:textId="77777777" w:rsidR="00BE6461" w:rsidRPr="00BE6461" w:rsidRDefault="00BE6461" w:rsidP="00BE6461">
            <w:pPr>
              <w:rPr>
                <w:sz w:val="20"/>
                <w:szCs w:val="20"/>
              </w:rPr>
            </w:pPr>
            <w:r w:rsidRPr="00BE6461">
              <w:rPr>
                <w:sz w:val="20"/>
                <w:szCs w:val="20"/>
              </w:rPr>
              <w:t>Nepredviđeni rashodi do visine proračunske pričuve</w:t>
            </w:r>
          </w:p>
        </w:tc>
        <w:tc>
          <w:tcPr>
            <w:tcW w:w="1503" w:type="dxa"/>
            <w:tcBorders>
              <w:top w:val="nil"/>
              <w:left w:val="nil"/>
              <w:bottom w:val="nil"/>
              <w:right w:val="nil"/>
            </w:tcBorders>
            <w:shd w:val="clear" w:color="auto" w:fill="auto"/>
            <w:noWrap/>
            <w:vAlign w:val="bottom"/>
            <w:hideMark/>
          </w:tcPr>
          <w:p w14:paraId="205A64F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6E01B3E"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1E81E641" w14:textId="77777777" w:rsidR="00BE6461" w:rsidRPr="00BE6461" w:rsidRDefault="00BE6461" w:rsidP="00BE6461">
            <w:pPr>
              <w:jc w:val="right"/>
              <w:rPr>
                <w:sz w:val="20"/>
                <w:szCs w:val="20"/>
              </w:rPr>
            </w:pPr>
          </w:p>
        </w:tc>
      </w:tr>
      <w:tr w:rsidR="00BE6461" w:rsidRPr="00BE6461" w14:paraId="45BD503B"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3BC8E707" w14:textId="77777777" w:rsidR="00BE6461" w:rsidRPr="00BE6461" w:rsidRDefault="00BE6461" w:rsidP="00BE6461">
            <w:pPr>
              <w:rPr>
                <w:b/>
                <w:bCs/>
                <w:sz w:val="20"/>
                <w:szCs w:val="20"/>
              </w:rPr>
            </w:pPr>
            <w:r w:rsidRPr="00BE6461">
              <w:rPr>
                <w:b/>
                <w:bCs/>
                <w:sz w:val="20"/>
                <w:szCs w:val="20"/>
              </w:rPr>
              <w:t>A100003</w:t>
            </w:r>
          </w:p>
        </w:tc>
        <w:tc>
          <w:tcPr>
            <w:tcW w:w="8457" w:type="dxa"/>
            <w:tcBorders>
              <w:top w:val="single" w:sz="4" w:space="0" w:color="auto"/>
              <w:left w:val="nil"/>
              <w:bottom w:val="single" w:sz="4" w:space="0" w:color="auto"/>
              <w:right w:val="nil"/>
            </w:tcBorders>
            <w:shd w:val="clear" w:color="auto" w:fill="auto"/>
            <w:vAlign w:val="bottom"/>
            <w:hideMark/>
          </w:tcPr>
          <w:p w14:paraId="2553D116" w14:textId="77777777" w:rsidR="00BE6461" w:rsidRPr="00BE6461" w:rsidRDefault="00BE6461" w:rsidP="00BE6461">
            <w:pPr>
              <w:rPr>
                <w:b/>
                <w:bCs/>
                <w:sz w:val="20"/>
                <w:szCs w:val="20"/>
              </w:rPr>
            </w:pPr>
            <w:r w:rsidRPr="00BE6461">
              <w:rPr>
                <w:b/>
                <w:bCs/>
                <w:sz w:val="20"/>
                <w:szCs w:val="20"/>
              </w:rPr>
              <w:t>Aktivnost: PROTOKOL, PROMIDŽBA I PROSLAVE</w:t>
            </w:r>
          </w:p>
        </w:tc>
        <w:tc>
          <w:tcPr>
            <w:tcW w:w="1503" w:type="dxa"/>
            <w:tcBorders>
              <w:top w:val="single" w:sz="4" w:space="0" w:color="auto"/>
              <w:left w:val="nil"/>
              <w:bottom w:val="single" w:sz="4" w:space="0" w:color="auto"/>
              <w:right w:val="nil"/>
            </w:tcBorders>
            <w:shd w:val="clear" w:color="auto" w:fill="auto"/>
            <w:noWrap/>
            <w:vAlign w:val="bottom"/>
            <w:hideMark/>
          </w:tcPr>
          <w:p w14:paraId="1B88EECB" w14:textId="77777777" w:rsidR="00BE6461" w:rsidRPr="00BE6461" w:rsidRDefault="00BE6461" w:rsidP="00BE6461">
            <w:pPr>
              <w:jc w:val="right"/>
              <w:rPr>
                <w:b/>
                <w:bCs/>
                <w:sz w:val="20"/>
                <w:szCs w:val="20"/>
              </w:rPr>
            </w:pPr>
            <w:r w:rsidRPr="00BE6461">
              <w:rPr>
                <w:b/>
                <w:bCs/>
                <w:sz w:val="20"/>
                <w:szCs w:val="20"/>
              </w:rPr>
              <w:t>172.400,00</w:t>
            </w:r>
          </w:p>
        </w:tc>
        <w:tc>
          <w:tcPr>
            <w:tcW w:w="1500" w:type="dxa"/>
            <w:tcBorders>
              <w:top w:val="single" w:sz="4" w:space="0" w:color="auto"/>
              <w:left w:val="nil"/>
              <w:bottom w:val="single" w:sz="4" w:space="0" w:color="auto"/>
              <w:right w:val="nil"/>
            </w:tcBorders>
            <w:shd w:val="clear" w:color="auto" w:fill="auto"/>
            <w:noWrap/>
            <w:vAlign w:val="bottom"/>
            <w:hideMark/>
          </w:tcPr>
          <w:p w14:paraId="6F3DA541" w14:textId="77777777" w:rsidR="00BE6461" w:rsidRPr="00BE6461" w:rsidRDefault="00BE6461" w:rsidP="00BE6461">
            <w:pPr>
              <w:jc w:val="right"/>
              <w:rPr>
                <w:b/>
                <w:bCs/>
                <w:sz w:val="20"/>
                <w:szCs w:val="20"/>
              </w:rPr>
            </w:pPr>
            <w:r w:rsidRPr="00BE6461">
              <w:rPr>
                <w:b/>
                <w:bCs/>
                <w:sz w:val="20"/>
                <w:szCs w:val="20"/>
              </w:rPr>
              <w:t>168.929,71</w:t>
            </w:r>
          </w:p>
        </w:tc>
        <w:tc>
          <w:tcPr>
            <w:tcW w:w="1100" w:type="dxa"/>
            <w:tcBorders>
              <w:top w:val="single" w:sz="4" w:space="0" w:color="auto"/>
              <w:left w:val="nil"/>
              <w:bottom w:val="single" w:sz="4" w:space="0" w:color="auto"/>
              <w:right w:val="nil"/>
            </w:tcBorders>
            <w:shd w:val="clear" w:color="auto" w:fill="auto"/>
            <w:noWrap/>
            <w:vAlign w:val="bottom"/>
            <w:hideMark/>
          </w:tcPr>
          <w:p w14:paraId="2AF9A1B4" w14:textId="77777777" w:rsidR="00BE6461" w:rsidRPr="00BE6461" w:rsidRDefault="00BE6461" w:rsidP="00BE6461">
            <w:pPr>
              <w:jc w:val="right"/>
              <w:rPr>
                <w:b/>
                <w:bCs/>
                <w:sz w:val="20"/>
                <w:szCs w:val="20"/>
              </w:rPr>
            </w:pPr>
            <w:r w:rsidRPr="00BE6461">
              <w:rPr>
                <w:b/>
                <w:bCs/>
                <w:sz w:val="20"/>
                <w:szCs w:val="20"/>
              </w:rPr>
              <w:t>97,99</w:t>
            </w:r>
          </w:p>
        </w:tc>
      </w:tr>
      <w:tr w:rsidR="00BE6461" w:rsidRPr="00BE6461" w14:paraId="77A48FB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ABBB91C"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5EB91A32" w14:textId="77777777" w:rsidR="00BE6461" w:rsidRPr="00BE6461" w:rsidRDefault="00BE6461" w:rsidP="00BE6461">
            <w:pPr>
              <w:jc w:val="right"/>
              <w:rPr>
                <w:b/>
                <w:bCs/>
                <w:color w:val="333333"/>
                <w:sz w:val="20"/>
                <w:szCs w:val="20"/>
              </w:rPr>
            </w:pPr>
            <w:r w:rsidRPr="00BE6461">
              <w:rPr>
                <w:b/>
                <w:bCs/>
                <w:color w:val="333333"/>
                <w:sz w:val="20"/>
                <w:szCs w:val="20"/>
              </w:rPr>
              <w:t>172.400,00</w:t>
            </w:r>
          </w:p>
        </w:tc>
        <w:tc>
          <w:tcPr>
            <w:tcW w:w="1500" w:type="dxa"/>
            <w:tcBorders>
              <w:top w:val="nil"/>
              <w:left w:val="nil"/>
              <w:bottom w:val="nil"/>
              <w:right w:val="nil"/>
            </w:tcBorders>
            <w:shd w:val="clear" w:color="auto" w:fill="auto"/>
            <w:noWrap/>
            <w:vAlign w:val="bottom"/>
            <w:hideMark/>
          </w:tcPr>
          <w:p w14:paraId="7E2EE4C0" w14:textId="77777777" w:rsidR="00BE6461" w:rsidRPr="00BE6461" w:rsidRDefault="00BE6461" w:rsidP="00BE6461">
            <w:pPr>
              <w:jc w:val="right"/>
              <w:rPr>
                <w:b/>
                <w:bCs/>
                <w:color w:val="333333"/>
                <w:sz w:val="20"/>
                <w:szCs w:val="20"/>
              </w:rPr>
            </w:pPr>
            <w:r w:rsidRPr="00BE6461">
              <w:rPr>
                <w:b/>
                <w:bCs/>
                <w:color w:val="333333"/>
                <w:sz w:val="20"/>
                <w:szCs w:val="20"/>
              </w:rPr>
              <w:t>168.929,71</w:t>
            </w:r>
          </w:p>
        </w:tc>
        <w:tc>
          <w:tcPr>
            <w:tcW w:w="1100" w:type="dxa"/>
            <w:tcBorders>
              <w:top w:val="nil"/>
              <w:left w:val="nil"/>
              <w:bottom w:val="nil"/>
              <w:right w:val="nil"/>
            </w:tcBorders>
            <w:shd w:val="clear" w:color="auto" w:fill="auto"/>
            <w:noWrap/>
            <w:vAlign w:val="bottom"/>
            <w:hideMark/>
          </w:tcPr>
          <w:p w14:paraId="680A8BDD" w14:textId="77777777" w:rsidR="00BE6461" w:rsidRPr="00BE6461" w:rsidRDefault="00BE6461" w:rsidP="00BE6461">
            <w:pPr>
              <w:jc w:val="right"/>
              <w:rPr>
                <w:b/>
                <w:bCs/>
                <w:color w:val="333333"/>
                <w:sz w:val="20"/>
                <w:szCs w:val="20"/>
              </w:rPr>
            </w:pPr>
            <w:r w:rsidRPr="00BE6461">
              <w:rPr>
                <w:b/>
                <w:bCs/>
                <w:color w:val="333333"/>
                <w:sz w:val="20"/>
                <w:szCs w:val="20"/>
              </w:rPr>
              <w:t>97,99</w:t>
            </w:r>
          </w:p>
        </w:tc>
      </w:tr>
      <w:tr w:rsidR="00BE6461" w:rsidRPr="00BE6461" w14:paraId="37C1611C"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F29ADE0"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7D006148" w14:textId="77777777" w:rsidR="00BE6461" w:rsidRPr="00BE6461" w:rsidRDefault="00BE6461" w:rsidP="00BE6461">
            <w:pPr>
              <w:jc w:val="right"/>
              <w:rPr>
                <w:b/>
                <w:bCs/>
                <w:color w:val="333333"/>
                <w:sz w:val="20"/>
                <w:szCs w:val="20"/>
              </w:rPr>
            </w:pPr>
            <w:r w:rsidRPr="00BE6461">
              <w:rPr>
                <w:b/>
                <w:bCs/>
                <w:color w:val="333333"/>
                <w:sz w:val="20"/>
                <w:szCs w:val="20"/>
              </w:rPr>
              <w:t>172.400,00</w:t>
            </w:r>
          </w:p>
        </w:tc>
        <w:tc>
          <w:tcPr>
            <w:tcW w:w="1500" w:type="dxa"/>
            <w:tcBorders>
              <w:top w:val="nil"/>
              <w:left w:val="nil"/>
              <w:bottom w:val="nil"/>
              <w:right w:val="nil"/>
            </w:tcBorders>
            <w:shd w:val="clear" w:color="auto" w:fill="auto"/>
            <w:noWrap/>
            <w:vAlign w:val="bottom"/>
            <w:hideMark/>
          </w:tcPr>
          <w:p w14:paraId="12A1118D" w14:textId="77777777" w:rsidR="00BE6461" w:rsidRPr="00BE6461" w:rsidRDefault="00BE6461" w:rsidP="00BE6461">
            <w:pPr>
              <w:jc w:val="right"/>
              <w:rPr>
                <w:b/>
                <w:bCs/>
                <w:color w:val="333333"/>
                <w:sz w:val="20"/>
                <w:szCs w:val="20"/>
              </w:rPr>
            </w:pPr>
            <w:r w:rsidRPr="00BE6461">
              <w:rPr>
                <w:b/>
                <w:bCs/>
                <w:color w:val="333333"/>
                <w:sz w:val="20"/>
                <w:szCs w:val="20"/>
              </w:rPr>
              <w:t>168.929,71</w:t>
            </w:r>
          </w:p>
        </w:tc>
        <w:tc>
          <w:tcPr>
            <w:tcW w:w="1100" w:type="dxa"/>
            <w:tcBorders>
              <w:top w:val="nil"/>
              <w:left w:val="nil"/>
              <w:bottom w:val="nil"/>
              <w:right w:val="nil"/>
            </w:tcBorders>
            <w:shd w:val="clear" w:color="auto" w:fill="auto"/>
            <w:noWrap/>
            <w:vAlign w:val="bottom"/>
            <w:hideMark/>
          </w:tcPr>
          <w:p w14:paraId="482B1495" w14:textId="77777777" w:rsidR="00BE6461" w:rsidRPr="00BE6461" w:rsidRDefault="00BE6461" w:rsidP="00BE6461">
            <w:pPr>
              <w:jc w:val="right"/>
              <w:rPr>
                <w:b/>
                <w:bCs/>
                <w:color w:val="333333"/>
                <w:sz w:val="20"/>
                <w:szCs w:val="20"/>
              </w:rPr>
            </w:pPr>
            <w:r w:rsidRPr="00BE6461">
              <w:rPr>
                <w:b/>
                <w:bCs/>
                <w:color w:val="333333"/>
                <w:sz w:val="20"/>
                <w:szCs w:val="20"/>
              </w:rPr>
              <w:t>97,99</w:t>
            </w:r>
          </w:p>
        </w:tc>
      </w:tr>
      <w:tr w:rsidR="00BE6461" w:rsidRPr="00BE6461" w14:paraId="72EBC6B5" w14:textId="77777777" w:rsidTr="00BE6461">
        <w:trPr>
          <w:trHeight w:val="300"/>
        </w:trPr>
        <w:tc>
          <w:tcPr>
            <w:tcW w:w="1703" w:type="dxa"/>
            <w:tcBorders>
              <w:top w:val="nil"/>
              <w:left w:val="nil"/>
              <w:bottom w:val="nil"/>
              <w:right w:val="nil"/>
            </w:tcBorders>
            <w:shd w:val="clear" w:color="auto" w:fill="auto"/>
            <w:noWrap/>
            <w:vAlign w:val="bottom"/>
            <w:hideMark/>
          </w:tcPr>
          <w:p w14:paraId="10B745DE" w14:textId="77777777" w:rsidR="00BE6461" w:rsidRPr="00BE6461" w:rsidRDefault="00BE6461" w:rsidP="00BE6461">
            <w:pPr>
              <w:rPr>
                <w:b/>
                <w:bCs/>
                <w:sz w:val="20"/>
                <w:szCs w:val="20"/>
              </w:rPr>
            </w:pPr>
            <w:r w:rsidRPr="00BE6461">
              <w:rPr>
                <w:b/>
                <w:bCs/>
                <w:sz w:val="20"/>
                <w:szCs w:val="20"/>
              </w:rPr>
              <w:lastRenderedPageBreak/>
              <w:t>323</w:t>
            </w:r>
          </w:p>
        </w:tc>
        <w:tc>
          <w:tcPr>
            <w:tcW w:w="8457" w:type="dxa"/>
            <w:tcBorders>
              <w:top w:val="nil"/>
              <w:left w:val="nil"/>
              <w:bottom w:val="nil"/>
              <w:right w:val="nil"/>
            </w:tcBorders>
            <w:shd w:val="clear" w:color="auto" w:fill="auto"/>
            <w:vAlign w:val="bottom"/>
            <w:hideMark/>
          </w:tcPr>
          <w:p w14:paraId="62000F31"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3753B7D3" w14:textId="77777777" w:rsidR="00BE6461" w:rsidRPr="00BE6461" w:rsidRDefault="00BE6461" w:rsidP="00BE6461">
            <w:pPr>
              <w:jc w:val="right"/>
              <w:rPr>
                <w:b/>
                <w:bCs/>
                <w:sz w:val="20"/>
                <w:szCs w:val="20"/>
              </w:rPr>
            </w:pPr>
            <w:r w:rsidRPr="00BE6461">
              <w:rPr>
                <w:b/>
                <w:bCs/>
                <w:sz w:val="20"/>
                <w:szCs w:val="20"/>
              </w:rPr>
              <w:t>81.900,00</w:t>
            </w:r>
          </w:p>
        </w:tc>
        <w:tc>
          <w:tcPr>
            <w:tcW w:w="1500" w:type="dxa"/>
            <w:tcBorders>
              <w:top w:val="nil"/>
              <w:left w:val="nil"/>
              <w:bottom w:val="nil"/>
              <w:right w:val="nil"/>
            </w:tcBorders>
            <w:shd w:val="clear" w:color="auto" w:fill="auto"/>
            <w:noWrap/>
            <w:vAlign w:val="bottom"/>
            <w:hideMark/>
          </w:tcPr>
          <w:p w14:paraId="21BFD825" w14:textId="77777777" w:rsidR="00BE6461" w:rsidRPr="00BE6461" w:rsidRDefault="00BE6461" w:rsidP="00BE6461">
            <w:pPr>
              <w:jc w:val="right"/>
              <w:rPr>
                <w:b/>
                <w:bCs/>
                <w:sz w:val="20"/>
                <w:szCs w:val="20"/>
              </w:rPr>
            </w:pPr>
            <w:r w:rsidRPr="00BE6461">
              <w:rPr>
                <w:b/>
                <w:bCs/>
                <w:sz w:val="20"/>
                <w:szCs w:val="20"/>
              </w:rPr>
              <w:t>90.206,25</w:t>
            </w:r>
          </w:p>
        </w:tc>
        <w:tc>
          <w:tcPr>
            <w:tcW w:w="1100" w:type="dxa"/>
            <w:tcBorders>
              <w:top w:val="nil"/>
              <w:left w:val="nil"/>
              <w:bottom w:val="nil"/>
              <w:right w:val="nil"/>
            </w:tcBorders>
            <w:shd w:val="clear" w:color="auto" w:fill="auto"/>
            <w:noWrap/>
            <w:vAlign w:val="bottom"/>
            <w:hideMark/>
          </w:tcPr>
          <w:p w14:paraId="57D3C9A6" w14:textId="77777777" w:rsidR="00BE6461" w:rsidRPr="00BE6461" w:rsidRDefault="00BE6461" w:rsidP="00BE6461">
            <w:pPr>
              <w:jc w:val="right"/>
              <w:rPr>
                <w:b/>
                <w:bCs/>
                <w:sz w:val="20"/>
                <w:szCs w:val="20"/>
              </w:rPr>
            </w:pPr>
            <w:r w:rsidRPr="00BE6461">
              <w:rPr>
                <w:b/>
                <w:bCs/>
                <w:sz w:val="20"/>
                <w:szCs w:val="20"/>
              </w:rPr>
              <w:t>110,14</w:t>
            </w:r>
          </w:p>
        </w:tc>
      </w:tr>
      <w:tr w:rsidR="00BE6461" w:rsidRPr="00BE6461" w14:paraId="2CBD3D9C" w14:textId="77777777" w:rsidTr="00BE6461">
        <w:trPr>
          <w:trHeight w:val="300"/>
        </w:trPr>
        <w:tc>
          <w:tcPr>
            <w:tcW w:w="1703" w:type="dxa"/>
            <w:tcBorders>
              <w:top w:val="nil"/>
              <w:left w:val="nil"/>
              <w:bottom w:val="nil"/>
              <w:right w:val="nil"/>
            </w:tcBorders>
            <w:shd w:val="clear" w:color="auto" w:fill="auto"/>
            <w:noWrap/>
            <w:vAlign w:val="bottom"/>
            <w:hideMark/>
          </w:tcPr>
          <w:p w14:paraId="5A33130D" w14:textId="77777777" w:rsidR="00BE6461" w:rsidRPr="00BE6461" w:rsidRDefault="00BE6461" w:rsidP="00BE6461">
            <w:pPr>
              <w:rPr>
                <w:sz w:val="20"/>
                <w:szCs w:val="20"/>
              </w:rPr>
            </w:pPr>
            <w:r w:rsidRPr="00BE6461">
              <w:rPr>
                <w:sz w:val="20"/>
                <w:szCs w:val="20"/>
              </w:rPr>
              <w:t>3233</w:t>
            </w:r>
          </w:p>
        </w:tc>
        <w:tc>
          <w:tcPr>
            <w:tcW w:w="8457" w:type="dxa"/>
            <w:tcBorders>
              <w:top w:val="nil"/>
              <w:left w:val="nil"/>
              <w:bottom w:val="nil"/>
              <w:right w:val="nil"/>
            </w:tcBorders>
            <w:shd w:val="clear" w:color="auto" w:fill="auto"/>
            <w:vAlign w:val="bottom"/>
            <w:hideMark/>
          </w:tcPr>
          <w:p w14:paraId="746EB8F4" w14:textId="77777777" w:rsidR="00BE6461" w:rsidRPr="00BE6461" w:rsidRDefault="00BE6461" w:rsidP="00BE6461">
            <w:pPr>
              <w:rPr>
                <w:sz w:val="20"/>
                <w:szCs w:val="20"/>
              </w:rPr>
            </w:pPr>
            <w:r w:rsidRPr="00BE6461">
              <w:rPr>
                <w:sz w:val="20"/>
                <w:szCs w:val="20"/>
              </w:rPr>
              <w:t xml:space="preserve">Usluge promidžbe i informiranja                                                                     </w:t>
            </w:r>
          </w:p>
        </w:tc>
        <w:tc>
          <w:tcPr>
            <w:tcW w:w="1503" w:type="dxa"/>
            <w:tcBorders>
              <w:top w:val="nil"/>
              <w:left w:val="nil"/>
              <w:bottom w:val="nil"/>
              <w:right w:val="nil"/>
            </w:tcBorders>
            <w:shd w:val="clear" w:color="auto" w:fill="auto"/>
            <w:noWrap/>
            <w:vAlign w:val="bottom"/>
            <w:hideMark/>
          </w:tcPr>
          <w:p w14:paraId="56BA63A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78EA137" w14:textId="77777777" w:rsidR="00BE6461" w:rsidRPr="00BE6461" w:rsidRDefault="00BE6461" w:rsidP="00BE6461">
            <w:pPr>
              <w:jc w:val="right"/>
              <w:rPr>
                <w:sz w:val="20"/>
                <w:szCs w:val="20"/>
              </w:rPr>
            </w:pPr>
            <w:r w:rsidRPr="00BE6461">
              <w:rPr>
                <w:sz w:val="20"/>
                <w:szCs w:val="20"/>
              </w:rPr>
              <w:t>32.343,75</w:t>
            </w:r>
          </w:p>
        </w:tc>
        <w:tc>
          <w:tcPr>
            <w:tcW w:w="1100" w:type="dxa"/>
            <w:tcBorders>
              <w:top w:val="nil"/>
              <w:left w:val="nil"/>
              <w:bottom w:val="nil"/>
              <w:right w:val="nil"/>
            </w:tcBorders>
            <w:shd w:val="clear" w:color="auto" w:fill="auto"/>
            <w:noWrap/>
            <w:vAlign w:val="bottom"/>
            <w:hideMark/>
          </w:tcPr>
          <w:p w14:paraId="45CB8BC1" w14:textId="77777777" w:rsidR="00BE6461" w:rsidRPr="00BE6461" w:rsidRDefault="00BE6461" w:rsidP="00BE6461">
            <w:pPr>
              <w:jc w:val="right"/>
              <w:rPr>
                <w:sz w:val="20"/>
                <w:szCs w:val="20"/>
              </w:rPr>
            </w:pPr>
          </w:p>
        </w:tc>
      </w:tr>
      <w:tr w:rsidR="00BE6461" w:rsidRPr="00BE6461" w14:paraId="7A73C523" w14:textId="77777777" w:rsidTr="00BE6461">
        <w:trPr>
          <w:trHeight w:val="300"/>
        </w:trPr>
        <w:tc>
          <w:tcPr>
            <w:tcW w:w="1703" w:type="dxa"/>
            <w:tcBorders>
              <w:top w:val="nil"/>
              <w:left w:val="nil"/>
              <w:bottom w:val="nil"/>
              <w:right w:val="nil"/>
            </w:tcBorders>
            <w:shd w:val="clear" w:color="auto" w:fill="auto"/>
            <w:noWrap/>
            <w:vAlign w:val="bottom"/>
            <w:hideMark/>
          </w:tcPr>
          <w:p w14:paraId="72F162FC" w14:textId="77777777" w:rsidR="00BE6461" w:rsidRPr="00BE6461" w:rsidRDefault="00BE6461" w:rsidP="00BE6461">
            <w:pPr>
              <w:rPr>
                <w:sz w:val="20"/>
                <w:szCs w:val="20"/>
              </w:rPr>
            </w:pPr>
            <w:r w:rsidRPr="00BE6461">
              <w:rPr>
                <w:sz w:val="20"/>
                <w:szCs w:val="20"/>
              </w:rPr>
              <w:t>3235</w:t>
            </w:r>
          </w:p>
        </w:tc>
        <w:tc>
          <w:tcPr>
            <w:tcW w:w="8457" w:type="dxa"/>
            <w:tcBorders>
              <w:top w:val="nil"/>
              <w:left w:val="nil"/>
              <w:bottom w:val="nil"/>
              <w:right w:val="nil"/>
            </w:tcBorders>
            <w:shd w:val="clear" w:color="auto" w:fill="auto"/>
            <w:vAlign w:val="bottom"/>
            <w:hideMark/>
          </w:tcPr>
          <w:p w14:paraId="316F4B2B" w14:textId="77777777" w:rsidR="00BE6461" w:rsidRPr="00BE6461" w:rsidRDefault="00BE6461" w:rsidP="00BE6461">
            <w:pPr>
              <w:rPr>
                <w:sz w:val="20"/>
                <w:szCs w:val="20"/>
              </w:rPr>
            </w:pPr>
            <w:r w:rsidRPr="00BE6461">
              <w:rPr>
                <w:sz w:val="20"/>
                <w:szCs w:val="20"/>
              </w:rPr>
              <w:t xml:space="preserve">Zakupnine i najamnine                                                                               </w:t>
            </w:r>
          </w:p>
        </w:tc>
        <w:tc>
          <w:tcPr>
            <w:tcW w:w="1503" w:type="dxa"/>
            <w:tcBorders>
              <w:top w:val="nil"/>
              <w:left w:val="nil"/>
              <w:bottom w:val="nil"/>
              <w:right w:val="nil"/>
            </w:tcBorders>
            <w:shd w:val="clear" w:color="auto" w:fill="auto"/>
            <w:noWrap/>
            <w:vAlign w:val="bottom"/>
            <w:hideMark/>
          </w:tcPr>
          <w:p w14:paraId="15A3809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C88339C" w14:textId="77777777" w:rsidR="00BE6461" w:rsidRPr="00BE6461" w:rsidRDefault="00BE6461" w:rsidP="00BE6461">
            <w:pPr>
              <w:jc w:val="right"/>
              <w:rPr>
                <w:sz w:val="20"/>
                <w:szCs w:val="20"/>
              </w:rPr>
            </w:pPr>
            <w:r w:rsidRPr="00BE6461">
              <w:rPr>
                <w:sz w:val="20"/>
                <w:szCs w:val="20"/>
              </w:rPr>
              <w:t>30.125,00</w:t>
            </w:r>
          </w:p>
        </w:tc>
        <w:tc>
          <w:tcPr>
            <w:tcW w:w="1100" w:type="dxa"/>
            <w:tcBorders>
              <w:top w:val="nil"/>
              <w:left w:val="nil"/>
              <w:bottom w:val="nil"/>
              <w:right w:val="nil"/>
            </w:tcBorders>
            <w:shd w:val="clear" w:color="auto" w:fill="auto"/>
            <w:noWrap/>
            <w:vAlign w:val="bottom"/>
            <w:hideMark/>
          </w:tcPr>
          <w:p w14:paraId="5030C7F4" w14:textId="77777777" w:rsidR="00BE6461" w:rsidRPr="00BE6461" w:rsidRDefault="00BE6461" w:rsidP="00BE6461">
            <w:pPr>
              <w:jc w:val="right"/>
              <w:rPr>
                <w:sz w:val="20"/>
                <w:szCs w:val="20"/>
              </w:rPr>
            </w:pPr>
          </w:p>
        </w:tc>
      </w:tr>
      <w:tr w:rsidR="00BE6461" w:rsidRPr="00BE6461" w14:paraId="740C68E8" w14:textId="77777777" w:rsidTr="00BE6461">
        <w:trPr>
          <w:trHeight w:val="300"/>
        </w:trPr>
        <w:tc>
          <w:tcPr>
            <w:tcW w:w="1703" w:type="dxa"/>
            <w:tcBorders>
              <w:top w:val="nil"/>
              <w:left w:val="nil"/>
              <w:bottom w:val="nil"/>
              <w:right w:val="nil"/>
            </w:tcBorders>
            <w:shd w:val="clear" w:color="auto" w:fill="auto"/>
            <w:noWrap/>
            <w:vAlign w:val="bottom"/>
            <w:hideMark/>
          </w:tcPr>
          <w:p w14:paraId="465EC654" w14:textId="77777777" w:rsidR="00BE6461" w:rsidRPr="00BE6461" w:rsidRDefault="00BE6461" w:rsidP="00BE6461">
            <w:pPr>
              <w:rPr>
                <w:sz w:val="20"/>
                <w:szCs w:val="20"/>
              </w:rPr>
            </w:pPr>
            <w:r w:rsidRPr="00BE6461">
              <w:rPr>
                <w:sz w:val="20"/>
                <w:szCs w:val="20"/>
              </w:rPr>
              <w:t>3239</w:t>
            </w:r>
          </w:p>
        </w:tc>
        <w:tc>
          <w:tcPr>
            <w:tcW w:w="8457" w:type="dxa"/>
            <w:tcBorders>
              <w:top w:val="nil"/>
              <w:left w:val="nil"/>
              <w:bottom w:val="nil"/>
              <w:right w:val="nil"/>
            </w:tcBorders>
            <w:shd w:val="clear" w:color="auto" w:fill="auto"/>
            <w:vAlign w:val="bottom"/>
            <w:hideMark/>
          </w:tcPr>
          <w:p w14:paraId="3CEB4CAC" w14:textId="77777777" w:rsidR="00BE6461" w:rsidRPr="00BE6461" w:rsidRDefault="00BE6461" w:rsidP="00BE6461">
            <w:pPr>
              <w:rPr>
                <w:sz w:val="20"/>
                <w:szCs w:val="20"/>
              </w:rPr>
            </w:pPr>
            <w:r w:rsidRPr="00BE6461">
              <w:rPr>
                <w:sz w:val="20"/>
                <w:szCs w:val="20"/>
              </w:rPr>
              <w:t xml:space="preserve">Ostale usluge                                                                                       </w:t>
            </w:r>
          </w:p>
        </w:tc>
        <w:tc>
          <w:tcPr>
            <w:tcW w:w="1503" w:type="dxa"/>
            <w:tcBorders>
              <w:top w:val="nil"/>
              <w:left w:val="nil"/>
              <w:bottom w:val="nil"/>
              <w:right w:val="nil"/>
            </w:tcBorders>
            <w:shd w:val="clear" w:color="auto" w:fill="auto"/>
            <w:noWrap/>
            <w:vAlign w:val="bottom"/>
            <w:hideMark/>
          </w:tcPr>
          <w:p w14:paraId="29E9394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3463320" w14:textId="77777777" w:rsidR="00BE6461" w:rsidRPr="00BE6461" w:rsidRDefault="00BE6461" w:rsidP="00BE6461">
            <w:pPr>
              <w:jc w:val="right"/>
              <w:rPr>
                <w:sz w:val="20"/>
                <w:szCs w:val="20"/>
              </w:rPr>
            </w:pPr>
            <w:r w:rsidRPr="00BE6461">
              <w:rPr>
                <w:sz w:val="20"/>
                <w:szCs w:val="20"/>
              </w:rPr>
              <w:t>27.737,50</w:t>
            </w:r>
          </w:p>
        </w:tc>
        <w:tc>
          <w:tcPr>
            <w:tcW w:w="1100" w:type="dxa"/>
            <w:tcBorders>
              <w:top w:val="nil"/>
              <w:left w:val="nil"/>
              <w:bottom w:val="nil"/>
              <w:right w:val="nil"/>
            </w:tcBorders>
            <w:shd w:val="clear" w:color="auto" w:fill="auto"/>
            <w:noWrap/>
            <w:vAlign w:val="bottom"/>
            <w:hideMark/>
          </w:tcPr>
          <w:p w14:paraId="67243B86" w14:textId="77777777" w:rsidR="00BE6461" w:rsidRPr="00BE6461" w:rsidRDefault="00BE6461" w:rsidP="00BE6461">
            <w:pPr>
              <w:jc w:val="right"/>
              <w:rPr>
                <w:sz w:val="20"/>
                <w:szCs w:val="20"/>
              </w:rPr>
            </w:pPr>
          </w:p>
        </w:tc>
      </w:tr>
      <w:tr w:rsidR="00BE6461" w:rsidRPr="00BE6461" w14:paraId="1D3DD43C" w14:textId="77777777" w:rsidTr="00BE6461">
        <w:trPr>
          <w:trHeight w:val="300"/>
        </w:trPr>
        <w:tc>
          <w:tcPr>
            <w:tcW w:w="1703" w:type="dxa"/>
            <w:tcBorders>
              <w:top w:val="nil"/>
              <w:left w:val="nil"/>
              <w:bottom w:val="nil"/>
              <w:right w:val="nil"/>
            </w:tcBorders>
            <w:shd w:val="clear" w:color="auto" w:fill="auto"/>
            <w:noWrap/>
            <w:vAlign w:val="bottom"/>
            <w:hideMark/>
          </w:tcPr>
          <w:p w14:paraId="1B217555"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6D9F0AD4"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096F55C3" w14:textId="77777777" w:rsidR="00BE6461" w:rsidRPr="00BE6461" w:rsidRDefault="00BE6461" w:rsidP="00BE6461">
            <w:pPr>
              <w:jc w:val="right"/>
              <w:rPr>
                <w:b/>
                <w:bCs/>
                <w:sz w:val="20"/>
                <w:szCs w:val="20"/>
              </w:rPr>
            </w:pPr>
            <w:r w:rsidRPr="00BE6461">
              <w:rPr>
                <w:b/>
                <w:bCs/>
                <w:sz w:val="20"/>
                <w:szCs w:val="20"/>
              </w:rPr>
              <w:t>90.500,00</w:t>
            </w:r>
          </w:p>
        </w:tc>
        <w:tc>
          <w:tcPr>
            <w:tcW w:w="1500" w:type="dxa"/>
            <w:tcBorders>
              <w:top w:val="nil"/>
              <w:left w:val="nil"/>
              <w:bottom w:val="nil"/>
              <w:right w:val="nil"/>
            </w:tcBorders>
            <w:shd w:val="clear" w:color="auto" w:fill="auto"/>
            <w:noWrap/>
            <w:vAlign w:val="bottom"/>
            <w:hideMark/>
          </w:tcPr>
          <w:p w14:paraId="0F39DF4D" w14:textId="77777777" w:rsidR="00BE6461" w:rsidRPr="00BE6461" w:rsidRDefault="00BE6461" w:rsidP="00BE6461">
            <w:pPr>
              <w:jc w:val="right"/>
              <w:rPr>
                <w:b/>
                <w:bCs/>
                <w:sz w:val="20"/>
                <w:szCs w:val="20"/>
              </w:rPr>
            </w:pPr>
            <w:r w:rsidRPr="00BE6461">
              <w:rPr>
                <w:b/>
                <w:bCs/>
                <w:sz w:val="20"/>
                <w:szCs w:val="20"/>
              </w:rPr>
              <w:t>78.723,46</w:t>
            </w:r>
          </w:p>
        </w:tc>
        <w:tc>
          <w:tcPr>
            <w:tcW w:w="1100" w:type="dxa"/>
            <w:tcBorders>
              <w:top w:val="nil"/>
              <w:left w:val="nil"/>
              <w:bottom w:val="nil"/>
              <w:right w:val="nil"/>
            </w:tcBorders>
            <w:shd w:val="clear" w:color="auto" w:fill="auto"/>
            <w:noWrap/>
            <w:vAlign w:val="bottom"/>
            <w:hideMark/>
          </w:tcPr>
          <w:p w14:paraId="3A384F0F" w14:textId="77777777" w:rsidR="00BE6461" w:rsidRPr="00BE6461" w:rsidRDefault="00BE6461" w:rsidP="00BE6461">
            <w:pPr>
              <w:jc w:val="right"/>
              <w:rPr>
                <w:b/>
                <w:bCs/>
                <w:sz w:val="20"/>
                <w:szCs w:val="20"/>
              </w:rPr>
            </w:pPr>
            <w:r w:rsidRPr="00BE6461">
              <w:rPr>
                <w:b/>
                <w:bCs/>
                <w:sz w:val="20"/>
                <w:szCs w:val="20"/>
              </w:rPr>
              <w:t>86,99</w:t>
            </w:r>
          </w:p>
        </w:tc>
      </w:tr>
      <w:tr w:rsidR="00BE6461" w:rsidRPr="00BE6461" w14:paraId="2A6E7FA1" w14:textId="77777777" w:rsidTr="00BE6461">
        <w:trPr>
          <w:trHeight w:val="300"/>
        </w:trPr>
        <w:tc>
          <w:tcPr>
            <w:tcW w:w="1703" w:type="dxa"/>
            <w:tcBorders>
              <w:top w:val="nil"/>
              <w:left w:val="nil"/>
              <w:bottom w:val="nil"/>
              <w:right w:val="nil"/>
            </w:tcBorders>
            <w:shd w:val="clear" w:color="auto" w:fill="auto"/>
            <w:noWrap/>
            <w:vAlign w:val="bottom"/>
            <w:hideMark/>
          </w:tcPr>
          <w:p w14:paraId="6803B6D8" w14:textId="77777777" w:rsidR="00BE6461" w:rsidRPr="00BE6461" w:rsidRDefault="00BE6461" w:rsidP="00BE6461">
            <w:pPr>
              <w:rPr>
                <w:sz w:val="20"/>
                <w:szCs w:val="20"/>
              </w:rPr>
            </w:pPr>
            <w:r w:rsidRPr="00BE6461">
              <w:rPr>
                <w:sz w:val="20"/>
                <w:szCs w:val="20"/>
              </w:rPr>
              <w:t>3293</w:t>
            </w:r>
          </w:p>
        </w:tc>
        <w:tc>
          <w:tcPr>
            <w:tcW w:w="8457" w:type="dxa"/>
            <w:tcBorders>
              <w:top w:val="nil"/>
              <w:left w:val="nil"/>
              <w:bottom w:val="nil"/>
              <w:right w:val="nil"/>
            </w:tcBorders>
            <w:shd w:val="clear" w:color="auto" w:fill="auto"/>
            <w:vAlign w:val="bottom"/>
            <w:hideMark/>
          </w:tcPr>
          <w:p w14:paraId="718A6D62" w14:textId="77777777" w:rsidR="00BE6461" w:rsidRPr="00BE6461" w:rsidRDefault="00BE6461" w:rsidP="00BE6461">
            <w:pPr>
              <w:rPr>
                <w:sz w:val="20"/>
                <w:szCs w:val="20"/>
              </w:rPr>
            </w:pPr>
            <w:r w:rsidRPr="00BE6461">
              <w:rPr>
                <w:sz w:val="20"/>
                <w:szCs w:val="20"/>
              </w:rPr>
              <w:t xml:space="preserve">Reprezentacija                                                                                      </w:t>
            </w:r>
          </w:p>
        </w:tc>
        <w:tc>
          <w:tcPr>
            <w:tcW w:w="1503" w:type="dxa"/>
            <w:tcBorders>
              <w:top w:val="nil"/>
              <w:left w:val="nil"/>
              <w:bottom w:val="nil"/>
              <w:right w:val="nil"/>
            </w:tcBorders>
            <w:shd w:val="clear" w:color="auto" w:fill="auto"/>
            <w:noWrap/>
            <w:vAlign w:val="bottom"/>
            <w:hideMark/>
          </w:tcPr>
          <w:p w14:paraId="66933E89"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9D30A60" w14:textId="77777777" w:rsidR="00BE6461" w:rsidRPr="00BE6461" w:rsidRDefault="00BE6461" w:rsidP="00BE6461">
            <w:pPr>
              <w:jc w:val="right"/>
              <w:rPr>
                <w:sz w:val="20"/>
                <w:szCs w:val="20"/>
              </w:rPr>
            </w:pPr>
            <w:r w:rsidRPr="00BE6461">
              <w:rPr>
                <w:sz w:val="20"/>
                <w:szCs w:val="20"/>
              </w:rPr>
              <w:t>37.358,46</w:t>
            </w:r>
          </w:p>
        </w:tc>
        <w:tc>
          <w:tcPr>
            <w:tcW w:w="1100" w:type="dxa"/>
            <w:tcBorders>
              <w:top w:val="nil"/>
              <w:left w:val="nil"/>
              <w:bottom w:val="nil"/>
              <w:right w:val="nil"/>
            </w:tcBorders>
            <w:shd w:val="clear" w:color="auto" w:fill="auto"/>
            <w:noWrap/>
            <w:vAlign w:val="bottom"/>
            <w:hideMark/>
          </w:tcPr>
          <w:p w14:paraId="7041E155" w14:textId="77777777" w:rsidR="00BE6461" w:rsidRPr="00BE6461" w:rsidRDefault="00BE6461" w:rsidP="00BE6461">
            <w:pPr>
              <w:jc w:val="right"/>
              <w:rPr>
                <w:sz w:val="20"/>
                <w:szCs w:val="20"/>
              </w:rPr>
            </w:pPr>
          </w:p>
        </w:tc>
      </w:tr>
      <w:tr w:rsidR="00BE6461" w:rsidRPr="00BE6461" w14:paraId="19229260" w14:textId="77777777" w:rsidTr="00BE6461">
        <w:trPr>
          <w:trHeight w:val="300"/>
        </w:trPr>
        <w:tc>
          <w:tcPr>
            <w:tcW w:w="1703" w:type="dxa"/>
            <w:tcBorders>
              <w:top w:val="nil"/>
              <w:left w:val="nil"/>
              <w:bottom w:val="nil"/>
              <w:right w:val="nil"/>
            </w:tcBorders>
            <w:shd w:val="clear" w:color="auto" w:fill="auto"/>
            <w:noWrap/>
            <w:vAlign w:val="bottom"/>
            <w:hideMark/>
          </w:tcPr>
          <w:p w14:paraId="6C22FFCE" w14:textId="77777777" w:rsidR="00BE6461" w:rsidRPr="00BE6461" w:rsidRDefault="00BE6461" w:rsidP="00BE6461">
            <w:pPr>
              <w:rPr>
                <w:sz w:val="20"/>
                <w:szCs w:val="20"/>
              </w:rPr>
            </w:pPr>
            <w:r w:rsidRPr="00BE6461">
              <w:rPr>
                <w:sz w:val="20"/>
                <w:szCs w:val="20"/>
              </w:rPr>
              <w:t>3299</w:t>
            </w:r>
          </w:p>
        </w:tc>
        <w:tc>
          <w:tcPr>
            <w:tcW w:w="8457" w:type="dxa"/>
            <w:tcBorders>
              <w:top w:val="nil"/>
              <w:left w:val="nil"/>
              <w:bottom w:val="nil"/>
              <w:right w:val="nil"/>
            </w:tcBorders>
            <w:shd w:val="clear" w:color="auto" w:fill="auto"/>
            <w:vAlign w:val="bottom"/>
            <w:hideMark/>
          </w:tcPr>
          <w:p w14:paraId="15BC6425" w14:textId="77777777" w:rsidR="00BE6461" w:rsidRPr="00BE6461" w:rsidRDefault="00BE6461" w:rsidP="00BE6461">
            <w:pPr>
              <w:rPr>
                <w:sz w:val="20"/>
                <w:szCs w:val="20"/>
              </w:rPr>
            </w:pPr>
            <w:r w:rsidRPr="00BE6461">
              <w:rPr>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775A9EE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A8EFE59" w14:textId="77777777" w:rsidR="00BE6461" w:rsidRPr="00BE6461" w:rsidRDefault="00BE6461" w:rsidP="00BE6461">
            <w:pPr>
              <w:jc w:val="right"/>
              <w:rPr>
                <w:sz w:val="20"/>
                <w:szCs w:val="20"/>
              </w:rPr>
            </w:pPr>
            <w:r w:rsidRPr="00BE6461">
              <w:rPr>
                <w:sz w:val="20"/>
                <w:szCs w:val="20"/>
              </w:rPr>
              <w:t>41.365,00</w:t>
            </w:r>
          </w:p>
        </w:tc>
        <w:tc>
          <w:tcPr>
            <w:tcW w:w="1100" w:type="dxa"/>
            <w:tcBorders>
              <w:top w:val="nil"/>
              <w:left w:val="nil"/>
              <w:bottom w:val="nil"/>
              <w:right w:val="nil"/>
            </w:tcBorders>
            <w:shd w:val="clear" w:color="auto" w:fill="auto"/>
            <w:noWrap/>
            <w:vAlign w:val="bottom"/>
            <w:hideMark/>
          </w:tcPr>
          <w:p w14:paraId="0AC0950C" w14:textId="77777777" w:rsidR="00BE6461" w:rsidRPr="00BE6461" w:rsidRDefault="00BE6461" w:rsidP="00BE6461">
            <w:pPr>
              <w:jc w:val="right"/>
              <w:rPr>
                <w:sz w:val="20"/>
                <w:szCs w:val="20"/>
              </w:rPr>
            </w:pPr>
          </w:p>
        </w:tc>
      </w:tr>
      <w:tr w:rsidR="00BE6461" w:rsidRPr="00BE6461" w14:paraId="0F717F14"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5E563C5F" w14:textId="77777777" w:rsidR="00BE6461" w:rsidRPr="00BE6461" w:rsidRDefault="00BE6461" w:rsidP="00BE6461">
            <w:pPr>
              <w:rPr>
                <w:b/>
                <w:bCs/>
                <w:sz w:val="20"/>
                <w:szCs w:val="20"/>
              </w:rPr>
            </w:pPr>
            <w:r w:rsidRPr="00BE6461">
              <w:rPr>
                <w:b/>
                <w:bCs/>
                <w:sz w:val="20"/>
                <w:szCs w:val="20"/>
              </w:rPr>
              <w:t>A100004</w:t>
            </w:r>
          </w:p>
        </w:tc>
        <w:tc>
          <w:tcPr>
            <w:tcW w:w="8457" w:type="dxa"/>
            <w:tcBorders>
              <w:top w:val="single" w:sz="4" w:space="0" w:color="auto"/>
              <w:left w:val="nil"/>
              <w:bottom w:val="single" w:sz="4" w:space="0" w:color="auto"/>
              <w:right w:val="nil"/>
            </w:tcBorders>
            <w:shd w:val="clear" w:color="auto" w:fill="auto"/>
            <w:vAlign w:val="bottom"/>
            <w:hideMark/>
          </w:tcPr>
          <w:p w14:paraId="2D56FE00" w14:textId="77777777" w:rsidR="00BE6461" w:rsidRPr="00BE6461" w:rsidRDefault="00BE6461" w:rsidP="00BE6461">
            <w:pPr>
              <w:rPr>
                <w:b/>
                <w:bCs/>
                <w:sz w:val="20"/>
                <w:szCs w:val="20"/>
              </w:rPr>
            </w:pPr>
            <w:r w:rsidRPr="00BE6461">
              <w:rPr>
                <w:b/>
                <w:bCs/>
                <w:sz w:val="20"/>
                <w:szCs w:val="20"/>
              </w:rPr>
              <w:t xml:space="preserve">Aktivnost: REDOVITO FINANCIRANJE POLITIČKIH STRANAKA </w:t>
            </w:r>
          </w:p>
        </w:tc>
        <w:tc>
          <w:tcPr>
            <w:tcW w:w="1503" w:type="dxa"/>
            <w:tcBorders>
              <w:top w:val="single" w:sz="4" w:space="0" w:color="auto"/>
              <w:left w:val="nil"/>
              <w:bottom w:val="single" w:sz="4" w:space="0" w:color="auto"/>
              <w:right w:val="nil"/>
            </w:tcBorders>
            <w:shd w:val="clear" w:color="auto" w:fill="auto"/>
            <w:noWrap/>
            <w:vAlign w:val="bottom"/>
            <w:hideMark/>
          </w:tcPr>
          <w:p w14:paraId="7D5B18A4" w14:textId="77777777" w:rsidR="00BE6461" w:rsidRPr="00BE6461" w:rsidRDefault="00BE6461" w:rsidP="00BE6461">
            <w:pPr>
              <w:jc w:val="right"/>
              <w:rPr>
                <w:b/>
                <w:bCs/>
                <w:sz w:val="20"/>
                <w:szCs w:val="20"/>
              </w:rPr>
            </w:pPr>
            <w:r w:rsidRPr="00BE6461">
              <w:rPr>
                <w:b/>
                <w:bCs/>
                <w:sz w:val="20"/>
                <w:szCs w:val="20"/>
              </w:rPr>
              <w:t>33.800,00</w:t>
            </w:r>
          </w:p>
        </w:tc>
        <w:tc>
          <w:tcPr>
            <w:tcW w:w="1500" w:type="dxa"/>
            <w:tcBorders>
              <w:top w:val="single" w:sz="4" w:space="0" w:color="auto"/>
              <w:left w:val="nil"/>
              <w:bottom w:val="single" w:sz="4" w:space="0" w:color="auto"/>
              <w:right w:val="nil"/>
            </w:tcBorders>
            <w:shd w:val="clear" w:color="auto" w:fill="auto"/>
            <w:noWrap/>
            <w:vAlign w:val="bottom"/>
            <w:hideMark/>
          </w:tcPr>
          <w:p w14:paraId="2ACD5932" w14:textId="77777777" w:rsidR="00BE6461" w:rsidRPr="00BE6461" w:rsidRDefault="00BE6461" w:rsidP="00BE6461">
            <w:pPr>
              <w:jc w:val="right"/>
              <w:rPr>
                <w:b/>
                <w:bCs/>
                <w:sz w:val="20"/>
                <w:szCs w:val="20"/>
              </w:rPr>
            </w:pPr>
            <w:r w:rsidRPr="00BE6461">
              <w:rPr>
                <w:b/>
                <w:bCs/>
                <w:sz w:val="20"/>
                <w:szCs w:val="20"/>
              </w:rPr>
              <w:t>33.800,00</w:t>
            </w:r>
          </w:p>
        </w:tc>
        <w:tc>
          <w:tcPr>
            <w:tcW w:w="1100" w:type="dxa"/>
            <w:tcBorders>
              <w:top w:val="single" w:sz="4" w:space="0" w:color="auto"/>
              <w:left w:val="nil"/>
              <w:bottom w:val="single" w:sz="4" w:space="0" w:color="auto"/>
              <w:right w:val="nil"/>
            </w:tcBorders>
            <w:shd w:val="clear" w:color="auto" w:fill="auto"/>
            <w:noWrap/>
            <w:vAlign w:val="bottom"/>
            <w:hideMark/>
          </w:tcPr>
          <w:p w14:paraId="22E39255"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154C663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024DE96"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717BDC6F" w14:textId="77777777" w:rsidR="00BE6461" w:rsidRPr="00BE6461" w:rsidRDefault="00BE6461" w:rsidP="00BE6461">
            <w:pPr>
              <w:jc w:val="right"/>
              <w:rPr>
                <w:b/>
                <w:bCs/>
                <w:color w:val="333333"/>
                <w:sz w:val="20"/>
                <w:szCs w:val="20"/>
              </w:rPr>
            </w:pPr>
            <w:r w:rsidRPr="00BE6461">
              <w:rPr>
                <w:b/>
                <w:bCs/>
                <w:color w:val="333333"/>
                <w:sz w:val="20"/>
                <w:szCs w:val="20"/>
              </w:rPr>
              <w:t>33.800,00</w:t>
            </w:r>
          </w:p>
        </w:tc>
        <w:tc>
          <w:tcPr>
            <w:tcW w:w="1500" w:type="dxa"/>
            <w:tcBorders>
              <w:top w:val="nil"/>
              <w:left w:val="nil"/>
              <w:bottom w:val="nil"/>
              <w:right w:val="nil"/>
            </w:tcBorders>
            <w:shd w:val="clear" w:color="auto" w:fill="auto"/>
            <w:noWrap/>
            <w:vAlign w:val="bottom"/>
            <w:hideMark/>
          </w:tcPr>
          <w:p w14:paraId="37C47427" w14:textId="77777777" w:rsidR="00BE6461" w:rsidRPr="00BE6461" w:rsidRDefault="00BE6461" w:rsidP="00BE6461">
            <w:pPr>
              <w:jc w:val="right"/>
              <w:rPr>
                <w:b/>
                <w:bCs/>
                <w:color w:val="333333"/>
                <w:sz w:val="20"/>
                <w:szCs w:val="20"/>
              </w:rPr>
            </w:pPr>
            <w:r w:rsidRPr="00BE6461">
              <w:rPr>
                <w:b/>
                <w:bCs/>
                <w:color w:val="333333"/>
                <w:sz w:val="20"/>
                <w:szCs w:val="20"/>
              </w:rPr>
              <w:t>33.800,00</w:t>
            </w:r>
          </w:p>
        </w:tc>
        <w:tc>
          <w:tcPr>
            <w:tcW w:w="1100" w:type="dxa"/>
            <w:tcBorders>
              <w:top w:val="nil"/>
              <w:left w:val="nil"/>
              <w:bottom w:val="nil"/>
              <w:right w:val="nil"/>
            </w:tcBorders>
            <w:shd w:val="clear" w:color="auto" w:fill="auto"/>
            <w:noWrap/>
            <w:vAlign w:val="bottom"/>
            <w:hideMark/>
          </w:tcPr>
          <w:p w14:paraId="06A8D051"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3D1282DA"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EFA9EC1"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5FA92A3A" w14:textId="77777777" w:rsidR="00BE6461" w:rsidRPr="00BE6461" w:rsidRDefault="00BE6461" w:rsidP="00BE6461">
            <w:pPr>
              <w:jc w:val="right"/>
              <w:rPr>
                <w:b/>
                <w:bCs/>
                <w:color w:val="333333"/>
                <w:sz w:val="20"/>
                <w:szCs w:val="20"/>
              </w:rPr>
            </w:pPr>
            <w:r w:rsidRPr="00BE6461">
              <w:rPr>
                <w:b/>
                <w:bCs/>
                <w:color w:val="333333"/>
                <w:sz w:val="20"/>
                <w:szCs w:val="20"/>
              </w:rPr>
              <w:t>33.800,00</w:t>
            </w:r>
          </w:p>
        </w:tc>
        <w:tc>
          <w:tcPr>
            <w:tcW w:w="1500" w:type="dxa"/>
            <w:tcBorders>
              <w:top w:val="nil"/>
              <w:left w:val="nil"/>
              <w:bottom w:val="nil"/>
              <w:right w:val="nil"/>
            </w:tcBorders>
            <w:shd w:val="clear" w:color="auto" w:fill="auto"/>
            <w:noWrap/>
            <w:vAlign w:val="bottom"/>
            <w:hideMark/>
          </w:tcPr>
          <w:p w14:paraId="77C5E449" w14:textId="77777777" w:rsidR="00BE6461" w:rsidRPr="00BE6461" w:rsidRDefault="00BE6461" w:rsidP="00BE6461">
            <w:pPr>
              <w:jc w:val="right"/>
              <w:rPr>
                <w:b/>
                <w:bCs/>
                <w:color w:val="333333"/>
                <w:sz w:val="20"/>
                <w:szCs w:val="20"/>
              </w:rPr>
            </w:pPr>
            <w:r w:rsidRPr="00BE6461">
              <w:rPr>
                <w:b/>
                <w:bCs/>
                <w:color w:val="333333"/>
                <w:sz w:val="20"/>
                <w:szCs w:val="20"/>
              </w:rPr>
              <w:t>33.800,00</w:t>
            </w:r>
          </w:p>
        </w:tc>
        <w:tc>
          <w:tcPr>
            <w:tcW w:w="1100" w:type="dxa"/>
            <w:tcBorders>
              <w:top w:val="nil"/>
              <w:left w:val="nil"/>
              <w:bottom w:val="nil"/>
              <w:right w:val="nil"/>
            </w:tcBorders>
            <w:shd w:val="clear" w:color="auto" w:fill="auto"/>
            <w:noWrap/>
            <w:vAlign w:val="bottom"/>
            <w:hideMark/>
          </w:tcPr>
          <w:p w14:paraId="7DD3AFF7"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0A1E0F1A" w14:textId="77777777" w:rsidTr="00BE6461">
        <w:trPr>
          <w:trHeight w:val="300"/>
        </w:trPr>
        <w:tc>
          <w:tcPr>
            <w:tcW w:w="1703" w:type="dxa"/>
            <w:tcBorders>
              <w:top w:val="nil"/>
              <w:left w:val="nil"/>
              <w:bottom w:val="nil"/>
              <w:right w:val="nil"/>
            </w:tcBorders>
            <w:shd w:val="clear" w:color="auto" w:fill="auto"/>
            <w:noWrap/>
            <w:vAlign w:val="bottom"/>
            <w:hideMark/>
          </w:tcPr>
          <w:p w14:paraId="0A32C33C" w14:textId="77777777" w:rsidR="00BE6461" w:rsidRPr="00BE6461" w:rsidRDefault="00BE6461" w:rsidP="00BE6461">
            <w:pPr>
              <w:rPr>
                <w:b/>
                <w:bCs/>
                <w:sz w:val="20"/>
                <w:szCs w:val="20"/>
              </w:rPr>
            </w:pPr>
            <w:r w:rsidRPr="00BE6461">
              <w:rPr>
                <w:b/>
                <w:bCs/>
                <w:sz w:val="20"/>
                <w:szCs w:val="20"/>
              </w:rPr>
              <w:t>381</w:t>
            </w:r>
          </w:p>
        </w:tc>
        <w:tc>
          <w:tcPr>
            <w:tcW w:w="8457" w:type="dxa"/>
            <w:tcBorders>
              <w:top w:val="nil"/>
              <w:left w:val="nil"/>
              <w:bottom w:val="nil"/>
              <w:right w:val="nil"/>
            </w:tcBorders>
            <w:shd w:val="clear" w:color="auto" w:fill="auto"/>
            <w:vAlign w:val="bottom"/>
            <w:hideMark/>
          </w:tcPr>
          <w:p w14:paraId="587886B3" w14:textId="77777777" w:rsidR="00BE6461" w:rsidRPr="00BE6461" w:rsidRDefault="00BE6461" w:rsidP="00BE6461">
            <w:pPr>
              <w:rPr>
                <w:b/>
                <w:bCs/>
                <w:sz w:val="20"/>
                <w:szCs w:val="20"/>
              </w:rPr>
            </w:pPr>
            <w:r w:rsidRPr="00BE6461">
              <w:rPr>
                <w:b/>
                <w:bCs/>
                <w:sz w:val="20"/>
                <w:szCs w:val="20"/>
              </w:rPr>
              <w:t xml:space="preserve">Tekuće donacije                                                                                     </w:t>
            </w:r>
          </w:p>
        </w:tc>
        <w:tc>
          <w:tcPr>
            <w:tcW w:w="1503" w:type="dxa"/>
            <w:tcBorders>
              <w:top w:val="nil"/>
              <w:left w:val="nil"/>
              <w:bottom w:val="nil"/>
              <w:right w:val="nil"/>
            </w:tcBorders>
            <w:shd w:val="clear" w:color="auto" w:fill="auto"/>
            <w:noWrap/>
            <w:vAlign w:val="bottom"/>
            <w:hideMark/>
          </w:tcPr>
          <w:p w14:paraId="22D459D2" w14:textId="77777777" w:rsidR="00BE6461" w:rsidRPr="00BE6461" w:rsidRDefault="00BE6461" w:rsidP="00BE6461">
            <w:pPr>
              <w:jc w:val="right"/>
              <w:rPr>
                <w:b/>
                <w:bCs/>
                <w:sz w:val="20"/>
                <w:szCs w:val="20"/>
              </w:rPr>
            </w:pPr>
            <w:r w:rsidRPr="00BE6461">
              <w:rPr>
                <w:b/>
                <w:bCs/>
                <w:sz w:val="20"/>
                <w:szCs w:val="20"/>
              </w:rPr>
              <w:t>33.800,00</w:t>
            </w:r>
          </w:p>
        </w:tc>
        <w:tc>
          <w:tcPr>
            <w:tcW w:w="1500" w:type="dxa"/>
            <w:tcBorders>
              <w:top w:val="nil"/>
              <w:left w:val="nil"/>
              <w:bottom w:val="nil"/>
              <w:right w:val="nil"/>
            </w:tcBorders>
            <w:shd w:val="clear" w:color="auto" w:fill="auto"/>
            <w:noWrap/>
            <w:vAlign w:val="bottom"/>
            <w:hideMark/>
          </w:tcPr>
          <w:p w14:paraId="47868A21" w14:textId="77777777" w:rsidR="00BE6461" w:rsidRPr="00BE6461" w:rsidRDefault="00BE6461" w:rsidP="00BE6461">
            <w:pPr>
              <w:jc w:val="right"/>
              <w:rPr>
                <w:b/>
                <w:bCs/>
                <w:sz w:val="20"/>
                <w:szCs w:val="20"/>
              </w:rPr>
            </w:pPr>
            <w:r w:rsidRPr="00BE6461">
              <w:rPr>
                <w:b/>
                <w:bCs/>
                <w:sz w:val="20"/>
                <w:szCs w:val="20"/>
              </w:rPr>
              <w:t>33.800,00</w:t>
            </w:r>
          </w:p>
        </w:tc>
        <w:tc>
          <w:tcPr>
            <w:tcW w:w="1100" w:type="dxa"/>
            <w:tcBorders>
              <w:top w:val="nil"/>
              <w:left w:val="nil"/>
              <w:bottom w:val="nil"/>
              <w:right w:val="nil"/>
            </w:tcBorders>
            <w:shd w:val="clear" w:color="auto" w:fill="auto"/>
            <w:noWrap/>
            <w:vAlign w:val="bottom"/>
            <w:hideMark/>
          </w:tcPr>
          <w:p w14:paraId="0F6E00B6"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4BCD1429" w14:textId="77777777" w:rsidTr="00BE6461">
        <w:trPr>
          <w:trHeight w:val="300"/>
        </w:trPr>
        <w:tc>
          <w:tcPr>
            <w:tcW w:w="1703" w:type="dxa"/>
            <w:tcBorders>
              <w:top w:val="nil"/>
              <w:left w:val="nil"/>
              <w:bottom w:val="nil"/>
              <w:right w:val="nil"/>
            </w:tcBorders>
            <w:shd w:val="clear" w:color="auto" w:fill="auto"/>
            <w:noWrap/>
            <w:vAlign w:val="bottom"/>
            <w:hideMark/>
          </w:tcPr>
          <w:p w14:paraId="3E3608C6" w14:textId="77777777" w:rsidR="00BE6461" w:rsidRPr="00BE6461" w:rsidRDefault="00BE6461" w:rsidP="00BE6461">
            <w:pPr>
              <w:rPr>
                <w:sz w:val="20"/>
                <w:szCs w:val="20"/>
              </w:rPr>
            </w:pPr>
            <w:r w:rsidRPr="00BE6461">
              <w:rPr>
                <w:sz w:val="20"/>
                <w:szCs w:val="20"/>
              </w:rPr>
              <w:t>3811</w:t>
            </w:r>
          </w:p>
        </w:tc>
        <w:tc>
          <w:tcPr>
            <w:tcW w:w="8457" w:type="dxa"/>
            <w:tcBorders>
              <w:top w:val="nil"/>
              <w:left w:val="nil"/>
              <w:bottom w:val="nil"/>
              <w:right w:val="nil"/>
            </w:tcBorders>
            <w:shd w:val="clear" w:color="auto" w:fill="auto"/>
            <w:vAlign w:val="bottom"/>
            <w:hideMark/>
          </w:tcPr>
          <w:p w14:paraId="39FB73D7" w14:textId="77777777" w:rsidR="00BE6461" w:rsidRPr="00BE6461" w:rsidRDefault="00BE6461" w:rsidP="00BE6461">
            <w:pPr>
              <w:rPr>
                <w:sz w:val="20"/>
                <w:szCs w:val="20"/>
              </w:rPr>
            </w:pPr>
            <w:r w:rsidRPr="00BE6461">
              <w:rPr>
                <w:sz w:val="20"/>
                <w:szCs w:val="20"/>
              </w:rPr>
              <w:t xml:space="preserve">Tekuće donacije u novcu                                                                             </w:t>
            </w:r>
          </w:p>
        </w:tc>
        <w:tc>
          <w:tcPr>
            <w:tcW w:w="1503" w:type="dxa"/>
            <w:tcBorders>
              <w:top w:val="nil"/>
              <w:left w:val="nil"/>
              <w:bottom w:val="nil"/>
              <w:right w:val="nil"/>
            </w:tcBorders>
            <w:shd w:val="clear" w:color="auto" w:fill="auto"/>
            <w:noWrap/>
            <w:vAlign w:val="bottom"/>
            <w:hideMark/>
          </w:tcPr>
          <w:p w14:paraId="7E97C5C2"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F8AAEB2" w14:textId="77777777" w:rsidR="00BE6461" w:rsidRPr="00BE6461" w:rsidRDefault="00BE6461" w:rsidP="00BE6461">
            <w:pPr>
              <w:jc w:val="right"/>
              <w:rPr>
                <w:sz w:val="20"/>
                <w:szCs w:val="20"/>
              </w:rPr>
            </w:pPr>
            <w:r w:rsidRPr="00BE6461">
              <w:rPr>
                <w:sz w:val="20"/>
                <w:szCs w:val="20"/>
              </w:rPr>
              <w:t>33.800,00</w:t>
            </w:r>
          </w:p>
        </w:tc>
        <w:tc>
          <w:tcPr>
            <w:tcW w:w="1100" w:type="dxa"/>
            <w:tcBorders>
              <w:top w:val="nil"/>
              <w:left w:val="nil"/>
              <w:bottom w:val="nil"/>
              <w:right w:val="nil"/>
            </w:tcBorders>
            <w:shd w:val="clear" w:color="auto" w:fill="auto"/>
            <w:noWrap/>
            <w:vAlign w:val="bottom"/>
            <w:hideMark/>
          </w:tcPr>
          <w:p w14:paraId="265CA906" w14:textId="77777777" w:rsidR="00BE6461" w:rsidRPr="00BE6461" w:rsidRDefault="00BE6461" w:rsidP="00BE6461">
            <w:pPr>
              <w:jc w:val="right"/>
              <w:rPr>
                <w:sz w:val="20"/>
                <w:szCs w:val="20"/>
              </w:rPr>
            </w:pPr>
          </w:p>
        </w:tc>
      </w:tr>
      <w:tr w:rsidR="00BE6461" w:rsidRPr="00BE6461" w14:paraId="4B5192B9"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158B3F97" w14:textId="77777777" w:rsidR="00BE6461" w:rsidRPr="00BE6461" w:rsidRDefault="00BE6461" w:rsidP="00BE6461">
            <w:pPr>
              <w:rPr>
                <w:b/>
                <w:bCs/>
                <w:sz w:val="20"/>
                <w:szCs w:val="20"/>
              </w:rPr>
            </w:pPr>
            <w:r w:rsidRPr="00BE6461">
              <w:rPr>
                <w:b/>
                <w:bCs/>
                <w:sz w:val="20"/>
                <w:szCs w:val="20"/>
              </w:rPr>
              <w:t>A100005</w:t>
            </w:r>
          </w:p>
        </w:tc>
        <w:tc>
          <w:tcPr>
            <w:tcW w:w="8457" w:type="dxa"/>
            <w:tcBorders>
              <w:top w:val="single" w:sz="4" w:space="0" w:color="auto"/>
              <w:left w:val="nil"/>
              <w:bottom w:val="single" w:sz="4" w:space="0" w:color="auto"/>
              <w:right w:val="nil"/>
            </w:tcBorders>
            <w:shd w:val="clear" w:color="auto" w:fill="auto"/>
            <w:vAlign w:val="bottom"/>
            <w:hideMark/>
          </w:tcPr>
          <w:p w14:paraId="1A133D67" w14:textId="77777777" w:rsidR="00BE6461" w:rsidRPr="00BE6461" w:rsidRDefault="00BE6461" w:rsidP="00BE6461">
            <w:pPr>
              <w:rPr>
                <w:b/>
                <w:bCs/>
                <w:sz w:val="20"/>
                <w:szCs w:val="20"/>
              </w:rPr>
            </w:pPr>
            <w:r w:rsidRPr="00BE6461">
              <w:rPr>
                <w:b/>
                <w:bCs/>
                <w:sz w:val="20"/>
                <w:szCs w:val="20"/>
              </w:rPr>
              <w:t>Aktivnost: RAD PREDSTAVNIČKOG, IZVRŠNIH I RADNIH TIJELA</w:t>
            </w:r>
          </w:p>
        </w:tc>
        <w:tc>
          <w:tcPr>
            <w:tcW w:w="1503" w:type="dxa"/>
            <w:tcBorders>
              <w:top w:val="single" w:sz="4" w:space="0" w:color="auto"/>
              <w:left w:val="nil"/>
              <w:bottom w:val="single" w:sz="4" w:space="0" w:color="auto"/>
              <w:right w:val="nil"/>
            </w:tcBorders>
            <w:shd w:val="clear" w:color="auto" w:fill="auto"/>
            <w:noWrap/>
            <w:vAlign w:val="bottom"/>
            <w:hideMark/>
          </w:tcPr>
          <w:p w14:paraId="6F275F13" w14:textId="77777777" w:rsidR="00BE6461" w:rsidRPr="00BE6461" w:rsidRDefault="00BE6461" w:rsidP="00BE6461">
            <w:pPr>
              <w:jc w:val="right"/>
              <w:rPr>
                <w:b/>
                <w:bCs/>
                <w:sz w:val="20"/>
                <w:szCs w:val="20"/>
              </w:rPr>
            </w:pPr>
            <w:r w:rsidRPr="00BE6461">
              <w:rPr>
                <w:b/>
                <w:bCs/>
                <w:sz w:val="20"/>
                <w:szCs w:val="20"/>
              </w:rPr>
              <w:t>438.500,00</w:t>
            </w:r>
          </w:p>
        </w:tc>
        <w:tc>
          <w:tcPr>
            <w:tcW w:w="1500" w:type="dxa"/>
            <w:tcBorders>
              <w:top w:val="single" w:sz="4" w:space="0" w:color="auto"/>
              <w:left w:val="nil"/>
              <w:bottom w:val="single" w:sz="4" w:space="0" w:color="auto"/>
              <w:right w:val="nil"/>
            </w:tcBorders>
            <w:shd w:val="clear" w:color="auto" w:fill="auto"/>
            <w:noWrap/>
            <w:vAlign w:val="bottom"/>
            <w:hideMark/>
          </w:tcPr>
          <w:p w14:paraId="547740C1" w14:textId="77777777" w:rsidR="00BE6461" w:rsidRPr="00BE6461" w:rsidRDefault="00BE6461" w:rsidP="00BE6461">
            <w:pPr>
              <w:jc w:val="right"/>
              <w:rPr>
                <w:b/>
                <w:bCs/>
                <w:sz w:val="20"/>
                <w:szCs w:val="20"/>
              </w:rPr>
            </w:pPr>
            <w:r w:rsidRPr="00BE6461">
              <w:rPr>
                <w:b/>
                <w:bCs/>
                <w:sz w:val="20"/>
                <w:szCs w:val="20"/>
              </w:rPr>
              <w:t>441.694,56</w:t>
            </w:r>
          </w:p>
        </w:tc>
        <w:tc>
          <w:tcPr>
            <w:tcW w:w="1100" w:type="dxa"/>
            <w:tcBorders>
              <w:top w:val="single" w:sz="4" w:space="0" w:color="auto"/>
              <w:left w:val="nil"/>
              <w:bottom w:val="single" w:sz="4" w:space="0" w:color="auto"/>
              <w:right w:val="nil"/>
            </w:tcBorders>
            <w:shd w:val="clear" w:color="auto" w:fill="auto"/>
            <w:noWrap/>
            <w:vAlign w:val="bottom"/>
            <w:hideMark/>
          </w:tcPr>
          <w:p w14:paraId="7DFC18D5" w14:textId="77777777" w:rsidR="00BE6461" w:rsidRPr="00BE6461" w:rsidRDefault="00BE6461" w:rsidP="00BE6461">
            <w:pPr>
              <w:jc w:val="right"/>
              <w:rPr>
                <w:b/>
                <w:bCs/>
                <w:sz w:val="20"/>
                <w:szCs w:val="20"/>
              </w:rPr>
            </w:pPr>
            <w:r w:rsidRPr="00BE6461">
              <w:rPr>
                <w:b/>
                <w:bCs/>
                <w:sz w:val="20"/>
                <w:szCs w:val="20"/>
              </w:rPr>
              <w:t>100,73</w:t>
            </w:r>
          </w:p>
        </w:tc>
      </w:tr>
      <w:tr w:rsidR="00BE6461" w:rsidRPr="00BE6461" w14:paraId="7BB8B2B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3769A0D"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4800AC34" w14:textId="77777777" w:rsidR="00BE6461" w:rsidRPr="00BE6461" w:rsidRDefault="00BE6461" w:rsidP="00BE6461">
            <w:pPr>
              <w:jc w:val="right"/>
              <w:rPr>
                <w:b/>
                <w:bCs/>
                <w:color w:val="333333"/>
                <w:sz w:val="20"/>
                <w:szCs w:val="20"/>
              </w:rPr>
            </w:pPr>
            <w:r w:rsidRPr="00BE6461">
              <w:rPr>
                <w:b/>
                <w:bCs/>
                <w:color w:val="333333"/>
                <w:sz w:val="20"/>
                <w:szCs w:val="20"/>
              </w:rPr>
              <w:t>438.500,00</w:t>
            </w:r>
          </w:p>
        </w:tc>
        <w:tc>
          <w:tcPr>
            <w:tcW w:w="1500" w:type="dxa"/>
            <w:tcBorders>
              <w:top w:val="nil"/>
              <w:left w:val="nil"/>
              <w:bottom w:val="nil"/>
              <w:right w:val="nil"/>
            </w:tcBorders>
            <w:shd w:val="clear" w:color="auto" w:fill="auto"/>
            <w:noWrap/>
            <w:vAlign w:val="bottom"/>
            <w:hideMark/>
          </w:tcPr>
          <w:p w14:paraId="5CDB2BAB" w14:textId="77777777" w:rsidR="00BE6461" w:rsidRPr="00BE6461" w:rsidRDefault="00BE6461" w:rsidP="00BE6461">
            <w:pPr>
              <w:jc w:val="right"/>
              <w:rPr>
                <w:b/>
                <w:bCs/>
                <w:color w:val="333333"/>
                <w:sz w:val="20"/>
                <w:szCs w:val="20"/>
              </w:rPr>
            </w:pPr>
            <w:r w:rsidRPr="00BE6461">
              <w:rPr>
                <w:b/>
                <w:bCs/>
                <w:color w:val="333333"/>
                <w:sz w:val="20"/>
                <w:szCs w:val="20"/>
              </w:rPr>
              <w:t>441.694,56</w:t>
            </w:r>
          </w:p>
        </w:tc>
        <w:tc>
          <w:tcPr>
            <w:tcW w:w="1100" w:type="dxa"/>
            <w:tcBorders>
              <w:top w:val="nil"/>
              <w:left w:val="nil"/>
              <w:bottom w:val="nil"/>
              <w:right w:val="nil"/>
            </w:tcBorders>
            <w:shd w:val="clear" w:color="auto" w:fill="auto"/>
            <w:noWrap/>
            <w:vAlign w:val="bottom"/>
            <w:hideMark/>
          </w:tcPr>
          <w:p w14:paraId="5F2724B9" w14:textId="77777777" w:rsidR="00BE6461" w:rsidRPr="00BE6461" w:rsidRDefault="00BE6461" w:rsidP="00BE6461">
            <w:pPr>
              <w:jc w:val="right"/>
              <w:rPr>
                <w:b/>
                <w:bCs/>
                <w:color w:val="333333"/>
                <w:sz w:val="20"/>
                <w:szCs w:val="20"/>
              </w:rPr>
            </w:pPr>
            <w:r w:rsidRPr="00BE6461">
              <w:rPr>
                <w:b/>
                <w:bCs/>
                <w:color w:val="333333"/>
                <w:sz w:val="20"/>
                <w:szCs w:val="20"/>
              </w:rPr>
              <w:t>100,73</w:t>
            </w:r>
          </w:p>
        </w:tc>
      </w:tr>
      <w:tr w:rsidR="00BE6461" w:rsidRPr="00BE6461" w14:paraId="2B533AD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7ADB4DA"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5E001863" w14:textId="77777777" w:rsidR="00BE6461" w:rsidRPr="00BE6461" w:rsidRDefault="00BE6461" w:rsidP="00BE6461">
            <w:pPr>
              <w:jc w:val="right"/>
              <w:rPr>
                <w:b/>
                <w:bCs/>
                <w:color w:val="333333"/>
                <w:sz w:val="20"/>
                <w:szCs w:val="20"/>
              </w:rPr>
            </w:pPr>
            <w:r w:rsidRPr="00BE6461">
              <w:rPr>
                <w:b/>
                <w:bCs/>
                <w:color w:val="333333"/>
                <w:sz w:val="20"/>
                <w:szCs w:val="20"/>
              </w:rPr>
              <w:t>438.500,00</w:t>
            </w:r>
          </w:p>
        </w:tc>
        <w:tc>
          <w:tcPr>
            <w:tcW w:w="1500" w:type="dxa"/>
            <w:tcBorders>
              <w:top w:val="nil"/>
              <w:left w:val="nil"/>
              <w:bottom w:val="nil"/>
              <w:right w:val="nil"/>
            </w:tcBorders>
            <w:shd w:val="clear" w:color="auto" w:fill="auto"/>
            <w:noWrap/>
            <w:vAlign w:val="bottom"/>
            <w:hideMark/>
          </w:tcPr>
          <w:p w14:paraId="44B47E48" w14:textId="77777777" w:rsidR="00BE6461" w:rsidRPr="00BE6461" w:rsidRDefault="00BE6461" w:rsidP="00BE6461">
            <w:pPr>
              <w:jc w:val="right"/>
              <w:rPr>
                <w:b/>
                <w:bCs/>
                <w:color w:val="333333"/>
                <w:sz w:val="20"/>
                <w:szCs w:val="20"/>
              </w:rPr>
            </w:pPr>
            <w:r w:rsidRPr="00BE6461">
              <w:rPr>
                <w:b/>
                <w:bCs/>
                <w:color w:val="333333"/>
                <w:sz w:val="20"/>
                <w:szCs w:val="20"/>
              </w:rPr>
              <w:t>441.694,56</w:t>
            </w:r>
          </w:p>
        </w:tc>
        <w:tc>
          <w:tcPr>
            <w:tcW w:w="1100" w:type="dxa"/>
            <w:tcBorders>
              <w:top w:val="nil"/>
              <w:left w:val="nil"/>
              <w:bottom w:val="nil"/>
              <w:right w:val="nil"/>
            </w:tcBorders>
            <w:shd w:val="clear" w:color="auto" w:fill="auto"/>
            <w:noWrap/>
            <w:vAlign w:val="bottom"/>
            <w:hideMark/>
          </w:tcPr>
          <w:p w14:paraId="5B5D74B5" w14:textId="77777777" w:rsidR="00BE6461" w:rsidRPr="00BE6461" w:rsidRDefault="00BE6461" w:rsidP="00BE6461">
            <w:pPr>
              <w:jc w:val="right"/>
              <w:rPr>
                <w:b/>
                <w:bCs/>
                <w:color w:val="333333"/>
                <w:sz w:val="20"/>
                <w:szCs w:val="20"/>
              </w:rPr>
            </w:pPr>
            <w:r w:rsidRPr="00BE6461">
              <w:rPr>
                <w:b/>
                <w:bCs/>
                <w:color w:val="333333"/>
                <w:sz w:val="20"/>
                <w:szCs w:val="20"/>
              </w:rPr>
              <w:t>100,73</w:t>
            </w:r>
          </w:p>
        </w:tc>
      </w:tr>
      <w:tr w:rsidR="00BE6461" w:rsidRPr="00BE6461" w14:paraId="70912853" w14:textId="77777777" w:rsidTr="00BE6461">
        <w:trPr>
          <w:trHeight w:val="300"/>
        </w:trPr>
        <w:tc>
          <w:tcPr>
            <w:tcW w:w="1703" w:type="dxa"/>
            <w:tcBorders>
              <w:top w:val="nil"/>
              <w:left w:val="nil"/>
              <w:bottom w:val="nil"/>
              <w:right w:val="nil"/>
            </w:tcBorders>
            <w:shd w:val="clear" w:color="auto" w:fill="auto"/>
            <w:noWrap/>
            <w:vAlign w:val="bottom"/>
            <w:hideMark/>
          </w:tcPr>
          <w:p w14:paraId="33042F74"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429D5294"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2875BEA6" w14:textId="77777777" w:rsidR="00BE6461" w:rsidRPr="00BE6461" w:rsidRDefault="00BE6461" w:rsidP="00BE6461">
            <w:pPr>
              <w:jc w:val="right"/>
              <w:rPr>
                <w:b/>
                <w:bCs/>
                <w:sz w:val="20"/>
                <w:szCs w:val="20"/>
              </w:rPr>
            </w:pPr>
            <w:r w:rsidRPr="00BE6461">
              <w:rPr>
                <w:b/>
                <w:bCs/>
                <w:sz w:val="20"/>
                <w:szCs w:val="20"/>
              </w:rPr>
              <w:t>68.500,00</w:t>
            </w:r>
          </w:p>
        </w:tc>
        <w:tc>
          <w:tcPr>
            <w:tcW w:w="1500" w:type="dxa"/>
            <w:tcBorders>
              <w:top w:val="nil"/>
              <w:left w:val="nil"/>
              <w:bottom w:val="nil"/>
              <w:right w:val="nil"/>
            </w:tcBorders>
            <w:shd w:val="clear" w:color="auto" w:fill="auto"/>
            <w:noWrap/>
            <w:vAlign w:val="bottom"/>
            <w:hideMark/>
          </w:tcPr>
          <w:p w14:paraId="481FB9B3" w14:textId="77777777" w:rsidR="00BE6461" w:rsidRPr="00BE6461" w:rsidRDefault="00BE6461" w:rsidP="00BE6461">
            <w:pPr>
              <w:jc w:val="right"/>
              <w:rPr>
                <w:b/>
                <w:bCs/>
                <w:sz w:val="20"/>
                <w:szCs w:val="20"/>
              </w:rPr>
            </w:pPr>
            <w:r w:rsidRPr="00BE6461">
              <w:rPr>
                <w:b/>
                <w:bCs/>
                <w:sz w:val="20"/>
                <w:szCs w:val="20"/>
              </w:rPr>
              <w:t>92.039,25</w:t>
            </w:r>
          </w:p>
        </w:tc>
        <w:tc>
          <w:tcPr>
            <w:tcW w:w="1100" w:type="dxa"/>
            <w:tcBorders>
              <w:top w:val="nil"/>
              <w:left w:val="nil"/>
              <w:bottom w:val="nil"/>
              <w:right w:val="nil"/>
            </w:tcBorders>
            <w:shd w:val="clear" w:color="auto" w:fill="auto"/>
            <w:noWrap/>
            <w:vAlign w:val="bottom"/>
            <w:hideMark/>
          </w:tcPr>
          <w:p w14:paraId="0423E83D" w14:textId="77777777" w:rsidR="00BE6461" w:rsidRPr="00BE6461" w:rsidRDefault="00BE6461" w:rsidP="00BE6461">
            <w:pPr>
              <w:jc w:val="right"/>
              <w:rPr>
                <w:b/>
                <w:bCs/>
                <w:sz w:val="20"/>
                <w:szCs w:val="20"/>
              </w:rPr>
            </w:pPr>
            <w:r w:rsidRPr="00BE6461">
              <w:rPr>
                <w:b/>
                <w:bCs/>
                <w:sz w:val="20"/>
                <w:szCs w:val="20"/>
              </w:rPr>
              <w:t>134,36</w:t>
            </w:r>
          </w:p>
        </w:tc>
      </w:tr>
      <w:tr w:rsidR="00BE6461" w:rsidRPr="00BE6461" w14:paraId="3A0B4FD2" w14:textId="77777777" w:rsidTr="00BE6461">
        <w:trPr>
          <w:trHeight w:val="300"/>
        </w:trPr>
        <w:tc>
          <w:tcPr>
            <w:tcW w:w="1703" w:type="dxa"/>
            <w:tcBorders>
              <w:top w:val="nil"/>
              <w:left w:val="nil"/>
              <w:bottom w:val="nil"/>
              <w:right w:val="nil"/>
            </w:tcBorders>
            <w:shd w:val="clear" w:color="auto" w:fill="auto"/>
            <w:noWrap/>
            <w:vAlign w:val="bottom"/>
            <w:hideMark/>
          </w:tcPr>
          <w:p w14:paraId="0BC4F2E3" w14:textId="77777777" w:rsidR="00BE6461" w:rsidRPr="00BE6461" w:rsidRDefault="00BE6461" w:rsidP="00BE6461">
            <w:pPr>
              <w:rPr>
                <w:sz w:val="20"/>
                <w:szCs w:val="20"/>
              </w:rPr>
            </w:pPr>
            <w:r w:rsidRPr="00BE6461">
              <w:rPr>
                <w:sz w:val="20"/>
                <w:szCs w:val="20"/>
              </w:rPr>
              <w:t>3231</w:t>
            </w:r>
          </w:p>
        </w:tc>
        <w:tc>
          <w:tcPr>
            <w:tcW w:w="8457" w:type="dxa"/>
            <w:tcBorders>
              <w:top w:val="nil"/>
              <w:left w:val="nil"/>
              <w:bottom w:val="nil"/>
              <w:right w:val="nil"/>
            </w:tcBorders>
            <w:shd w:val="clear" w:color="auto" w:fill="auto"/>
            <w:vAlign w:val="bottom"/>
            <w:hideMark/>
          </w:tcPr>
          <w:p w14:paraId="1DA6B653" w14:textId="77777777" w:rsidR="00BE6461" w:rsidRPr="00BE6461" w:rsidRDefault="00BE6461" w:rsidP="00BE6461">
            <w:pPr>
              <w:rPr>
                <w:sz w:val="20"/>
                <w:szCs w:val="20"/>
              </w:rPr>
            </w:pPr>
            <w:r w:rsidRPr="00BE6461">
              <w:rPr>
                <w:sz w:val="20"/>
                <w:szCs w:val="20"/>
              </w:rPr>
              <w:t xml:space="preserve">Usluge telefona, pošte i prijevoza                                                                  </w:t>
            </w:r>
          </w:p>
        </w:tc>
        <w:tc>
          <w:tcPr>
            <w:tcW w:w="1503" w:type="dxa"/>
            <w:tcBorders>
              <w:top w:val="nil"/>
              <w:left w:val="nil"/>
              <w:bottom w:val="nil"/>
              <w:right w:val="nil"/>
            </w:tcBorders>
            <w:shd w:val="clear" w:color="auto" w:fill="auto"/>
            <w:noWrap/>
            <w:vAlign w:val="bottom"/>
            <w:hideMark/>
          </w:tcPr>
          <w:p w14:paraId="1FAD490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5D8225B" w14:textId="77777777" w:rsidR="00BE6461" w:rsidRPr="00BE6461" w:rsidRDefault="00BE6461" w:rsidP="00BE6461">
            <w:pPr>
              <w:jc w:val="right"/>
              <w:rPr>
                <w:sz w:val="20"/>
                <w:szCs w:val="20"/>
              </w:rPr>
            </w:pPr>
            <w:r w:rsidRPr="00BE6461">
              <w:rPr>
                <w:sz w:val="20"/>
                <w:szCs w:val="20"/>
              </w:rPr>
              <w:t>9.570,00</w:t>
            </w:r>
          </w:p>
        </w:tc>
        <w:tc>
          <w:tcPr>
            <w:tcW w:w="1100" w:type="dxa"/>
            <w:tcBorders>
              <w:top w:val="nil"/>
              <w:left w:val="nil"/>
              <w:bottom w:val="nil"/>
              <w:right w:val="nil"/>
            </w:tcBorders>
            <w:shd w:val="clear" w:color="auto" w:fill="auto"/>
            <w:noWrap/>
            <w:vAlign w:val="bottom"/>
            <w:hideMark/>
          </w:tcPr>
          <w:p w14:paraId="5FAAE475" w14:textId="77777777" w:rsidR="00BE6461" w:rsidRPr="00BE6461" w:rsidRDefault="00BE6461" w:rsidP="00BE6461">
            <w:pPr>
              <w:jc w:val="right"/>
              <w:rPr>
                <w:sz w:val="20"/>
                <w:szCs w:val="20"/>
              </w:rPr>
            </w:pPr>
          </w:p>
        </w:tc>
      </w:tr>
      <w:tr w:rsidR="00BE6461" w:rsidRPr="00BE6461" w14:paraId="465A0B5B" w14:textId="77777777" w:rsidTr="00BE6461">
        <w:trPr>
          <w:trHeight w:val="300"/>
        </w:trPr>
        <w:tc>
          <w:tcPr>
            <w:tcW w:w="1703" w:type="dxa"/>
            <w:tcBorders>
              <w:top w:val="nil"/>
              <w:left w:val="nil"/>
              <w:bottom w:val="nil"/>
              <w:right w:val="nil"/>
            </w:tcBorders>
            <w:shd w:val="clear" w:color="auto" w:fill="auto"/>
            <w:noWrap/>
            <w:vAlign w:val="bottom"/>
            <w:hideMark/>
          </w:tcPr>
          <w:p w14:paraId="5F01F3AB" w14:textId="77777777" w:rsidR="00BE6461" w:rsidRPr="00BE6461" w:rsidRDefault="00BE6461" w:rsidP="00BE6461">
            <w:pPr>
              <w:rPr>
                <w:sz w:val="20"/>
                <w:szCs w:val="20"/>
              </w:rPr>
            </w:pPr>
            <w:r w:rsidRPr="00BE6461">
              <w:rPr>
                <w:sz w:val="20"/>
                <w:szCs w:val="20"/>
              </w:rPr>
              <w:t>3235</w:t>
            </w:r>
          </w:p>
        </w:tc>
        <w:tc>
          <w:tcPr>
            <w:tcW w:w="8457" w:type="dxa"/>
            <w:tcBorders>
              <w:top w:val="nil"/>
              <w:left w:val="nil"/>
              <w:bottom w:val="nil"/>
              <w:right w:val="nil"/>
            </w:tcBorders>
            <w:shd w:val="clear" w:color="auto" w:fill="auto"/>
            <w:vAlign w:val="bottom"/>
            <w:hideMark/>
          </w:tcPr>
          <w:p w14:paraId="68EDD2CA" w14:textId="77777777" w:rsidR="00BE6461" w:rsidRPr="00BE6461" w:rsidRDefault="00BE6461" w:rsidP="00BE6461">
            <w:pPr>
              <w:rPr>
                <w:sz w:val="20"/>
                <w:szCs w:val="20"/>
              </w:rPr>
            </w:pPr>
            <w:r w:rsidRPr="00BE6461">
              <w:rPr>
                <w:sz w:val="20"/>
                <w:szCs w:val="20"/>
              </w:rPr>
              <w:t xml:space="preserve">Zakupnine i najamnine                                                                               </w:t>
            </w:r>
          </w:p>
        </w:tc>
        <w:tc>
          <w:tcPr>
            <w:tcW w:w="1503" w:type="dxa"/>
            <w:tcBorders>
              <w:top w:val="nil"/>
              <w:left w:val="nil"/>
              <w:bottom w:val="nil"/>
              <w:right w:val="nil"/>
            </w:tcBorders>
            <w:shd w:val="clear" w:color="auto" w:fill="auto"/>
            <w:noWrap/>
            <w:vAlign w:val="bottom"/>
            <w:hideMark/>
          </w:tcPr>
          <w:p w14:paraId="06BC904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AF71E01" w14:textId="77777777" w:rsidR="00BE6461" w:rsidRPr="00BE6461" w:rsidRDefault="00BE6461" w:rsidP="00BE6461">
            <w:pPr>
              <w:jc w:val="right"/>
              <w:rPr>
                <w:sz w:val="20"/>
                <w:szCs w:val="20"/>
              </w:rPr>
            </w:pPr>
            <w:r w:rsidRPr="00BE6461">
              <w:rPr>
                <w:sz w:val="20"/>
                <w:szCs w:val="20"/>
              </w:rPr>
              <w:t>22.469,25</w:t>
            </w:r>
          </w:p>
        </w:tc>
        <w:tc>
          <w:tcPr>
            <w:tcW w:w="1100" w:type="dxa"/>
            <w:tcBorders>
              <w:top w:val="nil"/>
              <w:left w:val="nil"/>
              <w:bottom w:val="nil"/>
              <w:right w:val="nil"/>
            </w:tcBorders>
            <w:shd w:val="clear" w:color="auto" w:fill="auto"/>
            <w:noWrap/>
            <w:vAlign w:val="bottom"/>
            <w:hideMark/>
          </w:tcPr>
          <w:p w14:paraId="4546C0AA" w14:textId="77777777" w:rsidR="00BE6461" w:rsidRPr="00BE6461" w:rsidRDefault="00BE6461" w:rsidP="00BE6461">
            <w:pPr>
              <w:jc w:val="right"/>
              <w:rPr>
                <w:sz w:val="20"/>
                <w:szCs w:val="20"/>
              </w:rPr>
            </w:pPr>
          </w:p>
        </w:tc>
      </w:tr>
      <w:tr w:rsidR="00BE6461" w:rsidRPr="00BE6461" w14:paraId="72209111" w14:textId="77777777" w:rsidTr="00BE6461">
        <w:trPr>
          <w:trHeight w:val="300"/>
        </w:trPr>
        <w:tc>
          <w:tcPr>
            <w:tcW w:w="1703" w:type="dxa"/>
            <w:tcBorders>
              <w:top w:val="nil"/>
              <w:left w:val="nil"/>
              <w:bottom w:val="nil"/>
              <w:right w:val="nil"/>
            </w:tcBorders>
            <w:shd w:val="clear" w:color="auto" w:fill="auto"/>
            <w:noWrap/>
            <w:vAlign w:val="bottom"/>
            <w:hideMark/>
          </w:tcPr>
          <w:p w14:paraId="0772747C"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4CEB6508"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7D8FAF4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C445306" w14:textId="77777777" w:rsidR="00BE6461" w:rsidRPr="00BE6461" w:rsidRDefault="00BE6461" w:rsidP="00BE6461">
            <w:pPr>
              <w:jc w:val="right"/>
              <w:rPr>
                <w:sz w:val="20"/>
                <w:szCs w:val="20"/>
              </w:rPr>
            </w:pPr>
            <w:r w:rsidRPr="00BE6461">
              <w:rPr>
                <w:sz w:val="20"/>
                <w:szCs w:val="20"/>
              </w:rPr>
              <w:t>60.000,00</w:t>
            </w:r>
          </w:p>
        </w:tc>
        <w:tc>
          <w:tcPr>
            <w:tcW w:w="1100" w:type="dxa"/>
            <w:tcBorders>
              <w:top w:val="nil"/>
              <w:left w:val="nil"/>
              <w:bottom w:val="nil"/>
              <w:right w:val="nil"/>
            </w:tcBorders>
            <w:shd w:val="clear" w:color="auto" w:fill="auto"/>
            <w:noWrap/>
            <w:vAlign w:val="bottom"/>
            <w:hideMark/>
          </w:tcPr>
          <w:p w14:paraId="3431B604" w14:textId="77777777" w:rsidR="00BE6461" w:rsidRPr="00BE6461" w:rsidRDefault="00BE6461" w:rsidP="00BE6461">
            <w:pPr>
              <w:jc w:val="right"/>
              <w:rPr>
                <w:sz w:val="20"/>
                <w:szCs w:val="20"/>
              </w:rPr>
            </w:pPr>
          </w:p>
        </w:tc>
      </w:tr>
      <w:tr w:rsidR="00BE6461" w:rsidRPr="00BE6461" w14:paraId="1C67BF7A" w14:textId="77777777" w:rsidTr="00BE6461">
        <w:trPr>
          <w:trHeight w:val="300"/>
        </w:trPr>
        <w:tc>
          <w:tcPr>
            <w:tcW w:w="1703" w:type="dxa"/>
            <w:tcBorders>
              <w:top w:val="nil"/>
              <w:left w:val="nil"/>
              <w:bottom w:val="nil"/>
              <w:right w:val="nil"/>
            </w:tcBorders>
            <w:shd w:val="clear" w:color="auto" w:fill="auto"/>
            <w:noWrap/>
            <w:vAlign w:val="bottom"/>
            <w:hideMark/>
          </w:tcPr>
          <w:p w14:paraId="666A1C4E"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0FCCC22B"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3D419954" w14:textId="77777777" w:rsidR="00BE6461" w:rsidRPr="00BE6461" w:rsidRDefault="00BE6461" w:rsidP="00BE6461">
            <w:pPr>
              <w:jc w:val="right"/>
              <w:rPr>
                <w:b/>
                <w:bCs/>
                <w:sz w:val="20"/>
                <w:szCs w:val="20"/>
              </w:rPr>
            </w:pPr>
            <w:r w:rsidRPr="00BE6461">
              <w:rPr>
                <w:b/>
                <w:bCs/>
                <w:sz w:val="20"/>
                <w:szCs w:val="20"/>
              </w:rPr>
              <w:t>370.000,00</w:t>
            </w:r>
          </w:p>
        </w:tc>
        <w:tc>
          <w:tcPr>
            <w:tcW w:w="1500" w:type="dxa"/>
            <w:tcBorders>
              <w:top w:val="nil"/>
              <w:left w:val="nil"/>
              <w:bottom w:val="nil"/>
              <w:right w:val="nil"/>
            </w:tcBorders>
            <w:shd w:val="clear" w:color="auto" w:fill="auto"/>
            <w:noWrap/>
            <w:vAlign w:val="bottom"/>
            <w:hideMark/>
          </w:tcPr>
          <w:p w14:paraId="18A3FDB7" w14:textId="77777777" w:rsidR="00BE6461" w:rsidRPr="00BE6461" w:rsidRDefault="00BE6461" w:rsidP="00BE6461">
            <w:pPr>
              <w:jc w:val="right"/>
              <w:rPr>
                <w:b/>
                <w:bCs/>
                <w:sz w:val="20"/>
                <w:szCs w:val="20"/>
              </w:rPr>
            </w:pPr>
            <w:r w:rsidRPr="00BE6461">
              <w:rPr>
                <w:b/>
                <w:bCs/>
                <w:sz w:val="20"/>
                <w:szCs w:val="20"/>
              </w:rPr>
              <w:t>349.655,31</w:t>
            </w:r>
          </w:p>
        </w:tc>
        <w:tc>
          <w:tcPr>
            <w:tcW w:w="1100" w:type="dxa"/>
            <w:tcBorders>
              <w:top w:val="nil"/>
              <w:left w:val="nil"/>
              <w:bottom w:val="nil"/>
              <w:right w:val="nil"/>
            </w:tcBorders>
            <w:shd w:val="clear" w:color="auto" w:fill="auto"/>
            <w:noWrap/>
            <w:vAlign w:val="bottom"/>
            <w:hideMark/>
          </w:tcPr>
          <w:p w14:paraId="664912EB" w14:textId="77777777" w:rsidR="00BE6461" w:rsidRPr="00BE6461" w:rsidRDefault="00BE6461" w:rsidP="00BE6461">
            <w:pPr>
              <w:jc w:val="right"/>
              <w:rPr>
                <w:b/>
                <w:bCs/>
                <w:sz w:val="20"/>
                <w:szCs w:val="20"/>
              </w:rPr>
            </w:pPr>
            <w:r w:rsidRPr="00BE6461">
              <w:rPr>
                <w:b/>
                <w:bCs/>
                <w:sz w:val="20"/>
                <w:szCs w:val="20"/>
              </w:rPr>
              <w:t>94,50</w:t>
            </w:r>
          </w:p>
        </w:tc>
      </w:tr>
      <w:tr w:rsidR="00BE6461" w:rsidRPr="00BE6461" w14:paraId="7E565B46" w14:textId="77777777" w:rsidTr="00BE6461">
        <w:trPr>
          <w:trHeight w:val="525"/>
        </w:trPr>
        <w:tc>
          <w:tcPr>
            <w:tcW w:w="1703" w:type="dxa"/>
            <w:tcBorders>
              <w:top w:val="nil"/>
              <w:left w:val="nil"/>
              <w:bottom w:val="nil"/>
              <w:right w:val="nil"/>
            </w:tcBorders>
            <w:shd w:val="clear" w:color="auto" w:fill="auto"/>
            <w:noWrap/>
            <w:vAlign w:val="bottom"/>
            <w:hideMark/>
          </w:tcPr>
          <w:p w14:paraId="532979B2" w14:textId="77777777" w:rsidR="00BE6461" w:rsidRPr="00BE6461" w:rsidRDefault="00BE6461" w:rsidP="00BE6461">
            <w:pPr>
              <w:rPr>
                <w:sz w:val="20"/>
                <w:szCs w:val="20"/>
              </w:rPr>
            </w:pPr>
            <w:r w:rsidRPr="00BE6461">
              <w:rPr>
                <w:sz w:val="20"/>
                <w:szCs w:val="20"/>
              </w:rPr>
              <w:t>3291</w:t>
            </w:r>
          </w:p>
        </w:tc>
        <w:tc>
          <w:tcPr>
            <w:tcW w:w="8457" w:type="dxa"/>
            <w:tcBorders>
              <w:top w:val="nil"/>
              <w:left w:val="nil"/>
              <w:bottom w:val="nil"/>
              <w:right w:val="nil"/>
            </w:tcBorders>
            <w:shd w:val="clear" w:color="auto" w:fill="auto"/>
            <w:vAlign w:val="bottom"/>
            <w:hideMark/>
          </w:tcPr>
          <w:p w14:paraId="792E7B5A" w14:textId="77777777" w:rsidR="00BE6461" w:rsidRPr="00BE6461" w:rsidRDefault="00BE6461" w:rsidP="00BE6461">
            <w:pPr>
              <w:rPr>
                <w:sz w:val="20"/>
                <w:szCs w:val="20"/>
              </w:rPr>
            </w:pPr>
            <w:r w:rsidRPr="00BE6461">
              <w:rPr>
                <w:sz w:val="20"/>
                <w:szCs w:val="20"/>
              </w:rPr>
              <w:t xml:space="preserve">Naknade za rad predstavničkih i izvršnih tijela, povjerenstava i slično                             </w:t>
            </w:r>
          </w:p>
        </w:tc>
        <w:tc>
          <w:tcPr>
            <w:tcW w:w="1503" w:type="dxa"/>
            <w:tcBorders>
              <w:top w:val="nil"/>
              <w:left w:val="nil"/>
              <w:bottom w:val="nil"/>
              <w:right w:val="nil"/>
            </w:tcBorders>
            <w:shd w:val="clear" w:color="auto" w:fill="auto"/>
            <w:noWrap/>
            <w:vAlign w:val="bottom"/>
            <w:hideMark/>
          </w:tcPr>
          <w:p w14:paraId="073F15C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A33EE61" w14:textId="77777777" w:rsidR="00BE6461" w:rsidRPr="00BE6461" w:rsidRDefault="00BE6461" w:rsidP="00BE6461">
            <w:pPr>
              <w:jc w:val="right"/>
              <w:rPr>
                <w:sz w:val="20"/>
                <w:szCs w:val="20"/>
              </w:rPr>
            </w:pPr>
            <w:r w:rsidRPr="00BE6461">
              <w:rPr>
                <w:sz w:val="20"/>
                <w:szCs w:val="20"/>
              </w:rPr>
              <w:t>132.367,14</w:t>
            </w:r>
          </w:p>
        </w:tc>
        <w:tc>
          <w:tcPr>
            <w:tcW w:w="1100" w:type="dxa"/>
            <w:tcBorders>
              <w:top w:val="nil"/>
              <w:left w:val="nil"/>
              <w:bottom w:val="nil"/>
              <w:right w:val="nil"/>
            </w:tcBorders>
            <w:shd w:val="clear" w:color="auto" w:fill="auto"/>
            <w:noWrap/>
            <w:vAlign w:val="bottom"/>
            <w:hideMark/>
          </w:tcPr>
          <w:p w14:paraId="554CCCB7" w14:textId="77777777" w:rsidR="00BE6461" w:rsidRPr="00BE6461" w:rsidRDefault="00BE6461" w:rsidP="00BE6461">
            <w:pPr>
              <w:jc w:val="right"/>
              <w:rPr>
                <w:sz w:val="20"/>
                <w:szCs w:val="20"/>
              </w:rPr>
            </w:pPr>
          </w:p>
        </w:tc>
      </w:tr>
      <w:tr w:rsidR="00BE6461" w:rsidRPr="00BE6461" w14:paraId="6D23939A" w14:textId="77777777" w:rsidTr="00BE6461">
        <w:trPr>
          <w:trHeight w:val="300"/>
        </w:trPr>
        <w:tc>
          <w:tcPr>
            <w:tcW w:w="1703" w:type="dxa"/>
            <w:tcBorders>
              <w:top w:val="nil"/>
              <w:left w:val="nil"/>
              <w:bottom w:val="nil"/>
              <w:right w:val="nil"/>
            </w:tcBorders>
            <w:shd w:val="clear" w:color="auto" w:fill="auto"/>
            <w:noWrap/>
            <w:vAlign w:val="bottom"/>
            <w:hideMark/>
          </w:tcPr>
          <w:p w14:paraId="51F8819E" w14:textId="77777777" w:rsidR="00BE6461" w:rsidRPr="00BE6461" w:rsidRDefault="00BE6461" w:rsidP="00BE6461">
            <w:pPr>
              <w:rPr>
                <w:sz w:val="20"/>
                <w:szCs w:val="20"/>
              </w:rPr>
            </w:pPr>
            <w:r w:rsidRPr="00BE6461">
              <w:rPr>
                <w:sz w:val="20"/>
                <w:szCs w:val="20"/>
              </w:rPr>
              <w:t>3293</w:t>
            </w:r>
          </w:p>
        </w:tc>
        <w:tc>
          <w:tcPr>
            <w:tcW w:w="8457" w:type="dxa"/>
            <w:tcBorders>
              <w:top w:val="nil"/>
              <w:left w:val="nil"/>
              <w:bottom w:val="nil"/>
              <w:right w:val="nil"/>
            </w:tcBorders>
            <w:shd w:val="clear" w:color="auto" w:fill="auto"/>
            <w:vAlign w:val="bottom"/>
            <w:hideMark/>
          </w:tcPr>
          <w:p w14:paraId="45916789" w14:textId="77777777" w:rsidR="00BE6461" w:rsidRPr="00BE6461" w:rsidRDefault="00BE6461" w:rsidP="00BE6461">
            <w:pPr>
              <w:rPr>
                <w:sz w:val="20"/>
                <w:szCs w:val="20"/>
              </w:rPr>
            </w:pPr>
            <w:r w:rsidRPr="00BE6461">
              <w:rPr>
                <w:sz w:val="20"/>
                <w:szCs w:val="20"/>
              </w:rPr>
              <w:t xml:space="preserve">Reprezentacija                                                                                      </w:t>
            </w:r>
          </w:p>
        </w:tc>
        <w:tc>
          <w:tcPr>
            <w:tcW w:w="1503" w:type="dxa"/>
            <w:tcBorders>
              <w:top w:val="nil"/>
              <w:left w:val="nil"/>
              <w:bottom w:val="nil"/>
              <w:right w:val="nil"/>
            </w:tcBorders>
            <w:shd w:val="clear" w:color="auto" w:fill="auto"/>
            <w:noWrap/>
            <w:vAlign w:val="bottom"/>
            <w:hideMark/>
          </w:tcPr>
          <w:p w14:paraId="763DC42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A9A7CF5" w14:textId="77777777" w:rsidR="00BE6461" w:rsidRPr="00BE6461" w:rsidRDefault="00BE6461" w:rsidP="00BE6461">
            <w:pPr>
              <w:jc w:val="right"/>
              <w:rPr>
                <w:sz w:val="20"/>
                <w:szCs w:val="20"/>
              </w:rPr>
            </w:pPr>
            <w:r w:rsidRPr="00BE6461">
              <w:rPr>
                <w:sz w:val="20"/>
                <w:szCs w:val="20"/>
              </w:rPr>
              <w:t>202.098,20</w:t>
            </w:r>
          </w:p>
        </w:tc>
        <w:tc>
          <w:tcPr>
            <w:tcW w:w="1100" w:type="dxa"/>
            <w:tcBorders>
              <w:top w:val="nil"/>
              <w:left w:val="nil"/>
              <w:bottom w:val="nil"/>
              <w:right w:val="nil"/>
            </w:tcBorders>
            <w:shd w:val="clear" w:color="auto" w:fill="auto"/>
            <w:noWrap/>
            <w:vAlign w:val="bottom"/>
            <w:hideMark/>
          </w:tcPr>
          <w:p w14:paraId="53B8A1CA" w14:textId="77777777" w:rsidR="00BE6461" w:rsidRPr="00BE6461" w:rsidRDefault="00BE6461" w:rsidP="00BE6461">
            <w:pPr>
              <w:jc w:val="right"/>
              <w:rPr>
                <w:sz w:val="20"/>
                <w:szCs w:val="20"/>
              </w:rPr>
            </w:pPr>
          </w:p>
        </w:tc>
      </w:tr>
      <w:tr w:rsidR="00BE6461" w:rsidRPr="00BE6461" w14:paraId="71B3F359" w14:textId="77777777" w:rsidTr="00BE6461">
        <w:trPr>
          <w:trHeight w:val="300"/>
        </w:trPr>
        <w:tc>
          <w:tcPr>
            <w:tcW w:w="1703" w:type="dxa"/>
            <w:tcBorders>
              <w:top w:val="nil"/>
              <w:left w:val="nil"/>
              <w:bottom w:val="nil"/>
              <w:right w:val="nil"/>
            </w:tcBorders>
            <w:shd w:val="clear" w:color="auto" w:fill="auto"/>
            <w:noWrap/>
            <w:vAlign w:val="bottom"/>
            <w:hideMark/>
          </w:tcPr>
          <w:p w14:paraId="08E27741" w14:textId="77777777" w:rsidR="00BE6461" w:rsidRPr="00BE6461" w:rsidRDefault="00BE6461" w:rsidP="00BE6461">
            <w:pPr>
              <w:rPr>
                <w:sz w:val="20"/>
                <w:szCs w:val="20"/>
              </w:rPr>
            </w:pPr>
            <w:r w:rsidRPr="00BE6461">
              <w:rPr>
                <w:sz w:val="20"/>
                <w:szCs w:val="20"/>
              </w:rPr>
              <w:t>3299</w:t>
            </w:r>
          </w:p>
        </w:tc>
        <w:tc>
          <w:tcPr>
            <w:tcW w:w="8457" w:type="dxa"/>
            <w:tcBorders>
              <w:top w:val="nil"/>
              <w:left w:val="nil"/>
              <w:bottom w:val="nil"/>
              <w:right w:val="nil"/>
            </w:tcBorders>
            <w:shd w:val="clear" w:color="auto" w:fill="auto"/>
            <w:vAlign w:val="bottom"/>
            <w:hideMark/>
          </w:tcPr>
          <w:p w14:paraId="7305B946" w14:textId="77777777" w:rsidR="00BE6461" w:rsidRPr="00BE6461" w:rsidRDefault="00BE6461" w:rsidP="00BE6461">
            <w:pPr>
              <w:rPr>
                <w:sz w:val="20"/>
                <w:szCs w:val="20"/>
              </w:rPr>
            </w:pPr>
            <w:r w:rsidRPr="00BE6461">
              <w:rPr>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3DA1A94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DE772D6" w14:textId="77777777" w:rsidR="00BE6461" w:rsidRPr="00BE6461" w:rsidRDefault="00BE6461" w:rsidP="00BE6461">
            <w:pPr>
              <w:jc w:val="right"/>
              <w:rPr>
                <w:sz w:val="20"/>
                <w:szCs w:val="20"/>
              </w:rPr>
            </w:pPr>
            <w:r w:rsidRPr="00BE6461">
              <w:rPr>
                <w:sz w:val="20"/>
                <w:szCs w:val="20"/>
              </w:rPr>
              <w:t>15.189,97</w:t>
            </w:r>
          </w:p>
        </w:tc>
        <w:tc>
          <w:tcPr>
            <w:tcW w:w="1100" w:type="dxa"/>
            <w:tcBorders>
              <w:top w:val="nil"/>
              <w:left w:val="nil"/>
              <w:bottom w:val="nil"/>
              <w:right w:val="nil"/>
            </w:tcBorders>
            <w:shd w:val="clear" w:color="auto" w:fill="auto"/>
            <w:noWrap/>
            <w:vAlign w:val="bottom"/>
            <w:hideMark/>
          </w:tcPr>
          <w:p w14:paraId="332D737B" w14:textId="77777777" w:rsidR="00BE6461" w:rsidRPr="00BE6461" w:rsidRDefault="00BE6461" w:rsidP="00BE6461">
            <w:pPr>
              <w:jc w:val="right"/>
              <w:rPr>
                <w:sz w:val="20"/>
                <w:szCs w:val="20"/>
              </w:rPr>
            </w:pPr>
          </w:p>
        </w:tc>
      </w:tr>
      <w:tr w:rsidR="00BE6461" w:rsidRPr="00BE6461" w14:paraId="326DC0DE"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1F8B89FB" w14:textId="77777777" w:rsidR="00BE6461" w:rsidRPr="00BE6461" w:rsidRDefault="00BE6461" w:rsidP="00BE6461">
            <w:pPr>
              <w:rPr>
                <w:b/>
                <w:bCs/>
                <w:sz w:val="20"/>
                <w:szCs w:val="20"/>
              </w:rPr>
            </w:pPr>
            <w:r w:rsidRPr="00BE6461">
              <w:rPr>
                <w:b/>
                <w:bCs/>
                <w:sz w:val="20"/>
                <w:szCs w:val="20"/>
              </w:rPr>
              <w:t>A100103</w:t>
            </w:r>
          </w:p>
        </w:tc>
        <w:tc>
          <w:tcPr>
            <w:tcW w:w="8457" w:type="dxa"/>
            <w:tcBorders>
              <w:top w:val="single" w:sz="4" w:space="0" w:color="auto"/>
              <w:left w:val="nil"/>
              <w:bottom w:val="single" w:sz="4" w:space="0" w:color="auto"/>
              <w:right w:val="nil"/>
            </w:tcBorders>
            <w:shd w:val="clear" w:color="auto" w:fill="auto"/>
            <w:vAlign w:val="bottom"/>
            <w:hideMark/>
          </w:tcPr>
          <w:p w14:paraId="47392458" w14:textId="77777777" w:rsidR="00BE6461" w:rsidRPr="00BE6461" w:rsidRDefault="00BE6461" w:rsidP="00BE6461">
            <w:pPr>
              <w:rPr>
                <w:b/>
                <w:bCs/>
                <w:sz w:val="20"/>
                <w:szCs w:val="20"/>
              </w:rPr>
            </w:pPr>
            <w:r w:rsidRPr="00BE6461">
              <w:rPr>
                <w:b/>
                <w:bCs/>
                <w:sz w:val="20"/>
                <w:szCs w:val="20"/>
              </w:rPr>
              <w:t>Aktivnost: POMOĆI I DONACIJE</w:t>
            </w:r>
          </w:p>
        </w:tc>
        <w:tc>
          <w:tcPr>
            <w:tcW w:w="1503" w:type="dxa"/>
            <w:tcBorders>
              <w:top w:val="single" w:sz="4" w:space="0" w:color="auto"/>
              <w:left w:val="nil"/>
              <w:bottom w:val="single" w:sz="4" w:space="0" w:color="auto"/>
              <w:right w:val="nil"/>
            </w:tcBorders>
            <w:shd w:val="clear" w:color="auto" w:fill="auto"/>
            <w:noWrap/>
            <w:vAlign w:val="bottom"/>
            <w:hideMark/>
          </w:tcPr>
          <w:p w14:paraId="76342CB7" w14:textId="77777777" w:rsidR="00BE6461" w:rsidRPr="00BE6461" w:rsidRDefault="00BE6461" w:rsidP="00BE6461">
            <w:pPr>
              <w:jc w:val="right"/>
              <w:rPr>
                <w:b/>
                <w:bCs/>
                <w:sz w:val="20"/>
                <w:szCs w:val="20"/>
              </w:rPr>
            </w:pPr>
            <w:r w:rsidRPr="00BE6461">
              <w:rPr>
                <w:b/>
                <w:bCs/>
                <w:sz w:val="20"/>
                <w:szCs w:val="20"/>
              </w:rPr>
              <w:t>39.500,00</w:t>
            </w:r>
          </w:p>
        </w:tc>
        <w:tc>
          <w:tcPr>
            <w:tcW w:w="1500" w:type="dxa"/>
            <w:tcBorders>
              <w:top w:val="single" w:sz="4" w:space="0" w:color="auto"/>
              <w:left w:val="nil"/>
              <w:bottom w:val="single" w:sz="4" w:space="0" w:color="auto"/>
              <w:right w:val="nil"/>
            </w:tcBorders>
            <w:shd w:val="clear" w:color="auto" w:fill="auto"/>
            <w:noWrap/>
            <w:vAlign w:val="bottom"/>
            <w:hideMark/>
          </w:tcPr>
          <w:p w14:paraId="4AA46623" w14:textId="77777777" w:rsidR="00BE6461" w:rsidRPr="00BE6461" w:rsidRDefault="00BE6461" w:rsidP="00BE6461">
            <w:pPr>
              <w:jc w:val="right"/>
              <w:rPr>
                <w:b/>
                <w:bCs/>
                <w:sz w:val="20"/>
                <w:szCs w:val="20"/>
              </w:rPr>
            </w:pPr>
            <w:r w:rsidRPr="00BE6461">
              <w:rPr>
                <w:b/>
                <w:bCs/>
                <w:sz w:val="20"/>
                <w:szCs w:val="20"/>
              </w:rPr>
              <w:t>39.500,00</w:t>
            </w:r>
          </w:p>
        </w:tc>
        <w:tc>
          <w:tcPr>
            <w:tcW w:w="1100" w:type="dxa"/>
            <w:tcBorders>
              <w:top w:val="single" w:sz="4" w:space="0" w:color="auto"/>
              <w:left w:val="nil"/>
              <w:bottom w:val="single" w:sz="4" w:space="0" w:color="auto"/>
              <w:right w:val="nil"/>
            </w:tcBorders>
            <w:shd w:val="clear" w:color="auto" w:fill="auto"/>
            <w:noWrap/>
            <w:vAlign w:val="bottom"/>
            <w:hideMark/>
          </w:tcPr>
          <w:p w14:paraId="1FEF17B8"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173A8D88"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78CC204"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2DFBE43A" w14:textId="77777777" w:rsidR="00BE6461" w:rsidRPr="00BE6461" w:rsidRDefault="00BE6461" w:rsidP="00BE6461">
            <w:pPr>
              <w:jc w:val="right"/>
              <w:rPr>
                <w:b/>
                <w:bCs/>
                <w:color w:val="333333"/>
                <w:sz w:val="20"/>
                <w:szCs w:val="20"/>
              </w:rPr>
            </w:pPr>
            <w:r w:rsidRPr="00BE6461">
              <w:rPr>
                <w:b/>
                <w:bCs/>
                <w:color w:val="333333"/>
                <w:sz w:val="20"/>
                <w:szCs w:val="20"/>
              </w:rPr>
              <w:t>39.500,00</w:t>
            </w:r>
          </w:p>
        </w:tc>
        <w:tc>
          <w:tcPr>
            <w:tcW w:w="1500" w:type="dxa"/>
            <w:tcBorders>
              <w:top w:val="nil"/>
              <w:left w:val="nil"/>
              <w:bottom w:val="nil"/>
              <w:right w:val="nil"/>
            </w:tcBorders>
            <w:shd w:val="clear" w:color="auto" w:fill="auto"/>
            <w:noWrap/>
            <w:vAlign w:val="bottom"/>
            <w:hideMark/>
          </w:tcPr>
          <w:p w14:paraId="336F5791" w14:textId="77777777" w:rsidR="00BE6461" w:rsidRPr="00BE6461" w:rsidRDefault="00BE6461" w:rsidP="00BE6461">
            <w:pPr>
              <w:jc w:val="right"/>
              <w:rPr>
                <w:b/>
                <w:bCs/>
                <w:color w:val="333333"/>
                <w:sz w:val="20"/>
                <w:szCs w:val="20"/>
              </w:rPr>
            </w:pPr>
            <w:r w:rsidRPr="00BE6461">
              <w:rPr>
                <w:b/>
                <w:bCs/>
                <w:color w:val="333333"/>
                <w:sz w:val="20"/>
                <w:szCs w:val="20"/>
              </w:rPr>
              <w:t>39.500,00</w:t>
            </w:r>
          </w:p>
        </w:tc>
        <w:tc>
          <w:tcPr>
            <w:tcW w:w="1100" w:type="dxa"/>
            <w:tcBorders>
              <w:top w:val="nil"/>
              <w:left w:val="nil"/>
              <w:bottom w:val="nil"/>
              <w:right w:val="nil"/>
            </w:tcBorders>
            <w:shd w:val="clear" w:color="auto" w:fill="auto"/>
            <w:noWrap/>
            <w:vAlign w:val="bottom"/>
            <w:hideMark/>
          </w:tcPr>
          <w:p w14:paraId="517F2EFD"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79DCAB0D"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C546A48"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0D7E17C3" w14:textId="77777777" w:rsidR="00BE6461" w:rsidRPr="00BE6461" w:rsidRDefault="00BE6461" w:rsidP="00BE6461">
            <w:pPr>
              <w:jc w:val="right"/>
              <w:rPr>
                <w:b/>
                <w:bCs/>
                <w:color w:val="333333"/>
                <w:sz w:val="20"/>
                <w:szCs w:val="20"/>
              </w:rPr>
            </w:pPr>
            <w:r w:rsidRPr="00BE6461">
              <w:rPr>
                <w:b/>
                <w:bCs/>
                <w:color w:val="333333"/>
                <w:sz w:val="20"/>
                <w:szCs w:val="20"/>
              </w:rPr>
              <w:t>39.500,00</w:t>
            </w:r>
          </w:p>
        </w:tc>
        <w:tc>
          <w:tcPr>
            <w:tcW w:w="1500" w:type="dxa"/>
            <w:tcBorders>
              <w:top w:val="nil"/>
              <w:left w:val="nil"/>
              <w:bottom w:val="nil"/>
              <w:right w:val="nil"/>
            </w:tcBorders>
            <w:shd w:val="clear" w:color="auto" w:fill="auto"/>
            <w:noWrap/>
            <w:vAlign w:val="bottom"/>
            <w:hideMark/>
          </w:tcPr>
          <w:p w14:paraId="396251E2" w14:textId="77777777" w:rsidR="00BE6461" w:rsidRPr="00BE6461" w:rsidRDefault="00BE6461" w:rsidP="00BE6461">
            <w:pPr>
              <w:jc w:val="right"/>
              <w:rPr>
                <w:b/>
                <w:bCs/>
                <w:color w:val="333333"/>
                <w:sz w:val="20"/>
                <w:szCs w:val="20"/>
              </w:rPr>
            </w:pPr>
            <w:r w:rsidRPr="00BE6461">
              <w:rPr>
                <w:b/>
                <w:bCs/>
                <w:color w:val="333333"/>
                <w:sz w:val="20"/>
                <w:szCs w:val="20"/>
              </w:rPr>
              <w:t>39.500,00</w:t>
            </w:r>
          </w:p>
        </w:tc>
        <w:tc>
          <w:tcPr>
            <w:tcW w:w="1100" w:type="dxa"/>
            <w:tcBorders>
              <w:top w:val="nil"/>
              <w:left w:val="nil"/>
              <w:bottom w:val="nil"/>
              <w:right w:val="nil"/>
            </w:tcBorders>
            <w:shd w:val="clear" w:color="auto" w:fill="auto"/>
            <w:noWrap/>
            <w:vAlign w:val="bottom"/>
            <w:hideMark/>
          </w:tcPr>
          <w:p w14:paraId="0BEC0DDE"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7CFA5F60" w14:textId="77777777" w:rsidTr="00BE6461">
        <w:trPr>
          <w:trHeight w:val="300"/>
        </w:trPr>
        <w:tc>
          <w:tcPr>
            <w:tcW w:w="1703" w:type="dxa"/>
            <w:tcBorders>
              <w:top w:val="nil"/>
              <w:left w:val="nil"/>
              <w:bottom w:val="nil"/>
              <w:right w:val="nil"/>
            </w:tcBorders>
            <w:shd w:val="clear" w:color="auto" w:fill="auto"/>
            <w:noWrap/>
            <w:vAlign w:val="bottom"/>
            <w:hideMark/>
          </w:tcPr>
          <w:p w14:paraId="219B14C6" w14:textId="77777777" w:rsidR="00BE6461" w:rsidRPr="00BE6461" w:rsidRDefault="00BE6461" w:rsidP="00BE6461">
            <w:pPr>
              <w:rPr>
                <w:b/>
                <w:bCs/>
                <w:sz w:val="20"/>
                <w:szCs w:val="20"/>
              </w:rPr>
            </w:pPr>
            <w:r w:rsidRPr="00BE6461">
              <w:rPr>
                <w:b/>
                <w:bCs/>
                <w:sz w:val="20"/>
                <w:szCs w:val="20"/>
              </w:rPr>
              <w:t>363</w:t>
            </w:r>
          </w:p>
        </w:tc>
        <w:tc>
          <w:tcPr>
            <w:tcW w:w="8457" w:type="dxa"/>
            <w:tcBorders>
              <w:top w:val="nil"/>
              <w:left w:val="nil"/>
              <w:bottom w:val="nil"/>
              <w:right w:val="nil"/>
            </w:tcBorders>
            <w:shd w:val="clear" w:color="auto" w:fill="auto"/>
            <w:vAlign w:val="bottom"/>
            <w:hideMark/>
          </w:tcPr>
          <w:p w14:paraId="5578BDEE" w14:textId="77777777" w:rsidR="00BE6461" w:rsidRPr="00BE6461" w:rsidRDefault="00BE6461" w:rsidP="00BE6461">
            <w:pPr>
              <w:rPr>
                <w:b/>
                <w:bCs/>
                <w:sz w:val="20"/>
                <w:szCs w:val="20"/>
              </w:rPr>
            </w:pPr>
            <w:r w:rsidRPr="00BE6461">
              <w:rPr>
                <w:b/>
                <w:bCs/>
                <w:sz w:val="20"/>
                <w:szCs w:val="20"/>
              </w:rPr>
              <w:t xml:space="preserve">Pomoći unutar općeg proračuna                                                                       </w:t>
            </w:r>
          </w:p>
        </w:tc>
        <w:tc>
          <w:tcPr>
            <w:tcW w:w="1503" w:type="dxa"/>
            <w:tcBorders>
              <w:top w:val="nil"/>
              <w:left w:val="nil"/>
              <w:bottom w:val="nil"/>
              <w:right w:val="nil"/>
            </w:tcBorders>
            <w:shd w:val="clear" w:color="auto" w:fill="auto"/>
            <w:noWrap/>
            <w:vAlign w:val="bottom"/>
            <w:hideMark/>
          </w:tcPr>
          <w:p w14:paraId="141B30AD" w14:textId="77777777" w:rsidR="00BE6461" w:rsidRPr="00BE6461" w:rsidRDefault="00BE6461" w:rsidP="00BE6461">
            <w:pPr>
              <w:jc w:val="right"/>
              <w:rPr>
                <w:b/>
                <w:bCs/>
                <w:sz w:val="20"/>
                <w:szCs w:val="20"/>
              </w:rPr>
            </w:pPr>
            <w:r w:rsidRPr="00BE6461">
              <w:rPr>
                <w:b/>
                <w:bCs/>
                <w:sz w:val="20"/>
                <w:szCs w:val="20"/>
              </w:rPr>
              <w:t>10.000,00</w:t>
            </w:r>
          </w:p>
        </w:tc>
        <w:tc>
          <w:tcPr>
            <w:tcW w:w="1500" w:type="dxa"/>
            <w:tcBorders>
              <w:top w:val="nil"/>
              <w:left w:val="nil"/>
              <w:bottom w:val="nil"/>
              <w:right w:val="nil"/>
            </w:tcBorders>
            <w:shd w:val="clear" w:color="auto" w:fill="auto"/>
            <w:noWrap/>
            <w:vAlign w:val="bottom"/>
            <w:hideMark/>
          </w:tcPr>
          <w:p w14:paraId="72270ED2" w14:textId="77777777" w:rsidR="00BE6461" w:rsidRPr="00BE6461" w:rsidRDefault="00BE6461" w:rsidP="00BE6461">
            <w:pPr>
              <w:jc w:val="right"/>
              <w:rPr>
                <w:b/>
                <w:bCs/>
                <w:sz w:val="20"/>
                <w:szCs w:val="20"/>
              </w:rPr>
            </w:pPr>
            <w:r w:rsidRPr="00BE6461">
              <w:rPr>
                <w:b/>
                <w:bCs/>
                <w:sz w:val="20"/>
                <w:szCs w:val="20"/>
              </w:rPr>
              <w:t>10.000,00</w:t>
            </w:r>
          </w:p>
        </w:tc>
        <w:tc>
          <w:tcPr>
            <w:tcW w:w="1100" w:type="dxa"/>
            <w:tcBorders>
              <w:top w:val="nil"/>
              <w:left w:val="nil"/>
              <w:bottom w:val="nil"/>
              <w:right w:val="nil"/>
            </w:tcBorders>
            <w:shd w:val="clear" w:color="auto" w:fill="auto"/>
            <w:noWrap/>
            <w:vAlign w:val="bottom"/>
            <w:hideMark/>
          </w:tcPr>
          <w:p w14:paraId="5F709469"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04664BB8" w14:textId="77777777" w:rsidTr="00BE6461">
        <w:trPr>
          <w:trHeight w:val="300"/>
        </w:trPr>
        <w:tc>
          <w:tcPr>
            <w:tcW w:w="1703" w:type="dxa"/>
            <w:tcBorders>
              <w:top w:val="nil"/>
              <w:left w:val="nil"/>
              <w:bottom w:val="nil"/>
              <w:right w:val="nil"/>
            </w:tcBorders>
            <w:shd w:val="clear" w:color="auto" w:fill="auto"/>
            <w:noWrap/>
            <w:vAlign w:val="bottom"/>
            <w:hideMark/>
          </w:tcPr>
          <w:p w14:paraId="2C29E0E9" w14:textId="77777777" w:rsidR="00BE6461" w:rsidRPr="00BE6461" w:rsidRDefault="00BE6461" w:rsidP="00BE6461">
            <w:pPr>
              <w:rPr>
                <w:sz w:val="20"/>
                <w:szCs w:val="20"/>
              </w:rPr>
            </w:pPr>
            <w:r w:rsidRPr="00BE6461">
              <w:rPr>
                <w:sz w:val="20"/>
                <w:szCs w:val="20"/>
              </w:rPr>
              <w:t>3631</w:t>
            </w:r>
          </w:p>
        </w:tc>
        <w:tc>
          <w:tcPr>
            <w:tcW w:w="8457" w:type="dxa"/>
            <w:tcBorders>
              <w:top w:val="nil"/>
              <w:left w:val="nil"/>
              <w:bottom w:val="nil"/>
              <w:right w:val="nil"/>
            </w:tcBorders>
            <w:shd w:val="clear" w:color="auto" w:fill="auto"/>
            <w:vAlign w:val="bottom"/>
            <w:hideMark/>
          </w:tcPr>
          <w:p w14:paraId="5DA60802" w14:textId="77777777" w:rsidR="00BE6461" w:rsidRPr="00BE6461" w:rsidRDefault="00BE6461" w:rsidP="00BE6461">
            <w:pPr>
              <w:rPr>
                <w:sz w:val="20"/>
                <w:szCs w:val="20"/>
              </w:rPr>
            </w:pPr>
            <w:r w:rsidRPr="00BE6461">
              <w:rPr>
                <w:sz w:val="20"/>
                <w:szCs w:val="20"/>
              </w:rPr>
              <w:t xml:space="preserve">Tekuće pomoći unutar općeg proračuna                                                                </w:t>
            </w:r>
          </w:p>
        </w:tc>
        <w:tc>
          <w:tcPr>
            <w:tcW w:w="1503" w:type="dxa"/>
            <w:tcBorders>
              <w:top w:val="nil"/>
              <w:left w:val="nil"/>
              <w:bottom w:val="nil"/>
              <w:right w:val="nil"/>
            </w:tcBorders>
            <w:shd w:val="clear" w:color="auto" w:fill="auto"/>
            <w:noWrap/>
            <w:vAlign w:val="bottom"/>
            <w:hideMark/>
          </w:tcPr>
          <w:p w14:paraId="458E2BD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A358FC7" w14:textId="77777777" w:rsidR="00BE6461" w:rsidRPr="00BE6461" w:rsidRDefault="00BE6461" w:rsidP="00BE6461">
            <w:pPr>
              <w:jc w:val="right"/>
              <w:rPr>
                <w:sz w:val="20"/>
                <w:szCs w:val="20"/>
              </w:rPr>
            </w:pPr>
            <w:r w:rsidRPr="00BE6461">
              <w:rPr>
                <w:sz w:val="20"/>
                <w:szCs w:val="20"/>
              </w:rPr>
              <w:t>10.000,00</w:t>
            </w:r>
          </w:p>
        </w:tc>
        <w:tc>
          <w:tcPr>
            <w:tcW w:w="1100" w:type="dxa"/>
            <w:tcBorders>
              <w:top w:val="nil"/>
              <w:left w:val="nil"/>
              <w:bottom w:val="nil"/>
              <w:right w:val="nil"/>
            </w:tcBorders>
            <w:shd w:val="clear" w:color="auto" w:fill="auto"/>
            <w:noWrap/>
            <w:vAlign w:val="bottom"/>
            <w:hideMark/>
          </w:tcPr>
          <w:p w14:paraId="73D9C4F8" w14:textId="77777777" w:rsidR="00BE6461" w:rsidRPr="00BE6461" w:rsidRDefault="00BE6461" w:rsidP="00BE6461">
            <w:pPr>
              <w:jc w:val="right"/>
              <w:rPr>
                <w:sz w:val="20"/>
                <w:szCs w:val="20"/>
              </w:rPr>
            </w:pPr>
          </w:p>
        </w:tc>
      </w:tr>
      <w:tr w:rsidR="00BE6461" w:rsidRPr="00BE6461" w14:paraId="60381A44" w14:textId="77777777" w:rsidTr="00BE6461">
        <w:trPr>
          <w:trHeight w:val="300"/>
        </w:trPr>
        <w:tc>
          <w:tcPr>
            <w:tcW w:w="1703" w:type="dxa"/>
            <w:tcBorders>
              <w:top w:val="nil"/>
              <w:left w:val="nil"/>
              <w:bottom w:val="nil"/>
              <w:right w:val="nil"/>
            </w:tcBorders>
            <w:shd w:val="clear" w:color="auto" w:fill="auto"/>
            <w:noWrap/>
            <w:vAlign w:val="bottom"/>
            <w:hideMark/>
          </w:tcPr>
          <w:p w14:paraId="63737B6D" w14:textId="77777777" w:rsidR="00BE6461" w:rsidRPr="00BE6461" w:rsidRDefault="00BE6461" w:rsidP="00BE6461">
            <w:pPr>
              <w:rPr>
                <w:b/>
                <w:bCs/>
                <w:sz w:val="20"/>
                <w:szCs w:val="20"/>
              </w:rPr>
            </w:pPr>
            <w:r w:rsidRPr="00BE6461">
              <w:rPr>
                <w:b/>
                <w:bCs/>
                <w:sz w:val="20"/>
                <w:szCs w:val="20"/>
              </w:rPr>
              <w:lastRenderedPageBreak/>
              <w:t>366</w:t>
            </w:r>
          </w:p>
        </w:tc>
        <w:tc>
          <w:tcPr>
            <w:tcW w:w="8457" w:type="dxa"/>
            <w:tcBorders>
              <w:top w:val="nil"/>
              <w:left w:val="nil"/>
              <w:bottom w:val="nil"/>
              <w:right w:val="nil"/>
            </w:tcBorders>
            <w:shd w:val="clear" w:color="auto" w:fill="auto"/>
            <w:vAlign w:val="bottom"/>
            <w:hideMark/>
          </w:tcPr>
          <w:p w14:paraId="6052FD88" w14:textId="77777777" w:rsidR="00BE6461" w:rsidRPr="00BE6461" w:rsidRDefault="00BE6461" w:rsidP="00BE6461">
            <w:pPr>
              <w:rPr>
                <w:b/>
                <w:bCs/>
                <w:sz w:val="20"/>
                <w:szCs w:val="20"/>
              </w:rPr>
            </w:pPr>
            <w:r w:rsidRPr="00BE6461">
              <w:rPr>
                <w:b/>
                <w:bCs/>
                <w:sz w:val="20"/>
                <w:szCs w:val="20"/>
              </w:rPr>
              <w:t>Pomoći proračunskim korisnicima drugih proračuna</w:t>
            </w:r>
          </w:p>
        </w:tc>
        <w:tc>
          <w:tcPr>
            <w:tcW w:w="1503" w:type="dxa"/>
            <w:tcBorders>
              <w:top w:val="nil"/>
              <w:left w:val="nil"/>
              <w:bottom w:val="nil"/>
              <w:right w:val="nil"/>
            </w:tcBorders>
            <w:shd w:val="clear" w:color="auto" w:fill="auto"/>
            <w:noWrap/>
            <w:vAlign w:val="bottom"/>
            <w:hideMark/>
          </w:tcPr>
          <w:p w14:paraId="6AD52AB0" w14:textId="77777777" w:rsidR="00BE6461" w:rsidRPr="00BE6461" w:rsidRDefault="00BE6461" w:rsidP="00BE6461">
            <w:pPr>
              <w:jc w:val="right"/>
              <w:rPr>
                <w:b/>
                <w:bCs/>
                <w:sz w:val="20"/>
                <w:szCs w:val="20"/>
              </w:rPr>
            </w:pPr>
            <w:r w:rsidRPr="00BE6461">
              <w:rPr>
                <w:b/>
                <w:bCs/>
                <w:sz w:val="20"/>
                <w:szCs w:val="20"/>
              </w:rPr>
              <w:t>5.000,00</w:t>
            </w:r>
          </w:p>
        </w:tc>
        <w:tc>
          <w:tcPr>
            <w:tcW w:w="1500" w:type="dxa"/>
            <w:tcBorders>
              <w:top w:val="nil"/>
              <w:left w:val="nil"/>
              <w:bottom w:val="nil"/>
              <w:right w:val="nil"/>
            </w:tcBorders>
            <w:shd w:val="clear" w:color="auto" w:fill="auto"/>
            <w:noWrap/>
            <w:vAlign w:val="bottom"/>
            <w:hideMark/>
          </w:tcPr>
          <w:p w14:paraId="0ED38B71" w14:textId="77777777" w:rsidR="00BE6461" w:rsidRPr="00BE6461" w:rsidRDefault="00BE6461" w:rsidP="00BE6461">
            <w:pPr>
              <w:jc w:val="right"/>
              <w:rPr>
                <w:b/>
                <w:bCs/>
                <w:sz w:val="20"/>
                <w:szCs w:val="20"/>
              </w:rPr>
            </w:pPr>
            <w:r w:rsidRPr="00BE6461">
              <w:rPr>
                <w:b/>
                <w:bCs/>
                <w:sz w:val="20"/>
                <w:szCs w:val="20"/>
              </w:rPr>
              <w:t>5.000,00</w:t>
            </w:r>
          </w:p>
        </w:tc>
        <w:tc>
          <w:tcPr>
            <w:tcW w:w="1100" w:type="dxa"/>
            <w:tcBorders>
              <w:top w:val="nil"/>
              <w:left w:val="nil"/>
              <w:bottom w:val="nil"/>
              <w:right w:val="nil"/>
            </w:tcBorders>
            <w:shd w:val="clear" w:color="auto" w:fill="auto"/>
            <w:noWrap/>
            <w:vAlign w:val="bottom"/>
            <w:hideMark/>
          </w:tcPr>
          <w:p w14:paraId="649917EF"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36822053" w14:textId="77777777" w:rsidTr="00BE6461">
        <w:trPr>
          <w:trHeight w:val="300"/>
        </w:trPr>
        <w:tc>
          <w:tcPr>
            <w:tcW w:w="1703" w:type="dxa"/>
            <w:tcBorders>
              <w:top w:val="nil"/>
              <w:left w:val="nil"/>
              <w:bottom w:val="nil"/>
              <w:right w:val="nil"/>
            </w:tcBorders>
            <w:shd w:val="clear" w:color="auto" w:fill="auto"/>
            <w:noWrap/>
            <w:vAlign w:val="bottom"/>
            <w:hideMark/>
          </w:tcPr>
          <w:p w14:paraId="635498DD" w14:textId="77777777" w:rsidR="00BE6461" w:rsidRPr="00BE6461" w:rsidRDefault="00BE6461" w:rsidP="00BE6461">
            <w:pPr>
              <w:rPr>
                <w:sz w:val="20"/>
                <w:szCs w:val="20"/>
              </w:rPr>
            </w:pPr>
            <w:r w:rsidRPr="00BE6461">
              <w:rPr>
                <w:sz w:val="20"/>
                <w:szCs w:val="20"/>
              </w:rPr>
              <w:t>3661</w:t>
            </w:r>
          </w:p>
        </w:tc>
        <w:tc>
          <w:tcPr>
            <w:tcW w:w="8457" w:type="dxa"/>
            <w:tcBorders>
              <w:top w:val="nil"/>
              <w:left w:val="nil"/>
              <w:bottom w:val="nil"/>
              <w:right w:val="nil"/>
            </w:tcBorders>
            <w:shd w:val="clear" w:color="auto" w:fill="auto"/>
            <w:vAlign w:val="bottom"/>
            <w:hideMark/>
          </w:tcPr>
          <w:p w14:paraId="3F794148" w14:textId="77777777" w:rsidR="00BE6461" w:rsidRPr="00BE6461" w:rsidRDefault="00BE6461" w:rsidP="00BE6461">
            <w:pPr>
              <w:rPr>
                <w:sz w:val="20"/>
                <w:szCs w:val="20"/>
              </w:rPr>
            </w:pPr>
            <w:r w:rsidRPr="00BE6461">
              <w:rPr>
                <w:sz w:val="20"/>
                <w:szCs w:val="20"/>
              </w:rPr>
              <w:t>Tekuće pomoći proračunskim korisnicima drugih proračuna</w:t>
            </w:r>
          </w:p>
        </w:tc>
        <w:tc>
          <w:tcPr>
            <w:tcW w:w="1503" w:type="dxa"/>
            <w:tcBorders>
              <w:top w:val="nil"/>
              <w:left w:val="nil"/>
              <w:bottom w:val="nil"/>
              <w:right w:val="nil"/>
            </w:tcBorders>
            <w:shd w:val="clear" w:color="auto" w:fill="auto"/>
            <w:noWrap/>
            <w:vAlign w:val="bottom"/>
            <w:hideMark/>
          </w:tcPr>
          <w:p w14:paraId="29CA4FAF"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15FAEF6" w14:textId="77777777" w:rsidR="00BE6461" w:rsidRPr="00BE6461" w:rsidRDefault="00BE6461" w:rsidP="00BE6461">
            <w:pPr>
              <w:jc w:val="right"/>
              <w:rPr>
                <w:sz w:val="20"/>
                <w:szCs w:val="20"/>
              </w:rPr>
            </w:pPr>
            <w:r w:rsidRPr="00BE6461">
              <w:rPr>
                <w:sz w:val="20"/>
                <w:szCs w:val="20"/>
              </w:rPr>
              <w:t>5.000,00</w:t>
            </w:r>
          </w:p>
        </w:tc>
        <w:tc>
          <w:tcPr>
            <w:tcW w:w="1100" w:type="dxa"/>
            <w:tcBorders>
              <w:top w:val="nil"/>
              <w:left w:val="nil"/>
              <w:bottom w:val="nil"/>
              <w:right w:val="nil"/>
            </w:tcBorders>
            <w:shd w:val="clear" w:color="auto" w:fill="auto"/>
            <w:noWrap/>
            <w:vAlign w:val="bottom"/>
            <w:hideMark/>
          </w:tcPr>
          <w:p w14:paraId="5EC7EAA8" w14:textId="77777777" w:rsidR="00BE6461" w:rsidRPr="00BE6461" w:rsidRDefault="00BE6461" w:rsidP="00BE6461">
            <w:pPr>
              <w:jc w:val="right"/>
              <w:rPr>
                <w:sz w:val="20"/>
                <w:szCs w:val="20"/>
              </w:rPr>
            </w:pPr>
          </w:p>
        </w:tc>
      </w:tr>
      <w:tr w:rsidR="00BE6461" w:rsidRPr="00BE6461" w14:paraId="603B7042" w14:textId="77777777" w:rsidTr="00BE6461">
        <w:trPr>
          <w:trHeight w:val="300"/>
        </w:trPr>
        <w:tc>
          <w:tcPr>
            <w:tcW w:w="1703" w:type="dxa"/>
            <w:tcBorders>
              <w:top w:val="nil"/>
              <w:left w:val="nil"/>
              <w:bottom w:val="nil"/>
              <w:right w:val="nil"/>
            </w:tcBorders>
            <w:shd w:val="clear" w:color="auto" w:fill="auto"/>
            <w:noWrap/>
            <w:vAlign w:val="bottom"/>
            <w:hideMark/>
          </w:tcPr>
          <w:p w14:paraId="391EDC35" w14:textId="77777777" w:rsidR="00BE6461" w:rsidRPr="00BE6461" w:rsidRDefault="00BE6461" w:rsidP="00BE6461">
            <w:pPr>
              <w:rPr>
                <w:b/>
                <w:bCs/>
                <w:sz w:val="20"/>
                <w:szCs w:val="20"/>
              </w:rPr>
            </w:pPr>
            <w:r w:rsidRPr="00BE6461">
              <w:rPr>
                <w:b/>
                <w:bCs/>
                <w:sz w:val="20"/>
                <w:szCs w:val="20"/>
              </w:rPr>
              <w:t>381</w:t>
            </w:r>
          </w:p>
        </w:tc>
        <w:tc>
          <w:tcPr>
            <w:tcW w:w="8457" w:type="dxa"/>
            <w:tcBorders>
              <w:top w:val="nil"/>
              <w:left w:val="nil"/>
              <w:bottom w:val="nil"/>
              <w:right w:val="nil"/>
            </w:tcBorders>
            <w:shd w:val="clear" w:color="auto" w:fill="auto"/>
            <w:vAlign w:val="bottom"/>
            <w:hideMark/>
          </w:tcPr>
          <w:p w14:paraId="6FF29EBD" w14:textId="77777777" w:rsidR="00BE6461" w:rsidRPr="00BE6461" w:rsidRDefault="00BE6461" w:rsidP="00BE6461">
            <w:pPr>
              <w:rPr>
                <w:b/>
                <w:bCs/>
                <w:sz w:val="20"/>
                <w:szCs w:val="20"/>
              </w:rPr>
            </w:pPr>
            <w:r w:rsidRPr="00BE6461">
              <w:rPr>
                <w:b/>
                <w:bCs/>
                <w:sz w:val="20"/>
                <w:szCs w:val="20"/>
              </w:rPr>
              <w:t xml:space="preserve">Tekuće donacije                                                                                     </w:t>
            </w:r>
          </w:p>
        </w:tc>
        <w:tc>
          <w:tcPr>
            <w:tcW w:w="1503" w:type="dxa"/>
            <w:tcBorders>
              <w:top w:val="nil"/>
              <w:left w:val="nil"/>
              <w:bottom w:val="nil"/>
              <w:right w:val="nil"/>
            </w:tcBorders>
            <w:shd w:val="clear" w:color="auto" w:fill="auto"/>
            <w:noWrap/>
            <w:vAlign w:val="bottom"/>
            <w:hideMark/>
          </w:tcPr>
          <w:p w14:paraId="49C0AF6C" w14:textId="77777777" w:rsidR="00BE6461" w:rsidRPr="00BE6461" w:rsidRDefault="00BE6461" w:rsidP="00BE6461">
            <w:pPr>
              <w:jc w:val="right"/>
              <w:rPr>
                <w:b/>
                <w:bCs/>
                <w:sz w:val="20"/>
                <w:szCs w:val="20"/>
              </w:rPr>
            </w:pPr>
            <w:r w:rsidRPr="00BE6461">
              <w:rPr>
                <w:b/>
                <w:bCs/>
                <w:sz w:val="20"/>
                <w:szCs w:val="20"/>
              </w:rPr>
              <w:t>24.500,00</w:t>
            </w:r>
          </w:p>
        </w:tc>
        <w:tc>
          <w:tcPr>
            <w:tcW w:w="1500" w:type="dxa"/>
            <w:tcBorders>
              <w:top w:val="nil"/>
              <w:left w:val="nil"/>
              <w:bottom w:val="nil"/>
              <w:right w:val="nil"/>
            </w:tcBorders>
            <w:shd w:val="clear" w:color="auto" w:fill="auto"/>
            <w:noWrap/>
            <w:vAlign w:val="bottom"/>
            <w:hideMark/>
          </w:tcPr>
          <w:p w14:paraId="00169855" w14:textId="77777777" w:rsidR="00BE6461" w:rsidRPr="00BE6461" w:rsidRDefault="00BE6461" w:rsidP="00BE6461">
            <w:pPr>
              <w:jc w:val="right"/>
              <w:rPr>
                <w:b/>
                <w:bCs/>
                <w:sz w:val="20"/>
                <w:szCs w:val="20"/>
              </w:rPr>
            </w:pPr>
            <w:r w:rsidRPr="00BE6461">
              <w:rPr>
                <w:b/>
                <w:bCs/>
                <w:sz w:val="20"/>
                <w:szCs w:val="20"/>
              </w:rPr>
              <w:t>24.500,00</w:t>
            </w:r>
          </w:p>
        </w:tc>
        <w:tc>
          <w:tcPr>
            <w:tcW w:w="1100" w:type="dxa"/>
            <w:tcBorders>
              <w:top w:val="nil"/>
              <w:left w:val="nil"/>
              <w:bottom w:val="nil"/>
              <w:right w:val="nil"/>
            </w:tcBorders>
            <w:shd w:val="clear" w:color="auto" w:fill="auto"/>
            <w:noWrap/>
            <w:vAlign w:val="bottom"/>
            <w:hideMark/>
          </w:tcPr>
          <w:p w14:paraId="7DDE9D09"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1E82E65D" w14:textId="77777777" w:rsidTr="00BE6461">
        <w:trPr>
          <w:trHeight w:val="300"/>
        </w:trPr>
        <w:tc>
          <w:tcPr>
            <w:tcW w:w="1703" w:type="dxa"/>
            <w:tcBorders>
              <w:top w:val="nil"/>
              <w:left w:val="nil"/>
              <w:bottom w:val="nil"/>
              <w:right w:val="nil"/>
            </w:tcBorders>
            <w:shd w:val="clear" w:color="auto" w:fill="auto"/>
            <w:noWrap/>
            <w:vAlign w:val="bottom"/>
            <w:hideMark/>
          </w:tcPr>
          <w:p w14:paraId="634E838B" w14:textId="77777777" w:rsidR="00BE6461" w:rsidRPr="00BE6461" w:rsidRDefault="00BE6461" w:rsidP="00BE6461">
            <w:pPr>
              <w:rPr>
                <w:sz w:val="20"/>
                <w:szCs w:val="20"/>
              </w:rPr>
            </w:pPr>
            <w:r w:rsidRPr="00BE6461">
              <w:rPr>
                <w:sz w:val="20"/>
                <w:szCs w:val="20"/>
              </w:rPr>
              <w:t>3811</w:t>
            </w:r>
          </w:p>
        </w:tc>
        <w:tc>
          <w:tcPr>
            <w:tcW w:w="8457" w:type="dxa"/>
            <w:tcBorders>
              <w:top w:val="nil"/>
              <w:left w:val="nil"/>
              <w:bottom w:val="nil"/>
              <w:right w:val="nil"/>
            </w:tcBorders>
            <w:shd w:val="clear" w:color="auto" w:fill="auto"/>
            <w:vAlign w:val="bottom"/>
            <w:hideMark/>
          </w:tcPr>
          <w:p w14:paraId="56195718" w14:textId="77777777" w:rsidR="00BE6461" w:rsidRPr="00BE6461" w:rsidRDefault="00BE6461" w:rsidP="00BE6461">
            <w:pPr>
              <w:rPr>
                <w:sz w:val="20"/>
                <w:szCs w:val="20"/>
              </w:rPr>
            </w:pPr>
            <w:r w:rsidRPr="00BE6461">
              <w:rPr>
                <w:sz w:val="20"/>
                <w:szCs w:val="20"/>
              </w:rPr>
              <w:t xml:space="preserve">Tekuće donacije u novcu                                                                             </w:t>
            </w:r>
          </w:p>
        </w:tc>
        <w:tc>
          <w:tcPr>
            <w:tcW w:w="1503" w:type="dxa"/>
            <w:tcBorders>
              <w:top w:val="nil"/>
              <w:left w:val="nil"/>
              <w:bottom w:val="nil"/>
              <w:right w:val="nil"/>
            </w:tcBorders>
            <w:shd w:val="clear" w:color="auto" w:fill="auto"/>
            <w:noWrap/>
            <w:vAlign w:val="bottom"/>
            <w:hideMark/>
          </w:tcPr>
          <w:p w14:paraId="252F074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836837D" w14:textId="77777777" w:rsidR="00BE6461" w:rsidRPr="00BE6461" w:rsidRDefault="00BE6461" w:rsidP="00BE6461">
            <w:pPr>
              <w:jc w:val="right"/>
              <w:rPr>
                <w:sz w:val="20"/>
                <w:szCs w:val="20"/>
              </w:rPr>
            </w:pPr>
            <w:r w:rsidRPr="00BE6461">
              <w:rPr>
                <w:sz w:val="20"/>
                <w:szCs w:val="20"/>
              </w:rPr>
              <w:t>24.500,00</w:t>
            </w:r>
          </w:p>
        </w:tc>
        <w:tc>
          <w:tcPr>
            <w:tcW w:w="1100" w:type="dxa"/>
            <w:tcBorders>
              <w:top w:val="nil"/>
              <w:left w:val="nil"/>
              <w:bottom w:val="nil"/>
              <w:right w:val="nil"/>
            </w:tcBorders>
            <w:shd w:val="clear" w:color="auto" w:fill="auto"/>
            <w:noWrap/>
            <w:vAlign w:val="bottom"/>
            <w:hideMark/>
          </w:tcPr>
          <w:p w14:paraId="7E5F0655" w14:textId="77777777" w:rsidR="00BE6461" w:rsidRPr="00BE6461" w:rsidRDefault="00BE6461" w:rsidP="00BE6461">
            <w:pPr>
              <w:jc w:val="right"/>
              <w:rPr>
                <w:sz w:val="20"/>
                <w:szCs w:val="20"/>
              </w:rPr>
            </w:pPr>
          </w:p>
        </w:tc>
      </w:tr>
      <w:tr w:rsidR="00BE6461" w:rsidRPr="00BE6461" w14:paraId="196AC3A5"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1ECC3E73" w14:textId="77777777" w:rsidR="00BE6461" w:rsidRPr="00BE6461" w:rsidRDefault="00BE6461" w:rsidP="00BE6461">
            <w:pPr>
              <w:rPr>
                <w:b/>
                <w:bCs/>
                <w:sz w:val="20"/>
                <w:szCs w:val="20"/>
              </w:rPr>
            </w:pPr>
            <w:r w:rsidRPr="00BE6461">
              <w:rPr>
                <w:b/>
                <w:bCs/>
                <w:sz w:val="20"/>
                <w:szCs w:val="20"/>
              </w:rPr>
              <w:t>A100104</w:t>
            </w:r>
          </w:p>
        </w:tc>
        <w:tc>
          <w:tcPr>
            <w:tcW w:w="8457" w:type="dxa"/>
            <w:tcBorders>
              <w:top w:val="single" w:sz="4" w:space="0" w:color="auto"/>
              <w:left w:val="nil"/>
              <w:bottom w:val="single" w:sz="4" w:space="0" w:color="auto"/>
              <w:right w:val="nil"/>
            </w:tcBorders>
            <w:shd w:val="clear" w:color="auto" w:fill="auto"/>
            <w:vAlign w:val="bottom"/>
            <w:hideMark/>
          </w:tcPr>
          <w:p w14:paraId="1C849241" w14:textId="77777777" w:rsidR="00BE6461" w:rsidRPr="00BE6461" w:rsidRDefault="00BE6461" w:rsidP="00BE6461">
            <w:pPr>
              <w:rPr>
                <w:b/>
                <w:bCs/>
                <w:sz w:val="20"/>
                <w:szCs w:val="20"/>
              </w:rPr>
            </w:pPr>
            <w:r w:rsidRPr="00BE6461">
              <w:rPr>
                <w:b/>
                <w:bCs/>
                <w:sz w:val="20"/>
                <w:szCs w:val="20"/>
              </w:rPr>
              <w:t>Aktivnost: COVID 19 - MATERIJALNI RASHODI, POMOĆI I DONACIJE</w:t>
            </w:r>
          </w:p>
        </w:tc>
        <w:tc>
          <w:tcPr>
            <w:tcW w:w="1503" w:type="dxa"/>
            <w:tcBorders>
              <w:top w:val="single" w:sz="4" w:space="0" w:color="auto"/>
              <w:left w:val="nil"/>
              <w:bottom w:val="single" w:sz="4" w:space="0" w:color="auto"/>
              <w:right w:val="nil"/>
            </w:tcBorders>
            <w:shd w:val="clear" w:color="auto" w:fill="auto"/>
            <w:noWrap/>
            <w:vAlign w:val="bottom"/>
            <w:hideMark/>
          </w:tcPr>
          <w:p w14:paraId="24EB7E3D" w14:textId="77777777" w:rsidR="00BE6461" w:rsidRPr="00BE6461" w:rsidRDefault="00BE6461" w:rsidP="00BE6461">
            <w:pPr>
              <w:jc w:val="right"/>
              <w:rPr>
                <w:b/>
                <w:bCs/>
                <w:sz w:val="20"/>
                <w:szCs w:val="20"/>
              </w:rPr>
            </w:pPr>
            <w:r w:rsidRPr="00BE6461">
              <w:rPr>
                <w:b/>
                <w:bCs/>
                <w:sz w:val="20"/>
                <w:szCs w:val="20"/>
              </w:rPr>
              <w:t>20.000,00</w:t>
            </w:r>
          </w:p>
        </w:tc>
        <w:tc>
          <w:tcPr>
            <w:tcW w:w="1500" w:type="dxa"/>
            <w:tcBorders>
              <w:top w:val="single" w:sz="4" w:space="0" w:color="auto"/>
              <w:left w:val="nil"/>
              <w:bottom w:val="single" w:sz="4" w:space="0" w:color="auto"/>
              <w:right w:val="nil"/>
            </w:tcBorders>
            <w:shd w:val="clear" w:color="auto" w:fill="auto"/>
            <w:noWrap/>
            <w:vAlign w:val="bottom"/>
            <w:hideMark/>
          </w:tcPr>
          <w:p w14:paraId="7956AD98" w14:textId="77777777" w:rsidR="00BE6461" w:rsidRPr="00BE6461" w:rsidRDefault="00BE6461" w:rsidP="00BE6461">
            <w:pPr>
              <w:jc w:val="right"/>
              <w:rPr>
                <w:b/>
                <w:bCs/>
                <w:sz w:val="20"/>
                <w:szCs w:val="20"/>
              </w:rPr>
            </w:pPr>
            <w:r w:rsidRPr="00BE6461">
              <w:rPr>
                <w:b/>
                <w:bCs/>
                <w:sz w:val="20"/>
                <w:szCs w:val="20"/>
              </w:rPr>
              <w:t>1.325,58</w:t>
            </w:r>
          </w:p>
        </w:tc>
        <w:tc>
          <w:tcPr>
            <w:tcW w:w="1100" w:type="dxa"/>
            <w:tcBorders>
              <w:top w:val="single" w:sz="4" w:space="0" w:color="auto"/>
              <w:left w:val="nil"/>
              <w:bottom w:val="single" w:sz="4" w:space="0" w:color="auto"/>
              <w:right w:val="nil"/>
            </w:tcBorders>
            <w:shd w:val="clear" w:color="auto" w:fill="auto"/>
            <w:noWrap/>
            <w:vAlign w:val="bottom"/>
            <w:hideMark/>
          </w:tcPr>
          <w:p w14:paraId="0D4E8C58" w14:textId="77777777" w:rsidR="00BE6461" w:rsidRPr="00BE6461" w:rsidRDefault="00BE6461" w:rsidP="00BE6461">
            <w:pPr>
              <w:jc w:val="right"/>
              <w:rPr>
                <w:b/>
                <w:bCs/>
                <w:sz w:val="20"/>
                <w:szCs w:val="20"/>
              </w:rPr>
            </w:pPr>
            <w:r w:rsidRPr="00BE6461">
              <w:rPr>
                <w:b/>
                <w:bCs/>
                <w:sz w:val="20"/>
                <w:szCs w:val="20"/>
              </w:rPr>
              <w:t>6,63</w:t>
            </w:r>
          </w:p>
        </w:tc>
      </w:tr>
      <w:tr w:rsidR="00BE6461" w:rsidRPr="00BE6461" w14:paraId="31A18C4E"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FE042D8"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49713142" w14:textId="77777777" w:rsidR="00BE6461" w:rsidRPr="00BE6461" w:rsidRDefault="00BE6461" w:rsidP="00BE6461">
            <w:pPr>
              <w:jc w:val="right"/>
              <w:rPr>
                <w:b/>
                <w:bCs/>
                <w:color w:val="333333"/>
                <w:sz w:val="20"/>
                <w:szCs w:val="20"/>
              </w:rPr>
            </w:pPr>
            <w:r w:rsidRPr="00BE6461">
              <w:rPr>
                <w:b/>
                <w:bCs/>
                <w:color w:val="333333"/>
                <w:sz w:val="20"/>
                <w:szCs w:val="20"/>
              </w:rPr>
              <w:t>20.000,00</w:t>
            </w:r>
          </w:p>
        </w:tc>
        <w:tc>
          <w:tcPr>
            <w:tcW w:w="1500" w:type="dxa"/>
            <w:tcBorders>
              <w:top w:val="nil"/>
              <w:left w:val="nil"/>
              <w:bottom w:val="nil"/>
              <w:right w:val="nil"/>
            </w:tcBorders>
            <w:shd w:val="clear" w:color="auto" w:fill="auto"/>
            <w:noWrap/>
            <w:vAlign w:val="bottom"/>
            <w:hideMark/>
          </w:tcPr>
          <w:p w14:paraId="167B942F" w14:textId="77777777" w:rsidR="00BE6461" w:rsidRPr="00BE6461" w:rsidRDefault="00BE6461" w:rsidP="00BE6461">
            <w:pPr>
              <w:jc w:val="right"/>
              <w:rPr>
                <w:b/>
                <w:bCs/>
                <w:color w:val="333333"/>
                <w:sz w:val="20"/>
                <w:szCs w:val="20"/>
              </w:rPr>
            </w:pPr>
            <w:r w:rsidRPr="00BE6461">
              <w:rPr>
                <w:b/>
                <w:bCs/>
                <w:color w:val="333333"/>
                <w:sz w:val="20"/>
                <w:szCs w:val="20"/>
              </w:rPr>
              <w:t>1.325,58</w:t>
            </w:r>
          </w:p>
        </w:tc>
        <w:tc>
          <w:tcPr>
            <w:tcW w:w="1100" w:type="dxa"/>
            <w:tcBorders>
              <w:top w:val="nil"/>
              <w:left w:val="nil"/>
              <w:bottom w:val="nil"/>
              <w:right w:val="nil"/>
            </w:tcBorders>
            <w:shd w:val="clear" w:color="auto" w:fill="auto"/>
            <w:noWrap/>
            <w:vAlign w:val="bottom"/>
            <w:hideMark/>
          </w:tcPr>
          <w:p w14:paraId="1DF0956F" w14:textId="77777777" w:rsidR="00BE6461" w:rsidRPr="00BE6461" w:rsidRDefault="00BE6461" w:rsidP="00BE6461">
            <w:pPr>
              <w:jc w:val="right"/>
              <w:rPr>
                <w:b/>
                <w:bCs/>
                <w:color w:val="333333"/>
                <w:sz w:val="20"/>
                <w:szCs w:val="20"/>
              </w:rPr>
            </w:pPr>
            <w:r w:rsidRPr="00BE6461">
              <w:rPr>
                <w:b/>
                <w:bCs/>
                <w:color w:val="333333"/>
                <w:sz w:val="20"/>
                <w:szCs w:val="20"/>
              </w:rPr>
              <w:t>6,63</w:t>
            </w:r>
          </w:p>
        </w:tc>
      </w:tr>
      <w:tr w:rsidR="00BE6461" w:rsidRPr="00BE6461" w14:paraId="5A107EF0"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D906308"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4733E373" w14:textId="77777777" w:rsidR="00BE6461" w:rsidRPr="00BE6461" w:rsidRDefault="00BE6461" w:rsidP="00BE6461">
            <w:pPr>
              <w:jc w:val="right"/>
              <w:rPr>
                <w:b/>
                <w:bCs/>
                <w:color w:val="333333"/>
                <w:sz w:val="20"/>
                <w:szCs w:val="20"/>
              </w:rPr>
            </w:pPr>
            <w:r w:rsidRPr="00BE6461">
              <w:rPr>
                <w:b/>
                <w:bCs/>
                <w:color w:val="333333"/>
                <w:sz w:val="20"/>
                <w:szCs w:val="20"/>
              </w:rPr>
              <w:t>20.000,00</w:t>
            </w:r>
          </w:p>
        </w:tc>
        <w:tc>
          <w:tcPr>
            <w:tcW w:w="1500" w:type="dxa"/>
            <w:tcBorders>
              <w:top w:val="nil"/>
              <w:left w:val="nil"/>
              <w:bottom w:val="nil"/>
              <w:right w:val="nil"/>
            </w:tcBorders>
            <w:shd w:val="clear" w:color="auto" w:fill="auto"/>
            <w:noWrap/>
            <w:vAlign w:val="bottom"/>
            <w:hideMark/>
          </w:tcPr>
          <w:p w14:paraId="2CA99FCD" w14:textId="77777777" w:rsidR="00BE6461" w:rsidRPr="00BE6461" w:rsidRDefault="00BE6461" w:rsidP="00BE6461">
            <w:pPr>
              <w:jc w:val="right"/>
              <w:rPr>
                <w:b/>
                <w:bCs/>
                <w:color w:val="333333"/>
                <w:sz w:val="20"/>
                <w:szCs w:val="20"/>
              </w:rPr>
            </w:pPr>
            <w:r w:rsidRPr="00BE6461">
              <w:rPr>
                <w:b/>
                <w:bCs/>
                <w:color w:val="333333"/>
                <w:sz w:val="20"/>
                <w:szCs w:val="20"/>
              </w:rPr>
              <w:t>1.325,58</w:t>
            </w:r>
          </w:p>
        </w:tc>
        <w:tc>
          <w:tcPr>
            <w:tcW w:w="1100" w:type="dxa"/>
            <w:tcBorders>
              <w:top w:val="nil"/>
              <w:left w:val="nil"/>
              <w:bottom w:val="nil"/>
              <w:right w:val="nil"/>
            </w:tcBorders>
            <w:shd w:val="clear" w:color="auto" w:fill="auto"/>
            <w:noWrap/>
            <w:vAlign w:val="bottom"/>
            <w:hideMark/>
          </w:tcPr>
          <w:p w14:paraId="026439F8" w14:textId="77777777" w:rsidR="00BE6461" w:rsidRPr="00BE6461" w:rsidRDefault="00BE6461" w:rsidP="00BE6461">
            <w:pPr>
              <w:jc w:val="right"/>
              <w:rPr>
                <w:b/>
                <w:bCs/>
                <w:color w:val="333333"/>
                <w:sz w:val="20"/>
                <w:szCs w:val="20"/>
              </w:rPr>
            </w:pPr>
            <w:r w:rsidRPr="00BE6461">
              <w:rPr>
                <w:b/>
                <w:bCs/>
                <w:color w:val="333333"/>
                <w:sz w:val="20"/>
                <w:szCs w:val="20"/>
              </w:rPr>
              <w:t>6,63</w:t>
            </w:r>
          </w:p>
        </w:tc>
      </w:tr>
      <w:tr w:rsidR="00BE6461" w:rsidRPr="00BE6461" w14:paraId="68079651" w14:textId="77777777" w:rsidTr="00BE6461">
        <w:trPr>
          <w:trHeight w:val="300"/>
        </w:trPr>
        <w:tc>
          <w:tcPr>
            <w:tcW w:w="1703" w:type="dxa"/>
            <w:tcBorders>
              <w:top w:val="nil"/>
              <w:left w:val="nil"/>
              <w:bottom w:val="nil"/>
              <w:right w:val="nil"/>
            </w:tcBorders>
            <w:shd w:val="clear" w:color="auto" w:fill="auto"/>
            <w:noWrap/>
            <w:vAlign w:val="bottom"/>
            <w:hideMark/>
          </w:tcPr>
          <w:p w14:paraId="45E29E99"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21EB2328"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54B08B9F" w14:textId="77777777" w:rsidR="00BE6461" w:rsidRPr="00BE6461" w:rsidRDefault="00BE6461" w:rsidP="00BE6461">
            <w:pPr>
              <w:jc w:val="right"/>
              <w:rPr>
                <w:b/>
                <w:bCs/>
                <w:sz w:val="20"/>
                <w:szCs w:val="20"/>
              </w:rPr>
            </w:pPr>
            <w:r w:rsidRPr="00BE6461">
              <w:rPr>
                <w:b/>
                <w:bCs/>
                <w:sz w:val="20"/>
                <w:szCs w:val="20"/>
              </w:rPr>
              <w:t>7.500,00</w:t>
            </w:r>
          </w:p>
        </w:tc>
        <w:tc>
          <w:tcPr>
            <w:tcW w:w="1500" w:type="dxa"/>
            <w:tcBorders>
              <w:top w:val="nil"/>
              <w:left w:val="nil"/>
              <w:bottom w:val="nil"/>
              <w:right w:val="nil"/>
            </w:tcBorders>
            <w:shd w:val="clear" w:color="auto" w:fill="auto"/>
            <w:noWrap/>
            <w:vAlign w:val="bottom"/>
            <w:hideMark/>
          </w:tcPr>
          <w:p w14:paraId="13E947A7" w14:textId="77777777" w:rsidR="00BE6461" w:rsidRPr="00BE6461" w:rsidRDefault="00BE6461" w:rsidP="00BE6461">
            <w:pPr>
              <w:jc w:val="right"/>
              <w:rPr>
                <w:b/>
                <w:bCs/>
                <w:sz w:val="20"/>
                <w:szCs w:val="20"/>
              </w:rPr>
            </w:pPr>
            <w:r w:rsidRPr="00BE6461">
              <w:rPr>
                <w:b/>
                <w:bCs/>
                <w:sz w:val="20"/>
                <w:szCs w:val="20"/>
              </w:rPr>
              <w:t>75,58</w:t>
            </w:r>
          </w:p>
        </w:tc>
        <w:tc>
          <w:tcPr>
            <w:tcW w:w="1100" w:type="dxa"/>
            <w:tcBorders>
              <w:top w:val="nil"/>
              <w:left w:val="nil"/>
              <w:bottom w:val="nil"/>
              <w:right w:val="nil"/>
            </w:tcBorders>
            <w:shd w:val="clear" w:color="auto" w:fill="auto"/>
            <w:noWrap/>
            <w:vAlign w:val="bottom"/>
            <w:hideMark/>
          </w:tcPr>
          <w:p w14:paraId="776E92ED" w14:textId="77777777" w:rsidR="00BE6461" w:rsidRPr="00BE6461" w:rsidRDefault="00BE6461" w:rsidP="00BE6461">
            <w:pPr>
              <w:jc w:val="right"/>
              <w:rPr>
                <w:b/>
                <w:bCs/>
                <w:sz w:val="20"/>
                <w:szCs w:val="20"/>
              </w:rPr>
            </w:pPr>
            <w:r w:rsidRPr="00BE6461">
              <w:rPr>
                <w:b/>
                <w:bCs/>
                <w:sz w:val="20"/>
                <w:szCs w:val="20"/>
              </w:rPr>
              <w:t>1,01</w:t>
            </w:r>
          </w:p>
        </w:tc>
      </w:tr>
      <w:tr w:rsidR="00BE6461" w:rsidRPr="00BE6461" w14:paraId="44A8541B" w14:textId="77777777" w:rsidTr="00BE6461">
        <w:trPr>
          <w:trHeight w:val="300"/>
        </w:trPr>
        <w:tc>
          <w:tcPr>
            <w:tcW w:w="1703" w:type="dxa"/>
            <w:tcBorders>
              <w:top w:val="nil"/>
              <w:left w:val="nil"/>
              <w:bottom w:val="nil"/>
              <w:right w:val="nil"/>
            </w:tcBorders>
            <w:shd w:val="clear" w:color="auto" w:fill="auto"/>
            <w:noWrap/>
            <w:vAlign w:val="bottom"/>
            <w:hideMark/>
          </w:tcPr>
          <w:p w14:paraId="061E83F6" w14:textId="77777777" w:rsidR="00BE6461" w:rsidRPr="00BE6461" w:rsidRDefault="00BE6461" w:rsidP="00BE6461">
            <w:pPr>
              <w:rPr>
                <w:sz w:val="20"/>
                <w:szCs w:val="20"/>
              </w:rPr>
            </w:pPr>
            <w:r w:rsidRPr="00BE6461">
              <w:rPr>
                <w:sz w:val="20"/>
                <w:szCs w:val="20"/>
              </w:rPr>
              <w:t>3221</w:t>
            </w:r>
          </w:p>
        </w:tc>
        <w:tc>
          <w:tcPr>
            <w:tcW w:w="8457" w:type="dxa"/>
            <w:tcBorders>
              <w:top w:val="nil"/>
              <w:left w:val="nil"/>
              <w:bottom w:val="nil"/>
              <w:right w:val="nil"/>
            </w:tcBorders>
            <w:shd w:val="clear" w:color="auto" w:fill="auto"/>
            <w:vAlign w:val="bottom"/>
            <w:hideMark/>
          </w:tcPr>
          <w:p w14:paraId="5BB9225F" w14:textId="77777777" w:rsidR="00BE6461" w:rsidRPr="00BE6461" w:rsidRDefault="00BE6461" w:rsidP="00BE6461">
            <w:pPr>
              <w:rPr>
                <w:sz w:val="20"/>
                <w:szCs w:val="20"/>
              </w:rPr>
            </w:pPr>
            <w:r w:rsidRPr="00BE6461">
              <w:rPr>
                <w:sz w:val="20"/>
                <w:szCs w:val="20"/>
              </w:rPr>
              <w:t xml:space="preserve">Uredski materijal i ostali materijalni rashodi                                                      </w:t>
            </w:r>
          </w:p>
        </w:tc>
        <w:tc>
          <w:tcPr>
            <w:tcW w:w="1503" w:type="dxa"/>
            <w:tcBorders>
              <w:top w:val="nil"/>
              <w:left w:val="nil"/>
              <w:bottom w:val="nil"/>
              <w:right w:val="nil"/>
            </w:tcBorders>
            <w:shd w:val="clear" w:color="auto" w:fill="auto"/>
            <w:noWrap/>
            <w:vAlign w:val="bottom"/>
            <w:hideMark/>
          </w:tcPr>
          <w:p w14:paraId="6868849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CB31B74" w14:textId="77777777" w:rsidR="00BE6461" w:rsidRPr="00BE6461" w:rsidRDefault="00BE6461" w:rsidP="00BE6461">
            <w:pPr>
              <w:jc w:val="right"/>
              <w:rPr>
                <w:sz w:val="20"/>
                <w:szCs w:val="20"/>
              </w:rPr>
            </w:pPr>
            <w:r w:rsidRPr="00BE6461">
              <w:rPr>
                <w:sz w:val="20"/>
                <w:szCs w:val="20"/>
              </w:rPr>
              <w:t>75,58</w:t>
            </w:r>
          </w:p>
        </w:tc>
        <w:tc>
          <w:tcPr>
            <w:tcW w:w="1100" w:type="dxa"/>
            <w:tcBorders>
              <w:top w:val="nil"/>
              <w:left w:val="nil"/>
              <w:bottom w:val="nil"/>
              <w:right w:val="nil"/>
            </w:tcBorders>
            <w:shd w:val="clear" w:color="auto" w:fill="auto"/>
            <w:noWrap/>
            <w:vAlign w:val="bottom"/>
            <w:hideMark/>
          </w:tcPr>
          <w:p w14:paraId="4E30E404" w14:textId="77777777" w:rsidR="00BE6461" w:rsidRPr="00BE6461" w:rsidRDefault="00BE6461" w:rsidP="00BE6461">
            <w:pPr>
              <w:jc w:val="right"/>
              <w:rPr>
                <w:sz w:val="20"/>
                <w:szCs w:val="20"/>
              </w:rPr>
            </w:pPr>
          </w:p>
        </w:tc>
      </w:tr>
      <w:tr w:rsidR="00BE6461" w:rsidRPr="00BE6461" w14:paraId="1F0248FC" w14:textId="77777777" w:rsidTr="00BE6461">
        <w:trPr>
          <w:trHeight w:val="300"/>
        </w:trPr>
        <w:tc>
          <w:tcPr>
            <w:tcW w:w="1703" w:type="dxa"/>
            <w:tcBorders>
              <w:top w:val="nil"/>
              <w:left w:val="nil"/>
              <w:bottom w:val="nil"/>
              <w:right w:val="nil"/>
            </w:tcBorders>
            <w:shd w:val="clear" w:color="auto" w:fill="auto"/>
            <w:noWrap/>
            <w:vAlign w:val="bottom"/>
            <w:hideMark/>
          </w:tcPr>
          <w:p w14:paraId="08AF63CF" w14:textId="77777777" w:rsidR="00BE6461" w:rsidRPr="00BE6461" w:rsidRDefault="00BE6461" w:rsidP="00BE6461">
            <w:pPr>
              <w:rPr>
                <w:sz w:val="20"/>
                <w:szCs w:val="20"/>
              </w:rPr>
            </w:pPr>
            <w:r w:rsidRPr="00BE6461">
              <w:rPr>
                <w:sz w:val="20"/>
                <w:szCs w:val="20"/>
              </w:rPr>
              <w:t>3225</w:t>
            </w:r>
          </w:p>
        </w:tc>
        <w:tc>
          <w:tcPr>
            <w:tcW w:w="8457" w:type="dxa"/>
            <w:tcBorders>
              <w:top w:val="nil"/>
              <w:left w:val="nil"/>
              <w:bottom w:val="nil"/>
              <w:right w:val="nil"/>
            </w:tcBorders>
            <w:shd w:val="clear" w:color="auto" w:fill="auto"/>
            <w:vAlign w:val="bottom"/>
            <w:hideMark/>
          </w:tcPr>
          <w:p w14:paraId="4B94A110" w14:textId="77777777" w:rsidR="00BE6461" w:rsidRPr="00BE6461" w:rsidRDefault="00BE6461" w:rsidP="00BE6461">
            <w:pPr>
              <w:rPr>
                <w:sz w:val="20"/>
                <w:szCs w:val="20"/>
              </w:rPr>
            </w:pPr>
            <w:r w:rsidRPr="00BE6461">
              <w:rPr>
                <w:sz w:val="20"/>
                <w:szCs w:val="20"/>
              </w:rPr>
              <w:t xml:space="preserve">Sitni inventar i auto gume                                                                          </w:t>
            </w:r>
          </w:p>
        </w:tc>
        <w:tc>
          <w:tcPr>
            <w:tcW w:w="1503" w:type="dxa"/>
            <w:tcBorders>
              <w:top w:val="nil"/>
              <w:left w:val="nil"/>
              <w:bottom w:val="nil"/>
              <w:right w:val="nil"/>
            </w:tcBorders>
            <w:shd w:val="clear" w:color="auto" w:fill="auto"/>
            <w:noWrap/>
            <w:vAlign w:val="bottom"/>
            <w:hideMark/>
          </w:tcPr>
          <w:p w14:paraId="1FF3CABE"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6B58C06"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5DC9BA70" w14:textId="77777777" w:rsidR="00BE6461" w:rsidRPr="00BE6461" w:rsidRDefault="00BE6461" w:rsidP="00BE6461">
            <w:pPr>
              <w:jc w:val="right"/>
              <w:rPr>
                <w:sz w:val="20"/>
                <w:szCs w:val="20"/>
              </w:rPr>
            </w:pPr>
          </w:p>
        </w:tc>
      </w:tr>
      <w:tr w:rsidR="00BE6461" w:rsidRPr="00BE6461" w14:paraId="1CFBC399" w14:textId="77777777" w:rsidTr="00BE6461">
        <w:trPr>
          <w:trHeight w:val="300"/>
        </w:trPr>
        <w:tc>
          <w:tcPr>
            <w:tcW w:w="1703" w:type="dxa"/>
            <w:tcBorders>
              <w:top w:val="nil"/>
              <w:left w:val="nil"/>
              <w:bottom w:val="nil"/>
              <w:right w:val="nil"/>
            </w:tcBorders>
            <w:shd w:val="clear" w:color="auto" w:fill="auto"/>
            <w:noWrap/>
            <w:vAlign w:val="bottom"/>
            <w:hideMark/>
          </w:tcPr>
          <w:p w14:paraId="35B6AD69"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3C276206"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4DE84197" w14:textId="77777777" w:rsidR="00BE6461" w:rsidRPr="00BE6461" w:rsidRDefault="00BE6461" w:rsidP="00BE6461">
            <w:pPr>
              <w:jc w:val="right"/>
              <w:rPr>
                <w:b/>
                <w:bCs/>
                <w:sz w:val="20"/>
                <w:szCs w:val="20"/>
              </w:rPr>
            </w:pPr>
            <w:r w:rsidRPr="00BE6461">
              <w:rPr>
                <w:b/>
                <w:bCs/>
                <w:sz w:val="20"/>
                <w:szCs w:val="20"/>
              </w:rPr>
              <w:t>12.500,00</w:t>
            </w:r>
          </w:p>
        </w:tc>
        <w:tc>
          <w:tcPr>
            <w:tcW w:w="1500" w:type="dxa"/>
            <w:tcBorders>
              <w:top w:val="nil"/>
              <w:left w:val="nil"/>
              <w:bottom w:val="nil"/>
              <w:right w:val="nil"/>
            </w:tcBorders>
            <w:shd w:val="clear" w:color="auto" w:fill="auto"/>
            <w:noWrap/>
            <w:vAlign w:val="bottom"/>
            <w:hideMark/>
          </w:tcPr>
          <w:p w14:paraId="62292DA6" w14:textId="77777777" w:rsidR="00BE6461" w:rsidRPr="00BE6461" w:rsidRDefault="00BE6461" w:rsidP="00BE6461">
            <w:pPr>
              <w:jc w:val="right"/>
              <w:rPr>
                <w:b/>
                <w:bCs/>
                <w:sz w:val="20"/>
                <w:szCs w:val="20"/>
              </w:rPr>
            </w:pPr>
            <w:r w:rsidRPr="00BE6461">
              <w:rPr>
                <w:b/>
                <w:bCs/>
                <w:sz w:val="20"/>
                <w:szCs w:val="20"/>
              </w:rPr>
              <w:t>1.250,00</w:t>
            </w:r>
          </w:p>
        </w:tc>
        <w:tc>
          <w:tcPr>
            <w:tcW w:w="1100" w:type="dxa"/>
            <w:tcBorders>
              <w:top w:val="nil"/>
              <w:left w:val="nil"/>
              <w:bottom w:val="nil"/>
              <w:right w:val="nil"/>
            </w:tcBorders>
            <w:shd w:val="clear" w:color="auto" w:fill="auto"/>
            <w:noWrap/>
            <w:vAlign w:val="bottom"/>
            <w:hideMark/>
          </w:tcPr>
          <w:p w14:paraId="60C91371" w14:textId="77777777" w:rsidR="00BE6461" w:rsidRPr="00BE6461" w:rsidRDefault="00BE6461" w:rsidP="00BE6461">
            <w:pPr>
              <w:jc w:val="right"/>
              <w:rPr>
                <w:b/>
                <w:bCs/>
                <w:sz w:val="20"/>
                <w:szCs w:val="20"/>
              </w:rPr>
            </w:pPr>
            <w:r w:rsidRPr="00BE6461">
              <w:rPr>
                <w:b/>
                <w:bCs/>
                <w:sz w:val="20"/>
                <w:szCs w:val="20"/>
              </w:rPr>
              <w:t>10,00</w:t>
            </w:r>
          </w:p>
        </w:tc>
      </w:tr>
      <w:tr w:rsidR="00BE6461" w:rsidRPr="00BE6461" w14:paraId="6B2B2767" w14:textId="77777777" w:rsidTr="00BE6461">
        <w:trPr>
          <w:trHeight w:val="300"/>
        </w:trPr>
        <w:tc>
          <w:tcPr>
            <w:tcW w:w="1703" w:type="dxa"/>
            <w:tcBorders>
              <w:top w:val="nil"/>
              <w:left w:val="nil"/>
              <w:bottom w:val="nil"/>
              <w:right w:val="nil"/>
            </w:tcBorders>
            <w:shd w:val="clear" w:color="auto" w:fill="auto"/>
            <w:noWrap/>
            <w:vAlign w:val="bottom"/>
            <w:hideMark/>
          </w:tcPr>
          <w:p w14:paraId="018B8D7E" w14:textId="77777777" w:rsidR="00BE6461" w:rsidRPr="00BE6461" w:rsidRDefault="00BE6461" w:rsidP="00BE6461">
            <w:pPr>
              <w:rPr>
                <w:sz w:val="20"/>
                <w:szCs w:val="20"/>
              </w:rPr>
            </w:pPr>
            <w:r w:rsidRPr="00BE6461">
              <w:rPr>
                <w:sz w:val="20"/>
                <w:szCs w:val="20"/>
              </w:rPr>
              <w:t>3236</w:t>
            </w:r>
          </w:p>
        </w:tc>
        <w:tc>
          <w:tcPr>
            <w:tcW w:w="8457" w:type="dxa"/>
            <w:tcBorders>
              <w:top w:val="nil"/>
              <w:left w:val="nil"/>
              <w:bottom w:val="nil"/>
              <w:right w:val="nil"/>
            </w:tcBorders>
            <w:shd w:val="clear" w:color="auto" w:fill="auto"/>
            <w:vAlign w:val="bottom"/>
            <w:hideMark/>
          </w:tcPr>
          <w:p w14:paraId="61BFC422" w14:textId="77777777" w:rsidR="00BE6461" w:rsidRPr="00BE6461" w:rsidRDefault="00BE6461" w:rsidP="00BE6461">
            <w:pPr>
              <w:rPr>
                <w:sz w:val="20"/>
                <w:szCs w:val="20"/>
              </w:rPr>
            </w:pPr>
            <w:r w:rsidRPr="00BE6461">
              <w:rPr>
                <w:sz w:val="20"/>
                <w:szCs w:val="20"/>
              </w:rPr>
              <w:t xml:space="preserve">Zdravstvene i veterinarske usluge                                                                   </w:t>
            </w:r>
          </w:p>
        </w:tc>
        <w:tc>
          <w:tcPr>
            <w:tcW w:w="1503" w:type="dxa"/>
            <w:tcBorders>
              <w:top w:val="nil"/>
              <w:left w:val="nil"/>
              <w:bottom w:val="nil"/>
              <w:right w:val="nil"/>
            </w:tcBorders>
            <w:shd w:val="clear" w:color="auto" w:fill="auto"/>
            <w:noWrap/>
            <w:vAlign w:val="bottom"/>
            <w:hideMark/>
          </w:tcPr>
          <w:p w14:paraId="14D4306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B50F15A" w14:textId="77777777" w:rsidR="00BE6461" w:rsidRPr="00BE6461" w:rsidRDefault="00BE6461" w:rsidP="00BE6461">
            <w:pPr>
              <w:jc w:val="right"/>
              <w:rPr>
                <w:sz w:val="20"/>
                <w:szCs w:val="20"/>
              </w:rPr>
            </w:pPr>
            <w:r w:rsidRPr="00BE6461">
              <w:rPr>
                <w:sz w:val="20"/>
                <w:szCs w:val="20"/>
              </w:rPr>
              <w:t>1.250,00</w:t>
            </w:r>
          </w:p>
        </w:tc>
        <w:tc>
          <w:tcPr>
            <w:tcW w:w="1100" w:type="dxa"/>
            <w:tcBorders>
              <w:top w:val="nil"/>
              <w:left w:val="nil"/>
              <w:bottom w:val="nil"/>
              <w:right w:val="nil"/>
            </w:tcBorders>
            <w:shd w:val="clear" w:color="auto" w:fill="auto"/>
            <w:noWrap/>
            <w:vAlign w:val="bottom"/>
            <w:hideMark/>
          </w:tcPr>
          <w:p w14:paraId="5B47C3B0" w14:textId="77777777" w:rsidR="00BE6461" w:rsidRPr="00BE6461" w:rsidRDefault="00BE6461" w:rsidP="00BE6461">
            <w:pPr>
              <w:jc w:val="right"/>
              <w:rPr>
                <w:sz w:val="20"/>
                <w:szCs w:val="20"/>
              </w:rPr>
            </w:pPr>
          </w:p>
        </w:tc>
      </w:tr>
      <w:tr w:rsidR="00BE6461" w:rsidRPr="00BE6461" w14:paraId="21D35A88" w14:textId="77777777" w:rsidTr="00BE6461">
        <w:trPr>
          <w:trHeight w:val="300"/>
        </w:trPr>
        <w:tc>
          <w:tcPr>
            <w:tcW w:w="1703" w:type="dxa"/>
            <w:tcBorders>
              <w:top w:val="nil"/>
              <w:left w:val="nil"/>
              <w:bottom w:val="nil"/>
              <w:right w:val="nil"/>
            </w:tcBorders>
            <w:shd w:val="clear" w:color="auto" w:fill="auto"/>
            <w:noWrap/>
            <w:vAlign w:val="bottom"/>
            <w:hideMark/>
          </w:tcPr>
          <w:p w14:paraId="71938CE8" w14:textId="77777777" w:rsidR="00BE6461" w:rsidRPr="00BE6461" w:rsidRDefault="00BE6461" w:rsidP="00BE6461">
            <w:pPr>
              <w:rPr>
                <w:sz w:val="20"/>
                <w:szCs w:val="20"/>
              </w:rPr>
            </w:pPr>
            <w:r w:rsidRPr="00BE6461">
              <w:rPr>
                <w:sz w:val="20"/>
                <w:szCs w:val="20"/>
              </w:rPr>
              <w:t>3239</w:t>
            </w:r>
          </w:p>
        </w:tc>
        <w:tc>
          <w:tcPr>
            <w:tcW w:w="8457" w:type="dxa"/>
            <w:tcBorders>
              <w:top w:val="nil"/>
              <w:left w:val="nil"/>
              <w:bottom w:val="nil"/>
              <w:right w:val="nil"/>
            </w:tcBorders>
            <w:shd w:val="clear" w:color="auto" w:fill="auto"/>
            <w:vAlign w:val="bottom"/>
            <w:hideMark/>
          </w:tcPr>
          <w:p w14:paraId="44918F1A" w14:textId="77777777" w:rsidR="00BE6461" w:rsidRPr="00BE6461" w:rsidRDefault="00BE6461" w:rsidP="00BE6461">
            <w:pPr>
              <w:rPr>
                <w:sz w:val="20"/>
                <w:szCs w:val="20"/>
              </w:rPr>
            </w:pPr>
            <w:r w:rsidRPr="00BE6461">
              <w:rPr>
                <w:sz w:val="20"/>
                <w:szCs w:val="20"/>
              </w:rPr>
              <w:t xml:space="preserve">Ostale usluge                                                                                       </w:t>
            </w:r>
          </w:p>
        </w:tc>
        <w:tc>
          <w:tcPr>
            <w:tcW w:w="1503" w:type="dxa"/>
            <w:tcBorders>
              <w:top w:val="nil"/>
              <w:left w:val="nil"/>
              <w:bottom w:val="nil"/>
              <w:right w:val="nil"/>
            </w:tcBorders>
            <w:shd w:val="clear" w:color="auto" w:fill="auto"/>
            <w:noWrap/>
            <w:vAlign w:val="bottom"/>
            <w:hideMark/>
          </w:tcPr>
          <w:p w14:paraId="1F2BA4C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85E0378"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79B7F8DE" w14:textId="77777777" w:rsidR="00BE6461" w:rsidRPr="00BE6461" w:rsidRDefault="00BE6461" w:rsidP="00BE6461">
            <w:pPr>
              <w:jc w:val="right"/>
              <w:rPr>
                <w:sz w:val="20"/>
                <w:szCs w:val="20"/>
              </w:rPr>
            </w:pPr>
          </w:p>
        </w:tc>
      </w:tr>
      <w:tr w:rsidR="00BE6461" w:rsidRPr="00BE6461" w14:paraId="42A6F4D2" w14:textId="77777777" w:rsidTr="00BE6461">
        <w:trPr>
          <w:trHeight w:val="390"/>
        </w:trPr>
        <w:tc>
          <w:tcPr>
            <w:tcW w:w="1703" w:type="dxa"/>
            <w:tcBorders>
              <w:top w:val="single" w:sz="4" w:space="0" w:color="auto"/>
              <w:left w:val="nil"/>
              <w:bottom w:val="nil"/>
              <w:right w:val="nil"/>
            </w:tcBorders>
            <w:shd w:val="clear" w:color="auto" w:fill="auto"/>
            <w:noWrap/>
            <w:vAlign w:val="bottom"/>
            <w:hideMark/>
          </w:tcPr>
          <w:p w14:paraId="4444CCE0" w14:textId="77777777" w:rsidR="00BE6461" w:rsidRPr="00BE6461" w:rsidRDefault="00BE6461" w:rsidP="00BE6461">
            <w:pPr>
              <w:rPr>
                <w:b/>
                <w:bCs/>
                <w:sz w:val="20"/>
                <w:szCs w:val="20"/>
              </w:rPr>
            </w:pPr>
            <w:r w:rsidRPr="00BE6461">
              <w:rPr>
                <w:b/>
                <w:bCs/>
                <w:sz w:val="20"/>
                <w:szCs w:val="20"/>
              </w:rPr>
              <w:t>1002</w:t>
            </w:r>
          </w:p>
        </w:tc>
        <w:tc>
          <w:tcPr>
            <w:tcW w:w="8457" w:type="dxa"/>
            <w:tcBorders>
              <w:top w:val="single" w:sz="4" w:space="0" w:color="auto"/>
              <w:left w:val="nil"/>
              <w:bottom w:val="nil"/>
              <w:right w:val="nil"/>
            </w:tcBorders>
            <w:shd w:val="clear" w:color="auto" w:fill="auto"/>
            <w:vAlign w:val="bottom"/>
            <w:hideMark/>
          </w:tcPr>
          <w:p w14:paraId="1E74936E" w14:textId="77777777" w:rsidR="00BE6461" w:rsidRPr="00BE6461" w:rsidRDefault="00BE6461" w:rsidP="00BE6461">
            <w:pPr>
              <w:rPr>
                <w:b/>
                <w:bCs/>
                <w:sz w:val="20"/>
                <w:szCs w:val="20"/>
              </w:rPr>
            </w:pPr>
            <w:r w:rsidRPr="00BE6461">
              <w:rPr>
                <w:b/>
                <w:bCs/>
                <w:sz w:val="20"/>
                <w:szCs w:val="20"/>
              </w:rPr>
              <w:t>Program: MJESNA SAMOUPRAVA</w:t>
            </w:r>
          </w:p>
        </w:tc>
        <w:tc>
          <w:tcPr>
            <w:tcW w:w="1503" w:type="dxa"/>
            <w:tcBorders>
              <w:top w:val="single" w:sz="4" w:space="0" w:color="auto"/>
              <w:left w:val="nil"/>
              <w:bottom w:val="nil"/>
              <w:right w:val="nil"/>
            </w:tcBorders>
            <w:shd w:val="clear" w:color="auto" w:fill="auto"/>
            <w:noWrap/>
            <w:vAlign w:val="bottom"/>
            <w:hideMark/>
          </w:tcPr>
          <w:p w14:paraId="7948A592" w14:textId="77777777" w:rsidR="00BE6461" w:rsidRPr="00BE6461" w:rsidRDefault="00BE6461" w:rsidP="00BE6461">
            <w:pPr>
              <w:jc w:val="right"/>
              <w:rPr>
                <w:b/>
                <w:bCs/>
                <w:sz w:val="20"/>
                <w:szCs w:val="20"/>
              </w:rPr>
            </w:pPr>
            <w:r w:rsidRPr="00BE6461">
              <w:rPr>
                <w:b/>
                <w:bCs/>
                <w:sz w:val="20"/>
                <w:szCs w:val="20"/>
              </w:rPr>
              <w:t>71.900,00</w:t>
            </w:r>
          </w:p>
        </w:tc>
        <w:tc>
          <w:tcPr>
            <w:tcW w:w="1500" w:type="dxa"/>
            <w:tcBorders>
              <w:top w:val="single" w:sz="4" w:space="0" w:color="auto"/>
              <w:left w:val="nil"/>
              <w:bottom w:val="nil"/>
              <w:right w:val="nil"/>
            </w:tcBorders>
            <w:shd w:val="clear" w:color="auto" w:fill="auto"/>
            <w:noWrap/>
            <w:vAlign w:val="bottom"/>
            <w:hideMark/>
          </w:tcPr>
          <w:p w14:paraId="7304BE3C" w14:textId="77777777" w:rsidR="00BE6461" w:rsidRPr="00BE6461" w:rsidRDefault="00BE6461" w:rsidP="00BE6461">
            <w:pPr>
              <w:jc w:val="right"/>
              <w:rPr>
                <w:b/>
                <w:bCs/>
                <w:sz w:val="20"/>
                <w:szCs w:val="20"/>
              </w:rPr>
            </w:pPr>
            <w:r w:rsidRPr="00BE6461">
              <w:rPr>
                <w:b/>
                <w:bCs/>
                <w:sz w:val="20"/>
                <w:szCs w:val="20"/>
              </w:rPr>
              <w:t>37.145,25</w:t>
            </w:r>
          </w:p>
        </w:tc>
        <w:tc>
          <w:tcPr>
            <w:tcW w:w="1100" w:type="dxa"/>
            <w:tcBorders>
              <w:top w:val="single" w:sz="4" w:space="0" w:color="auto"/>
              <w:left w:val="nil"/>
              <w:bottom w:val="nil"/>
              <w:right w:val="nil"/>
            </w:tcBorders>
            <w:shd w:val="clear" w:color="auto" w:fill="auto"/>
            <w:noWrap/>
            <w:vAlign w:val="bottom"/>
            <w:hideMark/>
          </w:tcPr>
          <w:p w14:paraId="1802E8BA" w14:textId="77777777" w:rsidR="00BE6461" w:rsidRPr="00BE6461" w:rsidRDefault="00BE6461" w:rsidP="00BE6461">
            <w:pPr>
              <w:jc w:val="right"/>
              <w:rPr>
                <w:b/>
                <w:bCs/>
                <w:sz w:val="20"/>
                <w:szCs w:val="20"/>
              </w:rPr>
            </w:pPr>
            <w:r w:rsidRPr="00BE6461">
              <w:rPr>
                <w:b/>
                <w:bCs/>
                <w:sz w:val="20"/>
                <w:szCs w:val="20"/>
              </w:rPr>
              <w:t>51,66</w:t>
            </w:r>
          </w:p>
        </w:tc>
      </w:tr>
      <w:tr w:rsidR="00BE6461" w:rsidRPr="00BE6461" w14:paraId="0136618E"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1A0B008C" w14:textId="77777777" w:rsidR="00BE6461" w:rsidRPr="00BE6461" w:rsidRDefault="00BE6461" w:rsidP="00BE6461">
            <w:pPr>
              <w:rPr>
                <w:b/>
                <w:bCs/>
                <w:sz w:val="20"/>
                <w:szCs w:val="20"/>
              </w:rPr>
            </w:pPr>
            <w:r w:rsidRPr="00BE6461">
              <w:rPr>
                <w:b/>
                <w:bCs/>
                <w:sz w:val="20"/>
                <w:szCs w:val="20"/>
              </w:rPr>
              <w:t>A100095</w:t>
            </w:r>
          </w:p>
        </w:tc>
        <w:tc>
          <w:tcPr>
            <w:tcW w:w="8457" w:type="dxa"/>
            <w:tcBorders>
              <w:top w:val="single" w:sz="4" w:space="0" w:color="auto"/>
              <w:left w:val="nil"/>
              <w:bottom w:val="single" w:sz="4" w:space="0" w:color="auto"/>
              <w:right w:val="nil"/>
            </w:tcBorders>
            <w:shd w:val="clear" w:color="auto" w:fill="auto"/>
            <w:vAlign w:val="bottom"/>
            <w:hideMark/>
          </w:tcPr>
          <w:p w14:paraId="3320AFAF" w14:textId="77777777" w:rsidR="00BE6461" w:rsidRPr="00BE6461" w:rsidRDefault="00BE6461" w:rsidP="00BE6461">
            <w:pPr>
              <w:rPr>
                <w:b/>
                <w:bCs/>
                <w:sz w:val="20"/>
                <w:szCs w:val="20"/>
              </w:rPr>
            </w:pPr>
            <w:r w:rsidRPr="00BE6461">
              <w:rPr>
                <w:b/>
                <w:bCs/>
                <w:sz w:val="20"/>
                <w:szCs w:val="20"/>
              </w:rPr>
              <w:t>Aktivnost: MJESNI ODBOR BUJE</w:t>
            </w:r>
          </w:p>
        </w:tc>
        <w:tc>
          <w:tcPr>
            <w:tcW w:w="1503" w:type="dxa"/>
            <w:tcBorders>
              <w:top w:val="single" w:sz="4" w:space="0" w:color="auto"/>
              <w:left w:val="nil"/>
              <w:bottom w:val="single" w:sz="4" w:space="0" w:color="auto"/>
              <w:right w:val="nil"/>
            </w:tcBorders>
            <w:shd w:val="clear" w:color="auto" w:fill="auto"/>
            <w:noWrap/>
            <w:vAlign w:val="bottom"/>
            <w:hideMark/>
          </w:tcPr>
          <w:p w14:paraId="0800A897" w14:textId="77777777" w:rsidR="00BE6461" w:rsidRPr="00BE6461" w:rsidRDefault="00BE6461" w:rsidP="00BE6461">
            <w:pPr>
              <w:jc w:val="right"/>
              <w:rPr>
                <w:b/>
                <w:bCs/>
                <w:sz w:val="20"/>
                <w:szCs w:val="20"/>
              </w:rPr>
            </w:pPr>
            <w:r w:rsidRPr="00BE6461">
              <w:rPr>
                <w:b/>
                <w:bCs/>
                <w:sz w:val="20"/>
                <w:szCs w:val="20"/>
              </w:rPr>
              <w:t>10.000,00</w:t>
            </w:r>
          </w:p>
        </w:tc>
        <w:tc>
          <w:tcPr>
            <w:tcW w:w="1500" w:type="dxa"/>
            <w:tcBorders>
              <w:top w:val="single" w:sz="4" w:space="0" w:color="auto"/>
              <w:left w:val="nil"/>
              <w:bottom w:val="single" w:sz="4" w:space="0" w:color="auto"/>
              <w:right w:val="nil"/>
            </w:tcBorders>
            <w:shd w:val="clear" w:color="auto" w:fill="auto"/>
            <w:noWrap/>
            <w:vAlign w:val="bottom"/>
            <w:hideMark/>
          </w:tcPr>
          <w:p w14:paraId="1C505E6F"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524376EE"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1576D36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E4936F1"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79CD716C" w14:textId="77777777" w:rsidR="00BE6461" w:rsidRPr="00BE6461" w:rsidRDefault="00BE6461" w:rsidP="00BE6461">
            <w:pPr>
              <w:jc w:val="right"/>
              <w:rPr>
                <w:b/>
                <w:bCs/>
                <w:color w:val="333333"/>
                <w:sz w:val="20"/>
                <w:szCs w:val="20"/>
              </w:rPr>
            </w:pPr>
            <w:r w:rsidRPr="00BE6461">
              <w:rPr>
                <w:b/>
                <w:bCs/>
                <w:color w:val="333333"/>
                <w:sz w:val="20"/>
                <w:szCs w:val="20"/>
              </w:rPr>
              <w:t>10.000,00</w:t>
            </w:r>
          </w:p>
        </w:tc>
        <w:tc>
          <w:tcPr>
            <w:tcW w:w="1500" w:type="dxa"/>
            <w:tcBorders>
              <w:top w:val="nil"/>
              <w:left w:val="nil"/>
              <w:bottom w:val="nil"/>
              <w:right w:val="nil"/>
            </w:tcBorders>
            <w:shd w:val="clear" w:color="auto" w:fill="auto"/>
            <w:noWrap/>
            <w:vAlign w:val="bottom"/>
            <w:hideMark/>
          </w:tcPr>
          <w:p w14:paraId="59853894"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100" w:type="dxa"/>
            <w:tcBorders>
              <w:top w:val="nil"/>
              <w:left w:val="nil"/>
              <w:bottom w:val="nil"/>
              <w:right w:val="nil"/>
            </w:tcBorders>
            <w:shd w:val="clear" w:color="auto" w:fill="auto"/>
            <w:noWrap/>
            <w:vAlign w:val="bottom"/>
            <w:hideMark/>
          </w:tcPr>
          <w:p w14:paraId="66D85D0E"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5B67C92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A97FC4B"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03B68ABD" w14:textId="77777777" w:rsidR="00BE6461" w:rsidRPr="00BE6461" w:rsidRDefault="00BE6461" w:rsidP="00BE6461">
            <w:pPr>
              <w:jc w:val="right"/>
              <w:rPr>
                <w:b/>
                <w:bCs/>
                <w:color w:val="333333"/>
                <w:sz w:val="20"/>
                <w:szCs w:val="20"/>
              </w:rPr>
            </w:pPr>
            <w:r w:rsidRPr="00BE6461">
              <w:rPr>
                <w:b/>
                <w:bCs/>
                <w:color w:val="333333"/>
                <w:sz w:val="20"/>
                <w:szCs w:val="20"/>
              </w:rPr>
              <w:t>10.000,00</w:t>
            </w:r>
          </w:p>
        </w:tc>
        <w:tc>
          <w:tcPr>
            <w:tcW w:w="1500" w:type="dxa"/>
            <w:tcBorders>
              <w:top w:val="nil"/>
              <w:left w:val="nil"/>
              <w:bottom w:val="nil"/>
              <w:right w:val="nil"/>
            </w:tcBorders>
            <w:shd w:val="clear" w:color="auto" w:fill="auto"/>
            <w:noWrap/>
            <w:vAlign w:val="bottom"/>
            <w:hideMark/>
          </w:tcPr>
          <w:p w14:paraId="0CF51EB3"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100" w:type="dxa"/>
            <w:tcBorders>
              <w:top w:val="nil"/>
              <w:left w:val="nil"/>
              <w:bottom w:val="nil"/>
              <w:right w:val="nil"/>
            </w:tcBorders>
            <w:shd w:val="clear" w:color="auto" w:fill="auto"/>
            <w:noWrap/>
            <w:vAlign w:val="bottom"/>
            <w:hideMark/>
          </w:tcPr>
          <w:p w14:paraId="32A768AF"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218B4FC8" w14:textId="77777777" w:rsidTr="00BE6461">
        <w:trPr>
          <w:trHeight w:val="300"/>
        </w:trPr>
        <w:tc>
          <w:tcPr>
            <w:tcW w:w="1703" w:type="dxa"/>
            <w:tcBorders>
              <w:top w:val="nil"/>
              <w:left w:val="nil"/>
              <w:bottom w:val="nil"/>
              <w:right w:val="nil"/>
            </w:tcBorders>
            <w:shd w:val="clear" w:color="auto" w:fill="auto"/>
            <w:noWrap/>
            <w:vAlign w:val="bottom"/>
            <w:hideMark/>
          </w:tcPr>
          <w:p w14:paraId="379BE2BC"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725627C7"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6E40E331" w14:textId="77777777" w:rsidR="00BE6461" w:rsidRPr="00BE6461" w:rsidRDefault="00BE6461" w:rsidP="00BE6461">
            <w:pPr>
              <w:jc w:val="right"/>
              <w:rPr>
                <w:b/>
                <w:bCs/>
                <w:sz w:val="20"/>
                <w:szCs w:val="20"/>
              </w:rPr>
            </w:pPr>
            <w:r w:rsidRPr="00BE6461">
              <w:rPr>
                <w:b/>
                <w:bCs/>
                <w:sz w:val="20"/>
                <w:szCs w:val="20"/>
              </w:rPr>
              <w:t>10.000,00</w:t>
            </w:r>
          </w:p>
        </w:tc>
        <w:tc>
          <w:tcPr>
            <w:tcW w:w="1500" w:type="dxa"/>
            <w:tcBorders>
              <w:top w:val="nil"/>
              <w:left w:val="nil"/>
              <w:bottom w:val="nil"/>
              <w:right w:val="nil"/>
            </w:tcBorders>
            <w:shd w:val="clear" w:color="auto" w:fill="auto"/>
            <w:noWrap/>
            <w:vAlign w:val="bottom"/>
            <w:hideMark/>
          </w:tcPr>
          <w:p w14:paraId="4A58D034"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4C38290A"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740B3FA1" w14:textId="77777777" w:rsidTr="00BE6461">
        <w:trPr>
          <w:trHeight w:val="300"/>
        </w:trPr>
        <w:tc>
          <w:tcPr>
            <w:tcW w:w="1703" w:type="dxa"/>
            <w:tcBorders>
              <w:top w:val="nil"/>
              <w:left w:val="nil"/>
              <w:bottom w:val="nil"/>
              <w:right w:val="nil"/>
            </w:tcBorders>
            <w:shd w:val="clear" w:color="auto" w:fill="auto"/>
            <w:noWrap/>
            <w:vAlign w:val="bottom"/>
            <w:hideMark/>
          </w:tcPr>
          <w:p w14:paraId="78807BC0" w14:textId="77777777" w:rsidR="00BE6461" w:rsidRPr="00BE6461" w:rsidRDefault="00BE6461" w:rsidP="00BE6461">
            <w:pPr>
              <w:rPr>
                <w:sz w:val="20"/>
                <w:szCs w:val="20"/>
              </w:rPr>
            </w:pPr>
            <w:r w:rsidRPr="00BE6461">
              <w:rPr>
                <w:sz w:val="20"/>
                <w:szCs w:val="20"/>
              </w:rPr>
              <w:t>3299</w:t>
            </w:r>
          </w:p>
        </w:tc>
        <w:tc>
          <w:tcPr>
            <w:tcW w:w="8457" w:type="dxa"/>
            <w:tcBorders>
              <w:top w:val="nil"/>
              <w:left w:val="nil"/>
              <w:bottom w:val="nil"/>
              <w:right w:val="nil"/>
            </w:tcBorders>
            <w:shd w:val="clear" w:color="auto" w:fill="auto"/>
            <w:vAlign w:val="bottom"/>
            <w:hideMark/>
          </w:tcPr>
          <w:p w14:paraId="74187B9E" w14:textId="77777777" w:rsidR="00BE6461" w:rsidRPr="00BE6461" w:rsidRDefault="00BE6461" w:rsidP="00BE6461">
            <w:pPr>
              <w:rPr>
                <w:sz w:val="20"/>
                <w:szCs w:val="20"/>
              </w:rPr>
            </w:pPr>
            <w:r w:rsidRPr="00BE6461">
              <w:rPr>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6A4B5AC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7E754CB"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30ACE649" w14:textId="77777777" w:rsidR="00BE6461" w:rsidRPr="00BE6461" w:rsidRDefault="00BE6461" w:rsidP="00BE6461">
            <w:pPr>
              <w:jc w:val="right"/>
              <w:rPr>
                <w:sz w:val="20"/>
                <w:szCs w:val="20"/>
              </w:rPr>
            </w:pPr>
          </w:p>
        </w:tc>
      </w:tr>
      <w:tr w:rsidR="00BE6461" w:rsidRPr="00BE6461" w14:paraId="4B120676"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6E94FDC5" w14:textId="77777777" w:rsidR="00BE6461" w:rsidRPr="00BE6461" w:rsidRDefault="00BE6461" w:rsidP="00BE6461">
            <w:pPr>
              <w:rPr>
                <w:b/>
                <w:bCs/>
                <w:sz w:val="20"/>
                <w:szCs w:val="20"/>
              </w:rPr>
            </w:pPr>
            <w:r w:rsidRPr="00BE6461">
              <w:rPr>
                <w:b/>
                <w:bCs/>
                <w:sz w:val="20"/>
                <w:szCs w:val="20"/>
              </w:rPr>
              <w:t>A100096</w:t>
            </w:r>
          </w:p>
        </w:tc>
        <w:tc>
          <w:tcPr>
            <w:tcW w:w="8457" w:type="dxa"/>
            <w:tcBorders>
              <w:top w:val="single" w:sz="4" w:space="0" w:color="auto"/>
              <w:left w:val="nil"/>
              <w:bottom w:val="single" w:sz="4" w:space="0" w:color="auto"/>
              <w:right w:val="nil"/>
            </w:tcBorders>
            <w:shd w:val="clear" w:color="auto" w:fill="auto"/>
            <w:vAlign w:val="bottom"/>
            <w:hideMark/>
          </w:tcPr>
          <w:p w14:paraId="64D85930" w14:textId="77777777" w:rsidR="00BE6461" w:rsidRPr="00BE6461" w:rsidRDefault="00BE6461" w:rsidP="00BE6461">
            <w:pPr>
              <w:rPr>
                <w:b/>
                <w:bCs/>
                <w:sz w:val="20"/>
                <w:szCs w:val="20"/>
              </w:rPr>
            </w:pPr>
            <w:r w:rsidRPr="00BE6461">
              <w:rPr>
                <w:b/>
                <w:bCs/>
                <w:sz w:val="20"/>
                <w:szCs w:val="20"/>
              </w:rPr>
              <w:t>Aktivnost: MJESNI ODBOR KAŠTEL</w:t>
            </w:r>
          </w:p>
        </w:tc>
        <w:tc>
          <w:tcPr>
            <w:tcW w:w="1503" w:type="dxa"/>
            <w:tcBorders>
              <w:top w:val="single" w:sz="4" w:space="0" w:color="auto"/>
              <w:left w:val="nil"/>
              <w:bottom w:val="single" w:sz="4" w:space="0" w:color="auto"/>
              <w:right w:val="nil"/>
            </w:tcBorders>
            <w:shd w:val="clear" w:color="auto" w:fill="auto"/>
            <w:noWrap/>
            <w:vAlign w:val="bottom"/>
            <w:hideMark/>
          </w:tcPr>
          <w:p w14:paraId="5AE2728F" w14:textId="77777777" w:rsidR="00BE6461" w:rsidRPr="00BE6461" w:rsidRDefault="00BE6461" w:rsidP="00BE6461">
            <w:pPr>
              <w:jc w:val="right"/>
              <w:rPr>
                <w:b/>
                <w:bCs/>
                <w:sz w:val="20"/>
                <w:szCs w:val="20"/>
              </w:rPr>
            </w:pPr>
            <w:r w:rsidRPr="00BE6461">
              <w:rPr>
                <w:b/>
                <w:bCs/>
                <w:sz w:val="20"/>
                <w:szCs w:val="20"/>
              </w:rPr>
              <w:t>10.000,00</w:t>
            </w:r>
          </w:p>
        </w:tc>
        <w:tc>
          <w:tcPr>
            <w:tcW w:w="1500" w:type="dxa"/>
            <w:tcBorders>
              <w:top w:val="single" w:sz="4" w:space="0" w:color="auto"/>
              <w:left w:val="nil"/>
              <w:bottom w:val="single" w:sz="4" w:space="0" w:color="auto"/>
              <w:right w:val="nil"/>
            </w:tcBorders>
            <w:shd w:val="clear" w:color="auto" w:fill="auto"/>
            <w:noWrap/>
            <w:vAlign w:val="bottom"/>
            <w:hideMark/>
          </w:tcPr>
          <w:p w14:paraId="3C51B5E9"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25BC7CF2"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61DF3FBF"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D8EBFB3"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385CFFE8" w14:textId="77777777" w:rsidR="00BE6461" w:rsidRPr="00BE6461" w:rsidRDefault="00BE6461" w:rsidP="00BE6461">
            <w:pPr>
              <w:jc w:val="right"/>
              <w:rPr>
                <w:b/>
                <w:bCs/>
                <w:color w:val="333333"/>
                <w:sz w:val="20"/>
                <w:szCs w:val="20"/>
              </w:rPr>
            </w:pPr>
            <w:r w:rsidRPr="00BE6461">
              <w:rPr>
                <w:b/>
                <w:bCs/>
                <w:color w:val="333333"/>
                <w:sz w:val="20"/>
                <w:szCs w:val="20"/>
              </w:rPr>
              <w:t>10.000,00</w:t>
            </w:r>
          </w:p>
        </w:tc>
        <w:tc>
          <w:tcPr>
            <w:tcW w:w="1500" w:type="dxa"/>
            <w:tcBorders>
              <w:top w:val="nil"/>
              <w:left w:val="nil"/>
              <w:bottom w:val="nil"/>
              <w:right w:val="nil"/>
            </w:tcBorders>
            <w:shd w:val="clear" w:color="auto" w:fill="auto"/>
            <w:noWrap/>
            <w:vAlign w:val="bottom"/>
            <w:hideMark/>
          </w:tcPr>
          <w:p w14:paraId="62D244DD"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100" w:type="dxa"/>
            <w:tcBorders>
              <w:top w:val="nil"/>
              <w:left w:val="nil"/>
              <w:bottom w:val="nil"/>
              <w:right w:val="nil"/>
            </w:tcBorders>
            <w:shd w:val="clear" w:color="auto" w:fill="auto"/>
            <w:noWrap/>
            <w:vAlign w:val="bottom"/>
            <w:hideMark/>
          </w:tcPr>
          <w:p w14:paraId="37A8CD78"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06D7DC1C"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C9D6358"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4CF90275" w14:textId="77777777" w:rsidR="00BE6461" w:rsidRPr="00BE6461" w:rsidRDefault="00BE6461" w:rsidP="00BE6461">
            <w:pPr>
              <w:jc w:val="right"/>
              <w:rPr>
                <w:b/>
                <w:bCs/>
                <w:color w:val="333333"/>
                <w:sz w:val="20"/>
                <w:szCs w:val="20"/>
              </w:rPr>
            </w:pPr>
            <w:r w:rsidRPr="00BE6461">
              <w:rPr>
                <w:b/>
                <w:bCs/>
                <w:color w:val="333333"/>
                <w:sz w:val="20"/>
                <w:szCs w:val="20"/>
              </w:rPr>
              <w:t>10.000,00</w:t>
            </w:r>
          </w:p>
        </w:tc>
        <w:tc>
          <w:tcPr>
            <w:tcW w:w="1500" w:type="dxa"/>
            <w:tcBorders>
              <w:top w:val="nil"/>
              <w:left w:val="nil"/>
              <w:bottom w:val="nil"/>
              <w:right w:val="nil"/>
            </w:tcBorders>
            <w:shd w:val="clear" w:color="auto" w:fill="auto"/>
            <w:noWrap/>
            <w:vAlign w:val="bottom"/>
            <w:hideMark/>
          </w:tcPr>
          <w:p w14:paraId="07E01408"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100" w:type="dxa"/>
            <w:tcBorders>
              <w:top w:val="nil"/>
              <w:left w:val="nil"/>
              <w:bottom w:val="nil"/>
              <w:right w:val="nil"/>
            </w:tcBorders>
            <w:shd w:val="clear" w:color="auto" w:fill="auto"/>
            <w:noWrap/>
            <w:vAlign w:val="bottom"/>
            <w:hideMark/>
          </w:tcPr>
          <w:p w14:paraId="3A6D1BFF"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6C3CF3F3" w14:textId="77777777" w:rsidTr="00BE6461">
        <w:trPr>
          <w:trHeight w:val="300"/>
        </w:trPr>
        <w:tc>
          <w:tcPr>
            <w:tcW w:w="1703" w:type="dxa"/>
            <w:tcBorders>
              <w:top w:val="nil"/>
              <w:left w:val="nil"/>
              <w:bottom w:val="nil"/>
              <w:right w:val="nil"/>
            </w:tcBorders>
            <w:shd w:val="clear" w:color="auto" w:fill="auto"/>
            <w:noWrap/>
            <w:vAlign w:val="bottom"/>
            <w:hideMark/>
          </w:tcPr>
          <w:p w14:paraId="2223C2D0"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50F57895"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741FCFDB" w14:textId="77777777" w:rsidR="00BE6461" w:rsidRPr="00BE6461" w:rsidRDefault="00BE6461" w:rsidP="00BE6461">
            <w:pPr>
              <w:jc w:val="right"/>
              <w:rPr>
                <w:b/>
                <w:bCs/>
                <w:sz w:val="20"/>
                <w:szCs w:val="20"/>
              </w:rPr>
            </w:pPr>
            <w:r w:rsidRPr="00BE6461">
              <w:rPr>
                <w:b/>
                <w:bCs/>
                <w:sz w:val="20"/>
                <w:szCs w:val="20"/>
              </w:rPr>
              <w:t>10.000,00</w:t>
            </w:r>
          </w:p>
        </w:tc>
        <w:tc>
          <w:tcPr>
            <w:tcW w:w="1500" w:type="dxa"/>
            <w:tcBorders>
              <w:top w:val="nil"/>
              <w:left w:val="nil"/>
              <w:bottom w:val="nil"/>
              <w:right w:val="nil"/>
            </w:tcBorders>
            <w:shd w:val="clear" w:color="auto" w:fill="auto"/>
            <w:noWrap/>
            <w:vAlign w:val="bottom"/>
            <w:hideMark/>
          </w:tcPr>
          <w:p w14:paraId="0375FBB3"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6045AE4F"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10372EF2" w14:textId="77777777" w:rsidTr="00BE6461">
        <w:trPr>
          <w:trHeight w:val="300"/>
        </w:trPr>
        <w:tc>
          <w:tcPr>
            <w:tcW w:w="1703" w:type="dxa"/>
            <w:tcBorders>
              <w:top w:val="nil"/>
              <w:left w:val="nil"/>
              <w:bottom w:val="nil"/>
              <w:right w:val="nil"/>
            </w:tcBorders>
            <w:shd w:val="clear" w:color="auto" w:fill="auto"/>
            <w:noWrap/>
            <w:vAlign w:val="bottom"/>
            <w:hideMark/>
          </w:tcPr>
          <w:p w14:paraId="796796A7" w14:textId="77777777" w:rsidR="00BE6461" w:rsidRPr="00BE6461" w:rsidRDefault="00BE6461" w:rsidP="00BE6461">
            <w:pPr>
              <w:rPr>
                <w:sz w:val="20"/>
                <w:szCs w:val="20"/>
              </w:rPr>
            </w:pPr>
            <w:r w:rsidRPr="00BE6461">
              <w:rPr>
                <w:sz w:val="20"/>
                <w:szCs w:val="20"/>
              </w:rPr>
              <w:t>3293</w:t>
            </w:r>
          </w:p>
        </w:tc>
        <w:tc>
          <w:tcPr>
            <w:tcW w:w="8457" w:type="dxa"/>
            <w:tcBorders>
              <w:top w:val="nil"/>
              <w:left w:val="nil"/>
              <w:bottom w:val="nil"/>
              <w:right w:val="nil"/>
            </w:tcBorders>
            <w:shd w:val="clear" w:color="auto" w:fill="auto"/>
            <w:vAlign w:val="bottom"/>
            <w:hideMark/>
          </w:tcPr>
          <w:p w14:paraId="160B7BBB" w14:textId="77777777" w:rsidR="00BE6461" w:rsidRPr="00BE6461" w:rsidRDefault="00BE6461" w:rsidP="00BE6461">
            <w:pPr>
              <w:rPr>
                <w:sz w:val="20"/>
                <w:szCs w:val="20"/>
              </w:rPr>
            </w:pPr>
            <w:r w:rsidRPr="00BE6461">
              <w:rPr>
                <w:sz w:val="20"/>
                <w:szCs w:val="20"/>
              </w:rPr>
              <w:t xml:space="preserve">Reprezentacija                                                                                      </w:t>
            </w:r>
          </w:p>
        </w:tc>
        <w:tc>
          <w:tcPr>
            <w:tcW w:w="1503" w:type="dxa"/>
            <w:tcBorders>
              <w:top w:val="nil"/>
              <w:left w:val="nil"/>
              <w:bottom w:val="nil"/>
              <w:right w:val="nil"/>
            </w:tcBorders>
            <w:shd w:val="clear" w:color="auto" w:fill="auto"/>
            <w:noWrap/>
            <w:vAlign w:val="bottom"/>
            <w:hideMark/>
          </w:tcPr>
          <w:p w14:paraId="51968089"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5CDEC2D"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17EA3D1D" w14:textId="77777777" w:rsidR="00BE6461" w:rsidRPr="00BE6461" w:rsidRDefault="00BE6461" w:rsidP="00BE6461">
            <w:pPr>
              <w:jc w:val="right"/>
              <w:rPr>
                <w:sz w:val="20"/>
                <w:szCs w:val="20"/>
              </w:rPr>
            </w:pPr>
          </w:p>
        </w:tc>
      </w:tr>
      <w:tr w:rsidR="00BE6461" w:rsidRPr="00BE6461" w14:paraId="1947D908"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3010B03D" w14:textId="77777777" w:rsidR="00BE6461" w:rsidRPr="00BE6461" w:rsidRDefault="00BE6461" w:rsidP="00BE6461">
            <w:pPr>
              <w:rPr>
                <w:b/>
                <w:bCs/>
                <w:sz w:val="20"/>
                <w:szCs w:val="20"/>
              </w:rPr>
            </w:pPr>
            <w:r w:rsidRPr="00BE6461">
              <w:rPr>
                <w:b/>
                <w:bCs/>
                <w:sz w:val="20"/>
                <w:szCs w:val="20"/>
              </w:rPr>
              <w:t>A100097</w:t>
            </w:r>
          </w:p>
        </w:tc>
        <w:tc>
          <w:tcPr>
            <w:tcW w:w="8457" w:type="dxa"/>
            <w:tcBorders>
              <w:top w:val="single" w:sz="4" w:space="0" w:color="auto"/>
              <w:left w:val="nil"/>
              <w:bottom w:val="single" w:sz="4" w:space="0" w:color="auto"/>
              <w:right w:val="nil"/>
            </w:tcBorders>
            <w:shd w:val="clear" w:color="auto" w:fill="auto"/>
            <w:vAlign w:val="bottom"/>
            <w:hideMark/>
          </w:tcPr>
          <w:p w14:paraId="0B45E217" w14:textId="77777777" w:rsidR="00BE6461" w:rsidRPr="00BE6461" w:rsidRDefault="00BE6461" w:rsidP="00BE6461">
            <w:pPr>
              <w:rPr>
                <w:b/>
                <w:bCs/>
                <w:sz w:val="20"/>
                <w:szCs w:val="20"/>
              </w:rPr>
            </w:pPr>
            <w:r w:rsidRPr="00BE6461">
              <w:rPr>
                <w:b/>
                <w:bCs/>
                <w:sz w:val="20"/>
                <w:szCs w:val="20"/>
              </w:rPr>
              <w:t>Aktivnost: MJESNI ODBOR KRASICA</w:t>
            </w:r>
          </w:p>
        </w:tc>
        <w:tc>
          <w:tcPr>
            <w:tcW w:w="1503" w:type="dxa"/>
            <w:tcBorders>
              <w:top w:val="single" w:sz="4" w:space="0" w:color="auto"/>
              <w:left w:val="nil"/>
              <w:bottom w:val="single" w:sz="4" w:space="0" w:color="auto"/>
              <w:right w:val="nil"/>
            </w:tcBorders>
            <w:shd w:val="clear" w:color="auto" w:fill="auto"/>
            <w:noWrap/>
            <w:vAlign w:val="bottom"/>
            <w:hideMark/>
          </w:tcPr>
          <w:p w14:paraId="12FF3C3D" w14:textId="77777777" w:rsidR="00BE6461" w:rsidRPr="00BE6461" w:rsidRDefault="00BE6461" w:rsidP="00BE6461">
            <w:pPr>
              <w:jc w:val="right"/>
              <w:rPr>
                <w:b/>
                <w:bCs/>
                <w:sz w:val="20"/>
                <w:szCs w:val="20"/>
              </w:rPr>
            </w:pPr>
            <w:r w:rsidRPr="00BE6461">
              <w:rPr>
                <w:b/>
                <w:bCs/>
                <w:sz w:val="20"/>
                <w:szCs w:val="20"/>
              </w:rPr>
              <w:t>11.900,00</w:t>
            </w:r>
          </w:p>
        </w:tc>
        <w:tc>
          <w:tcPr>
            <w:tcW w:w="1500" w:type="dxa"/>
            <w:tcBorders>
              <w:top w:val="single" w:sz="4" w:space="0" w:color="auto"/>
              <w:left w:val="nil"/>
              <w:bottom w:val="single" w:sz="4" w:space="0" w:color="auto"/>
              <w:right w:val="nil"/>
            </w:tcBorders>
            <w:shd w:val="clear" w:color="auto" w:fill="auto"/>
            <w:noWrap/>
            <w:vAlign w:val="bottom"/>
            <w:hideMark/>
          </w:tcPr>
          <w:p w14:paraId="64B6A642" w14:textId="77777777" w:rsidR="00BE6461" w:rsidRPr="00BE6461" w:rsidRDefault="00BE6461" w:rsidP="00BE6461">
            <w:pPr>
              <w:jc w:val="right"/>
              <w:rPr>
                <w:b/>
                <w:bCs/>
                <w:sz w:val="20"/>
                <w:szCs w:val="20"/>
              </w:rPr>
            </w:pPr>
            <w:r w:rsidRPr="00BE6461">
              <w:rPr>
                <w:b/>
                <w:bCs/>
                <w:sz w:val="20"/>
                <w:szCs w:val="20"/>
              </w:rPr>
              <w:t>11.893,94</w:t>
            </w:r>
          </w:p>
        </w:tc>
        <w:tc>
          <w:tcPr>
            <w:tcW w:w="1100" w:type="dxa"/>
            <w:tcBorders>
              <w:top w:val="single" w:sz="4" w:space="0" w:color="auto"/>
              <w:left w:val="nil"/>
              <w:bottom w:val="single" w:sz="4" w:space="0" w:color="auto"/>
              <w:right w:val="nil"/>
            </w:tcBorders>
            <w:shd w:val="clear" w:color="auto" w:fill="auto"/>
            <w:noWrap/>
            <w:vAlign w:val="bottom"/>
            <w:hideMark/>
          </w:tcPr>
          <w:p w14:paraId="4E15115C" w14:textId="77777777" w:rsidR="00BE6461" w:rsidRPr="00BE6461" w:rsidRDefault="00BE6461" w:rsidP="00BE6461">
            <w:pPr>
              <w:jc w:val="right"/>
              <w:rPr>
                <w:b/>
                <w:bCs/>
                <w:sz w:val="20"/>
                <w:szCs w:val="20"/>
              </w:rPr>
            </w:pPr>
            <w:r w:rsidRPr="00BE6461">
              <w:rPr>
                <w:b/>
                <w:bCs/>
                <w:sz w:val="20"/>
                <w:szCs w:val="20"/>
              </w:rPr>
              <w:t>99,95</w:t>
            </w:r>
          </w:p>
        </w:tc>
      </w:tr>
      <w:tr w:rsidR="00BE6461" w:rsidRPr="00BE6461" w14:paraId="059C5EDF"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45DBCE1"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4B23EDB0" w14:textId="77777777" w:rsidR="00BE6461" w:rsidRPr="00BE6461" w:rsidRDefault="00BE6461" w:rsidP="00BE6461">
            <w:pPr>
              <w:jc w:val="right"/>
              <w:rPr>
                <w:b/>
                <w:bCs/>
                <w:color w:val="333333"/>
                <w:sz w:val="20"/>
                <w:szCs w:val="20"/>
              </w:rPr>
            </w:pPr>
            <w:r w:rsidRPr="00BE6461">
              <w:rPr>
                <w:b/>
                <w:bCs/>
                <w:color w:val="333333"/>
                <w:sz w:val="20"/>
                <w:szCs w:val="20"/>
              </w:rPr>
              <w:t>11.900,00</w:t>
            </w:r>
          </w:p>
        </w:tc>
        <w:tc>
          <w:tcPr>
            <w:tcW w:w="1500" w:type="dxa"/>
            <w:tcBorders>
              <w:top w:val="nil"/>
              <w:left w:val="nil"/>
              <w:bottom w:val="nil"/>
              <w:right w:val="nil"/>
            </w:tcBorders>
            <w:shd w:val="clear" w:color="auto" w:fill="auto"/>
            <w:noWrap/>
            <w:vAlign w:val="bottom"/>
            <w:hideMark/>
          </w:tcPr>
          <w:p w14:paraId="3C624CC8" w14:textId="77777777" w:rsidR="00BE6461" w:rsidRPr="00BE6461" w:rsidRDefault="00BE6461" w:rsidP="00BE6461">
            <w:pPr>
              <w:jc w:val="right"/>
              <w:rPr>
                <w:b/>
                <w:bCs/>
                <w:color w:val="333333"/>
                <w:sz w:val="20"/>
                <w:szCs w:val="20"/>
              </w:rPr>
            </w:pPr>
            <w:r w:rsidRPr="00BE6461">
              <w:rPr>
                <w:b/>
                <w:bCs/>
                <w:color w:val="333333"/>
                <w:sz w:val="20"/>
                <w:szCs w:val="20"/>
              </w:rPr>
              <w:t>11.893,94</w:t>
            </w:r>
          </w:p>
        </w:tc>
        <w:tc>
          <w:tcPr>
            <w:tcW w:w="1100" w:type="dxa"/>
            <w:tcBorders>
              <w:top w:val="nil"/>
              <w:left w:val="nil"/>
              <w:bottom w:val="nil"/>
              <w:right w:val="nil"/>
            </w:tcBorders>
            <w:shd w:val="clear" w:color="auto" w:fill="auto"/>
            <w:noWrap/>
            <w:vAlign w:val="bottom"/>
            <w:hideMark/>
          </w:tcPr>
          <w:p w14:paraId="22287850" w14:textId="77777777" w:rsidR="00BE6461" w:rsidRPr="00BE6461" w:rsidRDefault="00BE6461" w:rsidP="00BE6461">
            <w:pPr>
              <w:jc w:val="right"/>
              <w:rPr>
                <w:b/>
                <w:bCs/>
                <w:color w:val="333333"/>
                <w:sz w:val="20"/>
                <w:szCs w:val="20"/>
              </w:rPr>
            </w:pPr>
            <w:r w:rsidRPr="00BE6461">
              <w:rPr>
                <w:b/>
                <w:bCs/>
                <w:color w:val="333333"/>
                <w:sz w:val="20"/>
                <w:szCs w:val="20"/>
              </w:rPr>
              <w:t>99,95</w:t>
            </w:r>
          </w:p>
        </w:tc>
      </w:tr>
      <w:tr w:rsidR="00BE6461" w:rsidRPr="00BE6461" w14:paraId="732656E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AF04144"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4E04A6A4" w14:textId="77777777" w:rsidR="00BE6461" w:rsidRPr="00BE6461" w:rsidRDefault="00BE6461" w:rsidP="00BE6461">
            <w:pPr>
              <w:jc w:val="right"/>
              <w:rPr>
                <w:b/>
                <w:bCs/>
                <w:color w:val="333333"/>
                <w:sz w:val="20"/>
                <w:szCs w:val="20"/>
              </w:rPr>
            </w:pPr>
            <w:r w:rsidRPr="00BE6461">
              <w:rPr>
                <w:b/>
                <w:bCs/>
                <w:color w:val="333333"/>
                <w:sz w:val="20"/>
                <w:szCs w:val="20"/>
              </w:rPr>
              <w:t>11.900,00</w:t>
            </w:r>
          </w:p>
        </w:tc>
        <w:tc>
          <w:tcPr>
            <w:tcW w:w="1500" w:type="dxa"/>
            <w:tcBorders>
              <w:top w:val="nil"/>
              <w:left w:val="nil"/>
              <w:bottom w:val="nil"/>
              <w:right w:val="nil"/>
            </w:tcBorders>
            <w:shd w:val="clear" w:color="auto" w:fill="auto"/>
            <w:noWrap/>
            <w:vAlign w:val="bottom"/>
            <w:hideMark/>
          </w:tcPr>
          <w:p w14:paraId="2379D2B9" w14:textId="77777777" w:rsidR="00BE6461" w:rsidRPr="00BE6461" w:rsidRDefault="00BE6461" w:rsidP="00BE6461">
            <w:pPr>
              <w:jc w:val="right"/>
              <w:rPr>
                <w:b/>
                <w:bCs/>
                <w:color w:val="333333"/>
                <w:sz w:val="20"/>
                <w:szCs w:val="20"/>
              </w:rPr>
            </w:pPr>
            <w:r w:rsidRPr="00BE6461">
              <w:rPr>
                <w:b/>
                <w:bCs/>
                <w:color w:val="333333"/>
                <w:sz w:val="20"/>
                <w:szCs w:val="20"/>
              </w:rPr>
              <w:t>11.893,94</w:t>
            </w:r>
          </w:p>
        </w:tc>
        <w:tc>
          <w:tcPr>
            <w:tcW w:w="1100" w:type="dxa"/>
            <w:tcBorders>
              <w:top w:val="nil"/>
              <w:left w:val="nil"/>
              <w:bottom w:val="nil"/>
              <w:right w:val="nil"/>
            </w:tcBorders>
            <w:shd w:val="clear" w:color="auto" w:fill="auto"/>
            <w:noWrap/>
            <w:vAlign w:val="bottom"/>
            <w:hideMark/>
          </w:tcPr>
          <w:p w14:paraId="1395C153" w14:textId="77777777" w:rsidR="00BE6461" w:rsidRPr="00BE6461" w:rsidRDefault="00BE6461" w:rsidP="00BE6461">
            <w:pPr>
              <w:jc w:val="right"/>
              <w:rPr>
                <w:b/>
                <w:bCs/>
                <w:color w:val="333333"/>
                <w:sz w:val="20"/>
                <w:szCs w:val="20"/>
              </w:rPr>
            </w:pPr>
            <w:r w:rsidRPr="00BE6461">
              <w:rPr>
                <w:b/>
                <w:bCs/>
                <w:color w:val="333333"/>
                <w:sz w:val="20"/>
                <w:szCs w:val="20"/>
              </w:rPr>
              <w:t>99,95</w:t>
            </w:r>
          </w:p>
        </w:tc>
      </w:tr>
      <w:tr w:rsidR="00BE6461" w:rsidRPr="00BE6461" w14:paraId="306AED36" w14:textId="77777777" w:rsidTr="00BE6461">
        <w:trPr>
          <w:trHeight w:val="300"/>
        </w:trPr>
        <w:tc>
          <w:tcPr>
            <w:tcW w:w="1703" w:type="dxa"/>
            <w:tcBorders>
              <w:top w:val="nil"/>
              <w:left w:val="nil"/>
              <w:bottom w:val="nil"/>
              <w:right w:val="nil"/>
            </w:tcBorders>
            <w:shd w:val="clear" w:color="auto" w:fill="auto"/>
            <w:noWrap/>
            <w:vAlign w:val="bottom"/>
            <w:hideMark/>
          </w:tcPr>
          <w:p w14:paraId="20DFEBC1"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496401E3"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1CA932D7" w14:textId="77777777" w:rsidR="00BE6461" w:rsidRPr="00BE6461" w:rsidRDefault="00BE6461" w:rsidP="00BE6461">
            <w:pPr>
              <w:jc w:val="right"/>
              <w:rPr>
                <w:b/>
                <w:bCs/>
                <w:sz w:val="20"/>
                <w:szCs w:val="20"/>
              </w:rPr>
            </w:pPr>
            <w:r w:rsidRPr="00BE6461">
              <w:rPr>
                <w:b/>
                <w:bCs/>
                <w:sz w:val="20"/>
                <w:szCs w:val="20"/>
              </w:rPr>
              <w:t>11.900,00</w:t>
            </w:r>
          </w:p>
        </w:tc>
        <w:tc>
          <w:tcPr>
            <w:tcW w:w="1500" w:type="dxa"/>
            <w:tcBorders>
              <w:top w:val="nil"/>
              <w:left w:val="nil"/>
              <w:bottom w:val="nil"/>
              <w:right w:val="nil"/>
            </w:tcBorders>
            <w:shd w:val="clear" w:color="auto" w:fill="auto"/>
            <w:noWrap/>
            <w:vAlign w:val="bottom"/>
            <w:hideMark/>
          </w:tcPr>
          <w:p w14:paraId="22101FA0" w14:textId="77777777" w:rsidR="00BE6461" w:rsidRPr="00BE6461" w:rsidRDefault="00BE6461" w:rsidP="00BE6461">
            <w:pPr>
              <w:jc w:val="right"/>
              <w:rPr>
                <w:b/>
                <w:bCs/>
                <w:sz w:val="20"/>
                <w:szCs w:val="20"/>
              </w:rPr>
            </w:pPr>
            <w:r w:rsidRPr="00BE6461">
              <w:rPr>
                <w:b/>
                <w:bCs/>
                <w:sz w:val="20"/>
                <w:szCs w:val="20"/>
              </w:rPr>
              <w:t>11.893,94</w:t>
            </w:r>
          </w:p>
        </w:tc>
        <w:tc>
          <w:tcPr>
            <w:tcW w:w="1100" w:type="dxa"/>
            <w:tcBorders>
              <w:top w:val="nil"/>
              <w:left w:val="nil"/>
              <w:bottom w:val="nil"/>
              <w:right w:val="nil"/>
            </w:tcBorders>
            <w:shd w:val="clear" w:color="auto" w:fill="auto"/>
            <w:noWrap/>
            <w:vAlign w:val="bottom"/>
            <w:hideMark/>
          </w:tcPr>
          <w:p w14:paraId="5F99F578" w14:textId="77777777" w:rsidR="00BE6461" w:rsidRPr="00BE6461" w:rsidRDefault="00BE6461" w:rsidP="00BE6461">
            <w:pPr>
              <w:jc w:val="right"/>
              <w:rPr>
                <w:b/>
                <w:bCs/>
                <w:sz w:val="20"/>
                <w:szCs w:val="20"/>
              </w:rPr>
            </w:pPr>
            <w:r w:rsidRPr="00BE6461">
              <w:rPr>
                <w:b/>
                <w:bCs/>
                <w:sz w:val="20"/>
                <w:szCs w:val="20"/>
              </w:rPr>
              <w:t>99,95</w:t>
            </w:r>
          </w:p>
        </w:tc>
      </w:tr>
      <w:tr w:rsidR="00BE6461" w:rsidRPr="00BE6461" w14:paraId="38CB5831" w14:textId="77777777" w:rsidTr="00BE6461">
        <w:trPr>
          <w:trHeight w:val="300"/>
        </w:trPr>
        <w:tc>
          <w:tcPr>
            <w:tcW w:w="1703" w:type="dxa"/>
            <w:tcBorders>
              <w:top w:val="nil"/>
              <w:left w:val="nil"/>
              <w:bottom w:val="nil"/>
              <w:right w:val="nil"/>
            </w:tcBorders>
            <w:shd w:val="clear" w:color="auto" w:fill="auto"/>
            <w:noWrap/>
            <w:vAlign w:val="bottom"/>
            <w:hideMark/>
          </w:tcPr>
          <w:p w14:paraId="111B0AAF"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55759BC9"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1BE66169"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033C87E" w14:textId="77777777" w:rsidR="00BE6461" w:rsidRPr="00BE6461" w:rsidRDefault="00BE6461" w:rsidP="00BE6461">
            <w:pPr>
              <w:jc w:val="right"/>
              <w:rPr>
                <w:sz w:val="20"/>
                <w:szCs w:val="20"/>
              </w:rPr>
            </w:pPr>
            <w:r w:rsidRPr="00BE6461">
              <w:rPr>
                <w:sz w:val="20"/>
                <w:szCs w:val="20"/>
              </w:rPr>
              <w:t>11.893,94</w:t>
            </w:r>
          </w:p>
        </w:tc>
        <w:tc>
          <w:tcPr>
            <w:tcW w:w="1100" w:type="dxa"/>
            <w:tcBorders>
              <w:top w:val="nil"/>
              <w:left w:val="nil"/>
              <w:bottom w:val="nil"/>
              <w:right w:val="nil"/>
            </w:tcBorders>
            <w:shd w:val="clear" w:color="auto" w:fill="auto"/>
            <w:noWrap/>
            <w:vAlign w:val="bottom"/>
            <w:hideMark/>
          </w:tcPr>
          <w:p w14:paraId="0D9F7154" w14:textId="77777777" w:rsidR="00BE6461" w:rsidRPr="00BE6461" w:rsidRDefault="00BE6461" w:rsidP="00BE6461">
            <w:pPr>
              <w:jc w:val="right"/>
              <w:rPr>
                <w:sz w:val="20"/>
                <w:szCs w:val="20"/>
              </w:rPr>
            </w:pPr>
          </w:p>
        </w:tc>
      </w:tr>
      <w:tr w:rsidR="00BE6461" w:rsidRPr="00BE6461" w14:paraId="3CEB39BA"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6C031DE0" w14:textId="77777777" w:rsidR="00BE6461" w:rsidRPr="00BE6461" w:rsidRDefault="00BE6461" w:rsidP="00BE6461">
            <w:pPr>
              <w:rPr>
                <w:b/>
                <w:bCs/>
                <w:sz w:val="20"/>
                <w:szCs w:val="20"/>
              </w:rPr>
            </w:pPr>
            <w:r w:rsidRPr="00BE6461">
              <w:rPr>
                <w:b/>
                <w:bCs/>
                <w:sz w:val="20"/>
                <w:szCs w:val="20"/>
              </w:rPr>
              <w:lastRenderedPageBreak/>
              <w:t>A100098</w:t>
            </w:r>
          </w:p>
        </w:tc>
        <w:tc>
          <w:tcPr>
            <w:tcW w:w="8457" w:type="dxa"/>
            <w:tcBorders>
              <w:top w:val="single" w:sz="4" w:space="0" w:color="auto"/>
              <w:left w:val="nil"/>
              <w:bottom w:val="single" w:sz="4" w:space="0" w:color="auto"/>
              <w:right w:val="nil"/>
            </w:tcBorders>
            <w:shd w:val="clear" w:color="auto" w:fill="auto"/>
            <w:vAlign w:val="bottom"/>
            <w:hideMark/>
          </w:tcPr>
          <w:p w14:paraId="4E9DFE8E" w14:textId="77777777" w:rsidR="00BE6461" w:rsidRPr="00BE6461" w:rsidRDefault="00BE6461" w:rsidP="00BE6461">
            <w:pPr>
              <w:rPr>
                <w:b/>
                <w:bCs/>
                <w:sz w:val="20"/>
                <w:szCs w:val="20"/>
              </w:rPr>
            </w:pPr>
            <w:r w:rsidRPr="00BE6461">
              <w:rPr>
                <w:b/>
                <w:bCs/>
                <w:sz w:val="20"/>
                <w:szCs w:val="20"/>
              </w:rPr>
              <w:t>Aktivnost: MJESNI ODBOR KRŠETE</w:t>
            </w:r>
          </w:p>
        </w:tc>
        <w:tc>
          <w:tcPr>
            <w:tcW w:w="1503" w:type="dxa"/>
            <w:tcBorders>
              <w:top w:val="single" w:sz="4" w:space="0" w:color="auto"/>
              <w:left w:val="nil"/>
              <w:bottom w:val="single" w:sz="4" w:space="0" w:color="auto"/>
              <w:right w:val="nil"/>
            </w:tcBorders>
            <w:shd w:val="clear" w:color="auto" w:fill="auto"/>
            <w:noWrap/>
            <w:vAlign w:val="bottom"/>
            <w:hideMark/>
          </w:tcPr>
          <w:p w14:paraId="1E3B61E2" w14:textId="77777777" w:rsidR="00BE6461" w:rsidRPr="00BE6461" w:rsidRDefault="00BE6461" w:rsidP="00BE6461">
            <w:pPr>
              <w:jc w:val="right"/>
              <w:rPr>
                <w:b/>
                <w:bCs/>
                <w:sz w:val="20"/>
                <w:szCs w:val="20"/>
              </w:rPr>
            </w:pPr>
            <w:r w:rsidRPr="00BE6461">
              <w:rPr>
                <w:b/>
                <w:bCs/>
                <w:sz w:val="20"/>
                <w:szCs w:val="20"/>
              </w:rPr>
              <w:t>10.000,00</w:t>
            </w:r>
          </w:p>
        </w:tc>
        <w:tc>
          <w:tcPr>
            <w:tcW w:w="1500" w:type="dxa"/>
            <w:tcBorders>
              <w:top w:val="single" w:sz="4" w:space="0" w:color="auto"/>
              <w:left w:val="nil"/>
              <w:bottom w:val="single" w:sz="4" w:space="0" w:color="auto"/>
              <w:right w:val="nil"/>
            </w:tcBorders>
            <w:shd w:val="clear" w:color="auto" w:fill="auto"/>
            <w:noWrap/>
            <w:vAlign w:val="bottom"/>
            <w:hideMark/>
          </w:tcPr>
          <w:p w14:paraId="6726DBD6" w14:textId="77777777" w:rsidR="00BE6461" w:rsidRPr="00BE6461" w:rsidRDefault="00BE6461" w:rsidP="00BE6461">
            <w:pPr>
              <w:jc w:val="right"/>
              <w:rPr>
                <w:b/>
                <w:bCs/>
                <w:sz w:val="20"/>
                <w:szCs w:val="20"/>
              </w:rPr>
            </w:pPr>
            <w:r w:rsidRPr="00BE6461">
              <w:rPr>
                <w:b/>
                <w:bCs/>
                <w:sz w:val="20"/>
                <w:szCs w:val="20"/>
              </w:rPr>
              <w:t>5.946,98</w:t>
            </w:r>
          </w:p>
        </w:tc>
        <w:tc>
          <w:tcPr>
            <w:tcW w:w="1100" w:type="dxa"/>
            <w:tcBorders>
              <w:top w:val="single" w:sz="4" w:space="0" w:color="auto"/>
              <w:left w:val="nil"/>
              <w:bottom w:val="single" w:sz="4" w:space="0" w:color="auto"/>
              <w:right w:val="nil"/>
            </w:tcBorders>
            <w:shd w:val="clear" w:color="auto" w:fill="auto"/>
            <w:noWrap/>
            <w:vAlign w:val="bottom"/>
            <w:hideMark/>
          </w:tcPr>
          <w:p w14:paraId="58CC9E8C" w14:textId="77777777" w:rsidR="00BE6461" w:rsidRPr="00BE6461" w:rsidRDefault="00BE6461" w:rsidP="00BE6461">
            <w:pPr>
              <w:jc w:val="right"/>
              <w:rPr>
                <w:b/>
                <w:bCs/>
                <w:sz w:val="20"/>
                <w:szCs w:val="20"/>
              </w:rPr>
            </w:pPr>
            <w:r w:rsidRPr="00BE6461">
              <w:rPr>
                <w:b/>
                <w:bCs/>
                <w:sz w:val="20"/>
                <w:szCs w:val="20"/>
              </w:rPr>
              <w:t>59,47</w:t>
            </w:r>
          </w:p>
        </w:tc>
      </w:tr>
      <w:tr w:rsidR="00BE6461" w:rsidRPr="00BE6461" w14:paraId="2DB55AF0"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7125862"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05D569D8" w14:textId="77777777" w:rsidR="00BE6461" w:rsidRPr="00BE6461" w:rsidRDefault="00BE6461" w:rsidP="00BE6461">
            <w:pPr>
              <w:jc w:val="right"/>
              <w:rPr>
                <w:b/>
                <w:bCs/>
                <w:color w:val="333333"/>
                <w:sz w:val="20"/>
                <w:szCs w:val="20"/>
              </w:rPr>
            </w:pPr>
            <w:r w:rsidRPr="00BE6461">
              <w:rPr>
                <w:b/>
                <w:bCs/>
                <w:color w:val="333333"/>
                <w:sz w:val="20"/>
                <w:szCs w:val="20"/>
              </w:rPr>
              <w:t>10.000,00</w:t>
            </w:r>
          </w:p>
        </w:tc>
        <w:tc>
          <w:tcPr>
            <w:tcW w:w="1500" w:type="dxa"/>
            <w:tcBorders>
              <w:top w:val="nil"/>
              <w:left w:val="nil"/>
              <w:bottom w:val="nil"/>
              <w:right w:val="nil"/>
            </w:tcBorders>
            <w:shd w:val="clear" w:color="auto" w:fill="auto"/>
            <w:noWrap/>
            <w:vAlign w:val="bottom"/>
            <w:hideMark/>
          </w:tcPr>
          <w:p w14:paraId="674A2675" w14:textId="77777777" w:rsidR="00BE6461" w:rsidRPr="00BE6461" w:rsidRDefault="00BE6461" w:rsidP="00BE6461">
            <w:pPr>
              <w:jc w:val="right"/>
              <w:rPr>
                <w:b/>
                <w:bCs/>
                <w:color w:val="333333"/>
                <w:sz w:val="20"/>
                <w:szCs w:val="20"/>
              </w:rPr>
            </w:pPr>
            <w:r w:rsidRPr="00BE6461">
              <w:rPr>
                <w:b/>
                <w:bCs/>
                <w:color w:val="333333"/>
                <w:sz w:val="20"/>
                <w:szCs w:val="20"/>
              </w:rPr>
              <w:t>5.946,98</w:t>
            </w:r>
          </w:p>
        </w:tc>
        <w:tc>
          <w:tcPr>
            <w:tcW w:w="1100" w:type="dxa"/>
            <w:tcBorders>
              <w:top w:val="nil"/>
              <w:left w:val="nil"/>
              <w:bottom w:val="nil"/>
              <w:right w:val="nil"/>
            </w:tcBorders>
            <w:shd w:val="clear" w:color="auto" w:fill="auto"/>
            <w:noWrap/>
            <w:vAlign w:val="bottom"/>
            <w:hideMark/>
          </w:tcPr>
          <w:p w14:paraId="22B2500A" w14:textId="77777777" w:rsidR="00BE6461" w:rsidRPr="00BE6461" w:rsidRDefault="00BE6461" w:rsidP="00BE6461">
            <w:pPr>
              <w:jc w:val="right"/>
              <w:rPr>
                <w:b/>
                <w:bCs/>
                <w:color w:val="333333"/>
                <w:sz w:val="20"/>
                <w:szCs w:val="20"/>
              </w:rPr>
            </w:pPr>
            <w:r w:rsidRPr="00BE6461">
              <w:rPr>
                <w:b/>
                <w:bCs/>
                <w:color w:val="333333"/>
                <w:sz w:val="20"/>
                <w:szCs w:val="20"/>
              </w:rPr>
              <w:t>59,47</w:t>
            </w:r>
          </w:p>
        </w:tc>
      </w:tr>
      <w:tr w:rsidR="00BE6461" w:rsidRPr="00BE6461" w14:paraId="7382C22C"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16E71B8"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250D7317" w14:textId="77777777" w:rsidR="00BE6461" w:rsidRPr="00BE6461" w:rsidRDefault="00BE6461" w:rsidP="00BE6461">
            <w:pPr>
              <w:jc w:val="right"/>
              <w:rPr>
                <w:b/>
                <w:bCs/>
                <w:color w:val="333333"/>
                <w:sz w:val="20"/>
                <w:szCs w:val="20"/>
              </w:rPr>
            </w:pPr>
            <w:r w:rsidRPr="00BE6461">
              <w:rPr>
                <w:b/>
                <w:bCs/>
                <w:color w:val="333333"/>
                <w:sz w:val="20"/>
                <w:szCs w:val="20"/>
              </w:rPr>
              <w:t>10.000,00</w:t>
            </w:r>
          </w:p>
        </w:tc>
        <w:tc>
          <w:tcPr>
            <w:tcW w:w="1500" w:type="dxa"/>
            <w:tcBorders>
              <w:top w:val="nil"/>
              <w:left w:val="nil"/>
              <w:bottom w:val="nil"/>
              <w:right w:val="nil"/>
            </w:tcBorders>
            <w:shd w:val="clear" w:color="auto" w:fill="auto"/>
            <w:noWrap/>
            <w:vAlign w:val="bottom"/>
            <w:hideMark/>
          </w:tcPr>
          <w:p w14:paraId="10050BA1" w14:textId="77777777" w:rsidR="00BE6461" w:rsidRPr="00BE6461" w:rsidRDefault="00BE6461" w:rsidP="00BE6461">
            <w:pPr>
              <w:jc w:val="right"/>
              <w:rPr>
                <w:b/>
                <w:bCs/>
                <w:color w:val="333333"/>
                <w:sz w:val="20"/>
                <w:szCs w:val="20"/>
              </w:rPr>
            </w:pPr>
            <w:r w:rsidRPr="00BE6461">
              <w:rPr>
                <w:b/>
                <w:bCs/>
                <w:color w:val="333333"/>
                <w:sz w:val="20"/>
                <w:szCs w:val="20"/>
              </w:rPr>
              <w:t>5.946,98</w:t>
            </w:r>
          </w:p>
        </w:tc>
        <w:tc>
          <w:tcPr>
            <w:tcW w:w="1100" w:type="dxa"/>
            <w:tcBorders>
              <w:top w:val="nil"/>
              <w:left w:val="nil"/>
              <w:bottom w:val="nil"/>
              <w:right w:val="nil"/>
            </w:tcBorders>
            <w:shd w:val="clear" w:color="auto" w:fill="auto"/>
            <w:noWrap/>
            <w:vAlign w:val="bottom"/>
            <w:hideMark/>
          </w:tcPr>
          <w:p w14:paraId="2C9BE3E6" w14:textId="77777777" w:rsidR="00BE6461" w:rsidRPr="00BE6461" w:rsidRDefault="00BE6461" w:rsidP="00BE6461">
            <w:pPr>
              <w:jc w:val="right"/>
              <w:rPr>
                <w:b/>
                <w:bCs/>
                <w:color w:val="333333"/>
                <w:sz w:val="20"/>
                <w:szCs w:val="20"/>
              </w:rPr>
            </w:pPr>
            <w:r w:rsidRPr="00BE6461">
              <w:rPr>
                <w:b/>
                <w:bCs/>
                <w:color w:val="333333"/>
                <w:sz w:val="20"/>
                <w:szCs w:val="20"/>
              </w:rPr>
              <w:t>59,47</w:t>
            </w:r>
          </w:p>
        </w:tc>
      </w:tr>
      <w:tr w:rsidR="00BE6461" w:rsidRPr="00BE6461" w14:paraId="711684DC" w14:textId="77777777" w:rsidTr="00BE6461">
        <w:trPr>
          <w:trHeight w:val="300"/>
        </w:trPr>
        <w:tc>
          <w:tcPr>
            <w:tcW w:w="1703" w:type="dxa"/>
            <w:tcBorders>
              <w:top w:val="nil"/>
              <w:left w:val="nil"/>
              <w:bottom w:val="nil"/>
              <w:right w:val="nil"/>
            </w:tcBorders>
            <w:shd w:val="clear" w:color="auto" w:fill="auto"/>
            <w:noWrap/>
            <w:vAlign w:val="bottom"/>
            <w:hideMark/>
          </w:tcPr>
          <w:p w14:paraId="7A600718"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50FD2053"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19CDECB1" w14:textId="77777777" w:rsidR="00BE6461" w:rsidRPr="00BE6461" w:rsidRDefault="00BE6461" w:rsidP="00BE6461">
            <w:pPr>
              <w:jc w:val="right"/>
              <w:rPr>
                <w:b/>
                <w:bCs/>
                <w:sz w:val="20"/>
                <w:szCs w:val="20"/>
              </w:rPr>
            </w:pPr>
            <w:r w:rsidRPr="00BE6461">
              <w:rPr>
                <w:b/>
                <w:bCs/>
                <w:sz w:val="20"/>
                <w:szCs w:val="20"/>
              </w:rPr>
              <w:t>10.000,00</w:t>
            </w:r>
          </w:p>
        </w:tc>
        <w:tc>
          <w:tcPr>
            <w:tcW w:w="1500" w:type="dxa"/>
            <w:tcBorders>
              <w:top w:val="nil"/>
              <w:left w:val="nil"/>
              <w:bottom w:val="nil"/>
              <w:right w:val="nil"/>
            </w:tcBorders>
            <w:shd w:val="clear" w:color="auto" w:fill="auto"/>
            <w:noWrap/>
            <w:vAlign w:val="bottom"/>
            <w:hideMark/>
          </w:tcPr>
          <w:p w14:paraId="0BFE024B" w14:textId="77777777" w:rsidR="00BE6461" w:rsidRPr="00BE6461" w:rsidRDefault="00BE6461" w:rsidP="00BE6461">
            <w:pPr>
              <w:jc w:val="right"/>
              <w:rPr>
                <w:b/>
                <w:bCs/>
                <w:sz w:val="20"/>
                <w:szCs w:val="20"/>
              </w:rPr>
            </w:pPr>
            <w:r w:rsidRPr="00BE6461">
              <w:rPr>
                <w:b/>
                <w:bCs/>
                <w:sz w:val="20"/>
                <w:szCs w:val="20"/>
              </w:rPr>
              <w:t>5.946,98</w:t>
            </w:r>
          </w:p>
        </w:tc>
        <w:tc>
          <w:tcPr>
            <w:tcW w:w="1100" w:type="dxa"/>
            <w:tcBorders>
              <w:top w:val="nil"/>
              <w:left w:val="nil"/>
              <w:bottom w:val="nil"/>
              <w:right w:val="nil"/>
            </w:tcBorders>
            <w:shd w:val="clear" w:color="auto" w:fill="auto"/>
            <w:noWrap/>
            <w:vAlign w:val="bottom"/>
            <w:hideMark/>
          </w:tcPr>
          <w:p w14:paraId="2AAAAF5E" w14:textId="77777777" w:rsidR="00BE6461" w:rsidRPr="00BE6461" w:rsidRDefault="00BE6461" w:rsidP="00BE6461">
            <w:pPr>
              <w:jc w:val="right"/>
              <w:rPr>
                <w:b/>
                <w:bCs/>
                <w:sz w:val="20"/>
                <w:szCs w:val="20"/>
              </w:rPr>
            </w:pPr>
            <w:r w:rsidRPr="00BE6461">
              <w:rPr>
                <w:b/>
                <w:bCs/>
                <w:sz w:val="20"/>
                <w:szCs w:val="20"/>
              </w:rPr>
              <w:t>59,47</w:t>
            </w:r>
          </w:p>
        </w:tc>
      </w:tr>
      <w:tr w:rsidR="00BE6461" w:rsidRPr="00BE6461" w14:paraId="368BFE2F" w14:textId="77777777" w:rsidTr="00BE6461">
        <w:trPr>
          <w:trHeight w:val="300"/>
        </w:trPr>
        <w:tc>
          <w:tcPr>
            <w:tcW w:w="1703" w:type="dxa"/>
            <w:tcBorders>
              <w:top w:val="nil"/>
              <w:left w:val="nil"/>
              <w:bottom w:val="nil"/>
              <w:right w:val="nil"/>
            </w:tcBorders>
            <w:shd w:val="clear" w:color="auto" w:fill="auto"/>
            <w:noWrap/>
            <w:vAlign w:val="bottom"/>
            <w:hideMark/>
          </w:tcPr>
          <w:p w14:paraId="07F3D25A"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2FD985DC"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46F1277B"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C847C5E" w14:textId="77777777" w:rsidR="00BE6461" w:rsidRPr="00BE6461" w:rsidRDefault="00BE6461" w:rsidP="00BE6461">
            <w:pPr>
              <w:jc w:val="right"/>
              <w:rPr>
                <w:sz w:val="20"/>
                <w:szCs w:val="20"/>
              </w:rPr>
            </w:pPr>
            <w:r w:rsidRPr="00BE6461">
              <w:rPr>
                <w:sz w:val="20"/>
                <w:szCs w:val="20"/>
              </w:rPr>
              <w:t>5.946,98</w:t>
            </w:r>
          </w:p>
        </w:tc>
        <w:tc>
          <w:tcPr>
            <w:tcW w:w="1100" w:type="dxa"/>
            <w:tcBorders>
              <w:top w:val="nil"/>
              <w:left w:val="nil"/>
              <w:bottom w:val="nil"/>
              <w:right w:val="nil"/>
            </w:tcBorders>
            <w:shd w:val="clear" w:color="auto" w:fill="auto"/>
            <w:noWrap/>
            <w:vAlign w:val="bottom"/>
            <w:hideMark/>
          </w:tcPr>
          <w:p w14:paraId="71A3DE17" w14:textId="77777777" w:rsidR="00BE6461" w:rsidRPr="00BE6461" w:rsidRDefault="00BE6461" w:rsidP="00BE6461">
            <w:pPr>
              <w:jc w:val="right"/>
              <w:rPr>
                <w:sz w:val="20"/>
                <w:szCs w:val="20"/>
              </w:rPr>
            </w:pPr>
          </w:p>
        </w:tc>
      </w:tr>
      <w:tr w:rsidR="00BE6461" w:rsidRPr="00BE6461" w14:paraId="159EAAC0"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33A32538" w14:textId="77777777" w:rsidR="00BE6461" w:rsidRPr="00BE6461" w:rsidRDefault="00BE6461" w:rsidP="00BE6461">
            <w:pPr>
              <w:rPr>
                <w:b/>
                <w:bCs/>
                <w:sz w:val="20"/>
                <w:szCs w:val="20"/>
              </w:rPr>
            </w:pPr>
            <w:r w:rsidRPr="00BE6461">
              <w:rPr>
                <w:b/>
                <w:bCs/>
                <w:sz w:val="20"/>
                <w:szCs w:val="20"/>
              </w:rPr>
              <w:t>A100099</w:t>
            </w:r>
          </w:p>
        </w:tc>
        <w:tc>
          <w:tcPr>
            <w:tcW w:w="8457" w:type="dxa"/>
            <w:tcBorders>
              <w:top w:val="single" w:sz="4" w:space="0" w:color="auto"/>
              <w:left w:val="nil"/>
              <w:bottom w:val="single" w:sz="4" w:space="0" w:color="auto"/>
              <w:right w:val="nil"/>
            </w:tcBorders>
            <w:shd w:val="clear" w:color="auto" w:fill="auto"/>
            <w:vAlign w:val="bottom"/>
            <w:hideMark/>
          </w:tcPr>
          <w:p w14:paraId="14D7AE83" w14:textId="77777777" w:rsidR="00BE6461" w:rsidRPr="00BE6461" w:rsidRDefault="00BE6461" w:rsidP="00BE6461">
            <w:pPr>
              <w:rPr>
                <w:b/>
                <w:bCs/>
                <w:sz w:val="20"/>
                <w:szCs w:val="20"/>
              </w:rPr>
            </w:pPr>
            <w:r w:rsidRPr="00BE6461">
              <w:rPr>
                <w:b/>
                <w:bCs/>
                <w:sz w:val="20"/>
                <w:szCs w:val="20"/>
              </w:rPr>
              <w:t>Aktivnost: MJESNI ODBOR MARUŠIĆI</w:t>
            </w:r>
          </w:p>
        </w:tc>
        <w:tc>
          <w:tcPr>
            <w:tcW w:w="1503" w:type="dxa"/>
            <w:tcBorders>
              <w:top w:val="single" w:sz="4" w:space="0" w:color="auto"/>
              <w:left w:val="nil"/>
              <w:bottom w:val="single" w:sz="4" w:space="0" w:color="auto"/>
              <w:right w:val="nil"/>
            </w:tcBorders>
            <w:shd w:val="clear" w:color="auto" w:fill="auto"/>
            <w:noWrap/>
            <w:vAlign w:val="bottom"/>
            <w:hideMark/>
          </w:tcPr>
          <w:p w14:paraId="314E90E9" w14:textId="77777777" w:rsidR="00BE6461" w:rsidRPr="00BE6461" w:rsidRDefault="00BE6461" w:rsidP="00BE6461">
            <w:pPr>
              <w:jc w:val="right"/>
              <w:rPr>
                <w:b/>
                <w:bCs/>
                <w:sz w:val="20"/>
                <w:szCs w:val="20"/>
              </w:rPr>
            </w:pPr>
            <w:r w:rsidRPr="00BE6461">
              <w:rPr>
                <w:b/>
                <w:bCs/>
                <w:sz w:val="20"/>
                <w:szCs w:val="20"/>
              </w:rPr>
              <w:t>10.000,00</w:t>
            </w:r>
          </w:p>
        </w:tc>
        <w:tc>
          <w:tcPr>
            <w:tcW w:w="1500" w:type="dxa"/>
            <w:tcBorders>
              <w:top w:val="single" w:sz="4" w:space="0" w:color="auto"/>
              <w:left w:val="nil"/>
              <w:bottom w:val="single" w:sz="4" w:space="0" w:color="auto"/>
              <w:right w:val="nil"/>
            </w:tcBorders>
            <w:shd w:val="clear" w:color="auto" w:fill="auto"/>
            <w:noWrap/>
            <w:vAlign w:val="bottom"/>
            <w:hideMark/>
          </w:tcPr>
          <w:p w14:paraId="2E1A12C3" w14:textId="77777777" w:rsidR="00BE6461" w:rsidRPr="00BE6461" w:rsidRDefault="00BE6461" w:rsidP="00BE6461">
            <w:pPr>
              <w:jc w:val="right"/>
              <w:rPr>
                <w:b/>
                <w:bCs/>
                <w:sz w:val="20"/>
                <w:szCs w:val="20"/>
              </w:rPr>
            </w:pPr>
            <w:r w:rsidRPr="00BE6461">
              <w:rPr>
                <w:b/>
                <w:bCs/>
                <w:sz w:val="20"/>
                <w:szCs w:val="20"/>
              </w:rPr>
              <w:t>4.417,60</w:t>
            </w:r>
          </w:p>
        </w:tc>
        <w:tc>
          <w:tcPr>
            <w:tcW w:w="1100" w:type="dxa"/>
            <w:tcBorders>
              <w:top w:val="single" w:sz="4" w:space="0" w:color="auto"/>
              <w:left w:val="nil"/>
              <w:bottom w:val="single" w:sz="4" w:space="0" w:color="auto"/>
              <w:right w:val="nil"/>
            </w:tcBorders>
            <w:shd w:val="clear" w:color="auto" w:fill="auto"/>
            <w:noWrap/>
            <w:vAlign w:val="bottom"/>
            <w:hideMark/>
          </w:tcPr>
          <w:p w14:paraId="394E8DB2" w14:textId="77777777" w:rsidR="00BE6461" w:rsidRPr="00BE6461" w:rsidRDefault="00BE6461" w:rsidP="00BE6461">
            <w:pPr>
              <w:jc w:val="right"/>
              <w:rPr>
                <w:b/>
                <w:bCs/>
                <w:sz w:val="20"/>
                <w:szCs w:val="20"/>
              </w:rPr>
            </w:pPr>
            <w:r w:rsidRPr="00BE6461">
              <w:rPr>
                <w:b/>
                <w:bCs/>
                <w:sz w:val="20"/>
                <w:szCs w:val="20"/>
              </w:rPr>
              <w:t>44,18</w:t>
            </w:r>
          </w:p>
        </w:tc>
      </w:tr>
      <w:tr w:rsidR="00BE6461" w:rsidRPr="00BE6461" w14:paraId="0D700EA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3094D5D"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16E99273" w14:textId="77777777" w:rsidR="00BE6461" w:rsidRPr="00BE6461" w:rsidRDefault="00BE6461" w:rsidP="00BE6461">
            <w:pPr>
              <w:jc w:val="right"/>
              <w:rPr>
                <w:b/>
                <w:bCs/>
                <w:color w:val="333333"/>
                <w:sz w:val="20"/>
                <w:szCs w:val="20"/>
              </w:rPr>
            </w:pPr>
            <w:r w:rsidRPr="00BE6461">
              <w:rPr>
                <w:b/>
                <w:bCs/>
                <w:color w:val="333333"/>
                <w:sz w:val="20"/>
                <w:szCs w:val="20"/>
              </w:rPr>
              <w:t>10.000,00</w:t>
            </w:r>
          </w:p>
        </w:tc>
        <w:tc>
          <w:tcPr>
            <w:tcW w:w="1500" w:type="dxa"/>
            <w:tcBorders>
              <w:top w:val="nil"/>
              <w:left w:val="nil"/>
              <w:bottom w:val="nil"/>
              <w:right w:val="nil"/>
            </w:tcBorders>
            <w:shd w:val="clear" w:color="auto" w:fill="auto"/>
            <w:noWrap/>
            <w:vAlign w:val="bottom"/>
            <w:hideMark/>
          </w:tcPr>
          <w:p w14:paraId="19A3F8F5" w14:textId="77777777" w:rsidR="00BE6461" w:rsidRPr="00BE6461" w:rsidRDefault="00BE6461" w:rsidP="00BE6461">
            <w:pPr>
              <w:jc w:val="right"/>
              <w:rPr>
                <w:b/>
                <w:bCs/>
                <w:color w:val="333333"/>
                <w:sz w:val="20"/>
                <w:szCs w:val="20"/>
              </w:rPr>
            </w:pPr>
            <w:r w:rsidRPr="00BE6461">
              <w:rPr>
                <w:b/>
                <w:bCs/>
                <w:color w:val="333333"/>
                <w:sz w:val="20"/>
                <w:szCs w:val="20"/>
              </w:rPr>
              <w:t>4.417,60</w:t>
            </w:r>
          </w:p>
        </w:tc>
        <w:tc>
          <w:tcPr>
            <w:tcW w:w="1100" w:type="dxa"/>
            <w:tcBorders>
              <w:top w:val="nil"/>
              <w:left w:val="nil"/>
              <w:bottom w:val="nil"/>
              <w:right w:val="nil"/>
            </w:tcBorders>
            <w:shd w:val="clear" w:color="auto" w:fill="auto"/>
            <w:noWrap/>
            <w:vAlign w:val="bottom"/>
            <w:hideMark/>
          </w:tcPr>
          <w:p w14:paraId="42929BCE" w14:textId="77777777" w:rsidR="00BE6461" w:rsidRPr="00BE6461" w:rsidRDefault="00BE6461" w:rsidP="00BE6461">
            <w:pPr>
              <w:jc w:val="right"/>
              <w:rPr>
                <w:b/>
                <w:bCs/>
                <w:color w:val="333333"/>
                <w:sz w:val="20"/>
                <w:szCs w:val="20"/>
              </w:rPr>
            </w:pPr>
            <w:r w:rsidRPr="00BE6461">
              <w:rPr>
                <w:b/>
                <w:bCs/>
                <w:color w:val="333333"/>
                <w:sz w:val="20"/>
                <w:szCs w:val="20"/>
              </w:rPr>
              <w:t>44,18</w:t>
            </w:r>
          </w:p>
        </w:tc>
      </w:tr>
      <w:tr w:rsidR="00BE6461" w:rsidRPr="00BE6461" w14:paraId="05726A78"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EEE9D7F"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431CC48A" w14:textId="77777777" w:rsidR="00BE6461" w:rsidRPr="00BE6461" w:rsidRDefault="00BE6461" w:rsidP="00BE6461">
            <w:pPr>
              <w:jc w:val="right"/>
              <w:rPr>
                <w:b/>
                <w:bCs/>
                <w:color w:val="333333"/>
                <w:sz w:val="20"/>
                <w:szCs w:val="20"/>
              </w:rPr>
            </w:pPr>
            <w:r w:rsidRPr="00BE6461">
              <w:rPr>
                <w:b/>
                <w:bCs/>
                <w:color w:val="333333"/>
                <w:sz w:val="20"/>
                <w:szCs w:val="20"/>
              </w:rPr>
              <w:t>10.000,00</w:t>
            </w:r>
          </w:p>
        </w:tc>
        <w:tc>
          <w:tcPr>
            <w:tcW w:w="1500" w:type="dxa"/>
            <w:tcBorders>
              <w:top w:val="nil"/>
              <w:left w:val="nil"/>
              <w:bottom w:val="nil"/>
              <w:right w:val="nil"/>
            </w:tcBorders>
            <w:shd w:val="clear" w:color="auto" w:fill="auto"/>
            <w:noWrap/>
            <w:vAlign w:val="bottom"/>
            <w:hideMark/>
          </w:tcPr>
          <w:p w14:paraId="41ACACD6" w14:textId="77777777" w:rsidR="00BE6461" w:rsidRPr="00BE6461" w:rsidRDefault="00BE6461" w:rsidP="00BE6461">
            <w:pPr>
              <w:jc w:val="right"/>
              <w:rPr>
                <w:b/>
                <w:bCs/>
                <w:color w:val="333333"/>
                <w:sz w:val="20"/>
                <w:szCs w:val="20"/>
              </w:rPr>
            </w:pPr>
            <w:r w:rsidRPr="00BE6461">
              <w:rPr>
                <w:b/>
                <w:bCs/>
                <w:color w:val="333333"/>
                <w:sz w:val="20"/>
                <w:szCs w:val="20"/>
              </w:rPr>
              <w:t>4.417,60</w:t>
            </w:r>
          </w:p>
        </w:tc>
        <w:tc>
          <w:tcPr>
            <w:tcW w:w="1100" w:type="dxa"/>
            <w:tcBorders>
              <w:top w:val="nil"/>
              <w:left w:val="nil"/>
              <w:bottom w:val="nil"/>
              <w:right w:val="nil"/>
            </w:tcBorders>
            <w:shd w:val="clear" w:color="auto" w:fill="auto"/>
            <w:noWrap/>
            <w:vAlign w:val="bottom"/>
            <w:hideMark/>
          </w:tcPr>
          <w:p w14:paraId="186F6B41" w14:textId="77777777" w:rsidR="00BE6461" w:rsidRPr="00BE6461" w:rsidRDefault="00BE6461" w:rsidP="00BE6461">
            <w:pPr>
              <w:jc w:val="right"/>
              <w:rPr>
                <w:b/>
                <w:bCs/>
                <w:color w:val="333333"/>
                <w:sz w:val="20"/>
                <w:szCs w:val="20"/>
              </w:rPr>
            </w:pPr>
            <w:r w:rsidRPr="00BE6461">
              <w:rPr>
                <w:b/>
                <w:bCs/>
                <w:color w:val="333333"/>
                <w:sz w:val="20"/>
                <w:szCs w:val="20"/>
              </w:rPr>
              <w:t>44,18</w:t>
            </w:r>
          </w:p>
        </w:tc>
      </w:tr>
      <w:tr w:rsidR="00BE6461" w:rsidRPr="00BE6461" w14:paraId="418AC0DC" w14:textId="77777777" w:rsidTr="00BE6461">
        <w:trPr>
          <w:trHeight w:val="300"/>
        </w:trPr>
        <w:tc>
          <w:tcPr>
            <w:tcW w:w="1703" w:type="dxa"/>
            <w:tcBorders>
              <w:top w:val="nil"/>
              <w:left w:val="nil"/>
              <w:bottom w:val="nil"/>
              <w:right w:val="nil"/>
            </w:tcBorders>
            <w:shd w:val="clear" w:color="auto" w:fill="auto"/>
            <w:noWrap/>
            <w:vAlign w:val="bottom"/>
            <w:hideMark/>
          </w:tcPr>
          <w:p w14:paraId="116B2682"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56B10372"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5FDE0B6C" w14:textId="77777777" w:rsidR="00BE6461" w:rsidRPr="00BE6461" w:rsidRDefault="00BE6461" w:rsidP="00BE6461">
            <w:pPr>
              <w:jc w:val="right"/>
              <w:rPr>
                <w:b/>
                <w:bCs/>
                <w:sz w:val="20"/>
                <w:szCs w:val="20"/>
              </w:rPr>
            </w:pPr>
            <w:r w:rsidRPr="00BE6461">
              <w:rPr>
                <w:b/>
                <w:bCs/>
                <w:sz w:val="20"/>
                <w:szCs w:val="20"/>
              </w:rPr>
              <w:t>10.000,00</w:t>
            </w:r>
          </w:p>
        </w:tc>
        <w:tc>
          <w:tcPr>
            <w:tcW w:w="1500" w:type="dxa"/>
            <w:tcBorders>
              <w:top w:val="nil"/>
              <w:left w:val="nil"/>
              <w:bottom w:val="nil"/>
              <w:right w:val="nil"/>
            </w:tcBorders>
            <w:shd w:val="clear" w:color="auto" w:fill="auto"/>
            <w:noWrap/>
            <w:vAlign w:val="bottom"/>
            <w:hideMark/>
          </w:tcPr>
          <w:p w14:paraId="6469145C" w14:textId="77777777" w:rsidR="00BE6461" w:rsidRPr="00BE6461" w:rsidRDefault="00BE6461" w:rsidP="00BE6461">
            <w:pPr>
              <w:jc w:val="right"/>
              <w:rPr>
                <w:b/>
                <w:bCs/>
                <w:sz w:val="20"/>
                <w:szCs w:val="20"/>
              </w:rPr>
            </w:pPr>
            <w:r w:rsidRPr="00BE6461">
              <w:rPr>
                <w:b/>
                <w:bCs/>
                <w:sz w:val="20"/>
                <w:szCs w:val="20"/>
              </w:rPr>
              <w:t>4.417,60</w:t>
            </w:r>
          </w:p>
        </w:tc>
        <w:tc>
          <w:tcPr>
            <w:tcW w:w="1100" w:type="dxa"/>
            <w:tcBorders>
              <w:top w:val="nil"/>
              <w:left w:val="nil"/>
              <w:bottom w:val="nil"/>
              <w:right w:val="nil"/>
            </w:tcBorders>
            <w:shd w:val="clear" w:color="auto" w:fill="auto"/>
            <w:noWrap/>
            <w:vAlign w:val="bottom"/>
            <w:hideMark/>
          </w:tcPr>
          <w:p w14:paraId="2E3EFD5E" w14:textId="77777777" w:rsidR="00BE6461" w:rsidRPr="00BE6461" w:rsidRDefault="00BE6461" w:rsidP="00BE6461">
            <w:pPr>
              <w:jc w:val="right"/>
              <w:rPr>
                <w:b/>
                <w:bCs/>
                <w:sz w:val="20"/>
                <w:szCs w:val="20"/>
              </w:rPr>
            </w:pPr>
            <w:r w:rsidRPr="00BE6461">
              <w:rPr>
                <w:b/>
                <w:bCs/>
                <w:sz w:val="20"/>
                <w:szCs w:val="20"/>
              </w:rPr>
              <w:t>44,18</w:t>
            </w:r>
          </w:p>
        </w:tc>
      </w:tr>
      <w:tr w:rsidR="00BE6461" w:rsidRPr="00BE6461" w14:paraId="16BE7D8B" w14:textId="77777777" w:rsidTr="00BE6461">
        <w:trPr>
          <w:trHeight w:val="300"/>
        </w:trPr>
        <w:tc>
          <w:tcPr>
            <w:tcW w:w="1703" w:type="dxa"/>
            <w:tcBorders>
              <w:top w:val="nil"/>
              <w:left w:val="nil"/>
              <w:bottom w:val="nil"/>
              <w:right w:val="nil"/>
            </w:tcBorders>
            <w:shd w:val="clear" w:color="auto" w:fill="auto"/>
            <w:noWrap/>
            <w:vAlign w:val="bottom"/>
            <w:hideMark/>
          </w:tcPr>
          <w:p w14:paraId="03159D3B" w14:textId="77777777" w:rsidR="00BE6461" w:rsidRPr="00BE6461" w:rsidRDefault="00BE6461" w:rsidP="00BE6461">
            <w:pPr>
              <w:rPr>
                <w:sz w:val="20"/>
                <w:szCs w:val="20"/>
              </w:rPr>
            </w:pPr>
            <w:r w:rsidRPr="00BE6461">
              <w:rPr>
                <w:sz w:val="20"/>
                <w:szCs w:val="20"/>
              </w:rPr>
              <w:t>3293</w:t>
            </w:r>
          </w:p>
        </w:tc>
        <w:tc>
          <w:tcPr>
            <w:tcW w:w="8457" w:type="dxa"/>
            <w:tcBorders>
              <w:top w:val="nil"/>
              <w:left w:val="nil"/>
              <w:bottom w:val="nil"/>
              <w:right w:val="nil"/>
            </w:tcBorders>
            <w:shd w:val="clear" w:color="auto" w:fill="auto"/>
            <w:vAlign w:val="bottom"/>
            <w:hideMark/>
          </w:tcPr>
          <w:p w14:paraId="6F3D83B9" w14:textId="77777777" w:rsidR="00BE6461" w:rsidRPr="00BE6461" w:rsidRDefault="00BE6461" w:rsidP="00BE6461">
            <w:pPr>
              <w:rPr>
                <w:sz w:val="20"/>
                <w:szCs w:val="20"/>
              </w:rPr>
            </w:pPr>
            <w:r w:rsidRPr="00BE6461">
              <w:rPr>
                <w:sz w:val="20"/>
                <w:szCs w:val="20"/>
              </w:rPr>
              <w:t xml:space="preserve">Reprezentacija                                                                                      </w:t>
            </w:r>
          </w:p>
        </w:tc>
        <w:tc>
          <w:tcPr>
            <w:tcW w:w="1503" w:type="dxa"/>
            <w:tcBorders>
              <w:top w:val="nil"/>
              <w:left w:val="nil"/>
              <w:bottom w:val="nil"/>
              <w:right w:val="nil"/>
            </w:tcBorders>
            <w:shd w:val="clear" w:color="auto" w:fill="auto"/>
            <w:noWrap/>
            <w:vAlign w:val="bottom"/>
            <w:hideMark/>
          </w:tcPr>
          <w:p w14:paraId="25F33F4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FCE7282" w14:textId="77777777" w:rsidR="00BE6461" w:rsidRPr="00BE6461" w:rsidRDefault="00BE6461" w:rsidP="00BE6461">
            <w:pPr>
              <w:jc w:val="right"/>
              <w:rPr>
                <w:sz w:val="20"/>
                <w:szCs w:val="20"/>
              </w:rPr>
            </w:pPr>
            <w:r w:rsidRPr="00BE6461">
              <w:rPr>
                <w:sz w:val="20"/>
                <w:szCs w:val="20"/>
              </w:rPr>
              <w:t>4.417,60</w:t>
            </w:r>
          </w:p>
        </w:tc>
        <w:tc>
          <w:tcPr>
            <w:tcW w:w="1100" w:type="dxa"/>
            <w:tcBorders>
              <w:top w:val="nil"/>
              <w:left w:val="nil"/>
              <w:bottom w:val="nil"/>
              <w:right w:val="nil"/>
            </w:tcBorders>
            <w:shd w:val="clear" w:color="auto" w:fill="auto"/>
            <w:noWrap/>
            <w:vAlign w:val="bottom"/>
            <w:hideMark/>
          </w:tcPr>
          <w:p w14:paraId="2E0BD386" w14:textId="77777777" w:rsidR="00BE6461" w:rsidRPr="00BE6461" w:rsidRDefault="00BE6461" w:rsidP="00BE6461">
            <w:pPr>
              <w:jc w:val="right"/>
              <w:rPr>
                <w:sz w:val="20"/>
                <w:szCs w:val="20"/>
              </w:rPr>
            </w:pPr>
          </w:p>
        </w:tc>
      </w:tr>
      <w:tr w:rsidR="00BE6461" w:rsidRPr="00BE6461" w14:paraId="0E1480D0"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24E30A60" w14:textId="77777777" w:rsidR="00BE6461" w:rsidRPr="00BE6461" w:rsidRDefault="00BE6461" w:rsidP="00BE6461">
            <w:pPr>
              <w:rPr>
                <w:b/>
                <w:bCs/>
                <w:sz w:val="20"/>
                <w:szCs w:val="20"/>
              </w:rPr>
            </w:pPr>
            <w:r w:rsidRPr="00BE6461">
              <w:rPr>
                <w:b/>
                <w:bCs/>
                <w:sz w:val="20"/>
                <w:szCs w:val="20"/>
              </w:rPr>
              <w:t>A100100</w:t>
            </w:r>
          </w:p>
        </w:tc>
        <w:tc>
          <w:tcPr>
            <w:tcW w:w="8457" w:type="dxa"/>
            <w:tcBorders>
              <w:top w:val="single" w:sz="4" w:space="0" w:color="auto"/>
              <w:left w:val="nil"/>
              <w:bottom w:val="single" w:sz="4" w:space="0" w:color="auto"/>
              <w:right w:val="nil"/>
            </w:tcBorders>
            <w:shd w:val="clear" w:color="auto" w:fill="auto"/>
            <w:vAlign w:val="bottom"/>
            <w:hideMark/>
          </w:tcPr>
          <w:p w14:paraId="3511C64A" w14:textId="77777777" w:rsidR="00BE6461" w:rsidRPr="00BE6461" w:rsidRDefault="00BE6461" w:rsidP="00BE6461">
            <w:pPr>
              <w:rPr>
                <w:b/>
                <w:bCs/>
                <w:sz w:val="20"/>
                <w:szCs w:val="20"/>
              </w:rPr>
            </w:pPr>
            <w:r w:rsidRPr="00BE6461">
              <w:rPr>
                <w:b/>
                <w:bCs/>
                <w:sz w:val="20"/>
                <w:szCs w:val="20"/>
              </w:rPr>
              <w:t>Aktivnost: MJESNI ODBOR MOMJAN</w:t>
            </w:r>
          </w:p>
        </w:tc>
        <w:tc>
          <w:tcPr>
            <w:tcW w:w="1503" w:type="dxa"/>
            <w:tcBorders>
              <w:top w:val="single" w:sz="4" w:space="0" w:color="auto"/>
              <w:left w:val="nil"/>
              <w:bottom w:val="single" w:sz="4" w:space="0" w:color="auto"/>
              <w:right w:val="nil"/>
            </w:tcBorders>
            <w:shd w:val="clear" w:color="auto" w:fill="auto"/>
            <w:noWrap/>
            <w:vAlign w:val="bottom"/>
            <w:hideMark/>
          </w:tcPr>
          <w:p w14:paraId="05F0CE51" w14:textId="77777777" w:rsidR="00BE6461" w:rsidRPr="00BE6461" w:rsidRDefault="00BE6461" w:rsidP="00BE6461">
            <w:pPr>
              <w:jc w:val="right"/>
              <w:rPr>
                <w:b/>
                <w:bCs/>
                <w:sz w:val="20"/>
                <w:szCs w:val="20"/>
              </w:rPr>
            </w:pPr>
            <w:r w:rsidRPr="00BE6461">
              <w:rPr>
                <w:b/>
                <w:bCs/>
                <w:sz w:val="20"/>
                <w:szCs w:val="20"/>
              </w:rPr>
              <w:t>10.000,00</w:t>
            </w:r>
          </w:p>
        </w:tc>
        <w:tc>
          <w:tcPr>
            <w:tcW w:w="1500" w:type="dxa"/>
            <w:tcBorders>
              <w:top w:val="single" w:sz="4" w:space="0" w:color="auto"/>
              <w:left w:val="nil"/>
              <w:bottom w:val="single" w:sz="4" w:space="0" w:color="auto"/>
              <w:right w:val="nil"/>
            </w:tcBorders>
            <w:shd w:val="clear" w:color="auto" w:fill="auto"/>
            <w:noWrap/>
            <w:vAlign w:val="bottom"/>
            <w:hideMark/>
          </w:tcPr>
          <w:p w14:paraId="0227AD35" w14:textId="77777777" w:rsidR="00BE6461" w:rsidRPr="00BE6461" w:rsidRDefault="00BE6461" w:rsidP="00BE6461">
            <w:pPr>
              <w:jc w:val="right"/>
              <w:rPr>
                <w:b/>
                <w:bCs/>
                <w:sz w:val="20"/>
                <w:szCs w:val="20"/>
              </w:rPr>
            </w:pPr>
            <w:r w:rsidRPr="00BE6461">
              <w:rPr>
                <w:b/>
                <w:bCs/>
                <w:sz w:val="20"/>
                <w:szCs w:val="20"/>
              </w:rPr>
              <w:t>9.881,06</w:t>
            </w:r>
          </w:p>
        </w:tc>
        <w:tc>
          <w:tcPr>
            <w:tcW w:w="1100" w:type="dxa"/>
            <w:tcBorders>
              <w:top w:val="single" w:sz="4" w:space="0" w:color="auto"/>
              <w:left w:val="nil"/>
              <w:bottom w:val="single" w:sz="4" w:space="0" w:color="auto"/>
              <w:right w:val="nil"/>
            </w:tcBorders>
            <w:shd w:val="clear" w:color="auto" w:fill="auto"/>
            <w:noWrap/>
            <w:vAlign w:val="bottom"/>
            <w:hideMark/>
          </w:tcPr>
          <w:p w14:paraId="472C6B13" w14:textId="77777777" w:rsidR="00BE6461" w:rsidRPr="00BE6461" w:rsidRDefault="00BE6461" w:rsidP="00BE6461">
            <w:pPr>
              <w:jc w:val="right"/>
              <w:rPr>
                <w:b/>
                <w:bCs/>
                <w:sz w:val="20"/>
                <w:szCs w:val="20"/>
              </w:rPr>
            </w:pPr>
            <w:r w:rsidRPr="00BE6461">
              <w:rPr>
                <w:b/>
                <w:bCs/>
                <w:sz w:val="20"/>
                <w:szCs w:val="20"/>
              </w:rPr>
              <w:t>98,81</w:t>
            </w:r>
          </w:p>
        </w:tc>
      </w:tr>
      <w:tr w:rsidR="00BE6461" w:rsidRPr="00BE6461" w14:paraId="572D9F54"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39E6BED"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2F9F3E10" w14:textId="77777777" w:rsidR="00BE6461" w:rsidRPr="00BE6461" w:rsidRDefault="00BE6461" w:rsidP="00BE6461">
            <w:pPr>
              <w:jc w:val="right"/>
              <w:rPr>
                <w:b/>
                <w:bCs/>
                <w:color w:val="333333"/>
                <w:sz w:val="20"/>
                <w:szCs w:val="20"/>
              </w:rPr>
            </w:pPr>
            <w:r w:rsidRPr="00BE6461">
              <w:rPr>
                <w:b/>
                <w:bCs/>
                <w:color w:val="333333"/>
                <w:sz w:val="20"/>
                <w:szCs w:val="20"/>
              </w:rPr>
              <w:t>10.000,00</w:t>
            </w:r>
          </w:p>
        </w:tc>
        <w:tc>
          <w:tcPr>
            <w:tcW w:w="1500" w:type="dxa"/>
            <w:tcBorders>
              <w:top w:val="nil"/>
              <w:left w:val="nil"/>
              <w:bottom w:val="nil"/>
              <w:right w:val="nil"/>
            </w:tcBorders>
            <w:shd w:val="clear" w:color="auto" w:fill="auto"/>
            <w:noWrap/>
            <w:vAlign w:val="bottom"/>
            <w:hideMark/>
          </w:tcPr>
          <w:p w14:paraId="0B1CB2EC" w14:textId="77777777" w:rsidR="00BE6461" w:rsidRPr="00BE6461" w:rsidRDefault="00BE6461" w:rsidP="00BE6461">
            <w:pPr>
              <w:jc w:val="right"/>
              <w:rPr>
                <w:b/>
                <w:bCs/>
                <w:color w:val="333333"/>
                <w:sz w:val="20"/>
                <w:szCs w:val="20"/>
              </w:rPr>
            </w:pPr>
            <w:r w:rsidRPr="00BE6461">
              <w:rPr>
                <w:b/>
                <w:bCs/>
                <w:color w:val="333333"/>
                <w:sz w:val="20"/>
                <w:szCs w:val="20"/>
              </w:rPr>
              <w:t>9.881,06</w:t>
            </w:r>
          </w:p>
        </w:tc>
        <w:tc>
          <w:tcPr>
            <w:tcW w:w="1100" w:type="dxa"/>
            <w:tcBorders>
              <w:top w:val="nil"/>
              <w:left w:val="nil"/>
              <w:bottom w:val="nil"/>
              <w:right w:val="nil"/>
            </w:tcBorders>
            <w:shd w:val="clear" w:color="auto" w:fill="auto"/>
            <w:noWrap/>
            <w:vAlign w:val="bottom"/>
            <w:hideMark/>
          </w:tcPr>
          <w:p w14:paraId="6708C9AB" w14:textId="77777777" w:rsidR="00BE6461" w:rsidRPr="00BE6461" w:rsidRDefault="00BE6461" w:rsidP="00BE6461">
            <w:pPr>
              <w:jc w:val="right"/>
              <w:rPr>
                <w:b/>
                <w:bCs/>
                <w:color w:val="333333"/>
                <w:sz w:val="20"/>
                <w:szCs w:val="20"/>
              </w:rPr>
            </w:pPr>
            <w:r w:rsidRPr="00BE6461">
              <w:rPr>
                <w:b/>
                <w:bCs/>
                <w:color w:val="333333"/>
                <w:sz w:val="20"/>
                <w:szCs w:val="20"/>
              </w:rPr>
              <w:t>98,81</w:t>
            </w:r>
          </w:p>
        </w:tc>
      </w:tr>
      <w:tr w:rsidR="00BE6461" w:rsidRPr="00BE6461" w14:paraId="697C0E54"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C463D2C"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7DA58AC9" w14:textId="77777777" w:rsidR="00BE6461" w:rsidRPr="00BE6461" w:rsidRDefault="00BE6461" w:rsidP="00BE6461">
            <w:pPr>
              <w:jc w:val="right"/>
              <w:rPr>
                <w:b/>
                <w:bCs/>
                <w:color w:val="333333"/>
                <w:sz w:val="20"/>
                <w:szCs w:val="20"/>
              </w:rPr>
            </w:pPr>
            <w:r w:rsidRPr="00BE6461">
              <w:rPr>
                <w:b/>
                <w:bCs/>
                <w:color w:val="333333"/>
                <w:sz w:val="20"/>
                <w:szCs w:val="20"/>
              </w:rPr>
              <w:t>10.000,00</w:t>
            </w:r>
          </w:p>
        </w:tc>
        <w:tc>
          <w:tcPr>
            <w:tcW w:w="1500" w:type="dxa"/>
            <w:tcBorders>
              <w:top w:val="nil"/>
              <w:left w:val="nil"/>
              <w:bottom w:val="nil"/>
              <w:right w:val="nil"/>
            </w:tcBorders>
            <w:shd w:val="clear" w:color="auto" w:fill="auto"/>
            <w:noWrap/>
            <w:vAlign w:val="bottom"/>
            <w:hideMark/>
          </w:tcPr>
          <w:p w14:paraId="52CA3E00" w14:textId="77777777" w:rsidR="00BE6461" w:rsidRPr="00BE6461" w:rsidRDefault="00BE6461" w:rsidP="00BE6461">
            <w:pPr>
              <w:jc w:val="right"/>
              <w:rPr>
                <w:b/>
                <w:bCs/>
                <w:color w:val="333333"/>
                <w:sz w:val="20"/>
                <w:szCs w:val="20"/>
              </w:rPr>
            </w:pPr>
            <w:r w:rsidRPr="00BE6461">
              <w:rPr>
                <w:b/>
                <w:bCs/>
                <w:color w:val="333333"/>
                <w:sz w:val="20"/>
                <w:szCs w:val="20"/>
              </w:rPr>
              <w:t>9.881,06</w:t>
            </w:r>
          </w:p>
        </w:tc>
        <w:tc>
          <w:tcPr>
            <w:tcW w:w="1100" w:type="dxa"/>
            <w:tcBorders>
              <w:top w:val="nil"/>
              <w:left w:val="nil"/>
              <w:bottom w:val="nil"/>
              <w:right w:val="nil"/>
            </w:tcBorders>
            <w:shd w:val="clear" w:color="auto" w:fill="auto"/>
            <w:noWrap/>
            <w:vAlign w:val="bottom"/>
            <w:hideMark/>
          </w:tcPr>
          <w:p w14:paraId="33B95EF1" w14:textId="77777777" w:rsidR="00BE6461" w:rsidRPr="00BE6461" w:rsidRDefault="00BE6461" w:rsidP="00BE6461">
            <w:pPr>
              <w:jc w:val="right"/>
              <w:rPr>
                <w:b/>
                <w:bCs/>
                <w:color w:val="333333"/>
                <w:sz w:val="20"/>
                <w:szCs w:val="20"/>
              </w:rPr>
            </w:pPr>
            <w:r w:rsidRPr="00BE6461">
              <w:rPr>
                <w:b/>
                <w:bCs/>
                <w:color w:val="333333"/>
                <w:sz w:val="20"/>
                <w:szCs w:val="20"/>
              </w:rPr>
              <w:t>98,81</w:t>
            </w:r>
          </w:p>
        </w:tc>
      </w:tr>
      <w:tr w:rsidR="00BE6461" w:rsidRPr="00BE6461" w14:paraId="227C47F8" w14:textId="77777777" w:rsidTr="00BE6461">
        <w:trPr>
          <w:trHeight w:val="300"/>
        </w:trPr>
        <w:tc>
          <w:tcPr>
            <w:tcW w:w="1703" w:type="dxa"/>
            <w:tcBorders>
              <w:top w:val="nil"/>
              <w:left w:val="nil"/>
              <w:bottom w:val="nil"/>
              <w:right w:val="nil"/>
            </w:tcBorders>
            <w:shd w:val="clear" w:color="auto" w:fill="auto"/>
            <w:noWrap/>
            <w:vAlign w:val="bottom"/>
            <w:hideMark/>
          </w:tcPr>
          <w:p w14:paraId="573E90FE"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164D505E"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2F10F5CC" w14:textId="77777777" w:rsidR="00BE6461" w:rsidRPr="00BE6461" w:rsidRDefault="00BE6461" w:rsidP="00BE6461">
            <w:pPr>
              <w:jc w:val="right"/>
              <w:rPr>
                <w:b/>
                <w:bCs/>
                <w:sz w:val="20"/>
                <w:szCs w:val="20"/>
              </w:rPr>
            </w:pPr>
            <w:r w:rsidRPr="00BE6461">
              <w:rPr>
                <w:b/>
                <w:bCs/>
                <w:sz w:val="20"/>
                <w:szCs w:val="20"/>
              </w:rPr>
              <w:t>0,00</w:t>
            </w:r>
          </w:p>
        </w:tc>
        <w:tc>
          <w:tcPr>
            <w:tcW w:w="1500" w:type="dxa"/>
            <w:tcBorders>
              <w:top w:val="nil"/>
              <w:left w:val="nil"/>
              <w:bottom w:val="nil"/>
              <w:right w:val="nil"/>
            </w:tcBorders>
            <w:shd w:val="clear" w:color="auto" w:fill="auto"/>
            <w:noWrap/>
            <w:vAlign w:val="bottom"/>
            <w:hideMark/>
          </w:tcPr>
          <w:p w14:paraId="38B2702C" w14:textId="77777777" w:rsidR="00BE6461" w:rsidRPr="00BE6461" w:rsidRDefault="00BE6461" w:rsidP="00BE6461">
            <w:pPr>
              <w:jc w:val="right"/>
              <w:rPr>
                <w:b/>
                <w:bCs/>
                <w:sz w:val="20"/>
                <w:szCs w:val="20"/>
              </w:rPr>
            </w:pPr>
            <w:r w:rsidRPr="00BE6461">
              <w:rPr>
                <w:b/>
                <w:bCs/>
                <w:sz w:val="20"/>
                <w:szCs w:val="20"/>
              </w:rPr>
              <w:t>7.731,06</w:t>
            </w:r>
          </w:p>
        </w:tc>
        <w:tc>
          <w:tcPr>
            <w:tcW w:w="1100" w:type="dxa"/>
            <w:tcBorders>
              <w:top w:val="nil"/>
              <w:left w:val="nil"/>
              <w:bottom w:val="nil"/>
              <w:right w:val="nil"/>
            </w:tcBorders>
            <w:shd w:val="clear" w:color="auto" w:fill="auto"/>
            <w:noWrap/>
            <w:vAlign w:val="bottom"/>
            <w:hideMark/>
          </w:tcPr>
          <w:p w14:paraId="30861264"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0743EA8F" w14:textId="77777777" w:rsidTr="00BE6461">
        <w:trPr>
          <w:trHeight w:val="300"/>
        </w:trPr>
        <w:tc>
          <w:tcPr>
            <w:tcW w:w="1703" w:type="dxa"/>
            <w:tcBorders>
              <w:top w:val="nil"/>
              <w:left w:val="nil"/>
              <w:bottom w:val="nil"/>
              <w:right w:val="nil"/>
            </w:tcBorders>
            <w:shd w:val="clear" w:color="auto" w:fill="auto"/>
            <w:noWrap/>
            <w:vAlign w:val="bottom"/>
            <w:hideMark/>
          </w:tcPr>
          <w:p w14:paraId="14E1AD11"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30B932F4"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4BE482F2"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880629F" w14:textId="77777777" w:rsidR="00BE6461" w:rsidRPr="00BE6461" w:rsidRDefault="00BE6461" w:rsidP="00BE6461">
            <w:pPr>
              <w:jc w:val="right"/>
              <w:rPr>
                <w:sz w:val="20"/>
                <w:szCs w:val="20"/>
              </w:rPr>
            </w:pPr>
            <w:r w:rsidRPr="00BE6461">
              <w:rPr>
                <w:sz w:val="20"/>
                <w:szCs w:val="20"/>
              </w:rPr>
              <w:t>7.731,06</w:t>
            </w:r>
          </w:p>
        </w:tc>
        <w:tc>
          <w:tcPr>
            <w:tcW w:w="1100" w:type="dxa"/>
            <w:tcBorders>
              <w:top w:val="nil"/>
              <w:left w:val="nil"/>
              <w:bottom w:val="nil"/>
              <w:right w:val="nil"/>
            </w:tcBorders>
            <w:shd w:val="clear" w:color="auto" w:fill="auto"/>
            <w:noWrap/>
            <w:vAlign w:val="bottom"/>
            <w:hideMark/>
          </w:tcPr>
          <w:p w14:paraId="10542609" w14:textId="77777777" w:rsidR="00BE6461" w:rsidRPr="00BE6461" w:rsidRDefault="00BE6461" w:rsidP="00BE6461">
            <w:pPr>
              <w:jc w:val="right"/>
              <w:rPr>
                <w:sz w:val="20"/>
                <w:szCs w:val="20"/>
              </w:rPr>
            </w:pPr>
          </w:p>
        </w:tc>
      </w:tr>
      <w:tr w:rsidR="00BE6461" w:rsidRPr="00BE6461" w14:paraId="3CCD3F53" w14:textId="77777777" w:rsidTr="00BE6461">
        <w:trPr>
          <w:trHeight w:val="300"/>
        </w:trPr>
        <w:tc>
          <w:tcPr>
            <w:tcW w:w="1703" w:type="dxa"/>
            <w:tcBorders>
              <w:top w:val="nil"/>
              <w:left w:val="nil"/>
              <w:bottom w:val="nil"/>
              <w:right w:val="nil"/>
            </w:tcBorders>
            <w:shd w:val="clear" w:color="auto" w:fill="auto"/>
            <w:noWrap/>
            <w:vAlign w:val="bottom"/>
            <w:hideMark/>
          </w:tcPr>
          <w:p w14:paraId="538A27C5"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762496C4"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74B8D41D" w14:textId="77777777" w:rsidR="00BE6461" w:rsidRPr="00BE6461" w:rsidRDefault="00BE6461" w:rsidP="00BE6461">
            <w:pPr>
              <w:jc w:val="right"/>
              <w:rPr>
                <w:b/>
                <w:bCs/>
                <w:sz w:val="20"/>
                <w:szCs w:val="20"/>
              </w:rPr>
            </w:pPr>
            <w:r w:rsidRPr="00BE6461">
              <w:rPr>
                <w:b/>
                <w:bCs/>
                <w:sz w:val="20"/>
                <w:szCs w:val="20"/>
              </w:rPr>
              <w:t>10.000,00</w:t>
            </w:r>
          </w:p>
        </w:tc>
        <w:tc>
          <w:tcPr>
            <w:tcW w:w="1500" w:type="dxa"/>
            <w:tcBorders>
              <w:top w:val="nil"/>
              <w:left w:val="nil"/>
              <w:bottom w:val="nil"/>
              <w:right w:val="nil"/>
            </w:tcBorders>
            <w:shd w:val="clear" w:color="auto" w:fill="auto"/>
            <w:noWrap/>
            <w:vAlign w:val="bottom"/>
            <w:hideMark/>
          </w:tcPr>
          <w:p w14:paraId="71AE4090" w14:textId="77777777" w:rsidR="00BE6461" w:rsidRPr="00BE6461" w:rsidRDefault="00BE6461" w:rsidP="00BE6461">
            <w:pPr>
              <w:jc w:val="right"/>
              <w:rPr>
                <w:b/>
                <w:bCs/>
                <w:sz w:val="20"/>
                <w:szCs w:val="20"/>
              </w:rPr>
            </w:pPr>
            <w:r w:rsidRPr="00BE6461">
              <w:rPr>
                <w:b/>
                <w:bCs/>
                <w:sz w:val="20"/>
                <w:szCs w:val="20"/>
              </w:rPr>
              <w:t>2.150,00</w:t>
            </w:r>
          </w:p>
        </w:tc>
        <w:tc>
          <w:tcPr>
            <w:tcW w:w="1100" w:type="dxa"/>
            <w:tcBorders>
              <w:top w:val="nil"/>
              <w:left w:val="nil"/>
              <w:bottom w:val="nil"/>
              <w:right w:val="nil"/>
            </w:tcBorders>
            <w:shd w:val="clear" w:color="auto" w:fill="auto"/>
            <w:noWrap/>
            <w:vAlign w:val="bottom"/>
            <w:hideMark/>
          </w:tcPr>
          <w:p w14:paraId="44EFC109" w14:textId="77777777" w:rsidR="00BE6461" w:rsidRPr="00BE6461" w:rsidRDefault="00BE6461" w:rsidP="00BE6461">
            <w:pPr>
              <w:jc w:val="right"/>
              <w:rPr>
                <w:b/>
                <w:bCs/>
                <w:sz w:val="20"/>
                <w:szCs w:val="20"/>
              </w:rPr>
            </w:pPr>
            <w:r w:rsidRPr="00BE6461">
              <w:rPr>
                <w:b/>
                <w:bCs/>
                <w:sz w:val="20"/>
                <w:szCs w:val="20"/>
              </w:rPr>
              <w:t>21,50</w:t>
            </w:r>
          </w:p>
        </w:tc>
      </w:tr>
      <w:tr w:rsidR="00BE6461" w:rsidRPr="00BE6461" w14:paraId="295A7862" w14:textId="77777777" w:rsidTr="00BE6461">
        <w:trPr>
          <w:trHeight w:val="300"/>
        </w:trPr>
        <w:tc>
          <w:tcPr>
            <w:tcW w:w="1703" w:type="dxa"/>
            <w:tcBorders>
              <w:top w:val="nil"/>
              <w:left w:val="nil"/>
              <w:bottom w:val="nil"/>
              <w:right w:val="nil"/>
            </w:tcBorders>
            <w:shd w:val="clear" w:color="auto" w:fill="auto"/>
            <w:noWrap/>
            <w:vAlign w:val="bottom"/>
            <w:hideMark/>
          </w:tcPr>
          <w:p w14:paraId="290330D0" w14:textId="77777777" w:rsidR="00BE6461" w:rsidRPr="00BE6461" w:rsidRDefault="00BE6461" w:rsidP="00BE6461">
            <w:pPr>
              <w:rPr>
                <w:sz w:val="20"/>
                <w:szCs w:val="20"/>
              </w:rPr>
            </w:pPr>
            <w:r w:rsidRPr="00BE6461">
              <w:rPr>
                <w:sz w:val="20"/>
                <w:szCs w:val="20"/>
              </w:rPr>
              <w:t>3299</w:t>
            </w:r>
          </w:p>
        </w:tc>
        <w:tc>
          <w:tcPr>
            <w:tcW w:w="8457" w:type="dxa"/>
            <w:tcBorders>
              <w:top w:val="nil"/>
              <w:left w:val="nil"/>
              <w:bottom w:val="nil"/>
              <w:right w:val="nil"/>
            </w:tcBorders>
            <w:shd w:val="clear" w:color="auto" w:fill="auto"/>
            <w:vAlign w:val="bottom"/>
            <w:hideMark/>
          </w:tcPr>
          <w:p w14:paraId="7A747759" w14:textId="77777777" w:rsidR="00BE6461" w:rsidRPr="00BE6461" w:rsidRDefault="00BE6461" w:rsidP="00BE6461">
            <w:pPr>
              <w:rPr>
                <w:sz w:val="20"/>
                <w:szCs w:val="20"/>
              </w:rPr>
            </w:pPr>
            <w:r w:rsidRPr="00BE6461">
              <w:rPr>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61137EB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3F186E7" w14:textId="77777777" w:rsidR="00BE6461" w:rsidRPr="00BE6461" w:rsidRDefault="00BE6461" w:rsidP="00BE6461">
            <w:pPr>
              <w:jc w:val="right"/>
              <w:rPr>
                <w:sz w:val="20"/>
                <w:szCs w:val="20"/>
              </w:rPr>
            </w:pPr>
            <w:r w:rsidRPr="00BE6461">
              <w:rPr>
                <w:sz w:val="20"/>
                <w:szCs w:val="20"/>
              </w:rPr>
              <w:t>2.150,00</w:t>
            </w:r>
          </w:p>
        </w:tc>
        <w:tc>
          <w:tcPr>
            <w:tcW w:w="1100" w:type="dxa"/>
            <w:tcBorders>
              <w:top w:val="nil"/>
              <w:left w:val="nil"/>
              <w:bottom w:val="nil"/>
              <w:right w:val="nil"/>
            </w:tcBorders>
            <w:shd w:val="clear" w:color="auto" w:fill="auto"/>
            <w:noWrap/>
            <w:vAlign w:val="bottom"/>
            <w:hideMark/>
          </w:tcPr>
          <w:p w14:paraId="23D123E3" w14:textId="77777777" w:rsidR="00BE6461" w:rsidRPr="00BE6461" w:rsidRDefault="00BE6461" w:rsidP="00BE6461">
            <w:pPr>
              <w:jc w:val="right"/>
              <w:rPr>
                <w:sz w:val="20"/>
                <w:szCs w:val="20"/>
              </w:rPr>
            </w:pPr>
          </w:p>
        </w:tc>
      </w:tr>
      <w:tr w:rsidR="00BE6461" w:rsidRPr="00BE6461" w14:paraId="7337413D"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0EC914EE" w14:textId="77777777" w:rsidR="00BE6461" w:rsidRPr="00BE6461" w:rsidRDefault="00BE6461" w:rsidP="00BE6461">
            <w:pPr>
              <w:rPr>
                <w:b/>
                <w:bCs/>
                <w:sz w:val="20"/>
                <w:szCs w:val="20"/>
              </w:rPr>
            </w:pPr>
            <w:r w:rsidRPr="00BE6461">
              <w:rPr>
                <w:b/>
                <w:bCs/>
                <w:sz w:val="20"/>
                <w:szCs w:val="20"/>
              </w:rPr>
              <w:t>A100101</w:t>
            </w:r>
          </w:p>
        </w:tc>
        <w:tc>
          <w:tcPr>
            <w:tcW w:w="8457" w:type="dxa"/>
            <w:tcBorders>
              <w:top w:val="single" w:sz="4" w:space="0" w:color="auto"/>
              <w:left w:val="nil"/>
              <w:bottom w:val="single" w:sz="4" w:space="0" w:color="auto"/>
              <w:right w:val="nil"/>
            </w:tcBorders>
            <w:shd w:val="clear" w:color="auto" w:fill="auto"/>
            <w:vAlign w:val="bottom"/>
            <w:hideMark/>
          </w:tcPr>
          <w:p w14:paraId="5334B352" w14:textId="77777777" w:rsidR="00BE6461" w:rsidRPr="00BE6461" w:rsidRDefault="00BE6461" w:rsidP="00BE6461">
            <w:pPr>
              <w:rPr>
                <w:b/>
                <w:bCs/>
                <w:sz w:val="20"/>
                <w:szCs w:val="20"/>
              </w:rPr>
            </w:pPr>
            <w:r w:rsidRPr="00BE6461">
              <w:rPr>
                <w:b/>
                <w:bCs/>
                <w:sz w:val="20"/>
                <w:szCs w:val="20"/>
              </w:rPr>
              <w:t>Aktivnost: MJESNI ODBOR TRIBAN</w:t>
            </w:r>
          </w:p>
        </w:tc>
        <w:tc>
          <w:tcPr>
            <w:tcW w:w="1503" w:type="dxa"/>
            <w:tcBorders>
              <w:top w:val="single" w:sz="4" w:space="0" w:color="auto"/>
              <w:left w:val="nil"/>
              <w:bottom w:val="single" w:sz="4" w:space="0" w:color="auto"/>
              <w:right w:val="nil"/>
            </w:tcBorders>
            <w:shd w:val="clear" w:color="auto" w:fill="auto"/>
            <w:noWrap/>
            <w:vAlign w:val="bottom"/>
            <w:hideMark/>
          </w:tcPr>
          <w:p w14:paraId="27D027DC" w14:textId="77777777" w:rsidR="00BE6461" w:rsidRPr="00BE6461" w:rsidRDefault="00BE6461" w:rsidP="00BE6461">
            <w:pPr>
              <w:jc w:val="right"/>
              <w:rPr>
                <w:b/>
                <w:bCs/>
                <w:sz w:val="20"/>
                <w:szCs w:val="20"/>
              </w:rPr>
            </w:pPr>
            <w:r w:rsidRPr="00BE6461">
              <w:rPr>
                <w:b/>
                <w:bCs/>
                <w:sz w:val="20"/>
                <w:szCs w:val="20"/>
              </w:rPr>
              <w:t>10.000,00</w:t>
            </w:r>
          </w:p>
        </w:tc>
        <w:tc>
          <w:tcPr>
            <w:tcW w:w="1500" w:type="dxa"/>
            <w:tcBorders>
              <w:top w:val="single" w:sz="4" w:space="0" w:color="auto"/>
              <w:left w:val="nil"/>
              <w:bottom w:val="single" w:sz="4" w:space="0" w:color="auto"/>
              <w:right w:val="nil"/>
            </w:tcBorders>
            <w:shd w:val="clear" w:color="auto" w:fill="auto"/>
            <w:noWrap/>
            <w:vAlign w:val="bottom"/>
            <w:hideMark/>
          </w:tcPr>
          <w:p w14:paraId="7795D8F1" w14:textId="77777777" w:rsidR="00BE6461" w:rsidRPr="00BE6461" w:rsidRDefault="00BE6461" w:rsidP="00BE6461">
            <w:pPr>
              <w:jc w:val="right"/>
              <w:rPr>
                <w:b/>
                <w:bCs/>
                <w:sz w:val="20"/>
                <w:szCs w:val="20"/>
              </w:rPr>
            </w:pPr>
            <w:r w:rsidRPr="00BE6461">
              <w:rPr>
                <w:b/>
                <w:bCs/>
                <w:sz w:val="20"/>
                <w:szCs w:val="20"/>
              </w:rPr>
              <w:t>5.005,67</w:t>
            </w:r>
          </w:p>
        </w:tc>
        <w:tc>
          <w:tcPr>
            <w:tcW w:w="1100" w:type="dxa"/>
            <w:tcBorders>
              <w:top w:val="single" w:sz="4" w:space="0" w:color="auto"/>
              <w:left w:val="nil"/>
              <w:bottom w:val="single" w:sz="4" w:space="0" w:color="auto"/>
              <w:right w:val="nil"/>
            </w:tcBorders>
            <w:shd w:val="clear" w:color="auto" w:fill="auto"/>
            <w:noWrap/>
            <w:vAlign w:val="bottom"/>
            <w:hideMark/>
          </w:tcPr>
          <w:p w14:paraId="4AB09454" w14:textId="77777777" w:rsidR="00BE6461" w:rsidRPr="00BE6461" w:rsidRDefault="00BE6461" w:rsidP="00BE6461">
            <w:pPr>
              <w:jc w:val="right"/>
              <w:rPr>
                <w:b/>
                <w:bCs/>
                <w:sz w:val="20"/>
                <w:szCs w:val="20"/>
              </w:rPr>
            </w:pPr>
            <w:r w:rsidRPr="00BE6461">
              <w:rPr>
                <w:b/>
                <w:bCs/>
                <w:sz w:val="20"/>
                <w:szCs w:val="20"/>
              </w:rPr>
              <w:t>50,06</w:t>
            </w:r>
          </w:p>
        </w:tc>
      </w:tr>
      <w:tr w:rsidR="00BE6461" w:rsidRPr="00BE6461" w14:paraId="6E17954E"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9CEC27D"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7C07FCAA" w14:textId="77777777" w:rsidR="00BE6461" w:rsidRPr="00BE6461" w:rsidRDefault="00BE6461" w:rsidP="00BE6461">
            <w:pPr>
              <w:jc w:val="right"/>
              <w:rPr>
                <w:b/>
                <w:bCs/>
                <w:color w:val="333333"/>
                <w:sz w:val="20"/>
                <w:szCs w:val="20"/>
              </w:rPr>
            </w:pPr>
            <w:r w:rsidRPr="00BE6461">
              <w:rPr>
                <w:b/>
                <w:bCs/>
                <w:color w:val="333333"/>
                <w:sz w:val="20"/>
                <w:szCs w:val="20"/>
              </w:rPr>
              <w:t>10.000,00</w:t>
            </w:r>
          </w:p>
        </w:tc>
        <w:tc>
          <w:tcPr>
            <w:tcW w:w="1500" w:type="dxa"/>
            <w:tcBorders>
              <w:top w:val="nil"/>
              <w:left w:val="nil"/>
              <w:bottom w:val="nil"/>
              <w:right w:val="nil"/>
            </w:tcBorders>
            <w:shd w:val="clear" w:color="auto" w:fill="auto"/>
            <w:noWrap/>
            <w:vAlign w:val="bottom"/>
            <w:hideMark/>
          </w:tcPr>
          <w:p w14:paraId="5974FBFE" w14:textId="77777777" w:rsidR="00BE6461" w:rsidRPr="00BE6461" w:rsidRDefault="00BE6461" w:rsidP="00BE6461">
            <w:pPr>
              <w:jc w:val="right"/>
              <w:rPr>
                <w:b/>
                <w:bCs/>
                <w:color w:val="333333"/>
                <w:sz w:val="20"/>
                <w:szCs w:val="20"/>
              </w:rPr>
            </w:pPr>
            <w:r w:rsidRPr="00BE6461">
              <w:rPr>
                <w:b/>
                <w:bCs/>
                <w:color w:val="333333"/>
                <w:sz w:val="20"/>
                <w:szCs w:val="20"/>
              </w:rPr>
              <w:t>5.005,67</w:t>
            </w:r>
          </w:p>
        </w:tc>
        <w:tc>
          <w:tcPr>
            <w:tcW w:w="1100" w:type="dxa"/>
            <w:tcBorders>
              <w:top w:val="nil"/>
              <w:left w:val="nil"/>
              <w:bottom w:val="nil"/>
              <w:right w:val="nil"/>
            </w:tcBorders>
            <w:shd w:val="clear" w:color="auto" w:fill="auto"/>
            <w:noWrap/>
            <w:vAlign w:val="bottom"/>
            <w:hideMark/>
          </w:tcPr>
          <w:p w14:paraId="77F43163" w14:textId="77777777" w:rsidR="00BE6461" w:rsidRPr="00BE6461" w:rsidRDefault="00BE6461" w:rsidP="00BE6461">
            <w:pPr>
              <w:jc w:val="right"/>
              <w:rPr>
                <w:b/>
                <w:bCs/>
                <w:color w:val="333333"/>
                <w:sz w:val="20"/>
                <w:szCs w:val="20"/>
              </w:rPr>
            </w:pPr>
            <w:r w:rsidRPr="00BE6461">
              <w:rPr>
                <w:b/>
                <w:bCs/>
                <w:color w:val="333333"/>
                <w:sz w:val="20"/>
                <w:szCs w:val="20"/>
              </w:rPr>
              <w:t>50,06</w:t>
            </w:r>
          </w:p>
        </w:tc>
      </w:tr>
      <w:tr w:rsidR="00BE6461" w:rsidRPr="00BE6461" w14:paraId="35F33D2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9C7B25F"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1D12A2AE" w14:textId="77777777" w:rsidR="00BE6461" w:rsidRPr="00BE6461" w:rsidRDefault="00BE6461" w:rsidP="00BE6461">
            <w:pPr>
              <w:jc w:val="right"/>
              <w:rPr>
                <w:b/>
                <w:bCs/>
                <w:color w:val="333333"/>
                <w:sz w:val="20"/>
                <w:szCs w:val="20"/>
              </w:rPr>
            </w:pPr>
            <w:r w:rsidRPr="00BE6461">
              <w:rPr>
                <w:b/>
                <w:bCs/>
                <w:color w:val="333333"/>
                <w:sz w:val="20"/>
                <w:szCs w:val="20"/>
              </w:rPr>
              <w:t>10.000,00</w:t>
            </w:r>
          </w:p>
        </w:tc>
        <w:tc>
          <w:tcPr>
            <w:tcW w:w="1500" w:type="dxa"/>
            <w:tcBorders>
              <w:top w:val="nil"/>
              <w:left w:val="nil"/>
              <w:bottom w:val="nil"/>
              <w:right w:val="nil"/>
            </w:tcBorders>
            <w:shd w:val="clear" w:color="auto" w:fill="auto"/>
            <w:noWrap/>
            <w:vAlign w:val="bottom"/>
            <w:hideMark/>
          </w:tcPr>
          <w:p w14:paraId="6EF7C194" w14:textId="77777777" w:rsidR="00BE6461" w:rsidRPr="00BE6461" w:rsidRDefault="00BE6461" w:rsidP="00BE6461">
            <w:pPr>
              <w:jc w:val="right"/>
              <w:rPr>
                <w:b/>
                <w:bCs/>
                <w:color w:val="333333"/>
                <w:sz w:val="20"/>
                <w:szCs w:val="20"/>
              </w:rPr>
            </w:pPr>
            <w:r w:rsidRPr="00BE6461">
              <w:rPr>
                <w:b/>
                <w:bCs/>
                <w:color w:val="333333"/>
                <w:sz w:val="20"/>
                <w:szCs w:val="20"/>
              </w:rPr>
              <w:t>5.005,67</w:t>
            </w:r>
          </w:p>
        </w:tc>
        <w:tc>
          <w:tcPr>
            <w:tcW w:w="1100" w:type="dxa"/>
            <w:tcBorders>
              <w:top w:val="nil"/>
              <w:left w:val="nil"/>
              <w:bottom w:val="nil"/>
              <w:right w:val="nil"/>
            </w:tcBorders>
            <w:shd w:val="clear" w:color="auto" w:fill="auto"/>
            <w:noWrap/>
            <w:vAlign w:val="bottom"/>
            <w:hideMark/>
          </w:tcPr>
          <w:p w14:paraId="31CA38D6" w14:textId="77777777" w:rsidR="00BE6461" w:rsidRPr="00BE6461" w:rsidRDefault="00BE6461" w:rsidP="00BE6461">
            <w:pPr>
              <w:jc w:val="right"/>
              <w:rPr>
                <w:b/>
                <w:bCs/>
                <w:color w:val="333333"/>
                <w:sz w:val="20"/>
                <w:szCs w:val="20"/>
              </w:rPr>
            </w:pPr>
            <w:r w:rsidRPr="00BE6461">
              <w:rPr>
                <w:b/>
                <w:bCs/>
                <w:color w:val="333333"/>
                <w:sz w:val="20"/>
                <w:szCs w:val="20"/>
              </w:rPr>
              <w:t>50,06</w:t>
            </w:r>
          </w:p>
        </w:tc>
      </w:tr>
      <w:tr w:rsidR="00BE6461" w:rsidRPr="00BE6461" w14:paraId="16EE2484" w14:textId="77777777" w:rsidTr="00BE6461">
        <w:trPr>
          <w:trHeight w:val="300"/>
        </w:trPr>
        <w:tc>
          <w:tcPr>
            <w:tcW w:w="1703" w:type="dxa"/>
            <w:tcBorders>
              <w:top w:val="nil"/>
              <w:left w:val="nil"/>
              <w:bottom w:val="nil"/>
              <w:right w:val="nil"/>
            </w:tcBorders>
            <w:shd w:val="clear" w:color="auto" w:fill="auto"/>
            <w:noWrap/>
            <w:vAlign w:val="bottom"/>
            <w:hideMark/>
          </w:tcPr>
          <w:p w14:paraId="4F7D47EC"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143D0B45"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04E60414" w14:textId="77777777" w:rsidR="00BE6461" w:rsidRPr="00BE6461" w:rsidRDefault="00BE6461" w:rsidP="00BE6461">
            <w:pPr>
              <w:jc w:val="right"/>
              <w:rPr>
                <w:b/>
                <w:bCs/>
                <w:sz w:val="20"/>
                <w:szCs w:val="20"/>
              </w:rPr>
            </w:pPr>
            <w:r w:rsidRPr="00BE6461">
              <w:rPr>
                <w:b/>
                <w:bCs/>
                <w:sz w:val="20"/>
                <w:szCs w:val="20"/>
              </w:rPr>
              <w:t>10.000,00</w:t>
            </w:r>
          </w:p>
        </w:tc>
        <w:tc>
          <w:tcPr>
            <w:tcW w:w="1500" w:type="dxa"/>
            <w:tcBorders>
              <w:top w:val="nil"/>
              <w:left w:val="nil"/>
              <w:bottom w:val="nil"/>
              <w:right w:val="nil"/>
            </w:tcBorders>
            <w:shd w:val="clear" w:color="auto" w:fill="auto"/>
            <w:noWrap/>
            <w:vAlign w:val="bottom"/>
            <w:hideMark/>
          </w:tcPr>
          <w:p w14:paraId="0737149D"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671E77FD"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72A736D7" w14:textId="77777777" w:rsidTr="00BE6461">
        <w:trPr>
          <w:trHeight w:val="300"/>
        </w:trPr>
        <w:tc>
          <w:tcPr>
            <w:tcW w:w="1703" w:type="dxa"/>
            <w:tcBorders>
              <w:top w:val="nil"/>
              <w:left w:val="nil"/>
              <w:bottom w:val="nil"/>
              <w:right w:val="nil"/>
            </w:tcBorders>
            <w:shd w:val="clear" w:color="auto" w:fill="auto"/>
            <w:noWrap/>
            <w:vAlign w:val="bottom"/>
            <w:hideMark/>
          </w:tcPr>
          <w:p w14:paraId="48FB9C3E" w14:textId="77777777" w:rsidR="00BE6461" w:rsidRPr="00BE6461" w:rsidRDefault="00BE6461" w:rsidP="00BE6461">
            <w:pPr>
              <w:rPr>
                <w:sz w:val="20"/>
                <w:szCs w:val="20"/>
              </w:rPr>
            </w:pPr>
            <w:r w:rsidRPr="00BE6461">
              <w:rPr>
                <w:sz w:val="20"/>
                <w:szCs w:val="20"/>
              </w:rPr>
              <w:t>3232</w:t>
            </w:r>
          </w:p>
        </w:tc>
        <w:tc>
          <w:tcPr>
            <w:tcW w:w="8457" w:type="dxa"/>
            <w:tcBorders>
              <w:top w:val="nil"/>
              <w:left w:val="nil"/>
              <w:bottom w:val="nil"/>
              <w:right w:val="nil"/>
            </w:tcBorders>
            <w:shd w:val="clear" w:color="auto" w:fill="auto"/>
            <w:vAlign w:val="bottom"/>
            <w:hideMark/>
          </w:tcPr>
          <w:p w14:paraId="77A5CA84" w14:textId="77777777" w:rsidR="00BE6461" w:rsidRPr="00BE6461" w:rsidRDefault="00BE6461" w:rsidP="00BE6461">
            <w:pPr>
              <w:rPr>
                <w:sz w:val="20"/>
                <w:szCs w:val="20"/>
              </w:rPr>
            </w:pPr>
            <w:r w:rsidRPr="00BE6461">
              <w:rPr>
                <w:sz w:val="20"/>
                <w:szCs w:val="20"/>
              </w:rPr>
              <w:t xml:space="preserve">Usluge tekućeg i investicijskog održavanja                                                          </w:t>
            </w:r>
          </w:p>
        </w:tc>
        <w:tc>
          <w:tcPr>
            <w:tcW w:w="1503" w:type="dxa"/>
            <w:tcBorders>
              <w:top w:val="nil"/>
              <w:left w:val="nil"/>
              <w:bottom w:val="nil"/>
              <w:right w:val="nil"/>
            </w:tcBorders>
            <w:shd w:val="clear" w:color="auto" w:fill="auto"/>
            <w:noWrap/>
            <w:vAlign w:val="bottom"/>
            <w:hideMark/>
          </w:tcPr>
          <w:p w14:paraId="2E571B8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EC88B6C"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4E99859A" w14:textId="77777777" w:rsidR="00BE6461" w:rsidRPr="00BE6461" w:rsidRDefault="00BE6461" w:rsidP="00BE6461">
            <w:pPr>
              <w:jc w:val="right"/>
              <w:rPr>
                <w:sz w:val="20"/>
                <w:szCs w:val="20"/>
              </w:rPr>
            </w:pPr>
          </w:p>
        </w:tc>
      </w:tr>
      <w:tr w:rsidR="00BE6461" w:rsidRPr="00BE6461" w14:paraId="718DBD48" w14:textId="77777777" w:rsidTr="00BE6461">
        <w:trPr>
          <w:trHeight w:val="300"/>
        </w:trPr>
        <w:tc>
          <w:tcPr>
            <w:tcW w:w="1703" w:type="dxa"/>
            <w:tcBorders>
              <w:top w:val="nil"/>
              <w:left w:val="nil"/>
              <w:bottom w:val="nil"/>
              <w:right w:val="nil"/>
            </w:tcBorders>
            <w:shd w:val="clear" w:color="auto" w:fill="auto"/>
            <w:noWrap/>
            <w:vAlign w:val="bottom"/>
            <w:hideMark/>
          </w:tcPr>
          <w:p w14:paraId="13EFC467"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704E6547"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0A904809" w14:textId="77777777" w:rsidR="00BE6461" w:rsidRPr="00BE6461" w:rsidRDefault="00BE6461" w:rsidP="00BE6461">
            <w:pPr>
              <w:jc w:val="right"/>
              <w:rPr>
                <w:b/>
                <w:bCs/>
                <w:sz w:val="20"/>
                <w:szCs w:val="20"/>
              </w:rPr>
            </w:pPr>
            <w:r w:rsidRPr="00BE6461">
              <w:rPr>
                <w:b/>
                <w:bCs/>
                <w:sz w:val="20"/>
                <w:szCs w:val="20"/>
              </w:rPr>
              <w:t>0,00</w:t>
            </w:r>
          </w:p>
        </w:tc>
        <w:tc>
          <w:tcPr>
            <w:tcW w:w="1500" w:type="dxa"/>
            <w:tcBorders>
              <w:top w:val="nil"/>
              <w:left w:val="nil"/>
              <w:bottom w:val="nil"/>
              <w:right w:val="nil"/>
            </w:tcBorders>
            <w:shd w:val="clear" w:color="auto" w:fill="auto"/>
            <w:noWrap/>
            <w:vAlign w:val="bottom"/>
            <w:hideMark/>
          </w:tcPr>
          <w:p w14:paraId="5C2842D5" w14:textId="77777777" w:rsidR="00BE6461" w:rsidRPr="00BE6461" w:rsidRDefault="00BE6461" w:rsidP="00BE6461">
            <w:pPr>
              <w:jc w:val="right"/>
              <w:rPr>
                <w:b/>
                <w:bCs/>
                <w:sz w:val="20"/>
                <w:szCs w:val="20"/>
              </w:rPr>
            </w:pPr>
            <w:r w:rsidRPr="00BE6461">
              <w:rPr>
                <w:b/>
                <w:bCs/>
                <w:sz w:val="20"/>
                <w:szCs w:val="20"/>
              </w:rPr>
              <w:t>5.005,67</w:t>
            </w:r>
          </w:p>
        </w:tc>
        <w:tc>
          <w:tcPr>
            <w:tcW w:w="1100" w:type="dxa"/>
            <w:tcBorders>
              <w:top w:val="nil"/>
              <w:left w:val="nil"/>
              <w:bottom w:val="nil"/>
              <w:right w:val="nil"/>
            </w:tcBorders>
            <w:shd w:val="clear" w:color="auto" w:fill="auto"/>
            <w:noWrap/>
            <w:vAlign w:val="bottom"/>
            <w:hideMark/>
          </w:tcPr>
          <w:p w14:paraId="0F98BCC0"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2B74DA8A" w14:textId="77777777" w:rsidTr="00BE6461">
        <w:trPr>
          <w:trHeight w:val="300"/>
        </w:trPr>
        <w:tc>
          <w:tcPr>
            <w:tcW w:w="1703" w:type="dxa"/>
            <w:tcBorders>
              <w:top w:val="nil"/>
              <w:left w:val="nil"/>
              <w:bottom w:val="nil"/>
              <w:right w:val="nil"/>
            </w:tcBorders>
            <w:shd w:val="clear" w:color="auto" w:fill="auto"/>
            <w:noWrap/>
            <w:vAlign w:val="bottom"/>
            <w:hideMark/>
          </w:tcPr>
          <w:p w14:paraId="65A36173" w14:textId="77777777" w:rsidR="00BE6461" w:rsidRPr="00BE6461" w:rsidRDefault="00BE6461" w:rsidP="00BE6461">
            <w:pPr>
              <w:rPr>
                <w:sz w:val="20"/>
                <w:szCs w:val="20"/>
              </w:rPr>
            </w:pPr>
            <w:r w:rsidRPr="00BE6461">
              <w:rPr>
                <w:sz w:val="20"/>
                <w:szCs w:val="20"/>
              </w:rPr>
              <w:t>3293</w:t>
            </w:r>
          </w:p>
        </w:tc>
        <w:tc>
          <w:tcPr>
            <w:tcW w:w="8457" w:type="dxa"/>
            <w:tcBorders>
              <w:top w:val="nil"/>
              <w:left w:val="nil"/>
              <w:bottom w:val="nil"/>
              <w:right w:val="nil"/>
            </w:tcBorders>
            <w:shd w:val="clear" w:color="auto" w:fill="auto"/>
            <w:vAlign w:val="bottom"/>
            <w:hideMark/>
          </w:tcPr>
          <w:p w14:paraId="47DE6101" w14:textId="77777777" w:rsidR="00BE6461" w:rsidRPr="00BE6461" w:rsidRDefault="00BE6461" w:rsidP="00BE6461">
            <w:pPr>
              <w:rPr>
                <w:sz w:val="20"/>
                <w:szCs w:val="20"/>
              </w:rPr>
            </w:pPr>
            <w:r w:rsidRPr="00BE6461">
              <w:rPr>
                <w:sz w:val="20"/>
                <w:szCs w:val="20"/>
              </w:rPr>
              <w:t xml:space="preserve">Reprezentacija                                                                                      </w:t>
            </w:r>
          </w:p>
        </w:tc>
        <w:tc>
          <w:tcPr>
            <w:tcW w:w="1503" w:type="dxa"/>
            <w:tcBorders>
              <w:top w:val="nil"/>
              <w:left w:val="nil"/>
              <w:bottom w:val="nil"/>
              <w:right w:val="nil"/>
            </w:tcBorders>
            <w:shd w:val="clear" w:color="auto" w:fill="auto"/>
            <w:noWrap/>
            <w:vAlign w:val="bottom"/>
            <w:hideMark/>
          </w:tcPr>
          <w:p w14:paraId="393C303E"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5137BEF" w14:textId="77777777" w:rsidR="00BE6461" w:rsidRPr="00BE6461" w:rsidRDefault="00BE6461" w:rsidP="00BE6461">
            <w:pPr>
              <w:jc w:val="right"/>
              <w:rPr>
                <w:sz w:val="20"/>
                <w:szCs w:val="20"/>
              </w:rPr>
            </w:pPr>
            <w:r w:rsidRPr="00BE6461">
              <w:rPr>
                <w:sz w:val="20"/>
                <w:szCs w:val="20"/>
              </w:rPr>
              <w:t>5.005,67</w:t>
            </w:r>
          </w:p>
        </w:tc>
        <w:tc>
          <w:tcPr>
            <w:tcW w:w="1100" w:type="dxa"/>
            <w:tcBorders>
              <w:top w:val="nil"/>
              <w:left w:val="nil"/>
              <w:bottom w:val="nil"/>
              <w:right w:val="nil"/>
            </w:tcBorders>
            <w:shd w:val="clear" w:color="auto" w:fill="auto"/>
            <w:noWrap/>
            <w:vAlign w:val="bottom"/>
            <w:hideMark/>
          </w:tcPr>
          <w:p w14:paraId="67866F9D" w14:textId="77777777" w:rsidR="00BE6461" w:rsidRPr="00BE6461" w:rsidRDefault="00BE6461" w:rsidP="00BE6461">
            <w:pPr>
              <w:jc w:val="right"/>
              <w:rPr>
                <w:sz w:val="20"/>
                <w:szCs w:val="20"/>
              </w:rPr>
            </w:pPr>
          </w:p>
        </w:tc>
      </w:tr>
      <w:tr w:rsidR="00BE6461" w:rsidRPr="00BE6461" w14:paraId="4591E8D2" w14:textId="77777777" w:rsidTr="00BE6461">
        <w:trPr>
          <w:trHeight w:val="390"/>
        </w:trPr>
        <w:tc>
          <w:tcPr>
            <w:tcW w:w="1703" w:type="dxa"/>
            <w:tcBorders>
              <w:top w:val="single" w:sz="4" w:space="0" w:color="auto"/>
              <w:left w:val="nil"/>
              <w:bottom w:val="nil"/>
              <w:right w:val="nil"/>
            </w:tcBorders>
            <w:shd w:val="clear" w:color="auto" w:fill="auto"/>
            <w:noWrap/>
            <w:vAlign w:val="bottom"/>
            <w:hideMark/>
          </w:tcPr>
          <w:p w14:paraId="3CF0A751" w14:textId="77777777" w:rsidR="00BE6461" w:rsidRPr="00BE6461" w:rsidRDefault="00BE6461" w:rsidP="00BE6461">
            <w:pPr>
              <w:rPr>
                <w:b/>
                <w:bCs/>
                <w:sz w:val="20"/>
                <w:szCs w:val="20"/>
              </w:rPr>
            </w:pPr>
            <w:r w:rsidRPr="00BE6461">
              <w:rPr>
                <w:b/>
                <w:bCs/>
                <w:sz w:val="20"/>
                <w:szCs w:val="20"/>
              </w:rPr>
              <w:t>1013</w:t>
            </w:r>
          </w:p>
        </w:tc>
        <w:tc>
          <w:tcPr>
            <w:tcW w:w="8457" w:type="dxa"/>
            <w:tcBorders>
              <w:top w:val="single" w:sz="4" w:space="0" w:color="auto"/>
              <w:left w:val="nil"/>
              <w:bottom w:val="nil"/>
              <w:right w:val="nil"/>
            </w:tcBorders>
            <w:shd w:val="clear" w:color="auto" w:fill="auto"/>
            <w:vAlign w:val="bottom"/>
            <w:hideMark/>
          </w:tcPr>
          <w:p w14:paraId="774F9754" w14:textId="77777777" w:rsidR="00BE6461" w:rsidRPr="00BE6461" w:rsidRDefault="00BE6461" w:rsidP="00BE6461">
            <w:pPr>
              <w:rPr>
                <w:b/>
                <w:bCs/>
                <w:sz w:val="20"/>
                <w:szCs w:val="20"/>
              </w:rPr>
            </w:pPr>
            <w:r w:rsidRPr="00BE6461">
              <w:rPr>
                <w:b/>
                <w:bCs/>
                <w:sz w:val="20"/>
                <w:szCs w:val="20"/>
              </w:rPr>
              <w:t>Program: RAD VIJEĆA I PREDSTAVNIKA NACIONALNIH MANJINA</w:t>
            </w:r>
          </w:p>
        </w:tc>
        <w:tc>
          <w:tcPr>
            <w:tcW w:w="1503" w:type="dxa"/>
            <w:tcBorders>
              <w:top w:val="single" w:sz="4" w:space="0" w:color="auto"/>
              <w:left w:val="nil"/>
              <w:bottom w:val="nil"/>
              <w:right w:val="nil"/>
            </w:tcBorders>
            <w:shd w:val="clear" w:color="auto" w:fill="auto"/>
            <w:noWrap/>
            <w:vAlign w:val="bottom"/>
            <w:hideMark/>
          </w:tcPr>
          <w:p w14:paraId="436D679A" w14:textId="77777777" w:rsidR="00BE6461" w:rsidRPr="00BE6461" w:rsidRDefault="00BE6461" w:rsidP="00BE6461">
            <w:pPr>
              <w:jc w:val="right"/>
              <w:rPr>
                <w:b/>
                <w:bCs/>
                <w:sz w:val="20"/>
                <w:szCs w:val="20"/>
              </w:rPr>
            </w:pPr>
            <w:r w:rsidRPr="00BE6461">
              <w:rPr>
                <w:b/>
                <w:bCs/>
                <w:sz w:val="20"/>
                <w:szCs w:val="20"/>
              </w:rPr>
              <w:t>25.697,62</w:t>
            </w:r>
          </w:p>
        </w:tc>
        <w:tc>
          <w:tcPr>
            <w:tcW w:w="1500" w:type="dxa"/>
            <w:tcBorders>
              <w:top w:val="single" w:sz="4" w:space="0" w:color="auto"/>
              <w:left w:val="nil"/>
              <w:bottom w:val="nil"/>
              <w:right w:val="nil"/>
            </w:tcBorders>
            <w:shd w:val="clear" w:color="auto" w:fill="auto"/>
            <w:noWrap/>
            <w:vAlign w:val="bottom"/>
            <w:hideMark/>
          </w:tcPr>
          <w:p w14:paraId="572C62F9" w14:textId="77777777" w:rsidR="00BE6461" w:rsidRPr="00BE6461" w:rsidRDefault="00BE6461" w:rsidP="00BE6461">
            <w:pPr>
              <w:jc w:val="right"/>
              <w:rPr>
                <w:b/>
                <w:bCs/>
                <w:sz w:val="20"/>
                <w:szCs w:val="20"/>
              </w:rPr>
            </w:pPr>
            <w:r w:rsidRPr="00BE6461">
              <w:rPr>
                <w:b/>
                <w:bCs/>
                <w:sz w:val="20"/>
                <w:szCs w:val="20"/>
              </w:rPr>
              <w:t>14.316,34</w:t>
            </w:r>
          </w:p>
        </w:tc>
        <w:tc>
          <w:tcPr>
            <w:tcW w:w="1100" w:type="dxa"/>
            <w:tcBorders>
              <w:top w:val="single" w:sz="4" w:space="0" w:color="auto"/>
              <w:left w:val="nil"/>
              <w:bottom w:val="nil"/>
              <w:right w:val="nil"/>
            </w:tcBorders>
            <w:shd w:val="clear" w:color="auto" w:fill="auto"/>
            <w:noWrap/>
            <w:vAlign w:val="bottom"/>
            <w:hideMark/>
          </w:tcPr>
          <w:p w14:paraId="5CDDD71A" w14:textId="77777777" w:rsidR="00BE6461" w:rsidRPr="00BE6461" w:rsidRDefault="00BE6461" w:rsidP="00BE6461">
            <w:pPr>
              <w:jc w:val="right"/>
              <w:rPr>
                <w:b/>
                <w:bCs/>
                <w:sz w:val="20"/>
                <w:szCs w:val="20"/>
              </w:rPr>
            </w:pPr>
            <w:r w:rsidRPr="00BE6461">
              <w:rPr>
                <w:b/>
                <w:bCs/>
                <w:sz w:val="20"/>
                <w:szCs w:val="20"/>
              </w:rPr>
              <w:t>55,71</w:t>
            </w:r>
          </w:p>
        </w:tc>
      </w:tr>
      <w:tr w:rsidR="00BE6461" w:rsidRPr="00BE6461" w14:paraId="2EA2FAFE"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099D9B1B" w14:textId="77777777" w:rsidR="00BE6461" w:rsidRPr="00BE6461" w:rsidRDefault="00BE6461" w:rsidP="00BE6461">
            <w:pPr>
              <w:rPr>
                <w:b/>
                <w:bCs/>
                <w:sz w:val="20"/>
                <w:szCs w:val="20"/>
              </w:rPr>
            </w:pPr>
            <w:r w:rsidRPr="00BE6461">
              <w:rPr>
                <w:b/>
                <w:bCs/>
                <w:sz w:val="20"/>
                <w:szCs w:val="20"/>
              </w:rPr>
              <w:t>A100102</w:t>
            </w:r>
          </w:p>
        </w:tc>
        <w:tc>
          <w:tcPr>
            <w:tcW w:w="8457" w:type="dxa"/>
            <w:tcBorders>
              <w:top w:val="single" w:sz="4" w:space="0" w:color="auto"/>
              <w:left w:val="nil"/>
              <w:bottom w:val="single" w:sz="4" w:space="0" w:color="auto"/>
              <w:right w:val="nil"/>
            </w:tcBorders>
            <w:shd w:val="clear" w:color="auto" w:fill="auto"/>
            <w:vAlign w:val="bottom"/>
            <w:hideMark/>
          </w:tcPr>
          <w:p w14:paraId="7E5413FA" w14:textId="77777777" w:rsidR="00BE6461" w:rsidRPr="00BE6461" w:rsidRDefault="00BE6461" w:rsidP="00BE6461">
            <w:pPr>
              <w:rPr>
                <w:b/>
                <w:bCs/>
                <w:sz w:val="20"/>
                <w:szCs w:val="20"/>
              </w:rPr>
            </w:pPr>
            <w:r w:rsidRPr="00BE6461">
              <w:rPr>
                <w:b/>
                <w:bCs/>
                <w:sz w:val="20"/>
                <w:szCs w:val="20"/>
              </w:rPr>
              <w:t>Aktivnost: RAD VIJEĆA TALIJANSKE NACIONALNE MANJINE</w:t>
            </w:r>
          </w:p>
        </w:tc>
        <w:tc>
          <w:tcPr>
            <w:tcW w:w="1503" w:type="dxa"/>
            <w:tcBorders>
              <w:top w:val="single" w:sz="4" w:space="0" w:color="auto"/>
              <w:left w:val="nil"/>
              <w:bottom w:val="single" w:sz="4" w:space="0" w:color="auto"/>
              <w:right w:val="nil"/>
            </w:tcBorders>
            <w:shd w:val="clear" w:color="auto" w:fill="auto"/>
            <w:noWrap/>
            <w:vAlign w:val="bottom"/>
            <w:hideMark/>
          </w:tcPr>
          <w:p w14:paraId="7A8F4E5C" w14:textId="77777777" w:rsidR="00BE6461" w:rsidRPr="00BE6461" w:rsidRDefault="00BE6461" w:rsidP="00BE6461">
            <w:pPr>
              <w:jc w:val="right"/>
              <w:rPr>
                <w:b/>
                <w:bCs/>
                <w:sz w:val="20"/>
                <w:szCs w:val="20"/>
              </w:rPr>
            </w:pPr>
            <w:r w:rsidRPr="00BE6461">
              <w:rPr>
                <w:b/>
                <w:bCs/>
                <w:sz w:val="20"/>
                <w:szCs w:val="20"/>
              </w:rPr>
              <w:t>25.697,62</w:t>
            </w:r>
          </w:p>
        </w:tc>
        <w:tc>
          <w:tcPr>
            <w:tcW w:w="1500" w:type="dxa"/>
            <w:tcBorders>
              <w:top w:val="single" w:sz="4" w:space="0" w:color="auto"/>
              <w:left w:val="nil"/>
              <w:bottom w:val="single" w:sz="4" w:space="0" w:color="auto"/>
              <w:right w:val="nil"/>
            </w:tcBorders>
            <w:shd w:val="clear" w:color="auto" w:fill="auto"/>
            <w:noWrap/>
            <w:vAlign w:val="bottom"/>
            <w:hideMark/>
          </w:tcPr>
          <w:p w14:paraId="66BE1907" w14:textId="77777777" w:rsidR="00BE6461" w:rsidRPr="00BE6461" w:rsidRDefault="00BE6461" w:rsidP="00BE6461">
            <w:pPr>
              <w:jc w:val="right"/>
              <w:rPr>
                <w:b/>
                <w:bCs/>
                <w:sz w:val="20"/>
                <w:szCs w:val="20"/>
              </w:rPr>
            </w:pPr>
            <w:r w:rsidRPr="00BE6461">
              <w:rPr>
                <w:b/>
                <w:bCs/>
                <w:sz w:val="20"/>
                <w:szCs w:val="20"/>
              </w:rPr>
              <w:t>14.316,34</w:t>
            </w:r>
          </w:p>
        </w:tc>
        <w:tc>
          <w:tcPr>
            <w:tcW w:w="1100" w:type="dxa"/>
            <w:tcBorders>
              <w:top w:val="single" w:sz="4" w:space="0" w:color="auto"/>
              <w:left w:val="nil"/>
              <w:bottom w:val="single" w:sz="4" w:space="0" w:color="auto"/>
              <w:right w:val="nil"/>
            </w:tcBorders>
            <w:shd w:val="clear" w:color="auto" w:fill="auto"/>
            <w:noWrap/>
            <w:vAlign w:val="bottom"/>
            <w:hideMark/>
          </w:tcPr>
          <w:p w14:paraId="25D31A41" w14:textId="77777777" w:rsidR="00BE6461" w:rsidRPr="00BE6461" w:rsidRDefault="00BE6461" w:rsidP="00BE6461">
            <w:pPr>
              <w:jc w:val="right"/>
              <w:rPr>
                <w:b/>
                <w:bCs/>
                <w:sz w:val="20"/>
                <w:szCs w:val="20"/>
              </w:rPr>
            </w:pPr>
            <w:r w:rsidRPr="00BE6461">
              <w:rPr>
                <w:b/>
                <w:bCs/>
                <w:sz w:val="20"/>
                <w:szCs w:val="20"/>
              </w:rPr>
              <w:t>55,71</w:t>
            </w:r>
          </w:p>
        </w:tc>
      </w:tr>
      <w:tr w:rsidR="00BE6461" w:rsidRPr="00BE6461" w14:paraId="10FC82D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D83B1C6"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0047C80F" w14:textId="77777777" w:rsidR="00BE6461" w:rsidRPr="00BE6461" w:rsidRDefault="00BE6461" w:rsidP="00BE6461">
            <w:pPr>
              <w:jc w:val="right"/>
              <w:rPr>
                <w:b/>
                <w:bCs/>
                <w:color w:val="333333"/>
                <w:sz w:val="20"/>
                <w:szCs w:val="20"/>
              </w:rPr>
            </w:pPr>
            <w:r w:rsidRPr="00BE6461">
              <w:rPr>
                <w:b/>
                <w:bCs/>
                <w:color w:val="333333"/>
                <w:sz w:val="20"/>
                <w:szCs w:val="20"/>
              </w:rPr>
              <w:t>25.697,62</w:t>
            </w:r>
          </w:p>
        </w:tc>
        <w:tc>
          <w:tcPr>
            <w:tcW w:w="1500" w:type="dxa"/>
            <w:tcBorders>
              <w:top w:val="nil"/>
              <w:left w:val="nil"/>
              <w:bottom w:val="nil"/>
              <w:right w:val="nil"/>
            </w:tcBorders>
            <w:shd w:val="clear" w:color="auto" w:fill="auto"/>
            <w:noWrap/>
            <w:vAlign w:val="bottom"/>
            <w:hideMark/>
          </w:tcPr>
          <w:p w14:paraId="5CD293BB" w14:textId="77777777" w:rsidR="00BE6461" w:rsidRPr="00BE6461" w:rsidRDefault="00BE6461" w:rsidP="00BE6461">
            <w:pPr>
              <w:jc w:val="right"/>
              <w:rPr>
                <w:b/>
                <w:bCs/>
                <w:color w:val="333333"/>
                <w:sz w:val="20"/>
                <w:szCs w:val="20"/>
              </w:rPr>
            </w:pPr>
            <w:r w:rsidRPr="00BE6461">
              <w:rPr>
                <w:b/>
                <w:bCs/>
                <w:color w:val="333333"/>
                <w:sz w:val="20"/>
                <w:szCs w:val="20"/>
              </w:rPr>
              <w:t>14.316,34</w:t>
            </w:r>
          </w:p>
        </w:tc>
        <w:tc>
          <w:tcPr>
            <w:tcW w:w="1100" w:type="dxa"/>
            <w:tcBorders>
              <w:top w:val="nil"/>
              <w:left w:val="nil"/>
              <w:bottom w:val="nil"/>
              <w:right w:val="nil"/>
            </w:tcBorders>
            <w:shd w:val="clear" w:color="auto" w:fill="auto"/>
            <w:noWrap/>
            <w:vAlign w:val="bottom"/>
            <w:hideMark/>
          </w:tcPr>
          <w:p w14:paraId="157A5430" w14:textId="77777777" w:rsidR="00BE6461" w:rsidRPr="00BE6461" w:rsidRDefault="00BE6461" w:rsidP="00BE6461">
            <w:pPr>
              <w:jc w:val="right"/>
              <w:rPr>
                <w:b/>
                <w:bCs/>
                <w:color w:val="333333"/>
                <w:sz w:val="20"/>
                <w:szCs w:val="20"/>
              </w:rPr>
            </w:pPr>
            <w:r w:rsidRPr="00BE6461">
              <w:rPr>
                <w:b/>
                <w:bCs/>
                <w:color w:val="333333"/>
                <w:sz w:val="20"/>
                <w:szCs w:val="20"/>
              </w:rPr>
              <w:t>55,71</w:t>
            </w:r>
          </w:p>
        </w:tc>
      </w:tr>
      <w:tr w:rsidR="00BE6461" w:rsidRPr="00BE6461" w14:paraId="07575B45"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2343DEF"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6938CCC5" w14:textId="77777777" w:rsidR="00BE6461" w:rsidRPr="00BE6461" w:rsidRDefault="00BE6461" w:rsidP="00BE6461">
            <w:pPr>
              <w:jc w:val="right"/>
              <w:rPr>
                <w:b/>
                <w:bCs/>
                <w:color w:val="333333"/>
                <w:sz w:val="20"/>
                <w:szCs w:val="20"/>
              </w:rPr>
            </w:pPr>
            <w:r w:rsidRPr="00BE6461">
              <w:rPr>
                <w:b/>
                <w:bCs/>
                <w:color w:val="333333"/>
                <w:sz w:val="20"/>
                <w:szCs w:val="20"/>
              </w:rPr>
              <w:t>25.697,62</w:t>
            </w:r>
          </w:p>
        </w:tc>
        <w:tc>
          <w:tcPr>
            <w:tcW w:w="1500" w:type="dxa"/>
            <w:tcBorders>
              <w:top w:val="nil"/>
              <w:left w:val="nil"/>
              <w:bottom w:val="nil"/>
              <w:right w:val="nil"/>
            </w:tcBorders>
            <w:shd w:val="clear" w:color="auto" w:fill="auto"/>
            <w:noWrap/>
            <w:vAlign w:val="bottom"/>
            <w:hideMark/>
          </w:tcPr>
          <w:p w14:paraId="43147E54" w14:textId="77777777" w:rsidR="00BE6461" w:rsidRPr="00BE6461" w:rsidRDefault="00BE6461" w:rsidP="00BE6461">
            <w:pPr>
              <w:jc w:val="right"/>
              <w:rPr>
                <w:b/>
                <w:bCs/>
                <w:color w:val="333333"/>
                <w:sz w:val="20"/>
                <w:szCs w:val="20"/>
              </w:rPr>
            </w:pPr>
            <w:r w:rsidRPr="00BE6461">
              <w:rPr>
                <w:b/>
                <w:bCs/>
                <w:color w:val="333333"/>
                <w:sz w:val="20"/>
                <w:szCs w:val="20"/>
              </w:rPr>
              <w:t>14.316,34</w:t>
            </w:r>
          </w:p>
        </w:tc>
        <w:tc>
          <w:tcPr>
            <w:tcW w:w="1100" w:type="dxa"/>
            <w:tcBorders>
              <w:top w:val="nil"/>
              <w:left w:val="nil"/>
              <w:bottom w:val="nil"/>
              <w:right w:val="nil"/>
            </w:tcBorders>
            <w:shd w:val="clear" w:color="auto" w:fill="auto"/>
            <w:noWrap/>
            <w:vAlign w:val="bottom"/>
            <w:hideMark/>
          </w:tcPr>
          <w:p w14:paraId="043F316A" w14:textId="77777777" w:rsidR="00BE6461" w:rsidRPr="00BE6461" w:rsidRDefault="00BE6461" w:rsidP="00BE6461">
            <w:pPr>
              <w:jc w:val="right"/>
              <w:rPr>
                <w:b/>
                <w:bCs/>
                <w:color w:val="333333"/>
                <w:sz w:val="20"/>
                <w:szCs w:val="20"/>
              </w:rPr>
            </w:pPr>
            <w:r w:rsidRPr="00BE6461">
              <w:rPr>
                <w:b/>
                <w:bCs/>
                <w:color w:val="333333"/>
                <w:sz w:val="20"/>
                <w:szCs w:val="20"/>
              </w:rPr>
              <w:t>55,71</w:t>
            </w:r>
          </w:p>
        </w:tc>
      </w:tr>
      <w:tr w:rsidR="00BE6461" w:rsidRPr="00BE6461" w14:paraId="1B5B22F3" w14:textId="77777777" w:rsidTr="00BE6461">
        <w:trPr>
          <w:trHeight w:val="300"/>
        </w:trPr>
        <w:tc>
          <w:tcPr>
            <w:tcW w:w="1703" w:type="dxa"/>
            <w:tcBorders>
              <w:top w:val="nil"/>
              <w:left w:val="nil"/>
              <w:bottom w:val="nil"/>
              <w:right w:val="nil"/>
            </w:tcBorders>
            <w:shd w:val="clear" w:color="auto" w:fill="auto"/>
            <w:noWrap/>
            <w:vAlign w:val="bottom"/>
            <w:hideMark/>
          </w:tcPr>
          <w:p w14:paraId="3D551C8A"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0534B600"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5236C5A3" w14:textId="77777777" w:rsidR="00BE6461" w:rsidRPr="00BE6461" w:rsidRDefault="00BE6461" w:rsidP="00BE6461">
            <w:pPr>
              <w:jc w:val="right"/>
              <w:rPr>
                <w:b/>
                <w:bCs/>
                <w:sz w:val="20"/>
                <w:szCs w:val="20"/>
              </w:rPr>
            </w:pPr>
            <w:r w:rsidRPr="00BE6461">
              <w:rPr>
                <w:b/>
                <w:bCs/>
                <w:sz w:val="20"/>
                <w:szCs w:val="20"/>
              </w:rPr>
              <w:t>2.000,00</w:t>
            </w:r>
          </w:p>
        </w:tc>
        <w:tc>
          <w:tcPr>
            <w:tcW w:w="1500" w:type="dxa"/>
            <w:tcBorders>
              <w:top w:val="nil"/>
              <w:left w:val="nil"/>
              <w:bottom w:val="nil"/>
              <w:right w:val="nil"/>
            </w:tcBorders>
            <w:shd w:val="clear" w:color="auto" w:fill="auto"/>
            <w:noWrap/>
            <w:vAlign w:val="bottom"/>
            <w:hideMark/>
          </w:tcPr>
          <w:p w14:paraId="1A48DB6E" w14:textId="77777777" w:rsidR="00BE6461" w:rsidRPr="00BE6461" w:rsidRDefault="00BE6461" w:rsidP="00BE6461">
            <w:pPr>
              <w:jc w:val="right"/>
              <w:rPr>
                <w:b/>
                <w:bCs/>
                <w:sz w:val="20"/>
                <w:szCs w:val="20"/>
              </w:rPr>
            </w:pPr>
            <w:r w:rsidRPr="00BE6461">
              <w:rPr>
                <w:b/>
                <w:bCs/>
                <w:sz w:val="20"/>
                <w:szCs w:val="20"/>
              </w:rPr>
              <w:t>5.819,33</w:t>
            </w:r>
          </w:p>
        </w:tc>
        <w:tc>
          <w:tcPr>
            <w:tcW w:w="1100" w:type="dxa"/>
            <w:tcBorders>
              <w:top w:val="nil"/>
              <w:left w:val="nil"/>
              <w:bottom w:val="nil"/>
              <w:right w:val="nil"/>
            </w:tcBorders>
            <w:shd w:val="clear" w:color="auto" w:fill="auto"/>
            <w:noWrap/>
            <w:vAlign w:val="bottom"/>
            <w:hideMark/>
          </w:tcPr>
          <w:p w14:paraId="7816BCEF" w14:textId="77777777" w:rsidR="00BE6461" w:rsidRPr="00BE6461" w:rsidRDefault="00BE6461" w:rsidP="00BE6461">
            <w:pPr>
              <w:jc w:val="right"/>
              <w:rPr>
                <w:b/>
                <w:bCs/>
                <w:sz w:val="20"/>
                <w:szCs w:val="20"/>
              </w:rPr>
            </w:pPr>
            <w:r w:rsidRPr="00BE6461">
              <w:rPr>
                <w:b/>
                <w:bCs/>
                <w:sz w:val="20"/>
                <w:szCs w:val="20"/>
              </w:rPr>
              <w:t>290,97</w:t>
            </w:r>
          </w:p>
        </w:tc>
      </w:tr>
      <w:tr w:rsidR="00BE6461" w:rsidRPr="00BE6461" w14:paraId="14256006" w14:textId="77777777" w:rsidTr="00BE6461">
        <w:trPr>
          <w:trHeight w:val="300"/>
        </w:trPr>
        <w:tc>
          <w:tcPr>
            <w:tcW w:w="1703" w:type="dxa"/>
            <w:tcBorders>
              <w:top w:val="nil"/>
              <w:left w:val="nil"/>
              <w:bottom w:val="nil"/>
              <w:right w:val="nil"/>
            </w:tcBorders>
            <w:shd w:val="clear" w:color="auto" w:fill="auto"/>
            <w:noWrap/>
            <w:vAlign w:val="bottom"/>
            <w:hideMark/>
          </w:tcPr>
          <w:p w14:paraId="12587D27" w14:textId="77777777" w:rsidR="00BE6461" w:rsidRPr="00BE6461" w:rsidRDefault="00BE6461" w:rsidP="00BE6461">
            <w:pPr>
              <w:rPr>
                <w:sz w:val="20"/>
                <w:szCs w:val="20"/>
              </w:rPr>
            </w:pPr>
            <w:r w:rsidRPr="00BE6461">
              <w:rPr>
                <w:sz w:val="20"/>
                <w:szCs w:val="20"/>
              </w:rPr>
              <w:lastRenderedPageBreak/>
              <w:t>3221</w:t>
            </w:r>
          </w:p>
        </w:tc>
        <w:tc>
          <w:tcPr>
            <w:tcW w:w="8457" w:type="dxa"/>
            <w:tcBorders>
              <w:top w:val="nil"/>
              <w:left w:val="nil"/>
              <w:bottom w:val="nil"/>
              <w:right w:val="nil"/>
            </w:tcBorders>
            <w:shd w:val="clear" w:color="auto" w:fill="auto"/>
            <w:vAlign w:val="bottom"/>
            <w:hideMark/>
          </w:tcPr>
          <w:p w14:paraId="67C5EF79" w14:textId="77777777" w:rsidR="00BE6461" w:rsidRPr="00BE6461" w:rsidRDefault="00BE6461" w:rsidP="00BE6461">
            <w:pPr>
              <w:rPr>
                <w:sz w:val="20"/>
                <w:szCs w:val="20"/>
              </w:rPr>
            </w:pPr>
            <w:r w:rsidRPr="00BE6461">
              <w:rPr>
                <w:sz w:val="20"/>
                <w:szCs w:val="20"/>
              </w:rPr>
              <w:t xml:space="preserve">Uredski materijal i ostali materijalni rashodi                                                      </w:t>
            </w:r>
          </w:p>
        </w:tc>
        <w:tc>
          <w:tcPr>
            <w:tcW w:w="1503" w:type="dxa"/>
            <w:tcBorders>
              <w:top w:val="nil"/>
              <w:left w:val="nil"/>
              <w:bottom w:val="nil"/>
              <w:right w:val="nil"/>
            </w:tcBorders>
            <w:shd w:val="clear" w:color="auto" w:fill="auto"/>
            <w:noWrap/>
            <w:vAlign w:val="bottom"/>
            <w:hideMark/>
          </w:tcPr>
          <w:p w14:paraId="2F80D88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CFFE8F7" w14:textId="77777777" w:rsidR="00BE6461" w:rsidRPr="00BE6461" w:rsidRDefault="00BE6461" w:rsidP="00BE6461">
            <w:pPr>
              <w:jc w:val="right"/>
              <w:rPr>
                <w:sz w:val="20"/>
                <w:szCs w:val="20"/>
              </w:rPr>
            </w:pPr>
            <w:r w:rsidRPr="00BE6461">
              <w:rPr>
                <w:sz w:val="20"/>
                <w:szCs w:val="20"/>
              </w:rPr>
              <w:t>5.819,33</w:t>
            </w:r>
          </w:p>
        </w:tc>
        <w:tc>
          <w:tcPr>
            <w:tcW w:w="1100" w:type="dxa"/>
            <w:tcBorders>
              <w:top w:val="nil"/>
              <w:left w:val="nil"/>
              <w:bottom w:val="nil"/>
              <w:right w:val="nil"/>
            </w:tcBorders>
            <w:shd w:val="clear" w:color="auto" w:fill="auto"/>
            <w:noWrap/>
            <w:vAlign w:val="bottom"/>
            <w:hideMark/>
          </w:tcPr>
          <w:p w14:paraId="00994CD6" w14:textId="77777777" w:rsidR="00BE6461" w:rsidRPr="00BE6461" w:rsidRDefault="00BE6461" w:rsidP="00BE6461">
            <w:pPr>
              <w:jc w:val="right"/>
              <w:rPr>
                <w:sz w:val="20"/>
                <w:szCs w:val="20"/>
              </w:rPr>
            </w:pPr>
          </w:p>
        </w:tc>
      </w:tr>
      <w:tr w:rsidR="00BE6461" w:rsidRPr="00BE6461" w14:paraId="1FEFE974" w14:textId="77777777" w:rsidTr="00BE6461">
        <w:trPr>
          <w:trHeight w:val="300"/>
        </w:trPr>
        <w:tc>
          <w:tcPr>
            <w:tcW w:w="1703" w:type="dxa"/>
            <w:tcBorders>
              <w:top w:val="nil"/>
              <w:left w:val="nil"/>
              <w:bottom w:val="nil"/>
              <w:right w:val="nil"/>
            </w:tcBorders>
            <w:shd w:val="clear" w:color="auto" w:fill="auto"/>
            <w:noWrap/>
            <w:vAlign w:val="bottom"/>
            <w:hideMark/>
          </w:tcPr>
          <w:p w14:paraId="78E17515"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7C55A717"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7CF81AB5" w14:textId="77777777" w:rsidR="00BE6461" w:rsidRPr="00BE6461" w:rsidRDefault="00BE6461" w:rsidP="00BE6461">
            <w:pPr>
              <w:jc w:val="right"/>
              <w:rPr>
                <w:b/>
                <w:bCs/>
                <w:sz w:val="20"/>
                <w:szCs w:val="20"/>
              </w:rPr>
            </w:pPr>
            <w:r w:rsidRPr="00BE6461">
              <w:rPr>
                <w:b/>
                <w:bCs/>
                <w:sz w:val="20"/>
                <w:szCs w:val="20"/>
              </w:rPr>
              <w:t>23.697,62</w:t>
            </w:r>
          </w:p>
        </w:tc>
        <w:tc>
          <w:tcPr>
            <w:tcW w:w="1500" w:type="dxa"/>
            <w:tcBorders>
              <w:top w:val="nil"/>
              <w:left w:val="nil"/>
              <w:bottom w:val="nil"/>
              <w:right w:val="nil"/>
            </w:tcBorders>
            <w:shd w:val="clear" w:color="auto" w:fill="auto"/>
            <w:noWrap/>
            <w:vAlign w:val="bottom"/>
            <w:hideMark/>
          </w:tcPr>
          <w:p w14:paraId="55258D9C" w14:textId="77777777" w:rsidR="00BE6461" w:rsidRPr="00BE6461" w:rsidRDefault="00BE6461" w:rsidP="00BE6461">
            <w:pPr>
              <w:jc w:val="right"/>
              <w:rPr>
                <w:b/>
                <w:bCs/>
                <w:sz w:val="20"/>
                <w:szCs w:val="20"/>
              </w:rPr>
            </w:pPr>
            <w:r w:rsidRPr="00BE6461">
              <w:rPr>
                <w:b/>
                <w:bCs/>
                <w:sz w:val="20"/>
                <w:szCs w:val="20"/>
              </w:rPr>
              <w:t>8.497,01</w:t>
            </w:r>
          </w:p>
        </w:tc>
        <w:tc>
          <w:tcPr>
            <w:tcW w:w="1100" w:type="dxa"/>
            <w:tcBorders>
              <w:top w:val="nil"/>
              <w:left w:val="nil"/>
              <w:bottom w:val="nil"/>
              <w:right w:val="nil"/>
            </w:tcBorders>
            <w:shd w:val="clear" w:color="auto" w:fill="auto"/>
            <w:noWrap/>
            <w:vAlign w:val="bottom"/>
            <w:hideMark/>
          </w:tcPr>
          <w:p w14:paraId="1CB67D41" w14:textId="77777777" w:rsidR="00BE6461" w:rsidRPr="00BE6461" w:rsidRDefault="00BE6461" w:rsidP="00BE6461">
            <w:pPr>
              <w:jc w:val="right"/>
              <w:rPr>
                <w:b/>
                <w:bCs/>
                <w:sz w:val="20"/>
                <w:szCs w:val="20"/>
              </w:rPr>
            </w:pPr>
            <w:r w:rsidRPr="00BE6461">
              <w:rPr>
                <w:b/>
                <w:bCs/>
                <w:sz w:val="20"/>
                <w:szCs w:val="20"/>
              </w:rPr>
              <w:t>35,86</w:t>
            </w:r>
          </w:p>
        </w:tc>
      </w:tr>
      <w:tr w:rsidR="00BE6461" w:rsidRPr="00BE6461" w14:paraId="4B494E0C" w14:textId="77777777" w:rsidTr="00BE6461">
        <w:trPr>
          <w:trHeight w:val="300"/>
        </w:trPr>
        <w:tc>
          <w:tcPr>
            <w:tcW w:w="1703" w:type="dxa"/>
            <w:tcBorders>
              <w:top w:val="nil"/>
              <w:left w:val="nil"/>
              <w:bottom w:val="nil"/>
              <w:right w:val="nil"/>
            </w:tcBorders>
            <w:shd w:val="clear" w:color="auto" w:fill="auto"/>
            <w:noWrap/>
            <w:vAlign w:val="bottom"/>
            <w:hideMark/>
          </w:tcPr>
          <w:p w14:paraId="51DBBB84" w14:textId="77777777" w:rsidR="00BE6461" w:rsidRPr="00BE6461" w:rsidRDefault="00BE6461" w:rsidP="00BE6461">
            <w:pPr>
              <w:rPr>
                <w:sz w:val="20"/>
                <w:szCs w:val="20"/>
              </w:rPr>
            </w:pPr>
            <w:r w:rsidRPr="00BE6461">
              <w:rPr>
                <w:sz w:val="20"/>
                <w:szCs w:val="20"/>
              </w:rPr>
              <w:t>3293</w:t>
            </w:r>
          </w:p>
        </w:tc>
        <w:tc>
          <w:tcPr>
            <w:tcW w:w="8457" w:type="dxa"/>
            <w:tcBorders>
              <w:top w:val="nil"/>
              <w:left w:val="nil"/>
              <w:bottom w:val="nil"/>
              <w:right w:val="nil"/>
            </w:tcBorders>
            <w:shd w:val="clear" w:color="auto" w:fill="auto"/>
            <w:vAlign w:val="bottom"/>
            <w:hideMark/>
          </w:tcPr>
          <w:p w14:paraId="75B58F84" w14:textId="77777777" w:rsidR="00BE6461" w:rsidRPr="00BE6461" w:rsidRDefault="00BE6461" w:rsidP="00BE6461">
            <w:pPr>
              <w:rPr>
                <w:sz w:val="20"/>
                <w:szCs w:val="20"/>
              </w:rPr>
            </w:pPr>
            <w:r w:rsidRPr="00BE6461">
              <w:rPr>
                <w:sz w:val="20"/>
                <w:szCs w:val="20"/>
              </w:rPr>
              <w:t xml:space="preserve">Reprezentacija                                                                                      </w:t>
            </w:r>
          </w:p>
        </w:tc>
        <w:tc>
          <w:tcPr>
            <w:tcW w:w="1503" w:type="dxa"/>
            <w:tcBorders>
              <w:top w:val="nil"/>
              <w:left w:val="nil"/>
              <w:bottom w:val="nil"/>
              <w:right w:val="nil"/>
            </w:tcBorders>
            <w:shd w:val="clear" w:color="auto" w:fill="auto"/>
            <w:noWrap/>
            <w:vAlign w:val="bottom"/>
            <w:hideMark/>
          </w:tcPr>
          <w:p w14:paraId="514FAF9E"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9111331" w14:textId="77777777" w:rsidR="00BE6461" w:rsidRPr="00BE6461" w:rsidRDefault="00BE6461" w:rsidP="00BE6461">
            <w:pPr>
              <w:jc w:val="right"/>
              <w:rPr>
                <w:sz w:val="20"/>
                <w:szCs w:val="20"/>
              </w:rPr>
            </w:pPr>
            <w:r w:rsidRPr="00BE6461">
              <w:rPr>
                <w:sz w:val="20"/>
                <w:szCs w:val="20"/>
              </w:rPr>
              <w:t>8.497,01</w:t>
            </w:r>
          </w:p>
        </w:tc>
        <w:tc>
          <w:tcPr>
            <w:tcW w:w="1100" w:type="dxa"/>
            <w:tcBorders>
              <w:top w:val="nil"/>
              <w:left w:val="nil"/>
              <w:bottom w:val="nil"/>
              <w:right w:val="nil"/>
            </w:tcBorders>
            <w:shd w:val="clear" w:color="auto" w:fill="auto"/>
            <w:noWrap/>
            <w:vAlign w:val="bottom"/>
            <w:hideMark/>
          </w:tcPr>
          <w:p w14:paraId="1F1A33FE" w14:textId="77777777" w:rsidR="00BE6461" w:rsidRPr="00BE6461" w:rsidRDefault="00BE6461" w:rsidP="00BE6461">
            <w:pPr>
              <w:jc w:val="right"/>
              <w:rPr>
                <w:sz w:val="20"/>
                <w:szCs w:val="20"/>
              </w:rPr>
            </w:pPr>
          </w:p>
        </w:tc>
      </w:tr>
      <w:tr w:rsidR="00BE6461" w:rsidRPr="00BE6461" w14:paraId="632EA8A3" w14:textId="77777777" w:rsidTr="00BE6461">
        <w:trPr>
          <w:trHeight w:val="495"/>
        </w:trPr>
        <w:tc>
          <w:tcPr>
            <w:tcW w:w="10160" w:type="dxa"/>
            <w:gridSpan w:val="2"/>
            <w:tcBorders>
              <w:top w:val="single" w:sz="4" w:space="0" w:color="auto"/>
              <w:left w:val="nil"/>
              <w:bottom w:val="single" w:sz="4" w:space="0" w:color="auto"/>
              <w:right w:val="nil"/>
            </w:tcBorders>
            <w:shd w:val="clear" w:color="auto" w:fill="auto"/>
            <w:noWrap/>
            <w:vAlign w:val="bottom"/>
            <w:hideMark/>
          </w:tcPr>
          <w:p w14:paraId="5643F3BB" w14:textId="77777777" w:rsidR="00BE6461" w:rsidRPr="00BE6461" w:rsidRDefault="00BE6461" w:rsidP="00BE6461">
            <w:pPr>
              <w:rPr>
                <w:b/>
                <w:bCs/>
                <w:sz w:val="20"/>
                <w:szCs w:val="20"/>
              </w:rPr>
            </w:pPr>
            <w:r w:rsidRPr="00BE6461">
              <w:rPr>
                <w:b/>
                <w:bCs/>
                <w:sz w:val="20"/>
                <w:szCs w:val="20"/>
              </w:rPr>
              <w:t>GLAVA 00102 UPRAVNI ODJEL ZA OPĆE POSLOVE</w:t>
            </w:r>
          </w:p>
        </w:tc>
        <w:tc>
          <w:tcPr>
            <w:tcW w:w="1503" w:type="dxa"/>
            <w:tcBorders>
              <w:top w:val="single" w:sz="4" w:space="0" w:color="auto"/>
              <w:left w:val="nil"/>
              <w:bottom w:val="single" w:sz="4" w:space="0" w:color="auto"/>
              <w:right w:val="nil"/>
            </w:tcBorders>
            <w:shd w:val="clear" w:color="auto" w:fill="auto"/>
            <w:noWrap/>
            <w:vAlign w:val="bottom"/>
            <w:hideMark/>
          </w:tcPr>
          <w:p w14:paraId="07EA30D1" w14:textId="77777777" w:rsidR="00BE6461" w:rsidRPr="00BE6461" w:rsidRDefault="00BE6461" w:rsidP="00BE6461">
            <w:pPr>
              <w:jc w:val="right"/>
              <w:rPr>
                <w:b/>
                <w:bCs/>
                <w:sz w:val="20"/>
                <w:szCs w:val="20"/>
              </w:rPr>
            </w:pPr>
            <w:r w:rsidRPr="00BE6461">
              <w:rPr>
                <w:b/>
                <w:bCs/>
                <w:sz w:val="20"/>
                <w:szCs w:val="20"/>
              </w:rPr>
              <w:t>9.557.143,35</w:t>
            </w:r>
          </w:p>
        </w:tc>
        <w:tc>
          <w:tcPr>
            <w:tcW w:w="1500" w:type="dxa"/>
            <w:tcBorders>
              <w:top w:val="single" w:sz="4" w:space="0" w:color="auto"/>
              <w:left w:val="nil"/>
              <w:bottom w:val="single" w:sz="4" w:space="0" w:color="auto"/>
              <w:right w:val="nil"/>
            </w:tcBorders>
            <w:shd w:val="clear" w:color="auto" w:fill="auto"/>
            <w:noWrap/>
            <w:vAlign w:val="bottom"/>
            <w:hideMark/>
          </w:tcPr>
          <w:p w14:paraId="3E5F7A46" w14:textId="77777777" w:rsidR="00BE6461" w:rsidRPr="00BE6461" w:rsidRDefault="00BE6461" w:rsidP="00BE6461">
            <w:pPr>
              <w:jc w:val="right"/>
              <w:rPr>
                <w:b/>
                <w:bCs/>
                <w:sz w:val="20"/>
                <w:szCs w:val="20"/>
              </w:rPr>
            </w:pPr>
            <w:r w:rsidRPr="00BE6461">
              <w:rPr>
                <w:b/>
                <w:bCs/>
                <w:sz w:val="20"/>
                <w:szCs w:val="20"/>
              </w:rPr>
              <w:t>8.416.616,69</w:t>
            </w:r>
          </w:p>
        </w:tc>
        <w:tc>
          <w:tcPr>
            <w:tcW w:w="1100" w:type="dxa"/>
            <w:tcBorders>
              <w:top w:val="single" w:sz="4" w:space="0" w:color="auto"/>
              <w:left w:val="nil"/>
              <w:bottom w:val="single" w:sz="4" w:space="0" w:color="auto"/>
              <w:right w:val="nil"/>
            </w:tcBorders>
            <w:shd w:val="clear" w:color="auto" w:fill="auto"/>
            <w:noWrap/>
            <w:vAlign w:val="bottom"/>
            <w:hideMark/>
          </w:tcPr>
          <w:p w14:paraId="6FE299AE" w14:textId="77777777" w:rsidR="00BE6461" w:rsidRPr="00BE6461" w:rsidRDefault="00BE6461" w:rsidP="00BE6461">
            <w:pPr>
              <w:jc w:val="right"/>
              <w:rPr>
                <w:b/>
                <w:bCs/>
                <w:sz w:val="20"/>
                <w:szCs w:val="20"/>
              </w:rPr>
            </w:pPr>
            <w:r w:rsidRPr="00BE6461">
              <w:rPr>
                <w:b/>
                <w:bCs/>
                <w:sz w:val="20"/>
                <w:szCs w:val="20"/>
              </w:rPr>
              <w:t>88,07</w:t>
            </w:r>
          </w:p>
        </w:tc>
      </w:tr>
      <w:tr w:rsidR="00BE6461" w:rsidRPr="00BE6461" w14:paraId="3BBC2E98"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0085BF2"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2BBC0784" w14:textId="77777777" w:rsidR="00BE6461" w:rsidRPr="00BE6461" w:rsidRDefault="00BE6461" w:rsidP="00BE6461">
            <w:pPr>
              <w:jc w:val="right"/>
              <w:rPr>
                <w:b/>
                <w:bCs/>
                <w:color w:val="333333"/>
                <w:sz w:val="20"/>
                <w:szCs w:val="20"/>
              </w:rPr>
            </w:pPr>
            <w:r w:rsidRPr="00BE6461">
              <w:rPr>
                <w:b/>
                <w:bCs/>
                <w:color w:val="333333"/>
                <w:sz w:val="20"/>
                <w:szCs w:val="20"/>
              </w:rPr>
              <w:t>8.181.455,85</w:t>
            </w:r>
          </w:p>
        </w:tc>
        <w:tc>
          <w:tcPr>
            <w:tcW w:w="1500" w:type="dxa"/>
            <w:tcBorders>
              <w:top w:val="nil"/>
              <w:left w:val="nil"/>
              <w:bottom w:val="nil"/>
              <w:right w:val="nil"/>
            </w:tcBorders>
            <w:shd w:val="clear" w:color="auto" w:fill="auto"/>
            <w:noWrap/>
            <w:vAlign w:val="bottom"/>
            <w:hideMark/>
          </w:tcPr>
          <w:p w14:paraId="67791A0F" w14:textId="77777777" w:rsidR="00BE6461" w:rsidRPr="00BE6461" w:rsidRDefault="00BE6461" w:rsidP="00BE6461">
            <w:pPr>
              <w:jc w:val="right"/>
              <w:rPr>
                <w:b/>
                <w:bCs/>
                <w:color w:val="333333"/>
                <w:sz w:val="20"/>
                <w:szCs w:val="20"/>
              </w:rPr>
            </w:pPr>
            <w:r w:rsidRPr="00BE6461">
              <w:rPr>
                <w:b/>
                <w:bCs/>
                <w:color w:val="333333"/>
                <w:sz w:val="20"/>
                <w:szCs w:val="20"/>
              </w:rPr>
              <w:t>7.106.336,07</w:t>
            </w:r>
          </w:p>
        </w:tc>
        <w:tc>
          <w:tcPr>
            <w:tcW w:w="1100" w:type="dxa"/>
            <w:tcBorders>
              <w:top w:val="nil"/>
              <w:left w:val="nil"/>
              <w:bottom w:val="nil"/>
              <w:right w:val="nil"/>
            </w:tcBorders>
            <w:shd w:val="clear" w:color="auto" w:fill="auto"/>
            <w:noWrap/>
            <w:vAlign w:val="bottom"/>
            <w:hideMark/>
          </w:tcPr>
          <w:p w14:paraId="2BE999C0" w14:textId="77777777" w:rsidR="00BE6461" w:rsidRPr="00BE6461" w:rsidRDefault="00BE6461" w:rsidP="00BE6461">
            <w:pPr>
              <w:jc w:val="right"/>
              <w:rPr>
                <w:b/>
                <w:bCs/>
                <w:color w:val="333333"/>
                <w:sz w:val="20"/>
                <w:szCs w:val="20"/>
              </w:rPr>
            </w:pPr>
            <w:r w:rsidRPr="00BE6461">
              <w:rPr>
                <w:b/>
                <w:bCs/>
                <w:color w:val="333333"/>
                <w:sz w:val="20"/>
                <w:szCs w:val="20"/>
              </w:rPr>
              <w:t>86,86</w:t>
            </w:r>
          </w:p>
        </w:tc>
      </w:tr>
      <w:tr w:rsidR="00BE6461" w:rsidRPr="00BE6461" w14:paraId="56E4A05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D5460E0"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69153B2D" w14:textId="77777777" w:rsidR="00BE6461" w:rsidRPr="00BE6461" w:rsidRDefault="00BE6461" w:rsidP="00BE6461">
            <w:pPr>
              <w:jc w:val="right"/>
              <w:rPr>
                <w:b/>
                <w:bCs/>
                <w:color w:val="333333"/>
                <w:sz w:val="20"/>
                <w:szCs w:val="20"/>
              </w:rPr>
            </w:pPr>
            <w:r w:rsidRPr="00BE6461">
              <w:rPr>
                <w:b/>
                <w:bCs/>
                <w:color w:val="333333"/>
                <w:sz w:val="20"/>
                <w:szCs w:val="20"/>
              </w:rPr>
              <w:t>8.181.455,85</w:t>
            </w:r>
          </w:p>
        </w:tc>
        <w:tc>
          <w:tcPr>
            <w:tcW w:w="1500" w:type="dxa"/>
            <w:tcBorders>
              <w:top w:val="nil"/>
              <w:left w:val="nil"/>
              <w:bottom w:val="nil"/>
              <w:right w:val="nil"/>
            </w:tcBorders>
            <w:shd w:val="clear" w:color="auto" w:fill="auto"/>
            <w:noWrap/>
            <w:vAlign w:val="bottom"/>
            <w:hideMark/>
          </w:tcPr>
          <w:p w14:paraId="6E8C2A53" w14:textId="77777777" w:rsidR="00BE6461" w:rsidRPr="00BE6461" w:rsidRDefault="00BE6461" w:rsidP="00BE6461">
            <w:pPr>
              <w:jc w:val="right"/>
              <w:rPr>
                <w:b/>
                <w:bCs/>
                <w:color w:val="333333"/>
                <w:sz w:val="20"/>
                <w:szCs w:val="20"/>
              </w:rPr>
            </w:pPr>
            <w:r w:rsidRPr="00BE6461">
              <w:rPr>
                <w:b/>
                <w:bCs/>
                <w:color w:val="333333"/>
                <w:sz w:val="20"/>
                <w:szCs w:val="20"/>
              </w:rPr>
              <w:t>7.106.336,07</w:t>
            </w:r>
          </w:p>
        </w:tc>
        <w:tc>
          <w:tcPr>
            <w:tcW w:w="1100" w:type="dxa"/>
            <w:tcBorders>
              <w:top w:val="nil"/>
              <w:left w:val="nil"/>
              <w:bottom w:val="nil"/>
              <w:right w:val="nil"/>
            </w:tcBorders>
            <w:shd w:val="clear" w:color="auto" w:fill="auto"/>
            <w:noWrap/>
            <w:vAlign w:val="bottom"/>
            <w:hideMark/>
          </w:tcPr>
          <w:p w14:paraId="1240B175" w14:textId="77777777" w:rsidR="00BE6461" w:rsidRPr="00BE6461" w:rsidRDefault="00BE6461" w:rsidP="00BE6461">
            <w:pPr>
              <w:jc w:val="right"/>
              <w:rPr>
                <w:b/>
                <w:bCs/>
                <w:color w:val="333333"/>
                <w:sz w:val="20"/>
                <w:szCs w:val="20"/>
              </w:rPr>
            </w:pPr>
            <w:r w:rsidRPr="00BE6461">
              <w:rPr>
                <w:b/>
                <w:bCs/>
                <w:color w:val="333333"/>
                <w:sz w:val="20"/>
                <w:szCs w:val="20"/>
              </w:rPr>
              <w:t>86,86</w:t>
            </w:r>
          </w:p>
        </w:tc>
      </w:tr>
      <w:tr w:rsidR="00BE6461" w:rsidRPr="00BE6461" w14:paraId="35C2A430"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BE8AE82"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487B76D6" w14:textId="77777777" w:rsidR="00BE6461" w:rsidRPr="00BE6461" w:rsidRDefault="00BE6461" w:rsidP="00BE6461">
            <w:pPr>
              <w:jc w:val="right"/>
              <w:rPr>
                <w:b/>
                <w:bCs/>
                <w:color w:val="333333"/>
                <w:sz w:val="20"/>
                <w:szCs w:val="20"/>
              </w:rPr>
            </w:pPr>
            <w:r w:rsidRPr="00BE6461">
              <w:rPr>
                <w:b/>
                <w:bCs/>
                <w:color w:val="333333"/>
                <w:sz w:val="20"/>
                <w:szCs w:val="20"/>
              </w:rPr>
              <w:t>265.400,00</w:t>
            </w:r>
          </w:p>
        </w:tc>
        <w:tc>
          <w:tcPr>
            <w:tcW w:w="1500" w:type="dxa"/>
            <w:tcBorders>
              <w:top w:val="nil"/>
              <w:left w:val="nil"/>
              <w:bottom w:val="nil"/>
              <w:right w:val="nil"/>
            </w:tcBorders>
            <w:shd w:val="clear" w:color="auto" w:fill="auto"/>
            <w:noWrap/>
            <w:vAlign w:val="bottom"/>
            <w:hideMark/>
          </w:tcPr>
          <w:p w14:paraId="438ABFC4" w14:textId="77777777" w:rsidR="00BE6461" w:rsidRPr="00BE6461" w:rsidRDefault="00BE6461" w:rsidP="00BE6461">
            <w:pPr>
              <w:jc w:val="right"/>
              <w:rPr>
                <w:b/>
                <w:bCs/>
                <w:color w:val="333333"/>
                <w:sz w:val="20"/>
                <w:szCs w:val="20"/>
              </w:rPr>
            </w:pPr>
            <w:r w:rsidRPr="00BE6461">
              <w:rPr>
                <w:b/>
                <w:bCs/>
                <w:color w:val="333333"/>
                <w:sz w:val="20"/>
                <w:szCs w:val="20"/>
              </w:rPr>
              <w:t>220.765,74</w:t>
            </w:r>
          </w:p>
        </w:tc>
        <w:tc>
          <w:tcPr>
            <w:tcW w:w="1100" w:type="dxa"/>
            <w:tcBorders>
              <w:top w:val="nil"/>
              <w:left w:val="nil"/>
              <w:bottom w:val="nil"/>
              <w:right w:val="nil"/>
            </w:tcBorders>
            <w:shd w:val="clear" w:color="auto" w:fill="auto"/>
            <w:noWrap/>
            <w:vAlign w:val="bottom"/>
            <w:hideMark/>
          </w:tcPr>
          <w:p w14:paraId="3CEB9BBE" w14:textId="77777777" w:rsidR="00BE6461" w:rsidRPr="00BE6461" w:rsidRDefault="00BE6461" w:rsidP="00BE6461">
            <w:pPr>
              <w:jc w:val="right"/>
              <w:rPr>
                <w:b/>
                <w:bCs/>
                <w:color w:val="333333"/>
                <w:sz w:val="20"/>
                <w:szCs w:val="20"/>
              </w:rPr>
            </w:pPr>
            <w:r w:rsidRPr="00BE6461">
              <w:rPr>
                <w:b/>
                <w:bCs/>
                <w:color w:val="333333"/>
                <w:sz w:val="20"/>
                <w:szCs w:val="20"/>
              </w:rPr>
              <w:t>83,18</w:t>
            </w:r>
          </w:p>
        </w:tc>
      </w:tr>
      <w:tr w:rsidR="00BE6461" w:rsidRPr="00BE6461" w14:paraId="770234B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72188F4" w14:textId="77777777" w:rsidR="00BE6461" w:rsidRPr="00BE6461" w:rsidRDefault="00BE6461" w:rsidP="00BE6461">
            <w:pPr>
              <w:rPr>
                <w:b/>
                <w:bCs/>
                <w:color w:val="333333"/>
                <w:sz w:val="20"/>
                <w:szCs w:val="20"/>
              </w:rPr>
            </w:pPr>
            <w:r w:rsidRPr="00BE6461">
              <w:rPr>
                <w:b/>
                <w:bCs/>
                <w:color w:val="333333"/>
                <w:sz w:val="20"/>
                <w:szCs w:val="20"/>
              </w:rPr>
              <w:t>Izvor 4.3. PRIHODI POSEBNE NAMJENE - BORAVIŠNE PRISTOJBE</w:t>
            </w:r>
          </w:p>
        </w:tc>
        <w:tc>
          <w:tcPr>
            <w:tcW w:w="1503" w:type="dxa"/>
            <w:tcBorders>
              <w:top w:val="nil"/>
              <w:left w:val="nil"/>
              <w:bottom w:val="nil"/>
              <w:right w:val="nil"/>
            </w:tcBorders>
            <w:shd w:val="clear" w:color="auto" w:fill="auto"/>
            <w:noWrap/>
            <w:vAlign w:val="bottom"/>
            <w:hideMark/>
          </w:tcPr>
          <w:p w14:paraId="2C8F9F01" w14:textId="77777777" w:rsidR="00BE6461" w:rsidRPr="00BE6461" w:rsidRDefault="00BE6461" w:rsidP="00BE6461">
            <w:pPr>
              <w:jc w:val="right"/>
              <w:rPr>
                <w:b/>
                <w:bCs/>
                <w:color w:val="333333"/>
                <w:sz w:val="20"/>
                <w:szCs w:val="20"/>
              </w:rPr>
            </w:pPr>
            <w:r w:rsidRPr="00BE6461">
              <w:rPr>
                <w:b/>
                <w:bCs/>
                <w:color w:val="333333"/>
                <w:sz w:val="20"/>
                <w:szCs w:val="20"/>
              </w:rPr>
              <w:t>100.000,00</w:t>
            </w:r>
          </w:p>
        </w:tc>
        <w:tc>
          <w:tcPr>
            <w:tcW w:w="1500" w:type="dxa"/>
            <w:tcBorders>
              <w:top w:val="nil"/>
              <w:left w:val="nil"/>
              <w:bottom w:val="nil"/>
              <w:right w:val="nil"/>
            </w:tcBorders>
            <w:shd w:val="clear" w:color="auto" w:fill="auto"/>
            <w:noWrap/>
            <w:vAlign w:val="bottom"/>
            <w:hideMark/>
          </w:tcPr>
          <w:p w14:paraId="1CD3C334" w14:textId="77777777" w:rsidR="00BE6461" w:rsidRPr="00BE6461" w:rsidRDefault="00BE6461" w:rsidP="00BE6461">
            <w:pPr>
              <w:jc w:val="right"/>
              <w:rPr>
                <w:b/>
                <w:bCs/>
                <w:color w:val="333333"/>
                <w:sz w:val="20"/>
                <w:szCs w:val="20"/>
              </w:rPr>
            </w:pPr>
            <w:r w:rsidRPr="00BE6461">
              <w:rPr>
                <w:b/>
                <w:bCs/>
                <w:color w:val="333333"/>
                <w:sz w:val="20"/>
                <w:szCs w:val="20"/>
              </w:rPr>
              <w:t>100.000,00</w:t>
            </w:r>
          </w:p>
        </w:tc>
        <w:tc>
          <w:tcPr>
            <w:tcW w:w="1100" w:type="dxa"/>
            <w:tcBorders>
              <w:top w:val="nil"/>
              <w:left w:val="nil"/>
              <w:bottom w:val="nil"/>
              <w:right w:val="nil"/>
            </w:tcBorders>
            <w:shd w:val="clear" w:color="auto" w:fill="auto"/>
            <w:noWrap/>
            <w:vAlign w:val="bottom"/>
            <w:hideMark/>
          </w:tcPr>
          <w:p w14:paraId="02F47391"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765CBB32"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AACAB9F" w14:textId="77777777" w:rsidR="00BE6461" w:rsidRPr="00BE6461" w:rsidRDefault="00BE6461" w:rsidP="00BE6461">
            <w:pPr>
              <w:rPr>
                <w:b/>
                <w:bCs/>
                <w:color w:val="333333"/>
                <w:sz w:val="20"/>
                <w:szCs w:val="20"/>
              </w:rPr>
            </w:pPr>
            <w:r w:rsidRPr="00BE6461">
              <w:rPr>
                <w:b/>
                <w:bCs/>
                <w:color w:val="333333"/>
                <w:sz w:val="20"/>
                <w:szCs w:val="20"/>
              </w:rPr>
              <w:t>Izvor 4.5. PRIHODI POSEBNE NAMJENE - POLJOPRIVREDNO ZEMLJIŠTE RH</w:t>
            </w:r>
          </w:p>
        </w:tc>
        <w:tc>
          <w:tcPr>
            <w:tcW w:w="1503" w:type="dxa"/>
            <w:tcBorders>
              <w:top w:val="nil"/>
              <w:left w:val="nil"/>
              <w:bottom w:val="nil"/>
              <w:right w:val="nil"/>
            </w:tcBorders>
            <w:shd w:val="clear" w:color="auto" w:fill="auto"/>
            <w:noWrap/>
            <w:vAlign w:val="bottom"/>
            <w:hideMark/>
          </w:tcPr>
          <w:p w14:paraId="3D40AF3B" w14:textId="77777777" w:rsidR="00BE6461" w:rsidRPr="00BE6461" w:rsidRDefault="00BE6461" w:rsidP="00BE6461">
            <w:pPr>
              <w:jc w:val="right"/>
              <w:rPr>
                <w:b/>
                <w:bCs/>
                <w:color w:val="333333"/>
                <w:sz w:val="20"/>
                <w:szCs w:val="20"/>
              </w:rPr>
            </w:pPr>
            <w:r w:rsidRPr="00BE6461">
              <w:rPr>
                <w:b/>
                <w:bCs/>
                <w:color w:val="333333"/>
                <w:sz w:val="20"/>
                <w:szCs w:val="20"/>
              </w:rPr>
              <w:t>165.400,00</w:t>
            </w:r>
          </w:p>
        </w:tc>
        <w:tc>
          <w:tcPr>
            <w:tcW w:w="1500" w:type="dxa"/>
            <w:tcBorders>
              <w:top w:val="nil"/>
              <w:left w:val="nil"/>
              <w:bottom w:val="nil"/>
              <w:right w:val="nil"/>
            </w:tcBorders>
            <w:shd w:val="clear" w:color="auto" w:fill="auto"/>
            <w:noWrap/>
            <w:vAlign w:val="bottom"/>
            <w:hideMark/>
          </w:tcPr>
          <w:p w14:paraId="758F344F" w14:textId="77777777" w:rsidR="00BE6461" w:rsidRPr="00BE6461" w:rsidRDefault="00BE6461" w:rsidP="00BE6461">
            <w:pPr>
              <w:jc w:val="right"/>
              <w:rPr>
                <w:b/>
                <w:bCs/>
                <w:color w:val="333333"/>
                <w:sz w:val="20"/>
                <w:szCs w:val="20"/>
              </w:rPr>
            </w:pPr>
            <w:r w:rsidRPr="00BE6461">
              <w:rPr>
                <w:b/>
                <w:bCs/>
                <w:color w:val="333333"/>
                <w:sz w:val="20"/>
                <w:szCs w:val="20"/>
              </w:rPr>
              <w:t>120.765,74</w:t>
            </w:r>
          </w:p>
        </w:tc>
        <w:tc>
          <w:tcPr>
            <w:tcW w:w="1100" w:type="dxa"/>
            <w:tcBorders>
              <w:top w:val="nil"/>
              <w:left w:val="nil"/>
              <w:bottom w:val="nil"/>
              <w:right w:val="nil"/>
            </w:tcBorders>
            <w:shd w:val="clear" w:color="auto" w:fill="auto"/>
            <w:noWrap/>
            <w:vAlign w:val="bottom"/>
            <w:hideMark/>
          </w:tcPr>
          <w:p w14:paraId="11D6BEA7" w14:textId="77777777" w:rsidR="00BE6461" w:rsidRPr="00BE6461" w:rsidRDefault="00BE6461" w:rsidP="00BE6461">
            <w:pPr>
              <w:jc w:val="right"/>
              <w:rPr>
                <w:b/>
                <w:bCs/>
                <w:color w:val="333333"/>
                <w:sz w:val="20"/>
                <w:szCs w:val="20"/>
              </w:rPr>
            </w:pPr>
            <w:r w:rsidRPr="00BE6461">
              <w:rPr>
                <w:b/>
                <w:bCs/>
                <w:color w:val="333333"/>
                <w:sz w:val="20"/>
                <w:szCs w:val="20"/>
              </w:rPr>
              <w:t>73,01</w:t>
            </w:r>
          </w:p>
        </w:tc>
      </w:tr>
      <w:tr w:rsidR="00BE6461" w:rsidRPr="00BE6461" w14:paraId="621DC36F"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E8665A6" w14:textId="77777777" w:rsidR="00BE6461" w:rsidRPr="00BE6461" w:rsidRDefault="00BE6461" w:rsidP="00BE6461">
            <w:pPr>
              <w:rPr>
                <w:b/>
                <w:bCs/>
                <w:color w:val="333333"/>
                <w:sz w:val="20"/>
                <w:szCs w:val="20"/>
              </w:rPr>
            </w:pPr>
            <w:r w:rsidRPr="00BE6461">
              <w:rPr>
                <w:b/>
                <w:bCs/>
                <w:color w:val="333333"/>
                <w:sz w:val="20"/>
                <w:szCs w:val="20"/>
              </w:rPr>
              <w:t>Izvor 5. POMOĆI</w:t>
            </w:r>
          </w:p>
        </w:tc>
        <w:tc>
          <w:tcPr>
            <w:tcW w:w="1503" w:type="dxa"/>
            <w:tcBorders>
              <w:top w:val="nil"/>
              <w:left w:val="nil"/>
              <w:bottom w:val="nil"/>
              <w:right w:val="nil"/>
            </w:tcBorders>
            <w:shd w:val="clear" w:color="auto" w:fill="auto"/>
            <w:noWrap/>
            <w:vAlign w:val="bottom"/>
            <w:hideMark/>
          </w:tcPr>
          <w:p w14:paraId="64F66E24" w14:textId="77777777" w:rsidR="00BE6461" w:rsidRPr="00BE6461" w:rsidRDefault="00BE6461" w:rsidP="00BE6461">
            <w:pPr>
              <w:jc w:val="right"/>
              <w:rPr>
                <w:b/>
                <w:bCs/>
                <w:color w:val="333333"/>
                <w:sz w:val="20"/>
                <w:szCs w:val="20"/>
              </w:rPr>
            </w:pPr>
            <w:r w:rsidRPr="00BE6461">
              <w:rPr>
                <w:b/>
                <w:bCs/>
                <w:color w:val="333333"/>
                <w:sz w:val="20"/>
                <w:szCs w:val="20"/>
              </w:rPr>
              <w:t>163.787,50</w:t>
            </w:r>
          </w:p>
        </w:tc>
        <w:tc>
          <w:tcPr>
            <w:tcW w:w="1500" w:type="dxa"/>
            <w:tcBorders>
              <w:top w:val="nil"/>
              <w:left w:val="nil"/>
              <w:bottom w:val="nil"/>
              <w:right w:val="nil"/>
            </w:tcBorders>
            <w:shd w:val="clear" w:color="auto" w:fill="auto"/>
            <w:noWrap/>
            <w:vAlign w:val="bottom"/>
            <w:hideMark/>
          </w:tcPr>
          <w:p w14:paraId="5CEC36F0" w14:textId="77777777" w:rsidR="00BE6461" w:rsidRPr="00BE6461" w:rsidRDefault="00BE6461" w:rsidP="00BE6461">
            <w:pPr>
              <w:jc w:val="right"/>
              <w:rPr>
                <w:b/>
                <w:bCs/>
                <w:color w:val="333333"/>
                <w:sz w:val="20"/>
                <w:szCs w:val="20"/>
              </w:rPr>
            </w:pPr>
            <w:r w:rsidRPr="00BE6461">
              <w:rPr>
                <w:b/>
                <w:bCs/>
                <w:color w:val="333333"/>
                <w:sz w:val="20"/>
                <w:szCs w:val="20"/>
              </w:rPr>
              <w:t>160.637,50</w:t>
            </w:r>
          </w:p>
        </w:tc>
        <w:tc>
          <w:tcPr>
            <w:tcW w:w="1100" w:type="dxa"/>
            <w:tcBorders>
              <w:top w:val="nil"/>
              <w:left w:val="nil"/>
              <w:bottom w:val="nil"/>
              <w:right w:val="nil"/>
            </w:tcBorders>
            <w:shd w:val="clear" w:color="auto" w:fill="auto"/>
            <w:noWrap/>
            <w:vAlign w:val="bottom"/>
            <w:hideMark/>
          </w:tcPr>
          <w:p w14:paraId="6D04898C" w14:textId="77777777" w:rsidR="00BE6461" w:rsidRPr="00BE6461" w:rsidRDefault="00BE6461" w:rsidP="00BE6461">
            <w:pPr>
              <w:jc w:val="right"/>
              <w:rPr>
                <w:b/>
                <w:bCs/>
                <w:color w:val="333333"/>
                <w:sz w:val="20"/>
                <w:szCs w:val="20"/>
              </w:rPr>
            </w:pPr>
            <w:r w:rsidRPr="00BE6461">
              <w:rPr>
                <w:b/>
                <w:bCs/>
                <w:color w:val="333333"/>
                <w:sz w:val="20"/>
                <w:szCs w:val="20"/>
              </w:rPr>
              <w:t>98,08</w:t>
            </w:r>
          </w:p>
        </w:tc>
      </w:tr>
      <w:tr w:rsidR="00BE6461" w:rsidRPr="00BE6461" w14:paraId="60CC469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ADF51AB" w14:textId="77777777" w:rsidR="00BE6461" w:rsidRPr="00BE6461" w:rsidRDefault="00BE6461" w:rsidP="00BE6461">
            <w:pPr>
              <w:rPr>
                <w:b/>
                <w:bCs/>
                <w:color w:val="333333"/>
                <w:sz w:val="20"/>
                <w:szCs w:val="20"/>
              </w:rPr>
            </w:pPr>
            <w:r w:rsidRPr="00BE6461">
              <w:rPr>
                <w:b/>
                <w:bCs/>
                <w:color w:val="333333"/>
                <w:sz w:val="20"/>
                <w:szCs w:val="20"/>
              </w:rPr>
              <w:t>Izvor 5.1. POMOĆI</w:t>
            </w:r>
          </w:p>
        </w:tc>
        <w:tc>
          <w:tcPr>
            <w:tcW w:w="1503" w:type="dxa"/>
            <w:tcBorders>
              <w:top w:val="nil"/>
              <w:left w:val="nil"/>
              <w:bottom w:val="nil"/>
              <w:right w:val="nil"/>
            </w:tcBorders>
            <w:shd w:val="clear" w:color="auto" w:fill="auto"/>
            <w:noWrap/>
            <w:vAlign w:val="bottom"/>
            <w:hideMark/>
          </w:tcPr>
          <w:p w14:paraId="544CC684" w14:textId="77777777" w:rsidR="00BE6461" w:rsidRPr="00BE6461" w:rsidRDefault="00BE6461" w:rsidP="00BE6461">
            <w:pPr>
              <w:jc w:val="right"/>
              <w:rPr>
                <w:b/>
                <w:bCs/>
                <w:color w:val="333333"/>
                <w:sz w:val="20"/>
                <w:szCs w:val="20"/>
              </w:rPr>
            </w:pPr>
            <w:r w:rsidRPr="00BE6461">
              <w:rPr>
                <w:b/>
                <w:bCs/>
                <w:color w:val="333333"/>
                <w:sz w:val="20"/>
                <w:szCs w:val="20"/>
              </w:rPr>
              <w:t>163.787,50</w:t>
            </w:r>
          </w:p>
        </w:tc>
        <w:tc>
          <w:tcPr>
            <w:tcW w:w="1500" w:type="dxa"/>
            <w:tcBorders>
              <w:top w:val="nil"/>
              <w:left w:val="nil"/>
              <w:bottom w:val="nil"/>
              <w:right w:val="nil"/>
            </w:tcBorders>
            <w:shd w:val="clear" w:color="auto" w:fill="auto"/>
            <w:noWrap/>
            <w:vAlign w:val="bottom"/>
            <w:hideMark/>
          </w:tcPr>
          <w:p w14:paraId="2068950A" w14:textId="77777777" w:rsidR="00BE6461" w:rsidRPr="00BE6461" w:rsidRDefault="00BE6461" w:rsidP="00BE6461">
            <w:pPr>
              <w:jc w:val="right"/>
              <w:rPr>
                <w:b/>
                <w:bCs/>
                <w:color w:val="333333"/>
                <w:sz w:val="20"/>
                <w:szCs w:val="20"/>
              </w:rPr>
            </w:pPr>
            <w:r w:rsidRPr="00BE6461">
              <w:rPr>
                <w:b/>
                <w:bCs/>
                <w:color w:val="333333"/>
                <w:sz w:val="20"/>
                <w:szCs w:val="20"/>
              </w:rPr>
              <w:t>160.637,50</w:t>
            </w:r>
          </w:p>
        </w:tc>
        <w:tc>
          <w:tcPr>
            <w:tcW w:w="1100" w:type="dxa"/>
            <w:tcBorders>
              <w:top w:val="nil"/>
              <w:left w:val="nil"/>
              <w:bottom w:val="nil"/>
              <w:right w:val="nil"/>
            </w:tcBorders>
            <w:shd w:val="clear" w:color="auto" w:fill="auto"/>
            <w:noWrap/>
            <w:vAlign w:val="bottom"/>
            <w:hideMark/>
          </w:tcPr>
          <w:p w14:paraId="672A675D" w14:textId="77777777" w:rsidR="00BE6461" w:rsidRPr="00BE6461" w:rsidRDefault="00BE6461" w:rsidP="00BE6461">
            <w:pPr>
              <w:jc w:val="right"/>
              <w:rPr>
                <w:b/>
                <w:bCs/>
                <w:color w:val="333333"/>
                <w:sz w:val="20"/>
                <w:szCs w:val="20"/>
              </w:rPr>
            </w:pPr>
            <w:r w:rsidRPr="00BE6461">
              <w:rPr>
                <w:b/>
                <w:bCs/>
                <w:color w:val="333333"/>
                <w:sz w:val="20"/>
                <w:szCs w:val="20"/>
              </w:rPr>
              <w:t>98,08</w:t>
            </w:r>
          </w:p>
        </w:tc>
      </w:tr>
      <w:tr w:rsidR="00BE6461" w:rsidRPr="00BE6461" w14:paraId="35ACE6AD"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7BD90C3" w14:textId="77777777" w:rsidR="00BE6461" w:rsidRPr="00BE6461" w:rsidRDefault="00BE6461" w:rsidP="00BE6461">
            <w:pPr>
              <w:rPr>
                <w:b/>
                <w:bCs/>
                <w:color w:val="333333"/>
                <w:sz w:val="20"/>
                <w:szCs w:val="20"/>
              </w:rPr>
            </w:pPr>
            <w:r w:rsidRPr="00BE6461">
              <w:rPr>
                <w:b/>
                <w:bCs/>
                <w:color w:val="333333"/>
                <w:sz w:val="20"/>
                <w:szCs w:val="20"/>
              </w:rPr>
              <w:t>Izvor 7. PRIHODI OD NEFIN.IMOVINE I NADOKNADE ŠTETA OD OSIG.</w:t>
            </w:r>
          </w:p>
        </w:tc>
        <w:tc>
          <w:tcPr>
            <w:tcW w:w="1503" w:type="dxa"/>
            <w:tcBorders>
              <w:top w:val="nil"/>
              <w:left w:val="nil"/>
              <w:bottom w:val="nil"/>
              <w:right w:val="nil"/>
            </w:tcBorders>
            <w:shd w:val="clear" w:color="auto" w:fill="auto"/>
            <w:noWrap/>
            <w:vAlign w:val="bottom"/>
            <w:hideMark/>
          </w:tcPr>
          <w:p w14:paraId="5E674442" w14:textId="77777777" w:rsidR="00BE6461" w:rsidRPr="00BE6461" w:rsidRDefault="00BE6461" w:rsidP="00BE6461">
            <w:pPr>
              <w:jc w:val="right"/>
              <w:rPr>
                <w:b/>
                <w:bCs/>
                <w:color w:val="333333"/>
                <w:sz w:val="20"/>
                <w:szCs w:val="20"/>
              </w:rPr>
            </w:pPr>
            <w:r w:rsidRPr="00BE6461">
              <w:rPr>
                <w:b/>
                <w:bCs/>
                <w:color w:val="333333"/>
                <w:sz w:val="20"/>
                <w:szCs w:val="20"/>
              </w:rPr>
              <w:t>946.500,00</w:t>
            </w:r>
          </w:p>
        </w:tc>
        <w:tc>
          <w:tcPr>
            <w:tcW w:w="1500" w:type="dxa"/>
            <w:tcBorders>
              <w:top w:val="nil"/>
              <w:left w:val="nil"/>
              <w:bottom w:val="nil"/>
              <w:right w:val="nil"/>
            </w:tcBorders>
            <w:shd w:val="clear" w:color="auto" w:fill="auto"/>
            <w:noWrap/>
            <w:vAlign w:val="bottom"/>
            <w:hideMark/>
          </w:tcPr>
          <w:p w14:paraId="3AB27364" w14:textId="77777777" w:rsidR="00BE6461" w:rsidRPr="00BE6461" w:rsidRDefault="00BE6461" w:rsidP="00BE6461">
            <w:pPr>
              <w:jc w:val="right"/>
              <w:rPr>
                <w:b/>
                <w:bCs/>
                <w:color w:val="333333"/>
                <w:sz w:val="20"/>
                <w:szCs w:val="20"/>
              </w:rPr>
            </w:pPr>
            <w:r w:rsidRPr="00BE6461">
              <w:rPr>
                <w:b/>
                <w:bCs/>
                <w:color w:val="333333"/>
                <w:sz w:val="20"/>
                <w:szCs w:val="20"/>
              </w:rPr>
              <w:t>928.877,38</w:t>
            </w:r>
          </w:p>
        </w:tc>
        <w:tc>
          <w:tcPr>
            <w:tcW w:w="1100" w:type="dxa"/>
            <w:tcBorders>
              <w:top w:val="nil"/>
              <w:left w:val="nil"/>
              <w:bottom w:val="nil"/>
              <w:right w:val="nil"/>
            </w:tcBorders>
            <w:shd w:val="clear" w:color="auto" w:fill="auto"/>
            <w:noWrap/>
            <w:vAlign w:val="bottom"/>
            <w:hideMark/>
          </w:tcPr>
          <w:p w14:paraId="6B018DE1" w14:textId="77777777" w:rsidR="00BE6461" w:rsidRPr="00BE6461" w:rsidRDefault="00BE6461" w:rsidP="00BE6461">
            <w:pPr>
              <w:jc w:val="right"/>
              <w:rPr>
                <w:b/>
                <w:bCs/>
                <w:color w:val="333333"/>
                <w:sz w:val="20"/>
                <w:szCs w:val="20"/>
              </w:rPr>
            </w:pPr>
            <w:r w:rsidRPr="00BE6461">
              <w:rPr>
                <w:b/>
                <w:bCs/>
                <w:color w:val="333333"/>
                <w:sz w:val="20"/>
                <w:szCs w:val="20"/>
              </w:rPr>
              <w:t>98,14</w:t>
            </w:r>
          </w:p>
        </w:tc>
      </w:tr>
      <w:tr w:rsidR="00BE6461" w:rsidRPr="00BE6461" w14:paraId="52BDE0AC"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51A5117" w14:textId="77777777" w:rsidR="00BE6461" w:rsidRPr="00BE6461" w:rsidRDefault="00BE6461" w:rsidP="00BE6461">
            <w:pPr>
              <w:rPr>
                <w:b/>
                <w:bCs/>
                <w:color w:val="333333"/>
                <w:sz w:val="20"/>
                <w:szCs w:val="20"/>
              </w:rPr>
            </w:pPr>
            <w:r w:rsidRPr="00BE6461">
              <w:rPr>
                <w:b/>
                <w:bCs/>
                <w:color w:val="333333"/>
                <w:sz w:val="20"/>
                <w:szCs w:val="20"/>
              </w:rPr>
              <w:t>Izvor 7.1. PRIHODI OD NEFIN.IMOVINE I NADOKNADE ŠTETA OD OSIG.</w:t>
            </w:r>
          </w:p>
        </w:tc>
        <w:tc>
          <w:tcPr>
            <w:tcW w:w="1503" w:type="dxa"/>
            <w:tcBorders>
              <w:top w:val="nil"/>
              <w:left w:val="nil"/>
              <w:bottom w:val="nil"/>
              <w:right w:val="nil"/>
            </w:tcBorders>
            <w:shd w:val="clear" w:color="auto" w:fill="auto"/>
            <w:noWrap/>
            <w:vAlign w:val="bottom"/>
            <w:hideMark/>
          </w:tcPr>
          <w:p w14:paraId="1DA5BBD2" w14:textId="77777777" w:rsidR="00BE6461" w:rsidRPr="00BE6461" w:rsidRDefault="00BE6461" w:rsidP="00BE6461">
            <w:pPr>
              <w:jc w:val="right"/>
              <w:rPr>
                <w:b/>
                <w:bCs/>
                <w:color w:val="333333"/>
                <w:sz w:val="20"/>
                <w:szCs w:val="20"/>
              </w:rPr>
            </w:pPr>
            <w:r w:rsidRPr="00BE6461">
              <w:rPr>
                <w:b/>
                <w:bCs/>
                <w:color w:val="333333"/>
                <w:sz w:val="20"/>
                <w:szCs w:val="20"/>
              </w:rPr>
              <w:t>946.500,00</w:t>
            </w:r>
          </w:p>
        </w:tc>
        <w:tc>
          <w:tcPr>
            <w:tcW w:w="1500" w:type="dxa"/>
            <w:tcBorders>
              <w:top w:val="nil"/>
              <w:left w:val="nil"/>
              <w:bottom w:val="nil"/>
              <w:right w:val="nil"/>
            </w:tcBorders>
            <w:shd w:val="clear" w:color="auto" w:fill="auto"/>
            <w:noWrap/>
            <w:vAlign w:val="bottom"/>
            <w:hideMark/>
          </w:tcPr>
          <w:p w14:paraId="7A23204E" w14:textId="77777777" w:rsidR="00BE6461" w:rsidRPr="00BE6461" w:rsidRDefault="00BE6461" w:rsidP="00BE6461">
            <w:pPr>
              <w:jc w:val="right"/>
              <w:rPr>
                <w:b/>
                <w:bCs/>
                <w:color w:val="333333"/>
                <w:sz w:val="20"/>
                <w:szCs w:val="20"/>
              </w:rPr>
            </w:pPr>
            <w:r w:rsidRPr="00BE6461">
              <w:rPr>
                <w:b/>
                <w:bCs/>
                <w:color w:val="333333"/>
                <w:sz w:val="20"/>
                <w:szCs w:val="20"/>
              </w:rPr>
              <w:t>928.877,38</w:t>
            </w:r>
          </w:p>
        </w:tc>
        <w:tc>
          <w:tcPr>
            <w:tcW w:w="1100" w:type="dxa"/>
            <w:tcBorders>
              <w:top w:val="nil"/>
              <w:left w:val="nil"/>
              <w:bottom w:val="nil"/>
              <w:right w:val="nil"/>
            </w:tcBorders>
            <w:shd w:val="clear" w:color="auto" w:fill="auto"/>
            <w:noWrap/>
            <w:vAlign w:val="bottom"/>
            <w:hideMark/>
          </w:tcPr>
          <w:p w14:paraId="309B594E" w14:textId="77777777" w:rsidR="00BE6461" w:rsidRPr="00BE6461" w:rsidRDefault="00BE6461" w:rsidP="00BE6461">
            <w:pPr>
              <w:jc w:val="right"/>
              <w:rPr>
                <w:b/>
                <w:bCs/>
                <w:color w:val="333333"/>
                <w:sz w:val="20"/>
                <w:szCs w:val="20"/>
              </w:rPr>
            </w:pPr>
            <w:r w:rsidRPr="00BE6461">
              <w:rPr>
                <w:b/>
                <w:bCs/>
                <w:color w:val="333333"/>
                <w:sz w:val="20"/>
                <w:szCs w:val="20"/>
              </w:rPr>
              <w:t>98,14</w:t>
            </w:r>
          </w:p>
        </w:tc>
      </w:tr>
      <w:tr w:rsidR="00BE6461" w:rsidRPr="00BE6461" w14:paraId="71B266BA" w14:textId="77777777" w:rsidTr="00BE6461">
        <w:trPr>
          <w:trHeight w:val="390"/>
        </w:trPr>
        <w:tc>
          <w:tcPr>
            <w:tcW w:w="1703" w:type="dxa"/>
            <w:tcBorders>
              <w:top w:val="single" w:sz="4" w:space="0" w:color="auto"/>
              <w:left w:val="nil"/>
              <w:bottom w:val="nil"/>
              <w:right w:val="nil"/>
            </w:tcBorders>
            <w:shd w:val="clear" w:color="auto" w:fill="auto"/>
            <w:noWrap/>
            <w:vAlign w:val="bottom"/>
            <w:hideMark/>
          </w:tcPr>
          <w:p w14:paraId="5961106F" w14:textId="77777777" w:rsidR="00BE6461" w:rsidRPr="00BE6461" w:rsidRDefault="00BE6461" w:rsidP="00BE6461">
            <w:pPr>
              <w:rPr>
                <w:b/>
                <w:bCs/>
                <w:sz w:val="20"/>
                <w:szCs w:val="20"/>
              </w:rPr>
            </w:pPr>
            <w:r w:rsidRPr="00BE6461">
              <w:rPr>
                <w:b/>
                <w:bCs/>
                <w:sz w:val="20"/>
                <w:szCs w:val="20"/>
              </w:rPr>
              <w:t>1003</w:t>
            </w:r>
          </w:p>
        </w:tc>
        <w:tc>
          <w:tcPr>
            <w:tcW w:w="8457" w:type="dxa"/>
            <w:tcBorders>
              <w:top w:val="single" w:sz="4" w:space="0" w:color="auto"/>
              <w:left w:val="nil"/>
              <w:bottom w:val="nil"/>
              <w:right w:val="nil"/>
            </w:tcBorders>
            <w:shd w:val="clear" w:color="auto" w:fill="auto"/>
            <w:vAlign w:val="bottom"/>
            <w:hideMark/>
          </w:tcPr>
          <w:p w14:paraId="7BC04604" w14:textId="77777777" w:rsidR="00BE6461" w:rsidRPr="00BE6461" w:rsidRDefault="00BE6461" w:rsidP="00BE6461">
            <w:pPr>
              <w:rPr>
                <w:b/>
                <w:bCs/>
                <w:sz w:val="20"/>
                <w:szCs w:val="20"/>
              </w:rPr>
            </w:pPr>
            <w:r w:rsidRPr="00BE6461">
              <w:rPr>
                <w:b/>
                <w:bCs/>
                <w:sz w:val="20"/>
                <w:szCs w:val="20"/>
              </w:rPr>
              <w:t>Program: REDOVNA DJELATNOST UPRAVNIH ODJELA</w:t>
            </w:r>
          </w:p>
        </w:tc>
        <w:tc>
          <w:tcPr>
            <w:tcW w:w="1503" w:type="dxa"/>
            <w:tcBorders>
              <w:top w:val="single" w:sz="4" w:space="0" w:color="auto"/>
              <w:left w:val="nil"/>
              <w:bottom w:val="nil"/>
              <w:right w:val="nil"/>
            </w:tcBorders>
            <w:shd w:val="clear" w:color="auto" w:fill="auto"/>
            <w:noWrap/>
            <w:vAlign w:val="bottom"/>
            <w:hideMark/>
          </w:tcPr>
          <w:p w14:paraId="1A4B0389" w14:textId="77777777" w:rsidR="00BE6461" w:rsidRPr="00BE6461" w:rsidRDefault="00BE6461" w:rsidP="00BE6461">
            <w:pPr>
              <w:jc w:val="right"/>
              <w:rPr>
                <w:b/>
                <w:bCs/>
                <w:sz w:val="20"/>
                <w:szCs w:val="20"/>
              </w:rPr>
            </w:pPr>
            <w:r w:rsidRPr="00BE6461">
              <w:rPr>
                <w:b/>
                <w:bCs/>
                <w:sz w:val="20"/>
                <w:szCs w:val="20"/>
              </w:rPr>
              <w:t>4.869.550,00</w:t>
            </w:r>
          </w:p>
        </w:tc>
        <w:tc>
          <w:tcPr>
            <w:tcW w:w="1500" w:type="dxa"/>
            <w:tcBorders>
              <w:top w:val="single" w:sz="4" w:space="0" w:color="auto"/>
              <w:left w:val="nil"/>
              <w:bottom w:val="nil"/>
              <w:right w:val="nil"/>
            </w:tcBorders>
            <w:shd w:val="clear" w:color="auto" w:fill="auto"/>
            <w:noWrap/>
            <w:vAlign w:val="bottom"/>
            <w:hideMark/>
          </w:tcPr>
          <w:p w14:paraId="4AD370D1" w14:textId="77777777" w:rsidR="00BE6461" w:rsidRPr="00BE6461" w:rsidRDefault="00BE6461" w:rsidP="00BE6461">
            <w:pPr>
              <w:jc w:val="right"/>
              <w:rPr>
                <w:b/>
                <w:bCs/>
                <w:sz w:val="20"/>
                <w:szCs w:val="20"/>
              </w:rPr>
            </w:pPr>
            <w:r w:rsidRPr="00BE6461">
              <w:rPr>
                <w:b/>
                <w:bCs/>
                <w:sz w:val="20"/>
                <w:szCs w:val="20"/>
              </w:rPr>
              <w:t>4.567.162,06</w:t>
            </w:r>
          </w:p>
        </w:tc>
        <w:tc>
          <w:tcPr>
            <w:tcW w:w="1100" w:type="dxa"/>
            <w:tcBorders>
              <w:top w:val="single" w:sz="4" w:space="0" w:color="auto"/>
              <w:left w:val="nil"/>
              <w:bottom w:val="nil"/>
              <w:right w:val="nil"/>
            </w:tcBorders>
            <w:shd w:val="clear" w:color="auto" w:fill="auto"/>
            <w:noWrap/>
            <w:vAlign w:val="bottom"/>
            <w:hideMark/>
          </w:tcPr>
          <w:p w14:paraId="2C9BD7CC" w14:textId="77777777" w:rsidR="00BE6461" w:rsidRPr="00BE6461" w:rsidRDefault="00BE6461" w:rsidP="00BE6461">
            <w:pPr>
              <w:jc w:val="right"/>
              <w:rPr>
                <w:b/>
                <w:bCs/>
                <w:sz w:val="20"/>
                <w:szCs w:val="20"/>
              </w:rPr>
            </w:pPr>
            <w:r w:rsidRPr="00BE6461">
              <w:rPr>
                <w:b/>
                <w:bCs/>
                <w:sz w:val="20"/>
                <w:szCs w:val="20"/>
              </w:rPr>
              <w:t>93,79</w:t>
            </w:r>
          </w:p>
        </w:tc>
      </w:tr>
      <w:tr w:rsidR="00BE6461" w:rsidRPr="00BE6461" w14:paraId="574BE38F"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641BE18F" w14:textId="77777777" w:rsidR="00BE6461" w:rsidRPr="00BE6461" w:rsidRDefault="00BE6461" w:rsidP="00BE6461">
            <w:pPr>
              <w:rPr>
                <w:b/>
                <w:bCs/>
                <w:sz w:val="20"/>
                <w:szCs w:val="20"/>
              </w:rPr>
            </w:pPr>
            <w:r w:rsidRPr="00BE6461">
              <w:rPr>
                <w:b/>
                <w:bCs/>
                <w:sz w:val="20"/>
                <w:szCs w:val="20"/>
              </w:rPr>
              <w:t>A100008</w:t>
            </w:r>
          </w:p>
        </w:tc>
        <w:tc>
          <w:tcPr>
            <w:tcW w:w="8457" w:type="dxa"/>
            <w:tcBorders>
              <w:top w:val="single" w:sz="4" w:space="0" w:color="auto"/>
              <w:left w:val="nil"/>
              <w:bottom w:val="single" w:sz="4" w:space="0" w:color="auto"/>
              <w:right w:val="nil"/>
            </w:tcBorders>
            <w:shd w:val="clear" w:color="auto" w:fill="auto"/>
            <w:vAlign w:val="bottom"/>
            <w:hideMark/>
          </w:tcPr>
          <w:p w14:paraId="1CA90BAF" w14:textId="77777777" w:rsidR="00BE6461" w:rsidRPr="00BE6461" w:rsidRDefault="00BE6461" w:rsidP="00BE6461">
            <w:pPr>
              <w:rPr>
                <w:b/>
                <w:bCs/>
                <w:sz w:val="20"/>
                <w:szCs w:val="20"/>
              </w:rPr>
            </w:pPr>
            <w:r w:rsidRPr="00BE6461">
              <w:rPr>
                <w:b/>
                <w:bCs/>
                <w:sz w:val="20"/>
                <w:szCs w:val="20"/>
              </w:rPr>
              <w:t>Aktivnost: RASHODI ZA ZAPOSLENE</w:t>
            </w:r>
          </w:p>
        </w:tc>
        <w:tc>
          <w:tcPr>
            <w:tcW w:w="1503" w:type="dxa"/>
            <w:tcBorders>
              <w:top w:val="single" w:sz="4" w:space="0" w:color="auto"/>
              <w:left w:val="nil"/>
              <w:bottom w:val="single" w:sz="4" w:space="0" w:color="auto"/>
              <w:right w:val="nil"/>
            </w:tcBorders>
            <w:shd w:val="clear" w:color="auto" w:fill="auto"/>
            <w:noWrap/>
            <w:vAlign w:val="bottom"/>
            <w:hideMark/>
          </w:tcPr>
          <w:p w14:paraId="1C31FF29" w14:textId="77777777" w:rsidR="00BE6461" w:rsidRPr="00BE6461" w:rsidRDefault="00BE6461" w:rsidP="00BE6461">
            <w:pPr>
              <w:jc w:val="right"/>
              <w:rPr>
                <w:b/>
                <w:bCs/>
                <w:sz w:val="20"/>
                <w:szCs w:val="20"/>
              </w:rPr>
            </w:pPr>
            <w:r w:rsidRPr="00BE6461">
              <w:rPr>
                <w:b/>
                <w:bCs/>
                <w:sz w:val="20"/>
                <w:szCs w:val="20"/>
              </w:rPr>
              <w:t>1.567.300,00</w:t>
            </w:r>
          </w:p>
        </w:tc>
        <w:tc>
          <w:tcPr>
            <w:tcW w:w="1500" w:type="dxa"/>
            <w:tcBorders>
              <w:top w:val="single" w:sz="4" w:space="0" w:color="auto"/>
              <w:left w:val="nil"/>
              <w:bottom w:val="single" w:sz="4" w:space="0" w:color="auto"/>
              <w:right w:val="nil"/>
            </w:tcBorders>
            <w:shd w:val="clear" w:color="auto" w:fill="auto"/>
            <w:noWrap/>
            <w:vAlign w:val="bottom"/>
            <w:hideMark/>
          </w:tcPr>
          <w:p w14:paraId="45167F6B" w14:textId="77777777" w:rsidR="00BE6461" w:rsidRPr="00BE6461" w:rsidRDefault="00BE6461" w:rsidP="00BE6461">
            <w:pPr>
              <w:jc w:val="right"/>
              <w:rPr>
                <w:b/>
                <w:bCs/>
                <w:sz w:val="20"/>
                <w:szCs w:val="20"/>
              </w:rPr>
            </w:pPr>
            <w:r w:rsidRPr="00BE6461">
              <w:rPr>
                <w:b/>
                <w:bCs/>
                <w:sz w:val="20"/>
                <w:szCs w:val="20"/>
              </w:rPr>
              <w:t>1.526.861,18</w:t>
            </w:r>
          </w:p>
        </w:tc>
        <w:tc>
          <w:tcPr>
            <w:tcW w:w="1100" w:type="dxa"/>
            <w:tcBorders>
              <w:top w:val="single" w:sz="4" w:space="0" w:color="auto"/>
              <w:left w:val="nil"/>
              <w:bottom w:val="single" w:sz="4" w:space="0" w:color="auto"/>
              <w:right w:val="nil"/>
            </w:tcBorders>
            <w:shd w:val="clear" w:color="auto" w:fill="auto"/>
            <w:noWrap/>
            <w:vAlign w:val="bottom"/>
            <w:hideMark/>
          </w:tcPr>
          <w:p w14:paraId="0B22F634" w14:textId="77777777" w:rsidR="00BE6461" w:rsidRPr="00BE6461" w:rsidRDefault="00BE6461" w:rsidP="00BE6461">
            <w:pPr>
              <w:jc w:val="right"/>
              <w:rPr>
                <w:b/>
                <w:bCs/>
                <w:sz w:val="20"/>
                <w:szCs w:val="20"/>
              </w:rPr>
            </w:pPr>
            <w:r w:rsidRPr="00BE6461">
              <w:rPr>
                <w:b/>
                <w:bCs/>
                <w:sz w:val="20"/>
                <w:szCs w:val="20"/>
              </w:rPr>
              <w:t>97,42</w:t>
            </w:r>
          </w:p>
        </w:tc>
      </w:tr>
      <w:tr w:rsidR="00BE6461" w:rsidRPr="00BE6461" w14:paraId="30A9170C"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565C768"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7C9FAE2E" w14:textId="77777777" w:rsidR="00BE6461" w:rsidRPr="00BE6461" w:rsidRDefault="00BE6461" w:rsidP="00BE6461">
            <w:pPr>
              <w:jc w:val="right"/>
              <w:rPr>
                <w:b/>
                <w:bCs/>
                <w:color w:val="333333"/>
                <w:sz w:val="20"/>
                <w:szCs w:val="20"/>
              </w:rPr>
            </w:pPr>
            <w:r w:rsidRPr="00BE6461">
              <w:rPr>
                <w:b/>
                <w:bCs/>
                <w:color w:val="333333"/>
                <w:sz w:val="20"/>
                <w:szCs w:val="20"/>
              </w:rPr>
              <w:t>1.567.300,00</w:t>
            </w:r>
          </w:p>
        </w:tc>
        <w:tc>
          <w:tcPr>
            <w:tcW w:w="1500" w:type="dxa"/>
            <w:tcBorders>
              <w:top w:val="nil"/>
              <w:left w:val="nil"/>
              <w:bottom w:val="nil"/>
              <w:right w:val="nil"/>
            </w:tcBorders>
            <w:shd w:val="clear" w:color="auto" w:fill="auto"/>
            <w:noWrap/>
            <w:vAlign w:val="bottom"/>
            <w:hideMark/>
          </w:tcPr>
          <w:p w14:paraId="14EA0CE8" w14:textId="77777777" w:rsidR="00BE6461" w:rsidRPr="00BE6461" w:rsidRDefault="00BE6461" w:rsidP="00BE6461">
            <w:pPr>
              <w:jc w:val="right"/>
              <w:rPr>
                <w:b/>
                <w:bCs/>
                <w:color w:val="333333"/>
                <w:sz w:val="20"/>
                <w:szCs w:val="20"/>
              </w:rPr>
            </w:pPr>
            <w:r w:rsidRPr="00BE6461">
              <w:rPr>
                <w:b/>
                <w:bCs/>
                <w:color w:val="333333"/>
                <w:sz w:val="20"/>
                <w:szCs w:val="20"/>
              </w:rPr>
              <w:t>1.526.861,18</w:t>
            </w:r>
          </w:p>
        </w:tc>
        <w:tc>
          <w:tcPr>
            <w:tcW w:w="1100" w:type="dxa"/>
            <w:tcBorders>
              <w:top w:val="nil"/>
              <w:left w:val="nil"/>
              <w:bottom w:val="nil"/>
              <w:right w:val="nil"/>
            </w:tcBorders>
            <w:shd w:val="clear" w:color="auto" w:fill="auto"/>
            <w:noWrap/>
            <w:vAlign w:val="bottom"/>
            <w:hideMark/>
          </w:tcPr>
          <w:p w14:paraId="71FDCCDC" w14:textId="77777777" w:rsidR="00BE6461" w:rsidRPr="00BE6461" w:rsidRDefault="00BE6461" w:rsidP="00BE6461">
            <w:pPr>
              <w:jc w:val="right"/>
              <w:rPr>
                <w:b/>
                <w:bCs/>
                <w:color w:val="333333"/>
                <w:sz w:val="20"/>
                <w:szCs w:val="20"/>
              </w:rPr>
            </w:pPr>
            <w:r w:rsidRPr="00BE6461">
              <w:rPr>
                <w:b/>
                <w:bCs/>
                <w:color w:val="333333"/>
                <w:sz w:val="20"/>
                <w:szCs w:val="20"/>
              </w:rPr>
              <w:t>97,42</w:t>
            </w:r>
          </w:p>
        </w:tc>
      </w:tr>
      <w:tr w:rsidR="00BE6461" w:rsidRPr="00BE6461" w14:paraId="7740F6B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1E5FC67"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4F10DB7A" w14:textId="77777777" w:rsidR="00BE6461" w:rsidRPr="00BE6461" w:rsidRDefault="00BE6461" w:rsidP="00BE6461">
            <w:pPr>
              <w:jc w:val="right"/>
              <w:rPr>
                <w:b/>
                <w:bCs/>
                <w:color w:val="333333"/>
                <w:sz w:val="20"/>
                <w:szCs w:val="20"/>
              </w:rPr>
            </w:pPr>
            <w:r w:rsidRPr="00BE6461">
              <w:rPr>
                <w:b/>
                <w:bCs/>
                <w:color w:val="333333"/>
                <w:sz w:val="20"/>
                <w:szCs w:val="20"/>
              </w:rPr>
              <w:t>1.567.300,00</w:t>
            </w:r>
          </w:p>
        </w:tc>
        <w:tc>
          <w:tcPr>
            <w:tcW w:w="1500" w:type="dxa"/>
            <w:tcBorders>
              <w:top w:val="nil"/>
              <w:left w:val="nil"/>
              <w:bottom w:val="nil"/>
              <w:right w:val="nil"/>
            </w:tcBorders>
            <w:shd w:val="clear" w:color="auto" w:fill="auto"/>
            <w:noWrap/>
            <w:vAlign w:val="bottom"/>
            <w:hideMark/>
          </w:tcPr>
          <w:p w14:paraId="54C0ABEA" w14:textId="77777777" w:rsidR="00BE6461" w:rsidRPr="00BE6461" w:rsidRDefault="00BE6461" w:rsidP="00BE6461">
            <w:pPr>
              <w:jc w:val="right"/>
              <w:rPr>
                <w:b/>
                <w:bCs/>
                <w:color w:val="333333"/>
                <w:sz w:val="20"/>
                <w:szCs w:val="20"/>
              </w:rPr>
            </w:pPr>
            <w:r w:rsidRPr="00BE6461">
              <w:rPr>
                <w:b/>
                <w:bCs/>
                <w:color w:val="333333"/>
                <w:sz w:val="20"/>
                <w:szCs w:val="20"/>
              </w:rPr>
              <w:t>1.526.861,18</w:t>
            </w:r>
          </w:p>
        </w:tc>
        <w:tc>
          <w:tcPr>
            <w:tcW w:w="1100" w:type="dxa"/>
            <w:tcBorders>
              <w:top w:val="nil"/>
              <w:left w:val="nil"/>
              <w:bottom w:val="nil"/>
              <w:right w:val="nil"/>
            </w:tcBorders>
            <w:shd w:val="clear" w:color="auto" w:fill="auto"/>
            <w:noWrap/>
            <w:vAlign w:val="bottom"/>
            <w:hideMark/>
          </w:tcPr>
          <w:p w14:paraId="7E900C9E" w14:textId="77777777" w:rsidR="00BE6461" w:rsidRPr="00BE6461" w:rsidRDefault="00BE6461" w:rsidP="00BE6461">
            <w:pPr>
              <w:jc w:val="right"/>
              <w:rPr>
                <w:b/>
                <w:bCs/>
                <w:color w:val="333333"/>
                <w:sz w:val="20"/>
                <w:szCs w:val="20"/>
              </w:rPr>
            </w:pPr>
            <w:r w:rsidRPr="00BE6461">
              <w:rPr>
                <w:b/>
                <w:bCs/>
                <w:color w:val="333333"/>
                <w:sz w:val="20"/>
                <w:szCs w:val="20"/>
              </w:rPr>
              <w:t>97,42</w:t>
            </w:r>
          </w:p>
        </w:tc>
      </w:tr>
      <w:tr w:rsidR="00BE6461" w:rsidRPr="00BE6461" w14:paraId="04960BA5" w14:textId="77777777" w:rsidTr="00BE6461">
        <w:trPr>
          <w:trHeight w:val="300"/>
        </w:trPr>
        <w:tc>
          <w:tcPr>
            <w:tcW w:w="1703" w:type="dxa"/>
            <w:tcBorders>
              <w:top w:val="nil"/>
              <w:left w:val="nil"/>
              <w:bottom w:val="nil"/>
              <w:right w:val="nil"/>
            </w:tcBorders>
            <w:shd w:val="clear" w:color="auto" w:fill="auto"/>
            <w:noWrap/>
            <w:vAlign w:val="bottom"/>
            <w:hideMark/>
          </w:tcPr>
          <w:p w14:paraId="1245CB49" w14:textId="77777777" w:rsidR="00BE6461" w:rsidRPr="00BE6461" w:rsidRDefault="00BE6461" w:rsidP="00BE6461">
            <w:pPr>
              <w:rPr>
                <w:b/>
                <w:bCs/>
                <w:sz w:val="20"/>
                <w:szCs w:val="20"/>
              </w:rPr>
            </w:pPr>
            <w:r w:rsidRPr="00BE6461">
              <w:rPr>
                <w:b/>
                <w:bCs/>
                <w:sz w:val="20"/>
                <w:szCs w:val="20"/>
              </w:rPr>
              <w:t>311</w:t>
            </w:r>
          </w:p>
        </w:tc>
        <w:tc>
          <w:tcPr>
            <w:tcW w:w="8457" w:type="dxa"/>
            <w:tcBorders>
              <w:top w:val="nil"/>
              <w:left w:val="nil"/>
              <w:bottom w:val="nil"/>
              <w:right w:val="nil"/>
            </w:tcBorders>
            <w:shd w:val="clear" w:color="auto" w:fill="auto"/>
            <w:vAlign w:val="bottom"/>
            <w:hideMark/>
          </w:tcPr>
          <w:p w14:paraId="1A946C4A" w14:textId="77777777" w:rsidR="00BE6461" w:rsidRPr="00BE6461" w:rsidRDefault="00BE6461" w:rsidP="00BE6461">
            <w:pPr>
              <w:rPr>
                <w:b/>
                <w:bCs/>
                <w:sz w:val="20"/>
                <w:szCs w:val="20"/>
              </w:rPr>
            </w:pPr>
            <w:r w:rsidRPr="00BE6461">
              <w:rPr>
                <w:b/>
                <w:bCs/>
                <w:sz w:val="20"/>
                <w:szCs w:val="20"/>
              </w:rPr>
              <w:t xml:space="preserve">Plaće (Bruto)                                                                                       </w:t>
            </w:r>
          </w:p>
        </w:tc>
        <w:tc>
          <w:tcPr>
            <w:tcW w:w="1503" w:type="dxa"/>
            <w:tcBorders>
              <w:top w:val="nil"/>
              <w:left w:val="nil"/>
              <w:bottom w:val="nil"/>
              <w:right w:val="nil"/>
            </w:tcBorders>
            <w:shd w:val="clear" w:color="auto" w:fill="auto"/>
            <w:noWrap/>
            <w:vAlign w:val="bottom"/>
            <w:hideMark/>
          </w:tcPr>
          <w:p w14:paraId="4B0B1246" w14:textId="77777777" w:rsidR="00BE6461" w:rsidRPr="00BE6461" w:rsidRDefault="00BE6461" w:rsidP="00BE6461">
            <w:pPr>
              <w:jc w:val="right"/>
              <w:rPr>
                <w:b/>
                <w:bCs/>
                <w:sz w:val="20"/>
                <w:szCs w:val="20"/>
              </w:rPr>
            </w:pPr>
            <w:r w:rsidRPr="00BE6461">
              <w:rPr>
                <w:b/>
                <w:bCs/>
                <w:sz w:val="20"/>
                <w:szCs w:val="20"/>
              </w:rPr>
              <w:t>1.255.000,00</w:t>
            </w:r>
          </w:p>
        </w:tc>
        <w:tc>
          <w:tcPr>
            <w:tcW w:w="1500" w:type="dxa"/>
            <w:tcBorders>
              <w:top w:val="nil"/>
              <w:left w:val="nil"/>
              <w:bottom w:val="nil"/>
              <w:right w:val="nil"/>
            </w:tcBorders>
            <w:shd w:val="clear" w:color="auto" w:fill="auto"/>
            <w:noWrap/>
            <w:vAlign w:val="bottom"/>
            <w:hideMark/>
          </w:tcPr>
          <w:p w14:paraId="02C8D489" w14:textId="77777777" w:rsidR="00BE6461" w:rsidRPr="00BE6461" w:rsidRDefault="00BE6461" w:rsidP="00BE6461">
            <w:pPr>
              <w:jc w:val="right"/>
              <w:rPr>
                <w:b/>
                <w:bCs/>
                <w:sz w:val="20"/>
                <w:szCs w:val="20"/>
              </w:rPr>
            </w:pPr>
            <w:r w:rsidRPr="00BE6461">
              <w:rPr>
                <w:b/>
                <w:bCs/>
                <w:sz w:val="20"/>
                <w:szCs w:val="20"/>
              </w:rPr>
              <w:t>1.233.447,82</w:t>
            </w:r>
          </w:p>
        </w:tc>
        <w:tc>
          <w:tcPr>
            <w:tcW w:w="1100" w:type="dxa"/>
            <w:tcBorders>
              <w:top w:val="nil"/>
              <w:left w:val="nil"/>
              <w:bottom w:val="nil"/>
              <w:right w:val="nil"/>
            </w:tcBorders>
            <w:shd w:val="clear" w:color="auto" w:fill="auto"/>
            <w:noWrap/>
            <w:vAlign w:val="bottom"/>
            <w:hideMark/>
          </w:tcPr>
          <w:p w14:paraId="6D8E3BB9" w14:textId="77777777" w:rsidR="00BE6461" w:rsidRPr="00BE6461" w:rsidRDefault="00BE6461" w:rsidP="00BE6461">
            <w:pPr>
              <w:jc w:val="right"/>
              <w:rPr>
                <w:b/>
                <w:bCs/>
                <w:sz w:val="20"/>
                <w:szCs w:val="20"/>
              </w:rPr>
            </w:pPr>
            <w:r w:rsidRPr="00BE6461">
              <w:rPr>
                <w:b/>
                <w:bCs/>
                <w:sz w:val="20"/>
                <w:szCs w:val="20"/>
              </w:rPr>
              <w:t>98,28</w:t>
            </w:r>
          </w:p>
        </w:tc>
      </w:tr>
      <w:tr w:rsidR="00BE6461" w:rsidRPr="00BE6461" w14:paraId="7D614B76" w14:textId="77777777" w:rsidTr="00BE6461">
        <w:trPr>
          <w:trHeight w:val="300"/>
        </w:trPr>
        <w:tc>
          <w:tcPr>
            <w:tcW w:w="1703" w:type="dxa"/>
            <w:tcBorders>
              <w:top w:val="nil"/>
              <w:left w:val="nil"/>
              <w:bottom w:val="nil"/>
              <w:right w:val="nil"/>
            </w:tcBorders>
            <w:shd w:val="clear" w:color="auto" w:fill="auto"/>
            <w:noWrap/>
            <w:vAlign w:val="bottom"/>
            <w:hideMark/>
          </w:tcPr>
          <w:p w14:paraId="0B495E7C" w14:textId="77777777" w:rsidR="00BE6461" w:rsidRPr="00BE6461" w:rsidRDefault="00BE6461" w:rsidP="00BE6461">
            <w:pPr>
              <w:rPr>
                <w:sz w:val="20"/>
                <w:szCs w:val="20"/>
              </w:rPr>
            </w:pPr>
            <w:r w:rsidRPr="00BE6461">
              <w:rPr>
                <w:sz w:val="20"/>
                <w:szCs w:val="20"/>
              </w:rPr>
              <w:t>3111</w:t>
            </w:r>
          </w:p>
        </w:tc>
        <w:tc>
          <w:tcPr>
            <w:tcW w:w="8457" w:type="dxa"/>
            <w:tcBorders>
              <w:top w:val="nil"/>
              <w:left w:val="nil"/>
              <w:bottom w:val="nil"/>
              <w:right w:val="nil"/>
            </w:tcBorders>
            <w:shd w:val="clear" w:color="auto" w:fill="auto"/>
            <w:vAlign w:val="bottom"/>
            <w:hideMark/>
          </w:tcPr>
          <w:p w14:paraId="18BA6E9A" w14:textId="77777777" w:rsidR="00BE6461" w:rsidRPr="00BE6461" w:rsidRDefault="00BE6461" w:rsidP="00BE6461">
            <w:pPr>
              <w:rPr>
                <w:sz w:val="20"/>
                <w:szCs w:val="20"/>
              </w:rPr>
            </w:pPr>
            <w:r w:rsidRPr="00BE6461">
              <w:rPr>
                <w:sz w:val="20"/>
                <w:szCs w:val="20"/>
              </w:rPr>
              <w:t xml:space="preserve">Plaće za redovan rad                                                                                </w:t>
            </w:r>
          </w:p>
        </w:tc>
        <w:tc>
          <w:tcPr>
            <w:tcW w:w="1503" w:type="dxa"/>
            <w:tcBorders>
              <w:top w:val="nil"/>
              <w:left w:val="nil"/>
              <w:bottom w:val="nil"/>
              <w:right w:val="nil"/>
            </w:tcBorders>
            <w:shd w:val="clear" w:color="auto" w:fill="auto"/>
            <w:noWrap/>
            <w:vAlign w:val="bottom"/>
            <w:hideMark/>
          </w:tcPr>
          <w:p w14:paraId="4331BC39"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60EABF9" w14:textId="77777777" w:rsidR="00BE6461" w:rsidRPr="00BE6461" w:rsidRDefault="00BE6461" w:rsidP="00BE6461">
            <w:pPr>
              <w:jc w:val="right"/>
              <w:rPr>
                <w:sz w:val="20"/>
                <w:szCs w:val="20"/>
              </w:rPr>
            </w:pPr>
            <w:r w:rsidRPr="00BE6461">
              <w:rPr>
                <w:sz w:val="20"/>
                <w:szCs w:val="20"/>
              </w:rPr>
              <w:t>1.160.183,12</w:t>
            </w:r>
          </w:p>
        </w:tc>
        <w:tc>
          <w:tcPr>
            <w:tcW w:w="1100" w:type="dxa"/>
            <w:tcBorders>
              <w:top w:val="nil"/>
              <w:left w:val="nil"/>
              <w:bottom w:val="nil"/>
              <w:right w:val="nil"/>
            </w:tcBorders>
            <w:shd w:val="clear" w:color="auto" w:fill="auto"/>
            <w:noWrap/>
            <w:vAlign w:val="bottom"/>
            <w:hideMark/>
          </w:tcPr>
          <w:p w14:paraId="5BE8646B" w14:textId="77777777" w:rsidR="00BE6461" w:rsidRPr="00BE6461" w:rsidRDefault="00BE6461" w:rsidP="00BE6461">
            <w:pPr>
              <w:jc w:val="right"/>
              <w:rPr>
                <w:sz w:val="20"/>
                <w:szCs w:val="20"/>
              </w:rPr>
            </w:pPr>
          </w:p>
        </w:tc>
      </w:tr>
      <w:tr w:rsidR="00BE6461" w:rsidRPr="00BE6461" w14:paraId="0F6AE21F" w14:textId="77777777" w:rsidTr="00BE6461">
        <w:trPr>
          <w:trHeight w:val="300"/>
        </w:trPr>
        <w:tc>
          <w:tcPr>
            <w:tcW w:w="1703" w:type="dxa"/>
            <w:tcBorders>
              <w:top w:val="nil"/>
              <w:left w:val="nil"/>
              <w:bottom w:val="nil"/>
              <w:right w:val="nil"/>
            </w:tcBorders>
            <w:shd w:val="clear" w:color="auto" w:fill="auto"/>
            <w:noWrap/>
            <w:vAlign w:val="bottom"/>
            <w:hideMark/>
          </w:tcPr>
          <w:p w14:paraId="1898F1F8" w14:textId="77777777" w:rsidR="00BE6461" w:rsidRPr="00BE6461" w:rsidRDefault="00BE6461" w:rsidP="00BE6461">
            <w:pPr>
              <w:rPr>
                <w:sz w:val="20"/>
                <w:szCs w:val="20"/>
              </w:rPr>
            </w:pPr>
            <w:r w:rsidRPr="00BE6461">
              <w:rPr>
                <w:sz w:val="20"/>
                <w:szCs w:val="20"/>
              </w:rPr>
              <w:t>3113</w:t>
            </w:r>
          </w:p>
        </w:tc>
        <w:tc>
          <w:tcPr>
            <w:tcW w:w="8457" w:type="dxa"/>
            <w:tcBorders>
              <w:top w:val="nil"/>
              <w:left w:val="nil"/>
              <w:bottom w:val="nil"/>
              <w:right w:val="nil"/>
            </w:tcBorders>
            <w:shd w:val="clear" w:color="auto" w:fill="auto"/>
            <w:vAlign w:val="bottom"/>
            <w:hideMark/>
          </w:tcPr>
          <w:p w14:paraId="3E877390" w14:textId="77777777" w:rsidR="00BE6461" w:rsidRPr="00BE6461" w:rsidRDefault="00BE6461" w:rsidP="00BE6461">
            <w:pPr>
              <w:rPr>
                <w:sz w:val="20"/>
                <w:szCs w:val="20"/>
              </w:rPr>
            </w:pPr>
            <w:r w:rsidRPr="00BE6461">
              <w:rPr>
                <w:sz w:val="20"/>
                <w:szCs w:val="20"/>
              </w:rPr>
              <w:t xml:space="preserve">Plaće za prekovremeni rad                                                                           </w:t>
            </w:r>
          </w:p>
        </w:tc>
        <w:tc>
          <w:tcPr>
            <w:tcW w:w="1503" w:type="dxa"/>
            <w:tcBorders>
              <w:top w:val="nil"/>
              <w:left w:val="nil"/>
              <w:bottom w:val="nil"/>
              <w:right w:val="nil"/>
            </w:tcBorders>
            <w:shd w:val="clear" w:color="auto" w:fill="auto"/>
            <w:noWrap/>
            <w:vAlign w:val="bottom"/>
            <w:hideMark/>
          </w:tcPr>
          <w:p w14:paraId="6D692530"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5C4A662" w14:textId="77777777" w:rsidR="00BE6461" w:rsidRPr="00BE6461" w:rsidRDefault="00BE6461" w:rsidP="00BE6461">
            <w:pPr>
              <w:jc w:val="right"/>
              <w:rPr>
                <w:sz w:val="20"/>
                <w:szCs w:val="20"/>
              </w:rPr>
            </w:pPr>
            <w:r w:rsidRPr="00BE6461">
              <w:rPr>
                <w:sz w:val="20"/>
                <w:szCs w:val="20"/>
              </w:rPr>
              <w:t>73.264,70</w:t>
            </w:r>
          </w:p>
        </w:tc>
        <w:tc>
          <w:tcPr>
            <w:tcW w:w="1100" w:type="dxa"/>
            <w:tcBorders>
              <w:top w:val="nil"/>
              <w:left w:val="nil"/>
              <w:bottom w:val="nil"/>
              <w:right w:val="nil"/>
            </w:tcBorders>
            <w:shd w:val="clear" w:color="auto" w:fill="auto"/>
            <w:noWrap/>
            <w:vAlign w:val="bottom"/>
            <w:hideMark/>
          </w:tcPr>
          <w:p w14:paraId="142FF8DD" w14:textId="77777777" w:rsidR="00BE6461" w:rsidRPr="00BE6461" w:rsidRDefault="00BE6461" w:rsidP="00BE6461">
            <w:pPr>
              <w:jc w:val="right"/>
              <w:rPr>
                <w:sz w:val="20"/>
                <w:szCs w:val="20"/>
              </w:rPr>
            </w:pPr>
          </w:p>
        </w:tc>
      </w:tr>
      <w:tr w:rsidR="00BE6461" w:rsidRPr="00BE6461" w14:paraId="573CBC88" w14:textId="77777777" w:rsidTr="00BE6461">
        <w:trPr>
          <w:trHeight w:val="300"/>
        </w:trPr>
        <w:tc>
          <w:tcPr>
            <w:tcW w:w="1703" w:type="dxa"/>
            <w:tcBorders>
              <w:top w:val="nil"/>
              <w:left w:val="nil"/>
              <w:bottom w:val="nil"/>
              <w:right w:val="nil"/>
            </w:tcBorders>
            <w:shd w:val="clear" w:color="auto" w:fill="auto"/>
            <w:noWrap/>
            <w:vAlign w:val="bottom"/>
            <w:hideMark/>
          </w:tcPr>
          <w:p w14:paraId="12717CB5" w14:textId="77777777" w:rsidR="00BE6461" w:rsidRPr="00BE6461" w:rsidRDefault="00BE6461" w:rsidP="00BE6461">
            <w:pPr>
              <w:rPr>
                <w:b/>
                <w:bCs/>
                <w:sz w:val="20"/>
                <w:szCs w:val="20"/>
              </w:rPr>
            </w:pPr>
            <w:r w:rsidRPr="00BE6461">
              <w:rPr>
                <w:b/>
                <w:bCs/>
                <w:sz w:val="20"/>
                <w:szCs w:val="20"/>
              </w:rPr>
              <w:t>312</w:t>
            </w:r>
          </w:p>
        </w:tc>
        <w:tc>
          <w:tcPr>
            <w:tcW w:w="8457" w:type="dxa"/>
            <w:tcBorders>
              <w:top w:val="nil"/>
              <w:left w:val="nil"/>
              <w:bottom w:val="nil"/>
              <w:right w:val="nil"/>
            </w:tcBorders>
            <w:shd w:val="clear" w:color="auto" w:fill="auto"/>
            <w:vAlign w:val="bottom"/>
            <w:hideMark/>
          </w:tcPr>
          <w:p w14:paraId="26C9DD22" w14:textId="77777777" w:rsidR="00BE6461" w:rsidRPr="00BE6461" w:rsidRDefault="00BE6461" w:rsidP="00BE6461">
            <w:pPr>
              <w:rPr>
                <w:b/>
                <w:bCs/>
                <w:sz w:val="20"/>
                <w:szCs w:val="20"/>
              </w:rPr>
            </w:pPr>
            <w:r w:rsidRPr="00BE6461">
              <w:rPr>
                <w:b/>
                <w:bCs/>
                <w:sz w:val="20"/>
                <w:szCs w:val="20"/>
              </w:rPr>
              <w:t xml:space="preserve">Ostali rashodi za zaposlene                                                                         </w:t>
            </w:r>
          </w:p>
        </w:tc>
        <w:tc>
          <w:tcPr>
            <w:tcW w:w="1503" w:type="dxa"/>
            <w:tcBorders>
              <w:top w:val="nil"/>
              <w:left w:val="nil"/>
              <w:bottom w:val="nil"/>
              <w:right w:val="nil"/>
            </w:tcBorders>
            <w:shd w:val="clear" w:color="auto" w:fill="auto"/>
            <w:noWrap/>
            <w:vAlign w:val="bottom"/>
            <w:hideMark/>
          </w:tcPr>
          <w:p w14:paraId="29352FBA" w14:textId="77777777" w:rsidR="00BE6461" w:rsidRPr="00BE6461" w:rsidRDefault="00BE6461" w:rsidP="00BE6461">
            <w:pPr>
              <w:jc w:val="right"/>
              <w:rPr>
                <w:b/>
                <w:bCs/>
                <w:sz w:val="20"/>
                <w:szCs w:val="20"/>
              </w:rPr>
            </w:pPr>
            <w:r w:rsidRPr="00BE6461">
              <w:rPr>
                <w:b/>
                <w:bCs/>
                <w:sz w:val="20"/>
                <w:szCs w:val="20"/>
              </w:rPr>
              <w:t>105.200,00</w:t>
            </w:r>
          </w:p>
        </w:tc>
        <w:tc>
          <w:tcPr>
            <w:tcW w:w="1500" w:type="dxa"/>
            <w:tcBorders>
              <w:top w:val="nil"/>
              <w:left w:val="nil"/>
              <w:bottom w:val="nil"/>
              <w:right w:val="nil"/>
            </w:tcBorders>
            <w:shd w:val="clear" w:color="auto" w:fill="auto"/>
            <w:noWrap/>
            <w:vAlign w:val="bottom"/>
            <w:hideMark/>
          </w:tcPr>
          <w:p w14:paraId="7874CC42" w14:textId="77777777" w:rsidR="00BE6461" w:rsidRPr="00BE6461" w:rsidRDefault="00BE6461" w:rsidP="00BE6461">
            <w:pPr>
              <w:jc w:val="right"/>
              <w:rPr>
                <w:b/>
                <w:bCs/>
                <w:sz w:val="20"/>
                <w:szCs w:val="20"/>
              </w:rPr>
            </w:pPr>
            <w:r w:rsidRPr="00BE6461">
              <w:rPr>
                <w:b/>
                <w:bCs/>
                <w:sz w:val="20"/>
                <w:szCs w:val="20"/>
              </w:rPr>
              <w:t>89.515,33</w:t>
            </w:r>
          </w:p>
        </w:tc>
        <w:tc>
          <w:tcPr>
            <w:tcW w:w="1100" w:type="dxa"/>
            <w:tcBorders>
              <w:top w:val="nil"/>
              <w:left w:val="nil"/>
              <w:bottom w:val="nil"/>
              <w:right w:val="nil"/>
            </w:tcBorders>
            <w:shd w:val="clear" w:color="auto" w:fill="auto"/>
            <w:noWrap/>
            <w:vAlign w:val="bottom"/>
            <w:hideMark/>
          </w:tcPr>
          <w:p w14:paraId="33CCEA13" w14:textId="77777777" w:rsidR="00BE6461" w:rsidRPr="00BE6461" w:rsidRDefault="00BE6461" w:rsidP="00BE6461">
            <w:pPr>
              <w:jc w:val="right"/>
              <w:rPr>
                <w:b/>
                <w:bCs/>
                <w:sz w:val="20"/>
                <w:szCs w:val="20"/>
              </w:rPr>
            </w:pPr>
            <w:r w:rsidRPr="00BE6461">
              <w:rPr>
                <w:b/>
                <w:bCs/>
                <w:sz w:val="20"/>
                <w:szCs w:val="20"/>
              </w:rPr>
              <w:t>85,09</w:t>
            </w:r>
          </w:p>
        </w:tc>
      </w:tr>
      <w:tr w:rsidR="00BE6461" w:rsidRPr="00BE6461" w14:paraId="56319729" w14:textId="77777777" w:rsidTr="00BE6461">
        <w:trPr>
          <w:trHeight w:val="300"/>
        </w:trPr>
        <w:tc>
          <w:tcPr>
            <w:tcW w:w="1703" w:type="dxa"/>
            <w:tcBorders>
              <w:top w:val="nil"/>
              <w:left w:val="nil"/>
              <w:bottom w:val="nil"/>
              <w:right w:val="nil"/>
            </w:tcBorders>
            <w:shd w:val="clear" w:color="auto" w:fill="auto"/>
            <w:noWrap/>
            <w:vAlign w:val="bottom"/>
            <w:hideMark/>
          </w:tcPr>
          <w:p w14:paraId="5019A13F" w14:textId="77777777" w:rsidR="00BE6461" w:rsidRPr="00BE6461" w:rsidRDefault="00BE6461" w:rsidP="00BE6461">
            <w:pPr>
              <w:rPr>
                <w:sz w:val="20"/>
                <w:szCs w:val="20"/>
              </w:rPr>
            </w:pPr>
            <w:r w:rsidRPr="00BE6461">
              <w:rPr>
                <w:sz w:val="20"/>
                <w:szCs w:val="20"/>
              </w:rPr>
              <w:t>3121</w:t>
            </w:r>
          </w:p>
        </w:tc>
        <w:tc>
          <w:tcPr>
            <w:tcW w:w="8457" w:type="dxa"/>
            <w:tcBorders>
              <w:top w:val="nil"/>
              <w:left w:val="nil"/>
              <w:bottom w:val="nil"/>
              <w:right w:val="nil"/>
            </w:tcBorders>
            <w:shd w:val="clear" w:color="auto" w:fill="auto"/>
            <w:vAlign w:val="bottom"/>
            <w:hideMark/>
          </w:tcPr>
          <w:p w14:paraId="024BC0B0" w14:textId="77777777" w:rsidR="00BE6461" w:rsidRPr="00BE6461" w:rsidRDefault="00BE6461" w:rsidP="00BE6461">
            <w:pPr>
              <w:rPr>
                <w:sz w:val="20"/>
                <w:szCs w:val="20"/>
              </w:rPr>
            </w:pPr>
            <w:r w:rsidRPr="00BE6461">
              <w:rPr>
                <w:sz w:val="20"/>
                <w:szCs w:val="20"/>
              </w:rPr>
              <w:t xml:space="preserve">Ostali rashodi za zaposlene                                                                         </w:t>
            </w:r>
          </w:p>
        </w:tc>
        <w:tc>
          <w:tcPr>
            <w:tcW w:w="1503" w:type="dxa"/>
            <w:tcBorders>
              <w:top w:val="nil"/>
              <w:left w:val="nil"/>
              <w:bottom w:val="nil"/>
              <w:right w:val="nil"/>
            </w:tcBorders>
            <w:shd w:val="clear" w:color="auto" w:fill="auto"/>
            <w:noWrap/>
            <w:vAlign w:val="bottom"/>
            <w:hideMark/>
          </w:tcPr>
          <w:p w14:paraId="2F2BC86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DB3CE32" w14:textId="77777777" w:rsidR="00BE6461" w:rsidRPr="00BE6461" w:rsidRDefault="00BE6461" w:rsidP="00BE6461">
            <w:pPr>
              <w:jc w:val="right"/>
              <w:rPr>
                <w:sz w:val="20"/>
                <w:szCs w:val="20"/>
              </w:rPr>
            </w:pPr>
            <w:r w:rsidRPr="00BE6461">
              <w:rPr>
                <w:sz w:val="20"/>
                <w:szCs w:val="20"/>
              </w:rPr>
              <w:t>89.515,33</w:t>
            </w:r>
          </w:p>
        </w:tc>
        <w:tc>
          <w:tcPr>
            <w:tcW w:w="1100" w:type="dxa"/>
            <w:tcBorders>
              <w:top w:val="nil"/>
              <w:left w:val="nil"/>
              <w:bottom w:val="nil"/>
              <w:right w:val="nil"/>
            </w:tcBorders>
            <w:shd w:val="clear" w:color="auto" w:fill="auto"/>
            <w:noWrap/>
            <w:vAlign w:val="bottom"/>
            <w:hideMark/>
          </w:tcPr>
          <w:p w14:paraId="35FA162D" w14:textId="77777777" w:rsidR="00BE6461" w:rsidRPr="00BE6461" w:rsidRDefault="00BE6461" w:rsidP="00BE6461">
            <w:pPr>
              <w:jc w:val="right"/>
              <w:rPr>
                <w:sz w:val="20"/>
                <w:szCs w:val="20"/>
              </w:rPr>
            </w:pPr>
          </w:p>
        </w:tc>
      </w:tr>
      <w:tr w:rsidR="00BE6461" w:rsidRPr="00BE6461" w14:paraId="67AF74F0" w14:textId="77777777" w:rsidTr="00BE6461">
        <w:trPr>
          <w:trHeight w:val="300"/>
        </w:trPr>
        <w:tc>
          <w:tcPr>
            <w:tcW w:w="1703" w:type="dxa"/>
            <w:tcBorders>
              <w:top w:val="nil"/>
              <w:left w:val="nil"/>
              <w:bottom w:val="nil"/>
              <w:right w:val="nil"/>
            </w:tcBorders>
            <w:shd w:val="clear" w:color="auto" w:fill="auto"/>
            <w:noWrap/>
            <w:vAlign w:val="bottom"/>
            <w:hideMark/>
          </w:tcPr>
          <w:p w14:paraId="4780DF6E" w14:textId="77777777" w:rsidR="00BE6461" w:rsidRPr="00BE6461" w:rsidRDefault="00BE6461" w:rsidP="00BE6461">
            <w:pPr>
              <w:rPr>
                <w:b/>
                <w:bCs/>
                <w:sz w:val="20"/>
                <w:szCs w:val="20"/>
              </w:rPr>
            </w:pPr>
            <w:r w:rsidRPr="00BE6461">
              <w:rPr>
                <w:b/>
                <w:bCs/>
                <w:sz w:val="20"/>
                <w:szCs w:val="20"/>
              </w:rPr>
              <w:t>313</w:t>
            </w:r>
          </w:p>
        </w:tc>
        <w:tc>
          <w:tcPr>
            <w:tcW w:w="8457" w:type="dxa"/>
            <w:tcBorders>
              <w:top w:val="nil"/>
              <w:left w:val="nil"/>
              <w:bottom w:val="nil"/>
              <w:right w:val="nil"/>
            </w:tcBorders>
            <w:shd w:val="clear" w:color="auto" w:fill="auto"/>
            <w:vAlign w:val="bottom"/>
            <w:hideMark/>
          </w:tcPr>
          <w:p w14:paraId="36084924" w14:textId="77777777" w:rsidR="00BE6461" w:rsidRPr="00BE6461" w:rsidRDefault="00BE6461" w:rsidP="00BE6461">
            <w:pPr>
              <w:rPr>
                <w:b/>
                <w:bCs/>
                <w:sz w:val="20"/>
                <w:szCs w:val="20"/>
              </w:rPr>
            </w:pPr>
            <w:r w:rsidRPr="00BE6461">
              <w:rPr>
                <w:b/>
                <w:bCs/>
                <w:sz w:val="20"/>
                <w:szCs w:val="20"/>
              </w:rPr>
              <w:t xml:space="preserve">Doprinosi na plaće                                                                                  </w:t>
            </w:r>
          </w:p>
        </w:tc>
        <w:tc>
          <w:tcPr>
            <w:tcW w:w="1503" w:type="dxa"/>
            <w:tcBorders>
              <w:top w:val="nil"/>
              <w:left w:val="nil"/>
              <w:bottom w:val="nil"/>
              <w:right w:val="nil"/>
            </w:tcBorders>
            <w:shd w:val="clear" w:color="auto" w:fill="auto"/>
            <w:noWrap/>
            <w:vAlign w:val="bottom"/>
            <w:hideMark/>
          </w:tcPr>
          <w:p w14:paraId="76EABD2C" w14:textId="77777777" w:rsidR="00BE6461" w:rsidRPr="00BE6461" w:rsidRDefault="00BE6461" w:rsidP="00BE6461">
            <w:pPr>
              <w:jc w:val="right"/>
              <w:rPr>
                <w:b/>
                <w:bCs/>
                <w:sz w:val="20"/>
                <w:szCs w:val="20"/>
              </w:rPr>
            </w:pPr>
            <w:r w:rsidRPr="00BE6461">
              <w:rPr>
                <w:b/>
                <w:bCs/>
                <w:sz w:val="20"/>
                <w:szCs w:val="20"/>
              </w:rPr>
              <w:t>207.100,00</w:t>
            </w:r>
          </w:p>
        </w:tc>
        <w:tc>
          <w:tcPr>
            <w:tcW w:w="1500" w:type="dxa"/>
            <w:tcBorders>
              <w:top w:val="nil"/>
              <w:left w:val="nil"/>
              <w:bottom w:val="nil"/>
              <w:right w:val="nil"/>
            </w:tcBorders>
            <w:shd w:val="clear" w:color="auto" w:fill="auto"/>
            <w:noWrap/>
            <w:vAlign w:val="bottom"/>
            <w:hideMark/>
          </w:tcPr>
          <w:p w14:paraId="26682BAF" w14:textId="77777777" w:rsidR="00BE6461" w:rsidRPr="00BE6461" w:rsidRDefault="00BE6461" w:rsidP="00BE6461">
            <w:pPr>
              <w:jc w:val="right"/>
              <w:rPr>
                <w:b/>
                <w:bCs/>
                <w:sz w:val="20"/>
                <w:szCs w:val="20"/>
              </w:rPr>
            </w:pPr>
            <w:r w:rsidRPr="00BE6461">
              <w:rPr>
                <w:b/>
                <w:bCs/>
                <w:sz w:val="20"/>
                <w:szCs w:val="20"/>
              </w:rPr>
              <w:t>203.898,03</w:t>
            </w:r>
          </w:p>
        </w:tc>
        <w:tc>
          <w:tcPr>
            <w:tcW w:w="1100" w:type="dxa"/>
            <w:tcBorders>
              <w:top w:val="nil"/>
              <w:left w:val="nil"/>
              <w:bottom w:val="nil"/>
              <w:right w:val="nil"/>
            </w:tcBorders>
            <w:shd w:val="clear" w:color="auto" w:fill="auto"/>
            <w:noWrap/>
            <w:vAlign w:val="bottom"/>
            <w:hideMark/>
          </w:tcPr>
          <w:p w14:paraId="0560A53B" w14:textId="77777777" w:rsidR="00BE6461" w:rsidRPr="00BE6461" w:rsidRDefault="00BE6461" w:rsidP="00BE6461">
            <w:pPr>
              <w:jc w:val="right"/>
              <w:rPr>
                <w:b/>
                <w:bCs/>
                <w:sz w:val="20"/>
                <w:szCs w:val="20"/>
              </w:rPr>
            </w:pPr>
            <w:r w:rsidRPr="00BE6461">
              <w:rPr>
                <w:b/>
                <w:bCs/>
                <w:sz w:val="20"/>
                <w:szCs w:val="20"/>
              </w:rPr>
              <w:t>98,45</w:t>
            </w:r>
          </w:p>
        </w:tc>
      </w:tr>
      <w:tr w:rsidR="00BE6461" w:rsidRPr="00BE6461" w14:paraId="3626A3A3" w14:textId="77777777" w:rsidTr="00BE6461">
        <w:trPr>
          <w:trHeight w:val="300"/>
        </w:trPr>
        <w:tc>
          <w:tcPr>
            <w:tcW w:w="1703" w:type="dxa"/>
            <w:tcBorders>
              <w:top w:val="nil"/>
              <w:left w:val="nil"/>
              <w:bottom w:val="nil"/>
              <w:right w:val="nil"/>
            </w:tcBorders>
            <w:shd w:val="clear" w:color="auto" w:fill="auto"/>
            <w:noWrap/>
            <w:vAlign w:val="bottom"/>
            <w:hideMark/>
          </w:tcPr>
          <w:p w14:paraId="51261758" w14:textId="77777777" w:rsidR="00BE6461" w:rsidRPr="00BE6461" w:rsidRDefault="00BE6461" w:rsidP="00BE6461">
            <w:pPr>
              <w:rPr>
                <w:sz w:val="20"/>
                <w:szCs w:val="20"/>
              </w:rPr>
            </w:pPr>
            <w:r w:rsidRPr="00BE6461">
              <w:rPr>
                <w:sz w:val="20"/>
                <w:szCs w:val="20"/>
              </w:rPr>
              <w:t>3132</w:t>
            </w:r>
          </w:p>
        </w:tc>
        <w:tc>
          <w:tcPr>
            <w:tcW w:w="8457" w:type="dxa"/>
            <w:tcBorders>
              <w:top w:val="nil"/>
              <w:left w:val="nil"/>
              <w:bottom w:val="nil"/>
              <w:right w:val="nil"/>
            </w:tcBorders>
            <w:shd w:val="clear" w:color="auto" w:fill="auto"/>
            <w:vAlign w:val="bottom"/>
            <w:hideMark/>
          </w:tcPr>
          <w:p w14:paraId="3D5A63FC" w14:textId="77777777" w:rsidR="00BE6461" w:rsidRPr="00BE6461" w:rsidRDefault="00BE6461" w:rsidP="00BE6461">
            <w:pPr>
              <w:rPr>
                <w:sz w:val="20"/>
                <w:szCs w:val="20"/>
              </w:rPr>
            </w:pPr>
            <w:r w:rsidRPr="00BE6461">
              <w:rPr>
                <w:sz w:val="20"/>
                <w:szCs w:val="20"/>
              </w:rPr>
              <w:t xml:space="preserve">Doprinosi za obvezno zdravstveno osiguranje                                                         </w:t>
            </w:r>
          </w:p>
        </w:tc>
        <w:tc>
          <w:tcPr>
            <w:tcW w:w="1503" w:type="dxa"/>
            <w:tcBorders>
              <w:top w:val="nil"/>
              <w:left w:val="nil"/>
              <w:bottom w:val="nil"/>
              <w:right w:val="nil"/>
            </w:tcBorders>
            <w:shd w:val="clear" w:color="auto" w:fill="auto"/>
            <w:noWrap/>
            <w:vAlign w:val="bottom"/>
            <w:hideMark/>
          </w:tcPr>
          <w:p w14:paraId="4FBA8C4B"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2A4F99B" w14:textId="77777777" w:rsidR="00BE6461" w:rsidRPr="00BE6461" w:rsidRDefault="00BE6461" w:rsidP="00BE6461">
            <w:pPr>
              <w:jc w:val="right"/>
              <w:rPr>
                <w:sz w:val="20"/>
                <w:szCs w:val="20"/>
              </w:rPr>
            </w:pPr>
            <w:r w:rsidRPr="00BE6461">
              <w:rPr>
                <w:sz w:val="20"/>
                <w:szCs w:val="20"/>
              </w:rPr>
              <w:t>203.898,03</w:t>
            </w:r>
          </w:p>
        </w:tc>
        <w:tc>
          <w:tcPr>
            <w:tcW w:w="1100" w:type="dxa"/>
            <w:tcBorders>
              <w:top w:val="nil"/>
              <w:left w:val="nil"/>
              <w:bottom w:val="nil"/>
              <w:right w:val="nil"/>
            </w:tcBorders>
            <w:shd w:val="clear" w:color="auto" w:fill="auto"/>
            <w:noWrap/>
            <w:vAlign w:val="bottom"/>
            <w:hideMark/>
          </w:tcPr>
          <w:p w14:paraId="4E08796A" w14:textId="77777777" w:rsidR="00BE6461" w:rsidRPr="00BE6461" w:rsidRDefault="00BE6461" w:rsidP="00BE6461">
            <w:pPr>
              <w:jc w:val="right"/>
              <w:rPr>
                <w:sz w:val="20"/>
                <w:szCs w:val="20"/>
              </w:rPr>
            </w:pPr>
          </w:p>
        </w:tc>
      </w:tr>
      <w:tr w:rsidR="00BE6461" w:rsidRPr="00BE6461" w14:paraId="791A4DAB"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03606CAD" w14:textId="77777777" w:rsidR="00BE6461" w:rsidRPr="00BE6461" w:rsidRDefault="00BE6461" w:rsidP="00BE6461">
            <w:pPr>
              <w:rPr>
                <w:b/>
                <w:bCs/>
                <w:sz w:val="20"/>
                <w:szCs w:val="20"/>
              </w:rPr>
            </w:pPr>
            <w:r w:rsidRPr="00BE6461">
              <w:rPr>
                <w:b/>
                <w:bCs/>
                <w:sz w:val="20"/>
                <w:szCs w:val="20"/>
              </w:rPr>
              <w:t>A100009</w:t>
            </w:r>
          </w:p>
        </w:tc>
        <w:tc>
          <w:tcPr>
            <w:tcW w:w="8457" w:type="dxa"/>
            <w:tcBorders>
              <w:top w:val="single" w:sz="4" w:space="0" w:color="auto"/>
              <w:left w:val="nil"/>
              <w:bottom w:val="single" w:sz="4" w:space="0" w:color="auto"/>
              <w:right w:val="nil"/>
            </w:tcBorders>
            <w:shd w:val="clear" w:color="auto" w:fill="auto"/>
            <w:vAlign w:val="bottom"/>
            <w:hideMark/>
          </w:tcPr>
          <w:p w14:paraId="2535CEC3" w14:textId="77777777" w:rsidR="00BE6461" w:rsidRPr="00BE6461" w:rsidRDefault="00BE6461" w:rsidP="00BE6461">
            <w:pPr>
              <w:rPr>
                <w:b/>
                <w:bCs/>
                <w:sz w:val="20"/>
                <w:szCs w:val="20"/>
              </w:rPr>
            </w:pPr>
            <w:r w:rsidRPr="00BE6461">
              <w:rPr>
                <w:b/>
                <w:bCs/>
                <w:sz w:val="20"/>
                <w:szCs w:val="20"/>
              </w:rPr>
              <w:t>Aktivnost: ZAJEDNIČKI MATERIJALNI I FINANCIJSKI RASHODI GRADSKE UPRAVE</w:t>
            </w:r>
          </w:p>
        </w:tc>
        <w:tc>
          <w:tcPr>
            <w:tcW w:w="1503" w:type="dxa"/>
            <w:tcBorders>
              <w:top w:val="single" w:sz="4" w:space="0" w:color="auto"/>
              <w:left w:val="nil"/>
              <w:bottom w:val="single" w:sz="4" w:space="0" w:color="auto"/>
              <w:right w:val="nil"/>
            </w:tcBorders>
            <w:shd w:val="clear" w:color="auto" w:fill="auto"/>
            <w:noWrap/>
            <w:vAlign w:val="bottom"/>
            <w:hideMark/>
          </w:tcPr>
          <w:p w14:paraId="1C49E53C" w14:textId="77777777" w:rsidR="00BE6461" w:rsidRPr="00BE6461" w:rsidRDefault="00BE6461" w:rsidP="00BE6461">
            <w:pPr>
              <w:jc w:val="right"/>
              <w:rPr>
                <w:b/>
                <w:bCs/>
                <w:sz w:val="20"/>
                <w:szCs w:val="20"/>
              </w:rPr>
            </w:pPr>
            <w:r w:rsidRPr="00BE6461">
              <w:rPr>
                <w:b/>
                <w:bCs/>
                <w:sz w:val="20"/>
                <w:szCs w:val="20"/>
              </w:rPr>
              <w:t>1.971.250,00</w:t>
            </w:r>
          </w:p>
        </w:tc>
        <w:tc>
          <w:tcPr>
            <w:tcW w:w="1500" w:type="dxa"/>
            <w:tcBorders>
              <w:top w:val="single" w:sz="4" w:space="0" w:color="auto"/>
              <w:left w:val="nil"/>
              <w:bottom w:val="single" w:sz="4" w:space="0" w:color="auto"/>
              <w:right w:val="nil"/>
            </w:tcBorders>
            <w:shd w:val="clear" w:color="auto" w:fill="auto"/>
            <w:noWrap/>
            <w:vAlign w:val="bottom"/>
            <w:hideMark/>
          </w:tcPr>
          <w:p w14:paraId="59EBF2D5" w14:textId="77777777" w:rsidR="00BE6461" w:rsidRPr="00BE6461" w:rsidRDefault="00BE6461" w:rsidP="00BE6461">
            <w:pPr>
              <w:jc w:val="right"/>
              <w:rPr>
                <w:b/>
                <w:bCs/>
                <w:sz w:val="20"/>
                <w:szCs w:val="20"/>
              </w:rPr>
            </w:pPr>
            <w:r w:rsidRPr="00BE6461">
              <w:rPr>
                <w:b/>
                <w:bCs/>
                <w:sz w:val="20"/>
                <w:szCs w:val="20"/>
              </w:rPr>
              <w:t>1.729.843,61</w:t>
            </w:r>
          </w:p>
        </w:tc>
        <w:tc>
          <w:tcPr>
            <w:tcW w:w="1100" w:type="dxa"/>
            <w:tcBorders>
              <w:top w:val="single" w:sz="4" w:space="0" w:color="auto"/>
              <w:left w:val="nil"/>
              <w:bottom w:val="single" w:sz="4" w:space="0" w:color="auto"/>
              <w:right w:val="nil"/>
            </w:tcBorders>
            <w:shd w:val="clear" w:color="auto" w:fill="auto"/>
            <w:noWrap/>
            <w:vAlign w:val="bottom"/>
            <w:hideMark/>
          </w:tcPr>
          <w:p w14:paraId="4BCFAC85" w14:textId="77777777" w:rsidR="00BE6461" w:rsidRPr="00BE6461" w:rsidRDefault="00BE6461" w:rsidP="00BE6461">
            <w:pPr>
              <w:jc w:val="right"/>
              <w:rPr>
                <w:b/>
                <w:bCs/>
                <w:sz w:val="20"/>
                <w:szCs w:val="20"/>
              </w:rPr>
            </w:pPr>
            <w:r w:rsidRPr="00BE6461">
              <w:rPr>
                <w:b/>
                <w:bCs/>
                <w:sz w:val="20"/>
                <w:szCs w:val="20"/>
              </w:rPr>
              <w:t>87,75</w:t>
            </w:r>
          </w:p>
        </w:tc>
      </w:tr>
      <w:tr w:rsidR="00BE6461" w:rsidRPr="00BE6461" w14:paraId="2FAB2B8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12293C8"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268C2079" w14:textId="77777777" w:rsidR="00BE6461" w:rsidRPr="00BE6461" w:rsidRDefault="00BE6461" w:rsidP="00BE6461">
            <w:pPr>
              <w:jc w:val="right"/>
              <w:rPr>
                <w:b/>
                <w:bCs/>
                <w:color w:val="333333"/>
                <w:sz w:val="20"/>
                <w:szCs w:val="20"/>
              </w:rPr>
            </w:pPr>
            <w:r w:rsidRPr="00BE6461">
              <w:rPr>
                <w:b/>
                <w:bCs/>
                <w:color w:val="333333"/>
                <w:sz w:val="20"/>
                <w:szCs w:val="20"/>
              </w:rPr>
              <w:t>1.971.250,00</w:t>
            </w:r>
          </w:p>
        </w:tc>
        <w:tc>
          <w:tcPr>
            <w:tcW w:w="1500" w:type="dxa"/>
            <w:tcBorders>
              <w:top w:val="nil"/>
              <w:left w:val="nil"/>
              <w:bottom w:val="nil"/>
              <w:right w:val="nil"/>
            </w:tcBorders>
            <w:shd w:val="clear" w:color="auto" w:fill="auto"/>
            <w:noWrap/>
            <w:vAlign w:val="bottom"/>
            <w:hideMark/>
          </w:tcPr>
          <w:p w14:paraId="68C67A01" w14:textId="77777777" w:rsidR="00BE6461" w:rsidRPr="00BE6461" w:rsidRDefault="00BE6461" w:rsidP="00BE6461">
            <w:pPr>
              <w:jc w:val="right"/>
              <w:rPr>
                <w:b/>
                <w:bCs/>
                <w:color w:val="333333"/>
                <w:sz w:val="20"/>
                <w:szCs w:val="20"/>
              </w:rPr>
            </w:pPr>
            <w:r w:rsidRPr="00BE6461">
              <w:rPr>
                <w:b/>
                <w:bCs/>
                <w:color w:val="333333"/>
                <w:sz w:val="20"/>
                <w:szCs w:val="20"/>
              </w:rPr>
              <w:t>1.728.053,61</w:t>
            </w:r>
          </w:p>
        </w:tc>
        <w:tc>
          <w:tcPr>
            <w:tcW w:w="1100" w:type="dxa"/>
            <w:tcBorders>
              <w:top w:val="nil"/>
              <w:left w:val="nil"/>
              <w:bottom w:val="nil"/>
              <w:right w:val="nil"/>
            </w:tcBorders>
            <w:shd w:val="clear" w:color="auto" w:fill="auto"/>
            <w:noWrap/>
            <w:vAlign w:val="bottom"/>
            <w:hideMark/>
          </w:tcPr>
          <w:p w14:paraId="2143589C" w14:textId="77777777" w:rsidR="00BE6461" w:rsidRPr="00BE6461" w:rsidRDefault="00BE6461" w:rsidP="00BE6461">
            <w:pPr>
              <w:jc w:val="right"/>
              <w:rPr>
                <w:b/>
                <w:bCs/>
                <w:color w:val="333333"/>
                <w:sz w:val="20"/>
                <w:szCs w:val="20"/>
              </w:rPr>
            </w:pPr>
            <w:r w:rsidRPr="00BE6461">
              <w:rPr>
                <w:b/>
                <w:bCs/>
                <w:color w:val="333333"/>
                <w:sz w:val="20"/>
                <w:szCs w:val="20"/>
              </w:rPr>
              <w:t>87,66</w:t>
            </w:r>
          </w:p>
        </w:tc>
      </w:tr>
      <w:tr w:rsidR="00BE6461" w:rsidRPr="00BE6461" w14:paraId="02D59DFD"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4B2494A"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56B274E6" w14:textId="77777777" w:rsidR="00BE6461" w:rsidRPr="00BE6461" w:rsidRDefault="00BE6461" w:rsidP="00BE6461">
            <w:pPr>
              <w:jc w:val="right"/>
              <w:rPr>
                <w:b/>
                <w:bCs/>
                <w:color w:val="333333"/>
                <w:sz w:val="20"/>
                <w:szCs w:val="20"/>
              </w:rPr>
            </w:pPr>
            <w:r w:rsidRPr="00BE6461">
              <w:rPr>
                <w:b/>
                <w:bCs/>
                <w:color w:val="333333"/>
                <w:sz w:val="20"/>
                <w:szCs w:val="20"/>
              </w:rPr>
              <w:t>1.971.250,00</w:t>
            </w:r>
          </w:p>
        </w:tc>
        <w:tc>
          <w:tcPr>
            <w:tcW w:w="1500" w:type="dxa"/>
            <w:tcBorders>
              <w:top w:val="nil"/>
              <w:left w:val="nil"/>
              <w:bottom w:val="nil"/>
              <w:right w:val="nil"/>
            </w:tcBorders>
            <w:shd w:val="clear" w:color="auto" w:fill="auto"/>
            <w:noWrap/>
            <w:vAlign w:val="bottom"/>
            <w:hideMark/>
          </w:tcPr>
          <w:p w14:paraId="173B6D4E" w14:textId="77777777" w:rsidR="00BE6461" w:rsidRPr="00BE6461" w:rsidRDefault="00BE6461" w:rsidP="00BE6461">
            <w:pPr>
              <w:jc w:val="right"/>
              <w:rPr>
                <w:b/>
                <w:bCs/>
                <w:color w:val="333333"/>
                <w:sz w:val="20"/>
                <w:szCs w:val="20"/>
              </w:rPr>
            </w:pPr>
            <w:r w:rsidRPr="00BE6461">
              <w:rPr>
                <w:b/>
                <w:bCs/>
                <w:color w:val="333333"/>
                <w:sz w:val="20"/>
                <w:szCs w:val="20"/>
              </w:rPr>
              <w:t>1.728.053,61</w:t>
            </w:r>
          </w:p>
        </w:tc>
        <w:tc>
          <w:tcPr>
            <w:tcW w:w="1100" w:type="dxa"/>
            <w:tcBorders>
              <w:top w:val="nil"/>
              <w:left w:val="nil"/>
              <w:bottom w:val="nil"/>
              <w:right w:val="nil"/>
            </w:tcBorders>
            <w:shd w:val="clear" w:color="auto" w:fill="auto"/>
            <w:noWrap/>
            <w:vAlign w:val="bottom"/>
            <w:hideMark/>
          </w:tcPr>
          <w:p w14:paraId="5DDD0354" w14:textId="77777777" w:rsidR="00BE6461" w:rsidRPr="00BE6461" w:rsidRDefault="00BE6461" w:rsidP="00BE6461">
            <w:pPr>
              <w:jc w:val="right"/>
              <w:rPr>
                <w:b/>
                <w:bCs/>
                <w:color w:val="333333"/>
                <w:sz w:val="20"/>
                <w:szCs w:val="20"/>
              </w:rPr>
            </w:pPr>
            <w:r w:rsidRPr="00BE6461">
              <w:rPr>
                <w:b/>
                <w:bCs/>
                <w:color w:val="333333"/>
                <w:sz w:val="20"/>
                <w:szCs w:val="20"/>
              </w:rPr>
              <w:t>87,66</w:t>
            </w:r>
          </w:p>
        </w:tc>
      </w:tr>
      <w:tr w:rsidR="00BE6461" w:rsidRPr="00BE6461" w14:paraId="6DED0D06" w14:textId="77777777" w:rsidTr="00BE6461">
        <w:trPr>
          <w:trHeight w:val="300"/>
        </w:trPr>
        <w:tc>
          <w:tcPr>
            <w:tcW w:w="1703" w:type="dxa"/>
            <w:tcBorders>
              <w:top w:val="nil"/>
              <w:left w:val="nil"/>
              <w:bottom w:val="nil"/>
              <w:right w:val="nil"/>
            </w:tcBorders>
            <w:shd w:val="clear" w:color="auto" w:fill="auto"/>
            <w:noWrap/>
            <w:vAlign w:val="bottom"/>
            <w:hideMark/>
          </w:tcPr>
          <w:p w14:paraId="581A98AC" w14:textId="77777777" w:rsidR="00BE6461" w:rsidRPr="00BE6461" w:rsidRDefault="00BE6461" w:rsidP="00BE6461">
            <w:pPr>
              <w:rPr>
                <w:b/>
                <w:bCs/>
                <w:sz w:val="20"/>
                <w:szCs w:val="20"/>
              </w:rPr>
            </w:pPr>
            <w:r w:rsidRPr="00BE6461">
              <w:rPr>
                <w:b/>
                <w:bCs/>
                <w:sz w:val="20"/>
                <w:szCs w:val="20"/>
              </w:rPr>
              <w:t>321</w:t>
            </w:r>
          </w:p>
        </w:tc>
        <w:tc>
          <w:tcPr>
            <w:tcW w:w="8457" w:type="dxa"/>
            <w:tcBorders>
              <w:top w:val="nil"/>
              <w:left w:val="nil"/>
              <w:bottom w:val="nil"/>
              <w:right w:val="nil"/>
            </w:tcBorders>
            <w:shd w:val="clear" w:color="auto" w:fill="auto"/>
            <w:vAlign w:val="bottom"/>
            <w:hideMark/>
          </w:tcPr>
          <w:p w14:paraId="0F5FED4F" w14:textId="77777777" w:rsidR="00BE6461" w:rsidRPr="00BE6461" w:rsidRDefault="00BE6461" w:rsidP="00BE6461">
            <w:pPr>
              <w:rPr>
                <w:b/>
                <w:bCs/>
                <w:sz w:val="20"/>
                <w:szCs w:val="20"/>
              </w:rPr>
            </w:pPr>
            <w:r w:rsidRPr="00BE6461">
              <w:rPr>
                <w:b/>
                <w:bCs/>
                <w:sz w:val="20"/>
                <w:szCs w:val="20"/>
              </w:rPr>
              <w:t xml:space="preserve">Naknade troškova zaposlenima                                                                        </w:t>
            </w:r>
          </w:p>
        </w:tc>
        <w:tc>
          <w:tcPr>
            <w:tcW w:w="1503" w:type="dxa"/>
            <w:tcBorders>
              <w:top w:val="nil"/>
              <w:left w:val="nil"/>
              <w:bottom w:val="nil"/>
              <w:right w:val="nil"/>
            </w:tcBorders>
            <w:shd w:val="clear" w:color="auto" w:fill="auto"/>
            <w:noWrap/>
            <w:vAlign w:val="bottom"/>
            <w:hideMark/>
          </w:tcPr>
          <w:p w14:paraId="6E1FAC9D" w14:textId="77777777" w:rsidR="00BE6461" w:rsidRPr="00BE6461" w:rsidRDefault="00BE6461" w:rsidP="00BE6461">
            <w:pPr>
              <w:jc w:val="right"/>
              <w:rPr>
                <w:b/>
                <w:bCs/>
                <w:sz w:val="20"/>
                <w:szCs w:val="20"/>
              </w:rPr>
            </w:pPr>
            <w:r w:rsidRPr="00BE6461">
              <w:rPr>
                <w:b/>
                <w:bCs/>
                <w:sz w:val="20"/>
                <w:szCs w:val="20"/>
              </w:rPr>
              <w:t>204.000,00</w:t>
            </w:r>
          </w:p>
        </w:tc>
        <w:tc>
          <w:tcPr>
            <w:tcW w:w="1500" w:type="dxa"/>
            <w:tcBorders>
              <w:top w:val="nil"/>
              <w:left w:val="nil"/>
              <w:bottom w:val="nil"/>
              <w:right w:val="nil"/>
            </w:tcBorders>
            <w:shd w:val="clear" w:color="auto" w:fill="auto"/>
            <w:noWrap/>
            <w:vAlign w:val="bottom"/>
            <w:hideMark/>
          </w:tcPr>
          <w:p w14:paraId="502DF6B9" w14:textId="77777777" w:rsidR="00BE6461" w:rsidRPr="00BE6461" w:rsidRDefault="00BE6461" w:rsidP="00BE6461">
            <w:pPr>
              <w:jc w:val="right"/>
              <w:rPr>
                <w:b/>
                <w:bCs/>
                <w:sz w:val="20"/>
                <w:szCs w:val="20"/>
              </w:rPr>
            </w:pPr>
            <w:r w:rsidRPr="00BE6461">
              <w:rPr>
                <w:b/>
                <w:bCs/>
                <w:sz w:val="20"/>
                <w:szCs w:val="20"/>
              </w:rPr>
              <w:t>182.059,31</w:t>
            </w:r>
          </w:p>
        </w:tc>
        <w:tc>
          <w:tcPr>
            <w:tcW w:w="1100" w:type="dxa"/>
            <w:tcBorders>
              <w:top w:val="nil"/>
              <w:left w:val="nil"/>
              <w:bottom w:val="nil"/>
              <w:right w:val="nil"/>
            </w:tcBorders>
            <w:shd w:val="clear" w:color="auto" w:fill="auto"/>
            <w:noWrap/>
            <w:vAlign w:val="bottom"/>
            <w:hideMark/>
          </w:tcPr>
          <w:p w14:paraId="0E5F026F" w14:textId="77777777" w:rsidR="00BE6461" w:rsidRPr="00BE6461" w:rsidRDefault="00BE6461" w:rsidP="00BE6461">
            <w:pPr>
              <w:jc w:val="right"/>
              <w:rPr>
                <w:b/>
                <w:bCs/>
                <w:sz w:val="20"/>
                <w:szCs w:val="20"/>
              </w:rPr>
            </w:pPr>
            <w:r w:rsidRPr="00BE6461">
              <w:rPr>
                <w:b/>
                <w:bCs/>
                <w:sz w:val="20"/>
                <w:szCs w:val="20"/>
              </w:rPr>
              <w:t>89,24</w:t>
            </w:r>
          </w:p>
        </w:tc>
      </w:tr>
      <w:tr w:rsidR="00BE6461" w:rsidRPr="00BE6461" w14:paraId="52F234EB" w14:textId="77777777" w:rsidTr="00BE6461">
        <w:trPr>
          <w:trHeight w:val="300"/>
        </w:trPr>
        <w:tc>
          <w:tcPr>
            <w:tcW w:w="1703" w:type="dxa"/>
            <w:tcBorders>
              <w:top w:val="nil"/>
              <w:left w:val="nil"/>
              <w:bottom w:val="nil"/>
              <w:right w:val="nil"/>
            </w:tcBorders>
            <w:shd w:val="clear" w:color="auto" w:fill="auto"/>
            <w:noWrap/>
            <w:vAlign w:val="bottom"/>
            <w:hideMark/>
          </w:tcPr>
          <w:p w14:paraId="3A19A1EE" w14:textId="77777777" w:rsidR="00BE6461" w:rsidRPr="00BE6461" w:rsidRDefault="00BE6461" w:rsidP="00BE6461">
            <w:pPr>
              <w:rPr>
                <w:sz w:val="20"/>
                <w:szCs w:val="20"/>
              </w:rPr>
            </w:pPr>
            <w:r w:rsidRPr="00BE6461">
              <w:rPr>
                <w:sz w:val="20"/>
                <w:szCs w:val="20"/>
              </w:rPr>
              <w:lastRenderedPageBreak/>
              <w:t>3211</w:t>
            </w:r>
          </w:p>
        </w:tc>
        <w:tc>
          <w:tcPr>
            <w:tcW w:w="8457" w:type="dxa"/>
            <w:tcBorders>
              <w:top w:val="nil"/>
              <w:left w:val="nil"/>
              <w:bottom w:val="nil"/>
              <w:right w:val="nil"/>
            </w:tcBorders>
            <w:shd w:val="clear" w:color="auto" w:fill="auto"/>
            <w:vAlign w:val="bottom"/>
            <w:hideMark/>
          </w:tcPr>
          <w:p w14:paraId="0465FFF5" w14:textId="77777777" w:rsidR="00BE6461" w:rsidRPr="00BE6461" w:rsidRDefault="00BE6461" w:rsidP="00BE6461">
            <w:pPr>
              <w:rPr>
                <w:sz w:val="20"/>
                <w:szCs w:val="20"/>
              </w:rPr>
            </w:pPr>
            <w:r w:rsidRPr="00BE6461">
              <w:rPr>
                <w:sz w:val="20"/>
                <w:szCs w:val="20"/>
              </w:rPr>
              <w:t xml:space="preserve">Službena putovanja                                                                                  </w:t>
            </w:r>
          </w:p>
        </w:tc>
        <w:tc>
          <w:tcPr>
            <w:tcW w:w="1503" w:type="dxa"/>
            <w:tcBorders>
              <w:top w:val="nil"/>
              <w:left w:val="nil"/>
              <w:bottom w:val="nil"/>
              <w:right w:val="nil"/>
            </w:tcBorders>
            <w:shd w:val="clear" w:color="auto" w:fill="auto"/>
            <w:noWrap/>
            <w:vAlign w:val="bottom"/>
            <w:hideMark/>
          </w:tcPr>
          <w:p w14:paraId="5818FAF9"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160F94C" w14:textId="77777777" w:rsidR="00BE6461" w:rsidRPr="00BE6461" w:rsidRDefault="00BE6461" w:rsidP="00BE6461">
            <w:pPr>
              <w:jc w:val="right"/>
              <w:rPr>
                <w:sz w:val="20"/>
                <w:szCs w:val="20"/>
              </w:rPr>
            </w:pPr>
            <w:r w:rsidRPr="00BE6461">
              <w:rPr>
                <w:sz w:val="20"/>
                <w:szCs w:val="20"/>
              </w:rPr>
              <w:t>21.252,36</w:t>
            </w:r>
          </w:p>
        </w:tc>
        <w:tc>
          <w:tcPr>
            <w:tcW w:w="1100" w:type="dxa"/>
            <w:tcBorders>
              <w:top w:val="nil"/>
              <w:left w:val="nil"/>
              <w:bottom w:val="nil"/>
              <w:right w:val="nil"/>
            </w:tcBorders>
            <w:shd w:val="clear" w:color="auto" w:fill="auto"/>
            <w:noWrap/>
            <w:vAlign w:val="bottom"/>
            <w:hideMark/>
          </w:tcPr>
          <w:p w14:paraId="1048C675" w14:textId="77777777" w:rsidR="00BE6461" w:rsidRPr="00BE6461" w:rsidRDefault="00BE6461" w:rsidP="00BE6461">
            <w:pPr>
              <w:jc w:val="right"/>
              <w:rPr>
                <w:sz w:val="20"/>
                <w:szCs w:val="20"/>
              </w:rPr>
            </w:pPr>
          </w:p>
        </w:tc>
      </w:tr>
      <w:tr w:rsidR="00BE6461" w:rsidRPr="00BE6461" w14:paraId="0CD1A850" w14:textId="77777777" w:rsidTr="00BE6461">
        <w:trPr>
          <w:trHeight w:val="300"/>
        </w:trPr>
        <w:tc>
          <w:tcPr>
            <w:tcW w:w="1703" w:type="dxa"/>
            <w:tcBorders>
              <w:top w:val="nil"/>
              <w:left w:val="nil"/>
              <w:bottom w:val="nil"/>
              <w:right w:val="nil"/>
            </w:tcBorders>
            <w:shd w:val="clear" w:color="auto" w:fill="auto"/>
            <w:noWrap/>
            <w:vAlign w:val="bottom"/>
            <w:hideMark/>
          </w:tcPr>
          <w:p w14:paraId="30E500FA" w14:textId="77777777" w:rsidR="00BE6461" w:rsidRPr="00BE6461" w:rsidRDefault="00BE6461" w:rsidP="00BE6461">
            <w:pPr>
              <w:rPr>
                <w:sz w:val="20"/>
                <w:szCs w:val="20"/>
              </w:rPr>
            </w:pPr>
            <w:r w:rsidRPr="00BE6461">
              <w:rPr>
                <w:sz w:val="20"/>
                <w:szCs w:val="20"/>
              </w:rPr>
              <w:t>3212</w:t>
            </w:r>
          </w:p>
        </w:tc>
        <w:tc>
          <w:tcPr>
            <w:tcW w:w="8457" w:type="dxa"/>
            <w:tcBorders>
              <w:top w:val="nil"/>
              <w:left w:val="nil"/>
              <w:bottom w:val="nil"/>
              <w:right w:val="nil"/>
            </w:tcBorders>
            <w:shd w:val="clear" w:color="auto" w:fill="auto"/>
            <w:vAlign w:val="bottom"/>
            <w:hideMark/>
          </w:tcPr>
          <w:p w14:paraId="5C6335FC" w14:textId="77777777" w:rsidR="00BE6461" w:rsidRPr="00BE6461" w:rsidRDefault="00BE6461" w:rsidP="00BE6461">
            <w:pPr>
              <w:rPr>
                <w:sz w:val="20"/>
                <w:szCs w:val="20"/>
              </w:rPr>
            </w:pPr>
            <w:r w:rsidRPr="00BE6461">
              <w:rPr>
                <w:sz w:val="20"/>
                <w:szCs w:val="20"/>
              </w:rPr>
              <w:t xml:space="preserve">Naknade za prijevoz, za rad na terenu i odvojeni život                                              </w:t>
            </w:r>
          </w:p>
        </w:tc>
        <w:tc>
          <w:tcPr>
            <w:tcW w:w="1503" w:type="dxa"/>
            <w:tcBorders>
              <w:top w:val="nil"/>
              <w:left w:val="nil"/>
              <w:bottom w:val="nil"/>
              <w:right w:val="nil"/>
            </w:tcBorders>
            <w:shd w:val="clear" w:color="auto" w:fill="auto"/>
            <w:noWrap/>
            <w:vAlign w:val="bottom"/>
            <w:hideMark/>
          </w:tcPr>
          <w:p w14:paraId="651AE31B"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387657D" w14:textId="77777777" w:rsidR="00BE6461" w:rsidRPr="00BE6461" w:rsidRDefault="00BE6461" w:rsidP="00BE6461">
            <w:pPr>
              <w:jc w:val="right"/>
              <w:rPr>
                <w:sz w:val="20"/>
                <w:szCs w:val="20"/>
              </w:rPr>
            </w:pPr>
            <w:r w:rsidRPr="00BE6461">
              <w:rPr>
                <w:sz w:val="20"/>
                <w:szCs w:val="20"/>
              </w:rPr>
              <w:t>147.409,45</w:t>
            </w:r>
          </w:p>
        </w:tc>
        <w:tc>
          <w:tcPr>
            <w:tcW w:w="1100" w:type="dxa"/>
            <w:tcBorders>
              <w:top w:val="nil"/>
              <w:left w:val="nil"/>
              <w:bottom w:val="nil"/>
              <w:right w:val="nil"/>
            </w:tcBorders>
            <w:shd w:val="clear" w:color="auto" w:fill="auto"/>
            <w:noWrap/>
            <w:vAlign w:val="bottom"/>
            <w:hideMark/>
          </w:tcPr>
          <w:p w14:paraId="0C4D4EB8" w14:textId="77777777" w:rsidR="00BE6461" w:rsidRPr="00BE6461" w:rsidRDefault="00BE6461" w:rsidP="00BE6461">
            <w:pPr>
              <w:jc w:val="right"/>
              <w:rPr>
                <w:sz w:val="20"/>
                <w:szCs w:val="20"/>
              </w:rPr>
            </w:pPr>
          </w:p>
        </w:tc>
      </w:tr>
      <w:tr w:rsidR="00BE6461" w:rsidRPr="00BE6461" w14:paraId="36E0051E" w14:textId="77777777" w:rsidTr="00BE6461">
        <w:trPr>
          <w:trHeight w:val="300"/>
        </w:trPr>
        <w:tc>
          <w:tcPr>
            <w:tcW w:w="1703" w:type="dxa"/>
            <w:tcBorders>
              <w:top w:val="nil"/>
              <w:left w:val="nil"/>
              <w:bottom w:val="nil"/>
              <w:right w:val="nil"/>
            </w:tcBorders>
            <w:shd w:val="clear" w:color="auto" w:fill="auto"/>
            <w:noWrap/>
            <w:vAlign w:val="bottom"/>
            <w:hideMark/>
          </w:tcPr>
          <w:p w14:paraId="6232B2C4" w14:textId="77777777" w:rsidR="00BE6461" w:rsidRPr="00BE6461" w:rsidRDefault="00BE6461" w:rsidP="00BE6461">
            <w:pPr>
              <w:rPr>
                <w:sz w:val="20"/>
                <w:szCs w:val="20"/>
              </w:rPr>
            </w:pPr>
            <w:r w:rsidRPr="00BE6461">
              <w:rPr>
                <w:sz w:val="20"/>
                <w:szCs w:val="20"/>
              </w:rPr>
              <w:t>3213</w:t>
            </w:r>
          </w:p>
        </w:tc>
        <w:tc>
          <w:tcPr>
            <w:tcW w:w="8457" w:type="dxa"/>
            <w:tcBorders>
              <w:top w:val="nil"/>
              <w:left w:val="nil"/>
              <w:bottom w:val="nil"/>
              <w:right w:val="nil"/>
            </w:tcBorders>
            <w:shd w:val="clear" w:color="auto" w:fill="auto"/>
            <w:vAlign w:val="bottom"/>
            <w:hideMark/>
          </w:tcPr>
          <w:p w14:paraId="4E0101C3" w14:textId="77777777" w:rsidR="00BE6461" w:rsidRPr="00BE6461" w:rsidRDefault="00BE6461" w:rsidP="00BE6461">
            <w:pPr>
              <w:rPr>
                <w:sz w:val="20"/>
                <w:szCs w:val="20"/>
              </w:rPr>
            </w:pPr>
            <w:r w:rsidRPr="00BE6461">
              <w:rPr>
                <w:sz w:val="20"/>
                <w:szCs w:val="20"/>
              </w:rPr>
              <w:t xml:space="preserve">Stručno usavršavanje zaposlenika                                                                    </w:t>
            </w:r>
          </w:p>
        </w:tc>
        <w:tc>
          <w:tcPr>
            <w:tcW w:w="1503" w:type="dxa"/>
            <w:tcBorders>
              <w:top w:val="nil"/>
              <w:left w:val="nil"/>
              <w:bottom w:val="nil"/>
              <w:right w:val="nil"/>
            </w:tcBorders>
            <w:shd w:val="clear" w:color="auto" w:fill="auto"/>
            <w:noWrap/>
            <w:vAlign w:val="bottom"/>
            <w:hideMark/>
          </w:tcPr>
          <w:p w14:paraId="17AD79A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52086AE" w14:textId="77777777" w:rsidR="00BE6461" w:rsidRPr="00BE6461" w:rsidRDefault="00BE6461" w:rsidP="00BE6461">
            <w:pPr>
              <w:jc w:val="right"/>
              <w:rPr>
                <w:sz w:val="20"/>
                <w:szCs w:val="20"/>
              </w:rPr>
            </w:pPr>
            <w:r w:rsidRPr="00BE6461">
              <w:rPr>
                <w:sz w:val="20"/>
                <w:szCs w:val="20"/>
              </w:rPr>
              <w:t>13.397,50</w:t>
            </w:r>
          </w:p>
        </w:tc>
        <w:tc>
          <w:tcPr>
            <w:tcW w:w="1100" w:type="dxa"/>
            <w:tcBorders>
              <w:top w:val="nil"/>
              <w:left w:val="nil"/>
              <w:bottom w:val="nil"/>
              <w:right w:val="nil"/>
            </w:tcBorders>
            <w:shd w:val="clear" w:color="auto" w:fill="auto"/>
            <w:noWrap/>
            <w:vAlign w:val="bottom"/>
            <w:hideMark/>
          </w:tcPr>
          <w:p w14:paraId="7BDBB5F2" w14:textId="77777777" w:rsidR="00BE6461" w:rsidRPr="00BE6461" w:rsidRDefault="00BE6461" w:rsidP="00BE6461">
            <w:pPr>
              <w:jc w:val="right"/>
              <w:rPr>
                <w:sz w:val="20"/>
                <w:szCs w:val="20"/>
              </w:rPr>
            </w:pPr>
          </w:p>
        </w:tc>
      </w:tr>
      <w:tr w:rsidR="00BE6461" w:rsidRPr="00BE6461" w14:paraId="64D82B14" w14:textId="77777777" w:rsidTr="00BE6461">
        <w:trPr>
          <w:trHeight w:val="300"/>
        </w:trPr>
        <w:tc>
          <w:tcPr>
            <w:tcW w:w="1703" w:type="dxa"/>
            <w:tcBorders>
              <w:top w:val="nil"/>
              <w:left w:val="nil"/>
              <w:bottom w:val="nil"/>
              <w:right w:val="nil"/>
            </w:tcBorders>
            <w:shd w:val="clear" w:color="auto" w:fill="auto"/>
            <w:noWrap/>
            <w:vAlign w:val="bottom"/>
            <w:hideMark/>
          </w:tcPr>
          <w:p w14:paraId="4B3121A5" w14:textId="77777777" w:rsidR="00BE6461" w:rsidRPr="00BE6461" w:rsidRDefault="00BE6461" w:rsidP="00BE6461">
            <w:pPr>
              <w:rPr>
                <w:sz w:val="20"/>
                <w:szCs w:val="20"/>
              </w:rPr>
            </w:pPr>
            <w:r w:rsidRPr="00BE6461">
              <w:rPr>
                <w:sz w:val="20"/>
                <w:szCs w:val="20"/>
              </w:rPr>
              <w:t>3214</w:t>
            </w:r>
          </w:p>
        </w:tc>
        <w:tc>
          <w:tcPr>
            <w:tcW w:w="8457" w:type="dxa"/>
            <w:tcBorders>
              <w:top w:val="nil"/>
              <w:left w:val="nil"/>
              <w:bottom w:val="nil"/>
              <w:right w:val="nil"/>
            </w:tcBorders>
            <w:shd w:val="clear" w:color="auto" w:fill="auto"/>
            <w:vAlign w:val="bottom"/>
            <w:hideMark/>
          </w:tcPr>
          <w:p w14:paraId="36E4974D" w14:textId="77777777" w:rsidR="00BE6461" w:rsidRPr="00BE6461" w:rsidRDefault="00BE6461" w:rsidP="00BE6461">
            <w:pPr>
              <w:rPr>
                <w:sz w:val="20"/>
                <w:szCs w:val="20"/>
              </w:rPr>
            </w:pPr>
            <w:r w:rsidRPr="00BE6461">
              <w:rPr>
                <w:sz w:val="20"/>
                <w:szCs w:val="20"/>
              </w:rPr>
              <w:t xml:space="preserve">Ostale naknade troškova zaposlenima                                                                 </w:t>
            </w:r>
          </w:p>
        </w:tc>
        <w:tc>
          <w:tcPr>
            <w:tcW w:w="1503" w:type="dxa"/>
            <w:tcBorders>
              <w:top w:val="nil"/>
              <w:left w:val="nil"/>
              <w:bottom w:val="nil"/>
              <w:right w:val="nil"/>
            </w:tcBorders>
            <w:shd w:val="clear" w:color="auto" w:fill="auto"/>
            <w:noWrap/>
            <w:vAlign w:val="bottom"/>
            <w:hideMark/>
          </w:tcPr>
          <w:p w14:paraId="7A8D2F1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553DE65"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4D879126" w14:textId="77777777" w:rsidR="00BE6461" w:rsidRPr="00BE6461" w:rsidRDefault="00BE6461" w:rsidP="00BE6461">
            <w:pPr>
              <w:jc w:val="right"/>
              <w:rPr>
                <w:sz w:val="20"/>
                <w:szCs w:val="20"/>
              </w:rPr>
            </w:pPr>
          </w:p>
        </w:tc>
      </w:tr>
      <w:tr w:rsidR="00BE6461" w:rsidRPr="00BE6461" w14:paraId="1703C468" w14:textId="77777777" w:rsidTr="00BE6461">
        <w:trPr>
          <w:trHeight w:val="300"/>
        </w:trPr>
        <w:tc>
          <w:tcPr>
            <w:tcW w:w="1703" w:type="dxa"/>
            <w:tcBorders>
              <w:top w:val="nil"/>
              <w:left w:val="nil"/>
              <w:bottom w:val="nil"/>
              <w:right w:val="nil"/>
            </w:tcBorders>
            <w:shd w:val="clear" w:color="auto" w:fill="auto"/>
            <w:noWrap/>
            <w:vAlign w:val="bottom"/>
            <w:hideMark/>
          </w:tcPr>
          <w:p w14:paraId="53F99B05"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29BCF937"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51B18A1F" w14:textId="77777777" w:rsidR="00BE6461" w:rsidRPr="00BE6461" w:rsidRDefault="00BE6461" w:rsidP="00BE6461">
            <w:pPr>
              <w:jc w:val="right"/>
              <w:rPr>
                <w:b/>
                <w:bCs/>
                <w:sz w:val="20"/>
                <w:szCs w:val="20"/>
              </w:rPr>
            </w:pPr>
            <w:r w:rsidRPr="00BE6461">
              <w:rPr>
                <w:b/>
                <w:bCs/>
                <w:sz w:val="20"/>
                <w:szCs w:val="20"/>
              </w:rPr>
              <w:t>301.500,00</w:t>
            </w:r>
          </w:p>
        </w:tc>
        <w:tc>
          <w:tcPr>
            <w:tcW w:w="1500" w:type="dxa"/>
            <w:tcBorders>
              <w:top w:val="nil"/>
              <w:left w:val="nil"/>
              <w:bottom w:val="nil"/>
              <w:right w:val="nil"/>
            </w:tcBorders>
            <w:shd w:val="clear" w:color="auto" w:fill="auto"/>
            <w:noWrap/>
            <w:vAlign w:val="bottom"/>
            <w:hideMark/>
          </w:tcPr>
          <w:p w14:paraId="230CAA9E" w14:textId="77777777" w:rsidR="00BE6461" w:rsidRPr="00BE6461" w:rsidRDefault="00BE6461" w:rsidP="00BE6461">
            <w:pPr>
              <w:jc w:val="right"/>
              <w:rPr>
                <w:b/>
                <w:bCs/>
                <w:sz w:val="20"/>
                <w:szCs w:val="20"/>
              </w:rPr>
            </w:pPr>
            <w:r w:rsidRPr="00BE6461">
              <w:rPr>
                <w:b/>
                <w:bCs/>
                <w:sz w:val="20"/>
                <w:szCs w:val="20"/>
              </w:rPr>
              <w:t>264.865,31</w:t>
            </w:r>
          </w:p>
        </w:tc>
        <w:tc>
          <w:tcPr>
            <w:tcW w:w="1100" w:type="dxa"/>
            <w:tcBorders>
              <w:top w:val="nil"/>
              <w:left w:val="nil"/>
              <w:bottom w:val="nil"/>
              <w:right w:val="nil"/>
            </w:tcBorders>
            <w:shd w:val="clear" w:color="auto" w:fill="auto"/>
            <w:noWrap/>
            <w:vAlign w:val="bottom"/>
            <w:hideMark/>
          </w:tcPr>
          <w:p w14:paraId="37FA43B2" w14:textId="77777777" w:rsidR="00BE6461" w:rsidRPr="00BE6461" w:rsidRDefault="00BE6461" w:rsidP="00BE6461">
            <w:pPr>
              <w:jc w:val="right"/>
              <w:rPr>
                <w:b/>
                <w:bCs/>
                <w:sz w:val="20"/>
                <w:szCs w:val="20"/>
              </w:rPr>
            </w:pPr>
            <w:r w:rsidRPr="00BE6461">
              <w:rPr>
                <w:b/>
                <w:bCs/>
                <w:sz w:val="20"/>
                <w:szCs w:val="20"/>
              </w:rPr>
              <w:t>87,85</w:t>
            </w:r>
          </w:p>
        </w:tc>
      </w:tr>
      <w:tr w:rsidR="00BE6461" w:rsidRPr="00BE6461" w14:paraId="5F0A0619" w14:textId="77777777" w:rsidTr="00BE6461">
        <w:trPr>
          <w:trHeight w:val="300"/>
        </w:trPr>
        <w:tc>
          <w:tcPr>
            <w:tcW w:w="1703" w:type="dxa"/>
            <w:tcBorders>
              <w:top w:val="nil"/>
              <w:left w:val="nil"/>
              <w:bottom w:val="nil"/>
              <w:right w:val="nil"/>
            </w:tcBorders>
            <w:shd w:val="clear" w:color="auto" w:fill="auto"/>
            <w:noWrap/>
            <w:vAlign w:val="bottom"/>
            <w:hideMark/>
          </w:tcPr>
          <w:p w14:paraId="06927ADD" w14:textId="77777777" w:rsidR="00BE6461" w:rsidRPr="00BE6461" w:rsidRDefault="00BE6461" w:rsidP="00BE6461">
            <w:pPr>
              <w:rPr>
                <w:sz w:val="20"/>
                <w:szCs w:val="20"/>
              </w:rPr>
            </w:pPr>
            <w:r w:rsidRPr="00BE6461">
              <w:rPr>
                <w:sz w:val="20"/>
                <w:szCs w:val="20"/>
              </w:rPr>
              <w:t>3221</w:t>
            </w:r>
          </w:p>
        </w:tc>
        <w:tc>
          <w:tcPr>
            <w:tcW w:w="8457" w:type="dxa"/>
            <w:tcBorders>
              <w:top w:val="nil"/>
              <w:left w:val="nil"/>
              <w:bottom w:val="nil"/>
              <w:right w:val="nil"/>
            </w:tcBorders>
            <w:shd w:val="clear" w:color="auto" w:fill="auto"/>
            <w:vAlign w:val="bottom"/>
            <w:hideMark/>
          </w:tcPr>
          <w:p w14:paraId="3C8022CA" w14:textId="77777777" w:rsidR="00BE6461" w:rsidRPr="00BE6461" w:rsidRDefault="00BE6461" w:rsidP="00BE6461">
            <w:pPr>
              <w:rPr>
                <w:sz w:val="20"/>
                <w:szCs w:val="20"/>
              </w:rPr>
            </w:pPr>
            <w:r w:rsidRPr="00BE6461">
              <w:rPr>
                <w:sz w:val="20"/>
                <w:szCs w:val="20"/>
              </w:rPr>
              <w:t xml:space="preserve">Uredski materijal i ostali materijalni rashodi                                                      </w:t>
            </w:r>
          </w:p>
        </w:tc>
        <w:tc>
          <w:tcPr>
            <w:tcW w:w="1503" w:type="dxa"/>
            <w:tcBorders>
              <w:top w:val="nil"/>
              <w:left w:val="nil"/>
              <w:bottom w:val="nil"/>
              <w:right w:val="nil"/>
            </w:tcBorders>
            <w:shd w:val="clear" w:color="auto" w:fill="auto"/>
            <w:noWrap/>
            <w:vAlign w:val="bottom"/>
            <w:hideMark/>
          </w:tcPr>
          <w:p w14:paraId="1AC36332"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4C13766" w14:textId="77777777" w:rsidR="00BE6461" w:rsidRPr="00BE6461" w:rsidRDefault="00BE6461" w:rsidP="00BE6461">
            <w:pPr>
              <w:jc w:val="right"/>
              <w:rPr>
                <w:sz w:val="20"/>
                <w:szCs w:val="20"/>
              </w:rPr>
            </w:pPr>
            <w:r w:rsidRPr="00BE6461">
              <w:rPr>
                <w:sz w:val="20"/>
                <w:szCs w:val="20"/>
              </w:rPr>
              <w:t>73.306,84</w:t>
            </w:r>
          </w:p>
        </w:tc>
        <w:tc>
          <w:tcPr>
            <w:tcW w:w="1100" w:type="dxa"/>
            <w:tcBorders>
              <w:top w:val="nil"/>
              <w:left w:val="nil"/>
              <w:bottom w:val="nil"/>
              <w:right w:val="nil"/>
            </w:tcBorders>
            <w:shd w:val="clear" w:color="auto" w:fill="auto"/>
            <w:noWrap/>
            <w:vAlign w:val="bottom"/>
            <w:hideMark/>
          </w:tcPr>
          <w:p w14:paraId="137733C7" w14:textId="77777777" w:rsidR="00BE6461" w:rsidRPr="00BE6461" w:rsidRDefault="00BE6461" w:rsidP="00BE6461">
            <w:pPr>
              <w:jc w:val="right"/>
              <w:rPr>
                <w:sz w:val="20"/>
                <w:szCs w:val="20"/>
              </w:rPr>
            </w:pPr>
          </w:p>
        </w:tc>
      </w:tr>
      <w:tr w:rsidR="00BE6461" w:rsidRPr="00BE6461" w14:paraId="725089BC" w14:textId="77777777" w:rsidTr="00BE6461">
        <w:trPr>
          <w:trHeight w:val="300"/>
        </w:trPr>
        <w:tc>
          <w:tcPr>
            <w:tcW w:w="1703" w:type="dxa"/>
            <w:tcBorders>
              <w:top w:val="nil"/>
              <w:left w:val="nil"/>
              <w:bottom w:val="nil"/>
              <w:right w:val="nil"/>
            </w:tcBorders>
            <w:shd w:val="clear" w:color="auto" w:fill="auto"/>
            <w:noWrap/>
            <w:vAlign w:val="bottom"/>
            <w:hideMark/>
          </w:tcPr>
          <w:p w14:paraId="1E98DEC0" w14:textId="77777777" w:rsidR="00BE6461" w:rsidRPr="00BE6461" w:rsidRDefault="00BE6461" w:rsidP="00BE6461">
            <w:pPr>
              <w:rPr>
                <w:sz w:val="20"/>
                <w:szCs w:val="20"/>
              </w:rPr>
            </w:pPr>
            <w:r w:rsidRPr="00BE6461">
              <w:rPr>
                <w:sz w:val="20"/>
                <w:szCs w:val="20"/>
              </w:rPr>
              <w:t>3223</w:t>
            </w:r>
          </w:p>
        </w:tc>
        <w:tc>
          <w:tcPr>
            <w:tcW w:w="8457" w:type="dxa"/>
            <w:tcBorders>
              <w:top w:val="nil"/>
              <w:left w:val="nil"/>
              <w:bottom w:val="nil"/>
              <w:right w:val="nil"/>
            </w:tcBorders>
            <w:shd w:val="clear" w:color="auto" w:fill="auto"/>
            <w:vAlign w:val="bottom"/>
            <w:hideMark/>
          </w:tcPr>
          <w:p w14:paraId="69A63447" w14:textId="77777777" w:rsidR="00BE6461" w:rsidRPr="00BE6461" w:rsidRDefault="00BE6461" w:rsidP="00BE6461">
            <w:pPr>
              <w:rPr>
                <w:sz w:val="20"/>
                <w:szCs w:val="20"/>
              </w:rPr>
            </w:pPr>
            <w:r w:rsidRPr="00BE6461">
              <w:rPr>
                <w:sz w:val="20"/>
                <w:szCs w:val="20"/>
              </w:rPr>
              <w:t xml:space="preserve">Energija                                                                                            </w:t>
            </w:r>
          </w:p>
        </w:tc>
        <w:tc>
          <w:tcPr>
            <w:tcW w:w="1503" w:type="dxa"/>
            <w:tcBorders>
              <w:top w:val="nil"/>
              <w:left w:val="nil"/>
              <w:bottom w:val="nil"/>
              <w:right w:val="nil"/>
            </w:tcBorders>
            <w:shd w:val="clear" w:color="auto" w:fill="auto"/>
            <w:noWrap/>
            <w:vAlign w:val="bottom"/>
            <w:hideMark/>
          </w:tcPr>
          <w:p w14:paraId="2830816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7E11EB0" w14:textId="77777777" w:rsidR="00BE6461" w:rsidRPr="00BE6461" w:rsidRDefault="00BE6461" w:rsidP="00BE6461">
            <w:pPr>
              <w:jc w:val="right"/>
              <w:rPr>
                <w:sz w:val="20"/>
                <w:szCs w:val="20"/>
              </w:rPr>
            </w:pPr>
            <w:r w:rsidRPr="00BE6461">
              <w:rPr>
                <w:sz w:val="20"/>
                <w:szCs w:val="20"/>
              </w:rPr>
              <w:t>166.788,66</w:t>
            </w:r>
          </w:p>
        </w:tc>
        <w:tc>
          <w:tcPr>
            <w:tcW w:w="1100" w:type="dxa"/>
            <w:tcBorders>
              <w:top w:val="nil"/>
              <w:left w:val="nil"/>
              <w:bottom w:val="nil"/>
              <w:right w:val="nil"/>
            </w:tcBorders>
            <w:shd w:val="clear" w:color="auto" w:fill="auto"/>
            <w:noWrap/>
            <w:vAlign w:val="bottom"/>
            <w:hideMark/>
          </w:tcPr>
          <w:p w14:paraId="426330B6" w14:textId="77777777" w:rsidR="00BE6461" w:rsidRPr="00BE6461" w:rsidRDefault="00BE6461" w:rsidP="00BE6461">
            <w:pPr>
              <w:jc w:val="right"/>
              <w:rPr>
                <w:sz w:val="20"/>
                <w:szCs w:val="20"/>
              </w:rPr>
            </w:pPr>
          </w:p>
        </w:tc>
      </w:tr>
      <w:tr w:rsidR="00BE6461" w:rsidRPr="00BE6461" w14:paraId="7190EDDE" w14:textId="77777777" w:rsidTr="00BE6461">
        <w:trPr>
          <w:trHeight w:val="300"/>
        </w:trPr>
        <w:tc>
          <w:tcPr>
            <w:tcW w:w="1703" w:type="dxa"/>
            <w:tcBorders>
              <w:top w:val="nil"/>
              <w:left w:val="nil"/>
              <w:bottom w:val="nil"/>
              <w:right w:val="nil"/>
            </w:tcBorders>
            <w:shd w:val="clear" w:color="auto" w:fill="auto"/>
            <w:noWrap/>
            <w:vAlign w:val="bottom"/>
            <w:hideMark/>
          </w:tcPr>
          <w:p w14:paraId="16C0E66A" w14:textId="77777777" w:rsidR="00BE6461" w:rsidRPr="00BE6461" w:rsidRDefault="00BE6461" w:rsidP="00BE6461">
            <w:pPr>
              <w:rPr>
                <w:sz w:val="20"/>
                <w:szCs w:val="20"/>
              </w:rPr>
            </w:pPr>
            <w:r w:rsidRPr="00BE6461">
              <w:rPr>
                <w:sz w:val="20"/>
                <w:szCs w:val="20"/>
              </w:rPr>
              <w:t>3224</w:t>
            </w:r>
          </w:p>
        </w:tc>
        <w:tc>
          <w:tcPr>
            <w:tcW w:w="8457" w:type="dxa"/>
            <w:tcBorders>
              <w:top w:val="nil"/>
              <w:left w:val="nil"/>
              <w:bottom w:val="nil"/>
              <w:right w:val="nil"/>
            </w:tcBorders>
            <w:shd w:val="clear" w:color="auto" w:fill="auto"/>
            <w:vAlign w:val="bottom"/>
            <w:hideMark/>
          </w:tcPr>
          <w:p w14:paraId="01542064" w14:textId="77777777" w:rsidR="00BE6461" w:rsidRPr="00BE6461" w:rsidRDefault="00BE6461" w:rsidP="00BE6461">
            <w:pPr>
              <w:rPr>
                <w:sz w:val="20"/>
                <w:szCs w:val="20"/>
              </w:rPr>
            </w:pPr>
            <w:r w:rsidRPr="00BE6461">
              <w:rPr>
                <w:sz w:val="20"/>
                <w:szCs w:val="20"/>
              </w:rPr>
              <w:t xml:space="preserve">Materijal i dijelovi za tekuće i investicijsko održavanje                                           </w:t>
            </w:r>
          </w:p>
        </w:tc>
        <w:tc>
          <w:tcPr>
            <w:tcW w:w="1503" w:type="dxa"/>
            <w:tcBorders>
              <w:top w:val="nil"/>
              <w:left w:val="nil"/>
              <w:bottom w:val="nil"/>
              <w:right w:val="nil"/>
            </w:tcBorders>
            <w:shd w:val="clear" w:color="auto" w:fill="auto"/>
            <w:noWrap/>
            <w:vAlign w:val="bottom"/>
            <w:hideMark/>
          </w:tcPr>
          <w:p w14:paraId="136B526E"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745FEFC" w14:textId="77777777" w:rsidR="00BE6461" w:rsidRPr="00BE6461" w:rsidRDefault="00BE6461" w:rsidP="00BE6461">
            <w:pPr>
              <w:jc w:val="right"/>
              <w:rPr>
                <w:sz w:val="20"/>
                <w:szCs w:val="20"/>
              </w:rPr>
            </w:pPr>
            <w:r w:rsidRPr="00BE6461">
              <w:rPr>
                <w:sz w:val="20"/>
                <w:szCs w:val="20"/>
              </w:rPr>
              <w:t>948,03</w:t>
            </w:r>
          </w:p>
        </w:tc>
        <w:tc>
          <w:tcPr>
            <w:tcW w:w="1100" w:type="dxa"/>
            <w:tcBorders>
              <w:top w:val="nil"/>
              <w:left w:val="nil"/>
              <w:bottom w:val="nil"/>
              <w:right w:val="nil"/>
            </w:tcBorders>
            <w:shd w:val="clear" w:color="auto" w:fill="auto"/>
            <w:noWrap/>
            <w:vAlign w:val="bottom"/>
            <w:hideMark/>
          </w:tcPr>
          <w:p w14:paraId="7353D14A" w14:textId="77777777" w:rsidR="00BE6461" w:rsidRPr="00BE6461" w:rsidRDefault="00BE6461" w:rsidP="00BE6461">
            <w:pPr>
              <w:jc w:val="right"/>
              <w:rPr>
                <w:sz w:val="20"/>
                <w:szCs w:val="20"/>
              </w:rPr>
            </w:pPr>
          </w:p>
        </w:tc>
      </w:tr>
      <w:tr w:rsidR="00BE6461" w:rsidRPr="00BE6461" w14:paraId="236DFC54" w14:textId="77777777" w:rsidTr="00BE6461">
        <w:trPr>
          <w:trHeight w:val="300"/>
        </w:trPr>
        <w:tc>
          <w:tcPr>
            <w:tcW w:w="1703" w:type="dxa"/>
            <w:tcBorders>
              <w:top w:val="nil"/>
              <w:left w:val="nil"/>
              <w:bottom w:val="nil"/>
              <w:right w:val="nil"/>
            </w:tcBorders>
            <w:shd w:val="clear" w:color="auto" w:fill="auto"/>
            <w:noWrap/>
            <w:vAlign w:val="bottom"/>
            <w:hideMark/>
          </w:tcPr>
          <w:p w14:paraId="6002481F" w14:textId="77777777" w:rsidR="00BE6461" w:rsidRPr="00BE6461" w:rsidRDefault="00BE6461" w:rsidP="00BE6461">
            <w:pPr>
              <w:rPr>
                <w:sz w:val="20"/>
                <w:szCs w:val="20"/>
              </w:rPr>
            </w:pPr>
            <w:r w:rsidRPr="00BE6461">
              <w:rPr>
                <w:sz w:val="20"/>
                <w:szCs w:val="20"/>
              </w:rPr>
              <w:t>3225</w:t>
            </w:r>
          </w:p>
        </w:tc>
        <w:tc>
          <w:tcPr>
            <w:tcW w:w="8457" w:type="dxa"/>
            <w:tcBorders>
              <w:top w:val="nil"/>
              <w:left w:val="nil"/>
              <w:bottom w:val="nil"/>
              <w:right w:val="nil"/>
            </w:tcBorders>
            <w:shd w:val="clear" w:color="auto" w:fill="auto"/>
            <w:vAlign w:val="bottom"/>
            <w:hideMark/>
          </w:tcPr>
          <w:p w14:paraId="5295AB72" w14:textId="77777777" w:rsidR="00BE6461" w:rsidRPr="00BE6461" w:rsidRDefault="00BE6461" w:rsidP="00BE6461">
            <w:pPr>
              <w:rPr>
                <w:sz w:val="20"/>
                <w:szCs w:val="20"/>
              </w:rPr>
            </w:pPr>
            <w:r w:rsidRPr="00BE6461">
              <w:rPr>
                <w:sz w:val="20"/>
                <w:szCs w:val="20"/>
              </w:rPr>
              <w:t xml:space="preserve">Sitni inventar i auto gume                                                                          </w:t>
            </w:r>
          </w:p>
        </w:tc>
        <w:tc>
          <w:tcPr>
            <w:tcW w:w="1503" w:type="dxa"/>
            <w:tcBorders>
              <w:top w:val="nil"/>
              <w:left w:val="nil"/>
              <w:bottom w:val="nil"/>
              <w:right w:val="nil"/>
            </w:tcBorders>
            <w:shd w:val="clear" w:color="auto" w:fill="auto"/>
            <w:noWrap/>
            <w:vAlign w:val="bottom"/>
            <w:hideMark/>
          </w:tcPr>
          <w:p w14:paraId="52DF1A9E"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40CEFF2" w14:textId="77777777" w:rsidR="00BE6461" w:rsidRPr="00BE6461" w:rsidRDefault="00BE6461" w:rsidP="00BE6461">
            <w:pPr>
              <w:jc w:val="right"/>
              <w:rPr>
                <w:sz w:val="20"/>
                <w:szCs w:val="20"/>
              </w:rPr>
            </w:pPr>
            <w:r w:rsidRPr="00BE6461">
              <w:rPr>
                <w:sz w:val="20"/>
                <w:szCs w:val="20"/>
              </w:rPr>
              <w:t>17.291,58</w:t>
            </w:r>
          </w:p>
        </w:tc>
        <w:tc>
          <w:tcPr>
            <w:tcW w:w="1100" w:type="dxa"/>
            <w:tcBorders>
              <w:top w:val="nil"/>
              <w:left w:val="nil"/>
              <w:bottom w:val="nil"/>
              <w:right w:val="nil"/>
            </w:tcBorders>
            <w:shd w:val="clear" w:color="auto" w:fill="auto"/>
            <w:noWrap/>
            <w:vAlign w:val="bottom"/>
            <w:hideMark/>
          </w:tcPr>
          <w:p w14:paraId="0F5DFADF" w14:textId="77777777" w:rsidR="00BE6461" w:rsidRPr="00BE6461" w:rsidRDefault="00BE6461" w:rsidP="00BE6461">
            <w:pPr>
              <w:jc w:val="right"/>
              <w:rPr>
                <w:sz w:val="20"/>
                <w:szCs w:val="20"/>
              </w:rPr>
            </w:pPr>
          </w:p>
        </w:tc>
      </w:tr>
      <w:tr w:rsidR="00BE6461" w:rsidRPr="00BE6461" w14:paraId="78B4ACDB" w14:textId="77777777" w:rsidTr="00BE6461">
        <w:trPr>
          <w:trHeight w:val="300"/>
        </w:trPr>
        <w:tc>
          <w:tcPr>
            <w:tcW w:w="1703" w:type="dxa"/>
            <w:tcBorders>
              <w:top w:val="nil"/>
              <w:left w:val="nil"/>
              <w:bottom w:val="nil"/>
              <w:right w:val="nil"/>
            </w:tcBorders>
            <w:shd w:val="clear" w:color="auto" w:fill="auto"/>
            <w:noWrap/>
            <w:vAlign w:val="bottom"/>
            <w:hideMark/>
          </w:tcPr>
          <w:p w14:paraId="4D75E8A6" w14:textId="77777777" w:rsidR="00BE6461" w:rsidRPr="00BE6461" w:rsidRDefault="00BE6461" w:rsidP="00BE6461">
            <w:pPr>
              <w:rPr>
                <w:sz w:val="20"/>
                <w:szCs w:val="20"/>
              </w:rPr>
            </w:pPr>
            <w:r w:rsidRPr="00BE6461">
              <w:rPr>
                <w:sz w:val="20"/>
                <w:szCs w:val="20"/>
              </w:rPr>
              <w:t>3227</w:t>
            </w:r>
          </w:p>
        </w:tc>
        <w:tc>
          <w:tcPr>
            <w:tcW w:w="8457" w:type="dxa"/>
            <w:tcBorders>
              <w:top w:val="nil"/>
              <w:left w:val="nil"/>
              <w:bottom w:val="nil"/>
              <w:right w:val="nil"/>
            </w:tcBorders>
            <w:shd w:val="clear" w:color="auto" w:fill="auto"/>
            <w:vAlign w:val="bottom"/>
            <w:hideMark/>
          </w:tcPr>
          <w:p w14:paraId="3F6B02BE" w14:textId="77777777" w:rsidR="00BE6461" w:rsidRPr="00BE6461" w:rsidRDefault="00BE6461" w:rsidP="00BE6461">
            <w:pPr>
              <w:rPr>
                <w:sz w:val="20"/>
                <w:szCs w:val="20"/>
              </w:rPr>
            </w:pPr>
            <w:r w:rsidRPr="00BE6461">
              <w:rPr>
                <w:sz w:val="20"/>
                <w:szCs w:val="20"/>
              </w:rPr>
              <w:t xml:space="preserve">Službena, radna i zaštitna odjeća i obuća                                                           </w:t>
            </w:r>
          </w:p>
        </w:tc>
        <w:tc>
          <w:tcPr>
            <w:tcW w:w="1503" w:type="dxa"/>
            <w:tcBorders>
              <w:top w:val="nil"/>
              <w:left w:val="nil"/>
              <w:bottom w:val="nil"/>
              <w:right w:val="nil"/>
            </w:tcBorders>
            <w:shd w:val="clear" w:color="auto" w:fill="auto"/>
            <w:noWrap/>
            <w:vAlign w:val="bottom"/>
            <w:hideMark/>
          </w:tcPr>
          <w:p w14:paraId="07551615"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63CDC0C" w14:textId="77777777" w:rsidR="00BE6461" w:rsidRPr="00BE6461" w:rsidRDefault="00BE6461" w:rsidP="00BE6461">
            <w:pPr>
              <w:jc w:val="right"/>
              <w:rPr>
                <w:sz w:val="20"/>
                <w:szCs w:val="20"/>
              </w:rPr>
            </w:pPr>
            <w:r w:rsidRPr="00BE6461">
              <w:rPr>
                <w:sz w:val="20"/>
                <w:szCs w:val="20"/>
              </w:rPr>
              <w:t>6.530,20</w:t>
            </w:r>
          </w:p>
        </w:tc>
        <w:tc>
          <w:tcPr>
            <w:tcW w:w="1100" w:type="dxa"/>
            <w:tcBorders>
              <w:top w:val="nil"/>
              <w:left w:val="nil"/>
              <w:bottom w:val="nil"/>
              <w:right w:val="nil"/>
            </w:tcBorders>
            <w:shd w:val="clear" w:color="auto" w:fill="auto"/>
            <w:noWrap/>
            <w:vAlign w:val="bottom"/>
            <w:hideMark/>
          </w:tcPr>
          <w:p w14:paraId="47D2AFF2" w14:textId="77777777" w:rsidR="00BE6461" w:rsidRPr="00BE6461" w:rsidRDefault="00BE6461" w:rsidP="00BE6461">
            <w:pPr>
              <w:jc w:val="right"/>
              <w:rPr>
                <w:sz w:val="20"/>
                <w:szCs w:val="20"/>
              </w:rPr>
            </w:pPr>
          </w:p>
        </w:tc>
      </w:tr>
      <w:tr w:rsidR="00BE6461" w:rsidRPr="00BE6461" w14:paraId="7267A1BE" w14:textId="77777777" w:rsidTr="00BE6461">
        <w:trPr>
          <w:trHeight w:val="300"/>
        </w:trPr>
        <w:tc>
          <w:tcPr>
            <w:tcW w:w="1703" w:type="dxa"/>
            <w:tcBorders>
              <w:top w:val="nil"/>
              <w:left w:val="nil"/>
              <w:bottom w:val="nil"/>
              <w:right w:val="nil"/>
            </w:tcBorders>
            <w:shd w:val="clear" w:color="auto" w:fill="auto"/>
            <w:noWrap/>
            <w:vAlign w:val="bottom"/>
            <w:hideMark/>
          </w:tcPr>
          <w:p w14:paraId="46583483"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40E34F3F"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6B63EC91" w14:textId="77777777" w:rsidR="00BE6461" w:rsidRPr="00BE6461" w:rsidRDefault="00BE6461" w:rsidP="00BE6461">
            <w:pPr>
              <w:jc w:val="right"/>
              <w:rPr>
                <w:b/>
                <w:bCs/>
                <w:sz w:val="20"/>
                <w:szCs w:val="20"/>
              </w:rPr>
            </w:pPr>
            <w:r w:rsidRPr="00BE6461">
              <w:rPr>
                <w:b/>
                <w:bCs/>
                <w:sz w:val="20"/>
                <w:szCs w:val="20"/>
              </w:rPr>
              <w:t>1.178.750,00</w:t>
            </w:r>
          </w:p>
        </w:tc>
        <w:tc>
          <w:tcPr>
            <w:tcW w:w="1500" w:type="dxa"/>
            <w:tcBorders>
              <w:top w:val="nil"/>
              <w:left w:val="nil"/>
              <w:bottom w:val="nil"/>
              <w:right w:val="nil"/>
            </w:tcBorders>
            <w:shd w:val="clear" w:color="auto" w:fill="auto"/>
            <w:noWrap/>
            <w:vAlign w:val="bottom"/>
            <w:hideMark/>
          </w:tcPr>
          <w:p w14:paraId="737757DB" w14:textId="77777777" w:rsidR="00BE6461" w:rsidRPr="00BE6461" w:rsidRDefault="00BE6461" w:rsidP="00BE6461">
            <w:pPr>
              <w:jc w:val="right"/>
              <w:rPr>
                <w:b/>
                <w:bCs/>
                <w:sz w:val="20"/>
                <w:szCs w:val="20"/>
              </w:rPr>
            </w:pPr>
            <w:r w:rsidRPr="00BE6461">
              <w:rPr>
                <w:b/>
                <w:bCs/>
                <w:sz w:val="20"/>
                <w:szCs w:val="20"/>
              </w:rPr>
              <w:t>1.060.722,88</w:t>
            </w:r>
          </w:p>
        </w:tc>
        <w:tc>
          <w:tcPr>
            <w:tcW w:w="1100" w:type="dxa"/>
            <w:tcBorders>
              <w:top w:val="nil"/>
              <w:left w:val="nil"/>
              <w:bottom w:val="nil"/>
              <w:right w:val="nil"/>
            </w:tcBorders>
            <w:shd w:val="clear" w:color="auto" w:fill="auto"/>
            <w:noWrap/>
            <w:vAlign w:val="bottom"/>
            <w:hideMark/>
          </w:tcPr>
          <w:p w14:paraId="44725D07" w14:textId="77777777" w:rsidR="00BE6461" w:rsidRPr="00BE6461" w:rsidRDefault="00BE6461" w:rsidP="00BE6461">
            <w:pPr>
              <w:jc w:val="right"/>
              <w:rPr>
                <w:b/>
                <w:bCs/>
                <w:sz w:val="20"/>
                <w:szCs w:val="20"/>
              </w:rPr>
            </w:pPr>
            <w:r w:rsidRPr="00BE6461">
              <w:rPr>
                <w:b/>
                <w:bCs/>
                <w:sz w:val="20"/>
                <w:szCs w:val="20"/>
              </w:rPr>
              <w:t>89,99</w:t>
            </w:r>
          </w:p>
        </w:tc>
      </w:tr>
      <w:tr w:rsidR="00BE6461" w:rsidRPr="00BE6461" w14:paraId="4B9C2CB4" w14:textId="77777777" w:rsidTr="00BE6461">
        <w:trPr>
          <w:trHeight w:val="300"/>
        </w:trPr>
        <w:tc>
          <w:tcPr>
            <w:tcW w:w="1703" w:type="dxa"/>
            <w:tcBorders>
              <w:top w:val="nil"/>
              <w:left w:val="nil"/>
              <w:bottom w:val="nil"/>
              <w:right w:val="nil"/>
            </w:tcBorders>
            <w:shd w:val="clear" w:color="auto" w:fill="auto"/>
            <w:noWrap/>
            <w:vAlign w:val="bottom"/>
            <w:hideMark/>
          </w:tcPr>
          <w:p w14:paraId="0CB4EBD0" w14:textId="77777777" w:rsidR="00BE6461" w:rsidRPr="00BE6461" w:rsidRDefault="00BE6461" w:rsidP="00BE6461">
            <w:pPr>
              <w:rPr>
                <w:sz w:val="20"/>
                <w:szCs w:val="20"/>
              </w:rPr>
            </w:pPr>
            <w:r w:rsidRPr="00BE6461">
              <w:rPr>
                <w:sz w:val="20"/>
                <w:szCs w:val="20"/>
              </w:rPr>
              <w:t>3231</w:t>
            </w:r>
          </w:p>
        </w:tc>
        <w:tc>
          <w:tcPr>
            <w:tcW w:w="8457" w:type="dxa"/>
            <w:tcBorders>
              <w:top w:val="nil"/>
              <w:left w:val="nil"/>
              <w:bottom w:val="nil"/>
              <w:right w:val="nil"/>
            </w:tcBorders>
            <w:shd w:val="clear" w:color="auto" w:fill="auto"/>
            <w:vAlign w:val="bottom"/>
            <w:hideMark/>
          </w:tcPr>
          <w:p w14:paraId="13C752B9" w14:textId="77777777" w:rsidR="00BE6461" w:rsidRPr="00BE6461" w:rsidRDefault="00BE6461" w:rsidP="00BE6461">
            <w:pPr>
              <w:rPr>
                <w:sz w:val="20"/>
                <w:szCs w:val="20"/>
              </w:rPr>
            </w:pPr>
            <w:r w:rsidRPr="00BE6461">
              <w:rPr>
                <w:sz w:val="20"/>
                <w:szCs w:val="20"/>
              </w:rPr>
              <w:t xml:space="preserve">Usluge telefona, pošte i prijevoza                                                                  </w:t>
            </w:r>
          </w:p>
        </w:tc>
        <w:tc>
          <w:tcPr>
            <w:tcW w:w="1503" w:type="dxa"/>
            <w:tcBorders>
              <w:top w:val="nil"/>
              <w:left w:val="nil"/>
              <w:bottom w:val="nil"/>
              <w:right w:val="nil"/>
            </w:tcBorders>
            <w:shd w:val="clear" w:color="auto" w:fill="auto"/>
            <w:noWrap/>
            <w:vAlign w:val="bottom"/>
            <w:hideMark/>
          </w:tcPr>
          <w:p w14:paraId="60BD339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571CE8C" w14:textId="77777777" w:rsidR="00BE6461" w:rsidRPr="00BE6461" w:rsidRDefault="00BE6461" w:rsidP="00BE6461">
            <w:pPr>
              <w:jc w:val="right"/>
              <w:rPr>
                <w:sz w:val="20"/>
                <w:szCs w:val="20"/>
              </w:rPr>
            </w:pPr>
            <w:r w:rsidRPr="00BE6461">
              <w:rPr>
                <w:sz w:val="20"/>
                <w:szCs w:val="20"/>
              </w:rPr>
              <w:t>177.234,43</w:t>
            </w:r>
          </w:p>
        </w:tc>
        <w:tc>
          <w:tcPr>
            <w:tcW w:w="1100" w:type="dxa"/>
            <w:tcBorders>
              <w:top w:val="nil"/>
              <w:left w:val="nil"/>
              <w:bottom w:val="nil"/>
              <w:right w:val="nil"/>
            </w:tcBorders>
            <w:shd w:val="clear" w:color="auto" w:fill="auto"/>
            <w:noWrap/>
            <w:vAlign w:val="bottom"/>
            <w:hideMark/>
          </w:tcPr>
          <w:p w14:paraId="0A0DB9C3" w14:textId="77777777" w:rsidR="00BE6461" w:rsidRPr="00BE6461" w:rsidRDefault="00BE6461" w:rsidP="00BE6461">
            <w:pPr>
              <w:jc w:val="right"/>
              <w:rPr>
                <w:sz w:val="20"/>
                <w:szCs w:val="20"/>
              </w:rPr>
            </w:pPr>
          </w:p>
        </w:tc>
      </w:tr>
      <w:tr w:rsidR="00BE6461" w:rsidRPr="00BE6461" w14:paraId="588B3C21" w14:textId="77777777" w:rsidTr="00BE6461">
        <w:trPr>
          <w:trHeight w:val="300"/>
        </w:trPr>
        <w:tc>
          <w:tcPr>
            <w:tcW w:w="1703" w:type="dxa"/>
            <w:tcBorders>
              <w:top w:val="nil"/>
              <w:left w:val="nil"/>
              <w:bottom w:val="nil"/>
              <w:right w:val="nil"/>
            </w:tcBorders>
            <w:shd w:val="clear" w:color="auto" w:fill="auto"/>
            <w:noWrap/>
            <w:vAlign w:val="bottom"/>
            <w:hideMark/>
          </w:tcPr>
          <w:p w14:paraId="416BDE71" w14:textId="77777777" w:rsidR="00BE6461" w:rsidRPr="00BE6461" w:rsidRDefault="00BE6461" w:rsidP="00BE6461">
            <w:pPr>
              <w:rPr>
                <w:sz w:val="20"/>
                <w:szCs w:val="20"/>
              </w:rPr>
            </w:pPr>
            <w:r w:rsidRPr="00BE6461">
              <w:rPr>
                <w:sz w:val="20"/>
                <w:szCs w:val="20"/>
              </w:rPr>
              <w:t>3232</w:t>
            </w:r>
          </w:p>
        </w:tc>
        <w:tc>
          <w:tcPr>
            <w:tcW w:w="8457" w:type="dxa"/>
            <w:tcBorders>
              <w:top w:val="nil"/>
              <w:left w:val="nil"/>
              <w:bottom w:val="nil"/>
              <w:right w:val="nil"/>
            </w:tcBorders>
            <w:shd w:val="clear" w:color="auto" w:fill="auto"/>
            <w:vAlign w:val="bottom"/>
            <w:hideMark/>
          </w:tcPr>
          <w:p w14:paraId="624161DA" w14:textId="77777777" w:rsidR="00BE6461" w:rsidRPr="00BE6461" w:rsidRDefault="00BE6461" w:rsidP="00BE6461">
            <w:pPr>
              <w:rPr>
                <w:sz w:val="20"/>
                <w:szCs w:val="20"/>
              </w:rPr>
            </w:pPr>
            <w:r w:rsidRPr="00BE6461">
              <w:rPr>
                <w:sz w:val="20"/>
                <w:szCs w:val="20"/>
              </w:rPr>
              <w:t xml:space="preserve">Usluge tekućeg i investicijskog održavanja                                                          </w:t>
            </w:r>
          </w:p>
        </w:tc>
        <w:tc>
          <w:tcPr>
            <w:tcW w:w="1503" w:type="dxa"/>
            <w:tcBorders>
              <w:top w:val="nil"/>
              <w:left w:val="nil"/>
              <w:bottom w:val="nil"/>
              <w:right w:val="nil"/>
            </w:tcBorders>
            <w:shd w:val="clear" w:color="auto" w:fill="auto"/>
            <w:noWrap/>
            <w:vAlign w:val="bottom"/>
            <w:hideMark/>
          </w:tcPr>
          <w:p w14:paraId="0153C902"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652F8EB" w14:textId="77777777" w:rsidR="00BE6461" w:rsidRPr="00BE6461" w:rsidRDefault="00BE6461" w:rsidP="00BE6461">
            <w:pPr>
              <w:jc w:val="right"/>
              <w:rPr>
                <w:sz w:val="20"/>
                <w:szCs w:val="20"/>
              </w:rPr>
            </w:pPr>
            <w:r w:rsidRPr="00BE6461">
              <w:rPr>
                <w:sz w:val="20"/>
                <w:szCs w:val="20"/>
              </w:rPr>
              <w:t>62.053,27</w:t>
            </w:r>
          </w:p>
        </w:tc>
        <w:tc>
          <w:tcPr>
            <w:tcW w:w="1100" w:type="dxa"/>
            <w:tcBorders>
              <w:top w:val="nil"/>
              <w:left w:val="nil"/>
              <w:bottom w:val="nil"/>
              <w:right w:val="nil"/>
            </w:tcBorders>
            <w:shd w:val="clear" w:color="auto" w:fill="auto"/>
            <w:noWrap/>
            <w:vAlign w:val="bottom"/>
            <w:hideMark/>
          </w:tcPr>
          <w:p w14:paraId="382402C6" w14:textId="77777777" w:rsidR="00BE6461" w:rsidRPr="00BE6461" w:rsidRDefault="00BE6461" w:rsidP="00BE6461">
            <w:pPr>
              <w:jc w:val="right"/>
              <w:rPr>
                <w:sz w:val="20"/>
                <w:szCs w:val="20"/>
              </w:rPr>
            </w:pPr>
          </w:p>
        </w:tc>
      </w:tr>
      <w:tr w:rsidR="00BE6461" w:rsidRPr="00BE6461" w14:paraId="4361F27B" w14:textId="77777777" w:rsidTr="00BE6461">
        <w:trPr>
          <w:trHeight w:val="300"/>
        </w:trPr>
        <w:tc>
          <w:tcPr>
            <w:tcW w:w="1703" w:type="dxa"/>
            <w:tcBorders>
              <w:top w:val="nil"/>
              <w:left w:val="nil"/>
              <w:bottom w:val="nil"/>
              <w:right w:val="nil"/>
            </w:tcBorders>
            <w:shd w:val="clear" w:color="auto" w:fill="auto"/>
            <w:noWrap/>
            <w:vAlign w:val="bottom"/>
            <w:hideMark/>
          </w:tcPr>
          <w:p w14:paraId="708EA28A" w14:textId="77777777" w:rsidR="00BE6461" w:rsidRPr="00BE6461" w:rsidRDefault="00BE6461" w:rsidP="00BE6461">
            <w:pPr>
              <w:rPr>
                <w:sz w:val="20"/>
                <w:szCs w:val="20"/>
              </w:rPr>
            </w:pPr>
            <w:r w:rsidRPr="00BE6461">
              <w:rPr>
                <w:sz w:val="20"/>
                <w:szCs w:val="20"/>
              </w:rPr>
              <w:t>3233</w:t>
            </w:r>
          </w:p>
        </w:tc>
        <w:tc>
          <w:tcPr>
            <w:tcW w:w="8457" w:type="dxa"/>
            <w:tcBorders>
              <w:top w:val="nil"/>
              <w:left w:val="nil"/>
              <w:bottom w:val="nil"/>
              <w:right w:val="nil"/>
            </w:tcBorders>
            <w:shd w:val="clear" w:color="auto" w:fill="auto"/>
            <w:vAlign w:val="bottom"/>
            <w:hideMark/>
          </w:tcPr>
          <w:p w14:paraId="2AFE7F32" w14:textId="77777777" w:rsidR="00BE6461" w:rsidRPr="00BE6461" w:rsidRDefault="00BE6461" w:rsidP="00BE6461">
            <w:pPr>
              <w:rPr>
                <w:sz w:val="20"/>
                <w:szCs w:val="20"/>
              </w:rPr>
            </w:pPr>
            <w:r w:rsidRPr="00BE6461">
              <w:rPr>
                <w:sz w:val="20"/>
                <w:szCs w:val="20"/>
              </w:rPr>
              <w:t xml:space="preserve">Usluge promidžbe i informiranja                                                                     </w:t>
            </w:r>
          </w:p>
        </w:tc>
        <w:tc>
          <w:tcPr>
            <w:tcW w:w="1503" w:type="dxa"/>
            <w:tcBorders>
              <w:top w:val="nil"/>
              <w:left w:val="nil"/>
              <w:bottom w:val="nil"/>
              <w:right w:val="nil"/>
            </w:tcBorders>
            <w:shd w:val="clear" w:color="auto" w:fill="auto"/>
            <w:noWrap/>
            <w:vAlign w:val="bottom"/>
            <w:hideMark/>
          </w:tcPr>
          <w:p w14:paraId="00626CC5"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AF37F9B" w14:textId="77777777" w:rsidR="00BE6461" w:rsidRPr="00BE6461" w:rsidRDefault="00BE6461" w:rsidP="00BE6461">
            <w:pPr>
              <w:jc w:val="right"/>
              <w:rPr>
                <w:sz w:val="20"/>
                <w:szCs w:val="20"/>
              </w:rPr>
            </w:pPr>
            <w:r w:rsidRPr="00BE6461">
              <w:rPr>
                <w:sz w:val="20"/>
                <w:szCs w:val="20"/>
              </w:rPr>
              <w:t>276.245,93</w:t>
            </w:r>
          </w:p>
        </w:tc>
        <w:tc>
          <w:tcPr>
            <w:tcW w:w="1100" w:type="dxa"/>
            <w:tcBorders>
              <w:top w:val="nil"/>
              <w:left w:val="nil"/>
              <w:bottom w:val="nil"/>
              <w:right w:val="nil"/>
            </w:tcBorders>
            <w:shd w:val="clear" w:color="auto" w:fill="auto"/>
            <w:noWrap/>
            <w:vAlign w:val="bottom"/>
            <w:hideMark/>
          </w:tcPr>
          <w:p w14:paraId="4A73466F" w14:textId="77777777" w:rsidR="00BE6461" w:rsidRPr="00BE6461" w:rsidRDefault="00BE6461" w:rsidP="00BE6461">
            <w:pPr>
              <w:jc w:val="right"/>
              <w:rPr>
                <w:sz w:val="20"/>
                <w:szCs w:val="20"/>
              </w:rPr>
            </w:pPr>
          </w:p>
        </w:tc>
      </w:tr>
      <w:tr w:rsidR="00BE6461" w:rsidRPr="00BE6461" w14:paraId="4C76577E" w14:textId="77777777" w:rsidTr="00BE6461">
        <w:trPr>
          <w:trHeight w:val="300"/>
        </w:trPr>
        <w:tc>
          <w:tcPr>
            <w:tcW w:w="1703" w:type="dxa"/>
            <w:tcBorders>
              <w:top w:val="nil"/>
              <w:left w:val="nil"/>
              <w:bottom w:val="nil"/>
              <w:right w:val="nil"/>
            </w:tcBorders>
            <w:shd w:val="clear" w:color="auto" w:fill="auto"/>
            <w:noWrap/>
            <w:vAlign w:val="bottom"/>
            <w:hideMark/>
          </w:tcPr>
          <w:p w14:paraId="1FA03094" w14:textId="77777777" w:rsidR="00BE6461" w:rsidRPr="00BE6461" w:rsidRDefault="00BE6461" w:rsidP="00BE6461">
            <w:pPr>
              <w:rPr>
                <w:sz w:val="20"/>
                <w:szCs w:val="20"/>
              </w:rPr>
            </w:pPr>
            <w:r w:rsidRPr="00BE6461">
              <w:rPr>
                <w:sz w:val="20"/>
                <w:szCs w:val="20"/>
              </w:rPr>
              <w:t>3234</w:t>
            </w:r>
          </w:p>
        </w:tc>
        <w:tc>
          <w:tcPr>
            <w:tcW w:w="8457" w:type="dxa"/>
            <w:tcBorders>
              <w:top w:val="nil"/>
              <w:left w:val="nil"/>
              <w:bottom w:val="nil"/>
              <w:right w:val="nil"/>
            </w:tcBorders>
            <w:shd w:val="clear" w:color="auto" w:fill="auto"/>
            <w:vAlign w:val="bottom"/>
            <w:hideMark/>
          </w:tcPr>
          <w:p w14:paraId="5F7453B6" w14:textId="77777777" w:rsidR="00BE6461" w:rsidRPr="00BE6461" w:rsidRDefault="00BE6461" w:rsidP="00BE6461">
            <w:pPr>
              <w:rPr>
                <w:sz w:val="20"/>
                <w:szCs w:val="20"/>
              </w:rPr>
            </w:pPr>
            <w:r w:rsidRPr="00BE6461">
              <w:rPr>
                <w:sz w:val="20"/>
                <w:szCs w:val="20"/>
              </w:rPr>
              <w:t xml:space="preserve">Komunalne usluge                                                                                    </w:t>
            </w:r>
          </w:p>
        </w:tc>
        <w:tc>
          <w:tcPr>
            <w:tcW w:w="1503" w:type="dxa"/>
            <w:tcBorders>
              <w:top w:val="nil"/>
              <w:left w:val="nil"/>
              <w:bottom w:val="nil"/>
              <w:right w:val="nil"/>
            </w:tcBorders>
            <w:shd w:val="clear" w:color="auto" w:fill="auto"/>
            <w:noWrap/>
            <w:vAlign w:val="bottom"/>
            <w:hideMark/>
          </w:tcPr>
          <w:p w14:paraId="0CBC64EE"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278C2F2" w14:textId="77777777" w:rsidR="00BE6461" w:rsidRPr="00BE6461" w:rsidRDefault="00BE6461" w:rsidP="00BE6461">
            <w:pPr>
              <w:jc w:val="right"/>
              <w:rPr>
                <w:sz w:val="20"/>
                <w:szCs w:val="20"/>
              </w:rPr>
            </w:pPr>
            <w:r w:rsidRPr="00BE6461">
              <w:rPr>
                <w:sz w:val="20"/>
                <w:szCs w:val="20"/>
              </w:rPr>
              <w:t>9.383,34</w:t>
            </w:r>
          </w:p>
        </w:tc>
        <w:tc>
          <w:tcPr>
            <w:tcW w:w="1100" w:type="dxa"/>
            <w:tcBorders>
              <w:top w:val="nil"/>
              <w:left w:val="nil"/>
              <w:bottom w:val="nil"/>
              <w:right w:val="nil"/>
            </w:tcBorders>
            <w:shd w:val="clear" w:color="auto" w:fill="auto"/>
            <w:noWrap/>
            <w:vAlign w:val="bottom"/>
            <w:hideMark/>
          </w:tcPr>
          <w:p w14:paraId="5DDB9880" w14:textId="77777777" w:rsidR="00BE6461" w:rsidRPr="00BE6461" w:rsidRDefault="00BE6461" w:rsidP="00BE6461">
            <w:pPr>
              <w:jc w:val="right"/>
              <w:rPr>
                <w:sz w:val="20"/>
                <w:szCs w:val="20"/>
              </w:rPr>
            </w:pPr>
          </w:p>
        </w:tc>
      </w:tr>
      <w:tr w:rsidR="00BE6461" w:rsidRPr="00BE6461" w14:paraId="7DC3FAE9" w14:textId="77777777" w:rsidTr="00BE6461">
        <w:trPr>
          <w:trHeight w:val="300"/>
        </w:trPr>
        <w:tc>
          <w:tcPr>
            <w:tcW w:w="1703" w:type="dxa"/>
            <w:tcBorders>
              <w:top w:val="nil"/>
              <w:left w:val="nil"/>
              <w:bottom w:val="nil"/>
              <w:right w:val="nil"/>
            </w:tcBorders>
            <w:shd w:val="clear" w:color="auto" w:fill="auto"/>
            <w:noWrap/>
            <w:vAlign w:val="bottom"/>
            <w:hideMark/>
          </w:tcPr>
          <w:p w14:paraId="73075350" w14:textId="77777777" w:rsidR="00BE6461" w:rsidRPr="00BE6461" w:rsidRDefault="00BE6461" w:rsidP="00BE6461">
            <w:pPr>
              <w:rPr>
                <w:sz w:val="20"/>
                <w:szCs w:val="20"/>
              </w:rPr>
            </w:pPr>
            <w:r w:rsidRPr="00BE6461">
              <w:rPr>
                <w:sz w:val="20"/>
                <w:szCs w:val="20"/>
              </w:rPr>
              <w:t>3235</w:t>
            </w:r>
          </w:p>
        </w:tc>
        <w:tc>
          <w:tcPr>
            <w:tcW w:w="8457" w:type="dxa"/>
            <w:tcBorders>
              <w:top w:val="nil"/>
              <w:left w:val="nil"/>
              <w:bottom w:val="nil"/>
              <w:right w:val="nil"/>
            </w:tcBorders>
            <w:shd w:val="clear" w:color="auto" w:fill="auto"/>
            <w:vAlign w:val="bottom"/>
            <w:hideMark/>
          </w:tcPr>
          <w:p w14:paraId="7B141C65" w14:textId="77777777" w:rsidR="00BE6461" w:rsidRPr="00BE6461" w:rsidRDefault="00BE6461" w:rsidP="00BE6461">
            <w:pPr>
              <w:rPr>
                <w:sz w:val="20"/>
                <w:szCs w:val="20"/>
              </w:rPr>
            </w:pPr>
            <w:r w:rsidRPr="00BE6461">
              <w:rPr>
                <w:sz w:val="20"/>
                <w:szCs w:val="20"/>
              </w:rPr>
              <w:t xml:space="preserve">Zakupnine i najamnine                                                                               </w:t>
            </w:r>
          </w:p>
        </w:tc>
        <w:tc>
          <w:tcPr>
            <w:tcW w:w="1503" w:type="dxa"/>
            <w:tcBorders>
              <w:top w:val="nil"/>
              <w:left w:val="nil"/>
              <w:bottom w:val="nil"/>
              <w:right w:val="nil"/>
            </w:tcBorders>
            <w:shd w:val="clear" w:color="auto" w:fill="auto"/>
            <w:noWrap/>
            <w:vAlign w:val="bottom"/>
            <w:hideMark/>
          </w:tcPr>
          <w:p w14:paraId="4D92441B"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F4B8B8F" w14:textId="77777777" w:rsidR="00BE6461" w:rsidRPr="00BE6461" w:rsidRDefault="00BE6461" w:rsidP="00BE6461">
            <w:pPr>
              <w:jc w:val="right"/>
              <w:rPr>
                <w:sz w:val="20"/>
                <w:szCs w:val="20"/>
              </w:rPr>
            </w:pPr>
            <w:r w:rsidRPr="00BE6461">
              <w:rPr>
                <w:sz w:val="20"/>
                <w:szCs w:val="20"/>
              </w:rPr>
              <w:t>42.257,94</w:t>
            </w:r>
          </w:p>
        </w:tc>
        <w:tc>
          <w:tcPr>
            <w:tcW w:w="1100" w:type="dxa"/>
            <w:tcBorders>
              <w:top w:val="nil"/>
              <w:left w:val="nil"/>
              <w:bottom w:val="nil"/>
              <w:right w:val="nil"/>
            </w:tcBorders>
            <w:shd w:val="clear" w:color="auto" w:fill="auto"/>
            <w:noWrap/>
            <w:vAlign w:val="bottom"/>
            <w:hideMark/>
          </w:tcPr>
          <w:p w14:paraId="1035DF4B" w14:textId="77777777" w:rsidR="00BE6461" w:rsidRPr="00BE6461" w:rsidRDefault="00BE6461" w:rsidP="00BE6461">
            <w:pPr>
              <w:jc w:val="right"/>
              <w:rPr>
                <w:sz w:val="20"/>
                <w:szCs w:val="20"/>
              </w:rPr>
            </w:pPr>
          </w:p>
        </w:tc>
      </w:tr>
      <w:tr w:rsidR="00BE6461" w:rsidRPr="00BE6461" w14:paraId="6A22E2E0" w14:textId="77777777" w:rsidTr="00BE6461">
        <w:trPr>
          <w:trHeight w:val="300"/>
        </w:trPr>
        <w:tc>
          <w:tcPr>
            <w:tcW w:w="1703" w:type="dxa"/>
            <w:tcBorders>
              <w:top w:val="nil"/>
              <w:left w:val="nil"/>
              <w:bottom w:val="nil"/>
              <w:right w:val="nil"/>
            </w:tcBorders>
            <w:shd w:val="clear" w:color="auto" w:fill="auto"/>
            <w:noWrap/>
            <w:vAlign w:val="bottom"/>
            <w:hideMark/>
          </w:tcPr>
          <w:p w14:paraId="627DC576" w14:textId="77777777" w:rsidR="00BE6461" w:rsidRPr="00BE6461" w:rsidRDefault="00BE6461" w:rsidP="00BE6461">
            <w:pPr>
              <w:rPr>
                <w:sz w:val="20"/>
                <w:szCs w:val="20"/>
              </w:rPr>
            </w:pPr>
            <w:r w:rsidRPr="00BE6461">
              <w:rPr>
                <w:sz w:val="20"/>
                <w:szCs w:val="20"/>
              </w:rPr>
              <w:t>3236</w:t>
            </w:r>
          </w:p>
        </w:tc>
        <w:tc>
          <w:tcPr>
            <w:tcW w:w="8457" w:type="dxa"/>
            <w:tcBorders>
              <w:top w:val="nil"/>
              <w:left w:val="nil"/>
              <w:bottom w:val="nil"/>
              <w:right w:val="nil"/>
            </w:tcBorders>
            <w:shd w:val="clear" w:color="auto" w:fill="auto"/>
            <w:vAlign w:val="bottom"/>
            <w:hideMark/>
          </w:tcPr>
          <w:p w14:paraId="0E0D33C9" w14:textId="77777777" w:rsidR="00BE6461" w:rsidRPr="00BE6461" w:rsidRDefault="00BE6461" w:rsidP="00BE6461">
            <w:pPr>
              <w:rPr>
                <w:sz w:val="20"/>
                <w:szCs w:val="20"/>
              </w:rPr>
            </w:pPr>
            <w:r w:rsidRPr="00BE6461">
              <w:rPr>
                <w:sz w:val="20"/>
                <w:szCs w:val="20"/>
              </w:rPr>
              <w:t xml:space="preserve">Zdravstvene i veterinarske usluge                                                                   </w:t>
            </w:r>
          </w:p>
        </w:tc>
        <w:tc>
          <w:tcPr>
            <w:tcW w:w="1503" w:type="dxa"/>
            <w:tcBorders>
              <w:top w:val="nil"/>
              <w:left w:val="nil"/>
              <w:bottom w:val="nil"/>
              <w:right w:val="nil"/>
            </w:tcBorders>
            <w:shd w:val="clear" w:color="auto" w:fill="auto"/>
            <w:noWrap/>
            <w:vAlign w:val="bottom"/>
            <w:hideMark/>
          </w:tcPr>
          <w:p w14:paraId="2B88596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8DB4EF1" w14:textId="77777777" w:rsidR="00BE6461" w:rsidRPr="00BE6461" w:rsidRDefault="00BE6461" w:rsidP="00BE6461">
            <w:pPr>
              <w:jc w:val="right"/>
              <w:rPr>
                <w:sz w:val="20"/>
                <w:szCs w:val="20"/>
              </w:rPr>
            </w:pPr>
            <w:r w:rsidRPr="00BE6461">
              <w:rPr>
                <w:sz w:val="20"/>
                <w:szCs w:val="20"/>
              </w:rPr>
              <w:t>25.992,00</w:t>
            </w:r>
          </w:p>
        </w:tc>
        <w:tc>
          <w:tcPr>
            <w:tcW w:w="1100" w:type="dxa"/>
            <w:tcBorders>
              <w:top w:val="nil"/>
              <w:left w:val="nil"/>
              <w:bottom w:val="nil"/>
              <w:right w:val="nil"/>
            </w:tcBorders>
            <w:shd w:val="clear" w:color="auto" w:fill="auto"/>
            <w:noWrap/>
            <w:vAlign w:val="bottom"/>
            <w:hideMark/>
          </w:tcPr>
          <w:p w14:paraId="00702AB4" w14:textId="77777777" w:rsidR="00BE6461" w:rsidRPr="00BE6461" w:rsidRDefault="00BE6461" w:rsidP="00BE6461">
            <w:pPr>
              <w:jc w:val="right"/>
              <w:rPr>
                <w:sz w:val="20"/>
                <w:szCs w:val="20"/>
              </w:rPr>
            </w:pPr>
          </w:p>
        </w:tc>
      </w:tr>
      <w:tr w:rsidR="00BE6461" w:rsidRPr="00BE6461" w14:paraId="75CF5AAA" w14:textId="77777777" w:rsidTr="00BE6461">
        <w:trPr>
          <w:trHeight w:val="300"/>
        </w:trPr>
        <w:tc>
          <w:tcPr>
            <w:tcW w:w="1703" w:type="dxa"/>
            <w:tcBorders>
              <w:top w:val="nil"/>
              <w:left w:val="nil"/>
              <w:bottom w:val="nil"/>
              <w:right w:val="nil"/>
            </w:tcBorders>
            <w:shd w:val="clear" w:color="auto" w:fill="auto"/>
            <w:noWrap/>
            <w:vAlign w:val="bottom"/>
            <w:hideMark/>
          </w:tcPr>
          <w:p w14:paraId="5766A103"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173BDC24"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6E7901B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343522C" w14:textId="77777777" w:rsidR="00BE6461" w:rsidRPr="00BE6461" w:rsidRDefault="00BE6461" w:rsidP="00BE6461">
            <w:pPr>
              <w:jc w:val="right"/>
              <w:rPr>
                <w:sz w:val="20"/>
                <w:szCs w:val="20"/>
              </w:rPr>
            </w:pPr>
            <w:r w:rsidRPr="00BE6461">
              <w:rPr>
                <w:sz w:val="20"/>
                <w:szCs w:val="20"/>
              </w:rPr>
              <w:t>67.325,87</w:t>
            </w:r>
          </w:p>
        </w:tc>
        <w:tc>
          <w:tcPr>
            <w:tcW w:w="1100" w:type="dxa"/>
            <w:tcBorders>
              <w:top w:val="nil"/>
              <w:left w:val="nil"/>
              <w:bottom w:val="nil"/>
              <w:right w:val="nil"/>
            </w:tcBorders>
            <w:shd w:val="clear" w:color="auto" w:fill="auto"/>
            <w:noWrap/>
            <w:vAlign w:val="bottom"/>
            <w:hideMark/>
          </w:tcPr>
          <w:p w14:paraId="38B43E86" w14:textId="77777777" w:rsidR="00BE6461" w:rsidRPr="00BE6461" w:rsidRDefault="00BE6461" w:rsidP="00BE6461">
            <w:pPr>
              <w:jc w:val="right"/>
              <w:rPr>
                <w:sz w:val="20"/>
                <w:szCs w:val="20"/>
              </w:rPr>
            </w:pPr>
          </w:p>
        </w:tc>
      </w:tr>
      <w:tr w:rsidR="00BE6461" w:rsidRPr="00BE6461" w14:paraId="68845B50" w14:textId="77777777" w:rsidTr="00BE6461">
        <w:trPr>
          <w:trHeight w:val="300"/>
        </w:trPr>
        <w:tc>
          <w:tcPr>
            <w:tcW w:w="1703" w:type="dxa"/>
            <w:tcBorders>
              <w:top w:val="nil"/>
              <w:left w:val="nil"/>
              <w:bottom w:val="nil"/>
              <w:right w:val="nil"/>
            </w:tcBorders>
            <w:shd w:val="clear" w:color="auto" w:fill="auto"/>
            <w:noWrap/>
            <w:vAlign w:val="bottom"/>
            <w:hideMark/>
          </w:tcPr>
          <w:p w14:paraId="2ED6309B" w14:textId="77777777" w:rsidR="00BE6461" w:rsidRPr="00BE6461" w:rsidRDefault="00BE6461" w:rsidP="00BE6461">
            <w:pPr>
              <w:rPr>
                <w:sz w:val="20"/>
                <w:szCs w:val="20"/>
              </w:rPr>
            </w:pPr>
            <w:r w:rsidRPr="00BE6461">
              <w:rPr>
                <w:sz w:val="20"/>
                <w:szCs w:val="20"/>
              </w:rPr>
              <w:t>3238</w:t>
            </w:r>
          </w:p>
        </w:tc>
        <w:tc>
          <w:tcPr>
            <w:tcW w:w="8457" w:type="dxa"/>
            <w:tcBorders>
              <w:top w:val="nil"/>
              <w:left w:val="nil"/>
              <w:bottom w:val="nil"/>
              <w:right w:val="nil"/>
            </w:tcBorders>
            <w:shd w:val="clear" w:color="auto" w:fill="auto"/>
            <w:vAlign w:val="bottom"/>
            <w:hideMark/>
          </w:tcPr>
          <w:p w14:paraId="6A138618" w14:textId="77777777" w:rsidR="00BE6461" w:rsidRPr="00BE6461" w:rsidRDefault="00BE6461" w:rsidP="00BE6461">
            <w:pPr>
              <w:rPr>
                <w:sz w:val="20"/>
                <w:szCs w:val="20"/>
              </w:rPr>
            </w:pPr>
            <w:r w:rsidRPr="00BE6461">
              <w:rPr>
                <w:sz w:val="20"/>
                <w:szCs w:val="20"/>
              </w:rPr>
              <w:t xml:space="preserve">Računalne usluge                                                                                    </w:t>
            </w:r>
          </w:p>
        </w:tc>
        <w:tc>
          <w:tcPr>
            <w:tcW w:w="1503" w:type="dxa"/>
            <w:tcBorders>
              <w:top w:val="nil"/>
              <w:left w:val="nil"/>
              <w:bottom w:val="nil"/>
              <w:right w:val="nil"/>
            </w:tcBorders>
            <w:shd w:val="clear" w:color="auto" w:fill="auto"/>
            <w:noWrap/>
            <w:vAlign w:val="bottom"/>
            <w:hideMark/>
          </w:tcPr>
          <w:p w14:paraId="0A0C341E"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1381DDF" w14:textId="77777777" w:rsidR="00BE6461" w:rsidRPr="00BE6461" w:rsidRDefault="00BE6461" w:rsidP="00BE6461">
            <w:pPr>
              <w:jc w:val="right"/>
              <w:rPr>
                <w:sz w:val="20"/>
                <w:szCs w:val="20"/>
              </w:rPr>
            </w:pPr>
            <w:r w:rsidRPr="00BE6461">
              <w:rPr>
                <w:sz w:val="20"/>
                <w:szCs w:val="20"/>
              </w:rPr>
              <w:t>156.591,53</w:t>
            </w:r>
          </w:p>
        </w:tc>
        <w:tc>
          <w:tcPr>
            <w:tcW w:w="1100" w:type="dxa"/>
            <w:tcBorders>
              <w:top w:val="nil"/>
              <w:left w:val="nil"/>
              <w:bottom w:val="nil"/>
              <w:right w:val="nil"/>
            </w:tcBorders>
            <w:shd w:val="clear" w:color="auto" w:fill="auto"/>
            <w:noWrap/>
            <w:vAlign w:val="bottom"/>
            <w:hideMark/>
          </w:tcPr>
          <w:p w14:paraId="30DEA59E" w14:textId="77777777" w:rsidR="00BE6461" w:rsidRPr="00BE6461" w:rsidRDefault="00BE6461" w:rsidP="00BE6461">
            <w:pPr>
              <w:jc w:val="right"/>
              <w:rPr>
                <w:sz w:val="20"/>
                <w:szCs w:val="20"/>
              </w:rPr>
            </w:pPr>
          </w:p>
        </w:tc>
      </w:tr>
      <w:tr w:rsidR="00BE6461" w:rsidRPr="00BE6461" w14:paraId="00DB9A96" w14:textId="77777777" w:rsidTr="00BE6461">
        <w:trPr>
          <w:trHeight w:val="300"/>
        </w:trPr>
        <w:tc>
          <w:tcPr>
            <w:tcW w:w="1703" w:type="dxa"/>
            <w:tcBorders>
              <w:top w:val="nil"/>
              <w:left w:val="nil"/>
              <w:bottom w:val="nil"/>
              <w:right w:val="nil"/>
            </w:tcBorders>
            <w:shd w:val="clear" w:color="auto" w:fill="auto"/>
            <w:noWrap/>
            <w:vAlign w:val="bottom"/>
            <w:hideMark/>
          </w:tcPr>
          <w:p w14:paraId="38AFFFC1" w14:textId="77777777" w:rsidR="00BE6461" w:rsidRPr="00BE6461" w:rsidRDefault="00BE6461" w:rsidP="00BE6461">
            <w:pPr>
              <w:rPr>
                <w:sz w:val="20"/>
                <w:szCs w:val="20"/>
              </w:rPr>
            </w:pPr>
            <w:r w:rsidRPr="00BE6461">
              <w:rPr>
                <w:sz w:val="20"/>
                <w:szCs w:val="20"/>
              </w:rPr>
              <w:t>3239</w:t>
            </w:r>
          </w:p>
        </w:tc>
        <w:tc>
          <w:tcPr>
            <w:tcW w:w="8457" w:type="dxa"/>
            <w:tcBorders>
              <w:top w:val="nil"/>
              <w:left w:val="nil"/>
              <w:bottom w:val="nil"/>
              <w:right w:val="nil"/>
            </w:tcBorders>
            <w:shd w:val="clear" w:color="auto" w:fill="auto"/>
            <w:vAlign w:val="bottom"/>
            <w:hideMark/>
          </w:tcPr>
          <w:p w14:paraId="52F353F9" w14:textId="77777777" w:rsidR="00BE6461" w:rsidRPr="00BE6461" w:rsidRDefault="00BE6461" w:rsidP="00BE6461">
            <w:pPr>
              <w:rPr>
                <w:sz w:val="20"/>
                <w:szCs w:val="20"/>
              </w:rPr>
            </w:pPr>
            <w:r w:rsidRPr="00BE6461">
              <w:rPr>
                <w:sz w:val="20"/>
                <w:szCs w:val="20"/>
              </w:rPr>
              <w:t xml:space="preserve">Ostale usluge                                                                                       </w:t>
            </w:r>
          </w:p>
        </w:tc>
        <w:tc>
          <w:tcPr>
            <w:tcW w:w="1503" w:type="dxa"/>
            <w:tcBorders>
              <w:top w:val="nil"/>
              <w:left w:val="nil"/>
              <w:bottom w:val="nil"/>
              <w:right w:val="nil"/>
            </w:tcBorders>
            <w:shd w:val="clear" w:color="auto" w:fill="auto"/>
            <w:noWrap/>
            <w:vAlign w:val="bottom"/>
            <w:hideMark/>
          </w:tcPr>
          <w:p w14:paraId="5BE94E8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0764712" w14:textId="77777777" w:rsidR="00BE6461" w:rsidRPr="00BE6461" w:rsidRDefault="00BE6461" w:rsidP="00BE6461">
            <w:pPr>
              <w:jc w:val="right"/>
              <w:rPr>
                <w:sz w:val="20"/>
                <w:szCs w:val="20"/>
              </w:rPr>
            </w:pPr>
            <w:r w:rsidRPr="00BE6461">
              <w:rPr>
                <w:sz w:val="20"/>
                <w:szCs w:val="20"/>
              </w:rPr>
              <w:t>243.638,57</w:t>
            </w:r>
          </w:p>
        </w:tc>
        <w:tc>
          <w:tcPr>
            <w:tcW w:w="1100" w:type="dxa"/>
            <w:tcBorders>
              <w:top w:val="nil"/>
              <w:left w:val="nil"/>
              <w:bottom w:val="nil"/>
              <w:right w:val="nil"/>
            </w:tcBorders>
            <w:shd w:val="clear" w:color="auto" w:fill="auto"/>
            <w:noWrap/>
            <w:vAlign w:val="bottom"/>
            <w:hideMark/>
          </w:tcPr>
          <w:p w14:paraId="74912F97" w14:textId="77777777" w:rsidR="00BE6461" w:rsidRPr="00BE6461" w:rsidRDefault="00BE6461" w:rsidP="00BE6461">
            <w:pPr>
              <w:jc w:val="right"/>
              <w:rPr>
                <w:sz w:val="20"/>
                <w:szCs w:val="20"/>
              </w:rPr>
            </w:pPr>
          </w:p>
        </w:tc>
      </w:tr>
      <w:tr w:rsidR="00BE6461" w:rsidRPr="00BE6461" w14:paraId="08B92F4F" w14:textId="77777777" w:rsidTr="00BE6461">
        <w:trPr>
          <w:trHeight w:val="300"/>
        </w:trPr>
        <w:tc>
          <w:tcPr>
            <w:tcW w:w="1703" w:type="dxa"/>
            <w:tcBorders>
              <w:top w:val="nil"/>
              <w:left w:val="nil"/>
              <w:bottom w:val="nil"/>
              <w:right w:val="nil"/>
            </w:tcBorders>
            <w:shd w:val="clear" w:color="auto" w:fill="auto"/>
            <w:noWrap/>
            <w:vAlign w:val="bottom"/>
            <w:hideMark/>
          </w:tcPr>
          <w:p w14:paraId="03C6212C"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62F33CB2"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286C6857" w14:textId="77777777" w:rsidR="00BE6461" w:rsidRPr="00BE6461" w:rsidRDefault="00BE6461" w:rsidP="00BE6461">
            <w:pPr>
              <w:jc w:val="right"/>
              <w:rPr>
                <w:b/>
                <w:bCs/>
                <w:sz w:val="20"/>
                <w:szCs w:val="20"/>
              </w:rPr>
            </w:pPr>
            <w:r w:rsidRPr="00BE6461">
              <w:rPr>
                <w:b/>
                <w:bCs/>
                <w:sz w:val="20"/>
                <w:szCs w:val="20"/>
              </w:rPr>
              <w:t>184.500,00</w:t>
            </w:r>
          </w:p>
        </w:tc>
        <w:tc>
          <w:tcPr>
            <w:tcW w:w="1500" w:type="dxa"/>
            <w:tcBorders>
              <w:top w:val="nil"/>
              <w:left w:val="nil"/>
              <w:bottom w:val="nil"/>
              <w:right w:val="nil"/>
            </w:tcBorders>
            <w:shd w:val="clear" w:color="auto" w:fill="auto"/>
            <w:noWrap/>
            <w:vAlign w:val="bottom"/>
            <w:hideMark/>
          </w:tcPr>
          <w:p w14:paraId="61EBACDE" w14:textId="77777777" w:rsidR="00BE6461" w:rsidRPr="00BE6461" w:rsidRDefault="00BE6461" w:rsidP="00BE6461">
            <w:pPr>
              <w:jc w:val="right"/>
              <w:rPr>
                <w:b/>
                <w:bCs/>
                <w:sz w:val="20"/>
                <w:szCs w:val="20"/>
              </w:rPr>
            </w:pPr>
            <w:r w:rsidRPr="00BE6461">
              <w:rPr>
                <w:b/>
                <w:bCs/>
                <w:sz w:val="20"/>
                <w:szCs w:val="20"/>
              </w:rPr>
              <w:t>135.402,72</w:t>
            </w:r>
          </w:p>
        </w:tc>
        <w:tc>
          <w:tcPr>
            <w:tcW w:w="1100" w:type="dxa"/>
            <w:tcBorders>
              <w:top w:val="nil"/>
              <w:left w:val="nil"/>
              <w:bottom w:val="nil"/>
              <w:right w:val="nil"/>
            </w:tcBorders>
            <w:shd w:val="clear" w:color="auto" w:fill="auto"/>
            <w:noWrap/>
            <w:vAlign w:val="bottom"/>
            <w:hideMark/>
          </w:tcPr>
          <w:p w14:paraId="2953A3A1" w14:textId="77777777" w:rsidR="00BE6461" w:rsidRPr="00BE6461" w:rsidRDefault="00BE6461" w:rsidP="00BE6461">
            <w:pPr>
              <w:jc w:val="right"/>
              <w:rPr>
                <w:b/>
                <w:bCs/>
                <w:sz w:val="20"/>
                <w:szCs w:val="20"/>
              </w:rPr>
            </w:pPr>
            <w:r w:rsidRPr="00BE6461">
              <w:rPr>
                <w:b/>
                <w:bCs/>
                <w:sz w:val="20"/>
                <w:szCs w:val="20"/>
              </w:rPr>
              <w:t>73,39</w:t>
            </w:r>
          </w:p>
        </w:tc>
      </w:tr>
      <w:tr w:rsidR="00BE6461" w:rsidRPr="00BE6461" w14:paraId="1370D548" w14:textId="77777777" w:rsidTr="00BE6461">
        <w:trPr>
          <w:trHeight w:val="300"/>
        </w:trPr>
        <w:tc>
          <w:tcPr>
            <w:tcW w:w="1703" w:type="dxa"/>
            <w:tcBorders>
              <w:top w:val="nil"/>
              <w:left w:val="nil"/>
              <w:bottom w:val="nil"/>
              <w:right w:val="nil"/>
            </w:tcBorders>
            <w:shd w:val="clear" w:color="auto" w:fill="auto"/>
            <w:noWrap/>
            <w:vAlign w:val="bottom"/>
            <w:hideMark/>
          </w:tcPr>
          <w:p w14:paraId="435898AE" w14:textId="77777777" w:rsidR="00BE6461" w:rsidRPr="00BE6461" w:rsidRDefault="00BE6461" w:rsidP="00BE6461">
            <w:pPr>
              <w:rPr>
                <w:sz w:val="20"/>
                <w:szCs w:val="20"/>
              </w:rPr>
            </w:pPr>
            <w:r w:rsidRPr="00BE6461">
              <w:rPr>
                <w:sz w:val="20"/>
                <w:szCs w:val="20"/>
              </w:rPr>
              <w:t>3292</w:t>
            </w:r>
          </w:p>
        </w:tc>
        <w:tc>
          <w:tcPr>
            <w:tcW w:w="8457" w:type="dxa"/>
            <w:tcBorders>
              <w:top w:val="nil"/>
              <w:left w:val="nil"/>
              <w:bottom w:val="nil"/>
              <w:right w:val="nil"/>
            </w:tcBorders>
            <w:shd w:val="clear" w:color="auto" w:fill="auto"/>
            <w:vAlign w:val="bottom"/>
            <w:hideMark/>
          </w:tcPr>
          <w:p w14:paraId="38E620C8" w14:textId="77777777" w:rsidR="00BE6461" w:rsidRPr="00BE6461" w:rsidRDefault="00BE6461" w:rsidP="00BE6461">
            <w:pPr>
              <w:rPr>
                <w:sz w:val="20"/>
                <w:szCs w:val="20"/>
              </w:rPr>
            </w:pPr>
            <w:r w:rsidRPr="00BE6461">
              <w:rPr>
                <w:sz w:val="20"/>
                <w:szCs w:val="20"/>
              </w:rPr>
              <w:t xml:space="preserve">Premije osiguranja                                                                                  </w:t>
            </w:r>
          </w:p>
        </w:tc>
        <w:tc>
          <w:tcPr>
            <w:tcW w:w="1503" w:type="dxa"/>
            <w:tcBorders>
              <w:top w:val="nil"/>
              <w:left w:val="nil"/>
              <w:bottom w:val="nil"/>
              <w:right w:val="nil"/>
            </w:tcBorders>
            <w:shd w:val="clear" w:color="auto" w:fill="auto"/>
            <w:noWrap/>
            <w:vAlign w:val="bottom"/>
            <w:hideMark/>
          </w:tcPr>
          <w:p w14:paraId="6F845CC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3E7A950" w14:textId="77777777" w:rsidR="00BE6461" w:rsidRPr="00BE6461" w:rsidRDefault="00BE6461" w:rsidP="00BE6461">
            <w:pPr>
              <w:jc w:val="right"/>
              <w:rPr>
                <w:sz w:val="20"/>
                <w:szCs w:val="20"/>
              </w:rPr>
            </w:pPr>
            <w:r w:rsidRPr="00BE6461">
              <w:rPr>
                <w:sz w:val="20"/>
                <w:szCs w:val="20"/>
              </w:rPr>
              <w:t>65.951,11</w:t>
            </w:r>
          </w:p>
        </w:tc>
        <w:tc>
          <w:tcPr>
            <w:tcW w:w="1100" w:type="dxa"/>
            <w:tcBorders>
              <w:top w:val="nil"/>
              <w:left w:val="nil"/>
              <w:bottom w:val="nil"/>
              <w:right w:val="nil"/>
            </w:tcBorders>
            <w:shd w:val="clear" w:color="auto" w:fill="auto"/>
            <w:noWrap/>
            <w:vAlign w:val="bottom"/>
            <w:hideMark/>
          </w:tcPr>
          <w:p w14:paraId="2957414C" w14:textId="77777777" w:rsidR="00BE6461" w:rsidRPr="00BE6461" w:rsidRDefault="00BE6461" w:rsidP="00BE6461">
            <w:pPr>
              <w:jc w:val="right"/>
              <w:rPr>
                <w:sz w:val="20"/>
                <w:szCs w:val="20"/>
              </w:rPr>
            </w:pPr>
          </w:p>
        </w:tc>
      </w:tr>
      <w:tr w:rsidR="00BE6461" w:rsidRPr="00BE6461" w14:paraId="26C64CA8" w14:textId="77777777" w:rsidTr="00BE6461">
        <w:trPr>
          <w:trHeight w:val="300"/>
        </w:trPr>
        <w:tc>
          <w:tcPr>
            <w:tcW w:w="1703" w:type="dxa"/>
            <w:tcBorders>
              <w:top w:val="nil"/>
              <w:left w:val="nil"/>
              <w:bottom w:val="nil"/>
              <w:right w:val="nil"/>
            </w:tcBorders>
            <w:shd w:val="clear" w:color="auto" w:fill="auto"/>
            <w:noWrap/>
            <w:vAlign w:val="bottom"/>
            <w:hideMark/>
          </w:tcPr>
          <w:p w14:paraId="6AB2E85F" w14:textId="77777777" w:rsidR="00BE6461" w:rsidRPr="00BE6461" w:rsidRDefault="00BE6461" w:rsidP="00BE6461">
            <w:pPr>
              <w:rPr>
                <w:sz w:val="20"/>
                <w:szCs w:val="20"/>
              </w:rPr>
            </w:pPr>
            <w:r w:rsidRPr="00BE6461">
              <w:rPr>
                <w:sz w:val="20"/>
                <w:szCs w:val="20"/>
              </w:rPr>
              <w:t>3293</w:t>
            </w:r>
          </w:p>
        </w:tc>
        <w:tc>
          <w:tcPr>
            <w:tcW w:w="8457" w:type="dxa"/>
            <w:tcBorders>
              <w:top w:val="nil"/>
              <w:left w:val="nil"/>
              <w:bottom w:val="nil"/>
              <w:right w:val="nil"/>
            </w:tcBorders>
            <w:shd w:val="clear" w:color="auto" w:fill="auto"/>
            <w:vAlign w:val="bottom"/>
            <w:hideMark/>
          </w:tcPr>
          <w:p w14:paraId="6C896DB5" w14:textId="77777777" w:rsidR="00BE6461" w:rsidRPr="00BE6461" w:rsidRDefault="00BE6461" w:rsidP="00BE6461">
            <w:pPr>
              <w:rPr>
                <w:sz w:val="20"/>
                <w:szCs w:val="20"/>
              </w:rPr>
            </w:pPr>
            <w:r w:rsidRPr="00BE6461">
              <w:rPr>
                <w:sz w:val="20"/>
                <w:szCs w:val="20"/>
              </w:rPr>
              <w:t xml:space="preserve">Reprezentacija                                                                                      </w:t>
            </w:r>
          </w:p>
        </w:tc>
        <w:tc>
          <w:tcPr>
            <w:tcW w:w="1503" w:type="dxa"/>
            <w:tcBorders>
              <w:top w:val="nil"/>
              <w:left w:val="nil"/>
              <w:bottom w:val="nil"/>
              <w:right w:val="nil"/>
            </w:tcBorders>
            <w:shd w:val="clear" w:color="auto" w:fill="auto"/>
            <w:noWrap/>
            <w:vAlign w:val="bottom"/>
            <w:hideMark/>
          </w:tcPr>
          <w:p w14:paraId="6F42B9D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DE0DF32" w14:textId="77777777" w:rsidR="00BE6461" w:rsidRPr="00BE6461" w:rsidRDefault="00BE6461" w:rsidP="00BE6461">
            <w:pPr>
              <w:jc w:val="right"/>
              <w:rPr>
                <w:sz w:val="20"/>
                <w:szCs w:val="20"/>
              </w:rPr>
            </w:pPr>
            <w:r w:rsidRPr="00BE6461">
              <w:rPr>
                <w:sz w:val="20"/>
                <w:szCs w:val="20"/>
              </w:rPr>
              <w:t>15.149,05</w:t>
            </w:r>
          </w:p>
        </w:tc>
        <w:tc>
          <w:tcPr>
            <w:tcW w:w="1100" w:type="dxa"/>
            <w:tcBorders>
              <w:top w:val="nil"/>
              <w:left w:val="nil"/>
              <w:bottom w:val="nil"/>
              <w:right w:val="nil"/>
            </w:tcBorders>
            <w:shd w:val="clear" w:color="auto" w:fill="auto"/>
            <w:noWrap/>
            <w:vAlign w:val="bottom"/>
            <w:hideMark/>
          </w:tcPr>
          <w:p w14:paraId="66DF7CDE" w14:textId="77777777" w:rsidR="00BE6461" w:rsidRPr="00BE6461" w:rsidRDefault="00BE6461" w:rsidP="00BE6461">
            <w:pPr>
              <w:jc w:val="right"/>
              <w:rPr>
                <w:sz w:val="20"/>
                <w:szCs w:val="20"/>
              </w:rPr>
            </w:pPr>
          </w:p>
        </w:tc>
      </w:tr>
      <w:tr w:rsidR="00BE6461" w:rsidRPr="00BE6461" w14:paraId="639A04E2" w14:textId="77777777" w:rsidTr="00BE6461">
        <w:trPr>
          <w:trHeight w:val="300"/>
        </w:trPr>
        <w:tc>
          <w:tcPr>
            <w:tcW w:w="1703" w:type="dxa"/>
            <w:tcBorders>
              <w:top w:val="nil"/>
              <w:left w:val="nil"/>
              <w:bottom w:val="nil"/>
              <w:right w:val="nil"/>
            </w:tcBorders>
            <w:shd w:val="clear" w:color="auto" w:fill="auto"/>
            <w:noWrap/>
            <w:vAlign w:val="bottom"/>
            <w:hideMark/>
          </w:tcPr>
          <w:p w14:paraId="2077941D" w14:textId="77777777" w:rsidR="00BE6461" w:rsidRPr="00BE6461" w:rsidRDefault="00BE6461" w:rsidP="00BE6461">
            <w:pPr>
              <w:rPr>
                <w:sz w:val="20"/>
                <w:szCs w:val="20"/>
              </w:rPr>
            </w:pPr>
            <w:r w:rsidRPr="00BE6461">
              <w:rPr>
                <w:sz w:val="20"/>
                <w:szCs w:val="20"/>
              </w:rPr>
              <w:t>3294</w:t>
            </w:r>
          </w:p>
        </w:tc>
        <w:tc>
          <w:tcPr>
            <w:tcW w:w="8457" w:type="dxa"/>
            <w:tcBorders>
              <w:top w:val="nil"/>
              <w:left w:val="nil"/>
              <w:bottom w:val="nil"/>
              <w:right w:val="nil"/>
            </w:tcBorders>
            <w:shd w:val="clear" w:color="auto" w:fill="auto"/>
            <w:vAlign w:val="bottom"/>
            <w:hideMark/>
          </w:tcPr>
          <w:p w14:paraId="2679D02A" w14:textId="77777777" w:rsidR="00BE6461" w:rsidRPr="00BE6461" w:rsidRDefault="00BE6461" w:rsidP="00BE6461">
            <w:pPr>
              <w:rPr>
                <w:sz w:val="20"/>
                <w:szCs w:val="20"/>
              </w:rPr>
            </w:pPr>
            <w:r w:rsidRPr="00BE6461">
              <w:rPr>
                <w:sz w:val="20"/>
                <w:szCs w:val="20"/>
              </w:rPr>
              <w:t>Članarine i norme</w:t>
            </w:r>
          </w:p>
        </w:tc>
        <w:tc>
          <w:tcPr>
            <w:tcW w:w="1503" w:type="dxa"/>
            <w:tcBorders>
              <w:top w:val="nil"/>
              <w:left w:val="nil"/>
              <w:bottom w:val="nil"/>
              <w:right w:val="nil"/>
            </w:tcBorders>
            <w:shd w:val="clear" w:color="auto" w:fill="auto"/>
            <w:noWrap/>
            <w:vAlign w:val="bottom"/>
            <w:hideMark/>
          </w:tcPr>
          <w:p w14:paraId="2A33948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7D4EA03" w14:textId="77777777" w:rsidR="00BE6461" w:rsidRPr="00BE6461" w:rsidRDefault="00BE6461" w:rsidP="00BE6461">
            <w:pPr>
              <w:jc w:val="right"/>
              <w:rPr>
                <w:sz w:val="20"/>
                <w:szCs w:val="20"/>
              </w:rPr>
            </w:pPr>
            <w:r w:rsidRPr="00BE6461">
              <w:rPr>
                <w:sz w:val="20"/>
                <w:szCs w:val="20"/>
              </w:rPr>
              <w:t>16.885,48</w:t>
            </w:r>
          </w:p>
        </w:tc>
        <w:tc>
          <w:tcPr>
            <w:tcW w:w="1100" w:type="dxa"/>
            <w:tcBorders>
              <w:top w:val="nil"/>
              <w:left w:val="nil"/>
              <w:bottom w:val="nil"/>
              <w:right w:val="nil"/>
            </w:tcBorders>
            <w:shd w:val="clear" w:color="auto" w:fill="auto"/>
            <w:noWrap/>
            <w:vAlign w:val="bottom"/>
            <w:hideMark/>
          </w:tcPr>
          <w:p w14:paraId="5E224410" w14:textId="77777777" w:rsidR="00BE6461" w:rsidRPr="00BE6461" w:rsidRDefault="00BE6461" w:rsidP="00BE6461">
            <w:pPr>
              <w:jc w:val="right"/>
              <w:rPr>
                <w:sz w:val="20"/>
                <w:szCs w:val="20"/>
              </w:rPr>
            </w:pPr>
          </w:p>
        </w:tc>
      </w:tr>
      <w:tr w:rsidR="00BE6461" w:rsidRPr="00BE6461" w14:paraId="3A3B2714" w14:textId="77777777" w:rsidTr="00BE6461">
        <w:trPr>
          <w:trHeight w:val="300"/>
        </w:trPr>
        <w:tc>
          <w:tcPr>
            <w:tcW w:w="1703" w:type="dxa"/>
            <w:tcBorders>
              <w:top w:val="nil"/>
              <w:left w:val="nil"/>
              <w:bottom w:val="nil"/>
              <w:right w:val="nil"/>
            </w:tcBorders>
            <w:shd w:val="clear" w:color="auto" w:fill="auto"/>
            <w:noWrap/>
            <w:vAlign w:val="bottom"/>
            <w:hideMark/>
          </w:tcPr>
          <w:p w14:paraId="26BA4199" w14:textId="77777777" w:rsidR="00BE6461" w:rsidRPr="00BE6461" w:rsidRDefault="00BE6461" w:rsidP="00BE6461">
            <w:pPr>
              <w:rPr>
                <w:sz w:val="20"/>
                <w:szCs w:val="20"/>
              </w:rPr>
            </w:pPr>
            <w:r w:rsidRPr="00BE6461">
              <w:rPr>
                <w:sz w:val="20"/>
                <w:szCs w:val="20"/>
              </w:rPr>
              <w:t>3295</w:t>
            </w:r>
          </w:p>
        </w:tc>
        <w:tc>
          <w:tcPr>
            <w:tcW w:w="8457" w:type="dxa"/>
            <w:tcBorders>
              <w:top w:val="nil"/>
              <w:left w:val="nil"/>
              <w:bottom w:val="nil"/>
              <w:right w:val="nil"/>
            </w:tcBorders>
            <w:shd w:val="clear" w:color="auto" w:fill="auto"/>
            <w:vAlign w:val="bottom"/>
            <w:hideMark/>
          </w:tcPr>
          <w:p w14:paraId="527348D9" w14:textId="77777777" w:rsidR="00BE6461" w:rsidRPr="00BE6461" w:rsidRDefault="00BE6461" w:rsidP="00BE6461">
            <w:pPr>
              <w:rPr>
                <w:sz w:val="20"/>
                <w:szCs w:val="20"/>
              </w:rPr>
            </w:pPr>
            <w:r w:rsidRPr="00BE6461">
              <w:rPr>
                <w:sz w:val="20"/>
                <w:szCs w:val="20"/>
              </w:rPr>
              <w:t xml:space="preserve">Pristojbe i naknade                                                                                 </w:t>
            </w:r>
          </w:p>
        </w:tc>
        <w:tc>
          <w:tcPr>
            <w:tcW w:w="1503" w:type="dxa"/>
            <w:tcBorders>
              <w:top w:val="nil"/>
              <w:left w:val="nil"/>
              <w:bottom w:val="nil"/>
              <w:right w:val="nil"/>
            </w:tcBorders>
            <w:shd w:val="clear" w:color="auto" w:fill="auto"/>
            <w:noWrap/>
            <w:vAlign w:val="bottom"/>
            <w:hideMark/>
          </w:tcPr>
          <w:p w14:paraId="2BBE8480"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6EDE9E8" w14:textId="77777777" w:rsidR="00BE6461" w:rsidRPr="00BE6461" w:rsidRDefault="00BE6461" w:rsidP="00BE6461">
            <w:pPr>
              <w:jc w:val="right"/>
              <w:rPr>
                <w:sz w:val="20"/>
                <w:szCs w:val="20"/>
              </w:rPr>
            </w:pPr>
            <w:r w:rsidRPr="00BE6461">
              <w:rPr>
                <w:sz w:val="20"/>
                <w:szCs w:val="20"/>
              </w:rPr>
              <w:t>16.922,45</w:t>
            </w:r>
          </w:p>
        </w:tc>
        <w:tc>
          <w:tcPr>
            <w:tcW w:w="1100" w:type="dxa"/>
            <w:tcBorders>
              <w:top w:val="nil"/>
              <w:left w:val="nil"/>
              <w:bottom w:val="nil"/>
              <w:right w:val="nil"/>
            </w:tcBorders>
            <w:shd w:val="clear" w:color="auto" w:fill="auto"/>
            <w:noWrap/>
            <w:vAlign w:val="bottom"/>
            <w:hideMark/>
          </w:tcPr>
          <w:p w14:paraId="30334718" w14:textId="77777777" w:rsidR="00BE6461" w:rsidRPr="00BE6461" w:rsidRDefault="00BE6461" w:rsidP="00BE6461">
            <w:pPr>
              <w:jc w:val="right"/>
              <w:rPr>
                <w:sz w:val="20"/>
                <w:szCs w:val="20"/>
              </w:rPr>
            </w:pPr>
          </w:p>
        </w:tc>
      </w:tr>
      <w:tr w:rsidR="00BE6461" w:rsidRPr="00BE6461" w14:paraId="309A0CE0" w14:textId="77777777" w:rsidTr="00BE6461">
        <w:trPr>
          <w:trHeight w:val="300"/>
        </w:trPr>
        <w:tc>
          <w:tcPr>
            <w:tcW w:w="1703" w:type="dxa"/>
            <w:tcBorders>
              <w:top w:val="nil"/>
              <w:left w:val="nil"/>
              <w:bottom w:val="nil"/>
              <w:right w:val="nil"/>
            </w:tcBorders>
            <w:shd w:val="clear" w:color="auto" w:fill="auto"/>
            <w:noWrap/>
            <w:vAlign w:val="bottom"/>
            <w:hideMark/>
          </w:tcPr>
          <w:p w14:paraId="0A570F6C" w14:textId="77777777" w:rsidR="00BE6461" w:rsidRPr="00BE6461" w:rsidRDefault="00BE6461" w:rsidP="00BE6461">
            <w:pPr>
              <w:rPr>
                <w:sz w:val="20"/>
                <w:szCs w:val="20"/>
              </w:rPr>
            </w:pPr>
            <w:r w:rsidRPr="00BE6461">
              <w:rPr>
                <w:sz w:val="20"/>
                <w:szCs w:val="20"/>
              </w:rPr>
              <w:t>3296</w:t>
            </w:r>
          </w:p>
        </w:tc>
        <w:tc>
          <w:tcPr>
            <w:tcW w:w="8457" w:type="dxa"/>
            <w:tcBorders>
              <w:top w:val="nil"/>
              <w:left w:val="nil"/>
              <w:bottom w:val="nil"/>
              <w:right w:val="nil"/>
            </w:tcBorders>
            <w:shd w:val="clear" w:color="auto" w:fill="auto"/>
            <w:vAlign w:val="bottom"/>
            <w:hideMark/>
          </w:tcPr>
          <w:p w14:paraId="48F75DF4" w14:textId="77777777" w:rsidR="00BE6461" w:rsidRPr="00BE6461" w:rsidRDefault="00BE6461" w:rsidP="00BE6461">
            <w:pPr>
              <w:rPr>
                <w:sz w:val="20"/>
                <w:szCs w:val="20"/>
              </w:rPr>
            </w:pPr>
            <w:r w:rsidRPr="00BE6461">
              <w:rPr>
                <w:sz w:val="20"/>
                <w:szCs w:val="20"/>
              </w:rPr>
              <w:t>Troškovi sudskih postupaka</w:t>
            </w:r>
          </w:p>
        </w:tc>
        <w:tc>
          <w:tcPr>
            <w:tcW w:w="1503" w:type="dxa"/>
            <w:tcBorders>
              <w:top w:val="nil"/>
              <w:left w:val="nil"/>
              <w:bottom w:val="nil"/>
              <w:right w:val="nil"/>
            </w:tcBorders>
            <w:shd w:val="clear" w:color="auto" w:fill="auto"/>
            <w:noWrap/>
            <w:vAlign w:val="bottom"/>
            <w:hideMark/>
          </w:tcPr>
          <w:p w14:paraId="54DC2A90"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D59B6BF" w14:textId="77777777" w:rsidR="00BE6461" w:rsidRPr="00BE6461" w:rsidRDefault="00BE6461" w:rsidP="00BE6461">
            <w:pPr>
              <w:jc w:val="right"/>
              <w:rPr>
                <w:sz w:val="20"/>
                <w:szCs w:val="20"/>
              </w:rPr>
            </w:pPr>
            <w:r w:rsidRPr="00BE6461">
              <w:rPr>
                <w:sz w:val="20"/>
                <w:szCs w:val="20"/>
              </w:rPr>
              <w:t>8.082,13</w:t>
            </w:r>
          </w:p>
        </w:tc>
        <w:tc>
          <w:tcPr>
            <w:tcW w:w="1100" w:type="dxa"/>
            <w:tcBorders>
              <w:top w:val="nil"/>
              <w:left w:val="nil"/>
              <w:bottom w:val="nil"/>
              <w:right w:val="nil"/>
            </w:tcBorders>
            <w:shd w:val="clear" w:color="auto" w:fill="auto"/>
            <w:noWrap/>
            <w:vAlign w:val="bottom"/>
            <w:hideMark/>
          </w:tcPr>
          <w:p w14:paraId="15C48E76" w14:textId="77777777" w:rsidR="00BE6461" w:rsidRPr="00BE6461" w:rsidRDefault="00BE6461" w:rsidP="00BE6461">
            <w:pPr>
              <w:jc w:val="right"/>
              <w:rPr>
                <w:sz w:val="20"/>
                <w:szCs w:val="20"/>
              </w:rPr>
            </w:pPr>
          </w:p>
        </w:tc>
      </w:tr>
      <w:tr w:rsidR="00BE6461" w:rsidRPr="00BE6461" w14:paraId="66945307" w14:textId="77777777" w:rsidTr="00BE6461">
        <w:trPr>
          <w:trHeight w:val="300"/>
        </w:trPr>
        <w:tc>
          <w:tcPr>
            <w:tcW w:w="1703" w:type="dxa"/>
            <w:tcBorders>
              <w:top w:val="nil"/>
              <w:left w:val="nil"/>
              <w:bottom w:val="nil"/>
              <w:right w:val="nil"/>
            </w:tcBorders>
            <w:shd w:val="clear" w:color="auto" w:fill="auto"/>
            <w:noWrap/>
            <w:vAlign w:val="bottom"/>
            <w:hideMark/>
          </w:tcPr>
          <w:p w14:paraId="20ECB635" w14:textId="77777777" w:rsidR="00BE6461" w:rsidRPr="00BE6461" w:rsidRDefault="00BE6461" w:rsidP="00BE6461">
            <w:pPr>
              <w:rPr>
                <w:sz w:val="20"/>
                <w:szCs w:val="20"/>
              </w:rPr>
            </w:pPr>
            <w:r w:rsidRPr="00BE6461">
              <w:rPr>
                <w:sz w:val="20"/>
                <w:szCs w:val="20"/>
              </w:rPr>
              <w:t>3299</w:t>
            </w:r>
          </w:p>
        </w:tc>
        <w:tc>
          <w:tcPr>
            <w:tcW w:w="8457" w:type="dxa"/>
            <w:tcBorders>
              <w:top w:val="nil"/>
              <w:left w:val="nil"/>
              <w:bottom w:val="nil"/>
              <w:right w:val="nil"/>
            </w:tcBorders>
            <w:shd w:val="clear" w:color="auto" w:fill="auto"/>
            <w:vAlign w:val="bottom"/>
            <w:hideMark/>
          </w:tcPr>
          <w:p w14:paraId="3416D803" w14:textId="77777777" w:rsidR="00BE6461" w:rsidRPr="00BE6461" w:rsidRDefault="00BE6461" w:rsidP="00BE6461">
            <w:pPr>
              <w:rPr>
                <w:sz w:val="20"/>
                <w:szCs w:val="20"/>
              </w:rPr>
            </w:pPr>
            <w:r w:rsidRPr="00BE6461">
              <w:rPr>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6B69ACE0"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019F9A5" w14:textId="77777777" w:rsidR="00BE6461" w:rsidRPr="00BE6461" w:rsidRDefault="00BE6461" w:rsidP="00BE6461">
            <w:pPr>
              <w:jc w:val="right"/>
              <w:rPr>
                <w:sz w:val="20"/>
                <w:szCs w:val="20"/>
              </w:rPr>
            </w:pPr>
            <w:r w:rsidRPr="00BE6461">
              <w:rPr>
                <w:sz w:val="20"/>
                <w:szCs w:val="20"/>
              </w:rPr>
              <w:t>12.412,50</w:t>
            </w:r>
          </w:p>
        </w:tc>
        <w:tc>
          <w:tcPr>
            <w:tcW w:w="1100" w:type="dxa"/>
            <w:tcBorders>
              <w:top w:val="nil"/>
              <w:left w:val="nil"/>
              <w:bottom w:val="nil"/>
              <w:right w:val="nil"/>
            </w:tcBorders>
            <w:shd w:val="clear" w:color="auto" w:fill="auto"/>
            <w:noWrap/>
            <w:vAlign w:val="bottom"/>
            <w:hideMark/>
          </w:tcPr>
          <w:p w14:paraId="0F8B1AEB" w14:textId="77777777" w:rsidR="00BE6461" w:rsidRPr="00BE6461" w:rsidRDefault="00BE6461" w:rsidP="00BE6461">
            <w:pPr>
              <w:jc w:val="right"/>
              <w:rPr>
                <w:sz w:val="20"/>
                <w:szCs w:val="20"/>
              </w:rPr>
            </w:pPr>
          </w:p>
        </w:tc>
      </w:tr>
      <w:tr w:rsidR="00BE6461" w:rsidRPr="00BE6461" w14:paraId="57257F18" w14:textId="77777777" w:rsidTr="00BE6461">
        <w:trPr>
          <w:trHeight w:val="300"/>
        </w:trPr>
        <w:tc>
          <w:tcPr>
            <w:tcW w:w="1703" w:type="dxa"/>
            <w:tcBorders>
              <w:top w:val="nil"/>
              <w:left w:val="nil"/>
              <w:bottom w:val="nil"/>
              <w:right w:val="nil"/>
            </w:tcBorders>
            <w:shd w:val="clear" w:color="auto" w:fill="auto"/>
            <w:noWrap/>
            <w:vAlign w:val="bottom"/>
            <w:hideMark/>
          </w:tcPr>
          <w:p w14:paraId="63423372" w14:textId="77777777" w:rsidR="00BE6461" w:rsidRPr="00BE6461" w:rsidRDefault="00BE6461" w:rsidP="00BE6461">
            <w:pPr>
              <w:rPr>
                <w:b/>
                <w:bCs/>
                <w:sz w:val="20"/>
                <w:szCs w:val="20"/>
              </w:rPr>
            </w:pPr>
            <w:r w:rsidRPr="00BE6461">
              <w:rPr>
                <w:b/>
                <w:bCs/>
                <w:sz w:val="20"/>
                <w:szCs w:val="20"/>
              </w:rPr>
              <w:t>343</w:t>
            </w:r>
          </w:p>
        </w:tc>
        <w:tc>
          <w:tcPr>
            <w:tcW w:w="8457" w:type="dxa"/>
            <w:tcBorders>
              <w:top w:val="nil"/>
              <w:left w:val="nil"/>
              <w:bottom w:val="nil"/>
              <w:right w:val="nil"/>
            </w:tcBorders>
            <w:shd w:val="clear" w:color="auto" w:fill="auto"/>
            <w:vAlign w:val="bottom"/>
            <w:hideMark/>
          </w:tcPr>
          <w:p w14:paraId="7DBC7893" w14:textId="77777777" w:rsidR="00BE6461" w:rsidRPr="00BE6461" w:rsidRDefault="00BE6461" w:rsidP="00BE6461">
            <w:pPr>
              <w:rPr>
                <w:b/>
                <w:bCs/>
                <w:sz w:val="20"/>
                <w:szCs w:val="20"/>
              </w:rPr>
            </w:pPr>
            <w:r w:rsidRPr="00BE6461">
              <w:rPr>
                <w:b/>
                <w:bCs/>
                <w:sz w:val="20"/>
                <w:szCs w:val="20"/>
              </w:rPr>
              <w:t xml:space="preserve">Ostali financijski rashodi                                                                          </w:t>
            </w:r>
          </w:p>
        </w:tc>
        <w:tc>
          <w:tcPr>
            <w:tcW w:w="1503" w:type="dxa"/>
            <w:tcBorders>
              <w:top w:val="nil"/>
              <w:left w:val="nil"/>
              <w:bottom w:val="nil"/>
              <w:right w:val="nil"/>
            </w:tcBorders>
            <w:shd w:val="clear" w:color="auto" w:fill="auto"/>
            <w:noWrap/>
            <w:vAlign w:val="bottom"/>
            <w:hideMark/>
          </w:tcPr>
          <w:p w14:paraId="426A8947" w14:textId="77777777" w:rsidR="00BE6461" w:rsidRPr="00BE6461" w:rsidRDefault="00BE6461" w:rsidP="00BE6461">
            <w:pPr>
              <w:jc w:val="right"/>
              <w:rPr>
                <w:b/>
                <w:bCs/>
                <w:sz w:val="20"/>
                <w:szCs w:val="20"/>
              </w:rPr>
            </w:pPr>
            <w:r w:rsidRPr="00BE6461">
              <w:rPr>
                <w:b/>
                <w:bCs/>
                <w:sz w:val="20"/>
                <w:szCs w:val="20"/>
              </w:rPr>
              <w:t>102.500,00</w:t>
            </w:r>
          </w:p>
        </w:tc>
        <w:tc>
          <w:tcPr>
            <w:tcW w:w="1500" w:type="dxa"/>
            <w:tcBorders>
              <w:top w:val="nil"/>
              <w:left w:val="nil"/>
              <w:bottom w:val="nil"/>
              <w:right w:val="nil"/>
            </w:tcBorders>
            <w:shd w:val="clear" w:color="auto" w:fill="auto"/>
            <w:noWrap/>
            <w:vAlign w:val="bottom"/>
            <w:hideMark/>
          </w:tcPr>
          <w:p w14:paraId="0C213599" w14:textId="77777777" w:rsidR="00BE6461" w:rsidRPr="00BE6461" w:rsidRDefault="00BE6461" w:rsidP="00BE6461">
            <w:pPr>
              <w:jc w:val="right"/>
              <w:rPr>
                <w:b/>
                <w:bCs/>
                <w:sz w:val="20"/>
                <w:szCs w:val="20"/>
              </w:rPr>
            </w:pPr>
            <w:r w:rsidRPr="00BE6461">
              <w:rPr>
                <w:b/>
                <w:bCs/>
                <w:sz w:val="20"/>
                <w:szCs w:val="20"/>
              </w:rPr>
              <w:t>85.003,39</w:t>
            </w:r>
          </w:p>
        </w:tc>
        <w:tc>
          <w:tcPr>
            <w:tcW w:w="1100" w:type="dxa"/>
            <w:tcBorders>
              <w:top w:val="nil"/>
              <w:left w:val="nil"/>
              <w:bottom w:val="nil"/>
              <w:right w:val="nil"/>
            </w:tcBorders>
            <w:shd w:val="clear" w:color="auto" w:fill="auto"/>
            <w:noWrap/>
            <w:vAlign w:val="bottom"/>
            <w:hideMark/>
          </w:tcPr>
          <w:p w14:paraId="7111E906" w14:textId="77777777" w:rsidR="00BE6461" w:rsidRPr="00BE6461" w:rsidRDefault="00BE6461" w:rsidP="00BE6461">
            <w:pPr>
              <w:jc w:val="right"/>
              <w:rPr>
                <w:b/>
                <w:bCs/>
                <w:sz w:val="20"/>
                <w:szCs w:val="20"/>
              </w:rPr>
            </w:pPr>
            <w:r w:rsidRPr="00BE6461">
              <w:rPr>
                <w:b/>
                <w:bCs/>
                <w:sz w:val="20"/>
                <w:szCs w:val="20"/>
              </w:rPr>
              <w:t>82,93</w:t>
            </w:r>
          </w:p>
        </w:tc>
      </w:tr>
      <w:tr w:rsidR="00BE6461" w:rsidRPr="00BE6461" w14:paraId="20C26E78" w14:textId="77777777" w:rsidTr="00BE6461">
        <w:trPr>
          <w:trHeight w:val="300"/>
        </w:trPr>
        <w:tc>
          <w:tcPr>
            <w:tcW w:w="1703" w:type="dxa"/>
            <w:tcBorders>
              <w:top w:val="nil"/>
              <w:left w:val="nil"/>
              <w:bottom w:val="nil"/>
              <w:right w:val="nil"/>
            </w:tcBorders>
            <w:shd w:val="clear" w:color="auto" w:fill="auto"/>
            <w:noWrap/>
            <w:vAlign w:val="bottom"/>
            <w:hideMark/>
          </w:tcPr>
          <w:p w14:paraId="5489958F" w14:textId="77777777" w:rsidR="00BE6461" w:rsidRPr="00BE6461" w:rsidRDefault="00BE6461" w:rsidP="00BE6461">
            <w:pPr>
              <w:rPr>
                <w:sz w:val="20"/>
                <w:szCs w:val="20"/>
              </w:rPr>
            </w:pPr>
            <w:r w:rsidRPr="00BE6461">
              <w:rPr>
                <w:sz w:val="20"/>
                <w:szCs w:val="20"/>
              </w:rPr>
              <w:t>3431</w:t>
            </w:r>
          </w:p>
        </w:tc>
        <w:tc>
          <w:tcPr>
            <w:tcW w:w="8457" w:type="dxa"/>
            <w:tcBorders>
              <w:top w:val="nil"/>
              <w:left w:val="nil"/>
              <w:bottom w:val="nil"/>
              <w:right w:val="nil"/>
            </w:tcBorders>
            <w:shd w:val="clear" w:color="auto" w:fill="auto"/>
            <w:vAlign w:val="bottom"/>
            <w:hideMark/>
          </w:tcPr>
          <w:p w14:paraId="3D3B609F" w14:textId="77777777" w:rsidR="00BE6461" w:rsidRPr="00BE6461" w:rsidRDefault="00BE6461" w:rsidP="00BE6461">
            <w:pPr>
              <w:rPr>
                <w:sz w:val="20"/>
                <w:szCs w:val="20"/>
              </w:rPr>
            </w:pPr>
            <w:r w:rsidRPr="00BE6461">
              <w:rPr>
                <w:sz w:val="20"/>
                <w:szCs w:val="20"/>
              </w:rPr>
              <w:t xml:space="preserve">Bankarske usluge i usluge platnog prometa                                                           </w:t>
            </w:r>
          </w:p>
        </w:tc>
        <w:tc>
          <w:tcPr>
            <w:tcW w:w="1503" w:type="dxa"/>
            <w:tcBorders>
              <w:top w:val="nil"/>
              <w:left w:val="nil"/>
              <w:bottom w:val="nil"/>
              <w:right w:val="nil"/>
            </w:tcBorders>
            <w:shd w:val="clear" w:color="auto" w:fill="auto"/>
            <w:noWrap/>
            <w:vAlign w:val="bottom"/>
            <w:hideMark/>
          </w:tcPr>
          <w:p w14:paraId="29F68D2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291DF64" w14:textId="77777777" w:rsidR="00BE6461" w:rsidRPr="00BE6461" w:rsidRDefault="00BE6461" w:rsidP="00BE6461">
            <w:pPr>
              <w:jc w:val="right"/>
              <w:rPr>
                <w:sz w:val="20"/>
                <w:szCs w:val="20"/>
              </w:rPr>
            </w:pPr>
            <w:r w:rsidRPr="00BE6461">
              <w:rPr>
                <w:sz w:val="20"/>
                <w:szCs w:val="20"/>
              </w:rPr>
              <w:t>66.399,90</w:t>
            </w:r>
          </w:p>
        </w:tc>
        <w:tc>
          <w:tcPr>
            <w:tcW w:w="1100" w:type="dxa"/>
            <w:tcBorders>
              <w:top w:val="nil"/>
              <w:left w:val="nil"/>
              <w:bottom w:val="nil"/>
              <w:right w:val="nil"/>
            </w:tcBorders>
            <w:shd w:val="clear" w:color="auto" w:fill="auto"/>
            <w:noWrap/>
            <w:vAlign w:val="bottom"/>
            <w:hideMark/>
          </w:tcPr>
          <w:p w14:paraId="6133F171" w14:textId="77777777" w:rsidR="00BE6461" w:rsidRPr="00BE6461" w:rsidRDefault="00BE6461" w:rsidP="00BE6461">
            <w:pPr>
              <w:jc w:val="right"/>
              <w:rPr>
                <w:sz w:val="20"/>
                <w:szCs w:val="20"/>
              </w:rPr>
            </w:pPr>
          </w:p>
        </w:tc>
      </w:tr>
      <w:tr w:rsidR="00BE6461" w:rsidRPr="00BE6461" w14:paraId="46A0F52D" w14:textId="77777777" w:rsidTr="00BE6461">
        <w:trPr>
          <w:trHeight w:val="300"/>
        </w:trPr>
        <w:tc>
          <w:tcPr>
            <w:tcW w:w="1703" w:type="dxa"/>
            <w:tcBorders>
              <w:top w:val="nil"/>
              <w:left w:val="nil"/>
              <w:bottom w:val="nil"/>
              <w:right w:val="nil"/>
            </w:tcBorders>
            <w:shd w:val="clear" w:color="auto" w:fill="auto"/>
            <w:noWrap/>
            <w:vAlign w:val="bottom"/>
            <w:hideMark/>
          </w:tcPr>
          <w:p w14:paraId="5E14B314" w14:textId="77777777" w:rsidR="00BE6461" w:rsidRPr="00BE6461" w:rsidRDefault="00BE6461" w:rsidP="00BE6461">
            <w:pPr>
              <w:rPr>
                <w:sz w:val="20"/>
                <w:szCs w:val="20"/>
              </w:rPr>
            </w:pPr>
            <w:r w:rsidRPr="00BE6461">
              <w:rPr>
                <w:sz w:val="20"/>
                <w:szCs w:val="20"/>
              </w:rPr>
              <w:t>3432</w:t>
            </w:r>
          </w:p>
        </w:tc>
        <w:tc>
          <w:tcPr>
            <w:tcW w:w="8457" w:type="dxa"/>
            <w:tcBorders>
              <w:top w:val="nil"/>
              <w:left w:val="nil"/>
              <w:bottom w:val="nil"/>
              <w:right w:val="nil"/>
            </w:tcBorders>
            <w:shd w:val="clear" w:color="auto" w:fill="auto"/>
            <w:vAlign w:val="bottom"/>
            <w:hideMark/>
          </w:tcPr>
          <w:p w14:paraId="5B26FD07" w14:textId="77777777" w:rsidR="00BE6461" w:rsidRPr="00BE6461" w:rsidRDefault="00BE6461" w:rsidP="00BE6461">
            <w:pPr>
              <w:rPr>
                <w:sz w:val="20"/>
                <w:szCs w:val="20"/>
              </w:rPr>
            </w:pPr>
            <w:r w:rsidRPr="00BE6461">
              <w:rPr>
                <w:sz w:val="20"/>
                <w:szCs w:val="20"/>
              </w:rPr>
              <w:t xml:space="preserve">Negativne tečajne razlike i razlike zbog primjene valutne klauzule                                  </w:t>
            </w:r>
          </w:p>
        </w:tc>
        <w:tc>
          <w:tcPr>
            <w:tcW w:w="1503" w:type="dxa"/>
            <w:tcBorders>
              <w:top w:val="nil"/>
              <w:left w:val="nil"/>
              <w:bottom w:val="nil"/>
              <w:right w:val="nil"/>
            </w:tcBorders>
            <w:shd w:val="clear" w:color="auto" w:fill="auto"/>
            <w:noWrap/>
            <w:vAlign w:val="bottom"/>
            <w:hideMark/>
          </w:tcPr>
          <w:p w14:paraId="01C5CB9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C1F1ADF" w14:textId="77777777" w:rsidR="00BE6461" w:rsidRPr="00BE6461" w:rsidRDefault="00BE6461" w:rsidP="00BE6461">
            <w:pPr>
              <w:jc w:val="right"/>
              <w:rPr>
                <w:sz w:val="20"/>
                <w:szCs w:val="20"/>
              </w:rPr>
            </w:pPr>
            <w:r w:rsidRPr="00BE6461">
              <w:rPr>
                <w:sz w:val="20"/>
                <w:szCs w:val="20"/>
              </w:rPr>
              <w:t>111,60</w:t>
            </w:r>
          </w:p>
        </w:tc>
        <w:tc>
          <w:tcPr>
            <w:tcW w:w="1100" w:type="dxa"/>
            <w:tcBorders>
              <w:top w:val="nil"/>
              <w:left w:val="nil"/>
              <w:bottom w:val="nil"/>
              <w:right w:val="nil"/>
            </w:tcBorders>
            <w:shd w:val="clear" w:color="auto" w:fill="auto"/>
            <w:noWrap/>
            <w:vAlign w:val="bottom"/>
            <w:hideMark/>
          </w:tcPr>
          <w:p w14:paraId="7056A265" w14:textId="77777777" w:rsidR="00BE6461" w:rsidRPr="00BE6461" w:rsidRDefault="00BE6461" w:rsidP="00BE6461">
            <w:pPr>
              <w:jc w:val="right"/>
              <w:rPr>
                <w:sz w:val="20"/>
                <w:szCs w:val="20"/>
              </w:rPr>
            </w:pPr>
          </w:p>
        </w:tc>
      </w:tr>
      <w:tr w:rsidR="00BE6461" w:rsidRPr="00BE6461" w14:paraId="26EBE498" w14:textId="77777777" w:rsidTr="00BE6461">
        <w:trPr>
          <w:trHeight w:val="300"/>
        </w:trPr>
        <w:tc>
          <w:tcPr>
            <w:tcW w:w="1703" w:type="dxa"/>
            <w:tcBorders>
              <w:top w:val="nil"/>
              <w:left w:val="nil"/>
              <w:bottom w:val="nil"/>
              <w:right w:val="nil"/>
            </w:tcBorders>
            <w:shd w:val="clear" w:color="auto" w:fill="auto"/>
            <w:noWrap/>
            <w:vAlign w:val="bottom"/>
            <w:hideMark/>
          </w:tcPr>
          <w:p w14:paraId="27EA9C30" w14:textId="77777777" w:rsidR="00BE6461" w:rsidRPr="00BE6461" w:rsidRDefault="00BE6461" w:rsidP="00BE6461">
            <w:pPr>
              <w:rPr>
                <w:sz w:val="20"/>
                <w:szCs w:val="20"/>
              </w:rPr>
            </w:pPr>
            <w:r w:rsidRPr="00BE6461">
              <w:rPr>
                <w:sz w:val="20"/>
                <w:szCs w:val="20"/>
              </w:rPr>
              <w:lastRenderedPageBreak/>
              <w:t>3433</w:t>
            </w:r>
          </w:p>
        </w:tc>
        <w:tc>
          <w:tcPr>
            <w:tcW w:w="8457" w:type="dxa"/>
            <w:tcBorders>
              <w:top w:val="nil"/>
              <w:left w:val="nil"/>
              <w:bottom w:val="nil"/>
              <w:right w:val="nil"/>
            </w:tcBorders>
            <w:shd w:val="clear" w:color="auto" w:fill="auto"/>
            <w:vAlign w:val="bottom"/>
            <w:hideMark/>
          </w:tcPr>
          <w:p w14:paraId="6E7692EF" w14:textId="77777777" w:rsidR="00BE6461" w:rsidRPr="00BE6461" w:rsidRDefault="00BE6461" w:rsidP="00BE6461">
            <w:pPr>
              <w:rPr>
                <w:sz w:val="20"/>
                <w:szCs w:val="20"/>
              </w:rPr>
            </w:pPr>
            <w:r w:rsidRPr="00BE6461">
              <w:rPr>
                <w:sz w:val="20"/>
                <w:szCs w:val="20"/>
              </w:rPr>
              <w:t xml:space="preserve">Zatezne kamate                                                                                      </w:t>
            </w:r>
          </w:p>
        </w:tc>
        <w:tc>
          <w:tcPr>
            <w:tcW w:w="1503" w:type="dxa"/>
            <w:tcBorders>
              <w:top w:val="nil"/>
              <w:left w:val="nil"/>
              <w:bottom w:val="nil"/>
              <w:right w:val="nil"/>
            </w:tcBorders>
            <w:shd w:val="clear" w:color="auto" w:fill="auto"/>
            <w:noWrap/>
            <w:vAlign w:val="bottom"/>
            <w:hideMark/>
          </w:tcPr>
          <w:p w14:paraId="55EFCF30"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BEC41B9" w14:textId="77777777" w:rsidR="00BE6461" w:rsidRPr="00BE6461" w:rsidRDefault="00BE6461" w:rsidP="00BE6461">
            <w:pPr>
              <w:jc w:val="right"/>
              <w:rPr>
                <w:sz w:val="20"/>
                <w:szCs w:val="20"/>
              </w:rPr>
            </w:pPr>
            <w:r w:rsidRPr="00BE6461">
              <w:rPr>
                <w:sz w:val="20"/>
                <w:szCs w:val="20"/>
              </w:rPr>
              <w:t>95,60</w:t>
            </w:r>
          </w:p>
        </w:tc>
        <w:tc>
          <w:tcPr>
            <w:tcW w:w="1100" w:type="dxa"/>
            <w:tcBorders>
              <w:top w:val="nil"/>
              <w:left w:val="nil"/>
              <w:bottom w:val="nil"/>
              <w:right w:val="nil"/>
            </w:tcBorders>
            <w:shd w:val="clear" w:color="auto" w:fill="auto"/>
            <w:noWrap/>
            <w:vAlign w:val="bottom"/>
            <w:hideMark/>
          </w:tcPr>
          <w:p w14:paraId="61A23584" w14:textId="77777777" w:rsidR="00BE6461" w:rsidRPr="00BE6461" w:rsidRDefault="00BE6461" w:rsidP="00BE6461">
            <w:pPr>
              <w:jc w:val="right"/>
              <w:rPr>
                <w:sz w:val="20"/>
                <w:szCs w:val="20"/>
              </w:rPr>
            </w:pPr>
          </w:p>
        </w:tc>
      </w:tr>
      <w:tr w:rsidR="00BE6461" w:rsidRPr="00BE6461" w14:paraId="428A21C7" w14:textId="77777777" w:rsidTr="00BE6461">
        <w:trPr>
          <w:trHeight w:val="300"/>
        </w:trPr>
        <w:tc>
          <w:tcPr>
            <w:tcW w:w="1703" w:type="dxa"/>
            <w:tcBorders>
              <w:top w:val="nil"/>
              <w:left w:val="nil"/>
              <w:bottom w:val="nil"/>
              <w:right w:val="nil"/>
            </w:tcBorders>
            <w:shd w:val="clear" w:color="auto" w:fill="auto"/>
            <w:noWrap/>
            <w:vAlign w:val="bottom"/>
            <w:hideMark/>
          </w:tcPr>
          <w:p w14:paraId="42AD5450" w14:textId="77777777" w:rsidR="00BE6461" w:rsidRPr="00BE6461" w:rsidRDefault="00BE6461" w:rsidP="00BE6461">
            <w:pPr>
              <w:rPr>
                <w:sz w:val="20"/>
                <w:szCs w:val="20"/>
              </w:rPr>
            </w:pPr>
            <w:r w:rsidRPr="00BE6461">
              <w:rPr>
                <w:sz w:val="20"/>
                <w:szCs w:val="20"/>
              </w:rPr>
              <w:t>3434</w:t>
            </w:r>
          </w:p>
        </w:tc>
        <w:tc>
          <w:tcPr>
            <w:tcW w:w="8457" w:type="dxa"/>
            <w:tcBorders>
              <w:top w:val="nil"/>
              <w:left w:val="nil"/>
              <w:bottom w:val="nil"/>
              <w:right w:val="nil"/>
            </w:tcBorders>
            <w:shd w:val="clear" w:color="auto" w:fill="auto"/>
            <w:vAlign w:val="bottom"/>
            <w:hideMark/>
          </w:tcPr>
          <w:p w14:paraId="0E886AA4" w14:textId="77777777" w:rsidR="00BE6461" w:rsidRPr="00BE6461" w:rsidRDefault="00BE6461" w:rsidP="00BE6461">
            <w:pPr>
              <w:rPr>
                <w:sz w:val="20"/>
                <w:szCs w:val="20"/>
              </w:rPr>
            </w:pPr>
            <w:r w:rsidRPr="00BE6461">
              <w:rPr>
                <w:sz w:val="20"/>
                <w:szCs w:val="20"/>
              </w:rPr>
              <w:t xml:space="preserve">Ostali nespomenuti financijski rashodi                                                              </w:t>
            </w:r>
          </w:p>
        </w:tc>
        <w:tc>
          <w:tcPr>
            <w:tcW w:w="1503" w:type="dxa"/>
            <w:tcBorders>
              <w:top w:val="nil"/>
              <w:left w:val="nil"/>
              <w:bottom w:val="nil"/>
              <w:right w:val="nil"/>
            </w:tcBorders>
            <w:shd w:val="clear" w:color="auto" w:fill="auto"/>
            <w:noWrap/>
            <w:vAlign w:val="bottom"/>
            <w:hideMark/>
          </w:tcPr>
          <w:p w14:paraId="226FC66F"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51C5449" w14:textId="77777777" w:rsidR="00BE6461" w:rsidRPr="00BE6461" w:rsidRDefault="00BE6461" w:rsidP="00BE6461">
            <w:pPr>
              <w:jc w:val="right"/>
              <w:rPr>
                <w:sz w:val="20"/>
                <w:szCs w:val="20"/>
              </w:rPr>
            </w:pPr>
            <w:r w:rsidRPr="00BE6461">
              <w:rPr>
                <w:sz w:val="20"/>
                <w:szCs w:val="20"/>
              </w:rPr>
              <w:t>18.396,29</w:t>
            </w:r>
          </w:p>
        </w:tc>
        <w:tc>
          <w:tcPr>
            <w:tcW w:w="1100" w:type="dxa"/>
            <w:tcBorders>
              <w:top w:val="nil"/>
              <w:left w:val="nil"/>
              <w:bottom w:val="nil"/>
              <w:right w:val="nil"/>
            </w:tcBorders>
            <w:shd w:val="clear" w:color="auto" w:fill="auto"/>
            <w:noWrap/>
            <w:vAlign w:val="bottom"/>
            <w:hideMark/>
          </w:tcPr>
          <w:p w14:paraId="1ADA44B2" w14:textId="77777777" w:rsidR="00BE6461" w:rsidRPr="00BE6461" w:rsidRDefault="00BE6461" w:rsidP="00BE6461">
            <w:pPr>
              <w:jc w:val="right"/>
              <w:rPr>
                <w:sz w:val="20"/>
                <w:szCs w:val="20"/>
              </w:rPr>
            </w:pPr>
          </w:p>
        </w:tc>
      </w:tr>
      <w:tr w:rsidR="00BE6461" w:rsidRPr="00BE6461" w14:paraId="2B269B4E"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83EA336" w14:textId="77777777" w:rsidR="00BE6461" w:rsidRPr="00BE6461" w:rsidRDefault="00BE6461" w:rsidP="00BE6461">
            <w:pPr>
              <w:rPr>
                <w:b/>
                <w:bCs/>
                <w:color w:val="333333"/>
                <w:sz w:val="20"/>
                <w:szCs w:val="20"/>
              </w:rPr>
            </w:pPr>
            <w:r w:rsidRPr="00BE6461">
              <w:rPr>
                <w:b/>
                <w:bCs/>
                <w:color w:val="333333"/>
                <w:sz w:val="20"/>
                <w:szCs w:val="20"/>
              </w:rPr>
              <w:t>Izvor 7. PRIHODI OD NEFIN.IMOVINE I NADOKNADE ŠTETA OD OSIG.</w:t>
            </w:r>
          </w:p>
        </w:tc>
        <w:tc>
          <w:tcPr>
            <w:tcW w:w="1503" w:type="dxa"/>
            <w:tcBorders>
              <w:top w:val="nil"/>
              <w:left w:val="nil"/>
              <w:bottom w:val="nil"/>
              <w:right w:val="nil"/>
            </w:tcBorders>
            <w:shd w:val="clear" w:color="auto" w:fill="auto"/>
            <w:noWrap/>
            <w:vAlign w:val="bottom"/>
            <w:hideMark/>
          </w:tcPr>
          <w:p w14:paraId="2608393E"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500" w:type="dxa"/>
            <w:tcBorders>
              <w:top w:val="nil"/>
              <w:left w:val="nil"/>
              <w:bottom w:val="nil"/>
              <w:right w:val="nil"/>
            </w:tcBorders>
            <w:shd w:val="clear" w:color="auto" w:fill="auto"/>
            <w:noWrap/>
            <w:vAlign w:val="bottom"/>
            <w:hideMark/>
          </w:tcPr>
          <w:p w14:paraId="2488C535" w14:textId="77777777" w:rsidR="00BE6461" w:rsidRPr="00BE6461" w:rsidRDefault="00BE6461" w:rsidP="00BE6461">
            <w:pPr>
              <w:jc w:val="right"/>
              <w:rPr>
                <w:b/>
                <w:bCs/>
                <w:color w:val="333333"/>
                <w:sz w:val="20"/>
                <w:szCs w:val="20"/>
              </w:rPr>
            </w:pPr>
            <w:r w:rsidRPr="00BE6461">
              <w:rPr>
                <w:b/>
                <w:bCs/>
                <w:color w:val="333333"/>
                <w:sz w:val="20"/>
                <w:szCs w:val="20"/>
              </w:rPr>
              <w:t>1.790,00</w:t>
            </w:r>
          </w:p>
        </w:tc>
        <w:tc>
          <w:tcPr>
            <w:tcW w:w="1100" w:type="dxa"/>
            <w:tcBorders>
              <w:top w:val="nil"/>
              <w:left w:val="nil"/>
              <w:bottom w:val="nil"/>
              <w:right w:val="nil"/>
            </w:tcBorders>
            <w:shd w:val="clear" w:color="auto" w:fill="auto"/>
            <w:noWrap/>
            <w:vAlign w:val="bottom"/>
            <w:hideMark/>
          </w:tcPr>
          <w:p w14:paraId="2E02593F"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4BB7791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320DBE0" w14:textId="77777777" w:rsidR="00BE6461" w:rsidRPr="00BE6461" w:rsidRDefault="00BE6461" w:rsidP="00BE6461">
            <w:pPr>
              <w:rPr>
                <w:b/>
                <w:bCs/>
                <w:color w:val="333333"/>
                <w:sz w:val="20"/>
                <w:szCs w:val="20"/>
              </w:rPr>
            </w:pPr>
            <w:r w:rsidRPr="00BE6461">
              <w:rPr>
                <w:b/>
                <w:bCs/>
                <w:color w:val="333333"/>
                <w:sz w:val="20"/>
                <w:szCs w:val="20"/>
              </w:rPr>
              <w:t>Izvor 7.1. PRIHODI OD NEFIN.IMOVINE I NADOKNADE ŠTETA OD OSIG.</w:t>
            </w:r>
          </w:p>
        </w:tc>
        <w:tc>
          <w:tcPr>
            <w:tcW w:w="1503" w:type="dxa"/>
            <w:tcBorders>
              <w:top w:val="nil"/>
              <w:left w:val="nil"/>
              <w:bottom w:val="nil"/>
              <w:right w:val="nil"/>
            </w:tcBorders>
            <w:shd w:val="clear" w:color="auto" w:fill="auto"/>
            <w:noWrap/>
            <w:vAlign w:val="bottom"/>
            <w:hideMark/>
          </w:tcPr>
          <w:p w14:paraId="1E9FE05E"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500" w:type="dxa"/>
            <w:tcBorders>
              <w:top w:val="nil"/>
              <w:left w:val="nil"/>
              <w:bottom w:val="nil"/>
              <w:right w:val="nil"/>
            </w:tcBorders>
            <w:shd w:val="clear" w:color="auto" w:fill="auto"/>
            <w:noWrap/>
            <w:vAlign w:val="bottom"/>
            <w:hideMark/>
          </w:tcPr>
          <w:p w14:paraId="766F2E45" w14:textId="77777777" w:rsidR="00BE6461" w:rsidRPr="00BE6461" w:rsidRDefault="00BE6461" w:rsidP="00BE6461">
            <w:pPr>
              <w:jc w:val="right"/>
              <w:rPr>
                <w:b/>
                <w:bCs/>
                <w:color w:val="333333"/>
                <w:sz w:val="20"/>
                <w:szCs w:val="20"/>
              </w:rPr>
            </w:pPr>
            <w:r w:rsidRPr="00BE6461">
              <w:rPr>
                <w:b/>
                <w:bCs/>
                <w:color w:val="333333"/>
                <w:sz w:val="20"/>
                <w:szCs w:val="20"/>
              </w:rPr>
              <w:t>1.790,00</w:t>
            </w:r>
          </w:p>
        </w:tc>
        <w:tc>
          <w:tcPr>
            <w:tcW w:w="1100" w:type="dxa"/>
            <w:tcBorders>
              <w:top w:val="nil"/>
              <w:left w:val="nil"/>
              <w:bottom w:val="nil"/>
              <w:right w:val="nil"/>
            </w:tcBorders>
            <w:shd w:val="clear" w:color="auto" w:fill="auto"/>
            <w:noWrap/>
            <w:vAlign w:val="bottom"/>
            <w:hideMark/>
          </w:tcPr>
          <w:p w14:paraId="224EFFC9"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7313B90F" w14:textId="77777777" w:rsidTr="00BE6461">
        <w:trPr>
          <w:trHeight w:val="300"/>
        </w:trPr>
        <w:tc>
          <w:tcPr>
            <w:tcW w:w="1703" w:type="dxa"/>
            <w:tcBorders>
              <w:top w:val="nil"/>
              <w:left w:val="nil"/>
              <w:bottom w:val="nil"/>
              <w:right w:val="nil"/>
            </w:tcBorders>
            <w:shd w:val="clear" w:color="auto" w:fill="auto"/>
            <w:noWrap/>
            <w:vAlign w:val="bottom"/>
            <w:hideMark/>
          </w:tcPr>
          <w:p w14:paraId="58AD549A"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0C936B58"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0E89C8D1" w14:textId="77777777" w:rsidR="00BE6461" w:rsidRPr="00BE6461" w:rsidRDefault="00BE6461" w:rsidP="00BE6461">
            <w:pPr>
              <w:jc w:val="right"/>
              <w:rPr>
                <w:b/>
                <w:bCs/>
                <w:sz w:val="20"/>
                <w:szCs w:val="20"/>
              </w:rPr>
            </w:pPr>
            <w:r w:rsidRPr="00BE6461">
              <w:rPr>
                <w:b/>
                <w:bCs/>
                <w:sz w:val="20"/>
                <w:szCs w:val="20"/>
              </w:rPr>
              <w:t>0,00</w:t>
            </w:r>
          </w:p>
        </w:tc>
        <w:tc>
          <w:tcPr>
            <w:tcW w:w="1500" w:type="dxa"/>
            <w:tcBorders>
              <w:top w:val="nil"/>
              <w:left w:val="nil"/>
              <w:bottom w:val="nil"/>
              <w:right w:val="nil"/>
            </w:tcBorders>
            <w:shd w:val="clear" w:color="auto" w:fill="auto"/>
            <w:noWrap/>
            <w:vAlign w:val="bottom"/>
            <w:hideMark/>
          </w:tcPr>
          <w:p w14:paraId="56E9B618" w14:textId="77777777" w:rsidR="00BE6461" w:rsidRPr="00BE6461" w:rsidRDefault="00BE6461" w:rsidP="00BE6461">
            <w:pPr>
              <w:jc w:val="right"/>
              <w:rPr>
                <w:b/>
                <w:bCs/>
                <w:sz w:val="20"/>
                <w:szCs w:val="20"/>
              </w:rPr>
            </w:pPr>
            <w:r w:rsidRPr="00BE6461">
              <w:rPr>
                <w:b/>
                <w:bCs/>
                <w:sz w:val="20"/>
                <w:szCs w:val="20"/>
              </w:rPr>
              <w:t>1.790,00</w:t>
            </w:r>
          </w:p>
        </w:tc>
        <w:tc>
          <w:tcPr>
            <w:tcW w:w="1100" w:type="dxa"/>
            <w:tcBorders>
              <w:top w:val="nil"/>
              <w:left w:val="nil"/>
              <w:bottom w:val="nil"/>
              <w:right w:val="nil"/>
            </w:tcBorders>
            <w:shd w:val="clear" w:color="auto" w:fill="auto"/>
            <w:noWrap/>
            <w:vAlign w:val="bottom"/>
            <w:hideMark/>
          </w:tcPr>
          <w:p w14:paraId="5EFB8B16"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0D36DAC1" w14:textId="77777777" w:rsidTr="00BE6461">
        <w:trPr>
          <w:trHeight w:val="300"/>
        </w:trPr>
        <w:tc>
          <w:tcPr>
            <w:tcW w:w="1703" w:type="dxa"/>
            <w:tcBorders>
              <w:top w:val="nil"/>
              <w:left w:val="nil"/>
              <w:bottom w:val="nil"/>
              <w:right w:val="nil"/>
            </w:tcBorders>
            <w:shd w:val="clear" w:color="auto" w:fill="auto"/>
            <w:noWrap/>
            <w:vAlign w:val="bottom"/>
            <w:hideMark/>
          </w:tcPr>
          <w:p w14:paraId="56AF6E22" w14:textId="77777777" w:rsidR="00BE6461" w:rsidRPr="00BE6461" w:rsidRDefault="00BE6461" w:rsidP="00BE6461">
            <w:pPr>
              <w:rPr>
                <w:sz w:val="20"/>
                <w:szCs w:val="20"/>
              </w:rPr>
            </w:pPr>
            <w:r w:rsidRPr="00BE6461">
              <w:rPr>
                <w:sz w:val="20"/>
                <w:szCs w:val="20"/>
              </w:rPr>
              <w:t>3232</w:t>
            </w:r>
          </w:p>
        </w:tc>
        <w:tc>
          <w:tcPr>
            <w:tcW w:w="8457" w:type="dxa"/>
            <w:tcBorders>
              <w:top w:val="nil"/>
              <w:left w:val="nil"/>
              <w:bottom w:val="nil"/>
              <w:right w:val="nil"/>
            </w:tcBorders>
            <w:shd w:val="clear" w:color="auto" w:fill="auto"/>
            <w:vAlign w:val="bottom"/>
            <w:hideMark/>
          </w:tcPr>
          <w:p w14:paraId="2320E798" w14:textId="77777777" w:rsidR="00BE6461" w:rsidRPr="00BE6461" w:rsidRDefault="00BE6461" w:rsidP="00BE6461">
            <w:pPr>
              <w:rPr>
                <w:sz w:val="20"/>
                <w:szCs w:val="20"/>
              </w:rPr>
            </w:pPr>
            <w:r w:rsidRPr="00BE6461">
              <w:rPr>
                <w:sz w:val="20"/>
                <w:szCs w:val="20"/>
              </w:rPr>
              <w:t xml:space="preserve">Usluge tekućeg i investicijskog održavanja                                                          </w:t>
            </w:r>
          </w:p>
        </w:tc>
        <w:tc>
          <w:tcPr>
            <w:tcW w:w="1503" w:type="dxa"/>
            <w:tcBorders>
              <w:top w:val="nil"/>
              <w:left w:val="nil"/>
              <w:bottom w:val="nil"/>
              <w:right w:val="nil"/>
            </w:tcBorders>
            <w:shd w:val="clear" w:color="auto" w:fill="auto"/>
            <w:noWrap/>
            <w:vAlign w:val="bottom"/>
            <w:hideMark/>
          </w:tcPr>
          <w:p w14:paraId="40617282"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572B938" w14:textId="77777777" w:rsidR="00BE6461" w:rsidRPr="00BE6461" w:rsidRDefault="00BE6461" w:rsidP="00BE6461">
            <w:pPr>
              <w:jc w:val="right"/>
              <w:rPr>
                <w:sz w:val="20"/>
                <w:szCs w:val="20"/>
              </w:rPr>
            </w:pPr>
            <w:r w:rsidRPr="00BE6461">
              <w:rPr>
                <w:sz w:val="20"/>
                <w:szCs w:val="20"/>
              </w:rPr>
              <w:t>1.790,00</w:t>
            </w:r>
          </w:p>
        </w:tc>
        <w:tc>
          <w:tcPr>
            <w:tcW w:w="1100" w:type="dxa"/>
            <w:tcBorders>
              <w:top w:val="nil"/>
              <w:left w:val="nil"/>
              <w:bottom w:val="nil"/>
              <w:right w:val="nil"/>
            </w:tcBorders>
            <w:shd w:val="clear" w:color="auto" w:fill="auto"/>
            <w:noWrap/>
            <w:vAlign w:val="bottom"/>
            <w:hideMark/>
          </w:tcPr>
          <w:p w14:paraId="4D388AEF" w14:textId="77777777" w:rsidR="00BE6461" w:rsidRPr="00BE6461" w:rsidRDefault="00BE6461" w:rsidP="00BE6461">
            <w:pPr>
              <w:jc w:val="right"/>
              <w:rPr>
                <w:sz w:val="20"/>
                <w:szCs w:val="20"/>
              </w:rPr>
            </w:pPr>
          </w:p>
        </w:tc>
      </w:tr>
      <w:tr w:rsidR="00BE6461" w:rsidRPr="00BE6461" w14:paraId="2C0921C2"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0C72CF1F" w14:textId="77777777" w:rsidR="00BE6461" w:rsidRPr="00BE6461" w:rsidRDefault="00BE6461" w:rsidP="00BE6461">
            <w:pPr>
              <w:rPr>
                <w:b/>
                <w:bCs/>
                <w:sz w:val="20"/>
                <w:szCs w:val="20"/>
              </w:rPr>
            </w:pPr>
            <w:r w:rsidRPr="00BE6461">
              <w:rPr>
                <w:b/>
                <w:bCs/>
                <w:sz w:val="20"/>
                <w:szCs w:val="20"/>
              </w:rPr>
              <w:t>A100060</w:t>
            </w:r>
          </w:p>
        </w:tc>
        <w:tc>
          <w:tcPr>
            <w:tcW w:w="8457" w:type="dxa"/>
            <w:tcBorders>
              <w:top w:val="single" w:sz="4" w:space="0" w:color="auto"/>
              <w:left w:val="nil"/>
              <w:bottom w:val="single" w:sz="4" w:space="0" w:color="auto"/>
              <w:right w:val="nil"/>
            </w:tcBorders>
            <w:shd w:val="clear" w:color="auto" w:fill="auto"/>
            <w:vAlign w:val="bottom"/>
            <w:hideMark/>
          </w:tcPr>
          <w:p w14:paraId="2B8083CC" w14:textId="77777777" w:rsidR="00BE6461" w:rsidRPr="00BE6461" w:rsidRDefault="00BE6461" w:rsidP="00BE6461">
            <w:pPr>
              <w:rPr>
                <w:b/>
                <w:bCs/>
                <w:sz w:val="20"/>
                <w:szCs w:val="20"/>
              </w:rPr>
            </w:pPr>
            <w:r w:rsidRPr="00BE6461">
              <w:rPr>
                <w:b/>
                <w:bCs/>
                <w:sz w:val="20"/>
                <w:szCs w:val="20"/>
              </w:rPr>
              <w:t>Aktivnost: OTPLATA KREDITA</w:t>
            </w:r>
          </w:p>
        </w:tc>
        <w:tc>
          <w:tcPr>
            <w:tcW w:w="1503" w:type="dxa"/>
            <w:tcBorders>
              <w:top w:val="single" w:sz="4" w:space="0" w:color="auto"/>
              <w:left w:val="nil"/>
              <w:bottom w:val="single" w:sz="4" w:space="0" w:color="auto"/>
              <w:right w:val="nil"/>
            </w:tcBorders>
            <w:shd w:val="clear" w:color="auto" w:fill="auto"/>
            <w:noWrap/>
            <w:vAlign w:val="bottom"/>
            <w:hideMark/>
          </w:tcPr>
          <w:p w14:paraId="7C4CF10A" w14:textId="77777777" w:rsidR="00BE6461" w:rsidRPr="00BE6461" w:rsidRDefault="00BE6461" w:rsidP="00BE6461">
            <w:pPr>
              <w:jc w:val="right"/>
              <w:rPr>
                <w:b/>
                <w:bCs/>
                <w:sz w:val="20"/>
                <w:szCs w:val="20"/>
              </w:rPr>
            </w:pPr>
            <w:r w:rsidRPr="00BE6461">
              <w:rPr>
                <w:b/>
                <w:bCs/>
                <w:sz w:val="20"/>
                <w:szCs w:val="20"/>
              </w:rPr>
              <w:t>1.196.000,00</w:t>
            </w:r>
          </w:p>
        </w:tc>
        <w:tc>
          <w:tcPr>
            <w:tcW w:w="1500" w:type="dxa"/>
            <w:tcBorders>
              <w:top w:val="single" w:sz="4" w:space="0" w:color="auto"/>
              <w:left w:val="nil"/>
              <w:bottom w:val="single" w:sz="4" w:space="0" w:color="auto"/>
              <w:right w:val="nil"/>
            </w:tcBorders>
            <w:shd w:val="clear" w:color="auto" w:fill="auto"/>
            <w:noWrap/>
            <w:vAlign w:val="bottom"/>
            <w:hideMark/>
          </w:tcPr>
          <w:p w14:paraId="2EC7F4DC" w14:textId="77777777" w:rsidR="00BE6461" w:rsidRPr="00BE6461" w:rsidRDefault="00BE6461" w:rsidP="00BE6461">
            <w:pPr>
              <w:jc w:val="right"/>
              <w:rPr>
                <w:b/>
                <w:bCs/>
                <w:sz w:val="20"/>
                <w:szCs w:val="20"/>
              </w:rPr>
            </w:pPr>
            <w:r w:rsidRPr="00BE6461">
              <w:rPr>
                <w:b/>
                <w:bCs/>
                <w:sz w:val="20"/>
                <w:szCs w:val="20"/>
              </w:rPr>
              <w:t>1.192.547,47</w:t>
            </w:r>
          </w:p>
        </w:tc>
        <w:tc>
          <w:tcPr>
            <w:tcW w:w="1100" w:type="dxa"/>
            <w:tcBorders>
              <w:top w:val="single" w:sz="4" w:space="0" w:color="auto"/>
              <w:left w:val="nil"/>
              <w:bottom w:val="single" w:sz="4" w:space="0" w:color="auto"/>
              <w:right w:val="nil"/>
            </w:tcBorders>
            <w:shd w:val="clear" w:color="auto" w:fill="auto"/>
            <w:noWrap/>
            <w:vAlign w:val="bottom"/>
            <w:hideMark/>
          </w:tcPr>
          <w:p w14:paraId="480968E0" w14:textId="77777777" w:rsidR="00BE6461" w:rsidRPr="00BE6461" w:rsidRDefault="00BE6461" w:rsidP="00BE6461">
            <w:pPr>
              <w:jc w:val="right"/>
              <w:rPr>
                <w:b/>
                <w:bCs/>
                <w:sz w:val="20"/>
                <w:szCs w:val="20"/>
              </w:rPr>
            </w:pPr>
            <w:r w:rsidRPr="00BE6461">
              <w:rPr>
                <w:b/>
                <w:bCs/>
                <w:sz w:val="20"/>
                <w:szCs w:val="20"/>
              </w:rPr>
              <w:t>99,71</w:t>
            </w:r>
          </w:p>
        </w:tc>
      </w:tr>
      <w:tr w:rsidR="00BE6461" w:rsidRPr="00BE6461" w14:paraId="44CBDDB9"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560D4C8"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1ECFFD89" w14:textId="77777777" w:rsidR="00BE6461" w:rsidRPr="00BE6461" w:rsidRDefault="00BE6461" w:rsidP="00BE6461">
            <w:pPr>
              <w:jc w:val="right"/>
              <w:rPr>
                <w:b/>
                <w:bCs/>
                <w:color w:val="333333"/>
                <w:sz w:val="20"/>
                <w:szCs w:val="20"/>
              </w:rPr>
            </w:pPr>
            <w:r w:rsidRPr="00BE6461">
              <w:rPr>
                <w:b/>
                <w:bCs/>
                <w:color w:val="333333"/>
                <w:sz w:val="20"/>
                <w:szCs w:val="20"/>
              </w:rPr>
              <w:t>384.500,00</w:t>
            </w:r>
          </w:p>
        </w:tc>
        <w:tc>
          <w:tcPr>
            <w:tcW w:w="1500" w:type="dxa"/>
            <w:tcBorders>
              <w:top w:val="nil"/>
              <w:left w:val="nil"/>
              <w:bottom w:val="nil"/>
              <w:right w:val="nil"/>
            </w:tcBorders>
            <w:shd w:val="clear" w:color="auto" w:fill="auto"/>
            <w:noWrap/>
            <w:vAlign w:val="bottom"/>
            <w:hideMark/>
          </w:tcPr>
          <w:p w14:paraId="2C3E346E" w14:textId="77777777" w:rsidR="00BE6461" w:rsidRPr="00BE6461" w:rsidRDefault="00BE6461" w:rsidP="00BE6461">
            <w:pPr>
              <w:jc w:val="right"/>
              <w:rPr>
                <w:b/>
                <w:bCs/>
                <w:color w:val="333333"/>
                <w:sz w:val="20"/>
                <w:szCs w:val="20"/>
              </w:rPr>
            </w:pPr>
            <w:r w:rsidRPr="00BE6461">
              <w:rPr>
                <w:b/>
                <w:bCs/>
                <w:color w:val="333333"/>
                <w:sz w:val="20"/>
                <w:szCs w:val="20"/>
              </w:rPr>
              <w:t>383.369,89</w:t>
            </w:r>
          </w:p>
        </w:tc>
        <w:tc>
          <w:tcPr>
            <w:tcW w:w="1100" w:type="dxa"/>
            <w:tcBorders>
              <w:top w:val="nil"/>
              <w:left w:val="nil"/>
              <w:bottom w:val="nil"/>
              <w:right w:val="nil"/>
            </w:tcBorders>
            <w:shd w:val="clear" w:color="auto" w:fill="auto"/>
            <w:noWrap/>
            <w:vAlign w:val="bottom"/>
            <w:hideMark/>
          </w:tcPr>
          <w:p w14:paraId="696E3A9F" w14:textId="77777777" w:rsidR="00BE6461" w:rsidRPr="00BE6461" w:rsidRDefault="00BE6461" w:rsidP="00BE6461">
            <w:pPr>
              <w:jc w:val="right"/>
              <w:rPr>
                <w:b/>
                <w:bCs/>
                <w:color w:val="333333"/>
                <w:sz w:val="20"/>
                <w:szCs w:val="20"/>
              </w:rPr>
            </w:pPr>
            <w:r w:rsidRPr="00BE6461">
              <w:rPr>
                <w:b/>
                <w:bCs/>
                <w:color w:val="333333"/>
                <w:sz w:val="20"/>
                <w:szCs w:val="20"/>
              </w:rPr>
              <w:t>99,71</w:t>
            </w:r>
          </w:p>
        </w:tc>
      </w:tr>
      <w:tr w:rsidR="00BE6461" w:rsidRPr="00BE6461" w14:paraId="33F27EF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C05D4A0"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66BAF6D5" w14:textId="77777777" w:rsidR="00BE6461" w:rsidRPr="00BE6461" w:rsidRDefault="00BE6461" w:rsidP="00BE6461">
            <w:pPr>
              <w:jc w:val="right"/>
              <w:rPr>
                <w:b/>
                <w:bCs/>
                <w:color w:val="333333"/>
                <w:sz w:val="20"/>
                <w:szCs w:val="20"/>
              </w:rPr>
            </w:pPr>
            <w:r w:rsidRPr="00BE6461">
              <w:rPr>
                <w:b/>
                <w:bCs/>
                <w:color w:val="333333"/>
                <w:sz w:val="20"/>
                <w:szCs w:val="20"/>
              </w:rPr>
              <w:t>384.500,00</w:t>
            </w:r>
          </w:p>
        </w:tc>
        <w:tc>
          <w:tcPr>
            <w:tcW w:w="1500" w:type="dxa"/>
            <w:tcBorders>
              <w:top w:val="nil"/>
              <w:left w:val="nil"/>
              <w:bottom w:val="nil"/>
              <w:right w:val="nil"/>
            </w:tcBorders>
            <w:shd w:val="clear" w:color="auto" w:fill="auto"/>
            <w:noWrap/>
            <w:vAlign w:val="bottom"/>
            <w:hideMark/>
          </w:tcPr>
          <w:p w14:paraId="2D9C3B1F" w14:textId="77777777" w:rsidR="00BE6461" w:rsidRPr="00BE6461" w:rsidRDefault="00BE6461" w:rsidP="00BE6461">
            <w:pPr>
              <w:jc w:val="right"/>
              <w:rPr>
                <w:b/>
                <w:bCs/>
                <w:color w:val="333333"/>
                <w:sz w:val="20"/>
                <w:szCs w:val="20"/>
              </w:rPr>
            </w:pPr>
            <w:r w:rsidRPr="00BE6461">
              <w:rPr>
                <w:b/>
                <w:bCs/>
                <w:color w:val="333333"/>
                <w:sz w:val="20"/>
                <w:szCs w:val="20"/>
              </w:rPr>
              <w:t>383.369,89</w:t>
            </w:r>
          </w:p>
        </w:tc>
        <w:tc>
          <w:tcPr>
            <w:tcW w:w="1100" w:type="dxa"/>
            <w:tcBorders>
              <w:top w:val="nil"/>
              <w:left w:val="nil"/>
              <w:bottom w:val="nil"/>
              <w:right w:val="nil"/>
            </w:tcBorders>
            <w:shd w:val="clear" w:color="auto" w:fill="auto"/>
            <w:noWrap/>
            <w:vAlign w:val="bottom"/>
            <w:hideMark/>
          </w:tcPr>
          <w:p w14:paraId="5D94E3C2" w14:textId="77777777" w:rsidR="00BE6461" w:rsidRPr="00BE6461" w:rsidRDefault="00BE6461" w:rsidP="00BE6461">
            <w:pPr>
              <w:jc w:val="right"/>
              <w:rPr>
                <w:b/>
                <w:bCs/>
                <w:color w:val="333333"/>
                <w:sz w:val="20"/>
                <w:szCs w:val="20"/>
              </w:rPr>
            </w:pPr>
            <w:r w:rsidRPr="00BE6461">
              <w:rPr>
                <w:b/>
                <w:bCs/>
                <w:color w:val="333333"/>
                <w:sz w:val="20"/>
                <w:szCs w:val="20"/>
              </w:rPr>
              <w:t>99,71</w:t>
            </w:r>
          </w:p>
        </w:tc>
      </w:tr>
      <w:tr w:rsidR="00BE6461" w:rsidRPr="00BE6461" w14:paraId="43C7248E" w14:textId="77777777" w:rsidTr="00BE6461">
        <w:trPr>
          <w:trHeight w:val="300"/>
        </w:trPr>
        <w:tc>
          <w:tcPr>
            <w:tcW w:w="1703" w:type="dxa"/>
            <w:tcBorders>
              <w:top w:val="nil"/>
              <w:left w:val="nil"/>
              <w:bottom w:val="nil"/>
              <w:right w:val="nil"/>
            </w:tcBorders>
            <w:shd w:val="clear" w:color="auto" w:fill="auto"/>
            <w:noWrap/>
            <w:vAlign w:val="bottom"/>
            <w:hideMark/>
          </w:tcPr>
          <w:p w14:paraId="78FD9C60" w14:textId="77777777" w:rsidR="00BE6461" w:rsidRPr="00BE6461" w:rsidRDefault="00BE6461" w:rsidP="00BE6461">
            <w:pPr>
              <w:rPr>
                <w:b/>
                <w:bCs/>
                <w:sz w:val="20"/>
                <w:szCs w:val="20"/>
              </w:rPr>
            </w:pPr>
            <w:r w:rsidRPr="00BE6461">
              <w:rPr>
                <w:b/>
                <w:bCs/>
                <w:sz w:val="20"/>
                <w:szCs w:val="20"/>
              </w:rPr>
              <w:t>342</w:t>
            </w:r>
          </w:p>
        </w:tc>
        <w:tc>
          <w:tcPr>
            <w:tcW w:w="8457" w:type="dxa"/>
            <w:tcBorders>
              <w:top w:val="nil"/>
              <w:left w:val="nil"/>
              <w:bottom w:val="nil"/>
              <w:right w:val="nil"/>
            </w:tcBorders>
            <w:shd w:val="clear" w:color="auto" w:fill="auto"/>
            <w:vAlign w:val="bottom"/>
            <w:hideMark/>
          </w:tcPr>
          <w:p w14:paraId="3464F621" w14:textId="77777777" w:rsidR="00BE6461" w:rsidRPr="00BE6461" w:rsidRDefault="00BE6461" w:rsidP="00BE6461">
            <w:pPr>
              <w:rPr>
                <w:b/>
                <w:bCs/>
                <w:sz w:val="20"/>
                <w:szCs w:val="20"/>
              </w:rPr>
            </w:pPr>
            <w:r w:rsidRPr="00BE6461">
              <w:rPr>
                <w:b/>
                <w:bCs/>
                <w:sz w:val="20"/>
                <w:szCs w:val="20"/>
              </w:rPr>
              <w:t xml:space="preserve">Kamate za primljene kredite i zajmove                                                               </w:t>
            </w:r>
          </w:p>
        </w:tc>
        <w:tc>
          <w:tcPr>
            <w:tcW w:w="1503" w:type="dxa"/>
            <w:tcBorders>
              <w:top w:val="nil"/>
              <w:left w:val="nil"/>
              <w:bottom w:val="nil"/>
              <w:right w:val="nil"/>
            </w:tcBorders>
            <w:shd w:val="clear" w:color="auto" w:fill="auto"/>
            <w:noWrap/>
            <w:vAlign w:val="bottom"/>
            <w:hideMark/>
          </w:tcPr>
          <w:p w14:paraId="20430F28" w14:textId="77777777" w:rsidR="00BE6461" w:rsidRPr="00BE6461" w:rsidRDefault="00BE6461" w:rsidP="00BE6461">
            <w:pPr>
              <w:jc w:val="right"/>
              <w:rPr>
                <w:b/>
                <w:bCs/>
                <w:sz w:val="20"/>
                <w:szCs w:val="20"/>
              </w:rPr>
            </w:pPr>
            <w:r w:rsidRPr="00BE6461">
              <w:rPr>
                <w:b/>
                <w:bCs/>
                <w:sz w:val="20"/>
                <w:szCs w:val="20"/>
              </w:rPr>
              <w:t>64.500,00</w:t>
            </w:r>
          </w:p>
        </w:tc>
        <w:tc>
          <w:tcPr>
            <w:tcW w:w="1500" w:type="dxa"/>
            <w:tcBorders>
              <w:top w:val="nil"/>
              <w:left w:val="nil"/>
              <w:bottom w:val="nil"/>
              <w:right w:val="nil"/>
            </w:tcBorders>
            <w:shd w:val="clear" w:color="auto" w:fill="auto"/>
            <w:noWrap/>
            <w:vAlign w:val="bottom"/>
            <w:hideMark/>
          </w:tcPr>
          <w:p w14:paraId="47A929BA" w14:textId="77777777" w:rsidR="00BE6461" w:rsidRPr="00BE6461" w:rsidRDefault="00BE6461" w:rsidP="00BE6461">
            <w:pPr>
              <w:jc w:val="right"/>
              <w:rPr>
                <w:b/>
                <w:bCs/>
                <w:sz w:val="20"/>
                <w:szCs w:val="20"/>
              </w:rPr>
            </w:pPr>
            <w:r w:rsidRPr="00BE6461">
              <w:rPr>
                <w:b/>
                <w:bCs/>
                <w:sz w:val="20"/>
                <w:szCs w:val="20"/>
              </w:rPr>
              <w:t>64.020,17</w:t>
            </w:r>
          </w:p>
        </w:tc>
        <w:tc>
          <w:tcPr>
            <w:tcW w:w="1100" w:type="dxa"/>
            <w:tcBorders>
              <w:top w:val="nil"/>
              <w:left w:val="nil"/>
              <w:bottom w:val="nil"/>
              <w:right w:val="nil"/>
            </w:tcBorders>
            <w:shd w:val="clear" w:color="auto" w:fill="auto"/>
            <w:noWrap/>
            <w:vAlign w:val="bottom"/>
            <w:hideMark/>
          </w:tcPr>
          <w:p w14:paraId="3FB2A740" w14:textId="77777777" w:rsidR="00BE6461" w:rsidRPr="00BE6461" w:rsidRDefault="00BE6461" w:rsidP="00BE6461">
            <w:pPr>
              <w:jc w:val="right"/>
              <w:rPr>
                <w:b/>
                <w:bCs/>
                <w:sz w:val="20"/>
                <w:szCs w:val="20"/>
              </w:rPr>
            </w:pPr>
            <w:r w:rsidRPr="00BE6461">
              <w:rPr>
                <w:b/>
                <w:bCs/>
                <w:sz w:val="20"/>
                <w:szCs w:val="20"/>
              </w:rPr>
              <w:t>99,26</w:t>
            </w:r>
          </w:p>
        </w:tc>
      </w:tr>
      <w:tr w:rsidR="00BE6461" w:rsidRPr="00BE6461" w14:paraId="513347F2" w14:textId="77777777" w:rsidTr="00BE6461">
        <w:trPr>
          <w:trHeight w:val="525"/>
        </w:trPr>
        <w:tc>
          <w:tcPr>
            <w:tcW w:w="1703" w:type="dxa"/>
            <w:tcBorders>
              <w:top w:val="nil"/>
              <w:left w:val="nil"/>
              <w:bottom w:val="nil"/>
              <w:right w:val="nil"/>
            </w:tcBorders>
            <w:shd w:val="clear" w:color="auto" w:fill="auto"/>
            <w:noWrap/>
            <w:vAlign w:val="bottom"/>
            <w:hideMark/>
          </w:tcPr>
          <w:p w14:paraId="49D2416A" w14:textId="77777777" w:rsidR="00BE6461" w:rsidRPr="00BE6461" w:rsidRDefault="00BE6461" w:rsidP="00BE6461">
            <w:pPr>
              <w:rPr>
                <w:sz w:val="20"/>
                <w:szCs w:val="20"/>
              </w:rPr>
            </w:pPr>
            <w:r w:rsidRPr="00BE6461">
              <w:rPr>
                <w:sz w:val="20"/>
                <w:szCs w:val="20"/>
              </w:rPr>
              <w:t>3422</w:t>
            </w:r>
          </w:p>
        </w:tc>
        <w:tc>
          <w:tcPr>
            <w:tcW w:w="8457" w:type="dxa"/>
            <w:tcBorders>
              <w:top w:val="nil"/>
              <w:left w:val="nil"/>
              <w:bottom w:val="nil"/>
              <w:right w:val="nil"/>
            </w:tcBorders>
            <w:shd w:val="clear" w:color="auto" w:fill="auto"/>
            <w:vAlign w:val="bottom"/>
            <w:hideMark/>
          </w:tcPr>
          <w:p w14:paraId="22245394" w14:textId="77777777" w:rsidR="00BE6461" w:rsidRPr="00BE6461" w:rsidRDefault="00BE6461" w:rsidP="00BE6461">
            <w:pPr>
              <w:rPr>
                <w:sz w:val="20"/>
                <w:szCs w:val="20"/>
              </w:rPr>
            </w:pPr>
            <w:r w:rsidRPr="00BE6461">
              <w:rPr>
                <w:sz w:val="20"/>
                <w:szCs w:val="20"/>
              </w:rPr>
              <w:t>Kamate za primljene kredite i zajmove od kreditnih i ostalih financijskih institucija u javnom sekto</w:t>
            </w:r>
          </w:p>
        </w:tc>
        <w:tc>
          <w:tcPr>
            <w:tcW w:w="1503" w:type="dxa"/>
            <w:tcBorders>
              <w:top w:val="nil"/>
              <w:left w:val="nil"/>
              <w:bottom w:val="nil"/>
              <w:right w:val="nil"/>
            </w:tcBorders>
            <w:shd w:val="clear" w:color="auto" w:fill="auto"/>
            <w:noWrap/>
            <w:vAlign w:val="bottom"/>
            <w:hideMark/>
          </w:tcPr>
          <w:p w14:paraId="66A726F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58E8F2C" w14:textId="77777777" w:rsidR="00BE6461" w:rsidRPr="00BE6461" w:rsidRDefault="00BE6461" w:rsidP="00BE6461">
            <w:pPr>
              <w:jc w:val="right"/>
              <w:rPr>
                <w:sz w:val="20"/>
                <w:szCs w:val="20"/>
              </w:rPr>
            </w:pPr>
            <w:r w:rsidRPr="00BE6461">
              <w:rPr>
                <w:sz w:val="20"/>
                <w:szCs w:val="20"/>
              </w:rPr>
              <w:t>7.532,62</w:t>
            </w:r>
          </w:p>
        </w:tc>
        <w:tc>
          <w:tcPr>
            <w:tcW w:w="1100" w:type="dxa"/>
            <w:tcBorders>
              <w:top w:val="nil"/>
              <w:left w:val="nil"/>
              <w:bottom w:val="nil"/>
              <w:right w:val="nil"/>
            </w:tcBorders>
            <w:shd w:val="clear" w:color="auto" w:fill="auto"/>
            <w:noWrap/>
            <w:vAlign w:val="bottom"/>
            <w:hideMark/>
          </w:tcPr>
          <w:p w14:paraId="391762BA" w14:textId="77777777" w:rsidR="00BE6461" w:rsidRPr="00BE6461" w:rsidRDefault="00BE6461" w:rsidP="00BE6461">
            <w:pPr>
              <w:jc w:val="right"/>
              <w:rPr>
                <w:sz w:val="20"/>
                <w:szCs w:val="20"/>
              </w:rPr>
            </w:pPr>
          </w:p>
        </w:tc>
      </w:tr>
      <w:tr w:rsidR="00BE6461" w:rsidRPr="00BE6461" w14:paraId="3FC1A5DE" w14:textId="77777777" w:rsidTr="00BE6461">
        <w:trPr>
          <w:trHeight w:val="525"/>
        </w:trPr>
        <w:tc>
          <w:tcPr>
            <w:tcW w:w="1703" w:type="dxa"/>
            <w:tcBorders>
              <w:top w:val="nil"/>
              <w:left w:val="nil"/>
              <w:bottom w:val="nil"/>
              <w:right w:val="nil"/>
            </w:tcBorders>
            <w:shd w:val="clear" w:color="auto" w:fill="auto"/>
            <w:noWrap/>
            <w:vAlign w:val="bottom"/>
            <w:hideMark/>
          </w:tcPr>
          <w:p w14:paraId="375BE89B" w14:textId="77777777" w:rsidR="00BE6461" w:rsidRPr="00BE6461" w:rsidRDefault="00BE6461" w:rsidP="00BE6461">
            <w:pPr>
              <w:rPr>
                <w:sz w:val="20"/>
                <w:szCs w:val="20"/>
              </w:rPr>
            </w:pPr>
            <w:r w:rsidRPr="00BE6461">
              <w:rPr>
                <w:sz w:val="20"/>
                <w:szCs w:val="20"/>
              </w:rPr>
              <w:t>3423</w:t>
            </w:r>
          </w:p>
        </w:tc>
        <w:tc>
          <w:tcPr>
            <w:tcW w:w="8457" w:type="dxa"/>
            <w:tcBorders>
              <w:top w:val="nil"/>
              <w:left w:val="nil"/>
              <w:bottom w:val="nil"/>
              <w:right w:val="nil"/>
            </w:tcBorders>
            <w:shd w:val="clear" w:color="auto" w:fill="auto"/>
            <w:vAlign w:val="bottom"/>
            <w:hideMark/>
          </w:tcPr>
          <w:p w14:paraId="5BF7460B" w14:textId="77777777" w:rsidR="00BE6461" w:rsidRPr="00BE6461" w:rsidRDefault="00BE6461" w:rsidP="00BE6461">
            <w:pPr>
              <w:rPr>
                <w:sz w:val="20"/>
                <w:szCs w:val="20"/>
              </w:rPr>
            </w:pPr>
            <w:r w:rsidRPr="00BE6461">
              <w:rPr>
                <w:sz w:val="20"/>
                <w:szCs w:val="20"/>
              </w:rPr>
              <w:t>Kamate za primljene kredite i zajmove od kreditnih i ostalih financijskih institucija izvan javnog s</w:t>
            </w:r>
          </w:p>
        </w:tc>
        <w:tc>
          <w:tcPr>
            <w:tcW w:w="1503" w:type="dxa"/>
            <w:tcBorders>
              <w:top w:val="nil"/>
              <w:left w:val="nil"/>
              <w:bottom w:val="nil"/>
              <w:right w:val="nil"/>
            </w:tcBorders>
            <w:shd w:val="clear" w:color="auto" w:fill="auto"/>
            <w:noWrap/>
            <w:vAlign w:val="bottom"/>
            <w:hideMark/>
          </w:tcPr>
          <w:p w14:paraId="3846F5A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549EEF8" w14:textId="77777777" w:rsidR="00BE6461" w:rsidRPr="00BE6461" w:rsidRDefault="00BE6461" w:rsidP="00BE6461">
            <w:pPr>
              <w:jc w:val="right"/>
              <w:rPr>
                <w:sz w:val="20"/>
                <w:szCs w:val="20"/>
              </w:rPr>
            </w:pPr>
            <w:r w:rsidRPr="00BE6461">
              <w:rPr>
                <w:sz w:val="20"/>
                <w:szCs w:val="20"/>
              </w:rPr>
              <w:t>56.487,55</w:t>
            </w:r>
          </w:p>
        </w:tc>
        <w:tc>
          <w:tcPr>
            <w:tcW w:w="1100" w:type="dxa"/>
            <w:tcBorders>
              <w:top w:val="nil"/>
              <w:left w:val="nil"/>
              <w:bottom w:val="nil"/>
              <w:right w:val="nil"/>
            </w:tcBorders>
            <w:shd w:val="clear" w:color="auto" w:fill="auto"/>
            <w:noWrap/>
            <w:vAlign w:val="bottom"/>
            <w:hideMark/>
          </w:tcPr>
          <w:p w14:paraId="50614C87" w14:textId="77777777" w:rsidR="00BE6461" w:rsidRPr="00BE6461" w:rsidRDefault="00BE6461" w:rsidP="00BE6461">
            <w:pPr>
              <w:jc w:val="right"/>
              <w:rPr>
                <w:sz w:val="20"/>
                <w:szCs w:val="20"/>
              </w:rPr>
            </w:pPr>
          </w:p>
        </w:tc>
      </w:tr>
      <w:tr w:rsidR="00BE6461" w:rsidRPr="00BE6461" w14:paraId="5465940B" w14:textId="77777777" w:rsidTr="00BE6461">
        <w:trPr>
          <w:trHeight w:val="300"/>
        </w:trPr>
        <w:tc>
          <w:tcPr>
            <w:tcW w:w="1703" w:type="dxa"/>
            <w:tcBorders>
              <w:top w:val="nil"/>
              <w:left w:val="nil"/>
              <w:bottom w:val="nil"/>
              <w:right w:val="nil"/>
            </w:tcBorders>
            <w:shd w:val="clear" w:color="auto" w:fill="auto"/>
            <w:noWrap/>
            <w:vAlign w:val="bottom"/>
            <w:hideMark/>
          </w:tcPr>
          <w:p w14:paraId="030512CA" w14:textId="77777777" w:rsidR="00BE6461" w:rsidRPr="00BE6461" w:rsidRDefault="00BE6461" w:rsidP="00BE6461">
            <w:pPr>
              <w:rPr>
                <w:b/>
                <w:bCs/>
                <w:sz w:val="20"/>
                <w:szCs w:val="20"/>
              </w:rPr>
            </w:pPr>
            <w:r w:rsidRPr="00BE6461">
              <w:rPr>
                <w:b/>
                <w:bCs/>
                <w:sz w:val="20"/>
                <w:szCs w:val="20"/>
              </w:rPr>
              <w:t>547</w:t>
            </w:r>
          </w:p>
        </w:tc>
        <w:tc>
          <w:tcPr>
            <w:tcW w:w="8457" w:type="dxa"/>
            <w:tcBorders>
              <w:top w:val="nil"/>
              <w:left w:val="nil"/>
              <w:bottom w:val="nil"/>
              <w:right w:val="nil"/>
            </w:tcBorders>
            <w:shd w:val="clear" w:color="auto" w:fill="auto"/>
            <w:vAlign w:val="bottom"/>
            <w:hideMark/>
          </w:tcPr>
          <w:p w14:paraId="74AE7A64" w14:textId="77777777" w:rsidR="00BE6461" w:rsidRPr="00BE6461" w:rsidRDefault="00BE6461" w:rsidP="00BE6461">
            <w:pPr>
              <w:rPr>
                <w:b/>
                <w:bCs/>
                <w:sz w:val="20"/>
                <w:szCs w:val="20"/>
              </w:rPr>
            </w:pPr>
            <w:r w:rsidRPr="00BE6461">
              <w:rPr>
                <w:b/>
                <w:bCs/>
                <w:sz w:val="20"/>
                <w:szCs w:val="20"/>
              </w:rPr>
              <w:t xml:space="preserve">Otplata glavnice primljenih zajmova od drugih razina vlasti                                         </w:t>
            </w:r>
          </w:p>
        </w:tc>
        <w:tc>
          <w:tcPr>
            <w:tcW w:w="1503" w:type="dxa"/>
            <w:tcBorders>
              <w:top w:val="nil"/>
              <w:left w:val="nil"/>
              <w:bottom w:val="nil"/>
              <w:right w:val="nil"/>
            </w:tcBorders>
            <w:shd w:val="clear" w:color="auto" w:fill="auto"/>
            <w:noWrap/>
            <w:vAlign w:val="bottom"/>
            <w:hideMark/>
          </w:tcPr>
          <w:p w14:paraId="649A3235" w14:textId="77777777" w:rsidR="00BE6461" w:rsidRPr="00BE6461" w:rsidRDefault="00BE6461" w:rsidP="00BE6461">
            <w:pPr>
              <w:jc w:val="right"/>
              <w:rPr>
                <w:b/>
                <w:bCs/>
                <w:sz w:val="20"/>
                <w:szCs w:val="20"/>
              </w:rPr>
            </w:pPr>
            <w:r w:rsidRPr="00BE6461">
              <w:rPr>
                <w:b/>
                <w:bCs/>
                <w:sz w:val="20"/>
                <w:szCs w:val="20"/>
              </w:rPr>
              <w:t>320.000,00</w:t>
            </w:r>
          </w:p>
        </w:tc>
        <w:tc>
          <w:tcPr>
            <w:tcW w:w="1500" w:type="dxa"/>
            <w:tcBorders>
              <w:top w:val="nil"/>
              <w:left w:val="nil"/>
              <w:bottom w:val="nil"/>
              <w:right w:val="nil"/>
            </w:tcBorders>
            <w:shd w:val="clear" w:color="auto" w:fill="auto"/>
            <w:noWrap/>
            <w:vAlign w:val="bottom"/>
            <w:hideMark/>
          </w:tcPr>
          <w:p w14:paraId="0A8510F8" w14:textId="77777777" w:rsidR="00BE6461" w:rsidRPr="00BE6461" w:rsidRDefault="00BE6461" w:rsidP="00BE6461">
            <w:pPr>
              <w:jc w:val="right"/>
              <w:rPr>
                <w:b/>
                <w:bCs/>
                <w:sz w:val="20"/>
                <w:szCs w:val="20"/>
              </w:rPr>
            </w:pPr>
            <w:r w:rsidRPr="00BE6461">
              <w:rPr>
                <w:b/>
                <w:bCs/>
                <w:sz w:val="20"/>
                <w:szCs w:val="20"/>
              </w:rPr>
              <w:t>319.349,72</w:t>
            </w:r>
          </w:p>
        </w:tc>
        <w:tc>
          <w:tcPr>
            <w:tcW w:w="1100" w:type="dxa"/>
            <w:tcBorders>
              <w:top w:val="nil"/>
              <w:left w:val="nil"/>
              <w:bottom w:val="nil"/>
              <w:right w:val="nil"/>
            </w:tcBorders>
            <w:shd w:val="clear" w:color="auto" w:fill="auto"/>
            <w:noWrap/>
            <w:vAlign w:val="bottom"/>
            <w:hideMark/>
          </w:tcPr>
          <w:p w14:paraId="2DE8BB48" w14:textId="77777777" w:rsidR="00BE6461" w:rsidRPr="00BE6461" w:rsidRDefault="00BE6461" w:rsidP="00BE6461">
            <w:pPr>
              <w:jc w:val="right"/>
              <w:rPr>
                <w:b/>
                <w:bCs/>
                <w:sz w:val="20"/>
                <w:szCs w:val="20"/>
              </w:rPr>
            </w:pPr>
            <w:r w:rsidRPr="00BE6461">
              <w:rPr>
                <w:b/>
                <w:bCs/>
                <w:sz w:val="20"/>
                <w:szCs w:val="20"/>
              </w:rPr>
              <w:t>99,80</w:t>
            </w:r>
          </w:p>
        </w:tc>
      </w:tr>
      <w:tr w:rsidR="00BE6461" w:rsidRPr="00BE6461" w14:paraId="3ECB1550" w14:textId="77777777" w:rsidTr="00BE6461">
        <w:trPr>
          <w:trHeight w:val="300"/>
        </w:trPr>
        <w:tc>
          <w:tcPr>
            <w:tcW w:w="1703" w:type="dxa"/>
            <w:tcBorders>
              <w:top w:val="nil"/>
              <w:left w:val="nil"/>
              <w:bottom w:val="nil"/>
              <w:right w:val="nil"/>
            </w:tcBorders>
            <w:shd w:val="clear" w:color="auto" w:fill="auto"/>
            <w:noWrap/>
            <w:vAlign w:val="bottom"/>
            <w:hideMark/>
          </w:tcPr>
          <w:p w14:paraId="57ED507F" w14:textId="77777777" w:rsidR="00BE6461" w:rsidRPr="00BE6461" w:rsidRDefault="00BE6461" w:rsidP="00BE6461">
            <w:pPr>
              <w:rPr>
                <w:sz w:val="20"/>
                <w:szCs w:val="20"/>
              </w:rPr>
            </w:pPr>
            <w:r w:rsidRPr="00BE6461">
              <w:rPr>
                <w:sz w:val="20"/>
                <w:szCs w:val="20"/>
              </w:rPr>
              <w:t>5471</w:t>
            </w:r>
          </w:p>
        </w:tc>
        <w:tc>
          <w:tcPr>
            <w:tcW w:w="8457" w:type="dxa"/>
            <w:tcBorders>
              <w:top w:val="nil"/>
              <w:left w:val="nil"/>
              <w:bottom w:val="nil"/>
              <w:right w:val="nil"/>
            </w:tcBorders>
            <w:shd w:val="clear" w:color="auto" w:fill="auto"/>
            <w:vAlign w:val="bottom"/>
            <w:hideMark/>
          </w:tcPr>
          <w:p w14:paraId="4636048F" w14:textId="77777777" w:rsidR="00BE6461" w:rsidRPr="00BE6461" w:rsidRDefault="00BE6461" w:rsidP="00BE6461">
            <w:pPr>
              <w:rPr>
                <w:sz w:val="20"/>
                <w:szCs w:val="20"/>
              </w:rPr>
            </w:pPr>
            <w:r w:rsidRPr="00BE6461">
              <w:rPr>
                <w:sz w:val="20"/>
                <w:szCs w:val="20"/>
              </w:rPr>
              <w:t xml:space="preserve">Otplata glavnice primljenih zajmova od državnog proračuna                                           </w:t>
            </w:r>
          </w:p>
        </w:tc>
        <w:tc>
          <w:tcPr>
            <w:tcW w:w="1503" w:type="dxa"/>
            <w:tcBorders>
              <w:top w:val="nil"/>
              <w:left w:val="nil"/>
              <w:bottom w:val="nil"/>
              <w:right w:val="nil"/>
            </w:tcBorders>
            <w:shd w:val="clear" w:color="auto" w:fill="auto"/>
            <w:noWrap/>
            <w:vAlign w:val="bottom"/>
            <w:hideMark/>
          </w:tcPr>
          <w:p w14:paraId="2159B56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991B10D" w14:textId="77777777" w:rsidR="00BE6461" w:rsidRPr="00BE6461" w:rsidRDefault="00BE6461" w:rsidP="00BE6461">
            <w:pPr>
              <w:jc w:val="right"/>
              <w:rPr>
                <w:sz w:val="20"/>
                <w:szCs w:val="20"/>
              </w:rPr>
            </w:pPr>
            <w:r w:rsidRPr="00BE6461">
              <w:rPr>
                <w:sz w:val="20"/>
                <w:szCs w:val="20"/>
              </w:rPr>
              <w:t>319.349,72</w:t>
            </w:r>
          </w:p>
        </w:tc>
        <w:tc>
          <w:tcPr>
            <w:tcW w:w="1100" w:type="dxa"/>
            <w:tcBorders>
              <w:top w:val="nil"/>
              <w:left w:val="nil"/>
              <w:bottom w:val="nil"/>
              <w:right w:val="nil"/>
            </w:tcBorders>
            <w:shd w:val="clear" w:color="auto" w:fill="auto"/>
            <w:noWrap/>
            <w:vAlign w:val="bottom"/>
            <w:hideMark/>
          </w:tcPr>
          <w:p w14:paraId="3541F7C5" w14:textId="77777777" w:rsidR="00BE6461" w:rsidRPr="00BE6461" w:rsidRDefault="00BE6461" w:rsidP="00BE6461">
            <w:pPr>
              <w:jc w:val="right"/>
              <w:rPr>
                <w:sz w:val="20"/>
                <w:szCs w:val="20"/>
              </w:rPr>
            </w:pPr>
          </w:p>
        </w:tc>
      </w:tr>
      <w:tr w:rsidR="00BE6461" w:rsidRPr="00BE6461" w14:paraId="464E01A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FFD6240" w14:textId="77777777" w:rsidR="00BE6461" w:rsidRPr="00BE6461" w:rsidRDefault="00BE6461" w:rsidP="00BE6461">
            <w:pPr>
              <w:rPr>
                <w:b/>
                <w:bCs/>
                <w:color w:val="333333"/>
                <w:sz w:val="20"/>
                <w:szCs w:val="20"/>
              </w:rPr>
            </w:pPr>
            <w:r w:rsidRPr="00BE6461">
              <w:rPr>
                <w:b/>
                <w:bCs/>
                <w:color w:val="333333"/>
                <w:sz w:val="20"/>
                <w:szCs w:val="20"/>
              </w:rPr>
              <w:t>Izvor 7. PRIHODI OD NEFIN.IMOVINE I NADOKNADE ŠTETA OD OSIG.</w:t>
            </w:r>
          </w:p>
        </w:tc>
        <w:tc>
          <w:tcPr>
            <w:tcW w:w="1503" w:type="dxa"/>
            <w:tcBorders>
              <w:top w:val="nil"/>
              <w:left w:val="nil"/>
              <w:bottom w:val="nil"/>
              <w:right w:val="nil"/>
            </w:tcBorders>
            <w:shd w:val="clear" w:color="auto" w:fill="auto"/>
            <w:noWrap/>
            <w:vAlign w:val="bottom"/>
            <w:hideMark/>
          </w:tcPr>
          <w:p w14:paraId="06AEEFF8" w14:textId="77777777" w:rsidR="00BE6461" w:rsidRPr="00BE6461" w:rsidRDefault="00BE6461" w:rsidP="00BE6461">
            <w:pPr>
              <w:jc w:val="right"/>
              <w:rPr>
                <w:b/>
                <w:bCs/>
                <w:color w:val="333333"/>
                <w:sz w:val="20"/>
                <w:szCs w:val="20"/>
              </w:rPr>
            </w:pPr>
            <w:r w:rsidRPr="00BE6461">
              <w:rPr>
                <w:b/>
                <w:bCs/>
                <w:color w:val="333333"/>
                <w:sz w:val="20"/>
                <w:szCs w:val="20"/>
              </w:rPr>
              <w:t>811.500,00</w:t>
            </w:r>
          </w:p>
        </w:tc>
        <w:tc>
          <w:tcPr>
            <w:tcW w:w="1500" w:type="dxa"/>
            <w:tcBorders>
              <w:top w:val="nil"/>
              <w:left w:val="nil"/>
              <w:bottom w:val="nil"/>
              <w:right w:val="nil"/>
            </w:tcBorders>
            <w:shd w:val="clear" w:color="auto" w:fill="auto"/>
            <w:noWrap/>
            <w:vAlign w:val="bottom"/>
            <w:hideMark/>
          </w:tcPr>
          <w:p w14:paraId="0038B1D9" w14:textId="77777777" w:rsidR="00BE6461" w:rsidRPr="00BE6461" w:rsidRDefault="00BE6461" w:rsidP="00BE6461">
            <w:pPr>
              <w:jc w:val="right"/>
              <w:rPr>
                <w:b/>
                <w:bCs/>
                <w:color w:val="333333"/>
                <w:sz w:val="20"/>
                <w:szCs w:val="20"/>
              </w:rPr>
            </w:pPr>
            <w:r w:rsidRPr="00BE6461">
              <w:rPr>
                <w:b/>
                <w:bCs/>
                <w:color w:val="333333"/>
                <w:sz w:val="20"/>
                <w:szCs w:val="20"/>
              </w:rPr>
              <w:t>809.177,58</w:t>
            </w:r>
          </w:p>
        </w:tc>
        <w:tc>
          <w:tcPr>
            <w:tcW w:w="1100" w:type="dxa"/>
            <w:tcBorders>
              <w:top w:val="nil"/>
              <w:left w:val="nil"/>
              <w:bottom w:val="nil"/>
              <w:right w:val="nil"/>
            </w:tcBorders>
            <w:shd w:val="clear" w:color="auto" w:fill="auto"/>
            <w:noWrap/>
            <w:vAlign w:val="bottom"/>
            <w:hideMark/>
          </w:tcPr>
          <w:p w14:paraId="1A0B8084" w14:textId="77777777" w:rsidR="00BE6461" w:rsidRPr="00BE6461" w:rsidRDefault="00BE6461" w:rsidP="00BE6461">
            <w:pPr>
              <w:jc w:val="right"/>
              <w:rPr>
                <w:b/>
                <w:bCs/>
                <w:color w:val="333333"/>
                <w:sz w:val="20"/>
                <w:szCs w:val="20"/>
              </w:rPr>
            </w:pPr>
            <w:r w:rsidRPr="00BE6461">
              <w:rPr>
                <w:b/>
                <w:bCs/>
                <w:color w:val="333333"/>
                <w:sz w:val="20"/>
                <w:szCs w:val="20"/>
              </w:rPr>
              <w:t>99,71</w:t>
            </w:r>
          </w:p>
        </w:tc>
      </w:tr>
      <w:tr w:rsidR="00BE6461" w:rsidRPr="00BE6461" w14:paraId="5BEA982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9A22044" w14:textId="77777777" w:rsidR="00BE6461" w:rsidRPr="00BE6461" w:rsidRDefault="00BE6461" w:rsidP="00BE6461">
            <w:pPr>
              <w:rPr>
                <w:b/>
                <w:bCs/>
                <w:color w:val="333333"/>
                <w:sz w:val="20"/>
                <w:szCs w:val="20"/>
              </w:rPr>
            </w:pPr>
            <w:r w:rsidRPr="00BE6461">
              <w:rPr>
                <w:b/>
                <w:bCs/>
                <w:color w:val="333333"/>
                <w:sz w:val="20"/>
                <w:szCs w:val="20"/>
              </w:rPr>
              <w:t>Izvor 7.1. PRIHODI OD NEFIN.IMOVINE I NADOKNADE ŠTETA OD OSIG.</w:t>
            </w:r>
          </w:p>
        </w:tc>
        <w:tc>
          <w:tcPr>
            <w:tcW w:w="1503" w:type="dxa"/>
            <w:tcBorders>
              <w:top w:val="nil"/>
              <w:left w:val="nil"/>
              <w:bottom w:val="nil"/>
              <w:right w:val="nil"/>
            </w:tcBorders>
            <w:shd w:val="clear" w:color="auto" w:fill="auto"/>
            <w:noWrap/>
            <w:vAlign w:val="bottom"/>
            <w:hideMark/>
          </w:tcPr>
          <w:p w14:paraId="1BBCB064" w14:textId="77777777" w:rsidR="00BE6461" w:rsidRPr="00BE6461" w:rsidRDefault="00BE6461" w:rsidP="00BE6461">
            <w:pPr>
              <w:jc w:val="right"/>
              <w:rPr>
                <w:b/>
                <w:bCs/>
                <w:color w:val="333333"/>
                <w:sz w:val="20"/>
                <w:szCs w:val="20"/>
              </w:rPr>
            </w:pPr>
            <w:r w:rsidRPr="00BE6461">
              <w:rPr>
                <w:b/>
                <w:bCs/>
                <w:color w:val="333333"/>
                <w:sz w:val="20"/>
                <w:szCs w:val="20"/>
              </w:rPr>
              <w:t>811.500,00</w:t>
            </w:r>
          </w:p>
        </w:tc>
        <w:tc>
          <w:tcPr>
            <w:tcW w:w="1500" w:type="dxa"/>
            <w:tcBorders>
              <w:top w:val="nil"/>
              <w:left w:val="nil"/>
              <w:bottom w:val="nil"/>
              <w:right w:val="nil"/>
            </w:tcBorders>
            <w:shd w:val="clear" w:color="auto" w:fill="auto"/>
            <w:noWrap/>
            <w:vAlign w:val="bottom"/>
            <w:hideMark/>
          </w:tcPr>
          <w:p w14:paraId="30C79E15" w14:textId="77777777" w:rsidR="00BE6461" w:rsidRPr="00BE6461" w:rsidRDefault="00BE6461" w:rsidP="00BE6461">
            <w:pPr>
              <w:jc w:val="right"/>
              <w:rPr>
                <w:b/>
                <w:bCs/>
                <w:color w:val="333333"/>
                <w:sz w:val="20"/>
                <w:szCs w:val="20"/>
              </w:rPr>
            </w:pPr>
            <w:r w:rsidRPr="00BE6461">
              <w:rPr>
                <w:b/>
                <w:bCs/>
                <w:color w:val="333333"/>
                <w:sz w:val="20"/>
                <w:szCs w:val="20"/>
              </w:rPr>
              <w:t>809.177,58</w:t>
            </w:r>
          </w:p>
        </w:tc>
        <w:tc>
          <w:tcPr>
            <w:tcW w:w="1100" w:type="dxa"/>
            <w:tcBorders>
              <w:top w:val="nil"/>
              <w:left w:val="nil"/>
              <w:bottom w:val="nil"/>
              <w:right w:val="nil"/>
            </w:tcBorders>
            <w:shd w:val="clear" w:color="auto" w:fill="auto"/>
            <w:noWrap/>
            <w:vAlign w:val="bottom"/>
            <w:hideMark/>
          </w:tcPr>
          <w:p w14:paraId="7508567B" w14:textId="77777777" w:rsidR="00BE6461" w:rsidRPr="00BE6461" w:rsidRDefault="00BE6461" w:rsidP="00BE6461">
            <w:pPr>
              <w:jc w:val="right"/>
              <w:rPr>
                <w:b/>
                <w:bCs/>
                <w:color w:val="333333"/>
                <w:sz w:val="20"/>
                <w:szCs w:val="20"/>
              </w:rPr>
            </w:pPr>
            <w:r w:rsidRPr="00BE6461">
              <w:rPr>
                <w:b/>
                <w:bCs/>
                <w:color w:val="333333"/>
                <w:sz w:val="20"/>
                <w:szCs w:val="20"/>
              </w:rPr>
              <w:t>99,71</w:t>
            </w:r>
          </w:p>
        </w:tc>
      </w:tr>
      <w:tr w:rsidR="00BE6461" w:rsidRPr="00BE6461" w14:paraId="6B7DF571" w14:textId="77777777" w:rsidTr="00BE6461">
        <w:trPr>
          <w:trHeight w:val="525"/>
        </w:trPr>
        <w:tc>
          <w:tcPr>
            <w:tcW w:w="1703" w:type="dxa"/>
            <w:tcBorders>
              <w:top w:val="nil"/>
              <w:left w:val="nil"/>
              <w:bottom w:val="nil"/>
              <w:right w:val="nil"/>
            </w:tcBorders>
            <w:shd w:val="clear" w:color="auto" w:fill="auto"/>
            <w:noWrap/>
            <w:vAlign w:val="bottom"/>
            <w:hideMark/>
          </w:tcPr>
          <w:p w14:paraId="51DB161C" w14:textId="77777777" w:rsidR="00BE6461" w:rsidRPr="00BE6461" w:rsidRDefault="00BE6461" w:rsidP="00BE6461">
            <w:pPr>
              <w:rPr>
                <w:b/>
                <w:bCs/>
                <w:sz w:val="20"/>
                <w:szCs w:val="20"/>
              </w:rPr>
            </w:pPr>
            <w:r w:rsidRPr="00BE6461">
              <w:rPr>
                <w:b/>
                <w:bCs/>
                <w:sz w:val="20"/>
                <w:szCs w:val="20"/>
              </w:rPr>
              <w:t>542</w:t>
            </w:r>
          </w:p>
        </w:tc>
        <w:tc>
          <w:tcPr>
            <w:tcW w:w="8457" w:type="dxa"/>
            <w:tcBorders>
              <w:top w:val="nil"/>
              <w:left w:val="nil"/>
              <w:bottom w:val="nil"/>
              <w:right w:val="nil"/>
            </w:tcBorders>
            <w:shd w:val="clear" w:color="auto" w:fill="auto"/>
            <w:vAlign w:val="bottom"/>
            <w:hideMark/>
          </w:tcPr>
          <w:p w14:paraId="5CEC0E21" w14:textId="7FD2F5BE" w:rsidR="00BE6461" w:rsidRPr="00BE6461" w:rsidRDefault="00BE6461" w:rsidP="00BE6461">
            <w:pPr>
              <w:rPr>
                <w:b/>
                <w:bCs/>
                <w:sz w:val="20"/>
                <w:szCs w:val="20"/>
              </w:rPr>
            </w:pPr>
            <w:r w:rsidRPr="00BE6461">
              <w:rPr>
                <w:b/>
                <w:bCs/>
                <w:sz w:val="20"/>
                <w:szCs w:val="20"/>
              </w:rPr>
              <w:t>Otplata glavnice primljenih kredita i zajmova od kreditnih i ostalih financijskih institucija u javn</w:t>
            </w:r>
            <w:r w:rsidR="009F61F7">
              <w:rPr>
                <w:b/>
                <w:bCs/>
                <w:sz w:val="20"/>
                <w:szCs w:val="20"/>
              </w:rPr>
              <w:t>om sektoru</w:t>
            </w:r>
          </w:p>
        </w:tc>
        <w:tc>
          <w:tcPr>
            <w:tcW w:w="1503" w:type="dxa"/>
            <w:tcBorders>
              <w:top w:val="nil"/>
              <w:left w:val="nil"/>
              <w:bottom w:val="nil"/>
              <w:right w:val="nil"/>
            </w:tcBorders>
            <w:shd w:val="clear" w:color="auto" w:fill="auto"/>
            <w:noWrap/>
            <w:vAlign w:val="bottom"/>
            <w:hideMark/>
          </w:tcPr>
          <w:p w14:paraId="66E6FFA6" w14:textId="77777777" w:rsidR="00BE6461" w:rsidRPr="00BE6461" w:rsidRDefault="00BE6461" w:rsidP="00BE6461">
            <w:pPr>
              <w:jc w:val="right"/>
              <w:rPr>
                <w:b/>
                <w:bCs/>
                <w:sz w:val="20"/>
                <w:szCs w:val="20"/>
              </w:rPr>
            </w:pPr>
            <w:r w:rsidRPr="00BE6461">
              <w:rPr>
                <w:b/>
                <w:bCs/>
                <w:sz w:val="20"/>
                <w:szCs w:val="20"/>
              </w:rPr>
              <w:t>236.500,00</w:t>
            </w:r>
          </w:p>
        </w:tc>
        <w:tc>
          <w:tcPr>
            <w:tcW w:w="1500" w:type="dxa"/>
            <w:tcBorders>
              <w:top w:val="nil"/>
              <w:left w:val="nil"/>
              <w:bottom w:val="nil"/>
              <w:right w:val="nil"/>
            </w:tcBorders>
            <w:shd w:val="clear" w:color="auto" w:fill="auto"/>
            <w:noWrap/>
            <w:vAlign w:val="bottom"/>
            <w:hideMark/>
          </w:tcPr>
          <w:p w14:paraId="46EA6037" w14:textId="77777777" w:rsidR="00BE6461" w:rsidRPr="00BE6461" w:rsidRDefault="00BE6461" w:rsidP="00BE6461">
            <w:pPr>
              <w:jc w:val="right"/>
              <w:rPr>
                <w:b/>
                <w:bCs/>
                <w:sz w:val="20"/>
                <w:szCs w:val="20"/>
              </w:rPr>
            </w:pPr>
            <w:r w:rsidRPr="00BE6461">
              <w:rPr>
                <w:b/>
                <w:bCs/>
                <w:sz w:val="20"/>
                <w:szCs w:val="20"/>
              </w:rPr>
              <w:t>236.355,64</w:t>
            </w:r>
          </w:p>
        </w:tc>
        <w:tc>
          <w:tcPr>
            <w:tcW w:w="1100" w:type="dxa"/>
            <w:tcBorders>
              <w:top w:val="nil"/>
              <w:left w:val="nil"/>
              <w:bottom w:val="nil"/>
              <w:right w:val="nil"/>
            </w:tcBorders>
            <w:shd w:val="clear" w:color="auto" w:fill="auto"/>
            <w:noWrap/>
            <w:vAlign w:val="bottom"/>
            <w:hideMark/>
          </w:tcPr>
          <w:p w14:paraId="287A00D0" w14:textId="77777777" w:rsidR="00BE6461" w:rsidRPr="00BE6461" w:rsidRDefault="00BE6461" w:rsidP="00BE6461">
            <w:pPr>
              <w:jc w:val="right"/>
              <w:rPr>
                <w:b/>
                <w:bCs/>
                <w:sz w:val="20"/>
                <w:szCs w:val="20"/>
              </w:rPr>
            </w:pPr>
            <w:r w:rsidRPr="00BE6461">
              <w:rPr>
                <w:b/>
                <w:bCs/>
                <w:sz w:val="20"/>
                <w:szCs w:val="20"/>
              </w:rPr>
              <w:t>99,94</w:t>
            </w:r>
          </w:p>
        </w:tc>
      </w:tr>
      <w:tr w:rsidR="00BE6461" w:rsidRPr="00BE6461" w14:paraId="106815A6" w14:textId="77777777" w:rsidTr="00BE6461">
        <w:trPr>
          <w:trHeight w:val="525"/>
        </w:trPr>
        <w:tc>
          <w:tcPr>
            <w:tcW w:w="1703" w:type="dxa"/>
            <w:tcBorders>
              <w:top w:val="nil"/>
              <w:left w:val="nil"/>
              <w:bottom w:val="nil"/>
              <w:right w:val="nil"/>
            </w:tcBorders>
            <w:shd w:val="clear" w:color="auto" w:fill="auto"/>
            <w:noWrap/>
            <w:vAlign w:val="bottom"/>
            <w:hideMark/>
          </w:tcPr>
          <w:p w14:paraId="5A3DCDA3" w14:textId="77777777" w:rsidR="00BE6461" w:rsidRPr="00BE6461" w:rsidRDefault="00BE6461" w:rsidP="00BE6461">
            <w:pPr>
              <w:rPr>
                <w:sz w:val="20"/>
                <w:szCs w:val="20"/>
              </w:rPr>
            </w:pPr>
            <w:r w:rsidRPr="00BE6461">
              <w:rPr>
                <w:sz w:val="20"/>
                <w:szCs w:val="20"/>
              </w:rPr>
              <w:t>5422</w:t>
            </w:r>
          </w:p>
        </w:tc>
        <w:tc>
          <w:tcPr>
            <w:tcW w:w="8457" w:type="dxa"/>
            <w:tcBorders>
              <w:top w:val="nil"/>
              <w:left w:val="nil"/>
              <w:bottom w:val="nil"/>
              <w:right w:val="nil"/>
            </w:tcBorders>
            <w:shd w:val="clear" w:color="auto" w:fill="auto"/>
            <w:vAlign w:val="bottom"/>
            <w:hideMark/>
          </w:tcPr>
          <w:p w14:paraId="1006BB1D" w14:textId="77777777" w:rsidR="00BE6461" w:rsidRPr="00BE6461" w:rsidRDefault="00BE6461" w:rsidP="00BE6461">
            <w:pPr>
              <w:rPr>
                <w:sz w:val="20"/>
                <w:szCs w:val="20"/>
              </w:rPr>
            </w:pPr>
            <w:r w:rsidRPr="00BE6461">
              <w:rPr>
                <w:sz w:val="20"/>
                <w:szCs w:val="20"/>
              </w:rPr>
              <w:t xml:space="preserve">Otplata glavnice primljenih kredita od kreditnih institucija u javnom sektoru                       </w:t>
            </w:r>
          </w:p>
        </w:tc>
        <w:tc>
          <w:tcPr>
            <w:tcW w:w="1503" w:type="dxa"/>
            <w:tcBorders>
              <w:top w:val="nil"/>
              <w:left w:val="nil"/>
              <w:bottom w:val="nil"/>
              <w:right w:val="nil"/>
            </w:tcBorders>
            <w:shd w:val="clear" w:color="auto" w:fill="auto"/>
            <w:noWrap/>
            <w:vAlign w:val="bottom"/>
            <w:hideMark/>
          </w:tcPr>
          <w:p w14:paraId="6D44F34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9366116" w14:textId="77777777" w:rsidR="00BE6461" w:rsidRPr="00BE6461" w:rsidRDefault="00BE6461" w:rsidP="00BE6461">
            <w:pPr>
              <w:jc w:val="right"/>
              <w:rPr>
                <w:sz w:val="20"/>
                <w:szCs w:val="20"/>
              </w:rPr>
            </w:pPr>
            <w:r w:rsidRPr="00BE6461">
              <w:rPr>
                <w:sz w:val="20"/>
                <w:szCs w:val="20"/>
              </w:rPr>
              <w:t>236.355,64</w:t>
            </w:r>
          </w:p>
        </w:tc>
        <w:tc>
          <w:tcPr>
            <w:tcW w:w="1100" w:type="dxa"/>
            <w:tcBorders>
              <w:top w:val="nil"/>
              <w:left w:val="nil"/>
              <w:bottom w:val="nil"/>
              <w:right w:val="nil"/>
            </w:tcBorders>
            <w:shd w:val="clear" w:color="auto" w:fill="auto"/>
            <w:noWrap/>
            <w:vAlign w:val="bottom"/>
            <w:hideMark/>
          </w:tcPr>
          <w:p w14:paraId="06373E92" w14:textId="77777777" w:rsidR="00BE6461" w:rsidRPr="00BE6461" w:rsidRDefault="00BE6461" w:rsidP="00BE6461">
            <w:pPr>
              <w:jc w:val="right"/>
              <w:rPr>
                <w:sz w:val="20"/>
                <w:szCs w:val="20"/>
              </w:rPr>
            </w:pPr>
          </w:p>
        </w:tc>
      </w:tr>
      <w:tr w:rsidR="00BE6461" w:rsidRPr="00BE6461" w14:paraId="001E7EFE" w14:textId="77777777" w:rsidTr="00BE6461">
        <w:trPr>
          <w:trHeight w:val="525"/>
        </w:trPr>
        <w:tc>
          <w:tcPr>
            <w:tcW w:w="1703" w:type="dxa"/>
            <w:tcBorders>
              <w:top w:val="nil"/>
              <w:left w:val="nil"/>
              <w:bottom w:val="nil"/>
              <w:right w:val="nil"/>
            </w:tcBorders>
            <w:shd w:val="clear" w:color="auto" w:fill="auto"/>
            <w:noWrap/>
            <w:vAlign w:val="bottom"/>
            <w:hideMark/>
          </w:tcPr>
          <w:p w14:paraId="04133409" w14:textId="77777777" w:rsidR="00BE6461" w:rsidRPr="00BE6461" w:rsidRDefault="00BE6461" w:rsidP="00BE6461">
            <w:pPr>
              <w:rPr>
                <w:b/>
                <w:bCs/>
                <w:sz w:val="20"/>
                <w:szCs w:val="20"/>
              </w:rPr>
            </w:pPr>
            <w:r w:rsidRPr="00BE6461">
              <w:rPr>
                <w:b/>
                <w:bCs/>
                <w:sz w:val="20"/>
                <w:szCs w:val="20"/>
              </w:rPr>
              <w:t>544</w:t>
            </w:r>
          </w:p>
        </w:tc>
        <w:tc>
          <w:tcPr>
            <w:tcW w:w="8457" w:type="dxa"/>
            <w:tcBorders>
              <w:top w:val="nil"/>
              <w:left w:val="nil"/>
              <w:bottom w:val="nil"/>
              <w:right w:val="nil"/>
            </w:tcBorders>
            <w:shd w:val="clear" w:color="auto" w:fill="auto"/>
            <w:vAlign w:val="bottom"/>
            <w:hideMark/>
          </w:tcPr>
          <w:p w14:paraId="6FBFEF9E" w14:textId="77777777" w:rsidR="00BE6461" w:rsidRPr="00BE6461" w:rsidRDefault="00BE6461" w:rsidP="00BE6461">
            <w:pPr>
              <w:rPr>
                <w:b/>
                <w:bCs/>
                <w:sz w:val="20"/>
                <w:szCs w:val="20"/>
              </w:rPr>
            </w:pPr>
            <w:r w:rsidRPr="00BE6461">
              <w:rPr>
                <w:b/>
                <w:bCs/>
                <w:sz w:val="20"/>
                <w:szCs w:val="20"/>
              </w:rPr>
              <w:t xml:space="preserve">Otplata glavnice primljenih kredita i zajmova od kreditnih i ostalih financijskih institucija izvan </w:t>
            </w:r>
          </w:p>
        </w:tc>
        <w:tc>
          <w:tcPr>
            <w:tcW w:w="1503" w:type="dxa"/>
            <w:tcBorders>
              <w:top w:val="nil"/>
              <w:left w:val="nil"/>
              <w:bottom w:val="nil"/>
              <w:right w:val="nil"/>
            </w:tcBorders>
            <w:shd w:val="clear" w:color="auto" w:fill="auto"/>
            <w:noWrap/>
            <w:vAlign w:val="bottom"/>
            <w:hideMark/>
          </w:tcPr>
          <w:p w14:paraId="31588300" w14:textId="77777777" w:rsidR="00BE6461" w:rsidRPr="00BE6461" w:rsidRDefault="00BE6461" w:rsidP="00BE6461">
            <w:pPr>
              <w:jc w:val="right"/>
              <w:rPr>
                <w:b/>
                <w:bCs/>
                <w:sz w:val="20"/>
                <w:szCs w:val="20"/>
              </w:rPr>
            </w:pPr>
            <w:r w:rsidRPr="00BE6461">
              <w:rPr>
                <w:b/>
                <w:bCs/>
                <w:sz w:val="20"/>
                <w:szCs w:val="20"/>
              </w:rPr>
              <w:t>575.000,00</w:t>
            </w:r>
          </w:p>
        </w:tc>
        <w:tc>
          <w:tcPr>
            <w:tcW w:w="1500" w:type="dxa"/>
            <w:tcBorders>
              <w:top w:val="nil"/>
              <w:left w:val="nil"/>
              <w:bottom w:val="nil"/>
              <w:right w:val="nil"/>
            </w:tcBorders>
            <w:shd w:val="clear" w:color="auto" w:fill="auto"/>
            <w:noWrap/>
            <w:vAlign w:val="bottom"/>
            <w:hideMark/>
          </w:tcPr>
          <w:p w14:paraId="2BA6618E" w14:textId="77777777" w:rsidR="00BE6461" w:rsidRPr="00BE6461" w:rsidRDefault="00BE6461" w:rsidP="00BE6461">
            <w:pPr>
              <w:jc w:val="right"/>
              <w:rPr>
                <w:b/>
                <w:bCs/>
                <w:sz w:val="20"/>
                <w:szCs w:val="20"/>
              </w:rPr>
            </w:pPr>
            <w:r w:rsidRPr="00BE6461">
              <w:rPr>
                <w:b/>
                <w:bCs/>
                <w:sz w:val="20"/>
                <w:szCs w:val="20"/>
              </w:rPr>
              <w:t>572.821,94</w:t>
            </w:r>
          </w:p>
        </w:tc>
        <w:tc>
          <w:tcPr>
            <w:tcW w:w="1100" w:type="dxa"/>
            <w:tcBorders>
              <w:top w:val="nil"/>
              <w:left w:val="nil"/>
              <w:bottom w:val="nil"/>
              <w:right w:val="nil"/>
            </w:tcBorders>
            <w:shd w:val="clear" w:color="auto" w:fill="auto"/>
            <w:noWrap/>
            <w:vAlign w:val="bottom"/>
            <w:hideMark/>
          </w:tcPr>
          <w:p w14:paraId="28F95429" w14:textId="77777777" w:rsidR="00BE6461" w:rsidRPr="00BE6461" w:rsidRDefault="00BE6461" w:rsidP="00BE6461">
            <w:pPr>
              <w:jc w:val="right"/>
              <w:rPr>
                <w:b/>
                <w:bCs/>
                <w:sz w:val="20"/>
                <w:szCs w:val="20"/>
              </w:rPr>
            </w:pPr>
            <w:r w:rsidRPr="00BE6461">
              <w:rPr>
                <w:b/>
                <w:bCs/>
                <w:sz w:val="20"/>
                <w:szCs w:val="20"/>
              </w:rPr>
              <w:t>99,62</w:t>
            </w:r>
          </w:p>
        </w:tc>
      </w:tr>
      <w:tr w:rsidR="00BE6461" w:rsidRPr="00BE6461" w14:paraId="23E12BD1" w14:textId="77777777" w:rsidTr="00BE6461">
        <w:trPr>
          <w:trHeight w:val="525"/>
        </w:trPr>
        <w:tc>
          <w:tcPr>
            <w:tcW w:w="1703" w:type="dxa"/>
            <w:tcBorders>
              <w:top w:val="nil"/>
              <w:left w:val="nil"/>
              <w:bottom w:val="nil"/>
              <w:right w:val="nil"/>
            </w:tcBorders>
            <w:shd w:val="clear" w:color="auto" w:fill="auto"/>
            <w:noWrap/>
            <w:vAlign w:val="bottom"/>
            <w:hideMark/>
          </w:tcPr>
          <w:p w14:paraId="2CFA7E70" w14:textId="77777777" w:rsidR="00BE6461" w:rsidRPr="00BE6461" w:rsidRDefault="00BE6461" w:rsidP="00BE6461">
            <w:pPr>
              <w:rPr>
                <w:sz w:val="20"/>
                <w:szCs w:val="20"/>
              </w:rPr>
            </w:pPr>
            <w:r w:rsidRPr="00BE6461">
              <w:rPr>
                <w:sz w:val="20"/>
                <w:szCs w:val="20"/>
              </w:rPr>
              <w:t>5443</w:t>
            </w:r>
          </w:p>
        </w:tc>
        <w:tc>
          <w:tcPr>
            <w:tcW w:w="8457" w:type="dxa"/>
            <w:tcBorders>
              <w:top w:val="nil"/>
              <w:left w:val="nil"/>
              <w:bottom w:val="nil"/>
              <w:right w:val="nil"/>
            </w:tcBorders>
            <w:shd w:val="clear" w:color="auto" w:fill="auto"/>
            <w:vAlign w:val="bottom"/>
            <w:hideMark/>
          </w:tcPr>
          <w:p w14:paraId="20D14FF4" w14:textId="77777777" w:rsidR="00BE6461" w:rsidRPr="00BE6461" w:rsidRDefault="00BE6461" w:rsidP="00BE6461">
            <w:pPr>
              <w:rPr>
                <w:sz w:val="20"/>
                <w:szCs w:val="20"/>
              </w:rPr>
            </w:pPr>
            <w:r w:rsidRPr="00BE6461">
              <w:rPr>
                <w:sz w:val="20"/>
                <w:szCs w:val="20"/>
              </w:rPr>
              <w:t xml:space="preserve">Otplata glavnice primljenih kredita od tuzemnih kreditnih institucija izvan javnog sektora          </w:t>
            </w:r>
          </w:p>
        </w:tc>
        <w:tc>
          <w:tcPr>
            <w:tcW w:w="1503" w:type="dxa"/>
            <w:tcBorders>
              <w:top w:val="nil"/>
              <w:left w:val="nil"/>
              <w:bottom w:val="nil"/>
              <w:right w:val="nil"/>
            </w:tcBorders>
            <w:shd w:val="clear" w:color="auto" w:fill="auto"/>
            <w:noWrap/>
            <w:vAlign w:val="bottom"/>
            <w:hideMark/>
          </w:tcPr>
          <w:p w14:paraId="18F50D8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C1484E8" w14:textId="77777777" w:rsidR="00BE6461" w:rsidRPr="00BE6461" w:rsidRDefault="00BE6461" w:rsidP="00BE6461">
            <w:pPr>
              <w:jc w:val="right"/>
              <w:rPr>
                <w:sz w:val="20"/>
                <w:szCs w:val="20"/>
              </w:rPr>
            </w:pPr>
            <w:r w:rsidRPr="00BE6461">
              <w:rPr>
                <w:sz w:val="20"/>
                <w:szCs w:val="20"/>
              </w:rPr>
              <w:t>572.821,94</w:t>
            </w:r>
          </w:p>
        </w:tc>
        <w:tc>
          <w:tcPr>
            <w:tcW w:w="1100" w:type="dxa"/>
            <w:tcBorders>
              <w:top w:val="nil"/>
              <w:left w:val="nil"/>
              <w:bottom w:val="nil"/>
              <w:right w:val="nil"/>
            </w:tcBorders>
            <w:shd w:val="clear" w:color="auto" w:fill="auto"/>
            <w:noWrap/>
            <w:vAlign w:val="bottom"/>
            <w:hideMark/>
          </w:tcPr>
          <w:p w14:paraId="0A3B66BE" w14:textId="77777777" w:rsidR="00BE6461" w:rsidRPr="00BE6461" w:rsidRDefault="00BE6461" w:rsidP="00BE6461">
            <w:pPr>
              <w:jc w:val="right"/>
              <w:rPr>
                <w:sz w:val="20"/>
                <w:szCs w:val="20"/>
              </w:rPr>
            </w:pPr>
          </w:p>
        </w:tc>
      </w:tr>
      <w:tr w:rsidR="00BE6461" w:rsidRPr="00BE6461" w14:paraId="56AFDC9F"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105AAB86" w14:textId="77777777" w:rsidR="00BE6461" w:rsidRPr="00BE6461" w:rsidRDefault="00BE6461" w:rsidP="00BE6461">
            <w:pPr>
              <w:rPr>
                <w:b/>
                <w:bCs/>
                <w:sz w:val="20"/>
                <w:szCs w:val="20"/>
              </w:rPr>
            </w:pPr>
            <w:r w:rsidRPr="00BE6461">
              <w:rPr>
                <w:b/>
                <w:bCs/>
                <w:sz w:val="20"/>
                <w:szCs w:val="20"/>
              </w:rPr>
              <w:t>K100001</w:t>
            </w:r>
          </w:p>
        </w:tc>
        <w:tc>
          <w:tcPr>
            <w:tcW w:w="8457" w:type="dxa"/>
            <w:tcBorders>
              <w:top w:val="single" w:sz="4" w:space="0" w:color="auto"/>
              <w:left w:val="nil"/>
              <w:bottom w:val="single" w:sz="4" w:space="0" w:color="auto"/>
              <w:right w:val="nil"/>
            </w:tcBorders>
            <w:shd w:val="clear" w:color="auto" w:fill="auto"/>
            <w:vAlign w:val="bottom"/>
            <w:hideMark/>
          </w:tcPr>
          <w:p w14:paraId="0172E8CF" w14:textId="77777777" w:rsidR="00BE6461" w:rsidRPr="00BE6461" w:rsidRDefault="00BE6461" w:rsidP="00BE6461">
            <w:pPr>
              <w:rPr>
                <w:b/>
                <w:bCs/>
                <w:sz w:val="20"/>
                <w:szCs w:val="20"/>
              </w:rPr>
            </w:pPr>
            <w:r w:rsidRPr="00BE6461">
              <w:rPr>
                <w:b/>
                <w:bCs/>
                <w:sz w:val="20"/>
                <w:szCs w:val="20"/>
              </w:rPr>
              <w:t>Kapitalni projekt: NABAVA OPREME ZA POTREBE UPRAVNIH ODJELA</w:t>
            </w:r>
          </w:p>
        </w:tc>
        <w:tc>
          <w:tcPr>
            <w:tcW w:w="1503" w:type="dxa"/>
            <w:tcBorders>
              <w:top w:val="single" w:sz="4" w:space="0" w:color="auto"/>
              <w:left w:val="nil"/>
              <w:bottom w:val="single" w:sz="4" w:space="0" w:color="auto"/>
              <w:right w:val="nil"/>
            </w:tcBorders>
            <w:shd w:val="clear" w:color="auto" w:fill="auto"/>
            <w:noWrap/>
            <w:vAlign w:val="bottom"/>
            <w:hideMark/>
          </w:tcPr>
          <w:p w14:paraId="3059F85C" w14:textId="77777777" w:rsidR="00BE6461" w:rsidRPr="00BE6461" w:rsidRDefault="00BE6461" w:rsidP="00BE6461">
            <w:pPr>
              <w:jc w:val="right"/>
              <w:rPr>
                <w:b/>
                <w:bCs/>
                <w:sz w:val="20"/>
                <w:szCs w:val="20"/>
              </w:rPr>
            </w:pPr>
            <w:r w:rsidRPr="00BE6461">
              <w:rPr>
                <w:b/>
                <w:bCs/>
                <w:sz w:val="20"/>
                <w:szCs w:val="20"/>
              </w:rPr>
              <w:t>135.000,00</w:t>
            </w:r>
          </w:p>
        </w:tc>
        <w:tc>
          <w:tcPr>
            <w:tcW w:w="1500" w:type="dxa"/>
            <w:tcBorders>
              <w:top w:val="single" w:sz="4" w:space="0" w:color="auto"/>
              <w:left w:val="nil"/>
              <w:bottom w:val="single" w:sz="4" w:space="0" w:color="auto"/>
              <w:right w:val="nil"/>
            </w:tcBorders>
            <w:shd w:val="clear" w:color="auto" w:fill="auto"/>
            <w:noWrap/>
            <w:vAlign w:val="bottom"/>
            <w:hideMark/>
          </w:tcPr>
          <w:p w14:paraId="0699ACE1" w14:textId="77777777" w:rsidR="00BE6461" w:rsidRPr="00BE6461" w:rsidRDefault="00BE6461" w:rsidP="00BE6461">
            <w:pPr>
              <w:jc w:val="right"/>
              <w:rPr>
                <w:b/>
                <w:bCs/>
                <w:sz w:val="20"/>
                <w:szCs w:val="20"/>
              </w:rPr>
            </w:pPr>
            <w:r w:rsidRPr="00BE6461">
              <w:rPr>
                <w:b/>
                <w:bCs/>
                <w:sz w:val="20"/>
                <w:szCs w:val="20"/>
              </w:rPr>
              <w:t>117.909,80</w:t>
            </w:r>
          </w:p>
        </w:tc>
        <w:tc>
          <w:tcPr>
            <w:tcW w:w="1100" w:type="dxa"/>
            <w:tcBorders>
              <w:top w:val="single" w:sz="4" w:space="0" w:color="auto"/>
              <w:left w:val="nil"/>
              <w:bottom w:val="single" w:sz="4" w:space="0" w:color="auto"/>
              <w:right w:val="nil"/>
            </w:tcBorders>
            <w:shd w:val="clear" w:color="auto" w:fill="auto"/>
            <w:noWrap/>
            <w:vAlign w:val="bottom"/>
            <w:hideMark/>
          </w:tcPr>
          <w:p w14:paraId="5089EF58" w14:textId="77777777" w:rsidR="00BE6461" w:rsidRPr="00BE6461" w:rsidRDefault="00BE6461" w:rsidP="00BE6461">
            <w:pPr>
              <w:jc w:val="right"/>
              <w:rPr>
                <w:b/>
                <w:bCs/>
                <w:sz w:val="20"/>
                <w:szCs w:val="20"/>
              </w:rPr>
            </w:pPr>
            <w:r w:rsidRPr="00BE6461">
              <w:rPr>
                <w:b/>
                <w:bCs/>
                <w:sz w:val="20"/>
                <w:szCs w:val="20"/>
              </w:rPr>
              <w:t>87,34</w:t>
            </w:r>
          </w:p>
        </w:tc>
      </w:tr>
      <w:tr w:rsidR="00BE6461" w:rsidRPr="00BE6461" w14:paraId="36562910"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3AF933C" w14:textId="77777777" w:rsidR="00BE6461" w:rsidRPr="00BE6461" w:rsidRDefault="00BE6461" w:rsidP="00BE6461">
            <w:pPr>
              <w:rPr>
                <w:b/>
                <w:bCs/>
                <w:color w:val="333333"/>
                <w:sz w:val="20"/>
                <w:szCs w:val="20"/>
              </w:rPr>
            </w:pPr>
            <w:r w:rsidRPr="00BE6461">
              <w:rPr>
                <w:b/>
                <w:bCs/>
                <w:color w:val="333333"/>
                <w:sz w:val="20"/>
                <w:szCs w:val="20"/>
              </w:rPr>
              <w:t>Izvor 7. PRIHODI OD NEFIN.IMOVINE I NADOKNADE ŠTETA OD OSIG.</w:t>
            </w:r>
          </w:p>
        </w:tc>
        <w:tc>
          <w:tcPr>
            <w:tcW w:w="1503" w:type="dxa"/>
            <w:tcBorders>
              <w:top w:val="nil"/>
              <w:left w:val="nil"/>
              <w:bottom w:val="nil"/>
              <w:right w:val="nil"/>
            </w:tcBorders>
            <w:shd w:val="clear" w:color="auto" w:fill="auto"/>
            <w:noWrap/>
            <w:vAlign w:val="bottom"/>
            <w:hideMark/>
          </w:tcPr>
          <w:p w14:paraId="71B0259B" w14:textId="77777777" w:rsidR="00BE6461" w:rsidRPr="00BE6461" w:rsidRDefault="00BE6461" w:rsidP="00BE6461">
            <w:pPr>
              <w:jc w:val="right"/>
              <w:rPr>
                <w:b/>
                <w:bCs/>
                <w:color w:val="333333"/>
                <w:sz w:val="20"/>
                <w:szCs w:val="20"/>
              </w:rPr>
            </w:pPr>
            <w:r w:rsidRPr="00BE6461">
              <w:rPr>
                <w:b/>
                <w:bCs/>
                <w:color w:val="333333"/>
                <w:sz w:val="20"/>
                <w:szCs w:val="20"/>
              </w:rPr>
              <w:t>135.000,00</w:t>
            </w:r>
          </w:p>
        </w:tc>
        <w:tc>
          <w:tcPr>
            <w:tcW w:w="1500" w:type="dxa"/>
            <w:tcBorders>
              <w:top w:val="nil"/>
              <w:left w:val="nil"/>
              <w:bottom w:val="nil"/>
              <w:right w:val="nil"/>
            </w:tcBorders>
            <w:shd w:val="clear" w:color="auto" w:fill="auto"/>
            <w:noWrap/>
            <w:vAlign w:val="bottom"/>
            <w:hideMark/>
          </w:tcPr>
          <w:p w14:paraId="0D9FB016" w14:textId="77777777" w:rsidR="00BE6461" w:rsidRPr="00BE6461" w:rsidRDefault="00BE6461" w:rsidP="00BE6461">
            <w:pPr>
              <w:jc w:val="right"/>
              <w:rPr>
                <w:b/>
                <w:bCs/>
                <w:color w:val="333333"/>
                <w:sz w:val="20"/>
                <w:szCs w:val="20"/>
              </w:rPr>
            </w:pPr>
            <w:r w:rsidRPr="00BE6461">
              <w:rPr>
                <w:b/>
                <w:bCs/>
                <w:color w:val="333333"/>
                <w:sz w:val="20"/>
                <w:szCs w:val="20"/>
              </w:rPr>
              <w:t>117.909,80</w:t>
            </w:r>
          </w:p>
        </w:tc>
        <w:tc>
          <w:tcPr>
            <w:tcW w:w="1100" w:type="dxa"/>
            <w:tcBorders>
              <w:top w:val="nil"/>
              <w:left w:val="nil"/>
              <w:bottom w:val="nil"/>
              <w:right w:val="nil"/>
            </w:tcBorders>
            <w:shd w:val="clear" w:color="auto" w:fill="auto"/>
            <w:noWrap/>
            <w:vAlign w:val="bottom"/>
            <w:hideMark/>
          </w:tcPr>
          <w:p w14:paraId="4232EA5F" w14:textId="77777777" w:rsidR="00BE6461" w:rsidRPr="00BE6461" w:rsidRDefault="00BE6461" w:rsidP="00BE6461">
            <w:pPr>
              <w:jc w:val="right"/>
              <w:rPr>
                <w:b/>
                <w:bCs/>
                <w:color w:val="333333"/>
                <w:sz w:val="20"/>
                <w:szCs w:val="20"/>
              </w:rPr>
            </w:pPr>
            <w:r w:rsidRPr="00BE6461">
              <w:rPr>
                <w:b/>
                <w:bCs/>
                <w:color w:val="333333"/>
                <w:sz w:val="20"/>
                <w:szCs w:val="20"/>
              </w:rPr>
              <w:t>87,34</w:t>
            </w:r>
          </w:p>
        </w:tc>
      </w:tr>
      <w:tr w:rsidR="00BE6461" w:rsidRPr="00BE6461" w14:paraId="5D32E07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2720988" w14:textId="77777777" w:rsidR="00BE6461" w:rsidRPr="00BE6461" w:rsidRDefault="00BE6461" w:rsidP="00BE6461">
            <w:pPr>
              <w:rPr>
                <w:b/>
                <w:bCs/>
                <w:color w:val="333333"/>
                <w:sz w:val="20"/>
                <w:szCs w:val="20"/>
              </w:rPr>
            </w:pPr>
            <w:r w:rsidRPr="00BE6461">
              <w:rPr>
                <w:b/>
                <w:bCs/>
                <w:color w:val="333333"/>
                <w:sz w:val="20"/>
                <w:szCs w:val="20"/>
              </w:rPr>
              <w:t>Izvor 7.1. PRIHODI OD NEFIN.IMOVINE I NADOKNADE ŠTETA OD OSIG.</w:t>
            </w:r>
          </w:p>
        </w:tc>
        <w:tc>
          <w:tcPr>
            <w:tcW w:w="1503" w:type="dxa"/>
            <w:tcBorders>
              <w:top w:val="nil"/>
              <w:left w:val="nil"/>
              <w:bottom w:val="nil"/>
              <w:right w:val="nil"/>
            </w:tcBorders>
            <w:shd w:val="clear" w:color="auto" w:fill="auto"/>
            <w:noWrap/>
            <w:vAlign w:val="bottom"/>
            <w:hideMark/>
          </w:tcPr>
          <w:p w14:paraId="0BE45B29" w14:textId="77777777" w:rsidR="00BE6461" w:rsidRPr="00BE6461" w:rsidRDefault="00BE6461" w:rsidP="00BE6461">
            <w:pPr>
              <w:jc w:val="right"/>
              <w:rPr>
                <w:b/>
                <w:bCs/>
                <w:color w:val="333333"/>
                <w:sz w:val="20"/>
                <w:szCs w:val="20"/>
              </w:rPr>
            </w:pPr>
            <w:r w:rsidRPr="00BE6461">
              <w:rPr>
                <w:b/>
                <w:bCs/>
                <w:color w:val="333333"/>
                <w:sz w:val="20"/>
                <w:szCs w:val="20"/>
              </w:rPr>
              <w:t>135.000,00</w:t>
            </w:r>
          </w:p>
        </w:tc>
        <w:tc>
          <w:tcPr>
            <w:tcW w:w="1500" w:type="dxa"/>
            <w:tcBorders>
              <w:top w:val="nil"/>
              <w:left w:val="nil"/>
              <w:bottom w:val="nil"/>
              <w:right w:val="nil"/>
            </w:tcBorders>
            <w:shd w:val="clear" w:color="auto" w:fill="auto"/>
            <w:noWrap/>
            <w:vAlign w:val="bottom"/>
            <w:hideMark/>
          </w:tcPr>
          <w:p w14:paraId="5289E293" w14:textId="77777777" w:rsidR="00BE6461" w:rsidRPr="00BE6461" w:rsidRDefault="00BE6461" w:rsidP="00BE6461">
            <w:pPr>
              <w:jc w:val="right"/>
              <w:rPr>
                <w:b/>
                <w:bCs/>
                <w:color w:val="333333"/>
                <w:sz w:val="20"/>
                <w:szCs w:val="20"/>
              </w:rPr>
            </w:pPr>
            <w:r w:rsidRPr="00BE6461">
              <w:rPr>
                <w:b/>
                <w:bCs/>
                <w:color w:val="333333"/>
                <w:sz w:val="20"/>
                <w:szCs w:val="20"/>
              </w:rPr>
              <w:t>117.909,80</w:t>
            </w:r>
          </w:p>
        </w:tc>
        <w:tc>
          <w:tcPr>
            <w:tcW w:w="1100" w:type="dxa"/>
            <w:tcBorders>
              <w:top w:val="nil"/>
              <w:left w:val="nil"/>
              <w:bottom w:val="nil"/>
              <w:right w:val="nil"/>
            </w:tcBorders>
            <w:shd w:val="clear" w:color="auto" w:fill="auto"/>
            <w:noWrap/>
            <w:vAlign w:val="bottom"/>
            <w:hideMark/>
          </w:tcPr>
          <w:p w14:paraId="0EC60177" w14:textId="77777777" w:rsidR="00BE6461" w:rsidRPr="00BE6461" w:rsidRDefault="00BE6461" w:rsidP="00BE6461">
            <w:pPr>
              <w:jc w:val="right"/>
              <w:rPr>
                <w:b/>
                <w:bCs/>
                <w:color w:val="333333"/>
                <w:sz w:val="20"/>
                <w:szCs w:val="20"/>
              </w:rPr>
            </w:pPr>
            <w:r w:rsidRPr="00BE6461">
              <w:rPr>
                <w:b/>
                <w:bCs/>
                <w:color w:val="333333"/>
                <w:sz w:val="20"/>
                <w:szCs w:val="20"/>
              </w:rPr>
              <w:t>87,34</w:t>
            </w:r>
          </w:p>
        </w:tc>
      </w:tr>
      <w:tr w:rsidR="00BE6461" w:rsidRPr="00BE6461" w14:paraId="0BCAFC1D" w14:textId="77777777" w:rsidTr="00BE6461">
        <w:trPr>
          <w:trHeight w:val="300"/>
        </w:trPr>
        <w:tc>
          <w:tcPr>
            <w:tcW w:w="1703" w:type="dxa"/>
            <w:tcBorders>
              <w:top w:val="nil"/>
              <w:left w:val="nil"/>
              <w:bottom w:val="nil"/>
              <w:right w:val="nil"/>
            </w:tcBorders>
            <w:shd w:val="clear" w:color="auto" w:fill="auto"/>
            <w:noWrap/>
            <w:vAlign w:val="bottom"/>
            <w:hideMark/>
          </w:tcPr>
          <w:p w14:paraId="03D9EB7C" w14:textId="77777777" w:rsidR="00BE6461" w:rsidRPr="00BE6461" w:rsidRDefault="00BE6461" w:rsidP="00BE6461">
            <w:pPr>
              <w:rPr>
                <w:b/>
                <w:bCs/>
                <w:sz w:val="20"/>
                <w:szCs w:val="20"/>
              </w:rPr>
            </w:pPr>
            <w:r w:rsidRPr="00BE6461">
              <w:rPr>
                <w:b/>
                <w:bCs/>
                <w:sz w:val="20"/>
                <w:szCs w:val="20"/>
              </w:rPr>
              <w:t>422</w:t>
            </w:r>
          </w:p>
        </w:tc>
        <w:tc>
          <w:tcPr>
            <w:tcW w:w="8457" w:type="dxa"/>
            <w:tcBorders>
              <w:top w:val="nil"/>
              <w:left w:val="nil"/>
              <w:bottom w:val="nil"/>
              <w:right w:val="nil"/>
            </w:tcBorders>
            <w:shd w:val="clear" w:color="auto" w:fill="auto"/>
            <w:vAlign w:val="bottom"/>
            <w:hideMark/>
          </w:tcPr>
          <w:p w14:paraId="5A2B94A4" w14:textId="77777777" w:rsidR="00BE6461" w:rsidRPr="00BE6461" w:rsidRDefault="00BE6461" w:rsidP="00BE6461">
            <w:pPr>
              <w:rPr>
                <w:b/>
                <w:bCs/>
                <w:sz w:val="20"/>
                <w:szCs w:val="20"/>
              </w:rPr>
            </w:pPr>
            <w:r w:rsidRPr="00BE6461">
              <w:rPr>
                <w:b/>
                <w:bCs/>
                <w:sz w:val="20"/>
                <w:szCs w:val="20"/>
              </w:rPr>
              <w:t xml:space="preserve">Postrojenja i oprema                                                                                </w:t>
            </w:r>
          </w:p>
        </w:tc>
        <w:tc>
          <w:tcPr>
            <w:tcW w:w="1503" w:type="dxa"/>
            <w:tcBorders>
              <w:top w:val="nil"/>
              <w:left w:val="nil"/>
              <w:bottom w:val="nil"/>
              <w:right w:val="nil"/>
            </w:tcBorders>
            <w:shd w:val="clear" w:color="auto" w:fill="auto"/>
            <w:noWrap/>
            <w:vAlign w:val="bottom"/>
            <w:hideMark/>
          </w:tcPr>
          <w:p w14:paraId="54F231F1" w14:textId="77777777" w:rsidR="00BE6461" w:rsidRPr="00BE6461" w:rsidRDefault="00BE6461" w:rsidP="00BE6461">
            <w:pPr>
              <w:jc w:val="right"/>
              <w:rPr>
                <w:b/>
                <w:bCs/>
                <w:sz w:val="20"/>
                <w:szCs w:val="20"/>
              </w:rPr>
            </w:pPr>
            <w:r w:rsidRPr="00BE6461">
              <w:rPr>
                <w:b/>
                <w:bCs/>
                <w:sz w:val="20"/>
                <w:szCs w:val="20"/>
              </w:rPr>
              <w:t>105.000,00</w:t>
            </w:r>
          </w:p>
        </w:tc>
        <w:tc>
          <w:tcPr>
            <w:tcW w:w="1500" w:type="dxa"/>
            <w:tcBorders>
              <w:top w:val="nil"/>
              <w:left w:val="nil"/>
              <w:bottom w:val="nil"/>
              <w:right w:val="nil"/>
            </w:tcBorders>
            <w:shd w:val="clear" w:color="auto" w:fill="auto"/>
            <w:noWrap/>
            <w:vAlign w:val="bottom"/>
            <w:hideMark/>
          </w:tcPr>
          <w:p w14:paraId="6A72C6A3" w14:textId="77777777" w:rsidR="00BE6461" w:rsidRPr="00BE6461" w:rsidRDefault="00BE6461" w:rsidP="00BE6461">
            <w:pPr>
              <w:jc w:val="right"/>
              <w:rPr>
                <w:b/>
                <w:bCs/>
                <w:sz w:val="20"/>
                <w:szCs w:val="20"/>
              </w:rPr>
            </w:pPr>
            <w:r w:rsidRPr="00BE6461">
              <w:rPr>
                <w:b/>
                <w:bCs/>
                <w:sz w:val="20"/>
                <w:szCs w:val="20"/>
              </w:rPr>
              <w:t>89.784,80</w:t>
            </w:r>
          </w:p>
        </w:tc>
        <w:tc>
          <w:tcPr>
            <w:tcW w:w="1100" w:type="dxa"/>
            <w:tcBorders>
              <w:top w:val="nil"/>
              <w:left w:val="nil"/>
              <w:bottom w:val="nil"/>
              <w:right w:val="nil"/>
            </w:tcBorders>
            <w:shd w:val="clear" w:color="auto" w:fill="auto"/>
            <w:noWrap/>
            <w:vAlign w:val="bottom"/>
            <w:hideMark/>
          </w:tcPr>
          <w:p w14:paraId="503B3E1F" w14:textId="77777777" w:rsidR="00BE6461" w:rsidRPr="00BE6461" w:rsidRDefault="00BE6461" w:rsidP="00BE6461">
            <w:pPr>
              <w:jc w:val="right"/>
              <w:rPr>
                <w:b/>
                <w:bCs/>
                <w:sz w:val="20"/>
                <w:szCs w:val="20"/>
              </w:rPr>
            </w:pPr>
            <w:r w:rsidRPr="00BE6461">
              <w:rPr>
                <w:b/>
                <w:bCs/>
                <w:sz w:val="20"/>
                <w:szCs w:val="20"/>
              </w:rPr>
              <w:t>85,51</w:t>
            </w:r>
          </w:p>
        </w:tc>
      </w:tr>
      <w:tr w:rsidR="00BE6461" w:rsidRPr="00BE6461" w14:paraId="73939566" w14:textId="77777777" w:rsidTr="00BE6461">
        <w:trPr>
          <w:trHeight w:val="300"/>
        </w:trPr>
        <w:tc>
          <w:tcPr>
            <w:tcW w:w="1703" w:type="dxa"/>
            <w:tcBorders>
              <w:top w:val="nil"/>
              <w:left w:val="nil"/>
              <w:bottom w:val="nil"/>
              <w:right w:val="nil"/>
            </w:tcBorders>
            <w:shd w:val="clear" w:color="auto" w:fill="auto"/>
            <w:noWrap/>
            <w:vAlign w:val="bottom"/>
            <w:hideMark/>
          </w:tcPr>
          <w:p w14:paraId="053697A4" w14:textId="77777777" w:rsidR="00BE6461" w:rsidRPr="00BE6461" w:rsidRDefault="00BE6461" w:rsidP="00BE6461">
            <w:pPr>
              <w:rPr>
                <w:sz w:val="20"/>
                <w:szCs w:val="20"/>
              </w:rPr>
            </w:pPr>
            <w:r w:rsidRPr="00BE6461">
              <w:rPr>
                <w:sz w:val="20"/>
                <w:szCs w:val="20"/>
              </w:rPr>
              <w:t>4221</w:t>
            </w:r>
          </w:p>
        </w:tc>
        <w:tc>
          <w:tcPr>
            <w:tcW w:w="8457" w:type="dxa"/>
            <w:tcBorders>
              <w:top w:val="nil"/>
              <w:left w:val="nil"/>
              <w:bottom w:val="nil"/>
              <w:right w:val="nil"/>
            </w:tcBorders>
            <w:shd w:val="clear" w:color="auto" w:fill="auto"/>
            <w:vAlign w:val="bottom"/>
            <w:hideMark/>
          </w:tcPr>
          <w:p w14:paraId="1A641D69" w14:textId="77777777" w:rsidR="00BE6461" w:rsidRPr="00BE6461" w:rsidRDefault="00BE6461" w:rsidP="00BE6461">
            <w:pPr>
              <w:rPr>
                <w:sz w:val="20"/>
                <w:szCs w:val="20"/>
              </w:rPr>
            </w:pPr>
            <w:r w:rsidRPr="00BE6461">
              <w:rPr>
                <w:sz w:val="20"/>
                <w:szCs w:val="20"/>
              </w:rPr>
              <w:t xml:space="preserve">Uredska oprema i namještaj                                                                          </w:t>
            </w:r>
          </w:p>
        </w:tc>
        <w:tc>
          <w:tcPr>
            <w:tcW w:w="1503" w:type="dxa"/>
            <w:tcBorders>
              <w:top w:val="nil"/>
              <w:left w:val="nil"/>
              <w:bottom w:val="nil"/>
              <w:right w:val="nil"/>
            </w:tcBorders>
            <w:shd w:val="clear" w:color="auto" w:fill="auto"/>
            <w:noWrap/>
            <w:vAlign w:val="bottom"/>
            <w:hideMark/>
          </w:tcPr>
          <w:p w14:paraId="0DC90CC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4FBFAA4" w14:textId="77777777" w:rsidR="00BE6461" w:rsidRPr="00BE6461" w:rsidRDefault="00BE6461" w:rsidP="00BE6461">
            <w:pPr>
              <w:jc w:val="right"/>
              <w:rPr>
                <w:sz w:val="20"/>
                <w:szCs w:val="20"/>
              </w:rPr>
            </w:pPr>
            <w:r w:rsidRPr="00BE6461">
              <w:rPr>
                <w:sz w:val="20"/>
                <w:szCs w:val="20"/>
              </w:rPr>
              <w:t>77.175,98</w:t>
            </w:r>
          </w:p>
        </w:tc>
        <w:tc>
          <w:tcPr>
            <w:tcW w:w="1100" w:type="dxa"/>
            <w:tcBorders>
              <w:top w:val="nil"/>
              <w:left w:val="nil"/>
              <w:bottom w:val="nil"/>
              <w:right w:val="nil"/>
            </w:tcBorders>
            <w:shd w:val="clear" w:color="auto" w:fill="auto"/>
            <w:noWrap/>
            <w:vAlign w:val="bottom"/>
            <w:hideMark/>
          </w:tcPr>
          <w:p w14:paraId="01CB694E" w14:textId="77777777" w:rsidR="00BE6461" w:rsidRPr="00BE6461" w:rsidRDefault="00BE6461" w:rsidP="00BE6461">
            <w:pPr>
              <w:jc w:val="right"/>
              <w:rPr>
                <w:sz w:val="20"/>
                <w:szCs w:val="20"/>
              </w:rPr>
            </w:pPr>
          </w:p>
        </w:tc>
      </w:tr>
      <w:tr w:rsidR="00BE6461" w:rsidRPr="00BE6461" w14:paraId="6E5408A5" w14:textId="77777777" w:rsidTr="00BE6461">
        <w:trPr>
          <w:trHeight w:val="300"/>
        </w:trPr>
        <w:tc>
          <w:tcPr>
            <w:tcW w:w="1703" w:type="dxa"/>
            <w:tcBorders>
              <w:top w:val="nil"/>
              <w:left w:val="nil"/>
              <w:bottom w:val="nil"/>
              <w:right w:val="nil"/>
            </w:tcBorders>
            <w:shd w:val="clear" w:color="auto" w:fill="auto"/>
            <w:noWrap/>
            <w:vAlign w:val="bottom"/>
            <w:hideMark/>
          </w:tcPr>
          <w:p w14:paraId="7FD74F82" w14:textId="77777777" w:rsidR="00BE6461" w:rsidRPr="00BE6461" w:rsidRDefault="00BE6461" w:rsidP="00BE6461">
            <w:pPr>
              <w:rPr>
                <w:sz w:val="20"/>
                <w:szCs w:val="20"/>
              </w:rPr>
            </w:pPr>
            <w:r w:rsidRPr="00BE6461">
              <w:rPr>
                <w:sz w:val="20"/>
                <w:szCs w:val="20"/>
              </w:rPr>
              <w:lastRenderedPageBreak/>
              <w:t>4222</w:t>
            </w:r>
          </w:p>
        </w:tc>
        <w:tc>
          <w:tcPr>
            <w:tcW w:w="8457" w:type="dxa"/>
            <w:tcBorders>
              <w:top w:val="nil"/>
              <w:left w:val="nil"/>
              <w:bottom w:val="nil"/>
              <w:right w:val="nil"/>
            </w:tcBorders>
            <w:shd w:val="clear" w:color="auto" w:fill="auto"/>
            <w:vAlign w:val="bottom"/>
            <w:hideMark/>
          </w:tcPr>
          <w:p w14:paraId="02121CE6" w14:textId="77777777" w:rsidR="00BE6461" w:rsidRPr="00BE6461" w:rsidRDefault="00BE6461" w:rsidP="00BE6461">
            <w:pPr>
              <w:rPr>
                <w:sz w:val="20"/>
                <w:szCs w:val="20"/>
              </w:rPr>
            </w:pPr>
            <w:r w:rsidRPr="00BE6461">
              <w:rPr>
                <w:sz w:val="20"/>
                <w:szCs w:val="20"/>
              </w:rPr>
              <w:t xml:space="preserve">Komunikacijska oprema                                                                               </w:t>
            </w:r>
          </w:p>
        </w:tc>
        <w:tc>
          <w:tcPr>
            <w:tcW w:w="1503" w:type="dxa"/>
            <w:tcBorders>
              <w:top w:val="nil"/>
              <w:left w:val="nil"/>
              <w:bottom w:val="nil"/>
              <w:right w:val="nil"/>
            </w:tcBorders>
            <w:shd w:val="clear" w:color="auto" w:fill="auto"/>
            <w:noWrap/>
            <w:vAlign w:val="bottom"/>
            <w:hideMark/>
          </w:tcPr>
          <w:p w14:paraId="0BEB61F9"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01A4CB2"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6BFD452F" w14:textId="77777777" w:rsidR="00BE6461" w:rsidRPr="00BE6461" w:rsidRDefault="00BE6461" w:rsidP="00BE6461">
            <w:pPr>
              <w:jc w:val="right"/>
              <w:rPr>
                <w:sz w:val="20"/>
                <w:szCs w:val="20"/>
              </w:rPr>
            </w:pPr>
          </w:p>
        </w:tc>
      </w:tr>
      <w:tr w:rsidR="00BE6461" w:rsidRPr="00BE6461" w14:paraId="65B0ECFC" w14:textId="77777777" w:rsidTr="00BE6461">
        <w:trPr>
          <w:trHeight w:val="300"/>
        </w:trPr>
        <w:tc>
          <w:tcPr>
            <w:tcW w:w="1703" w:type="dxa"/>
            <w:tcBorders>
              <w:top w:val="nil"/>
              <w:left w:val="nil"/>
              <w:bottom w:val="nil"/>
              <w:right w:val="nil"/>
            </w:tcBorders>
            <w:shd w:val="clear" w:color="auto" w:fill="auto"/>
            <w:noWrap/>
            <w:vAlign w:val="bottom"/>
            <w:hideMark/>
          </w:tcPr>
          <w:p w14:paraId="28DC836D" w14:textId="77777777" w:rsidR="00BE6461" w:rsidRPr="00BE6461" w:rsidRDefault="00BE6461" w:rsidP="00BE6461">
            <w:pPr>
              <w:rPr>
                <w:sz w:val="20"/>
                <w:szCs w:val="20"/>
              </w:rPr>
            </w:pPr>
            <w:r w:rsidRPr="00BE6461">
              <w:rPr>
                <w:sz w:val="20"/>
                <w:szCs w:val="20"/>
              </w:rPr>
              <w:t>4227</w:t>
            </w:r>
          </w:p>
        </w:tc>
        <w:tc>
          <w:tcPr>
            <w:tcW w:w="8457" w:type="dxa"/>
            <w:tcBorders>
              <w:top w:val="nil"/>
              <w:left w:val="nil"/>
              <w:bottom w:val="nil"/>
              <w:right w:val="nil"/>
            </w:tcBorders>
            <w:shd w:val="clear" w:color="auto" w:fill="auto"/>
            <w:vAlign w:val="bottom"/>
            <w:hideMark/>
          </w:tcPr>
          <w:p w14:paraId="2EAAAC37" w14:textId="77777777" w:rsidR="00BE6461" w:rsidRPr="00BE6461" w:rsidRDefault="00BE6461" w:rsidP="00BE6461">
            <w:pPr>
              <w:rPr>
                <w:sz w:val="20"/>
                <w:szCs w:val="20"/>
              </w:rPr>
            </w:pPr>
            <w:r w:rsidRPr="00BE6461">
              <w:rPr>
                <w:sz w:val="20"/>
                <w:szCs w:val="20"/>
              </w:rPr>
              <w:t xml:space="preserve">Uređaji, strojevi i oprema za ostale namjene                                                        </w:t>
            </w:r>
          </w:p>
        </w:tc>
        <w:tc>
          <w:tcPr>
            <w:tcW w:w="1503" w:type="dxa"/>
            <w:tcBorders>
              <w:top w:val="nil"/>
              <w:left w:val="nil"/>
              <w:bottom w:val="nil"/>
              <w:right w:val="nil"/>
            </w:tcBorders>
            <w:shd w:val="clear" w:color="auto" w:fill="auto"/>
            <w:noWrap/>
            <w:vAlign w:val="bottom"/>
            <w:hideMark/>
          </w:tcPr>
          <w:p w14:paraId="649D759F"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7B64515" w14:textId="77777777" w:rsidR="00BE6461" w:rsidRPr="00BE6461" w:rsidRDefault="00BE6461" w:rsidP="00BE6461">
            <w:pPr>
              <w:jc w:val="right"/>
              <w:rPr>
                <w:sz w:val="20"/>
                <w:szCs w:val="20"/>
              </w:rPr>
            </w:pPr>
            <w:r w:rsidRPr="00BE6461">
              <w:rPr>
                <w:sz w:val="20"/>
                <w:szCs w:val="20"/>
              </w:rPr>
              <w:t>12.608,82</w:t>
            </w:r>
          </w:p>
        </w:tc>
        <w:tc>
          <w:tcPr>
            <w:tcW w:w="1100" w:type="dxa"/>
            <w:tcBorders>
              <w:top w:val="nil"/>
              <w:left w:val="nil"/>
              <w:bottom w:val="nil"/>
              <w:right w:val="nil"/>
            </w:tcBorders>
            <w:shd w:val="clear" w:color="auto" w:fill="auto"/>
            <w:noWrap/>
            <w:vAlign w:val="bottom"/>
            <w:hideMark/>
          </w:tcPr>
          <w:p w14:paraId="7684F4D1" w14:textId="77777777" w:rsidR="00BE6461" w:rsidRPr="00BE6461" w:rsidRDefault="00BE6461" w:rsidP="00BE6461">
            <w:pPr>
              <w:jc w:val="right"/>
              <w:rPr>
                <w:sz w:val="20"/>
                <w:szCs w:val="20"/>
              </w:rPr>
            </w:pPr>
          </w:p>
        </w:tc>
      </w:tr>
      <w:tr w:rsidR="00BE6461" w:rsidRPr="00BE6461" w14:paraId="2DBD9188" w14:textId="77777777" w:rsidTr="00BE6461">
        <w:trPr>
          <w:trHeight w:val="300"/>
        </w:trPr>
        <w:tc>
          <w:tcPr>
            <w:tcW w:w="1703" w:type="dxa"/>
            <w:tcBorders>
              <w:top w:val="nil"/>
              <w:left w:val="nil"/>
              <w:bottom w:val="nil"/>
              <w:right w:val="nil"/>
            </w:tcBorders>
            <w:shd w:val="clear" w:color="auto" w:fill="auto"/>
            <w:noWrap/>
            <w:vAlign w:val="bottom"/>
            <w:hideMark/>
          </w:tcPr>
          <w:p w14:paraId="4F807183" w14:textId="77777777" w:rsidR="00BE6461" w:rsidRPr="00BE6461" w:rsidRDefault="00BE6461" w:rsidP="00BE6461">
            <w:pPr>
              <w:rPr>
                <w:b/>
                <w:bCs/>
                <w:sz w:val="20"/>
                <w:szCs w:val="20"/>
              </w:rPr>
            </w:pPr>
            <w:r w:rsidRPr="00BE6461">
              <w:rPr>
                <w:b/>
                <w:bCs/>
                <w:sz w:val="20"/>
                <w:szCs w:val="20"/>
              </w:rPr>
              <w:t>426</w:t>
            </w:r>
          </w:p>
        </w:tc>
        <w:tc>
          <w:tcPr>
            <w:tcW w:w="8457" w:type="dxa"/>
            <w:tcBorders>
              <w:top w:val="nil"/>
              <w:left w:val="nil"/>
              <w:bottom w:val="nil"/>
              <w:right w:val="nil"/>
            </w:tcBorders>
            <w:shd w:val="clear" w:color="auto" w:fill="auto"/>
            <w:vAlign w:val="bottom"/>
            <w:hideMark/>
          </w:tcPr>
          <w:p w14:paraId="0D8F92FF" w14:textId="77777777" w:rsidR="00BE6461" w:rsidRPr="00BE6461" w:rsidRDefault="00BE6461" w:rsidP="00BE6461">
            <w:pPr>
              <w:rPr>
                <w:b/>
                <w:bCs/>
                <w:sz w:val="20"/>
                <w:szCs w:val="20"/>
              </w:rPr>
            </w:pPr>
            <w:r w:rsidRPr="00BE6461">
              <w:rPr>
                <w:b/>
                <w:bCs/>
                <w:sz w:val="20"/>
                <w:szCs w:val="20"/>
              </w:rPr>
              <w:t xml:space="preserve">Nematerijalna proizvedena imovina                                                                   </w:t>
            </w:r>
          </w:p>
        </w:tc>
        <w:tc>
          <w:tcPr>
            <w:tcW w:w="1503" w:type="dxa"/>
            <w:tcBorders>
              <w:top w:val="nil"/>
              <w:left w:val="nil"/>
              <w:bottom w:val="nil"/>
              <w:right w:val="nil"/>
            </w:tcBorders>
            <w:shd w:val="clear" w:color="auto" w:fill="auto"/>
            <w:noWrap/>
            <w:vAlign w:val="bottom"/>
            <w:hideMark/>
          </w:tcPr>
          <w:p w14:paraId="58070366" w14:textId="77777777" w:rsidR="00BE6461" w:rsidRPr="00BE6461" w:rsidRDefault="00BE6461" w:rsidP="00BE6461">
            <w:pPr>
              <w:jc w:val="right"/>
              <w:rPr>
                <w:b/>
                <w:bCs/>
                <w:sz w:val="20"/>
                <w:szCs w:val="20"/>
              </w:rPr>
            </w:pPr>
            <w:r w:rsidRPr="00BE6461">
              <w:rPr>
                <w:b/>
                <w:bCs/>
                <w:sz w:val="20"/>
                <w:szCs w:val="20"/>
              </w:rPr>
              <w:t>30.000,00</w:t>
            </w:r>
          </w:p>
        </w:tc>
        <w:tc>
          <w:tcPr>
            <w:tcW w:w="1500" w:type="dxa"/>
            <w:tcBorders>
              <w:top w:val="nil"/>
              <w:left w:val="nil"/>
              <w:bottom w:val="nil"/>
              <w:right w:val="nil"/>
            </w:tcBorders>
            <w:shd w:val="clear" w:color="auto" w:fill="auto"/>
            <w:noWrap/>
            <w:vAlign w:val="bottom"/>
            <w:hideMark/>
          </w:tcPr>
          <w:p w14:paraId="201A33D4" w14:textId="77777777" w:rsidR="00BE6461" w:rsidRPr="00BE6461" w:rsidRDefault="00BE6461" w:rsidP="00BE6461">
            <w:pPr>
              <w:jc w:val="right"/>
              <w:rPr>
                <w:b/>
                <w:bCs/>
                <w:sz w:val="20"/>
                <w:szCs w:val="20"/>
              </w:rPr>
            </w:pPr>
            <w:r w:rsidRPr="00BE6461">
              <w:rPr>
                <w:b/>
                <w:bCs/>
                <w:sz w:val="20"/>
                <w:szCs w:val="20"/>
              </w:rPr>
              <w:t>28.125,00</w:t>
            </w:r>
          </w:p>
        </w:tc>
        <w:tc>
          <w:tcPr>
            <w:tcW w:w="1100" w:type="dxa"/>
            <w:tcBorders>
              <w:top w:val="nil"/>
              <w:left w:val="nil"/>
              <w:bottom w:val="nil"/>
              <w:right w:val="nil"/>
            </w:tcBorders>
            <w:shd w:val="clear" w:color="auto" w:fill="auto"/>
            <w:noWrap/>
            <w:vAlign w:val="bottom"/>
            <w:hideMark/>
          </w:tcPr>
          <w:p w14:paraId="28430257" w14:textId="77777777" w:rsidR="00BE6461" w:rsidRPr="00BE6461" w:rsidRDefault="00BE6461" w:rsidP="00BE6461">
            <w:pPr>
              <w:jc w:val="right"/>
              <w:rPr>
                <w:b/>
                <w:bCs/>
                <w:sz w:val="20"/>
                <w:szCs w:val="20"/>
              </w:rPr>
            </w:pPr>
            <w:r w:rsidRPr="00BE6461">
              <w:rPr>
                <w:b/>
                <w:bCs/>
                <w:sz w:val="20"/>
                <w:szCs w:val="20"/>
              </w:rPr>
              <w:t>93,75</w:t>
            </w:r>
          </w:p>
        </w:tc>
      </w:tr>
      <w:tr w:rsidR="00BE6461" w:rsidRPr="00BE6461" w14:paraId="53E3F995" w14:textId="77777777" w:rsidTr="00BE6461">
        <w:trPr>
          <w:trHeight w:val="300"/>
        </w:trPr>
        <w:tc>
          <w:tcPr>
            <w:tcW w:w="1703" w:type="dxa"/>
            <w:tcBorders>
              <w:top w:val="nil"/>
              <w:left w:val="nil"/>
              <w:bottom w:val="nil"/>
              <w:right w:val="nil"/>
            </w:tcBorders>
            <w:shd w:val="clear" w:color="auto" w:fill="auto"/>
            <w:noWrap/>
            <w:vAlign w:val="bottom"/>
            <w:hideMark/>
          </w:tcPr>
          <w:p w14:paraId="5C84E4A6" w14:textId="77777777" w:rsidR="00BE6461" w:rsidRPr="00BE6461" w:rsidRDefault="00BE6461" w:rsidP="00BE6461">
            <w:pPr>
              <w:rPr>
                <w:sz w:val="20"/>
                <w:szCs w:val="20"/>
              </w:rPr>
            </w:pPr>
            <w:r w:rsidRPr="00BE6461">
              <w:rPr>
                <w:sz w:val="20"/>
                <w:szCs w:val="20"/>
              </w:rPr>
              <w:t>4262</w:t>
            </w:r>
          </w:p>
        </w:tc>
        <w:tc>
          <w:tcPr>
            <w:tcW w:w="8457" w:type="dxa"/>
            <w:tcBorders>
              <w:top w:val="nil"/>
              <w:left w:val="nil"/>
              <w:bottom w:val="nil"/>
              <w:right w:val="nil"/>
            </w:tcBorders>
            <w:shd w:val="clear" w:color="auto" w:fill="auto"/>
            <w:vAlign w:val="bottom"/>
            <w:hideMark/>
          </w:tcPr>
          <w:p w14:paraId="714490C3" w14:textId="77777777" w:rsidR="00BE6461" w:rsidRPr="00BE6461" w:rsidRDefault="00BE6461" w:rsidP="00BE6461">
            <w:pPr>
              <w:rPr>
                <w:sz w:val="20"/>
                <w:szCs w:val="20"/>
              </w:rPr>
            </w:pPr>
            <w:r w:rsidRPr="00BE6461">
              <w:rPr>
                <w:sz w:val="20"/>
                <w:szCs w:val="20"/>
              </w:rPr>
              <w:t xml:space="preserve">Ulaganja u računalne programe                                                                       </w:t>
            </w:r>
          </w:p>
        </w:tc>
        <w:tc>
          <w:tcPr>
            <w:tcW w:w="1503" w:type="dxa"/>
            <w:tcBorders>
              <w:top w:val="nil"/>
              <w:left w:val="nil"/>
              <w:bottom w:val="nil"/>
              <w:right w:val="nil"/>
            </w:tcBorders>
            <w:shd w:val="clear" w:color="auto" w:fill="auto"/>
            <w:noWrap/>
            <w:vAlign w:val="bottom"/>
            <w:hideMark/>
          </w:tcPr>
          <w:p w14:paraId="6E728E9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BD4F32C" w14:textId="77777777" w:rsidR="00BE6461" w:rsidRPr="00BE6461" w:rsidRDefault="00BE6461" w:rsidP="00BE6461">
            <w:pPr>
              <w:jc w:val="right"/>
              <w:rPr>
                <w:sz w:val="20"/>
                <w:szCs w:val="20"/>
              </w:rPr>
            </w:pPr>
            <w:r w:rsidRPr="00BE6461">
              <w:rPr>
                <w:sz w:val="20"/>
                <w:szCs w:val="20"/>
              </w:rPr>
              <w:t>28.125,00</w:t>
            </w:r>
          </w:p>
        </w:tc>
        <w:tc>
          <w:tcPr>
            <w:tcW w:w="1100" w:type="dxa"/>
            <w:tcBorders>
              <w:top w:val="nil"/>
              <w:left w:val="nil"/>
              <w:bottom w:val="nil"/>
              <w:right w:val="nil"/>
            </w:tcBorders>
            <w:shd w:val="clear" w:color="auto" w:fill="auto"/>
            <w:noWrap/>
            <w:vAlign w:val="bottom"/>
            <w:hideMark/>
          </w:tcPr>
          <w:p w14:paraId="7381C15D" w14:textId="77777777" w:rsidR="00BE6461" w:rsidRPr="00BE6461" w:rsidRDefault="00BE6461" w:rsidP="00BE6461">
            <w:pPr>
              <w:jc w:val="right"/>
              <w:rPr>
                <w:sz w:val="20"/>
                <w:szCs w:val="20"/>
              </w:rPr>
            </w:pPr>
          </w:p>
        </w:tc>
      </w:tr>
      <w:tr w:rsidR="00BE6461" w:rsidRPr="00BE6461" w14:paraId="03B1155C" w14:textId="77777777" w:rsidTr="00BE6461">
        <w:trPr>
          <w:trHeight w:val="390"/>
        </w:trPr>
        <w:tc>
          <w:tcPr>
            <w:tcW w:w="1703" w:type="dxa"/>
            <w:tcBorders>
              <w:top w:val="single" w:sz="4" w:space="0" w:color="auto"/>
              <w:left w:val="nil"/>
              <w:bottom w:val="nil"/>
              <w:right w:val="nil"/>
            </w:tcBorders>
            <w:shd w:val="clear" w:color="auto" w:fill="auto"/>
            <w:noWrap/>
            <w:vAlign w:val="bottom"/>
            <w:hideMark/>
          </w:tcPr>
          <w:p w14:paraId="6BEA9913" w14:textId="77777777" w:rsidR="00BE6461" w:rsidRPr="00BE6461" w:rsidRDefault="00BE6461" w:rsidP="00BE6461">
            <w:pPr>
              <w:rPr>
                <w:b/>
                <w:bCs/>
                <w:sz w:val="20"/>
                <w:szCs w:val="20"/>
              </w:rPr>
            </w:pPr>
            <w:r w:rsidRPr="00BE6461">
              <w:rPr>
                <w:b/>
                <w:bCs/>
                <w:sz w:val="20"/>
                <w:szCs w:val="20"/>
              </w:rPr>
              <w:t>1007</w:t>
            </w:r>
          </w:p>
        </w:tc>
        <w:tc>
          <w:tcPr>
            <w:tcW w:w="8457" w:type="dxa"/>
            <w:tcBorders>
              <w:top w:val="single" w:sz="4" w:space="0" w:color="auto"/>
              <w:left w:val="nil"/>
              <w:bottom w:val="nil"/>
              <w:right w:val="nil"/>
            </w:tcBorders>
            <w:shd w:val="clear" w:color="auto" w:fill="auto"/>
            <w:vAlign w:val="bottom"/>
            <w:hideMark/>
          </w:tcPr>
          <w:p w14:paraId="21FF66D7" w14:textId="77777777" w:rsidR="00BE6461" w:rsidRPr="00BE6461" w:rsidRDefault="00BE6461" w:rsidP="00BE6461">
            <w:pPr>
              <w:rPr>
                <w:b/>
                <w:bCs/>
                <w:sz w:val="20"/>
                <w:szCs w:val="20"/>
              </w:rPr>
            </w:pPr>
            <w:r w:rsidRPr="00BE6461">
              <w:rPr>
                <w:b/>
                <w:bCs/>
                <w:sz w:val="20"/>
                <w:szCs w:val="20"/>
              </w:rPr>
              <w:t>Program: JAVNE POTREBE U PODRUČJU KULTURE</w:t>
            </w:r>
          </w:p>
        </w:tc>
        <w:tc>
          <w:tcPr>
            <w:tcW w:w="1503" w:type="dxa"/>
            <w:tcBorders>
              <w:top w:val="single" w:sz="4" w:space="0" w:color="auto"/>
              <w:left w:val="nil"/>
              <w:bottom w:val="nil"/>
              <w:right w:val="nil"/>
            </w:tcBorders>
            <w:shd w:val="clear" w:color="auto" w:fill="auto"/>
            <w:noWrap/>
            <w:vAlign w:val="bottom"/>
            <w:hideMark/>
          </w:tcPr>
          <w:p w14:paraId="5E19002C" w14:textId="77777777" w:rsidR="00BE6461" w:rsidRPr="00BE6461" w:rsidRDefault="00BE6461" w:rsidP="00BE6461">
            <w:pPr>
              <w:jc w:val="right"/>
              <w:rPr>
                <w:b/>
                <w:bCs/>
                <w:sz w:val="20"/>
                <w:szCs w:val="20"/>
              </w:rPr>
            </w:pPr>
            <w:r w:rsidRPr="00BE6461">
              <w:rPr>
                <w:b/>
                <w:bCs/>
                <w:sz w:val="20"/>
                <w:szCs w:val="20"/>
              </w:rPr>
              <w:t>538.259,00</w:t>
            </w:r>
          </w:p>
        </w:tc>
        <w:tc>
          <w:tcPr>
            <w:tcW w:w="1500" w:type="dxa"/>
            <w:tcBorders>
              <w:top w:val="single" w:sz="4" w:space="0" w:color="auto"/>
              <w:left w:val="nil"/>
              <w:bottom w:val="nil"/>
              <w:right w:val="nil"/>
            </w:tcBorders>
            <w:shd w:val="clear" w:color="auto" w:fill="auto"/>
            <w:noWrap/>
            <w:vAlign w:val="bottom"/>
            <w:hideMark/>
          </w:tcPr>
          <w:p w14:paraId="00288F6D" w14:textId="77777777" w:rsidR="00BE6461" w:rsidRPr="00BE6461" w:rsidRDefault="00BE6461" w:rsidP="00BE6461">
            <w:pPr>
              <w:jc w:val="right"/>
              <w:rPr>
                <w:b/>
                <w:bCs/>
                <w:sz w:val="20"/>
                <w:szCs w:val="20"/>
              </w:rPr>
            </w:pPr>
            <w:r w:rsidRPr="00BE6461">
              <w:rPr>
                <w:b/>
                <w:bCs/>
                <w:sz w:val="20"/>
                <w:szCs w:val="20"/>
              </w:rPr>
              <w:t>535.682,13</w:t>
            </w:r>
          </w:p>
        </w:tc>
        <w:tc>
          <w:tcPr>
            <w:tcW w:w="1100" w:type="dxa"/>
            <w:tcBorders>
              <w:top w:val="single" w:sz="4" w:space="0" w:color="auto"/>
              <w:left w:val="nil"/>
              <w:bottom w:val="nil"/>
              <w:right w:val="nil"/>
            </w:tcBorders>
            <w:shd w:val="clear" w:color="auto" w:fill="auto"/>
            <w:noWrap/>
            <w:vAlign w:val="bottom"/>
            <w:hideMark/>
          </w:tcPr>
          <w:p w14:paraId="2F12EA3E" w14:textId="77777777" w:rsidR="00BE6461" w:rsidRPr="00BE6461" w:rsidRDefault="00BE6461" w:rsidP="00BE6461">
            <w:pPr>
              <w:jc w:val="right"/>
              <w:rPr>
                <w:b/>
                <w:bCs/>
                <w:sz w:val="20"/>
                <w:szCs w:val="20"/>
              </w:rPr>
            </w:pPr>
            <w:r w:rsidRPr="00BE6461">
              <w:rPr>
                <w:b/>
                <w:bCs/>
                <w:sz w:val="20"/>
                <w:szCs w:val="20"/>
              </w:rPr>
              <w:t>99,52</w:t>
            </w:r>
          </w:p>
        </w:tc>
      </w:tr>
      <w:tr w:rsidR="00BE6461" w:rsidRPr="00BE6461" w14:paraId="2AE8224E"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3B8D1B33" w14:textId="77777777" w:rsidR="00BE6461" w:rsidRPr="00BE6461" w:rsidRDefault="00BE6461" w:rsidP="00BE6461">
            <w:pPr>
              <w:rPr>
                <w:b/>
                <w:bCs/>
                <w:sz w:val="20"/>
                <w:szCs w:val="20"/>
              </w:rPr>
            </w:pPr>
            <w:r w:rsidRPr="00BE6461">
              <w:rPr>
                <w:b/>
                <w:bCs/>
                <w:sz w:val="20"/>
                <w:szCs w:val="20"/>
              </w:rPr>
              <w:t>A100020</w:t>
            </w:r>
          </w:p>
        </w:tc>
        <w:tc>
          <w:tcPr>
            <w:tcW w:w="8457" w:type="dxa"/>
            <w:tcBorders>
              <w:top w:val="single" w:sz="4" w:space="0" w:color="auto"/>
              <w:left w:val="nil"/>
              <w:bottom w:val="single" w:sz="4" w:space="0" w:color="auto"/>
              <w:right w:val="nil"/>
            </w:tcBorders>
            <w:shd w:val="clear" w:color="auto" w:fill="auto"/>
            <w:vAlign w:val="bottom"/>
            <w:hideMark/>
          </w:tcPr>
          <w:p w14:paraId="2F5956E2" w14:textId="77777777" w:rsidR="00BE6461" w:rsidRPr="00BE6461" w:rsidRDefault="00BE6461" w:rsidP="00BE6461">
            <w:pPr>
              <w:rPr>
                <w:b/>
                <w:bCs/>
                <w:sz w:val="20"/>
                <w:szCs w:val="20"/>
              </w:rPr>
            </w:pPr>
            <w:r w:rsidRPr="00BE6461">
              <w:rPr>
                <w:b/>
                <w:bCs/>
                <w:sz w:val="20"/>
                <w:szCs w:val="20"/>
              </w:rPr>
              <w:t>Aktivnost: POMOĆI ZA REDOVAN RAD UDRUGA</w:t>
            </w:r>
          </w:p>
        </w:tc>
        <w:tc>
          <w:tcPr>
            <w:tcW w:w="1503" w:type="dxa"/>
            <w:tcBorders>
              <w:top w:val="single" w:sz="4" w:space="0" w:color="auto"/>
              <w:left w:val="nil"/>
              <w:bottom w:val="single" w:sz="4" w:space="0" w:color="auto"/>
              <w:right w:val="nil"/>
            </w:tcBorders>
            <w:shd w:val="clear" w:color="auto" w:fill="auto"/>
            <w:noWrap/>
            <w:vAlign w:val="bottom"/>
            <w:hideMark/>
          </w:tcPr>
          <w:p w14:paraId="1166F066" w14:textId="77777777" w:rsidR="00BE6461" w:rsidRPr="00BE6461" w:rsidRDefault="00BE6461" w:rsidP="00BE6461">
            <w:pPr>
              <w:jc w:val="right"/>
              <w:rPr>
                <w:b/>
                <w:bCs/>
                <w:sz w:val="20"/>
                <w:szCs w:val="20"/>
              </w:rPr>
            </w:pPr>
            <w:r w:rsidRPr="00BE6461">
              <w:rPr>
                <w:b/>
                <w:bCs/>
                <w:sz w:val="20"/>
                <w:szCs w:val="20"/>
              </w:rPr>
              <w:t>93.000,00</w:t>
            </w:r>
          </w:p>
        </w:tc>
        <w:tc>
          <w:tcPr>
            <w:tcW w:w="1500" w:type="dxa"/>
            <w:tcBorders>
              <w:top w:val="single" w:sz="4" w:space="0" w:color="auto"/>
              <w:left w:val="nil"/>
              <w:bottom w:val="single" w:sz="4" w:space="0" w:color="auto"/>
              <w:right w:val="nil"/>
            </w:tcBorders>
            <w:shd w:val="clear" w:color="auto" w:fill="auto"/>
            <w:noWrap/>
            <w:vAlign w:val="bottom"/>
            <w:hideMark/>
          </w:tcPr>
          <w:p w14:paraId="352139CB" w14:textId="77777777" w:rsidR="00BE6461" w:rsidRPr="00BE6461" w:rsidRDefault="00BE6461" w:rsidP="00BE6461">
            <w:pPr>
              <w:jc w:val="right"/>
              <w:rPr>
                <w:b/>
                <w:bCs/>
                <w:sz w:val="20"/>
                <w:szCs w:val="20"/>
              </w:rPr>
            </w:pPr>
            <w:r w:rsidRPr="00BE6461">
              <w:rPr>
                <w:b/>
                <w:bCs/>
                <w:sz w:val="20"/>
                <w:szCs w:val="20"/>
              </w:rPr>
              <w:t>93.000,00</w:t>
            </w:r>
          </w:p>
        </w:tc>
        <w:tc>
          <w:tcPr>
            <w:tcW w:w="1100" w:type="dxa"/>
            <w:tcBorders>
              <w:top w:val="single" w:sz="4" w:space="0" w:color="auto"/>
              <w:left w:val="nil"/>
              <w:bottom w:val="single" w:sz="4" w:space="0" w:color="auto"/>
              <w:right w:val="nil"/>
            </w:tcBorders>
            <w:shd w:val="clear" w:color="auto" w:fill="auto"/>
            <w:noWrap/>
            <w:vAlign w:val="bottom"/>
            <w:hideMark/>
          </w:tcPr>
          <w:p w14:paraId="56B2F830"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643D5BF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678CE26"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03894A0C" w14:textId="77777777" w:rsidR="00BE6461" w:rsidRPr="00BE6461" w:rsidRDefault="00BE6461" w:rsidP="00BE6461">
            <w:pPr>
              <w:jc w:val="right"/>
              <w:rPr>
                <w:b/>
                <w:bCs/>
                <w:color w:val="333333"/>
                <w:sz w:val="20"/>
                <w:szCs w:val="20"/>
              </w:rPr>
            </w:pPr>
            <w:r w:rsidRPr="00BE6461">
              <w:rPr>
                <w:b/>
                <w:bCs/>
                <w:color w:val="333333"/>
                <w:sz w:val="20"/>
                <w:szCs w:val="20"/>
              </w:rPr>
              <w:t>93.000,00</w:t>
            </w:r>
          </w:p>
        </w:tc>
        <w:tc>
          <w:tcPr>
            <w:tcW w:w="1500" w:type="dxa"/>
            <w:tcBorders>
              <w:top w:val="nil"/>
              <w:left w:val="nil"/>
              <w:bottom w:val="nil"/>
              <w:right w:val="nil"/>
            </w:tcBorders>
            <w:shd w:val="clear" w:color="auto" w:fill="auto"/>
            <w:noWrap/>
            <w:vAlign w:val="bottom"/>
            <w:hideMark/>
          </w:tcPr>
          <w:p w14:paraId="44EA515A" w14:textId="77777777" w:rsidR="00BE6461" w:rsidRPr="00BE6461" w:rsidRDefault="00BE6461" w:rsidP="00BE6461">
            <w:pPr>
              <w:jc w:val="right"/>
              <w:rPr>
                <w:b/>
                <w:bCs/>
                <w:color w:val="333333"/>
                <w:sz w:val="20"/>
                <w:szCs w:val="20"/>
              </w:rPr>
            </w:pPr>
            <w:r w:rsidRPr="00BE6461">
              <w:rPr>
                <w:b/>
                <w:bCs/>
                <w:color w:val="333333"/>
                <w:sz w:val="20"/>
                <w:szCs w:val="20"/>
              </w:rPr>
              <w:t>93.000,00</w:t>
            </w:r>
          </w:p>
        </w:tc>
        <w:tc>
          <w:tcPr>
            <w:tcW w:w="1100" w:type="dxa"/>
            <w:tcBorders>
              <w:top w:val="nil"/>
              <w:left w:val="nil"/>
              <w:bottom w:val="nil"/>
              <w:right w:val="nil"/>
            </w:tcBorders>
            <w:shd w:val="clear" w:color="auto" w:fill="auto"/>
            <w:noWrap/>
            <w:vAlign w:val="bottom"/>
            <w:hideMark/>
          </w:tcPr>
          <w:p w14:paraId="6C3FBCDD"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0B837A40"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0FD6840"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3495131A" w14:textId="77777777" w:rsidR="00BE6461" w:rsidRPr="00BE6461" w:rsidRDefault="00BE6461" w:rsidP="00BE6461">
            <w:pPr>
              <w:jc w:val="right"/>
              <w:rPr>
                <w:b/>
                <w:bCs/>
                <w:color w:val="333333"/>
                <w:sz w:val="20"/>
                <w:szCs w:val="20"/>
              </w:rPr>
            </w:pPr>
            <w:r w:rsidRPr="00BE6461">
              <w:rPr>
                <w:b/>
                <w:bCs/>
                <w:color w:val="333333"/>
                <w:sz w:val="20"/>
                <w:szCs w:val="20"/>
              </w:rPr>
              <w:t>93.000,00</w:t>
            </w:r>
          </w:p>
        </w:tc>
        <w:tc>
          <w:tcPr>
            <w:tcW w:w="1500" w:type="dxa"/>
            <w:tcBorders>
              <w:top w:val="nil"/>
              <w:left w:val="nil"/>
              <w:bottom w:val="nil"/>
              <w:right w:val="nil"/>
            </w:tcBorders>
            <w:shd w:val="clear" w:color="auto" w:fill="auto"/>
            <w:noWrap/>
            <w:vAlign w:val="bottom"/>
            <w:hideMark/>
          </w:tcPr>
          <w:p w14:paraId="560A9A98" w14:textId="77777777" w:rsidR="00BE6461" w:rsidRPr="00BE6461" w:rsidRDefault="00BE6461" w:rsidP="00BE6461">
            <w:pPr>
              <w:jc w:val="right"/>
              <w:rPr>
                <w:b/>
                <w:bCs/>
                <w:color w:val="333333"/>
                <w:sz w:val="20"/>
                <w:szCs w:val="20"/>
              </w:rPr>
            </w:pPr>
            <w:r w:rsidRPr="00BE6461">
              <w:rPr>
                <w:b/>
                <w:bCs/>
                <w:color w:val="333333"/>
                <w:sz w:val="20"/>
                <w:szCs w:val="20"/>
              </w:rPr>
              <w:t>93.000,00</w:t>
            </w:r>
          </w:p>
        </w:tc>
        <w:tc>
          <w:tcPr>
            <w:tcW w:w="1100" w:type="dxa"/>
            <w:tcBorders>
              <w:top w:val="nil"/>
              <w:left w:val="nil"/>
              <w:bottom w:val="nil"/>
              <w:right w:val="nil"/>
            </w:tcBorders>
            <w:shd w:val="clear" w:color="auto" w:fill="auto"/>
            <w:noWrap/>
            <w:vAlign w:val="bottom"/>
            <w:hideMark/>
          </w:tcPr>
          <w:p w14:paraId="6FD9A45D"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1D362AC8" w14:textId="77777777" w:rsidTr="00BE6461">
        <w:trPr>
          <w:trHeight w:val="300"/>
        </w:trPr>
        <w:tc>
          <w:tcPr>
            <w:tcW w:w="1703" w:type="dxa"/>
            <w:tcBorders>
              <w:top w:val="nil"/>
              <w:left w:val="nil"/>
              <w:bottom w:val="nil"/>
              <w:right w:val="nil"/>
            </w:tcBorders>
            <w:shd w:val="clear" w:color="auto" w:fill="auto"/>
            <w:noWrap/>
            <w:vAlign w:val="bottom"/>
            <w:hideMark/>
          </w:tcPr>
          <w:p w14:paraId="4DF5A378" w14:textId="77777777" w:rsidR="00BE6461" w:rsidRPr="00BE6461" w:rsidRDefault="00BE6461" w:rsidP="00BE6461">
            <w:pPr>
              <w:rPr>
                <w:b/>
                <w:bCs/>
                <w:sz w:val="20"/>
                <w:szCs w:val="20"/>
              </w:rPr>
            </w:pPr>
            <w:r w:rsidRPr="00BE6461">
              <w:rPr>
                <w:b/>
                <w:bCs/>
                <w:sz w:val="20"/>
                <w:szCs w:val="20"/>
              </w:rPr>
              <w:t>381</w:t>
            </w:r>
          </w:p>
        </w:tc>
        <w:tc>
          <w:tcPr>
            <w:tcW w:w="8457" w:type="dxa"/>
            <w:tcBorders>
              <w:top w:val="nil"/>
              <w:left w:val="nil"/>
              <w:bottom w:val="nil"/>
              <w:right w:val="nil"/>
            </w:tcBorders>
            <w:shd w:val="clear" w:color="auto" w:fill="auto"/>
            <w:vAlign w:val="bottom"/>
            <w:hideMark/>
          </w:tcPr>
          <w:p w14:paraId="638D119A" w14:textId="77777777" w:rsidR="00BE6461" w:rsidRPr="00BE6461" w:rsidRDefault="00BE6461" w:rsidP="00BE6461">
            <w:pPr>
              <w:rPr>
                <w:b/>
                <w:bCs/>
                <w:sz w:val="20"/>
                <w:szCs w:val="20"/>
              </w:rPr>
            </w:pPr>
            <w:r w:rsidRPr="00BE6461">
              <w:rPr>
                <w:b/>
                <w:bCs/>
                <w:sz w:val="20"/>
                <w:szCs w:val="20"/>
              </w:rPr>
              <w:t xml:space="preserve">Tekuće donacije                                                                                     </w:t>
            </w:r>
          </w:p>
        </w:tc>
        <w:tc>
          <w:tcPr>
            <w:tcW w:w="1503" w:type="dxa"/>
            <w:tcBorders>
              <w:top w:val="nil"/>
              <w:left w:val="nil"/>
              <w:bottom w:val="nil"/>
              <w:right w:val="nil"/>
            </w:tcBorders>
            <w:shd w:val="clear" w:color="auto" w:fill="auto"/>
            <w:noWrap/>
            <w:vAlign w:val="bottom"/>
            <w:hideMark/>
          </w:tcPr>
          <w:p w14:paraId="35E92713" w14:textId="77777777" w:rsidR="00BE6461" w:rsidRPr="00BE6461" w:rsidRDefault="00BE6461" w:rsidP="00BE6461">
            <w:pPr>
              <w:jc w:val="right"/>
              <w:rPr>
                <w:b/>
                <w:bCs/>
                <w:sz w:val="20"/>
                <w:szCs w:val="20"/>
              </w:rPr>
            </w:pPr>
            <w:r w:rsidRPr="00BE6461">
              <w:rPr>
                <w:b/>
                <w:bCs/>
                <w:sz w:val="20"/>
                <w:szCs w:val="20"/>
              </w:rPr>
              <w:t>93.000,00</w:t>
            </w:r>
          </w:p>
        </w:tc>
        <w:tc>
          <w:tcPr>
            <w:tcW w:w="1500" w:type="dxa"/>
            <w:tcBorders>
              <w:top w:val="nil"/>
              <w:left w:val="nil"/>
              <w:bottom w:val="nil"/>
              <w:right w:val="nil"/>
            </w:tcBorders>
            <w:shd w:val="clear" w:color="auto" w:fill="auto"/>
            <w:noWrap/>
            <w:vAlign w:val="bottom"/>
            <w:hideMark/>
          </w:tcPr>
          <w:p w14:paraId="4C8CCD7B" w14:textId="77777777" w:rsidR="00BE6461" w:rsidRPr="00BE6461" w:rsidRDefault="00BE6461" w:rsidP="00BE6461">
            <w:pPr>
              <w:jc w:val="right"/>
              <w:rPr>
                <w:b/>
                <w:bCs/>
                <w:sz w:val="20"/>
                <w:szCs w:val="20"/>
              </w:rPr>
            </w:pPr>
            <w:r w:rsidRPr="00BE6461">
              <w:rPr>
                <w:b/>
                <w:bCs/>
                <w:sz w:val="20"/>
                <w:szCs w:val="20"/>
              </w:rPr>
              <w:t>93.000,00</w:t>
            </w:r>
          </w:p>
        </w:tc>
        <w:tc>
          <w:tcPr>
            <w:tcW w:w="1100" w:type="dxa"/>
            <w:tcBorders>
              <w:top w:val="nil"/>
              <w:left w:val="nil"/>
              <w:bottom w:val="nil"/>
              <w:right w:val="nil"/>
            </w:tcBorders>
            <w:shd w:val="clear" w:color="auto" w:fill="auto"/>
            <w:noWrap/>
            <w:vAlign w:val="bottom"/>
            <w:hideMark/>
          </w:tcPr>
          <w:p w14:paraId="50B3CFC2"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6009BEC9" w14:textId="77777777" w:rsidTr="00BE6461">
        <w:trPr>
          <w:trHeight w:val="300"/>
        </w:trPr>
        <w:tc>
          <w:tcPr>
            <w:tcW w:w="1703" w:type="dxa"/>
            <w:tcBorders>
              <w:top w:val="nil"/>
              <w:left w:val="nil"/>
              <w:bottom w:val="nil"/>
              <w:right w:val="nil"/>
            </w:tcBorders>
            <w:shd w:val="clear" w:color="auto" w:fill="auto"/>
            <w:noWrap/>
            <w:vAlign w:val="bottom"/>
            <w:hideMark/>
          </w:tcPr>
          <w:p w14:paraId="42140450" w14:textId="77777777" w:rsidR="00BE6461" w:rsidRPr="00BE6461" w:rsidRDefault="00BE6461" w:rsidP="00BE6461">
            <w:pPr>
              <w:rPr>
                <w:sz w:val="20"/>
                <w:szCs w:val="20"/>
              </w:rPr>
            </w:pPr>
            <w:r w:rsidRPr="00BE6461">
              <w:rPr>
                <w:sz w:val="20"/>
                <w:szCs w:val="20"/>
              </w:rPr>
              <w:t>3811</w:t>
            </w:r>
          </w:p>
        </w:tc>
        <w:tc>
          <w:tcPr>
            <w:tcW w:w="8457" w:type="dxa"/>
            <w:tcBorders>
              <w:top w:val="nil"/>
              <w:left w:val="nil"/>
              <w:bottom w:val="nil"/>
              <w:right w:val="nil"/>
            </w:tcBorders>
            <w:shd w:val="clear" w:color="auto" w:fill="auto"/>
            <w:vAlign w:val="bottom"/>
            <w:hideMark/>
          </w:tcPr>
          <w:p w14:paraId="14F639BF" w14:textId="77777777" w:rsidR="00BE6461" w:rsidRPr="00BE6461" w:rsidRDefault="00BE6461" w:rsidP="00BE6461">
            <w:pPr>
              <w:rPr>
                <w:sz w:val="20"/>
                <w:szCs w:val="20"/>
              </w:rPr>
            </w:pPr>
            <w:r w:rsidRPr="00BE6461">
              <w:rPr>
                <w:sz w:val="20"/>
                <w:szCs w:val="20"/>
              </w:rPr>
              <w:t xml:space="preserve">Tekuće donacije u novcu                                                                             </w:t>
            </w:r>
          </w:p>
        </w:tc>
        <w:tc>
          <w:tcPr>
            <w:tcW w:w="1503" w:type="dxa"/>
            <w:tcBorders>
              <w:top w:val="nil"/>
              <w:left w:val="nil"/>
              <w:bottom w:val="nil"/>
              <w:right w:val="nil"/>
            </w:tcBorders>
            <w:shd w:val="clear" w:color="auto" w:fill="auto"/>
            <w:noWrap/>
            <w:vAlign w:val="bottom"/>
            <w:hideMark/>
          </w:tcPr>
          <w:p w14:paraId="45120F35"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0DE2E48" w14:textId="77777777" w:rsidR="00BE6461" w:rsidRPr="00BE6461" w:rsidRDefault="00BE6461" w:rsidP="00BE6461">
            <w:pPr>
              <w:jc w:val="right"/>
              <w:rPr>
                <w:sz w:val="20"/>
                <w:szCs w:val="20"/>
              </w:rPr>
            </w:pPr>
            <w:r w:rsidRPr="00BE6461">
              <w:rPr>
                <w:sz w:val="20"/>
                <w:szCs w:val="20"/>
              </w:rPr>
              <w:t>93.000,00</w:t>
            </w:r>
          </w:p>
        </w:tc>
        <w:tc>
          <w:tcPr>
            <w:tcW w:w="1100" w:type="dxa"/>
            <w:tcBorders>
              <w:top w:val="nil"/>
              <w:left w:val="nil"/>
              <w:bottom w:val="nil"/>
              <w:right w:val="nil"/>
            </w:tcBorders>
            <w:shd w:val="clear" w:color="auto" w:fill="auto"/>
            <w:noWrap/>
            <w:vAlign w:val="bottom"/>
            <w:hideMark/>
          </w:tcPr>
          <w:p w14:paraId="46A26BAE" w14:textId="77777777" w:rsidR="00BE6461" w:rsidRPr="00BE6461" w:rsidRDefault="00BE6461" w:rsidP="00BE6461">
            <w:pPr>
              <w:jc w:val="right"/>
              <w:rPr>
                <w:sz w:val="20"/>
                <w:szCs w:val="20"/>
              </w:rPr>
            </w:pPr>
          </w:p>
        </w:tc>
      </w:tr>
      <w:tr w:rsidR="00BE6461" w:rsidRPr="00BE6461" w14:paraId="47FAAA2D"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70E91748" w14:textId="77777777" w:rsidR="00BE6461" w:rsidRPr="00BE6461" w:rsidRDefault="00BE6461" w:rsidP="00BE6461">
            <w:pPr>
              <w:rPr>
                <w:b/>
                <w:bCs/>
                <w:sz w:val="20"/>
                <w:szCs w:val="20"/>
              </w:rPr>
            </w:pPr>
            <w:r w:rsidRPr="00BE6461">
              <w:rPr>
                <w:b/>
                <w:bCs/>
                <w:sz w:val="20"/>
                <w:szCs w:val="20"/>
              </w:rPr>
              <w:t>A100024</w:t>
            </w:r>
          </w:p>
        </w:tc>
        <w:tc>
          <w:tcPr>
            <w:tcW w:w="8457" w:type="dxa"/>
            <w:tcBorders>
              <w:top w:val="single" w:sz="4" w:space="0" w:color="auto"/>
              <w:left w:val="nil"/>
              <w:bottom w:val="single" w:sz="4" w:space="0" w:color="auto"/>
              <w:right w:val="nil"/>
            </w:tcBorders>
            <w:shd w:val="clear" w:color="auto" w:fill="auto"/>
            <w:vAlign w:val="bottom"/>
            <w:hideMark/>
          </w:tcPr>
          <w:p w14:paraId="392F256F" w14:textId="77777777" w:rsidR="00BE6461" w:rsidRPr="00BE6461" w:rsidRDefault="00BE6461" w:rsidP="00BE6461">
            <w:pPr>
              <w:rPr>
                <w:b/>
                <w:bCs/>
                <w:sz w:val="20"/>
                <w:szCs w:val="20"/>
              </w:rPr>
            </w:pPr>
            <w:r w:rsidRPr="00BE6461">
              <w:rPr>
                <w:b/>
                <w:bCs/>
                <w:sz w:val="20"/>
                <w:szCs w:val="20"/>
              </w:rPr>
              <w:t>Aktivnost: KOMEMORATIVNE MANIFESTACIJE NOR-a</w:t>
            </w:r>
          </w:p>
        </w:tc>
        <w:tc>
          <w:tcPr>
            <w:tcW w:w="1503" w:type="dxa"/>
            <w:tcBorders>
              <w:top w:val="single" w:sz="4" w:space="0" w:color="auto"/>
              <w:left w:val="nil"/>
              <w:bottom w:val="single" w:sz="4" w:space="0" w:color="auto"/>
              <w:right w:val="nil"/>
            </w:tcBorders>
            <w:shd w:val="clear" w:color="auto" w:fill="auto"/>
            <w:noWrap/>
            <w:vAlign w:val="bottom"/>
            <w:hideMark/>
          </w:tcPr>
          <w:p w14:paraId="60BBEBF6" w14:textId="77777777" w:rsidR="00BE6461" w:rsidRPr="00BE6461" w:rsidRDefault="00BE6461" w:rsidP="00BE6461">
            <w:pPr>
              <w:jc w:val="right"/>
              <w:rPr>
                <w:b/>
                <w:bCs/>
                <w:sz w:val="20"/>
                <w:szCs w:val="20"/>
              </w:rPr>
            </w:pPr>
            <w:r w:rsidRPr="00BE6461">
              <w:rPr>
                <w:b/>
                <w:bCs/>
                <w:sz w:val="20"/>
                <w:szCs w:val="20"/>
              </w:rPr>
              <w:t>5.000,00</w:t>
            </w:r>
          </w:p>
        </w:tc>
        <w:tc>
          <w:tcPr>
            <w:tcW w:w="1500" w:type="dxa"/>
            <w:tcBorders>
              <w:top w:val="single" w:sz="4" w:space="0" w:color="auto"/>
              <w:left w:val="nil"/>
              <w:bottom w:val="single" w:sz="4" w:space="0" w:color="auto"/>
              <w:right w:val="nil"/>
            </w:tcBorders>
            <w:shd w:val="clear" w:color="auto" w:fill="auto"/>
            <w:noWrap/>
            <w:vAlign w:val="bottom"/>
            <w:hideMark/>
          </w:tcPr>
          <w:p w14:paraId="24583800" w14:textId="77777777" w:rsidR="00BE6461" w:rsidRPr="00BE6461" w:rsidRDefault="00BE6461" w:rsidP="00BE6461">
            <w:pPr>
              <w:jc w:val="right"/>
              <w:rPr>
                <w:b/>
                <w:bCs/>
                <w:sz w:val="20"/>
                <w:szCs w:val="20"/>
              </w:rPr>
            </w:pPr>
            <w:r w:rsidRPr="00BE6461">
              <w:rPr>
                <w:b/>
                <w:bCs/>
                <w:sz w:val="20"/>
                <w:szCs w:val="20"/>
              </w:rPr>
              <w:t>2.424,00</w:t>
            </w:r>
          </w:p>
        </w:tc>
        <w:tc>
          <w:tcPr>
            <w:tcW w:w="1100" w:type="dxa"/>
            <w:tcBorders>
              <w:top w:val="single" w:sz="4" w:space="0" w:color="auto"/>
              <w:left w:val="nil"/>
              <w:bottom w:val="single" w:sz="4" w:space="0" w:color="auto"/>
              <w:right w:val="nil"/>
            </w:tcBorders>
            <w:shd w:val="clear" w:color="auto" w:fill="auto"/>
            <w:noWrap/>
            <w:vAlign w:val="bottom"/>
            <w:hideMark/>
          </w:tcPr>
          <w:p w14:paraId="67692699" w14:textId="77777777" w:rsidR="00BE6461" w:rsidRPr="00BE6461" w:rsidRDefault="00BE6461" w:rsidP="00BE6461">
            <w:pPr>
              <w:jc w:val="right"/>
              <w:rPr>
                <w:b/>
                <w:bCs/>
                <w:sz w:val="20"/>
                <w:szCs w:val="20"/>
              </w:rPr>
            </w:pPr>
            <w:r w:rsidRPr="00BE6461">
              <w:rPr>
                <w:b/>
                <w:bCs/>
                <w:sz w:val="20"/>
                <w:szCs w:val="20"/>
              </w:rPr>
              <w:t>48,48</w:t>
            </w:r>
          </w:p>
        </w:tc>
      </w:tr>
      <w:tr w:rsidR="00BE6461" w:rsidRPr="00BE6461" w14:paraId="34AED2D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65F5E14"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43A92E62" w14:textId="77777777" w:rsidR="00BE6461" w:rsidRPr="00BE6461" w:rsidRDefault="00BE6461" w:rsidP="00BE6461">
            <w:pPr>
              <w:jc w:val="right"/>
              <w:rPr>
                <w:b/>
                <w:bCs/>
                <w:color w:val="333333"/>
                <w:sz w:val="20"/>
                <w:szCs w:val="20"/>
              </w:rPr>
            </w:pPr>
            <w:r w:rsidRPr="00BE6461">
              <w:rPr>
                <w:b/>
                <w:bCs/>
                <w:color w:val="333333"/>
                <w:sz w:val="20"/>
                <w:szCs w:val="20"/>
              </w:rPr>
              <w:t>5.000,00</w:t>
            </w:r>
          </w:p>
        </w:tc>
        <w:tc>
          <w:tcPr>
            <w:tcW w:w="1500" w:type="dxa"/>
            <w:tcBorders>
              <w:top w:val="nil"/>
              <w:left w:val="nil"/>
              <w:bottom w:val="nil"/>
              <w:right w:val="nil"/>
            </w:tcBorders>
            <w:shd w:val="clear" w:color="auto" w:fill="auto"/>
            <w:noWrap/>
            <w:vAlign w:val="bottom"/>
            <w:hideMark/>
          </w:tcPr>
          <w:p w14:paraId="4C654F06" w14:textId="77777777" w:rsidR="00BE6461" w:rsidRPr="00BE6461" w:rsidRDefault="00BE6461" w:rsidP="00BE6461">
            <w:pPr>
              <w:jc w:val="right"/>
              <w:rPr>
                <w:b/>
                <w:bCs/>
                <w:color w:val="333333"/>
                <w:sz w:val="20"/>
                <w:szCs w:val="20"/>
              </w:rPr>
            </w:pPr>
            <w:r w:rsidRPr="00BE6461">
              <w:rPr>
                <w:b/>
                <w:bCs/>
                <w:color w:val="333333"/>
                <w:sz w:val="20"/>
                <w:szCs w:val="20"/>
              </w:rPr>
              <w:t>2.424,00</w:t>
            </w:r>
          </w:p>
        </w:tc>
        <w:tc>
          <w:tcPr>
            <w:tcW w:w="1100" w:type="dxa"/>
            <w:tcBorders>
              <w:top w:val="nil"/>
              <w:left w:val="nil"/>
              <w:bottom w:val="nil"/>
              <w:right w:val="nil"/>
            </w:tcBorders>
            <w:shd w:val="clear" w:color="auto" w:fill="auto"/>
            <w:noWrap/>
            <w:vAlign w:val="bottom"/>
            <w:hideMark/>
          </w:tcPr>
          <w:p w14:paraId="659588D2" w14:textId="77777777" w:rsidR="00BE6461" w:rsidRPr="00BE6461" w:rsidRDefault="00BE6461" w:rsidP="00BE6461">
            <w:pPr>
              <w:jc w:val="right"/>
              <w:rPr>
                <w:b/>
                <w:bCs/>
                <w:color w:val="333333"/>
                <w:sz w:val="20"/>
                <w:szCs w:val="20"/>
              </w:rPr>
            </w:pPr>
            <w:r w:rsidRPr="00BE6461">
              <w:rPr>
                <w:b/>
                <w:bCs/>
                <w:color w:val="333333"/>
                <w:sz w:val="20"/>
                <w:szCs w:val="20"/>
              </w:rPr>
              <w:t>48,48</w:t>
            </w:r>
          </w:p>
        </w:tc>
      </w:tr>
      <w:tr w:rsidR="00BE6461" w:rsidRPr="00BE6461" w14:paraId="2B0EC0AF"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1DBEAFC"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5CD28DB4" w14:textId="77777777" w:rsidR="00BE6461" w:rsidRPr="00BE6461" w:rsidRDefault="00BE6461" w:rsidP="00BE6461">
            <w:pPr>
              <w:jc w:val="right"/>
              <w:rPr>
                <w:b/>
                <w:bCs/>
                <w:color w:val="333333"/>
                <w:sz w:val="20"/>
                <w:szCs w:val="20"/>
              </w:rPr>
            </w:pPr>
            <w:r w:rsidRPr="00BE6461">
              <w:rPr>
                <w:b/>
                <w:bCs/>
                <w:color w:val="333333"/>
                <w:sz w:val="20"/>
                <w:szCs w:val="20"/>
              </w:rPr>
              <w:t>5.000,00</w:t>
            </w:r>
          </w:p>
        </w:tc>
        <w:tc>
          <w:tcPr>
            <w:tcW w:w="1500" w:type="dxa"/>
            <w:tcBorders>
              <w:top w:val="nil"/>
              <w:left w:val="nil"/>
              <w:bottom w:val="nil"/>
              <w:right w:val="nil"/>
            </w:tcBorders>
            <w:shd w:val="clear" w:color="auto" w:fill="auto"/>
            <w:noWrap/>
            <w:vAlign w:val="bottom"/>
            <w:hideMark/>
          </w:tcPr>
          <w:p w14:paraId="14930929" w14:textId="77777777" w:rsidR="00BE6461" w:rsidRPr="00BE6461" w:rsidRDefault="00BE6461" w:rsidP="00BE6461">
            <w:pPr>
              <w:jc w:val="right"/>
              <w:rPr>
                <w:b/>
                <w:bCs/>
                <w:color w:val="333333"/>
                <w:sz w:val="20"/>
                <w:szCs w:val="20"/>
              </w:rPr>
            </w:pPr>
            <w:r w:rsidRPr="00BE6461">
              <w:rPr>
                <w:b/>
                <w:bCs/>
                <w:color w:val="333333"/>
                <w:sz w:val="20"/>
                <w:szCs w:val="20"/>
              </w:rPr>
              <w:t>2.424,00</w:t>
            </w:r>
          </w:p>
        </w:tc>
        <w:tc>
          <w:tcPr>
            <w:tcW w:w="1100" w:type="dxa"/>
            <w:tcBorders>
              <w:top w:val="nil"/>
              <w:left w:val="nil"/>
              <w:bottom w:val="nil"/>
              <w:right w:val="nil"/>
            </w:tcBorders>
            <w:shd w:val="clear" w:color="auto" w:fill="auto"/>
            <w:noWrap/>
            <w:vAlign w:val="bottom"/>
            <w:hideMark/>
          </w:tcPr>
          <w:p w14:paraId="67D32A68" w14:textId="77777777" w:rsidR="00BE6461" w:rsidRPr="00BE6461" w:rsidRDefault="00BE6461" w:rsidP="00BE6461">
            <w:pPr>
              <w:jc w:val="right"/>
              <w:rPr>
                <w:b/>
                <w:bCs/>
                <w:color w:val="333333"/>
                <w:sz w:val="20"/>
                <w:szCs w:val="20"/>
              </w:rPr>
            </w:pPr>
            <w:r w:rsidRPr="00BE6461">
              <w:rPr>
                <w:b/>
                <w:bCs/>
                <w:color w:val="333333"/>
                <w:sz w:val="20"/>
                <w:szCs w:val="20"/>
              </w:rPr>
              <w:t>48,48</w:t>
            </w:r>
          </w:p>
        </w:tc>
      </w:tr>
      <w:tr w:rsidR="00BE6461" w:rsidRPr="00BE6461" w14:paraId="76121039" w14:textId="77777777" w:rsidTr="00BE6461">
        <w:trPr>
          <w:trHeight w:val="300"/>
        </w:trPr>
        <w:tc>
          <w:tcPr>
            <w:tcW w:w="1703" w:type="dxa"/>
            <w:tcBorders>
              <w:top w:val="nil"/>
              <w:left w:val="nil"/>
              <w:bottom w:val="nil"/>
              <w:right w:val="nil"/>
            </w:tcBorders>
            <w:shd w:val="clear" w:color="auto" w:fill="auto"/>
            <w:noWrap/>
            <w:vAlign w:val="bottom"/>
            <w:hideMark/>
          </w:tcPr>
          <w:p w14:paraId="7002B870"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336A89BD"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1932E49D" w14:textId="77777777" w:rsidR="00BE6461" w:rsidRPr="00BE6461" w:rsidRDefault="00BE6461" w:rsidP="00BE6461">
            <w:pPr>
              <w:jc w:val="right"/>
              <w:rPr>
                <w:b/>
                <w:bCs/>
                <w:sz w:val="20"/>
                <w:szCs w:val="20"/>
              </w:rPr>
            </w:pPr>
            <w:r w:rsidRPr="00BE6461">
              <w:rPr>
                <w:b/>
                <w:bCs/>
                <w:sz w:val="20"/>
                <w:szCs w:val="20"/>
              </w:rPr>
              <w:t>5.000,00</w:t>
            </w:r>
          </w:p>
        </w:tc>
        <w:tc>
          <w:tcPr>
            <w:tcW w:w="1500" w:type="dxa"/>
            <w:tcBorders>
              <w:top w:val="nil"/>
              <w:left w:val="nil"/>
              <w:bottom w:val="nil"/>
              <w:right w:val="nil"/>
            </w:tcBorders>
            <w:shd w:val="clear" w:color="auto" w:fill="auto"/>
            <w:noWrap/>
            <w:vAlign w:val="bottom"/>
            <w:hideMark/>
          </w:tcPr>
          <w:p w14:paraId="5079236A" w14:textId="77777777" w:rsidR="00BE6461" w:rsidRPr="00BE6461" w:rsidRDefault="00BE6461" w:rsidP="00BE6461">
            <w:pPr>
              <w:jc w:val="right"/>
              <w:rPr>
                <w:b/>
                <w:bCs/>
                <w:sz w:val="20"/>
                <w:szCs w:val="20"/>
              </w:rPr>
            </w:pPr>
            <w:r w:rsidRPr="00BE6461">
              <w:rPr>
                <w:b/>
                <w:bCs/>
                <w:sz w:val="20"/>
                <w:szCs w:val="20"/>
              </w:rPr>
              <w:t>2.424,00</w:t>
            </w:r>
          </w:p>
        </w:tc>
        <w:tc>
          <w:tcPr>
            <w:tcW w:w="1100" w:type="dxa"/>
            <w:tcBorders>
              <w:top w:val="nil"/>
              <w:left w:val="nil"/>
              <w:bottom w:val="nil"/>
              <w:right w:val="nil"/>
            </w:tcBorders>
            <w:shd w:val="clear" w:color="auto" w:fill="auto"/>
            <w:noWrap/>
            <w:vAlign w:val="bottom"/>
            <w:hideMark/>
          </w:tcPr>
          <w:p w14:paraId="5250852E" w14:textId="77777777" w:rsidR="00BE6461" w:rsidRPr="00BE6461" w:rsidRDefault="00BE6461" w:rsidP="00BE6461">
            <w:pPr>
              <w:jc w:val="right"/>
              <w:rPr>
                <w:b/>
                <w:bCs/>
                <w:sz w:val="20"/>
                <w:szCs w:val="20"/>
              </w:rPr>
            </w:pPr>
            <w:r w:rsidRPr="00BE6461">
              <w:rPr>
                <w:b/>
                <w:bCs/>
                <w:sz w:val="20"/>
                <w:szCs w:val="20"/>
              </w:rPr>
              <w:t>48,48</w:t>
            </w:r>
          </w:p>
        </w:tc>
      </w:tr>
      <w:tr w:rsidR="00BE6461" w:rsidRPr="00BE6461" w14:paraId="2AD5B5C7" w14:textId="77777777" w:rsidTr="00BE6461">
        <w:trPr>
          <w:trHeight w:val="300"/>
        </w:trPr>
        <w:tc>
          <w:tcPr>
            <w:tcW w:w="1703" w:type="dxa"/>
            <w:tcBorders>
              <w:top w:val="nil"/>
              <w:left w:val="nil"/>
              <w:bottom w:val="nil"/>
              <w:right w:val="nil"/>
            </w:tcBorders>
            <w:shd w:val="clear" w:color="auto" w:fill="auto"/>
            <w:noWrap/>
            <w:vAlign w:val="bottom"/>
            <w:hideMark/>
          </w:tcPr>
          <w:p w14:paraId="2E0544BB" w14:textId="77777777" w:rsidR="00BE6461" w:rsidRPr="00BE6461" w:rsidRDefault="00BE6461" w:rsidP="00BE6461">
            <w:pPr>
              <w:rPr>
                <w:sz w:val="20"/>
                <w:szCs w:val="20"/>
              </w:rPr>
            </w:pPr>
            <w:r w:rsidRPr="00BE6461">
              <w:rPr>
                <w:sz w:val="20"/>
                <w:szCs w:val="20"/>
              </w:rPr>
              <w:t>3299</w:t>
            </w:r>
          </w:p>
        </w:tc>
        <w:tc>
          <w:tcPr>
            <w:tcW w:w="8457" w:type="dxa"/>
            <w:tcBorders>
              <w:top w:val="nil"/>
              <w:left w:val="nil"/>
              <w:bottom w:val="nil"/>
              <w:right w:val="nil"/>
            </w:tcBorders>
            <w:shd w:val="clear" w:color="auto" w:fill="auto"/>
            <w:vAlign w:val="bottom"/>
            <w:hideMark/>
          </w:tcPr>
          <w:p w14:paraId="1B2A94AD" w14:textId="77777777" w:rsidR="00BE6461" w:rsidRPr="00BE6461" w:rsidRDefault="00BE6461" w:rsidP="00BE6461">
            <w:pPr>
              <w:rPr>
                <w:sz w:val="20"/>
                <w:szCs w:val="20"/>
              </w:rPr>
            </w:pPr>
            <w:r w:rsidRPr="00BE6461">
              <w:rPr>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4B96630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362B805" w14:textId="77777777" w:rsidR="00BE6461" w:rsidRPr="00BE6461" w:rsidRDefault="00BE6461" w:rsidP="00BE6461">
            <w:pPr>
              <w:jc w:val="right"/>
              <w:rPr>
                <w:sz w:val="20"/>
                <w:szCs w:val="20"/>
              </w:rPr>
            </w:pPr>
            <w:r w:rsidRPr="00BE6461">
              <w:rPr>
                <w:sz w:val="20"/>
                <w:szCs w:val="20"/>
              </w:rPr>
              <w:t>2.424,00</w:t>
            </w:r>
          </w:p>
        </w:tc>
        <w:tc>
          <w:tcPr>
            <w:tcW w:w="1100" w:type="dxa"/>
            <w:tcBorders>
              <w:top w:val="nil"/>
              <w:left w:val="nil"/>
              <w:bottom w:val="nil"/>
              <w:right w:val="nil"/>
            </w:tcBorders>
            <w:shd w:val="clear" w:color="auto" w:fill="auto"/>
            <w:noWrap/>
            <w:vAlign w:val="bottom"/>
            <w:hideMark/>
          </w:tcPr>
          <w:p w14:paraId="5D3A90E6" w14:textId="77777777" w:rsidR="00BE6461" w:rsidRPr="00BE6461" w:rsidRDefault="00BE6461" w:rsidP="00BE6461">
            <w:pPr>
              <w:jc w:val="right"/>
              <w:rPr>
                <w:sz w:val="20"/>
                <w:szCs w:val="20"/>
              </w:rPr>
            </w:pPr>
          </w:p>
        </w:tc>
      </w:tr>
      <w:tr w:rsidR="00BE6461" w:rsidRPr="00BE6461" w14:paraId="09570546"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63AB4E2F" w14:textId="77777777" w:rsidR="00BE6461" w:rsidRPr="00BE6461" w:rsidRDefault="00BE6461" w:rsidP="00BE6461">
            <w:pPr>
              <w:rPr>
                <w:b/>
                <w:bCs/>
                <w:sz w:val="20"/>
                <w:szCs w:val="20"/>
              </w:rPr>
            </w:pPr>
            <w:r w:rsidRPr="00BE6461">
              <w:rPr>
                <w:b/>
                <w:bCs/>
                <w:sz w:val="20"/>
                <w:szCs w:val="20"/>
              </w:rPr>
              <w:t>A100025</w:t>
            </w:r>
          </w:p>
        </w:tc>
        <w:tc>
          <w:tcPr>
            <w:tcW w:w="8457" w:type="dxa"/>
            <w:tcBorders>
              <w:top w:val="single" w:sz="4" w:space="0" w:color="auto"/>
              <w:left w:val="nil"/>
              <w:bottom w:val="single" w:sz="4" w:space="0" w:color="auto"/>
              <w:right w:val="nil"/>
            </w:tcBorders>
            <w:shd w:val="clear" w:color="auto" w:fill="auto"/>
            <w:vAlign w:val="bottom"/>
            <w:hideMark/>
          </w:tcPr>
          <w:p w14:paraId="3DE3586F" w14:textId="77777777" w:rsidR="00BE6461" w:rsidRPr="00BE6461" w:rsidRDefault="00BE6461" w:rsidP="00BE6461">
            <w:pPr>
              <w:rPr>
                <w:b/>
                <w:bCs/>
                <w:sz w:val="20"/>
                <w:szCs w:val="20"/>
              </w:rPr>
            </w:pPr>
            <w:r w:rsidRPr="00BE6461">
              <w:rPr>
                <w:b/>
                <w:bCs/>
                <w:sz w:val="20"/>
                <w:szCs w:val="20"/>
              </w:rPr>
              <w:t>Aktivnost: MANIFESTACIJE OD INTERESA ZA GRAD</w:t>
            </w:r>
          </w:p>
        </w:tc>
        <w:tc>
          <w:tcPr>
            <w:tcW w:w="1503" w:type="dxa"/>
            <w:tcBorders>
              <w:top w:val="single" w:sz="4" w:space="0" w:color="auto"/>
              <w:left w:val="nil"/>
              <w:bottom w:val="single" w:sz="4" w:space="0" w:color="auto"/>
              <w:right w:val="nil"/>
            </w:tcBorders>
            <w:shd w:val="clear" w:color="auto" w:fill="auto"/>
            <w:noWrap/>
            <w:vAlign w:val="bottom"/>
            <w:hideMark/>
          </w:tcPr>
          <w:p w14:paraId="55C481B9" w14:textId="77777777" w:rsidR="00BE6461" w:rsidRPr="00BE6461" w:rsidRDefault="00BE6461" w:rsidP="00BE6461">
            <w:pPr>
              <w:jc w:val="right"/>
              <w:rPr>
                <w:b/>
                <w:bCs/>
                <w:sz w:val="20"/>
                <w:szCs w:val="20"/>
              </w:rPr>
            </w:pPr>
            <w:r w:rsidRPr="00BE6461">
              <w:rPr>
                <w:b/>
                <w:bCs/>
                <w:sz w:val="20"/>
                <w:szCs w:val="20"/>
              </w:rPr>
              <w:t>179.062,50</w:t>
            </w:r>
          </w:p>
        </w:tc>
        <w:tc>
          <w:tcPr>
            <w:tcW w:w="1500" w:type="dxa"/>
            <w:tcBorders>
              <w:top w:val="single" w:sz="4" w:space="0" w:color="auto"/>
              <w:left w:val="nil"/>
              <w:bottom w:val="single" w:sz="4" w:space="0" w:color="auto"/>
              <w:right w:val="nil"/>
            </w:tcBorders>
            <w:shd w:val="clear" w:color="auto" w:fill="auto"/>
            <w:noWrap/>
            <w:vAlign w:val="bottom"/>
            <w:hideMark/>
          </w:tcPr>
          <w:p w14:paraId="6EB18985" w14:textId="77777777" w:rsidR="00BE6461" w:rsidRPr="00BE6461" w:rsidRDefault="00BE6461" w:rsidP="00BE6461">
            <w:pPr>
              <w:jc w:val="right"/>
              <w:rPr>
                <w:b/>
                <w:bCs/>
                <w:sz w:val="20"/>
                <w:szCs w:val="20"/>
              </w:rPr>
            </w:pPr>
            <w:r w:rsidRPr="00BE6461">
              <w:rPr>
                <w:b/>
                <w:bCs/>
                <w:sz w:val="20"/>
                <w:szCs w:val="20"/>
              </w:rPr>
              <w:t>179.062,50</w:t>
            </w:r>
          </w:p>
        </w:tc>
        <w:tc>
          <w:tcPr>
            <w:tcW w:w="1100" w:type="dxa"/>
            <w:tcBorders>
              <w:top w:val="single" w:sz="4" w:space="0" w:color="auto"/>
              <w:left w:val="nil"/>
              <w:bottom w:val="single" w:sz="4" w:space="0" w:color="auto"/>
              <w:right w:val="nil"/>
            </w:tcBorders>
            <w:shd w:val="clear" w:color="auto" w:fill="auto"/>
            <w:noWrap/>
            <w:vAlign w:val="bottom"/>
            <w:hideMark/>
          </w:tcPr>
          <w:p w14:paraId="2BF5A210"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63B0420E"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A721084"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34F079BC" w14:textId="77777777" w:rsidR="00BE6461" w:rsidRPr="00BE6461" w:rsidRDefault="00BE6461" w:rsidP="00BE6461">
            <w:pPr>
              <w:jc w:val="right"/>
              <w:rPr>
                <w:b/>
                <w:bCs/>
                <w:color w:val="333333"/>
                <w:sz w:val="20"/>
                <w:szCs w:val="20"/>
              </w:rPr>
            </w:pPr>
            <w:r w:rsidRPr="00BE6461">
              <w:rPr>
                <w:b/>
                <w:bCs/>
                <w:color w:val="333333"/>
                <w:sz w:val="20"/>
                <w:szCs w:val="20"/>
              </w:rPr>
              <w:t>79.062,50</w:t>
            </w:r>
          </w:p>
        </w:tc>
        <w:tc>
          <w:tcPr>
            <w:tcW w:w="1500" w:type="dxa"/>
            <w:tcBorders>
              <w:top w:val="nil"/>
              <w:left w:val="nil"/>
              <w:bottom w:val="nil"/>
              <w:right w:val="nil"/>
            </w:tcBorders>
            <w:shd w:val="clear" w:color="auto" w:fill="auto"/>
            <w:noWrap/>
            <w:vAlign w:val="bottom"/>
            <w:hideMark/>
          </w:tcPr>
          <w:p w14:paraId="087AFCB7" w14:textId="77777777" w:rsidR="00BE6461" w:rsidRPr="00BE6461" w:rsidRDefault="00BE6461" w:rsidP="00BE6461">
            <w:pPr>
              <w:jc w:val="right"/>
              <w:rPr>
                <w:b/>
                <w:bCs/>
                <w:color w:val="333333"/>
                <w:sz w:val="20"/>
                <w:szCs w:val="20"/>
              </w:rPr>
            </w:pPr>
            <w:r w:rsidRPr="00BE6461">
              <w:rPr>
                <w:b/>
                <w:bCs/>
                <w:color w:val="333333"/>
                <w:sz w:val="20"/>
                <w:szCs w:val="20"/>
              </w:rPr>
              <w:t>79.062,50</w:t>
            </w:r>
          </w:p>
        </w:tc>
        <w:tc>
          <w:tcPr>
            <w:tcW w:w="1100" w:type="dxa"/>
            <w:tcBorders>
              <w:top w:val="nil"/>
              <w:left w:val="nil"/>
              <w:bottom w:val="nil"/>
              <w:right w:val="nil"/>
            </w:tcBorders>
            <w:shd w:val="clear" w:color="auto" w:fill="auto"/>
            <w:noWrap/>
            <w:vAlign w:val="bottom"/>
            <w:hideMark/>
          </w:tcPr>
          <w:p w14:paraId="713D9CAB"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3E1E462F"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BE30FB0"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50DDD5C3" w14:textId="77777777" w:rsidR="00BE6461" w:rsidRPr="00BE6461" w:rsidRDefault="00BE6461" w:rsidP="00BE6461">
            <w:pPr>
              <w:jc w:val="right"/>
              <w:rPr>
                <w:b/>
                <w:bCs/>
                <w:color w:val="333333"/>
                <w:sz w:val="20"/>
                <w:szCs w:val="20"/>
              </w:rPr>
            </w:pPr>
            <w:r w:rsidRPr="00BE6461">
              <w:rPr>
                <w:b/>
                <w:bCs/>
                <w:color w:val="333333"/>
                <w:sz w:val="20"/>
                <w:szCs w:val="20"/>
              </w:rPr>
              <w:t>79.062,50</w:t>
            </w:r>
          </w:p>
        </w:tc>
        <w:tc>
          <w:tcPr>
            <w:tcW w:w="1500" w:type="dxa"/>
            <w:tcBorders>
              <w:top w:val="nil"/>
              <w:left w:val="nil"/>
              <w:bottom w:val="nil"/>
              <w:right w:val="nil"/>
            </w:tcBorders>
            <w:shd w:val="clear" w:color="auto" w:fill="auto"/>
            <w:noWrap/>
            <w:vAlign w:val="bottom"/>
            <w:hideMark/>
          </w:tcPr>
          <w:p w14:paraId="695E795F" w14:textId="77777777" w:rsidR="00BE6461" w:rsidRPr="00BE6461" w:rsidRDefault="00BE6461" w:rsidP="00BE6461">
            <w:pPr>
              <w:jc w:val="right"/>
              <w:rPr>
                <w:b/>
                <w:bCs/>
                <w:color w:val="333333"/>
                <w:sz w:val="20"/>
                <w:szCs w:val="20"/>
              </w:rPr>
            </w:pPr>
            <w:r w:rsidRPr="00BE6461">
              <w:rPr>
                <w:b/>
                <w:bCs/>
                <w:color w:val="333333"/>
                <w:sz w:val="20"/>
                <w:szCs w:val="20"/>
              </w:rPr>
              <w:t>79.062,50</w:t>
            </w:r>
          </w:p>
        </w:tc>
        <w:tc>
          <w:tcPr>
            <w:tcW w:w="1100" w:type="dxa"/>
            <w:tcBorders>
              <w:top w:val="nil"/>
              <w:left w:val="nil"/>
              <w:bottom w:val="nil"/>
              <w:right w:val="nil"/>
            </w:tcBorders>
            <w:shd w:val="clear" w:color="auto" w:fill="auto"/>
            <w:noWrap/>
            <w:vAlign w:val="bottom"/>
            <w:hideMark/>
          </w:tcPr>
          <w:p w14:paraId="6863220D"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691E8D7D" w14:textId="77777777" w:rsidTr="00BE6461">
        <w:trPr>
          <w:trHeight w:val="300"/>
        </w:trPr>
        <w:tc>
          <w:tcPr>
            <w:tcW w:w="1703" w:type="dxa"/>
            <w:tcBorders>
              <w:top w:val="nil"/>
              <w:left w:val="nil"/>
              <w:bottom w:val="nil"/>
              <w:right w:val="nil"/>
            </w:tcBorders>
            <w:shd w:val="clear" w:color="auto" w:fill="auto"/>
            <w:noWrap/>
            <w:vAlign w:val="bottom"/>
            <w:hideMark/>
          </w:tcPr>
          <w:p w14:paraId="2A773D69"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3B7BB1CC"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1360B1FC" w14:textId="77777777" w:rsidR="00BE6461" w:rsidRPr="00BE6461" w:rsidRDefault="00BE6461" w:rsidP="00BE6461">
            <w:pPr>
              <w:jc w:val="right"/>
              <w:rPr>
                <w:b/>
                <w:bCs/>
                <w:sz w:val="20"/>
                <w:szCs w:val="20"/>
              </w:rPr>
            </w:pPr>
            <w:r w:rsidRPr="00BE6461">
              <w:rPr>
                <w:b/>
                <w:bCs/>
                <w:sz w:val="20"/>
                <w:szCs w:val="20"/>
              </w:rPr>
              <w:t>79.062,50</w:t>
            </w:r>
          </w:p>
        </w:tc>
        <w:tc>
          <w:tcPr>
            <w:tcW w:w="1500" w:type="dxa"/>
            <w:tcBorders>
              <w:top w:val="nil"/>
              <w:left w:val="nil"/>
              <w:bottom w:val="nil"/>
              <w:right w:val="nil"/>
            </w:tcBorders>
            <w:shd w:val="clear" w:color="auto" w:fill="auto"/>
            <w:noWrap/>
            <w:vAlign w:val="bottom"/>
            <w:hideMark/>
          </w:tcPr>
          <w:p w14:paraId="7F98BFF9" w14:textId="77777777" w:rsidR="00BE6461" w:rsidRPr="00BE6461" w:rsidRDefault="00BE6461" w:rsidP="00BE6461">
            <w:pPr>
              <w:jc w:val="right"/>
              <w:rPr>
                <w:b/>
                <w:bCs/>
                <w:sz w:val="20"/>
                <w:szCs w:val="20"/>
              </w:rPr>
            </w:pPr>
            <w:r w:rsidRPr="00BE6461">
              <w:rPr>
                <w:b/>
                <w:bCs/>
                <w:sz w:val="20"/>
                <w:szCs w:val="20"/>
              </w:rPr>
              <w:t>79.062,50</w:t>
            </w:r>
          </w:p>
        </w:tc>
        <w:tc>
          <w:tcPr>
            <w:tcW w:w="1100" w:type="dxa"/>
            <w:tcBorders>
              <w:top w:val="nil"/>
              <w:left w:val="nil"/>
              <w:bottom w:val="nil"/>
              <w:right w:val="nil"/>
            </w:tcBorders>
            <w:shd w:val="clear" w:color="auto" w:fill="auto"/>
            <w:noWrap/>
            <w:vAlign w:val="bottom"/>
            <w:hideMark/>
          </w:tcPr>
          <w:p w14:paraId="2209B2D6"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4F00A31D" w14:textId="77777777" w:rsidTr="00BE6461">
        <w:trPr>
          <w:trHeight w:val="300"/>
        </w:trPr>
        <w:tc>
          <w:tcPr>
            <w:tcW w:w="1703" w:type="dxa"/>
            <w:tcBorders>
              <w:top w:val="nil"/>
              <w:left w:val="nil"/>
              <w:bottom w:val="nil"/>
              <w:right w:val="nil"/>
            </w:tcBorders>
            <w:shd w:val="clear" w:color="auto" w:fill="auto"/>
            <w:noWrap/>
            <w:vAlign w:val="bottom"/>
            <w:hideMark/>
          </w:tcPr>
          <w:p w14:paraId="5426D4C4" w14:textId="77777777" w:rsidR="00BE6461" w:rsidRPr="00BE6461" w:rsidRDefault="00BE6461" w:rsidP="00BE6461">
            <w:pPr>
              <w:rPr>
                <w:sz w:val="20"/>
                <w:szCs w:val="20"/>
              </w:rPr>
            </w:pPr>
            <w:r w:rsidRPr="00BE6461">
              <w:rPr>
                <w:sz w:val="20"/>
                <w:szCs w:val="20"/>
              </w:rPr>
              <w:t>3235</w:t>
            </w:r>
          </w:p>
        </w:tc>
        <w:tc>
          <w:tcPr>
            <w:tcW w:w="8457" w:type="dxa"/>
            <w:tcBorders>
              <w:top w:val="nil"/>
              <w:left w:val="nil"/>
              <w:bottom w:val="nil"/>
              <w:right w:val="nil"/>
            </w:tcBorders>
            <w:shd w:val="clear" w:color="auto" w:fill="auto"/>
            <w:vAlign w:val="bottom"/>
            <w:hideMark/>
          </w:tcPr>
          <w:p w14:paraId="70BD53AB" w14:textId="77777777" w:rsidR="00BE6461" w:rsidRPr="00BE6461" w:rsidRDefault="00BE6461" w:rsidP="00BE6461">
            <w:pPr>
              <w:rPr>
                <w:sz w:val="20"/>
                <w:szCs w:val="20"/>
              </w:rPr>
            </w:pPr>
            <w:r w:rsidRPr="00BE6461">
              <w:rPr>
                <w:sz w:val="20"/>
                <w:szCs w:val="20"/>
              </w:rPr>
              <w:t xml:space="preserve">Zakupnine i najamnine                                                                               </w:t>
            </w:r>
          </w:p>
        </w:tc>
        <w:tc>
          <w:tcPr>
            <w:tcW w:w="1503" w:type="dxa"/>
            <w:tcBorders>
              <w:top w:val="nil"/>
              <w:left w:val="nil"/>
              <w:bottom w:val="nil"/>
              <w:right w:val="nil"/>
            </w:tcBorders>
            <w:shd w:val="clear" w:color="auto" w:fill="auto"/>
            <w:noWrap/>
            <w:vAlign w:val="bottom"/>
            <w:hideMark/>
          </w:tcPr>
          <w:p w14:paraId="2A3FB99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9C0847D" w14:textId="77777777" w:rsidR="00BE6461" w:rsidRPr="00BE6461" w:rsidRDefault="00BE6461" w:rsidP="00BE6461">
            <w:pPr>
              <w:jc w:val="right"/>
              <w:rPr>
                <w:sz w:val="20"/>
                <w:szCs w:val="20"/>
              </w:rPr>
            </w:pPr>
            <w:r w:rsidRPr="00BE6461">
              <w:rPr>
                <w:sz w:val="20"/>
                <w:szCs w:val="20"/>
              </w:rPr>
              <w:t>79.062,50</w:t>
            </w:r>
          </w:p>
        </w:tc>
        <w:tc>
          <w:tcPr>
            <w:tcW w:w="1100" w:type="dxa"/>
            <w:tcBorders>
              <w:top w:val="nil"/>
              <w:left w:val="nil"/>
              <w:bottom w:val="nil"/>
              <w:right w:val="nil"/>
            </w:tcBorders>
            <w:shd w:val="clear" w:color="auto" w:fill="auto"/>
            <w:noWrap/>
            <w:vAlign w:val="bottom"/>
            <w:hideMark/>
          </w:tcPr>
          <w:p w14:paraId="19A7A20E" w14:textId="77777777" w:rsidR="00BE6461" w:rsidRPr="00BE6461" w:rsidRDefault="00BE6461" w:rsidP="00BE6461">
            <w:pPr>
              <w:jc w:val="right"/>
              <w:rPr>
                <w:sz w:val="20"/>
                <w:szCs w:val="20"/>
              </w:rPr>
            </w:pPr>
          </w:p>
        </w:tc>
      </w:tr>
      <w:tr w:rsidR="00BE6461" w:rsidRPr="00BE6461" w14:paraId="3EC7E29F"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67E79EE"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1D189CF8" w14:textId="77777777" w:rsidR="00BE6461" w:rsidRPr="00BE6461" w:rsidRDefault="00BE6461" w:rsidP="00BE6461">
            <w:pPr>
              <w:jc w:val="right"/>
              <w:rPr>
                <w:b/>
                <w:bCs/>
                <w:color w:val="333333"/>
                <w:sz w:val="20"/>
                <w:szCs w:val="20"/>
              </w:rPr>
            </w:pPr>
            <w:r w:rsidRPr="00BE6461">
              <w:rPr>
                <w:b/>
                <w:bCs/>
                <w:color w:val="333333"/>
                <w:sz w:val="20"/>
                <w:szCs w:val="20"/>
              </w:rPr>
              <w:t>100.000,00</w:t>
            </w:r>
          </w:p>
        </w:tc>
        <w:tc>
          <w:tcPr>
            <w:tcW w:w="1500" w:type="dxa"/>
            <w:tcBorders>
              <w:top w:val="nil"/>
              <w:left w:val="nil"/>
              <w:bottom w:val="nil"/>
              <w:right w:val="nil"/>
            </w:tcBorders>
            <w:shd w:val="clear" w:color="auto" w:fill="auto"/>
            <w:noWrap/>
            <w:vAlign w:val="bottom"/>
            <w:hideMark/>
          </w:tcPr>
          <w:p w14:paraId="544A9316" w14:textId="77777777" w:rsidR="00BE6461" w:rsidRPr="00BE6461" w:rsidRDefault="00BE6461" w:rsidP="00BE6461">
            <w:pPr>
              <w:jc w:val="right"/>
              <w:rPr>
                <w:b/>
                <w:bCs/>
                <w:color w:val="333333"/>
                <w:sz w:val="20"/>
                <w:szCs w:val="20"/>
              </w:rPr>
            </w:pPr>
            <w:r w:rsidRPr="00BE6461">
              <w:rPr>
                <w:b/>
                <w:bCs/>
                <w:color w:val="333333"/>
                <w:sz w:val="20"/>
                <w:szCs w:val="20"/>
              </w:rPr>
              <w:t>100.000,00</w:t>
            </w:r>
          </w:p>
        </w:tc>
        <w:tc>
          <w:tcPr>
            <w:tcW w:w="1100" w:type="dxa"/>
            <w:tcBorders>
              <w:top w:val="nil"/>
              <w:left w:val="nil"/>
              <w:bottom w:val="nil"/>
              <w:right w:val="nil"/>
            </w:tcBorders>
            <w:shd w:val="clear" w:color="auto" w:fill="auto"/>
            <w:noWrap/>
            <w:vAlign w:val="bottom"/>
            <w:hideMark/>
          </w:tcPr>
          <w:p w14:paraId="4BF98749"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2C484D9E"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54DC535" w14:textId="77777777" w:rsidR="00BE6461" w:rsidRPr="00BE6461" w:rsidRDefault="00BE6461" w:rsidP="00BE6461">
            <w:pPr>
              <w:rPr>
                <w:b/>
                <w:bCs/>
                <w:color w:val="333333"/>
                <w:sz w:val="20"/>
                <w:szCs w:val="20"/>
              </w:rPr>
            </w:pPr>
            <w:r w:rsidRPr="00BE6461">
              <w:rPr>
                <w:b/>
                <w:bCs/>
                <w:color w:val="333333"/>
                <w:sz w:val="20"/>
                <w:szCs w:val="20"/>
              </w:rPr>
              <w:t>Izvor 4.3. PRIHODI POSEBNE NAMJENE - BORAVIŠNE PRISTOJBE</w:t>
            </w:r>
          </w:p>
        </w:tc>
        <w:tc>
          <w:tcPr>
            <w:tcW w:w="1503" w:type="dxa"/>
            <w:tcBorders>
              <w:top w:val="nil"/>
              <w:left w:val="nil"/>
              <w:bottom w:val="nil"/>
              <w:right w:val="nil"/>
            </w:tcBorders>
            <w:shd w:val="clear" w:color="auto" w:fill="auto"/>
            <w:noWrap/>
            <w:vAlign w:val="bottom"/>
            <w:hideMark/>
          </w:tcPr>
          <w:p w14:paraId="639334C1" w14:textId="77777777" w:rsidR="00BE6461" w:rsidRPr="00BE6461" w:rsidRDefault="00BE6461" w:rsidP="00BE6461">
            <w:pPr>
              <w:jc w:val="right"/>
              <w:rPr>
                <w:b/>
                <w:bCs/>
                <w:color w:val="333333"/>
                <w:sz w:val="20"/>
                <w:szCs w:val="20"/>
              </w:rPr>
            </w:pPr>
            <w:r w:rsidRPr="00BE6461">
              <w:rPr>
                <w:b/>
                <w:bCs/>
                <w:color w:val="333333"/>
                <w:sz w:val="20"/>
                <w:szCs w:val="20"/>
              </w:rPr>
              <w:t>100.000,00</w:t>
            </w:r>
          </w:p>
        </w:tc>
        <w:tc>
          <w:tcPr>
            <w:tcW w:w="1500" w:type="dxa"/>
            <w:tcBorders>
              <w:top w:val="nil"/>
              <w:left w:val="nil"/>
              <w:bottom w:val="nil"/>
              <w:right w:val="nil"/>
            </w:tcBorders>
            <w:shd w:val="clear" w:color="auto" w:fill="auto"/>
            <w:noWrap/>
            <w:vAlign w:val="bottom"/>
            <w:hideMark/>
          </w:tcPr>
          <w:p w14:paraId="215BBA4A" w14:textId="77777777" w:rsidR="00BE6461" w:rsidRPr="00BE6461" w:rsidRDefault="00BE6461" w:rsidP="00BE6461">
            <w:pPr>
              <w:jc w:val="right"/>
              <w:rPr>
                <w:b/>
                <w:bCs/>
                <w:color w:val="333333"/>
                <w:sz w:val="20"/>
                <w:szCs w:val="20"/>
              </w:rPr>
            </w:pPr>
            <w:r w:rsidRPr="00BE6461">
              <w:rPr>
                <w:b/>
                <w:bCs/>
                <w:color w:val="333333"/>
                <w:sz w:val="20"/>
                <w:szCs w:val="20"/>
              </w:rPr>
              <w:t>100.000,00</w:t>
            </w:r>
          </w:p>
        </w:tc>
        <w:tc>
          <w:tcPr>
            <w:tcW w:w="1100" w:type="dxa"/>
            <w:tcBorders>
              <w:top w:val="nil"/>
              <w:left w:val="nil"/>
              <w:bottom w:val="nil"/>
              <w:right w:val="nil"/>
            </w:tcBorders>
            <w:shd w:val="clear" w:color="auto" w:fill="auto"/>
            <w:noWrap/>
            <w:vAlign w:val="bottom"/>
            <w:hideMark/>
          </w:tcPr>
          <w:p w14:paraId="57066B1E"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1298F0E7" w14:textId="77777777" w:rsidTr="00BE6461">
        <w:trPr>
          <w:trHeight w:val="300"/>
        </w:trPr>
        <w:tc>
          <w:tcPr>
            <w:tcW w:w="1703" w:type="dxa"/>
            <w:tcBorders>
              <w:top w:val="nil"/>
              <w:left w:val="nil"/>
              <w:bottom w:val="nil"/>
              <w:right w:val="nil"/>
            </w:tcBorders>
            <w:shd w:val="clear" w:color="auto" w:fill="auto"/>
            <w:noWrap/>
            <w:vAlign w:val="bottom"/>
            <w:hideMark/>
          </w:tcPr>
          <w:p w14:paraId="6CD67991" w14:textId="77777777" w:rsidR="00BE6461" w:rsidRPr="00BE6461" w:rsidRDefault="00BE6461" w:rsidP="00BE6461">
            <w:pPr>
              <w:rPr>
                <w:b/>
                <w:bCs/>
                <w:sz w:val="20"/>
                <w:szCs w:val="20"/>
              </w:rPr>
            </w:pPr>
            <w:r w:rsidRPr="00BE6461">
              <w:rPr>
                <w:b/>
                <w:bCs/>
                <w:sz w:val="20"/>
                <w:szCs w:val="20"/>
              </w:rPr>
              <w:t>381</w:t>
            </w:r>
          </w:p>
        </w:tc>
        <w:tc>
          <w:tcPr>
            <w:tcW w:w="8457" w:type="dxa"/>
            <w:tcBorders>
              <w:top w:val="nil"/>
              <w:left w:val="nil"/>
              <w:bottom w:val="nil"/>
              <w:right w:val="nil"/>
            </w:tcBorders>
            <w:shd w:val="clear" w:color="auto" w:fill="auto"/>
            <w:vAlign w:val="bottom"/>
            <w:hideMark/>
          </w:tcPr>
          <w:p w14:paraId="7B02A157" w14:textId="77777777" w:rsidR="00BE6461" w:rsidRPr="00BE6461" w:rsidRDefault="00BE6461" w:rsidP="00BE6461">
            <w:pPr>
              <w:rPr>
                <w:b/>
                <w:bCs/>
                <w:sz w:val="20"/>
                <w:szCs w:val="20"/>
              </w:rPr>
            </w:pPr>
            <w:r w:rsidRPr="00BE6461">
              <w:rPr>
                <w:b/>
                <w:bCs/>
                <w:sz w:val="20"/>
                <w:szCs w:val="20"/>
              </w:rPr>
              <w:t xml:space="preserve">Tekuće donacije                                                                                     </w:t>
            </w:r>
          </w:p>
        </w:tc>
        <w:tc>
          <w:tcPr>
            <w:tcW w:w="1503" w:type="dxa"/>
            <w:tcBorders>
              <w:top w:val="nil"/>
              <w:left w:val="nil"/>
              <w:bottom w:val="nil"/>
              <w:right w:val="nil"/>
            </w:tcBorders>
            <w:shd w:val="clear" w:color="auto" w:fill="auto"/>
            <w:noWrap/>
            <w:vAlign w:val="bottom"/>
            <w:hideMark/>
          </w:tcPr>
          <w:p w14:paraId="2EF47593" w14:textId="77777777" w:rsidR="00BE6461" w:rsidRPr="00BE6461" w:rsidRDefault="00BE6461" w:rsidP="00BE6461">
            <w:pPr>
              <w:jc w:val="right"/>
              <w:rPr>
                <w:b/>
                <w:bCs/>
                <w:sz w:val="20"/>
                <w:szCs w:val="20"/>
              </w:rPr>
            </w:pPr>
            <w:r w:rsidRPr="00BE6461">
              <w:rPr>
                <w:b/>
                <w:bCs/>
                <w:sz w:val="20"/>
                <w:szCs w:val="20"/>
              </w:rPr>
              <w:t>100.000,00</w:t>
            </w:r>
          </w:p>
        </w:tc>
        <w:tc>
          <w:tcPr>
            <w:tcW w:w="1500" w:type="dxa"/>
            <w:tcBorders>
              <w:top w:val="nil"/>
              <w:left w:val="nil"/>
              <w:bottom w:val="nil"/>
              <w:right w:val="nil"/>
            </w:tcBorders>
            <w:shd w:val="clear" w:color="auto" w:fill="auto"/>
            <w:noWrap/>
            <w:vAlign w:val="bottom"/>
            <w:hideMark/>
          </w:tcPr>
          <w:p w14:paraId="734F62B0" w14:textId="77777777" w:rsidR="00BE6461" w:rsidRPr="00BE6461" w:rsidRDefault="00BE6461" w:rsidP="00BE6461">
            <w:pPr>
              <w:jc w:val="right"/>
              <w:rPr>
                <w:b/>
                <w:bCs/>
                <w:sz w:val="20"/>
                <w:szCs w:val="20"/>
              </w:rPr>
            </w:pPr>
            <w:r w:rsidRPr="00BE6461">
              <w:rPr>
                <w:b/>
                <w:bCs/>
                <w:sz w:val="20"/>
                <w:szCs w:val="20"/>
              </w:rPr>
              <w:t>100.000,00</w:t>
            </w:r>
          </w:p>
        </w:tc>
        <w:tc>
          <w:tcPr>
            <w:tcW w:w="1100" w:type="dxa"/>
            <w:tcBorders>
              <w:top w:val="nil"/>
              <w:left w:val="nil"/>
              <w:bottom w:val="nil"/>
              <w:right w:val="nil"/>
            </w:tcBorders>
            <w:shd w:val="clear" w:color="auto" w:fill="auto"/>
            <w:noWrap/>
            <w:vAlign w:val="bottom"/>
            <w:hideMark/>
          </w:tcPr>
          <w:p w14:paraId="4789F56B"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29974035" w14:textId="77777777" w:rsidTr="00BE6461">
        <w:trPr>
          <w:trHeight w:val="300"/>
        </w:trPr>
        <w:tc>
          <w:tcPr>
            <w:tcW w:w="1703" w:type="dxa"/>
            <w:tcBorders>
              <w:top w:val="nil"/>
              <w:left w:val="nil"/>
              <w:bottom w:val="nil"/>
              <w:right w:val="nil"/>
            </w:tcBorders>
            <w:shd w:val="clear" w:color="auto" w:fill="auto"/>
            <w:noWrap/>
            <w:vAlign w:val="bottom"/>
            <w:hideMark/>
          </w:tcPr>
          <w:p w14:paraId="105E7808" w14:textId="77777777" w:rsidR="00BE6461" w:rsidRPr="00BE6461" w:rsidRDefault="00BE6461" w:rsidP="00BE6461">
            <w:pPr>
              <w:rPr>
                <w:sz w:val="20"/>
                <w:szCs w:val="20"/>
              </w:rPr>
            </w:pPr>
            <w:r w:rsidRPr="00BE6461">
              <w:rPr>
                <w:sz w:val="20"/>
                <w:szCs w:val="20"/>
              </w:rPr>
              <w:t>3811</w:t>
            </w:r>
          </w:p>
        </w:tc>
        <w:tc>
          <w:tcPr>
            <w:tcW w:w="8457" w:type="dxa"/>
            <w:tcBorders>
              <w:top w:val="nil"/>
              <w:left w:val="nil"/>
              <w:bottom w:val="nil"/>
              <w:right w:val="nil"/>
            </w:tcBorders>
            <w:shd w:val="clear" w:color="auto" w:fill="auto"/>
            <w:vAlign w:val="bottom"/>
            <w:hideMark/>
          </w:tcPr>
          <w:p w14:paraId="132F8188" w14:textId="77777777" w:rsidR="00BE6461" w:rsidRPr="00BE6461" w:rsidRDefault="00BE6461" w:rsidP="00BE6461">
            <w:pPr>
              <w:rPr>
                <w:sz w:val="20"/>
                <w:szCs w:val="20"/>
              </w:rPr>
            </w:pPr>
            <w:r w:rsidRPr="00BE6461">
              <w:rPr>
                <w:sz w:val="20"/>
                <w:szCs w:val="20"/>
              </w:rPr>
              <w:t xml:space="preserve">Tekuće donacije u novcu                                                                             </w:t>
            </w:r>
          </w:p>
        </w:tc>
        <w:tc>
          <w:tcPr>
            <w:tcW w:w="1503" w:type="dxa"/>
            <w:tcBorders>
              <w:top w:val="nil"/>
              <w:left w:val="nil"/>
              <w:bottom w:val="nil"/>
              <w:right w:val="nil"/>
            </w:tcBorders>
            <w:shd w:val="clear" w:color="auto" w:fill="auto"/>
            <w:noWrap/>
            <w:vAlign w:val="bottom"/>
            <w:hideMark/>
          </w:tcPr>
          <w:p w14:paraId="208901D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318813A" w14:textId="77777777" w:rsidR="00BE6461" w:rsidRPr="00BE6461" w:rsidRDefault="00BE6461" w:rsidP="00BE6461">
            <w:pPr>
              <w:jc w:val="right"/>
              <w:rPr>
                <w:sz w:val="20"/>
                <w:szCs w:val="20"/>
              </w:rPr>
            </w:pPr>
            <w:r w:rsidRPr="00BE6461">
              <w:rPr>
                <w:sz w:val="20"/>
                <w:szCs w:val="20"/>
              </w:rPr>
              <w:t>100.000,00</w:t>
            </w:r>
          </w:p>
        </w:tc>
        <w:tc>
          <w:tcPr>
            <w:tcW w:w="1100" w:type="dxa"/>
            <w:tcBorders>
              <w:top w:val="nil"/>
              <w:left w:val="nil"/>
              <w:bottom w:val="nil"/>
              <w:right w:val="nil"/>
            </w:tcBorders>
            <w:shd w:val="clear" w:color="auto" w:fill="auto"/>
            <w:noWrap/>
            <w:vAlign w:val="bottom"/>
            <w:hideMark/>
          </w:tcPr>
          <w:p w14:paraId="1E226C08" w14:textId="77777777" w:rsidR="00BE6461" w:rsidRPr="00BE6461" w:rsidRDefault="00BE6461" w:rsidP="00BE6461">
            <w:pPr>
              <w:jc w:val="right"/>
              <w:rPr>
                <w:sz w:val="20"/>
                <w:szCs w:val="20"/>
              </w:rPr>
            </w:pPr>
          </w:p>
        </w:tc>
      </w:tr>
      <w:tr w:rsidR="00BE6461" w:rsidRPr="00BE6461" w14:paraId="56B1C14A"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2A86E7CE" w14:textId="77777777" w:rsidR="00BE6461" w:rsidRPr="00BE6461" w:rsidRDefault="00BE6461" w:rsidP="00BE6461">
            <w:pPr>
              <w:rPr>
                <w:b/>
                <w:bCs/>
                <w:sz w:val="20"/>
                <w:szCs w:val="20"/>
              </w:rPr>
            </w:pPr>
            <w:r w:rsidRPr="00BE6461">
              <w:rPr>
                <w:b/>
                <w:bCs/>
                <w:sz w:val="20"/>
                <w:szCs w:val="20"/>
              </w:rPr>
              <w:t>A100104</w:t>
            </w:r>
          </w:p>
        </w:tc>
        <w:tc>
          <w:tcPr>
            <w:tcW w:w="8457" w:type="dxa"/>
            <w:tcBorders>
              <w:top w:val="single" w:sz="4" w:space="0" w:color="auto"/>
              <w:left w:val="nil"/>
              <w:bottom w:val="single" w:sz="4" w:space="0" w:color="auto"/>
              <w:right w:val="nil"/>
            </w:tcBorders>
            <w:shd w:val="clear" w:color="auto" w:fill="auto"/>
            <w:vAlign w:val="bottom"/>
            <w:hideMark/>
          </w:tcPr>
          <w:p w14:paraId="1477864E" w14:textId="77777777" w:rsidR="00BE6461" w:rsidRPr="00BE6461" w:rsidRDefault="00BE6461" w:rsidP="00BE6461">
            <w:pPr>
              <w:rPr>
                <w:b/>
                <w:bCs/>
                <w:sz w:val="20"/>
                <w:szCs w:val="20"/>
              </w:rPr>
            </w:pPr>
            <w:r w:rsidRPr="00BE6461">
              <w:rPr>
                <w:b/>
                <w:bCs/>
                <w:sz w:val="20"/>
                <w:szCs w:val="20"/>
              </w:rPr>
              <w:t>Aktivnost: FESTIVAL DELL' ISTROVENETO</w:t>
            </w:r>
          </w:p>
        </w:tc>
        <w:tc>
          <w:tcPr>
            <w:tcW w:w="1503" w:type="dxa"/>
            <w:tcBorders>
              <w:top w:val="single" w:sz="4" w:space="0" w:color="auto"/>
              <w:left w:val="nil"/>
              <w:bottom w:val="single" w:sz="4" w:space="0" w:color="auto"/>
              <w:right w:val="nil"/>
            </w:tcBorders>
            <w:shd w:val="clear" w:color="auto" w:fill="auto"/>
            <w:noWrap/>
            <w:vAlign w:val="bottom"/>
            <w:hideMark/>
          </w:tcPr>
          <w:p w14:paraId="48682837" w14:textId="77777777" w:rsidR="00BE6461" w:rsidRPr="00BE6461" w:rsidRDefault="00BE6461" w:rsidP="00BE6461">
            <w:pPr>
              <w:jc w:val="right"/>
              <w:rPr>
                <w:b/>
                <w:bCs/>
                <w:sz w:val="20"/>
                <w:szCs w:val="20"/>
              </w:rPr>
            </w:pPr>
            <w:r w:rsidRPr="00BE6461">
              <w:rPr>
                <w:b/>
                <w:bCs/>
                <w:sz w:val="20"/>
                <w:szCs w:val="20"/>
              </w:rPr>
              <w:t>82.009,00</w:t>
            </w:r>
          </w:p>
        </w:tc>
        <w:tc>
          <w:tcPr>
            <w:tcW w:w="1500" w:type="dxa"/>
            <w:tcBorders>
              <w:top w:val="single" w:sz="4" w:space="0" w:color="auto"/>
              <w:left w:val="nil"/>
              <w:bottom w:val="single" w:sz="4" w:space="0" w:color="auto"/>
              <w:right w:val="nil"/>
            </w:tcBorders>
            <w:shd w:val="clear" w:color="auto" w:fill="auto"/>
            <w:noWrap/>
            <w:vAlign w:val="bottom"/>
            <w:hideMark/>
          </w:tcPr>
          <w:p w14:paraId="5EDBA390" w14:textId="77777777" w:rsidR="00BE6461" w:rsidRPr="00BE6461" w:rsidRDefault="00BE6461" w:rsidP="00BE6461">
            <w:pPr>
              <w:jc w:val="right"/>
              <w:rPr>
                <w:b/>
                <w:bCs/>
                <w:sz w:val="20"/>
                <w:szCs w:val="20"/>
              </w:rPr>
            </w:pPr>
            <w:r w:rsidRPr="00BE6461">
              <w:rPr>
                <w:b/>
                <w:bCs/>
                <w:sz w:val="20"/>
                <w:szCs w:val="20"/>
              </w:rPr>
              <w:t>82.008,13</w:t>
            </w:r>
          </w:p>
        </w:tc>
        <w:tc>
          <w:tcPr>
            <w:tcW w:w="1100" w:type="dxa"/>
            <w:tcBorders>
              <w:top w:val="single" w:sz="4" w:space="0" w:color="auto"/>
              <w:left w:val="nil"/>
              <w:bottom w:val="single" w:sz="4" w:space="0" w:color="auto"/>
              <w:right w:val="nil"/>
            </w:tcBorders>
            <w:shd w:val="clear" w:color="auto" w:fill="auto"/>
            <w:noWrap/>
            <w:vAlign w:val="bottom"/>
            <w:hideMark/>
          </w:tcPr>
          <w:p w14:paraId="2B1EC67F"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0A9C47AF"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C5114D6"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4D995798" w14:textId="77777777" w:rsidR="00BE6461" w:rsidRPr="00BE6461" w:rsidRDefault="00BE6461" w:rsidP="00BE6461">
            <w:pPr>
              <w:jc w:val="right"/>
              <w:rPr>
                <w:b/>
                <w:bCs/>
                <w:color w:val="333333"/>
                <w:sz w:val="20"/>
                <w:szCs w:val="20"/>
              </w:rPr>
            </w:pPr>
            <w:r w:rsidRPr="00BE6461">
              <w:rPr>
                <w:b/>
                <w:bCs/>
                <w:color w:val="333333"/>
                <w:sz w:val="20"/>
                <w:szCs w:val="20"/>
              </w:rPr>
              <w:t>32.009,00</w:t>
            </w:r>
          </w:p>
        </w:tc>
        <w:tc>
          <w:tcPr>
            <w:tcW w:w="1500" w:type="dxa"/>
            <w:tcBorders>
              <w:top w:val="nil"/>
              <w:left w:val="nil"/>
              <w:bottom w:val="nil"/>
              <w:right w:val="nil"/>
            </w:tcBorders>
            <w:shd w:val="clear" w:color="auto" w:fill="auto"/>
            <w:noWrap/>
            <w:vAlign w:val="bottom"/>
            <w:hideMark/>
          </w:tcPr>
          <w:p w14:paraId="0EC233D2" w14:textId="77777777" w:rsidR="00BE6461" w:rsidRPr="00BE6461" w:rsidRDefault="00BE6461" w:rsidP="00BE6461">
            <w:pPr>
              <w:jc w:val="right"/>
              <w:rPr>
                <w:b/>
                <w:bCs/>
                <w:color w:val="333333"/>
                <w:sz w:val="20"/>
                <w:szCs w:val="20"/>
              </w:rPr>
            </w:pPr>
            <w:r w:rsidRPr="00BE6461">
              <w:rPr>
                <w:b/>
                <w:bCs/>
                <w:color w:val="333333"/>
                <w:sz w:val="20"/>
                <w:szCs w:val="20"/>
              </w:rPr>
              <w:t>32.008,13</w:t>
            </w:r>
          </w:p>
        </w:tc>
        <w:tc>
          <w:tcPr>
            <w:tcW w:w="1100" w:type="dxa"/>
            <w:tcBorders>
              <w:top w:val="nil"/>
              <w:left w:val="nil"/>
              <w:bottom w:val="nil"/>
              <w:right w:val="nil"/>
            </w:tcBorders>
            <w:shd w:val="clear" w:color="auto" w:fill="auto"/>
            <w:noWrap/>
            <w:vAlign w:val="bottom"/>
            <w:hideMark/>
          </w:tcPr>
          <w:p w14:paraId="4B4AAB59"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2E2B6E19"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876A997"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6B54D55A" w14:textId="77777777" w:rsidR="00BE6461" w:rsidRPr="00BE6461" w:rsidRDefault="00BE6461" w:rsidP="00BE6461">
            <w:pPr>
              <w:jc w:val="right"/>
              <w:rPr>
                <w:b/>
                <w:bCs/>
                <w:color w:val="333333"/>
                <w:sz w:val="20"/>
                <w:szCs w:val="20"/>
              </w:rPr>
            </w:pPr>
            <w:r w:rsidRPr="00BE6461">
              <w:rPr>
                <w:b/>
                <w:bCs/>
                <w:color w:val="333333"/>
                <w:sz w:val="20"/>
                <w:szCs w:val="20"/>
              </w:rPr>
              <w:t>32.009,00</w:t>
            </w:r>
          </w:p>
        </w:tc>
        <w:tc>
          <w:tcPr>
            <w:tcW w:w="1500" w:type="dxa"/>
            <w:tcBorders>
              <w:top w:val="nil"/>
              <w:left w:val="nil"/>
              <w:bottom w:val="nil"/>
              <w:right w:val="nil"/>
            </w:tcBorders>
            <w:shd w:val="clear" w:color="auto" w:fill="auto"/>
            <w:noWrap/>
            <w:vAlign w:val="bottom"/>
            <w:hideMark/>
          </w:tcPr>
          <w:p w14:paraId="3089D32F" w14:textId="77777777" w:rsidR="00BE6461" w:rsidRPr="00BE6461" w:rsidRDefault="00BE6461" w:rsidP="00BE6461">
            <w:pPr>
              <w:jc w:val="right"/>
              <w:rPr>
                <w:b/>
                <w:bCs/>
                <w:color w:val="333333"/>
                <w:sz w:val="20"/>
                <w:szCs w:val="20"/>
              </w:rPr>
            </w:pPr>
            <w:r w:rsidRPr="00BE6461">
              <w:rPr>
                <w:b/>
                <w:bCs/>
                <w:color w:val="333333"/>
                <w:sz w:val="20"/>
                <w:szCs w:val="20"/>
              </w:rPr>
              <w:t>32.008,13</w:t>
            </w:r>
          </w:p>
        </w:tc>
        <w:tc>
          <w:tcPr>
            <w:tcW w:w="1100" w:type="dxa"/>
            <w:tcBorders>
              <w:top w:val="nil"/>
              <w:left w:val="nil"/>
              <w:bottom w:val="nil"/>
              <w:right w:val="nil"/>
            </w:tcBorders>
            <w:shd w:val="clear" w:color="auto" w:fill="auto"/>
            <w:noWrap/>
            <w:vAlign w:val="bottom"/>
            <w:hideMark/>
          </w:tcPr>
          <w:p w14:paraId="327784B9"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2B0B04FC" w14:textId="77777777" w:rsidTr="00BE6461">
        <w:trPr>
          <w:trHeight w:val="300"/>
        </w:trPr>
        <w:tc>
          <w:tcPr>
            <w:tcW w:w="1703" w:type="dxa"/>
            <w:tcBorders>
              <w:top w:val="nil"/>
              <w:left w:val="nil"/>
              <w:bottom w:val="nil"/>
              <w:right w:val="nil"/>
            </w:tcBorders>
            <w:shd w:val="clear" w:color="auto" w:fill="auto"/>
            <w:noWrap/>
            <w:vAlign w:val="bottom"/>
            <w:hideMark/>
          </w:tcPr>
          <w:p w14:paraId="532B7419"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4511B3B4"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5327EB50" w14:textId="77777777" w:rsidR="00BE6461" w:rsidRPr="00BE6461" w:rsidRDefault="00BE6461" w:rsidP="00BE6461">
            <w:pPr>
              <w:jc w:val="right"/>
              <w:rPr>
                <w:b/>
                <w:bCs/>
                <w:sz w:val="20"/>
                <w:szCs w:val="20"/>
              </w:rPr>
            </w:pPr>
            <w:r w:rsidRPr="00BE6461">
              <w:rPr>
                <w:b/>
                <w:bCs/>
                <w:sz w:val="20"/>
                <w:szCs w:val="20"/>
              </w:rPr>
              <w:t>6.357,00</w:t>
            </w:r>
          </w:p>
        </w:tc>
        <w:tc>
          <w:tcPr>
            <w:tcW w:w="1500" w:type="dxa"/>
            <w:tcBorders>
              <w:top w:val="nil"/>
              <w:left w:val="nil"/>
              <w:bottom w:val="nil"/>
              <w:right w:val="nil"/>
            </w:tcBorders>
            <w:shd w:val="clear" w:color="auto" w:fill="auto"/>
            <w:noWrap/>
            <w:vAlign w:val="bottom"/>
            <w:hideMark/>
          </w:tcPr>
          <w:p w14:paraId="3D7B3D9F" w14:textId="77777777" w:rsidR="00BE6461" w:rsidRPr="00BE6461" w:rsidRDefault="00BE6461" w:rsidP="00BE6461">
            <w:pPr>
              <w:jc w:val="right"/>
              <w:rPr>
                <w:b/>
                <w:bCs/>
                <w:sz w:val="20"/>
                <w:szCs w:val="20"/>
              </w:rPr>
            </w:pPr>
            <w:r w:rsidRPr="00BE6461">
              <w:rPr>
                <w:b/>
                <w:bCs/>
                <w:sz w:val="20"/>
                <w:szCs w:val="20"/>
              </w:rPr>
              <w:t>6.356,25</w:t>
            </w:r>
          </w:p>
        </w:tc>
        <w:tc>
          <w:tcPr>
            <w:tcW w:w="1100" w:type="dxa"/>
            <w:tcBorders>
              <w:top w:val="nil"/>
              <w:left w:val="nil"/>
              <w:bottom w:val="nil"/>
              <w:right w:val="nil"/>
            </w:tcBorders>
            <w:shd w:val="clear" w:color="auto" w:fill="auto"/>
            <w:noWrap/>
            <w:vAlign w:val="bottom"/>
            <w:hideMark/>
          </w:tcPr>
          <w:p w14:paraId="3BF7C345" w14:textId="77777777" w:rsidR="00BE6461" w:rsidRPr="00BE6461" w:rsidRDefault="00BE6461" w:rsidP="00BE6461">
            <w:pPr>
              <w:jc w:val="right"/>
              <w:rPr>
                <w:b/>
                <w:bCs/>
                <w:sz w:val="20"/>
                <w:szCs w:val="20"/>
              </w:rPr>
            </w:pPr>
            <w:r w:rsidRPr="00BE6461">
              <w:rPr>
                <w:b/>
                <w:bCs/>
                <w:sz w:val="20"/>
                <w:szCs w:val="20"/>
              </w:rPr>
              <w:t>99,99</w:t>
            </w:r>
          </w:p>
        </w:tc>
      </w:tr>
      <w:tr w:rsidR="00BE6461" w:rsidRPr="00BE6461" w14:paraId="11B207E2" w14:textId="77777777" w:rsidTr="00BE6461">
        <w:trPr>
          <w:trHeight w:val="300"/>
        </w:trPr>
        <w:tc>
          <w:tcPr>
            <w:tcW w:w="1703" w:type="dxa"/>
            <w:tcBorders>
              <w:top w:val="nil"/>
              <w:left w:val="nil"/>
              <w:bottom w:val="nil"/>
              <w:right w:val="nil"/>
            </w:tcBorders>
            <w:shd w:val="clear" w:color="auto" w:fill="auto"/>
            <w:noWrap/>
            <w:vAlign w:val="bottom"/>
            <w:hideMark/>
          </w:tcPr>
          <w:p w14:paraId="60CB05FF" w14:textId="77777777" w:rsidR="00BE6461" w:rsidRPr="00BE6461" w:rsidRDefault="00BE6461" w:rsidP="00BE6461">
            <w:pPr>
              <w:rPr>
                <w:sz w:val="20"/>
                <w:szCs w:val="20"/>
              </w:rPr>
            </w:pPr>
            <w:r w:rsidRPr="00BE6461">
              <w:rPr>
                <w:sz w:val="20"/>
                <w:szCs w:val="20"/>
              </w:rPr>
              <w:t>3235</w:t>
            </w:r>
          </w:p>
        </w:tc>
        <w:tc>
          <w:tcPr>
            <w:tcW w:w="8457" w:type="dxa"/>
            <w:tcBorders>
              <w:top w:val="nil"/>
              <w:left w:val="nil"/>
              <w:bottom w:val="nil"/>
              <w:right w:val="nil"/>
            </w:tcBorders>
            <w:shd w:val="clear" w:color="auto" w:fill="auto"/>
            <w:vAlign w:val="bottom"/>
            <w:hideMark/>
          </w:tcPr>
          <w:p w14:paraId="67B1E84B" w14:textId="77777777" w:rsidR="00BE6461" w:rsidRPr="00BE6461" w:rsidRDefault="00BE6461" w:rsidP="00BE6461">
            <w:pPr>
              <w:rPr>
                <w:sz w:val="20"/>
                <w:szCs w:val="20"/>
              </w:rPr>
            </w:pPr>
            <w:r w:rsidRPr="00BE6461">
              <w:rPr>
                <w:sz w:val="20"/>
                <w:szCs w:val="20"/>
              </w:rPr>
              <w:t xml:space="preserve">Zakupnine i najamnine                                                                               </w:t>
            </w:r>
          </w:p>
        </w:tc>
        <w:tc>
          <w:tcPr>
            <w:tcW w:w="1503" w:type="dxa"/>
            <w:tcBorders>
              <w:top w:val="nil"/>
              <w:left w:val="nil"/>
              <w:bottom w:val="nil"/>
              <w:right w:val="nil"/>
            </w:tcBorders>
            <w:shd w:val="clear" w:color="auto" w:fill="auto"/>
            <w:noWrap/>
            <w:vAlign w:val="bottom"/>
            <w:hideMark/>
          </w:tcPr>
          <w:p w14:paraId="2F296B3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3034BB6" w14:textId="77777777" w:rsidR="00BE6461" w:rsidRPr="00BE6461" w:rsidRDefault="00BE6461" w:rsidP="00BE6461">
            <w:pPr>
              <w:jc w:val="right"/>
              <w:rPr>
                <w:sz w:val="20"/>
                <w:szCs w:val="20"/>
              </w:rPr>
            </w:pPr>
            <w:r w:rsidRPr="00BE6461">
              <w:rPr>
                <w:sz w:val="20"/>
                <w:szCs w:val="20"/>
              </w:rPr>
              <w:t>6.356,25</w:t>
            </w:r>
          </w:p>
        </w:tc>
        <w:tc>
          <w:tcPr>
            <w:tcW w:w="1100" w:type="dxa"/>
            <w:tcBorders>
              <w:top w:val="nil"/>
              <w:left w:val="nil"/>
              <w:bottom w:val="nil"/>
              <w:right w:val="nil"/>
            </w:tcBorders>
            <w:shd w:val="clear" w:color="auto" w:fill="auto"/>
            <w:noWrap/>
            <w:vAlign w:val="bottom"/>
            <w:hideMark/>
          </w:tcPr>
          <w:p w14:paraId="107C7570" w14:textId="77777777" w:rsidR="00BE6461" w:rsidRPr="00BE6461" w:rsidRDefault="00BE6461" w:rsidP="00BE6461">
            <w:pPr>
              <w:jc w:val="right"/>
              <w:rPr>
                <w:sz w:val="20"/>
                <w:szCs w:val="20"/>
              </w:rPr>
            </w:pPr>
          </w:p>
        </w:tc>
      </w:tr>
      <w:tr w:rsidR="00BE6461" w:rsidRPr="00BE6461" w14:paraId="3196A154" w14:textId="77777777" w:rsidTr="00BE6461">
        <w:trPr>
          <w:trHeight w:val="300"/>
        </w:trPr>
        <w:tc>
          <w:tcPr>
            <w:tcW w:w="1703" w:type="dxa"/>
            <w:tcBorders>
              <w:top w:val="nil"/>
              <w:left w:val="nil"/>
              <w:bottom w:val="nil"/>
              <w:right w:val="nil"/>
            </w:tcBorders>
            <w:shd w:val="clear" w:color="auto" w:fill="auto"/>
            <w:noWrap/>
            <w:vAlign w:val="bottom"/>
            <w:hideMark/>
          </w:tcPr>
          <w:p w14:paraId="75E5136F"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70277B36"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35AECA6B" w14:textId="77777777" w:rsidR="00BE6461" w:rsidRPr="00BE6461" w:rsidRDefault="00BE6461" w:rsidP="00BE6461">
            <w:pPr>
              <w:jc w:val="right"/>
              <w:rPr>
                <w:b/>
                <w:bCs/>
                <w:sz w:val="20"/>
                <w:szCs w:val="20"/>
              </w:rPr>
            </w:pPr>
            <w:r w:rsidRPr="00BE6461">
              <w:rPr>
                <w:b/>
                <w:bCs/>
                <w:sz w:val="20"/>
                <w:szCs w:val="20"/>
              </w:rPr>
              <w:t>25.652,00</w:t>
            </w:r>
          </w:p>
        </w:tc>
        <w:tc>
          <w:tcPr>
            <w:tcW w:w="1500" w:type="dxa"/>
            <w:tcBorders>
              <w:top w:val="nil"/>
              <w:left w:val="nil"/>
              <w:bottom w:val="nil"/>
              <w:right w:val="nil"/>
            </w:tcBorders>
            <w:shd w:val="clear" w:color="auto" w:fill="auto"/>
            <w:noWrap/>
            <w:vAlign w:val="bottom"/>
            <w:hideMark/>
          </w:tcPr>
          <w:p w14:paraId="0D9831D5" w14:textId="77777777" w:rsidR="00BE6461" w:rsidRPr="00BE6461" w:rsidRDefault="00BE6461" w:rsidP="00BE6461">
            <w:pPr>
              <w:jc w:val="right"/>
              <w:rPr>
                <w:b/>
                <w:bCs/>
                <w:sz w:val="20"/>
                <w:szCs w:val="20"/>
              </w:rPr>
            </w:pPr>
            <w:r w:rsidRPr="00BE6461">
              <w:rPr>
                <w:b/>
                <w:bCs/>
                <w:sz w:val="20"/>
                <w:szCs w:val="20"/>
              </w:rPr>
              <w:t>25.651,88</w:t>
            </w:r>
          </w:p>
        </w:tc>
        <w:tc>
          <w:tcPr>
            <w:tcW w:w="1100" w:type="dxa"/>
            <w:tcBorders>
              <w:top w:val="nil"/>
              <w:left w:val="nil"/>
              <w:bottom w:val="nil"/>
              <w:right w:val="nil"/>
            </w:tcBorders>
            <w:shd w:val="clear" w:color="auto" w:fill="auto"/>
            <w:noWrap/>
            <w:vAlign w:val="bottom"/>
            <w:hideMark/>
          </w:tcPr>
          <w:p w14:paraId="22BC6C62"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5830EFCC" w14:textId="77777777" w:rsidTr="00BE6461">
        <w:trPr>
          <w:trHeight w:val="300"/>
        </w:trPr>
        <w:tc>
          <w:tcPr>
            <w:tcW w:w="1703" w:type="dxa"/>
            <w:tcBorders>
              <w:top w:val="nil"/>
              <w:left w:val="nil"/>
              <w:bottom w:val="nil"/>
              <w:right w:val="nil"/>
            </w:tcBorders>
            <w:shd w:val="clear" w:color="auto" w:fill="auto"/>
            <w:noWrap/>
            <w:vAlign w:val="bottom"/>
            <w:hideMark/>
          </w:tcPr>
          <w:p w14:paraId="7AB7D00E" w14:textId="77777777" w:rsidR="00BE6461" w:rsidRPr="00BE6461" w:rsidRDefault="00BE6461" w:rsidP="00BE6461">
            <w:pPr>
              <w:rPr>
                <w:sz w:val="20"/>
                <w:szCs w:val="20"/>
              </w:rPr>
            </w:pPr>
            <w:r w:rsidRPr="00BE6461">
              <w:rPr>
                <w:sz w:val="20"/>
                <w:szCs w:val="20"/>
              </w:rPr>
              <w:lastRenderedPageBreak/>
              <w:t>3293</w:t>
            </w:r>
          </w:p>
        </w:tc>
        <w:tc>
          <w:tcPr>
            <w:tcW w:w="8457" w:type="dxa"/>
            <w:tcBorders>
              <w:top w:val="nil"/>
              <w:left w:val="nil"/>
              <w:bottom w:val="nil"/>
              <w:right w:val="nil"/>
            </w:tcBorders>
            <w:shd w:val="clear" w:color="auto" w:fill="auto"/>
            <w:vAlign w:val="bottom"/>
            <w:hideMark/>
          </w:tcPr>
          <w:p w14:paraId="78B5A04B" w14:textId="77777777" w:rsidR="00BE6461" w:rsidRPr="00BE6461" w:rsidRDefault="00BE6461" w:rsidP="00BE6461">
            <w:pPr>
              <w:rPr>
                <w:sz w:val="20"/>
                <w:szCs w:val="20"/>
              </w:rPr>
            </w:pPr>
            <w:r w:rsidRPr="00BE6461">
              <w:rPr>
                <w:sz w:val="20"/>
                <w:szCs w:val="20"/>
              </w:rPr>
              <w:t xml:space="preserve">Reprezentacija                                                                                      </w:t>
            </w:r>
          </w:p>
        </w:tc>
        <w:tc>
          <w:tcPr>
            <w:tcW w:w="1503" w:type="dxa"/>
            <w:tcBorders>
              <w:top w:val="nil"/>
              <w:left w:val="nil"/>
              <w:bottom w:val="nil"/>
              <w:right w:val="nil"/>
            </w:tcBorders>
            <w:shd w:val="clear" w:color="auto" w:fill="auto"/>
            <w:noWrap/>
            <w:vAlign w:val="bottom"/>
            <w:hideMark/>
          </w:tcPr>
          <w:p w14:paraId="6AD35D25"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9A9570B" w14:textId="77777777" w:rsidR="00BE6461" w:rsidRPr="00BE6461" w:rsidRDefault="00BE6461" w:rsidP="00BE6461">
            <w:pPr>
              <w:jc w:val="right"/>
              <w:rPr>
                <w:sz w:val="20"/>
                <w:szCs w:val="20"/>
              </w:rPr>
            </w:pPr>
            <w:r w:rsidRPr="00BE6461">
              <w:rPr>
                <w:sz w:val="20"/>
                <w:szCs w:val="20"/>
              </w:rPr>
              <w:t>25.651,88</w:t>
            </w:r>
          </w:p>
        </w:tc>
        <w:tc>
          <w:tcPr>
            <w:tcW w:w="1100" w:type="dxa"/>
            <w:tcBorders>
              <w:top w:val="nil"/>
              <w:left w:val="nil"/>
              <w:bottom w:val="nil"/>
              <w:right w:val="nil"/>
            </w:tcBorders>
            <w:shd w:val="clear" w:color="auto" w:fill="auto"/>
            <w:noWrap/>
            <w:vAlign w:val="bottom"/>
            <w:hideMark/>
          </w:tcPr>
          <w:p w14:paraId="007D0B8E" w14:textId="77777777" w:rsidR="00BE6461" w:rsidRPr="00BE6461" w:rsidRDefault="00BE6461" w:rsidP="00BE6461">
            <w:pPr>
              <w:jc w:val="right"/>
              <w:rPr>
                <w:sz w:val="20"/>
                <w:szCs w:val="20"/>
              </w:rPr>
            </w:pPr>
          </w:p>
        </w:tc>
      </w:tr>
      <w:tr w:rsidR="00BE6461" w:rsidRPr="00BE6461" w14:paraId="3B1956BC"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86C3B33" w14:textId="77777777" w:rsidR="00BE6461" w:rsidRPr="00BE6461" w:rsidRDefault="00BE6461" w:rsidP="00BE6461">
            <w:pPr>
              <w:rPr>
                <w:b/>
                <w:bCs/>
                <w:color w:val="333333"/>
                <w:sz w:val="20"/>
                <w:szCs w:val="20"/>
              </w:rPr>
            </w:pPr>
            <w:r w:rsidRPr="00BE6461">
              <w:rPr>
                <w:b/>
                <w:bCs/>
                <w:color w:val="333333"/>
                <w:sz w:val="20"/>
                <w:szCs w:val="20"/>
              </w:rPr>
              <w:t>Izvor 5. POMOĆI</w:t>
            </w:r>
          </w:p>
        </w:tc>
        <w:tc>
          <w:tcPr>
            <w:tcW w:w="1503" w:type="dxa"/>
            <w:tcBorders>
              <w:top w:val="nil"/>
              <w:left w:val="nil"/>
              <w:bottom w:val="nil"/>
              <w:right w:val="nil"/>
            </w:tcBorders>
            <w:shd w:val="clear" w:color="auto" w:fill="auto"/>
            <w:noWrap/>
            <w:vAlign w:val="bottom"/>
            <w:hideMark/>
          </w:tcPr>
          <w:p w14:paraId="1B2813E2" w14:textId="77777777" w:rsidR="00BE6461" w:rsidRPr="00BE6461" w:rsidRDefault="00BE6461" w:rsidP="00BE6461">
            <w:pPr>
              <w:jc w:val="right"/>
              <w:rPr>
                <w:b/>
                <w:bCs/>
                <w:color w:val="333333"/>
                <w:sz w:val="20"/>
                <w:szCs w:val="20"/>
              </w:rPr>
            </w:pPr>
            <w:r w:rsidRPr="00BE6461">
              <w:rPr>
                <w:b/>
                <w:bCs/>
                <w:color w:val="333333"/>
                <w:sz w:val="20"/>
                <w:szCs w:val="20"/>
              </w:rPr>
              <w:t>50.000,00</w:t>
            </w:r>
          </w:p>
        </w:tc>
        <w:tc>
          <w:tcPr>
            <w:tcW w:w="1500" w:type="dxa"/>
            <w:tcBorders>
              <w:top w:val="nil"/>
              <w:left w:val="nil"/>
              <w:bottom w:val="nil"/>
              <w:right w:val="nil"/>
            </w:tcBorders>
            <w:shd w:val="clear" w:color="auto" w:fill="auto"/>
            <w:noWrap/>
            <w:vAlign w:val="bottom"/>
            <w:hideMark/>
          </w:tcPr>
          <w:p w14:paraId="6B8F7E58" w14:textId="77777777" w:rsidR="00BE6461" w:rsidRPr="00BE6461" w:rsidRDefault="00BE6461" w:rsidP="00BE6461">
            <w:pPr>
              <w:jc w:val="right"/>
              <w:rPr>
                <w:b/>
                <w:bCs/>
                <w:color w:val="333333"/>
                <w:sz w:val="20"/>
                <w:szCs w:val="20"/>
              </w:rPr>
            </w:pPr>
            <w:r w:rsidRPr="00BE6461">
              <w:rPr>
                <w:b/>
                <w:bCs/>
                <w:color w:val="333333"/>
                <w:sz w:val="20"/>
                <w:szCs w:val="20"/>
              </w:rPr>
              <w:t>50.000,00</w:t>
            </w:r>
          </w:p>
        </w:tc>
        <w:tc>
          <w:tcPr>
            <w:tcW w:w="1100" w:type="dxa"/>
            <w:tcBorders>
              <w:top w:val="nil"/>
              <w:left w:val="nil"/>
              <w:bottom w:val="nil"/>
              <w:right w:val="nil"/>
            </w:tcBorders>
            <w:shd w:val="clear" w:color="auto" w:fill="auto"/>
            <w:noWrap/>
            <w:vAlign w:val="bottom"/>
            <w:hideMark/>
          </w:tcPr>
          <w:p w14:paraId="7AEEED7A"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53A8DAE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621360C" w14:textId="77777777" w:rsidR="00BE6461" w:rsidRPr="00BE6461" w:rsidRDefault="00BE6461" w:rsidP="00BE6461">
            <w:pPr>
              <w:rPr>
                <w:b/>
                <w:bCs/>
                <w:color w:val="333333"/>
                <w:sz w:val="20"/>
                <w:szCs w:val="20"/>
              </w:rPr>
            </w:pPr>
            <w:r w:rsidRPr="00BE6461">
              <w:rPr>
                <w:b/>
                <w:bCs/>
                <w:color w:val="333333"/>
                <w:sz w:val="20"/>
                <w:szCs w:val="20"/>
              </w:rPr>
              <w:t>Izvor 5.1. POMOĆI</w:t>
            </w:r>
          </w:p>
        </w:tc>
        <w:tc>
          <w:tcPr>
            <w:tcW w:w="1503" w:type="dxa"/>
            <w:tcBorders>
              <w:top w:val="nil"/>
              <w:left w:val="nil"/>
              <w:bottom w:val="nil"/>
              <w:right w:val="nil"/>
            </w:tcBorders>
            <w:shd w:val="clear" w:color="auto" w:fill="auto"/>
            <w:noWrap/>
            <w:vAlign w:val="bottom"/>
            <w:hideMark/>
          </w:tcPr>
          <w:p w14:paraId="53235CB3" w14:textId="77777777" w:rsidR="00BE6461" w:rsidRPr="00BE6461" w:rsidRDefault="00BE6461" w:rsidP="00BE6461">
            <w:pPr>
              <w:jc w:val="right"/>
              <w:rPr>
                <w:b/>
                <w:bCs/>
                <w:color w:val="333333"/>
                <w:sz w:val="20"/>
                <w:szCs w:val="20"/>
              </w:rPr>
            </w:pPr>
            <w:r w:rsidRPr="00BE6461">
              <w:rPr>
                <w:b/>
                <w:bCs/>
                <w:color w:val="333333"/>
                <w:sz w:val="20"/>
                <w:szCs w:val="20"/>
              </w:rPr>
              <w:t>50.000,00</w:t>
            </w:r>
          </w:p>
        </w:tc>
        <w:tc>
          <w:tcPr>
            <w:tcW w:w="1500" w:type="dxa"/>
            <w:tcBorders>
              <w:top w:val="nil"/>
              <w:left w:val="nil"/>
              <w:bottom w:val="nil"/>
              <w:right w:val="nil"/>
            </w:tcBorders>
            <w:shd w:val="clear" w:color="auto" w:fill="auto"/>
            <w:noWrap/>
            <w:vAlign w:val="bottom"/>
            <w:hideMark/>
          </w:tcPr>
          <w:p w14:paraId="0EA81FEA" w14:textId="77777777" w:rsidR="00BE6461" w:rsidRPr="00BE6461" w:rsidRDefault="00BE6461" w:rsidP="00BE6461">
            <w:pPr>
              <w:jc w:val="right"/>
              <w:rPr>
                <w:b/>
                <w:bCs/>
                <w:color w:val="333333"/>
                <w:sz w:val="20"/>
                <w:szCs w:val="20"/>
              </w:rPr>
            </w:pPr>
            <w:r w:rsidRPr="00BE6461">
              <w:rPr>
                <w:b/>
                <w:bCs/>
                <w:color w:val="333333"/>
                <w:sz w:val="20"/>
                <w:szCs w:val="20"/>
              </w:rPr>
              <w:t>50.000,00</w:t>
            </w:r>
          </w:p>
        </w:tc>
        <w:tc>
          <w:tcPr>
            <w:tcW w:w="1100" w:type="dxa"/>
            <w:tcBorders>
              <w:top w:val="nil"/>
              <w:left w:val="nil"/>
              <w:bottom w:val="nil"/>
              <w:right w:val="nil"/>
            </w:tcBorders>
            <w:shd w:val="clear" w:color="auto" w:fill="auto"/>
            <w:noWrap/>
            <w:vAlign w:val="bottom"/>
            <w:hideMark/>
          </w:tcPr>
          <w:p w14:paraId="62DD0229"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74081909" w14:textId="77777777" w:rsidTr="00BE6461">
        <w:trPr>
          <w:trHeight w:val="300"/>
        </w:trPr>
        <w:tc>
          <w:tcPr>
            <w:tcW w:w="1703" w:type="dxa"/>
            <w:tcBorders>
              <w:top w:val="nil"/>
              <w:left w:val="nil"/>
              <w:bottom w:val="nil"/>
              <w:right w:val="nil"/>
            </w:tcBorders>
            <w:shd w:val="clear" w:color="auto" w:fill="auto"/>
            <w:noWrap/>
            <w:vAlign w:val="bottom"/>
            <w:hideMark/>
          </w:tcPr>
          <w:p w14:paraId="0FE29B00"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036102A1"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3BAE93BC" w14:textId="77777777" w:rsidR="00BE6461" w:rsidRPr="00BE6461" w:rsidRDefault="00BE6461" w:rsidP="00BE6461">
            <w:pPr>
              <w:jc w:val="right"/>
              <w:rPr>
                <w:b/>
                <w:bCs/>
                <w:sz w:val="20"/>
                <w:szCs w:val="20"/>
              </w:rPr>
            </w:pPr>
            <w:r w:rsidRPr="00BE6461">
              <w:rPr>
                <w:b/>
                <w:bCs/>
                <w:sz w:val="20"/>
                <w:szCs w:val="20"/>
              </w:rPr>
              <w:t>50.000,00</w:t>
            </w:r>
          </w:p>
        </w:tc>
        <w:tc>
          <w:tcPr>
            <w:tcW w:w="1500" w:type="dxa"/>
            <w:tcBorders>
              <w:top w:val="nil"/>
              <w:left w:val="nil"/>
              <w:bottom w:val="nil"/>
              <w:right w:val="nil"/>
            </w:tcBorders>
            <w:shd w:val="clear" w:color="auto" w:fill="auto"/>
            <w:noWrap/>
            <w:vAlign w:val="bottom"/>
            <w:hideMark/>
          </w:tcPr>
          <w:p w14:paraId="33666472" w14:textId="77777777" w:rsidR="00BE6461" w:rsidRPr="00BE6461" w:rsidRDefault="00BE6461" w:rsidP="00BE6461">
            <w:pPr>
              <w:jc w:val="right"/>
              <w:rPr>
                <w:b/>
                <w:bCs/>
                <w:sz w:val="20"/>
                <w:szCs w:val="20"/>
              </w:rPr>
            </w:pPr>
            <w:r w:rsidRPr="00BE6461">
              <w:rPr>
                <w:b/>
                <w:bCs/>
                <w:sz w:val="20"/>
                <w:szCs w:val="20"/>
              </w:rPr>
              <w:t>50.000,00</w:t>
            </w:r>
          </w:p>
        </w:tc>
        <w:tc>
          <w:tcPr>
            <w:tcW w:w="1100" w:type="dxa"/>
            <w:tcBorders>
              <w:top w:val="nil"/>
              <w:left w:val="nil"/>
              <w:bottom w:val="nil"/>
              <w:right w:val="nil"/>
            </w:tcBorders>
            <w:shd w:val="clear" w:color="auto" w:fill="auto"/>
            <w:noWrap/>
            <w:vAlign w:val="bottom"/>
            <w:hideMark/>
          </w:tcPr>
          <w:p w14:paraId="7A283863"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23F1395E" w14:textId="77777777" w:rsidTr="00BE6461">
        <w:trPr>
          <w:trHeight w:val="300"/>
        </w:trPr>
        <w:tc>
          <w:tcPr>
            <w:tcW w:w="1703" w:type="dxa"/>
            <w:tcBorders>
              <w:top w:val="nil"/>
              <w:left w:val="nil"/>
              <w:bottom w:val="nil"/>
              <w:right w:val="nil"/>
            </w:tcBorders>
            <w:shd w:val="clear" w:color="auto" w:fill="auto"/>
            <w:noWrap/>
            <w:vAlign w:val="bottom"/>
            <w:hideMark/>
          </w:tcPr>
          <w:p w14:paraId="75B55DD6" w14:textId="77777777" w:rsidR="00BE6461" w:rsidRPr="00BE6461" w:rsidRDefault="00BE6461" w:rsidP="00BE6461">
            <w:pPr>
              <w:rPr>
                <w:sz w:val="20"/>
                <w:szCs w:val="20"/>
              </w:rPr>
            </w:pPr>
            <w:r w:rsidRPr="00BE6461">
              <w:rPr>
                <w:sz w:val="20"/>
                <w:szCs w:val="20"/>
              </w:rPr>
              <w:t>3231</w:t>
            </w:r>
          </w:p>
        </w:tc>
        <w:tc>
          <w:tcPr>
            <w:tcW w:w="8457" w:type="dxa"/>
            <w:tcBorders>
              <w:top w:val="nil"/>
              <w:left w:val="nil"/>
              <w:bottom w:val="nil"/>
              <w:right w:val="nil"/>
            </w:tcBorders>
            <w:shd w:val="clear" w:color="auto" w:fill="auto"/>
            <w:vAlign w:val="bottom"/>
            <w:hideMark/>
          </w:tcPr>
          <w:p w14:paraId="49DDC66A" w14:textId="77777777" w:rsidR="00BE6461" w:rsidRPr="00BE6461" w:rsidRDefault="00BE6461" w:rsidP="00BE6461">
            <w:pPr>
              <w:rPr>
                <w:sz w:val="20"/>
                <w:szCs w:val="20"/>
              </w:rPr>
            </w:pPr>
            <w:r w:rsidRPr="00BE6461">
              <w:rPr>
                <w:sz w:val="20"/>
                <w:szCs w:val="20"/>
              </w:rPr>
              <w:t xml:space="preserve">Usluge telefona, pošte i prijevoza                                                                  </w:t>
            </w:r>
          </w:p>
        </w:tc>
        <w:tc>
          <w:tcPr>
            <w:tcW w:w="1503" w:type="dxa"/>
            <w:tcBorders>
              <w:top w:val="nil"/>
              <w:left w:val="nil"/>
              <w:bottom w:val="nil"/>
              <w:right w:val="nil"/>
            </w:tcBorders>
            <w:shd w:val="clear" w:color="auto" w:fill="auto"/>
            <w:noWrap/>
            <w:vAlign w:val="bottom"/>
            <w:hideMark/>
          </w:tcPr>
          <w:p w14:paraId="5C11AB1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CDDA8B6" w14:textId="77777777" w:rsidR="00BE6461" w:rsidRPr="00BE6461" w:rsidRDefault="00BE6461" w:rsidP="00BE6461">
            <w:pPr>
              <w:jc w:val="right"/>
              <w:rPr>
                <w:sz w:val="20"/>
                <w:szCs w:val="20"/>
              </w:rPr>
            </w:pPr>
            <w:r w:rsidRPr="00BE6461">
              <w:rPr>
                <w:sz w:val="20"/>
                <w:szCs w:val="20"/>
              </w:rPr>
              <w:t>19.950,00</w:t>
            </w:r>
          </w:p>
        </w:tc>
        <w:tc>
          <w:tcPr>
            <w:tcW w:w="1100" w:type="dxa"/>
            <w:tcBorders>
              <w:top w:val="nil"/>
              <w:left w:val="nil"/>
              <w:bottom w:val="nil"/>
              <w:right w:val="nil"/>
            </w:tcBorders>
            <w:shd w:val="clear" w:color="auto" w:fill="auto"/>
            <w:noWrap/>
            <w:vAlign w:val="bottom"/>
            <w:hideMark/>
          </w:tcPr>
          <w:p w14:paraId="4E9E24A9" w14:textId="77777777" w:rsidR="00BE6461" w:rsidRPr="00BE6461" w:rsidRDefault="00BE6461" w:rsidP="00BE6461">
            <w:pPr>
              <w:jc w:val="right"/>
              <w:rPr>
                <w:sz w:val="20"/>
                <w:szCs w:val="20"/>
              </w:rPr>
            </w:pPr>
          </w:p>
        </w:tc>
      </w:tr>
      <w:tr w:rsidR="00BE6461" w:rsidRPr="00BE6461" w14:paraId="6C0C56E2" w14:textId="77777777" w:rsidTr="00BE6461">
        <w:trPr>
          <w:trHeight w:val="300"/>
        </w:trPr>
        <w:tc>
          <w:tcPr>
            <w:tcW w:w="1703" w:type="dxa"/>
            <w:tcBorders>
              <w:top w:val="nil"/>
              <w:left w:val="nil"/>
              <w:bottom w:val="nil"/>
              <w:right w:val="nil"/>
            </w:tcBorders>
            <w:shd w:val="clear" w:color="auto" w:fill="auto"/>
            <w:noWrap/>
            <w:vAlign w:val="bottom"/>
            <w:hideMark/>
          </w:tcPr>
          <w:p w14:paraId="78329A0B" w14:textId="77777777" w:rsidR="00BE6461" w:rsidRPr="00BE6461" w:rsidRDefault="00BE6461" w:rsidP="00BE6461">
            <w:pPr>
              <w:rPr>
                <w:sz w:val="20"/>
                <w:szCs w:val="20"/>
              </w:rPr>
            </w:pPr>
            <w:r w:rsidRPr="00BE6461">
              <w:rPr>
                <w:sz w:val="20"/>
                <w:szCs w:val="20"/>
              </w:rPr>
              <w:t>3233</w:t>
            </w:r>
          </w:p>
        </w:tc>
        <w:tc>
          <w:tcPr>
            <w:tcW w:w="8457" w:type="dxa"/>
            <w:tcBorders>
              <w:top w:val="nil"/>
              <w:left w:val="nil"/>
              <w:bottom w:val="nil"/>
              <w:right w:val="nil"/>
            </w:tcBorders>
            <w:shd w:val="clear" w:color="auto" w:fill="auto"/>
            <w:vAlign w:val="bottom"/>
            <w:hideMark/>
          </w:tcPr>
          <w:p w14:paraId="484CA277" w14:textId="77777777" w:rsidR="00BE6461" w:rsidRPr="00BE6461" w:rsidRDefault="00BE6461" w:rsidP="00BE6461">
            <w:pPr>
              <w:rPr>
                <w:sz w:val="20"/>
                <w:szCs w:val="20"/>
              </w:rPr>
            </w:pPr>
            <w:r w:rsidRPr="00BE6461">
              <w:rPr>
                <w:sz w:val="20"/>
                <w:szCs w:val="20"/>
              </w:rPr>
              <w:t xml:space="preserve">Usluge promidžbe i informiranja                                                                     </w:t>
            </w:r>
          </w:p>
        </w:tc>
        <w:tc>
          <w:tcPr>
            <w:tcW w:w="1503" w:type="dxa"/>
            <w:tcBorders>
              <w:top w:val="nil"/>
              <w:left w:val="nil"/>
              <w:bottom w:val="nil"/>
              <w:right w:val="nil"/>
            </w:tcBorders>
            <w:shd w:val="clear" w:color="auto" w:fill="auto"/>
            <w:noWrap/>
            <w:vAlign w:val="bottom"/>
            <w:hideMark/>
          </w:tcPr>
          <w:p w14:paraId="3F017C7B"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7115EF0" w14:textId="77777777" w:rsidR="00BE6461" w:rsidRPr="00BE6461" w:rsidRDefault="00BE6461" w:rsidP="00BE6461">
            <w:pPr>
              <w:jc w:val="right"/>
              <w:rPr>
                <w:sz w:val="20"/>
                <w:szCs w:val="20"/>
              </w:rPr>
            </w:pPr>
            <w:r w:rsidRPr="00BE6461">
              <w:rPr>
                <w:sz w:val="20"/>
                <w:szCs w:val="20"/>
              </w:rPr>
              <w:t>11.406,25</w:t>
            </w:r>
          </w:p>
        </w:tc>
        <w:tc>
          <w:tcPr>
            <w:tcW w:w="1100" w:type="dxa"/>
            <w:tcBorders>
              <w:top w:val="nil"/>
              <w:left w:val="nil"/>
              <w:bottom w:val="nil"/>
              <w:right w:val="nil"/>
            </w:tcBorders>
            <w:shd w:val="clear" w:color="auto" w:fill="auto"/>
            <w:noWrap/>
            <w:vAlign w:val="bottom"/>
            <w:hideMark/>
          </w:tcPr>
          <w:p w14:paraId="3073F860" w14:textId="77777777" w:rsidR="00BE6461" w:rsidRPr="00BE6461" w:rsidRDefault="00BE6461" w:rsidP="00BE6461">
            <w:pPr>
              <w:jc w:val="right"/>
              <w:rPr>
                <w:sz w:val="20"/>
                <w:szCs w:val="20"/>
              </w:rPr>
            </w:pPr>
          </w:p>
        </w:tc>
      </w:tr>
      <w:tr w:rsidR="00BE6461" w:rsidRPr="00BE6461" w14:paraId="0CE999F8" w14:textId="77777777" w:rsidTr="00BE6461">
        <w:trPr>
          <w:trHeight w:val="300"/>
        </w:trPr>
        <w:tc>
          <w:tcPr>
            <w:tcW w:w="1703" w:type="dxa"/>
            <w:tcBorders>
              <w:top w:val="nil"/>
              <w:left w:val="nil"/>
              <w:bottom w:val="nil"/>
              <w:right w:val="nil"/>
            </w:tcBorders>
            <w:shd w:val="clear" w:color="auto" w:fill="auto"/>
            <w:noWrap/>
            <w:vAlign w:val="bottom"/>
            <w:hideMark/>
          </w:tcPr>
          <w:p w14:paraId="306E1E67" w14:textId="77777777" w:rsidR="00BE6461" w:rsidRPr="00BE6461" w:rsidRDefault="00BE6461" w:rsidP="00BE6461">
            <w:pPr>
              <w:rPr>
                <w:sz w:val="20"/>
                <w:szCs w:val="20"/>
              </w:rPr>
            </w:pPr>
            <w:r w:rsidRPr="00BE6461">
              <w:rPr>
                <w:sz w:val="20"/>
                <w:szCs w:val="20"/>
              </w:rPr>
              <w:t>3235</w:t>
            </w:r>
          </w:p>
        </w:tc>
        <w:tc>
          <w:tcPr>
            <w:tcW w:w="8457" w:type="dxa"/>
            <w:tcBorders>
              <w:top w:val="nil"/>
              <w:left w:val="nil"/>
              <w:bottom w:val="nil"/>
              <w:right w:val="nil"/>
            </w:tcBorders>
            <w:shd w:val="clear" w:color="auto" w:fill="auto"/>
            <w:vAlign w:val="bottom"/>
            <w:hideMark/>
          </w:tcPr>
          <w:p w14:paraId="0B912A77" w14:textId="77777777" w:rsidR="00BE6461" w:rsidRPr="00BE6461" w:rsidRDefault="00BE6461" w:rsidP="00BE6461">
            <w:pPr>
              <w:rPr>
                <w:sz w:val="20"/>
                <w:szCs w:val="20"/>
              </w:rPr>
            </w:pPr>
            <w:r w:rsidRPr="00BE6461">
              <w:rPr>
                <w:sz w:val="20"/>
                <w:szCs w:val="20"/>
              </w:rPr>
              <w:t xml:space="preserve">Zakupnine i najamnine                                                                               </w:t>
            </w:r>
          </w:p>
        </w:tc>
        <w:tc>
          <w:tcPr>
            <w:tcW w:w="1503" w:type="dxa"/>
            <w:tcBorders>
              <w:top w:val="nil"/>
              <w:left w:val="nil"/>
              <w:bottom w:val="nil"/>
              <w:right w:val="nil"/>
            </w:tcBorders>
            <w:shd w:val="clear" w:color="auto" w:fill="auto"/>
            <w:noWrap/>
            <w:vAlign w:val="bottom"/>
            <w:hideMark/>
          </w:tcPr>
          <w:p w14:paraId="5B16D0E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559E8B2" w14:textId="77777777" w:rsidR="00BE6461" w:rsidRPr="00BE6461" w:rsidRDefault="00BE6461" w:rsidP="00BE6461">
            <w:pPr>
              <w:jc w:val="right"/>
              <w:rPr>
                <w:sz w:val="20"/>
                <w:szCs w:val="20"/>
              </w:rPr>
            </w:pPr>
            <w:r w:rsidRPr="00BE6461">
              <w:rPr>
                <w:sz w:val="20"/>
                <w:szCs w:val="20"/>
              </w:rPr>
              <w:t>18.643,75</w:t>
            </w:r>
          </w:p>
        </w:tc>
        <w:tc>
          <w:tcPr>
            <w:tcW w:w="1100" w:type="dxa"/>
            <w:tcBorders>
              <w:top w:val="nil"/>
              <w:left w:val="nil"/>
              <w:bottom w:val="nil"/>
              <w:right w:val="nil"/>
            </w:tcBorders>
            <w:shd w:val="clear" w:color="auto" w:fill="auto"/>
            <w:noWrap/>
            <w:vAlign w:val="bottom"/>
            <w:hideMark/>
          </w:tcPr>
          <w:p w14:paraId="3540AAEA" w14:textId="77777777" w:rsidR="00BE6461" w:rsidRPr="00BE6461" w:rsidRDefault="00BE6461" w:rsidP="00BE6461">
            <w:pPr>
              <w:jc w:val="right"/>
              <w:rPr>
                <w:sz w:val="20"/>
                <w:szCs w:val="20"/>
              </w:rPr>
            </w:pPr>
          </w:p>
        </w:tc>
      </w:tr>
      <w:tr w:rsidR="00BE6461" w:rsidRPr="00BE6461" w14:paraId="5EB162B7"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78C47317" w14:textId="77777777" w:rsidR="00BE6461" w:rsidRPr="00BE6461" w:rsidRDefault="00BE6461" w:rsidP="00BE6461">
            <w:pPr>
              <w:rPr>
                <w:b/>
                <w:bCs/>
                <w:sz w:val="20"/>
                <w:szCs w:val="20"/>
              </w:rPr>
            </w:pPr>
            <w:r w:rsidRPr="00BE6461">
              <w:rPr>
                <w:b/>
                <w:bCs/>
                <w:sz w:val="20"/>
                <w:szCs w:val="20"/>
              </w:rPr>
              <w:t>T100001</w:t>
            </w:r>
          </w:p>
        </w:tc>
        <w:tc>
          <w:tcPr>
            <w:tcW w:w="8457" w:type="dxa"/>
            <w:tcBorders>
              <w:top w:val="single" w:sz="4" w:space="0" w:color="auto"/>
              <w:left w:val="nil"/>
              <w:bottom w:val="single" w:sz="4" w:space="0" w:color="auto"/>
              <w:right w:val="nil"/>
            </w:tcBorders>
            <w:shd w:val="clear" w:color="auto" w:fill="auto"/>
            <w:vAlign w:val="bottom"/>
            <w:hideMark/>
          </w:tcPr>
          <w:p w14:paraId="23803BCF" w14:textId="77777777" w:rsidR="00BE6461" w:rsidRPr="00BE6461" w:rsidRDefault="00BE6461" w:rsidP="00BE6461">
            <w:pPr>
              <w:rPr>
                <w:b/>
                <w:bCs/>
                <w:sz w:val="20"/>
                <w:szCs w:val="20"/>
              </w:rPr>
            </w:pPr>
            <w:r w:rsidRPr="00BE6461">
              <w:rPr>
                <w:b/>
                <w:bCs/>
                <w:sz w:val="20"/>
                <w:szCs w:val="20"/>
              </w:rPr>
              <w:t>Tekući projekt: PROJEKT - BUJSKI STATUT</w:t>
            </w:r>
          </w:p>
        </w:tc>
        <w:tc>
          <w:tcPr>
            <w:tcW w:w="1503" w:type="dxa"/>
            <w:tcBorders>
              <w:top w:val="single" w:sz="4" w:space="0" w:color="auto"/>
              <w:left w:val="nil"/>
              <w:bottom w:val="single" w:sz="4" w:space="0" w:color="auto"/>
              <w:right w:val="nil"/>
            </w:tcBorders>
            <w:shd w:val="clear" w:color="auto" w:fill="auto"/>
            <w:noWrap/>
            <w:vAlign w:val="bottom"/>
            <w:hideMark/>
          </w:tcPr>
          <w:p w14:paraId="098330D2" w14:textId="77777777" w:rsidR="00BE6461" w:rsidRPr="00BE6461" w:rsidRDefault="00BE6461" w:rsidP="00BE6461">
            <w:pPr>
              <w:jc w:val="right"/>
              <w:rPr>
                <w:b/>
                <w:bCs/>
                <w:sz w:val="20"/>
                <w:szCs w:val="20"/>
              </w:rPr>
            </w:pPr>
            <w:r w:rsidRPr="00BE6461">
              <w:rPr>
                <w:b/>
                <w:bCs/>
                <w:sz w:val="20"/>
                <w:szCs w:val="20"/>
              </w:rPr>
              <w:t>179.187,50</w:t>
            </w:r>
          </w:p>
        </w:tc>
        <w:tc>
          <w:tcPr>
            <w:tcW w:w="1500" w:type="dxa"/>
            <w:tcBorders>
              <w:top w:val="single" w:sz="4" w:space="0" w:color="auto"/>
              <w:left w:val="nil"/>
              <w:bottom w:val="single" w:sz="4" w:space="0" w:color="auto"/>
              <w:right w:val="nil"/>
            </w:tcBorders>
            <w:shd w:val="clear" w:color="auto" w:fill="auto"/>
            <w:noWrap/>
            <w:vAlign w:val="bottom"/>
            <w:hideMark/>
          </w:tcPr>
          <w:p w14:paraId="08F499BF" w14:textId="77777777" w:rsidR="00BE6461" w:rsidRPr="00BE6461" w:rsidRDefault="00BE6461" w:rsidP="00BE6461">
            <w:pPr>
              <w:jc w:val="right"/>
              <w:rPr>
                <w:b/>
                <w:bCs/>
                <w:sz w:val="20"/>
                <w:szCs w:val="20"/>
              </w:rPr>
            </w:pPr>
            <w:r w:rsidRPr="00BE6461">
              <w:rPr>
                <w:b/>
                <w:bCs/>
                <w:sz w:val="20"/>
                <w:szCs w:val="20"/>
              </w:rPr>
              <w:t>179.187,50</w:t>
            </w:r>
          </w:p>
        </w:tc>
        <w:tc>
          <w:tcPr>
            <w:tcW w:w="1100" w:type="dxa"/>
            <w:tcBorders>
              <w:top w:val="single" w:sz="4" w:space="0" w:color="auto"/>
              <w:left w:val="nil"/>
              <w:bottom w:val="single" w:sz="4" w:space="0" w:color="auto"/>
              <w:right w:val="nil"/>
            </w:tcBorders>
            <w:shd w:val="clear" w:color="auto" w:fill="auto"/>
            <w:noWrap/>
            <w:vAlign w:val="bottom"/>
            <w:hideMark/>
          </w:tcPr>
          <w:p w14:paraId="2ABAE35E"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6D6B338F"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624F0F4"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623C9EC0" w14:textId="77777777" w:rsidR="00BE6461" w:rsidRPr="00BE6461" w:rsidRDefault="00BE6461" w:rsidP="00BE6461">
            <w:pPr>
              <w:jc w:val="right"/>
              <w:rPr>
                <w:b/>
                <w:bCs/>
                <w:color w:val="333333"/>
                <w:sz w:val="20"/>
                <w:szCs w:val="20"/>
              </w:rPr>
            </w:pPr>
            <w:r w:rsidRPr="00BE6461">
              <w:rPr>
                <w:b/>
                <w:bCs/>
                <w:color w:val="333333"/>
                <w:sz w:val="20"/>
                <w:szCs w:val="20"/>
              </w:rPr>
              <w:t>93.000,00</w:t>
            </w:r>
          </w:p>
        </w:tc>
        <w:tc>
          <w:tcPr>
            <w:tcW w:w="1500" w:type="dxa"/>
            <w:tcBorders>
              <w:top w:val="nil"/>
              <w:left w:val="nil"/>
              <w:bottom w:val="nil"/>
              <w:right w:val="nil"/>
            </w:tcBorders>
            <w:shd w:val="clear" w:color="auto" w:fill="auto"/>
            <w:noWrap/>
            <w:vAlign w:val="bottom"/>
            <w:hideMark/>
          </w:tcPr>
          <w:p w14:paraId="4AA30AFC" w14:textId="77777777" w:rsidR="00BE6461" w:rsidRPr="00BE6461" w:rsidRDefault="00BE6461" w:rsidP="00BE6461">
            <w:pPr>
              <w:jc w:val="right"/>
              <w:rPr>
                <w:b/>
                <w:bCs/>
                <w:color w:val="333333"/>
                <w:sz w:val="20"/>
                <w:szCs w:val="20"/>
              </w:rPr>
            </w:pPr>
            <w:r w:rsidRPr="00BE6461">
              <w:rPr>
                <w:b/>
                <w:bCs/>
                <w:color w:val="333333"/>
                <w:sz w:val="20"/>
                <w:szCs w:val="20"/>
              </w:rPr>
              <w:t>93.000,00</w:t>
            </w:r>
          </w:p>
        </w:tc>
        <w:tc>
          <w:tcPr>
            <w:tcW w:w="1100" w:type="dxa"/>
            <w:tcBorders>
              <w:top w:val="nil"/>
              <w:left w:val="nil"/>
              <w:bottom w:val="nil"/>
              <w:right w:val="nil"/>
            </w:tcBorders>
            <w:shd w:val="clear" w:color="auto" w:fill="auto"/>
            <w:noWrap/>
            <w:vAlign w:val="bottom"/>
            <w:hideMark/>
          </w:tcPr>
          <w:p w14:paraId="6BE93A37"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68DF05D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4A5DE39"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2A4B127D" w14:textId="77777777" w:rsidR="00BE6461" w:rsidRPr="00BE6461" w:rsidRDefault="00BE6461" w:rsidP="00BE6461">
            <w:pPr>
              <w:jc w:val="right"/>
              <w:rPr>
                <w:b/>
                <w:bCs/>
                <w:color w:val="333333"/>
                <w:sz w:val="20"/>
                <w:szCs w:val="20"/>
              </w:rPr>
            </w:pPr>
            <w:r w:rsidRPr="00BE6461">
              <w:rPr>
                <w:b/>
                <w:bCs/>
                <w:color w:val="333333"/>
                <w:sz w:val="20"/>
                <w:szCs w:val="20"/>
              </w:rPr>
              <w:t>93.000,00</w:t>
            </w:r>
          </w:p>
        </w:tc>
        <w:tc>
          <w:tcPr>
            <w:tcW w:w="1500" w:type="dxa"/>
            <w:tcBorders>
              <w:top w:val="nil"/>
              <w:left w:val="nil"/>
              <w:bottom w:val="nil"/>
              <w:right w:val="nil"/>
            </w:tcBorders>
            <w:shd w:val="clear" w:color="auto" w:fill="auto"/>
            <w:noWrap/>
            <w:vAlign w:val="bottom"/>
            <w:hideMark/>
          </w:tcPr>
          <w:p w14:paraId="1D1120D3" w14:textId="77777777" w:rsidR="00BE6461" w:rsidRPr="00BE6461" w:rsidRDefault="00BE6461" w:rsidP="00BE6461">
            <w:pPr>
              <w:jc w:val="right"/>
              <w:rPr>
                <w:b/>
                <w:bCs/>
                <w:color w:val="333333"/>
                <w:sz w:val="20"/>
                <w:szCs w:val="20"/>
              </w:rPr>
            </w:pPr>
            <w:r w:rsidRPr="00BE6461">
              <w:rPr>
                <w:b/>
                <w:bCs/>
                <w:color w:val="333333"/>
                <w:sz w:val="20"/>
                <w:szCs w:val="20"/>
              </w:rPr>
              <w:t>93.000,00</w:t>
            </w:r>
          </w:p>
        </w:tc>
        <w:tc>
          <w:tcPr>
            <w:tcW w:w="1100" w:type="dxa"/>
            <w:tcBorders>
              <w:top w:val="nil"/>
              <w:left w:val="nil"/>
              <w:bottom w:val="nil"/>
              <w:right w:val="nil"/>
            </w:tcBorders>
            <w:shd w:val="clear" w:color="auto" w:fill="auto"/>
            <w:noWrap/>
            <w:vAlign w:val="bottom"/>
            <w:hideMark/>
          </w:tcPr>
          <w:p w14:paraId="35250935"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450C456E" w14:textId="77777777" w:rsidTr="00BE6461">
        <w:trPr>
          <w:trHeight w:val="300"/>
        </w:trPr>
        <w:tc>
          <w:tcPr>
            <w:tcW w:w="1703" w:type="dxa"/>
            <w:tcBorders>
              <w:top w:val="nil"/>
              <w:left w:val="nil"/>
              <w:bottom w:val="nil"/>
              <w:right w:val="nil"/>
            </w:tcBorders>
            <w:shd w:val="clear" w:color="auto" w:fill="auto"/>
            <w:noWrap/>
            <w:vAlign w:val="bottom"/>
            <w:hideMark/>
          </w:tcPr>
          <w:p w14:paraId="4EEF6C1C"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52133CB2"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470C604A" w14:textId="77777777" w:rsidR="00BE6461" w:rsidRPr="00BE6461" w:rsidRDefault="00BE6461" w:rsidP="00BE6461">
            <w:pPr>
              <w:jc w:val="right"/>
              <w:rPr>
                <w:b/>
                <w:bCs/>
                <w:sz w:val="20"/>
                <w:szCs w:val="20"/>
              </w:rPr>
            </w:pPr>
            <w:r w:rsidRPr="00BE6461">
              <w:rPr>
                <w:b/>
                <w:bCs/>
                <w:sz w:val="20"/>
                <w:szCs w:val="20"/>
              </w:rPr>
              <w:t>93.000,00</w:t>
            </w:r>
          </w:p>
        </w:tc>
        <w:tc>
          <w:tcPr>
            <w:tcW w:w="1500" w:type="dxa"/>
            <w:tcBorders>
              <w:top w:val="nil"/>
              <w:left w:val="nil"/>
              <w:bottom w:val="nil"/>
              <w:right w:val="nil"/>
            </w:tcBorders>
            <w:shd w:val="clear" w:color="auto" w:fill="auto"/>
            <w:noWrap/>
            <w:vAlign w:val="bottom"/>
            <w:hideMark/>
          </w:tcPr>
          <w:p w14:paraId="40D6D8BD" w14:textId="77777777" w:rsidR="00BE6461" w:rsidRPr="00BE6461" w:rsidRDefault="00BE6461" w:rsidP="00BE6461">
            <w:pPr>
              <w:jc w:val="right"/>
              <w:rPr>
                <w:b/>
                <w:bCs/>
                <w:sz w:val="20"/>
                <w:szCs w:val="20"/>
              </w:rPr>
            </w:pPr>
            <w:r w:rsidRPr="00BE6461">
              <w:rPr>
                <w:b/>
                <w:bCs/>
                <w:sz w:val="20"/>
                <w:szCs w:val="20"/>
              </w:rPr>
              <w:t>93.000,00</w:t>
            </w:r>
          </w:p>
        </w:tc>
        <w:tc>
          <w:tcPr>
            <w:tcW w:w="1100" w:type="dxa"/>
            <w:tcBorders>
              <w:top w:val="nil"/>
              <w:left w:val="nil"/>
              <w:bottom w:val="nil"/>
              <w:right w:val="nil"/>
            </w:tcBorders>
            <w:shd w:val="clear" w:color="auto" w:fill="auto"/>
            <w:noWrap/>
            <w:vAlign w:val="bottom"/>
            <w:hideMark/>
          </w:tcPr>
          <w:p w14:paraId="0D45AD0B"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59D62992" w14:textId="77777777" w:rsidTr="00BE6461">
        <w:trPr>
          <w:trHeight w:val="300"/>
        </w:trPr>
        <w:tc>
          <w:tcPr>
            <w:tcW w:w="1703" w:type="dxa"/>
            <w:tcBorders>
              <w:top w:val="nil"/>
              <w:left w:val="nil"/>
              <w:bottom w:val="nil"/>
              <w:right w:val="nil"/>
            </w:tcBorders>
            <w:shd w:val="clear" w:color="auto" w:fill="auto"/>
            <w:noWrap/>
            <w:vAlign w:val="bottom"/>
            <w:hideMark/>
          </w:tcPr>
          <w:p w14:paraId="02D05CEA"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0E892938"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3EFF034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82D21D7" w14:textId="77777777" w:rsidR="00BE6461" w:rsidRPr="00BE6461" w:rsidRDefault="00BE6461" w:rsidP="00BE6461">
            <w:pPr>
              <w:jc w:val="right"/>
              <w:rPr>
                <w:sz w:val="20"/>
                <w:szCs w:val="20"/>
              </w:rPr>
            </w:pPr>
            <w:r w:rsidRPr="00BE6461">
              <w:rPr>
                <w:sz w:val="20"/>
                <w:szCs w:val="20"/>
              </w:rPr>
              <w:t>93.000,00</w:t>
            </w:r>
          </w:p>
        </w:tc>
        <w:tc>
          <w:tcPr>
            <w:tcW w:w="1100" w:type="dxa"/>
            <w:tcBorders>
              <w:top w:val="nil"/>
              <w:left w:val="nil"/>
              <w:bottom w:val="nil"/>
              <w:right w:val="nil"/>
            </w:tcBorders>
            <w:shd w:val="clear" w:color="auto" w:fill="auto"/>
            <w:noWrap/>
            <w:vAlign w:val="bottom"/>
            <w:hideMark/>
          </w:tcPr>
          <w:p w14:paraId="567822A6" w14:textId="77777777" w:rsidR="00BE6461" w:rsidRPr="00BE6461" w:rsidRDefault="00BE6461" w:rsidP="00BE6461">
            <w:pPr>
              <w:jc w:val="right"/>
              <w:rPr>
                <w:sz w:val="20"/>
                <w:szCs w:val="20"/>
              </w:rPr>
            </w:pPr>
          </w:p>
        </w:tc>
      </w:tr>
      <w:tr w:rsidR="00BE6461" w:rsidRPr="00BE6461" w14:paraId="37BC8680"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805BC21" w14:textId="77777777" w:rsidR="00BE6461" w:rsidRPr="00BE6461" w:rsidRDefault="00BE6461" w:rsidP="00BE6461">
            <w:pPr>
              <w:rPr>
                <w:b/>
                <w:bCs/>
                <w:color w:val="333333"/>
                <w:sz w:val="20"/>
                <w:szCs w:val="20"/>
              </w:rPr>
            </w:pPr>
            <w:r w:rsidRPr="00BE6461">
              <w:rPr>
                <w:b/>
                <w:bCs/>
                <w:color w:val="333333"/>
                <w:sz w:val="20"/>
                <w:szCs w:val="20"/>
              </w:rPr>
              <w:t>Izvor 5. POMOĆI</w:t>
            </w:r>
          </w:p>
        </w:tc>
        <w:tc>
          <w:tcPr>
            <w:tcW w:w="1503" w:type="dxa"/>
            <w:tcBorders>
              <w:top w:val="nil"/>
              <w:left w:val="nil"/>
              <w:bottom w:val="nil"/>
              <w:right w:val="nil"/>
            </w:tcBorders>
            <w:shd w:val="clear" w:color="auto" w:fill="auto"/>
            <w:noWrap/>
            <w:vAlign w:val="bottom"/>
            <w:hideMark/>
          </w:tcPr>
          <w:p w14:paraId="5F0EFBA7" w14:textId="77777777" w:rsidR="00BE6461" w:rsidRPr="00BE6461" w:rsidRDefault="00BE6461" w:rsidP="00BE6461">
            <w:pPr>
              <w:jc w:val="right"/>
              <w:rPr>
                <w:b/>
                <w:bCs/>
                <w:color w:val="333333"/>
                <w:sz w:val="20"/>
                <w:szCs w:val="20"/>
              </w:rPr>
            </w:pPr>
            <w:r w:rsidRPr="00BE6461">
              <w:rPr>
                <w:b/>
                <w:bCs/>
                <w:color w:val="333333"/>
                <w:sz w:val="20"/>
                <w:szCs w:val="20"/>
              </w:rPr>
              <w:t>86.187,50</w:t>
            </w:r>
          </w:p>
        </w:tc>
        <w:tc>
          <w:tcPr>
            <w:tcW w:w="1500" w:type="dxa"/>
            <w:tcBorders>
              <w:top w:val="nil"/>
              <w:left w:val="nil"/>
              <w:bottom w:val="nil"/>
              <w:right w:val="nil"/>
            </w:tcBorders>
            <w:shd w:val="clear" w:color="auto" w:fill="auto"/>
            <w:noWrap/>
            <w:vAlign w:val="bottom"/>
            <w:hideMark/>
          </w:tcPr>
          <w:p w14:paraId="5CD92250" w14:textId="77777777" w:rsidR="00BE6461" w:rsidRPr="00BE6461" w:rsidRDefault="00BE6461" w:rsidP="00BE6461">
            <w:pPr>
              <w:jc w:val="right"/>
              <w:rPr>
                <w:b/>
                <w:bCs/>
                <w:color w:val="333333"/>
                <w:sz w:val="20"/>
                <w:szCs w:val="20"/>
              </w:rPr>
            </w:pPr>
            <w:r w:rsidRPr="00BE6461">
              <w:rPr>
                <w:b/>
                <w:bCs/>
                <w:color w:val="333333"/>
                <w:sz w:val="20"/>
                <w:szCs w:val="20"/>
              </w:rPr>
              <w:t>86.187,50</w:t>
            </w:r>
          </w:p>
        </w:tc>
        <w:tc>
          <w:tcPr>
            <w:tcW w:w="1100" w:type="dxa"/>
            <w:tcBorders>
              <w:top w:val="nil"/>
              <w:left w:val="nil"/>
              <w:bottom w:val="nil"/>
              <w:right w:val="nil"/>
            </w:tcBorders>
            <w:shd w:val="clear" w:color="auto" w:fill="auto"/>
            <w:noWrap/>
            <w:vAlign w:val="bottom"/>
            <w:hideMark/>
          </w:tcPr>
          <w:p w14:paraId="11063F71"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1EE61CC5"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680BC08" w14:textId="77777777" w:rsidR="00BE6461" w:rsidRPr="00BE6461" w:rsidRDefault="00BE6461" w:rsidP="00BE6461">
            <w:pPr>
              <w:rPr>
                <w:b/>
                <w:bCs/>
                <w:color w:val="333333"/>
                <w:sz w:val="20"/>
                <w:szCs w:val="20"/>
              </w:rPr>
            </w:pPr>
            <w:r w:rsidRPr="00BE6461">
              <w:rPr>
                <w:b/>
                <w:bCs/>
                <w:color w:val="333333"/>
                <w:sz w:val="20"/>
                <w:szCs w:val="20"/>
              </w:rPr>
              <w:t>Izvor 5.1. POMOĆI</w:t>
            </w:r>
          </w:p>
        </w:tc>
        <w:tc>
          <w:tcPr>
            <w:tcW w:w="1503" w:type="dxa"/>
            <w:tcBorders>
              <w:top w:val="nil"/>
              <w:left w:val="nil"/>
              <w:bottom w:val="nil"/>
              <w:right w:val="nil"/>
            </w:tcBorders>
            <w:shd w:val="clear" w:color="auto" w:fill="auto"/>
            <w:noWrap/>
            <w:vAlign w:val="bottom"/>
            <w:hideMark/>
          </w:tcPr>
          <w:p w14:paraId="23BA6F73" w14:textId="77777777" w:rsidR="00BE6461" w:rsidRPr="00BE6461" w:rsidRDefault="00BE6461" w:rsidP="00BE6461">
            <w:pPr>
              <w:jc w:val="right"/>
              <w:rPr>
                <w:b/>
                <w:bCs/>
                <w:color w:val="333333"/>
                <w:sz w:val="20"/>
                <w:szCs w:val="20"/>
              </w:rPr>
            </w:pPr>
            <w:r w:rsidRPr="00BE6461">
              <w:rPr>
                <w:b/>
                <w:bCs/>
                <w:color w:val="333333"/>
                <w:sz w:val="20"/>
                <w:szCs w:val="20"/>
              </w:rPr>
              <w:t>86.187,50</w:t>
            </w:r>
          </w:p>
        </w:tc>
        <w:tc>
          <w:tcPr>
            <w:tcW w:w="1500" w:type="dxa"/>
            <w:tcBorders>
              <w:top w:val="nil"/>
              <w:left w:val="nil"/>
              <w:bottom w:val="nil"/>
              <w:right w:val="nil"/>
            </w:tcBorders>
            <w:shd w:val="clear" w:color="auto" w:fill="auto"/>
            <w:noWrap/>
            <w:vAlign w:val="bottom"/>
            <w:hideMark/>
          </w:tcPr>
          <w:p w14:paraId="425261DF" w14:textId="77777777" w:rsidR="00BE6461" w:rsidRPr="00BE6461" w:rsidRDefault="00BE6461" w:rsidP="00BE6461">
            <w:pPr>
              <w:jc w:val="right"/>
              <w:rPr>
                <w:b/>
                <w:bCs/>
                <w:color w:val="333333"/>
                <w:sz w:val="20"/>
                <w:szCs w:val="20"/>
              </w:rPr>
            </w:pPr>
            <w:r w:rsidRPr="00BE6461">
              <w:rPr>
                <w:b/>
                <w:bCs/>
                <w:color w:val="333333"/>
                <w:sz w:val="20"/>
                <w:szCs w:val="20"/>
              </w:rPr>
              <w:t>86.187,50</w:t>
            </w:r>
          </w:p>
        </w:tc>
        <w:tc>
          <w:tcPr>
            <w:tcW w:w="1100" w:type="dxa"/>
            <w:tcBorders>
              <w:top w:val="nil"/>
              <w:left w:val="nil"/>
              <w:bottom w:val="nil"/>
              <w:right w:val="nil"/>
            </w:tcBorders>
            <w:shd w:val="clear" w:color="auto" w:fill="auto"/>
            <w:noWrap/>
            <w:vAlign w:val="bottom"/>
            <w:hideMark/>
          </w:tcPr>
          <w:p w14:paraId="6D8192B5"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6B6DB90A" w14:textId="77777777" w:rsidTr="00BE6461">
        <w:trPr>
          <w:trHeight w:val="300"/>
        </w:trPr>
        <w:tc>
          <w:tcPr>
            <w:tcW w:w="1703" w:type="dxa"/>
            <w:tcBorders>
              <w:top w:val="nil"/>
              <w:left w:val="nil"/>
              <w:bottom w:val="nil"/>
              <w:right w:val="nil"/>
            </w:tcBorders>
            <w:shd w:val="clear" w:color="auto" w:fill="auto"/>
            <w:noWrap/>
            <w:vAlign w:val="bottom"/>
            <w:hideMark/>
          </w:tcPr>
          <w:p w14:paraId="7CEA8482"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4BEA725A"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7C31BBBC" w14:textId="77777777" w:rsidR="00BE6461" w:rsidRPr="00BE6461" w:rsidRDefault="00BE6461" w:rsidP="00BE6461">
            <w:pPr>
              <w:jc w:val="right"/>
              <w:rPr>
                <w:b/>
                <w:bCs/>
                <w:sz w:val="20"/>
                <w:szCs w:val="20"/>
              </w:rPr>
            </w:pPr>
            <w:r w:rsidRPr="00BE6461">
              <w:rPr>
                <w:b/>
                <w:bCs/>
                <w:sz w:val="20"/>
                <w:szCs w:val="20"/>
              </w:rPr>
              <w:t>86.187,50</w:t>
            </w:r>
          </w:p>
        </w:tc>
        <w:tc>
          <w:tcPr>
            <w:tcW w:w="1500" w:type="dxa"/>
            <w:tcBorders>
              <w:top w:val="nil"/>
              <w:left w:val="nil"/>
              <w:bottom w:val="nil"/>
              <w:right w:val="nil"/>
            </w:tcBorders>
            <w:shd w:val="clear" w:color="auto" w:fill="auto"/>
            <w:noWrap/>
            <w:vAlign w:val="bottom"/>
            <w:hideMark/>
          </w:tcPr>
          <w:p w14:paraId="1AFC21B9" w14:textId="77777777" w:rsidR="00BE6461" w:rsidRPr="00BE6461" w:rsidRDefault="00BE6461" w:rsidP="00BE6461">
            <w:pPr>
              <w:jc w:val="right"/>
              <w:rPr>
                <w:b/>
                <w:bCs/>
                <w:sz w:val="20"/>
                <w:szCs w:val="20"/>
              </w:rPr>
            </w:pPr>
            <w:r w:rsidRPr="00BE6461">
              <w:rPr>
                <w:b/>
                <w:bCs/>
                <w:sz w:val="20"/>
                <w:szCs w:val="20"/>
              </w:rPr>
              <w:t>86.187,50</w:t>
            </w:r>
          </w:p>
        </w:tc>
        <w:tc>
          <w:tcPr>
            <w:tcW w:w="1100" w:type="dxa"/>
            <w:tcBorders>
              <w:top w:val="nil"/>
              <w:left w:val="nil"/>
              <w:bottom w:val="nil"/>
              <w:right w:val="nil"/>
            </w:tcBorders>
            <w:shd w:val="clear" w:color="auto" w:fill="auto"/>
            <w:noWrap/>
            <w:vAlign w:val="bottom"/>
            <w:hideMark/>
          </w:tcPr>
          <w:p w14:paraId="55A66496"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21BD7C74" w14:textId="77777777" w:rsidTr="00BE6461">
        <w:trPr>
          <w:trHeight w:val="300"/>
        </w:trPr>
        <w:tc>
          <w:tcPr>
            <w:tcW w:w="1703" w:type="dxa"/>
            <w:tcBorders>
              <w:top w:val="nil"/>
              <w:left w:val="nil"/>
              <w:bottom w:val="nil"/>
              <w:right w:val="nil"/>
            </w:tcBorders>
            <w:shd w:val="clear" w:color="auto" w:fill="auto"/>
            <w:noWrap/>
            <w:vAlign w:val="bottom"/>
            <w:hideMark/>
          </w:tcPr>
          <w:p w14:paraId="6B6099B5"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73F5B64D"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345FAA6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519D437" w14:textId="77777777" w:rsidR="00BE6461" w:rsidRPr="00BE6461" w:rsidRDefault="00BE6461" w:rsidP="00BE6461">
            <w:pPr>
              <w:jc w:val="right"/>
              <w:rPr>
                <w:sz w:val="20"/>
                <w:szCs w:val="20"/>
              </w:rPr>
            </w:pPr>
            <w:r w:rsidRPr="00BE6461">
              <w:rPr>
                <w:sz w:val="20"/>
                <w:szCs w:val="20"/>
              </w:rPr>
              <w:t>86.187,50</w:t>
            </w:r>
          </w:p>
        </w:tc>
        <w:tc>
          <w:tcPr>
            <w:tcW w:w="1100" w:type="dxa"/>
            <w:tcBorders>
              <w:top w:val="nil"/>
              <w:left w:val="nil"/>
              <w:bottom w:val="nil"/>
              <w:right w:val="nil"/>
            </w:tcBorders>
            <w:shd w:val="clear" w:color="auto" w:fill="auto"/>
            <w:noWrap/>
            <w:vAlign w:val="bottom"/>
            <w:hideMark/>
          </w:tcPr>
          <w:p w14:paraId="5AEF19CC" w14:textId="77777777" w:rsidR="00BE6461" w:rsidRPr="00BE6461" w:rsidRDefault="00BE6461" w:rsidP="00BE6461">
            <w:pPr>
              <w:jc w:val="right"/>
              <w:rPr>
                <w:sz w:val="20"/>
                <w:szCs w:val="20"/>
              </w:rPr>
            </w:pPr>
          </w:p>
        </w:tc>
      </w:tr>
      <w:tr w:rsidR="00BE6461" w:rsidRPr="00BE6461" w14:paraId="3CC856E9" w14:textId="77777777" w:rsidTr="00BE6461">
        <w:trPr>
          <w:trHeight w:val="390"/>
        </w:trPr>
        <w:tc>
          <w:tcPr>
            <w:tcW w:w="1703" w:type="dxa"/>
            <w:tcBorders>
              <w:top w:val="single" w:sz="4" w:space="0" w:color="auto"/>
              <w:left w:val="nil"/>
              <w:bottom w:val="nil"/>
              <w:right w:val="nil"/>
            </w:tcBorders>
            <w:shd w:val="clear" w:color="auto" w:fill="auto"/>
            <w:noWrap/>
            <w:vAlign w:val="bottom"/>
            <w:hideMark/>
          </w:tcPr>
          <w:p w14:paraId="7D5C43B5" w14:textId="77777777" w:rsidR="00BE6461" w:rsidRPr="00BE6461" w:rsidRDefault="00BE6461" w:rsidP="00BE6461">
            <w:pPr>
              <w:rPr>
                <w:b/>
                <w:bCs/>
                <w:sz w:val="20"/>
                <w:szCs w:val="20"/>
              </w:rPr>
            </w:pPr>
            <w:r w:rsidRPr="00BE6461">
              <w:rPr>
                <w:b/>
                <w:bCs/>
                <w:sz w:val="20"/>
                <w:szCs w:val="20"/>
              </w:rPr>
              <w:t>1008</w:t>
            </w:r>
          </w:p>
        </w:tc>
        <w:tc>
          <w:tcPr>
            <w:tcW w:w="8457" w:type="dxa"/>
            <w:tcBorders>
              <w:top w:val="single" w:sz="4" w:space="0" w:color="auto"/>
              <w:left w:val="nil"/>
              <w:bottom w:val="nil"/>
              <w:right w:val="nil"/>
            </w:tcBorders>
            <w:shd w:val="clear" w:color="auto" w:fill="auto"/>
            <w:vAlign w:val="bottom"/>
            <w:hideMark/>
          </w:tcPr>
          <w:p w14:paraId="579E613A" w14:textId="77777777" w:rsidR="00BE6461" w:rsidRPr="00BE6461" w:rsidRDefault="00BE6461" w:rsidP="00BE6461">
            <w:pPr>
              <w:rPr>
                <w:b/>
                <w:bCs/>
                <w:sz w:val="20"/>
                <w:szCs w:val="20"/>
              </w:rPr>
            </w:pPr>
            <w:r w:rsidRPr="00BE6461">
              <w:rPr>
                <w:b/>
                <w:bCs/>
                <w:sz w:val="20"/>
                <w:szCs w:val="20"/>
              </w:rPr>
              <w:t>Program: JAVNE POTREBE U PODRUČJU ŠKOLSTVA, OBRAZOVANJA I MLADIH</w:t>
            </w:r>
          </w:p>
        </w:tc>
        <w:tc>
          <w:tcPr>
            <w:tcW w:w="1503" w:type="dxa"/>
            <w:tcBorders>
              <w:top w:val="single" w:sz="4" w:space="0" w:color="auto"/>
              <w:left w:val="nil"/>
              <w:bottom w:val="nil"/>
              <w:right w:val="nil"/>
            </w:tcBorders>
            <w:shd w:val="clear" w:color="auto" w:fill="auto"/>
            <w:noWrap/>
            <w:vAlign w:val="bottom"/>
            <w:hideMark/>
          </w:tcPr>
          <w:p w14:paraId="7204CC41" w14:textId="77777777" w:rsidR="00BE6461" w:rsidRPr="00BE6461" w:rsidRDefault="00BE6461" w:rsidP="00BE6461">
            <w:pPr>
              <w:jc w:val="right"/>
              <w:rPr>
                <w:b/>
                <w:bCs/>
                <w:sz w:val="20"/>
                <w:szCs w:val="20"/>
              </w:rPr>
            </w:pPr>
            <w:r w:rsidRPr="00BE6461">
              <w:rPr>
                <w:b/>
                <w:bCs/>
                <w:sz w:val="20"/>
                <w:szCs w:val="20"/>
              </w:rPr>
              <w:t>762.220,59</w:t>
            </w:r>
          </w:p>
        </w:tc>
        <w:tc>
          <w:tcPr>
            <w:tcW w:w="1500" w:type="dxa"/>
            <w:tcBorders>
              <w:top w:val="single" w:sz="4" w:space="0" w:color="auto"/>
              <w:left w:val="nil"/>
              <w:bottom w:val="nil"/>
              <w:right w:val="nil"/>
            </w:tcBorders>
            <w:shd w:val="clear" w:color="auto" w:fill="auto"/>
            <w:noWrap/>
            <w:vAlign w:val="bottom"/>
            <w:hideMark/>
          </w:tcPr>
          <w:p w14:paraId="3D1CBFD1" w14:textId="77777777" w:rsidR="00BE6461" w:rsidRPr="00BE6461" w:rsidRDefault="00BE6461" w:rsidP="00BE6461">
            <w:pPr>
              <w:jc w:val="right"/>
              <w:rPr>
                <w:b/>
                <w:bCs/>
                <w:sz w:val="20"/>
                <w:szCs w:val="20"/>
              </w:rPr>
            </w:pPr>
            <w:r w:rsidRPr="00BE6461">
              <w:rPr>
                <w:b/>
                <w:bCs/>
                <w:sz w:val="20"/>
                <w:szCs w:val="20"/>
              </w:rPr>
              <w:t>720.345,59</w:t>
            </w:r>
          </w:p>
        </w:tc>
        <w:tc>
          <w:tcPr>
            <w:tcW w:w="1100" w:type="dxa"/>
            <w:tcBorders>
              <w:top w:val="single" w:sz="4" w:space="0" w:color="auto"/>
              <w:left w:val="nil"/>
              <w:bottom w:val="nil"/>
              <w:right w:val="nil"/>
            </w:tcBorders>
            <w:shd w:val="clear" w:color="auto" w:fill="auto"/>
            <w:noWrap/>
            <w:vAlign w:val="bottom"/>
            <w:hideMark/>
          </w:tcPr>
          <w:p w14:paraId="12F7857A" w14:textId="77777777" w:rsidR="00BE6461" w:rsidRPr="00BE6461" w:rsidRDefault="00BE6461" w:rsidP="00BE6461">
            <w:pPr>
              <w:jc w:val="right"/>
              <w:rPr>
                <w:b/>
                <w:bCs/>
                <w:sz w:val="20"/>
                <w:szCs w:val="20"/>
              </w:rPr>
            </w:pPr>
            <w:r w:rsidRPr="00BE6461">
              <w:rPr>
                <w:b/>
                <w:bCs/>
                <w:sz w:val="20"/>
                <w:szCs w:val="20"/>
              </w:rPr>
              <w:t>94,51</w:t>
            </w:r>
          </w:p>
        </w:tc>
      </w:tr>
      <w:tr w:rsidR="00BE6461" w:rsidRPr="00BE6461" w14:paraId="37B59D18"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6CBB0E52" w14:textId="77777777" w:rsidR="00BE6461" w:rsidRPr="00BE6461" w:rsidRDefault="00BE6461" w:rsidP="00BE6461">
            <w:pPr>
              <w:rPr>
                <w:b/>
                <w:bCs/>
                <w:sz w:val="20"/>
                <w:szCs w:val="20"/>
              </w:rPr>
            </w:pPr>
            <w:r w:rsidRPr="00BE6461">
              <w:rPr>
                <w:b/>
                <w:bCs/>
                <w:sz w:val="20"/>
                <w:szCs w:val="20"/>
              </w:rPr>
              <w:t>A100027</w:t>
            </w:r>
          </w:p>
        </w:tc>
        <w:tc>
          <w:tcPr>
            <w:tcW w:w="8457" w:type="dxa"/>
            <w:tcBorders>
              <w:top w:val="single" w:sz="4" w:space="0" w:color="auto"/>
              <w:left w:val="nil"/>
              <w:bottom w:val="single" w:sz="4" w:space="0" w:color="auto"/>
              <w:right w:val="nil"/>
            </w:tcBorders>
            <w:shd w:val="clear" w:color="auto" w:fill="auto"/>
            <w:vAlign w:val="bottom"/>
            <w:hideMark/>
          </w:tcPr>
          <w:p w14:paraId="5F214C49" w14:textId="77777777" w:rsidR="00BE6461" w:rsidRPr="00BE6461" w:rsidRDefault="00BE6461" w:rsidP="00BE6461">
            <w:pPr>
              <w:rPr>
                <w:b/>
                <w:bCs/>
                <w:sz w:val="20"/>
                <w:szCs w:val="20"/>
              </w:rPr>
            </w:pPr>
            <w:r w:rsidRPr="00BE6461">
              <w:rPr>
                <w:b/>
                <w:bCs/>
                <w:sz w:val="20"/>
                <w:szCs w:val="20"/>
              </w:rPr>
              <w:t>Aktivnost: STIPENDIRANJE UČENIKA I STUDENATA</w:t>
            </w:r>
          </w:p>
        </w:tc>
        <w:tc>
          <w:tcPr>
            <w:tcW w:w="1503" w:type="dxa"/>
            <w:tcBorders>
              <w:top w:val="single" w:sz="4" w:space="0" w:color="auto"/>
              <w:left w:val="nil"/>
              <w:bottom w:val="single" w:sz="4" w:space="0" w:color="auto"/>
              <w:right w:val="nil"/>
            </w:tcBorders>
            <w:shd w:val="clear" w:color="auto" w:fill="auto"/>
            <w:noWrap/>
            <w:vAlign w:val="bottom"/>
            <w:hideMark/>
          </w:tcPr>
          <w:p w14:paraId="1B7866F6" w14:textId="77777777" w:rsidR="00BE6461" w:rsidRPr="00BE6461" w:rsidRDefault="00BE6461" w:rsidP="00BE6461">
            <w:pPr>
              <w:jc w:val="right"/>
              <w:rPr>
                <w:b/>
                <w:bCs/>
                <w:sz w:val="20"/>
                <w:szCs w:val="20"/>
              </w:rPr>
            </w:pPr>
            <w:r w:rsidRPr="00BE6461">
              <w:rPr>
                <w:b/>
                <w:bCs/>
                <w:sz w:val="20"/>
                <w:szCs w:val="20"/>
              </w:rPr>
              <w:t>184.000,00</w:t>
            </w:r>
          </w:p>
        </w:tc>
        <w:tc>
          <w:tcPr>
            <w:tcW w:w="1500" w:type="dxa"/>
            <w:tcBorders>
              <w:top w:val="single" w:sz="4" w:space="0" w:color="auto"/>
              <w:left w:val="nil"/>
              <w:bottom w:val="single" w:sz="4" w:space="0" w:color="auto"/>
              <w:right w:val="nil"/>
            </w:tcBorders>
            <w:shd w:val="clear" w:color="auto" w:fill="auto"/>
            <w:noWrap/>
            <w:vAlign w:val="bottom"/>
            <w:hideMark/>
          </w:tcPr>
          <w:p w14:paraId="7512A80E" w14:textId="77777777" w:rsidR="00BE6461" w:rsidRPr="00BE6461" w:rsidRDefault="00BE6461" w:rsidP="00BE6461">
            <w:pPr>
              <w:jc w:val="right"/>
              <w:rPr>
                <w:b/>
                <w:bCs/>
                <w:sz w:val="20"/>
                <w:szCs w:val="20"/>
              </w:rPr>
            </w:pPr>
            <w:r w:rsidRPr="00BE6461">
              <w:rPr>
                <w:b/>
                <w:bCs/>
                <w:sz w:val="20"/>
                <w:szCs w:val="20"/>
              </w:rPr>
              <w:t>148.900,00</w:t>
            </w:r>
          </w:p>
        </w:tc>
        <w:tc>
          <w:tcPr>
            <w:tcW w:w="1100" w:type="dxa"/>
            <w:tcBorders>
              <w:top w:val="single" w:sz="4" w:space="0" w:color="auto"/>
              <w:left w:val="nil"/>
              <w:bottom w:val="single" w:sz="4" w:space="0" w:color="auto"/>
              <w:right w:val="nil"/>
            </w:tcBorders>
            <w:shd w:val="clear" w:color="auto" w:fill="auto"/>
            <w:noWrap/>
            <w:vAlign w:val="bottom"/>
            <w:hideMark/>
          </w:tcPr>
          <w:p w14:paraId="67C6263B" w14:textId="77777777" w:rsidR="00BE6461" w:rsidRPr="00BE6461" w:rsidRDefault="00BE6461" w:rsidP="00BE6461">
            <w:pPr>
              <w:jc w:val="right"/>
              <w:rPr>
                <w:b/>
                <w:bCs/>
                <w:sz w:val="20"/>
                <w:szCs w:val="20"/>
              </w:rPr>
            </w:pPr>
            <w:r w:rsidRPr="00BE6461">
              <w:rPr>
                <w:b/>
                <w:bCs/>
                <w:sz w:val="20"/>
                <w:szCs w:val="20"/>
              </w:rPr>
              <w:t>80,92</w:t>
            </w:r>
          </w:p>
        </w:tc>
      </w:tr>
      <w:tr w:rsidR="00BE6461" w:rsidRPr="00BE6461" w14:paraId="106A359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D587EA1"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56FEC951" w14:textId="77777777" w:rsidR="00BE6461" w:rsidRPr="00BE6461" w:rsidRDefault="00BE6461" w:rsidP="00BE6461">
            <w:pPr>
              <w:jc w:val="right"/>
              <w:rPr>
                <w:b/>
                <w:bCs/>
                <w:color w:val="333333"/>
                <w:sz w:val="20"/>
                <w:szCs w:val="20"/>
              </w:rPr>
            </w:pPr>
            <w:r w:rsidRPr="00BE6461">
              <w:rPr>
                <w:b/>
                <w:bCs/>
                <w:color w:val="333333"/>
                <w:sz w:val="20"/>
                <w:szCs w:val="20"/>
              </w:rPr>
              <w:t>184.000,00</w:t>
            </w:r>
          </w:p>
        </w:tc>
        <w:tc>
          <w:tcPr>
            <w:tcW w:w="1500" w:type="dxa"/>
            <w:tcBorders>
              <w:top w:val="nil"/>
              <w:left w:val="nil"/>
              <w:bottom w:val="nil"/>
              <w:right w:val="nil"/>
            </w:tcBorders>
            <w:shd w:val="clear" w:color="auto" w:fill="auto"/>
            <w:noWrap/>
            <w:vAlign w:val="bottom"/>
            <w:hideMark/>
          </w:tcPr>
          <w:p w14:paraId="077E18AC" w14:textId="77777777" w:rsidR="00BE6461" w:rsidRPr="00BE6461" w:rsidRDefault="00BE6461" w:rsidP="00BE6461">
            <w:pPr>
              <w:jc w:val="right"/>
              <w:rPr>
                <w:b/>
                <w:bCs/>
                <w:color w:val="333333"/>
                <w:sz w:val="20"/>
                <w:szCs w:val="20"/>
              </w:rPr>
            </w:pPr>
            <w:r w:rsidRPr="00BE6461">
              <w:rPr>
                <w:b/>
                <w:bCs/>
                <w:color w:val="333333"/>
                <w:sz w:val="20"/>
                <w:szCs w:val="20"/>
              </w:rPr>
              <w:t>148.900,00</w:t>
            </w:r>
          </w:p>
        </w:tc>
        <w:tc>
          <w:tcPr>
            <w:tcW w:w="1100" w:type="dxa"/>
            <w:tcBorders>
              <w:top w:val="nil"/>
              <w:left w:val="nil"/>
              <w:bottom w:val="nil"/>
              <w:right w:val="nil"/>
            </w:tcBorders>
            <w:shd w:val="clear" w:color="auto" w:fill="auto"/>
            <w:noWrap/>
            <w:vAlign w:val="bottom"/>
            <w:hideMark/>
          </w:tcPr>
          <w:p w14:paraId="0B8535B6" w14:textId="77777777" w:rsidR="00BE6461" w:rsidRPr="00BE6461" w:rsidRDefault="00BE6461" w:rsidP="00BE6461">
            <w:pPr>
              <w:jc w:val="right"/>
              <w:rPr>
                <w:b/>
                <w:bCs/>
                <w:color w:val="333333"/>
                <w:sz w:val="20"/>
                <w:szCs w:val="20"/>
              </w:rPr>
            </w:pPr>
            <w:r w:rsidRPr="00BE6461">
              <w:rPr>
                <w:b/>
                <w:bCs/>
                <w:color w:val="333333"/>
                <w:sz w:val="20"/>
                <w:szCs w:val="20"/>
              </w:rPr>
              <w:t>80,92</w:t>
            </w:r>
          </w:p>
        </w:tc>
      </w:tr>
      <w:tr w:rsidR="00BE6461" w:rsidRPr="00BE6461" w14:paraId="0B4B30DE"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596138E"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79790F8A" w14:textId="77777777" w:rsidR="00BE6461" w:rsidRPr="00BE6461" w:rsidRDefault="00BE6461" w:rsidP="00BE6461">
            <w:pPr>
              <w:jc w:val="right"/>
              <w:rPr>
                <w:b/>
                <w:bCs/>
                <w:color w:val="333333"/>
                <w:sz w:val="20"/>
                <w:szCs w:val="20"/>
              </w:rPr>
            </w:pPr>
            <w:r w:rsidRPr="00BE6461">
              <w:rPr>
                <w:b/>
                <w:bCs/>
                <w:color w:val="333333"/>
                <w:sz w:val="20"/>
                <w:szCs w:val="20"/>
              </w:rPr>
              <w:t>184.000,00</w:t>
            </w:r>
          </w:p>
        </w:tc>
        <w:tc>
          <w:tcPr>
            <w:tcW w:w="1500" w:type="dxa"/>
            <w:tcBorders>
              <w:top w:val="nil"/>
              <w:left w:val="nil"/>
              <w:bottom w:val="nil"/>
              <w:right w:val="nil"/>
            </w:tcBorders>
            <w:shd w:val="clear" w:color="auto" w:fill="auto"/>
            <w:noWrap/>
            <w:vAlign w:val="bottom"/>
            <w:hideMark/>
          </w:tcPr>
          <w:p w14:paraId="345622FC" w14:textId="77777777" w:rsidR="00BE6461" w:rsidRPr="00BE6461" w:rsidRDefault="00BE6461" w:rsidP="00BE6461">
            <w:pPr>
              <w:jc w:val="right"/>
              <w:rPr>
                <w:b/>
                <w:bCs/>
                <w:color w:val="333333"/>
                <w:sz w:val="20"/>
                <w:szCs w:val="20"/>
              </w:rPr>
            </w:pPr>
            <w:r w:rsidRPr="00BE6461">
              <w:rPr>
                <w:b/>
                <w:bCs/>
                <w:color w:val="333333"/>
                <w:sz w:val="20"/>
                <w:szCs w:val="20"/>
              </w:rPr>
              <w:t>148.900,00</w:t>
            </w:r>
          </w:p>
        </w:tc>
        <w:tc>
          <w:tcPr>
            <w:tcW w:w="1100" w:type="dxa"/>
            <w:tcBorders>
              <w:top w:val="nil"/>
              <w:left w:val="nil"/>
              <w:bottom w:val="nil"/>
              <w:right w:val="nil"/>
            </w:tcBorders>
            <w:shd w:val="clear" w:color="auto" w:fill="auto"/>
            <w:noWrap/>
            <w:vAlign w:val="bottom"/>
            <w:hideMark/>
          </w:tcPr>
          <w:p w14:paraId="6788EF24" w14:textId="77777777" w:rsidR="00BE6461" w:rsidRPr="00BE6461" w:rsidRDefault="00BE6461" w:rsidP="00BE6461">
            <w:pPr>
              <w:jc w:val="right"/>
              <w:rPr>
                <w:b/>
                <w:bCs/>
                <w:color w:val="333333"/>
                <w:sz w:val="20"/>
                <w:szCs w:val="20"/>
              </w:rPr>
            </w:pPr>
            <w:r w:rsidRPr="00BE6461">
              <w:rPr>
                <w:b/>
                <w:bCs/>
                <w:color w:val="333333"/>
                <w:sz w:val="20"/>
                <w:szCs w:val="20"/>
              </w:rPr>
              <w:t>80,92</w:t>
            </w:r>
          </w:p>
        </w:tc>
      </w:tr>
      <w:tr w:rsidR="00BE6461" w:rsidRPr="00BE6461" w14:paraId="568E21E0" w14:textId="77777777" w:rsidTr="00BE6461">
        <w:trPr>
          <w:trHeight w:val="300"/>
        </w:trPr>
        <w:tc>
          <w:tcPr>
            <w:tcW w:w="1703" w:type="dxa"/>
            <w:tcBorders>
              <w:top w:val="nil"/>
              <w:left w:val="nil"/>
              <w:bottom w:val="nil"/>
              <w:right w:val="nil"/>
            </w:tcBorders>
            <w:shd w:val="clear" w:color="auto" w:fill="auto"/>
            <w:noWrap/>
            <w:vAlign w:val="bottom"/>
            <w:hideMark/>
          </w:tcPr>
          <w:p w14:paraId="5E9E60A1" w14:textId="77777777" w:rsidR="00BE6461" w:rsidRPr="00BE6461" w:rsidRDefault="00BE6461" w:rsidP="00BE6461">
            <w:pPr>
              <w:rPr>
                <w:b/>
                <w:bCs/>
                <w:sz w:val="20"/>
                <w:szCs w:val="20"/>
              </w:rPr>
            </w:pPr>
            <w:r w:rsidRPr="00BE6461">
              <w:rPr>
                <w:b/>
                <w:bCs/>
                <w:sz w:val="20"/>
                <w:szCs w:val="20"/>
              </w:rPr>
              <w:t>372</w:t>
            </w:r>
          </w:p>
        </w:tc>
        <w:tc>
          <w:tcPr>
            <w:tcW w:w="8457" w:type="dxa"/>
            <w:tcBorders>
              <w:top w:val="nil"/>
              <w:left w:val="nil"/>
              <w:bottom w:val="nil"/>
              <w:right w:val="nil"/>
            </w:tcBorders>
            <w:shd w:val="clear" w:color="auto" w:fill="auto"/>
            <w:vAlign w:val="bottom"/>
            <w:hideMark/>
          </w:tcPr>
          <w:p w14:paraId="7CEDF23A" w14:textId="77777777" w:rsidR="00BE6461" w:rsidRPr="00BE6461" w:rsidRDefault="00BE6461" w:rsidP="00BE6461">
            <w:pPr>
              <w:rPr>
                <w:b/>
                <w:bCs/>
                <w:sz w:val="20"/>
                <w:szCs w:val="20"/>
              </w:rPr>
            </w:pPr>
            <w:r w:rsidRPr="00BE6461">
              <w:rPr>
                <w:b/>
                <w:bCs/>
                <w:sz w:val="20"/>
                <w:szCs w:val="20"/>
              </w:rPr>
              <w:t xml:space="preserve">Ostale naknade građanima i kućanstvima iz proračuna                                                 </w:t>
            </w:r>
          </w:p>
        </w:tc>
        <w:tc>
          <w:tcPr>
            <w:tcW w:w="1503" w:type="dxa"/>
            <w:tcBorders>
              <w:top w:val="nil"/>
              <w:left w:val="nil"/>
              <w:bottom w:val="nil"/>
              <w:right w:val="nil"/>
            </w:tcBorders>
            <w:shd w:val="clear" w:color="auto" w:fill="auto"/>
            <w:noWrap/>
            <w:vAlign w:val="bottom"/>
            <w:hideMark/>
          </w:tcPr>
          <w:p w14:paraId="4F7290EF" w14:textId="77777777" w:rsidR="00BE6461" w:rsidRPr="00BE6461" w:rsidRDefault="00BE6461" w:rsidP="00BE6461">
            <w:pPr>
              <w:jc w:val="right"/>
              <w:rPr>
                <w:b/>
                <w:bCs/>
                <w:sz w:val="20"/>
                <w:szCs w:val="20"/>
              </w:rPr>
            </w:pPr>
            <w:r w:rsidRPr="00BE6461">
              <w:rPr>
                <w:b/>
                <w:bCs/>
                <w:sz w:val="20"/>
                <w:szCs w:val="20"/>
              </w:rPr>
              <w:t>184.000,00</w:t>
            </w:r>
          </w:p>
        </w:tc>
        <w:tc>
          <w:tcPr>
            <w:tcW w:w="1500" w:type="dxa"/>
            <w:tcBorders>
              <w:top w:val="nil"/>
              <w:left w:val="nil"/>
              <w:bottom w:val="nil"/>
              <w:right w:val="nil"/>
            </w:tcBorders>
            <w:shd w:val="clear" w:color="auto" w:fill="auto"/>
            <w:noWrap/>
            <w:vAlign w:val="bottom"/>
            <w:hideMark/>
          </w:tcPr>
          <w:p w14:paraId="792EF005" w14:textId="77777777" w:rsidR="00BE6461" w:rsidRPr="00BE6461" w:rsidRDefault="00BE6461" w:rsidP="00BE6461">
            <w:pPr>
              <w:jc w:val="right"/>
              <w:rPr>
                <w:b/>
                <w:bCs/>
                <w:sz w:val="20"/>
                <w:szCs w:val="20"/>
              </w:rPr>
            </w:pPr>
            <w:r w:rsidRPr="00BE6461">
              <w:rPr>
                <w:b/>
                <w:bCs/>
                <w:sz w:val="20"/>
                <w:szCs w:val="20"/>
              </w:rPr>
              <w:t>148.900,00</w:t>
            </w:r>
          </w:p>
        </w:tc>
        <w:tc>
          <w:tcPr>
            <w:tcW w:w="1100" w:type="dxa"/>
            <w:tcBorders>
              <w:top w:val="nil"/>
              <w:left w:val="nil"/>
              <w:bottom w:val="nil"/>
              <w:right w:val="nil"/>
            </w:tcBorders>
            <w:shd w:val="clear" w:color="auto" w:fill="auto"/>
            <w:noWrap/>
            <w:vAlign w:val="bottom"/>
            <w:hideMark/>
          </w:tcPr>
          <w:p w14:paraId="18BAEFCC" w14:textId="77777777" w:rsidR="00BE6461" w:rsidRPr="00BE6461" w:rsidRDefault="00BE6461" w:rsidP="00BE6461">
            <w:pPr>
              <w:jc w:val="right"/>
              <w:rPr>
                <w:b/>
                <w:bCs/>
                <w:sz w:val="20"/>
                <w:szCs w:val="20"/>
              </w:rPr>
            </w:pPr>
            <w:r w:rsidRPr="00BE6461">
              <w:rPr>
                <w:b/>
                <w:bCs/>
                <w:sz w:val="20"/>
                <w:szCs w:val="20"/>
              </w:rPr>
              <w:t>80,92</w:t>
            </w:r>
          </w:p>
        </w:tc>
      </w:tr>
      <w:tr w:rsidR="00BE6461" w:rsidRPr="00BE6461" w14:paraId="7FAB41EA" w14:textId="77777777" w:rsidTr="00BE6461">
        <w:trPr>
          <w:trHeight w:val="300"/>
        </w:trPr>
        <w:tc>
          <w:tcPr>
            <w:tcW w:w="1703" w:type="dxa"/>
            <w:tcBorders>
              <w:top w:val="nil"/>
              <w:left w:val="nil"/>
              <w:bottom w:val="nil"/>
              <w:right w:val="nil"/>
            </w:tcBorders>
            <w:shd w:val="clear" w:color="auto" w:fill="auto"/>
            <w:noWrap/>
            <w:vAlign w:val="bottom"/>
            <w:hideMark/>
          </w:tcPr>
          <w:p w14:paraId="25B67421" w14:textId="77777777" w:rsidR="00BE6461" w:rsidRPr="00BE6461" w:rsidRDefault="00BE6461" w:rsidP="00BE6461">
            <w:pPr>
              <w:rPr>
                <w:sz w:val="20"/>
                <w:szCs w:val="20"/>
              </w:rPr>
            </w:pPr>
            <w:r w:rsidRPr="00BE6461">
              <w:rPr>
                <w:sz w:val="20"/>
                <w:szCs w:val="20"/>
              </w:rPr>
              <w:t>3721</w:t>
            </w:r>
          </w:p>
        </w:tc>
        <w:tc>
          <w:tcPr>
            <w:tcW w:w="8457" w:type="dxa"/>
            <w:tcBorders>
              <w:top w:val="nil"/>
              <w:left w:val="nil"/>
              <w:bottom w:val="nil"/>
              <w:right w:val="nil"/>
            </w:tcBorders>
            <w:shd w:val="clear" w:color="auto" w:fill="auto"/>
            <w:vAlign w:val="bottom"/>
            <w:hideMark/>
          </w:tcPr>
          <w:p w14:paraId="6391E316" w14:textId="77777777" w:rsidR="00BE6461" w:rsidRPr="00BE6461" w:rsidRDefault="00BE6461" w:rsidP="00BE6461">
            <w:pPr>
              <w:rPr>
                <w:sz w:val="20"/>
                <w:szCs w:val="20"/>
              </w:rPr>
            </w:pPr>
            <w:r w:rsidRPr="00BE6461">
              <w:rPr>
                <w:sz w:val="20"/>
                <w:szCs w:val="20"/>
              </w:rPr>
              <w:t xml:space="preserve">Naknade građanima i kućanstvima u novcu                                                             </w:t>
            </w:r>
          </w:p>
        </w:tc>
        <w:tc>
          <w:tcPr>
            <w:tcW w:w="1503" w:type="dxa"/>
            <w:tcBorders>
              <w:top w:val="nil"/>
              <w:left w:val="nil"/>
              <w:bottom w:val="nil"/>
              <w:right w:val="nil"/>
            </w:tcBorders>
            <w:shd w:val="clear" w:color="auto" w:fill="auto"/>
            <w:noWrap/>
            <w:vAlign w:val="bottom"/>
            <w:hideMark/>
          </w:tcPr>
          <w:p w14:paraId="6EC1BFA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9E30CEB" w14:textId="77777777" w:rsidR="00BE6461" w:rsidRPr="00BE6461" w:rsidRDefault="00BE6461" w:rsidP="00BE6461">
            <w:pPr>
              <w:jc w:val="right"/>
              <w:rPr>
                <w:sz w:val="20"/>
                <w:szCs w:val="20"/>
              </w:rPr>
            </w:pPr>
            <w:r w:rsidRPr="00BE6461">
              <w:rPr>
                <w:sz w:val="20"/>
                <w:szCs w:val="20"/>
              </w:rPr>
              <w:t>148.900,00</w:t>
            </w:r>
          </w:p>
        </w:tc>
        <w:tc>
          <w:tcPr>
            <w:tcW w:w="1100" w:type="dxa"/>
            <w:tcBorders>
              <w:top w:val="nil"/>
              <w:left w:val="nil"/>
              <w:bottom w:val="nil"/>
              <w:right w:val="nil"/>
            </w:tcBorders>
            <w:shd w:val="clear" w:color="auto" w:fill="auto"/>
            <w:noWrap/>
            <w:vAlign w:val="bottom"/>
            <w:hideMark/>
          </w:tcPr>
          <w:p w14:paraId="36734859" w14:textId="77777777" w:rsidR="00BE6461" w:rsidRPr="00BE6461" w:rsidRDefault="00BE6461" w:rsidP="00BE6461">
            <w:pPr>
              <w:jc w:val="right"/>
              <w:rPr>
                <w:sz w:val="20"/>
                <w:szCs w:val="20"/>
              </w:rPr>
            </w:pPr>
          </w:p>
        </w:tc>
      </w:tr>
      <w:tr w:rsidR="00BE6461" w:rsidRPr="00BE6461" w14:paraId="759C4E09"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680CA810" w14:textId="77777777" w:rsidR="00BE6461" w:rsidRPr="00BE6461" w:rsidRDefault="00BE6461" w:rsidP="00BE6461">
            <w:pPr>
              <w:rPr>
                <w:b/>
                <w:bCs/>
                <w:sz w:val="20"/>
                <w:szCs w:val="20"/>
              </w:rPr>
            </w:pPr>
            <w:r w:rsidRPr="00BE6461">
              <w:rPr>
                <w:b/>
                <w:bCs/>
                <w:sz w:val="20"/>
                <w:szCs w:val="20"/>
              </w:rPr>
              <w:t>A100028</w:t>
            </w:r>
          </w:p>
        </w:tc>
        <w:tc>
          <w:tcPr>
            <w:tcW w:w="8457" w:type="dxa"/>
            <w:tcBorders>
              <w:top w:val="single" w:sz="4" w:space="0" w:color="auto"/>
              <w:left w:val="nil"/>
              <w:bottom w:val="single" w:sz="4" w:space="0" w:color="auto"/>
              <w:right w:val="nil"/>
            </w:tcBorders>
            <w:shd w:val="clear" w:color="auto" w:fill="auto"/>
            <w:vAlign w:val="bottom"/>
            <w:hideMark/>
          </w:tcPr>
          <w:p w14:paraId="489869F8" w14:textId="77777777" w:rsidR="00BE6461" w:rsidRPr="00BE6461" w:rsidRDefault="00BE6461" w:rsidP="00BE6461">
            <w:pPr>
              <w:rPr>
                <w:b/>
                <w:bCs/>
                <w:sz w:val="20"/>
                <w:szCs w:val="20"/>
              </w:rPr>
            </w:pPr>
            <w:r w:rsidRPr="00BE6461">
              <w:rPr>
                <w:b/>
                <w:bCs/>
                <w:sz w:val="20"/>
                <w:szCs w:val="20"/>
              </w:rPr>
              <w:t>Aktivnost: POMOĆ OSNOVNIM I SREDNJIM ŠKOLAMA</w:t>
            </w:r>
          </w:p>
        </w:tc>
        <w:tc>
          <w:tcPr>
            <w:tcW w:w="1503" w:type="dxa"/>
            <w:tcBorders>
              <w:top w:val="single" w:sz="4" w:space="0" w:color="auto"/>
              <w:left w:val="nil"/>
              <w:bottom w:val="single" w:sz="4" w:space="0" w:color="auto"/>
              <w:right w:val="nil"/>
            </w:tcBorders>
            <w:shd w:val="clear" w:color="auto" w:fill="auto"/>
            <w:noWrap/>
            <w:vAlign w:val="bottom"/>
            <w:hideMark/>
          </w:tcPr>
          <w:p w14:paraId="1A26281C" w14:textId="77777777" w:rsidR="00BE6461" w:rsidRPr="00BE6461" w:rsidRDefault="00BE6461" w:rsidP="00BE6461">
            <w:pPr>
              <w:jc w:val="right"/>
              <w:rPr>
                <w:b/>
                <w:bCs/>
                <w:sz w:val="20"/>
                <w:szCs w:val="20"/>
              </w:rPr>
            </w:pPr>
            <w:r w:rsidRPr="00BE6461">
              <w:rPr>
                <w:b/>
                <w:bCs/>
                <w:sz w:val="20"/>
                <w:szCs w:val="20"/>
              </w:rPr>
              <w:t>47.000,00</w:t>
            </w:r>
          </w:p>
        </w:tc>
        <w:tc>
          <w:tcPr>
            <w:tcW w:w="1500" w:type="dxa"/>
            <w:tcBorders>
              <w:top w:val="single" w:sz="4" w:space="0" w:color="auto"/>
              <w:left w:val="nil"/>
              <w:bottom w:val="single" w:sz="4" w:space="0" w:color="auto"/>
              <w:right w:val="nil"/>
            </w:tcBorders>
            <w:shd w:val="clear" w:color="auto" w:fill="auto"/>
            <w:noWrap/>
            <w:vAlign w:val="bottom"/>
            <w:hideMark/>
          </w:tcPr>
          <w:p w14:paraId="44DD8BEB" w14:textId="77777777" w:rsidR="00BE6461" w:rsidRPr="00BE6461" w:rsidRDefault="00BE6461" w:rsidP="00BE6461">
            <w:pPr>
              <w:jc w:val="right"/>
              <w:rPr>
                <w:b/>
                <w:bCs/>
                <w:sz w:val="20"/>
                <w:szCs w:val="20"/>
              </w:rPr>
            </w:pPr>
            <w:r w:rsidRPr="00BE6461">
              <w:rPr>
                <w:b/>
                <w:bCs/>
                <w:sz w:val="20"/>
                <w:szCs w:val="20"/>
              </w:rPr>
              <w:t>47.000,00</w:t>
            </w:r>
          </w:p>
        </w:tc>
        <w:tc>
          <w:tcPr>
            <w:tcW w:w="1100" w:type="dxa"/>
            <w:tcBorders>
              <w:top w:val="single" w:sz="4" w:space="0" w:color="auto"/>
              <w:left w:val="nil"/>
              <w:bottom w:val="single" w:sz="4" w:space="0" w:color="auto"/>
              <w:right w:val="nil"/>
            </w:tcBorders>
            <w:shd w:val="clear" w:color="auto" w:fill="auto"/>
            <w:noWrap/>
            <w:vAlign w:val="bottom"/>
            <w:hideMark/>
          </w:tcPr>
          <w:p w14:paraId="024D96BC"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2A83892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86AA1C4"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7DCC955F" w14:textId="77777777" w:rsidR="00BE6461" w:rsidRPr="00BE6461" w:rsidRDefault="00BE6461" w:rsidP="00BE6461">
            <w:pPr>
              <w:jc w:val="right"/>
              <w:rPr>
                <w:b/>
                <w:bCs/>
                <w:color w:val="333333"/>
                <w:sz w:val="20"/>
                <w:szCs w:val="20"/>
              </w:rPr>
            </w:pPr>
            <w:r w:rsidRPr="00BE6461">
              <w:rPr>
                <w:b/>
                <w:bCs/>
                <w:color w:val="333333"/>
                <w:sz w:val="20"/>
                <w:szCs w:val="20"/>
              </w:rPr>
              <w:t>47.000,00</w:t>
            </w:r>
          </w:p>
        </w:tc>
        <w:tc>
          <w:tcPr>
            <w:tcW w:w="1500" w:type="dxa"/>
            <w:tcBorders>
              <w:top w:val="nil"/>
              <w:left w:val="nil"/>
              <w:bottom w:val="nil"/>
              <w:right w:val="nil"/>
            </w:tcBorders>
            <w:shd w:val="clear" w:color="auto" w:fill="auto"/>
            <w:noWrap/>
            <w:vAlign w:val="bottom"/>
            <w:hideMark/>
          </w:tcPr>
          <w:p w14:paraId="2C8B4E0E" w14:textId="77777777" w:rsidR="00BE6461" w:rsidRPr="00BE6461" w:rsidRDefault="00BE6461" w:rsidP="00BE6461">
            <w:pPr>
              <w:jc w:val="right"/>
              <w:rPr>
                <w:b/>
                <w:bCs/>
                <w:color w:val="333333"/>
                <w:sz w:val="20"/>
                <w:szCs w:val="20"/>
              </w:rPr>
            </w:pPr>
            <w:r w:rsidRPr="00BE6461">
              <w:rPr>
                <w:b/>
                <w:bCs/>
                <w:color w:val="333333"/>
                <w:sz w:val="20"/>
                <w:szCs w:val="20"/>
              </w:rPr>
              <w:t>47.000,00</w:t>
            </w:r>
          </w:p>
        </w:tc>
        <w:tc>
          <w:tcPr>
            <w:tcW w:w="1100" w:type="dxa"/>
            <w:tcBorders>
              <w:top w:val="nil"/>
              <w:left w:val="nil"/>
              <w:bottom w:val="nil"/>
              <w:right w:val="nil"/>
            </w:tcBorders>
            <w:shd w:val="clear" w:color="auto" w:fill="auto"/>
            <w:noWrap/>
            <w:vAlign w:val="bottom"/>
            <w:hideMark/>
          </w:tcPr>
          <w:p w14:paraId="773E4254"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69695889"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33161BB"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687EFE20" w14:textId="77777777" w:rsidR="00BE6461" w:rsidRPr="00BE6461" w:rsidRDefault="00BE6461" w:rsidP="00BE6461">
            <w:pPr>
              <w:jc w:val="right"/>
              <w:rPr>
                <w:b/>
                <w:bCs/>
                <w:color w:val="333333"/>
                <w:sz w:val="20"/>
                <w:szCs w:val="20"/>
              </w:rPr>
            </w:pPr>
            <w:r w:rsidRPr="00BE6461">
              <w:rPr>
                <w:b/>
                <w:bCs/>
                <w:color w:val="333333"/>
                <w:sz w:val="20"/>
                <w:szCs w:val="20"/>
              </w:rPr>
              <w:t>47.000,00</w:t>
            </w:r>
          </w:p>
        </w:tc>
        <w:tc>
          <w:tcPr>
            <w:tcW w:w="1500" w:type="dxa"/>
            <w:tcBorders>
              <w:top w:val="nil"/>
              <w:left w:val="nil"/>
              <w:bottom w:val="nil"/>
              <w:right w:val="nil"/>
            </w:tcBorders>
            <w:shd w:val="clear" w:color="auto" w:fill="auto"/>
            <w:noWrap/>
            <w:vAlign w:val="bottom"/>
            <w:hideMark/>
          </w:tcPr>
          <w:p w14:paraId="6AE7FE7E" w14:textId="77777777" w:rsidR="00BE6461" w:rsidRPr="00BE6461" w:rsidRDefault="00BE6461" w:rsidP="00BE6461">
            <w:pPr>
              <w:jc w:val="right"/>
              <w:rPr>
                <w:b/>
                <w:bCs/>
                <w:color w:val="333333"/>
                <w:sz w:val="20"/>
                <w:szCs w:val="20"/>
              </w:rPr>
            </w:pPr>
            <w:r w:rsidRPr="00BE6461">
              <w:rPr>
                <w:b/>
                <w:bCs/>
                <w:color w:val="333333"/>
                <w:sz w:val="20"/>
                <w:szCs w:val="20"/>
              </w:rPr>
              <w:t>47.000,00</w:t>
            </w:r>
          </w:p>
        </w:tc>
        <w:tc>
          <w:tcPr>
            <w:tcW w:w="1100" w:type="dxa"/>
            <w:tcBorders>
              <w:top w:val="nil"/>
              <w:left w:val="nil"/>
              <w:bottom w:val="nil"/>
              <w:right w:val="nil"/>
            </w:tcBorders>
            <w:shd w:val="clear" w:color="auto" w:fill="auto"/>
            <w:noWrap/>
            <w:vAlign w:val="bottom"/>
            <w:hideMark/>
          </w:tcPr>
          <w:p w14:paraId="611B250D"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4A1D42EA" w14:textId="77777777" w:rsidTr="00BE6461">
        <w:trPr>
          <w:trHeight w:val="300"/>
        </w:trPr>
        <w:tc>
          <w:tcPr>
            <w:tcW w:w="1703" w:type="dxa"/>
            <w:tcBorders>
              <w:top w:val="nil"/>
              <w:left w:val="nil"/>
              <w:bottom w:val="nil"/>
              <w:right w:val="nil"/>
            </w:tcBorders>
            <w:shd w:val="clear" w:color="auto" w:fill="auto"/>
            <w:noWrap/>
            <w:vAlign w:val="bottom"/>
            <w:hideMark/>
          </w:tcPr>
          <w:p w14:paraId="0976606E" w14:textId="77777777" w:rsidR="00BE6461" w:rsidRPr="00BE6461" w:rsidRDefault="00BE6461" w:rsidP="00BE6461">
            <w:pPr>
              <w:rPr>
                <w:b/>
                <w:bCs/>
                <w:sz w:val="20"/>
                <w:szCs w:val="20"/>
              </w:rPr>
            </w:pPr>
            <w:r w:rsidRPr="00BE6461">
              <w:rPr>
                <w:b/>
                <w:bCs/>
                <w:sz w:val="20"/>
                <w:szCs w:val="20"/>
              </w:rPr>
              <w:t>366</w:t>
            </w:r>
          </w:p>
        </w:tc>
        <w:tc>
          <w:tcPr>
            <w:tcW w:w="8457" w:type="dxa"/>
            <w:tcBorders>
              <w:top w:val="nil"/>
              <w:left w:val="nil"/>
              <w:bottom w:val="nil"/>
              <w:right w:val="nil"/>
            </w:tcBorders>
            <w:shd w:val="clear" w:color="auto" w:fill="auto"/>
            <w:vAlign w:val="bottom"/>
            <w:hideMark/>
          </w:tcPr>
          <w:p w14:paraId="1D5E1B94" w14:textId="77777777" w:rsidR="00BE6461" w:rsidRPr="00BE6461" w:rsidRDefault="00BE6461" w:rsidP="00BE6461">
            <w:pPr>
              <w:rPr>
                <w:b/>
                <w:bCs/>
                <w:sz w:val="20"/>
                <w:szCs w:val="20"/>
              </w:rPr>
            </w:pPr>
            <w:r w:rsidRPr="00BE6461">
              <w:rPr>
                <w:b/>
                <w:bCs/>
                <w:sz w:val="20"/>
                <w:szCs w:val="20"/>
              </w:rPr>
              <w:t>Pomoći proračunskim korisnicima drugih proračuna</w:t>
            </w:r>
          </w:p>
        </w:tc>
        <w:tc>
          <w:tcPr>
            <w:tcW w:w="1503" w:type="dxa"/>
            <w:tcBorders>
              <w:top w:val="nil"/>
              <w:left w:val="nil"/>
              <w:bottom w:val="nil"/>
              <w:right w:val="nil"/>
            </w:tcBorders>
            <w:shd w:val="clear" w:color="auto" w:fill="auto"/>
            <w:noWrap/>
            <w:vAlign w:val="bottom"/>
            <w:hideMark/>
          </w:tcPr>
          <w:p w14:paraId="3E54B869" w14:textId="77777777" w:rsidR="00BE6461" w:rsidRPr="00BE6461" w:rsidRDefault="00BE6461" w:rsidP="00BE6461">
            <w:pPr>
              <w:jc w:val="right"/>
              <w:rPr>
                <w:b/>
                <w:bCs/>
                <w:sz w:val="20"/>
                <w:szCs w:val="20"/>
              </w:rPr>
            </w:pPr>
            <w:r w:rsidRPr="00BE6461">
              <w:rPr>
                <w:b/>
                <w:bCs/>
                <w:sz w:val="20"/>
                <w:szCs w:val="20"/>
              </w:rPr>
              <w:t>47.000,00</w:t>
            </w:r>
          </w:p>
        </w:tc>
        <w:tc>
          <w:tcPr>
            <w:tcW w:w="1500" w:type="dxa"/>
            <w:tcBorders>
              <w:top w:val="nil"/>
              <w:left w:val="nil"/>
              <w:bottom w:val="nil"/>
              <w:right w:val="nil"/>
            </w:tcBorders>
            <w:shd w:val="clear" w:color="auto" w:fill="auto"/>
            <w:noWrap/>
            <w:vAlign w:val="bottom"/>
            <w:hideMark/>
          </w:tcPr>
          <w:p w14:paraId="53335E19" w14:textId="77777777" w:rsidR="00BE6461" w:rsidRPr="00BE6461" w:rsidRDefault="00BE6461" w:rsidP="00BE6461">
            <w:pPr>
              <w:jc w:val="right"/>
              <w:rPr>
                <w:b/>
                <w:bCs/>
                <w:sz w:val="20"/>
                <w:szCs w:val="20"/>
              </w:rPr>
            </w:pPr>
            <w:r w:rsidRPr="00BE6461">
              <w:rPr>
                <w:b/>
                <w:bCs/>
                <w:sz w:val="20"/>
                <w:szCs w:val="20"/>
              </w:rPr>
              <w:t>47.000,00</w:t>
            </w:r>
          </w:p>
        </w:tc>
        <w:tc>
          <w:tcPr>
            <w:tcW w:w="1100" w:type="dxa"/>
            <w:tcBorders>
              <w:top w:val="nil"/>
              <w:left w:val="nil"/>
              <w:bottom w:val="nil"/>
              <w:right w:val="nil"/>
            </w:tcBorders>
            <w:shd w:val="clear" w:color="auto" w:fill="auto"/>
            <w:noWrap/>
            <w:vAlign w:val="bottom"/>
            <w:hideMark/>
          </w:tcPr>
          <w:p w14:paraId="74ADC9A2"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024385AE" w14:textId="77777777" w:rsidTr="00BE6461">
        <w:trPr>
          <w:trHeight w:val="300"/>
        </w:trPr>
        <w:tc>
          <w:tcPr>
            <w:tcW w:w="1703" w:type="dxa"/>
            <w:tcBorders>
              <w:top w:val="nil"/>
              <w:left w:val="nil"/>
              <w:bottom w:val="nil"/>
              <w:right w:val="nil"/>
            </w:tcBorders>
            <w:shd w:val="clear" w:color="auto" w:fill="auto"/>
            <w:noWrap/>
            <w:vAlign w:val="bottom"/>
            <w:hideMark/>
          </w:tcPr>
          <w:p w14:paraId="5F9CD69C" w14:textId="77777777" w:rsidR="00BE6461" w:rsidRPr="00BE6461" w:rsidRDefault="00BE6461" w:rsidP="00BE6461">
            <w:pPr>
              <w:rPr>
                <w:sz w:val="20"/>
                <w:szCs w:val="20"/>
              </w:rPr>
            </w:pPr>
            <w:r w:rsidRPr="00BE6461">
              <w:rPr>
                <w:sz w:val="20"/>
                <w:szCs w:val="20"/>
              </w:rPr>
              <w:t>3661</w:t>
            </w:r>
          </w:p>
        </w:tc>
        <w:tc>
          <w:tcPr>
            <w:tcW w:w="8457" w:type="dxa"/>
            <w:tcBorders>
              <w:top w:val="nil"/>
              <w:left w:val="nil"/>
              <w:bottom w:val="nil"/>
              <w:right w:val="nil"/>
            </w:tcBorders>
            <w:shd w:val="clear" w:color="auto" w:fill="auto"/>
            <w:vAlign w:val="bottom"/>
            <w:hideMark/>
          </w:tcPr>
          <w:p w14:paraId="1EE20314" w14:textId="77777777" w:rsidR="00BE6461" w:rsidRPr="00BE6461" w:rsidRDefault="00BE6461" w:rsidP="00BE6461">
            <w:pPr>
              <w:rPr>
                <w:sz w:val="20"/>
                <w:szCs w:val="20"/>
              </w:rPr>
            </w:pPr>
            <w:r w:rsidRPr="00BE6461">
              <w:rPr>
                <w:sz w:val="20"/>
                <w:szCs w:val="20"/>
              </w:rPr>
              <w:t>Tekuće pomoći proračunskim korisnicima drugih proračuna</w:t>
            </w:r>
          </w:p>
        </w:tc>
        <w:tc>
          <w:tcPr>
            <w:tcW w:w="1503" w:type="dxa"/>
            <w:tcBorders>
              <w:top w:val="nil"/>
              <w:left w:val="nil"/>
              <w:bottom w:val="nil"/>
              <w:right w:val="nil"/>
            </w:tcBorders>
            <w:shd w:val="clear" w:color="auto" w:fill="auto"/>
            <w:noWrap/>
            <w:vAlign w:val="bottom"/>
            <w:hideMark/>
          </w:tcPr>
          <w:p w14:paraId="5F9CD90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F3EB551" w14:textId="77777777" w:rsidR="00BE6461" w:rsidRPr="00BE6461" w:rsidRDefault="00BE6461" w:rsidP="00BE6461">
            <w:pPr>
              <w:jc w:val="right"/>
              <w:rPr>
                <w:sz w:val="20"/>
                <w:szCs w:val="20"/>
              </w:rPr>
            </w:pPr>
            <w:r w:rsidRPr="00BE6461">
              <w:rPr>
                <w:sz w:val="20"/>
                <w:szCs w:val="20"/>
              </w:rPr>
              <w:t>47.000,00</w:t>
            </w:r>
          </w:p>
        </w:tc>
        <w:tc>
          <w:tcPr>
            <w:tcW w:w="1100" w:type="dxa"/>
            <w:tcBorders>
              <w:top w:val="nil"/>
              <w:left w:val="nil"/>
              <w:bottom w:val="nil"/>
              <w:right w:val="nil"/>
            </w:tcBorders>
            <w:shd w:val="clear" w:color="auto" w:fill="auto"/>
            <w:noWrap/>
            <w:vAlign w:val="bottom"/>
            <w:hideMark/>
          </w:tcPr>
          <w:p w14:paraId="43BE9AC0" w14:textId="77777777" w:rsidR="00BE6461" w:rsidRPr="00BE6461" w:rsidRDefault="00BE6461" w:rsidP="00BE6461">
            <w:pPr>
              <w:jc w:val="right"/>
              <w:rPr>
                <w:sz w:val="20"/>
                <w:szCs w:val="20"/>
              </w:rPr>
            </w:pPr>
          </w:p>
        </w:tc>
      </w:tr>
      <w:tr w:rsidR="00BE6461" w:rsidRPr="00BE6461" w14:paraId="481715E3"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736C1416" w14:textId="77777777" w:rsidR="00BE6461" w:rsidRPr="00BE6461" w:rsidRDefault="00BE6461" w:rsidP="00BE6461">
            <w:pPr>
              <w:rPr>
                <w:b/>
                <w:bCs/>
                <w:sz w:val="20"/>
                <w:szCs w:val="20"/>
              </w:rPr>
            </w:pPr>
            <w:r w:rsidRPr="00BE6461">
              <w:rPr>
                <w:b/>
                <w:bCs/>
                <w:sz w:val="20"/>
                <w:szCs w:val="20"/>
              </w:rPr>
              <w:t>A100029</w:t>
            </w:r>
          </w:p>
        </w:tc>
        <w:tc>
          <w:tcPr>
            <w:tcW w:w="8457" w:type="dxa"/>
            <w:tcBorders>
              <w:top w:val="single" w:sz="4" w:space="0" w:color="auto"/>
              <w:left w:val="nil"/>
              <w:bottom w:val="single" w:sz="4" w:space="0" w:color="auto"/>
              <w:right w:val="nil"/>
            </w:tcBorders>
            <w:shd w:val="clear" w:color="auto" w:fill="auto"/>
            <w:vAlign w:val="bottom"/>
            <w:hideMark/>
          </w:tcPr>
          <w:p w14:paraId="144B92D3" w14:textId="77777777" w:rsidR="00BE6461" w:rsidRPr="00BE6461" w:rsidRDefault="00BE6461" w:rsidP="00BE6461">
            <w:pPr>
              <w:rPr>
                <w:b/>
                <w:bCs/>
                <w:sz w:val="20"/>
                <w:szCs w:val="20"/>
              </w:rPr>
            </w:pPr>
            <w:r w:rsidRPr="00BE6461">
              <w:rPr>
                <w:b/>
                <w:bCs/>
                <w:sz w:val="20"/>
                <w:szCs w:val="20"/>
              </w:rPr>
              <w:t>Aktivnost: DONACIJE UDRUGAMA STUDENATA I MLADIH</w:t>
            </w:r>
          </w:p>
        </w:tc>
        <w:tc>
          <w:tcPr>
            <w:tcW w:w="1503" w:type="dxa"/>
            <w:tcBorders>
              <w:top w:val="single" w:sz="4" w:space="0" w:color="auto"/>
              <w:left w:val="nil"/>
              <w:bottom w:val="single" w:sz="4" w:space="0" w:color="auto"/>
              <w:right w:val="nil"/>
            </w:tcBorders>
            <w:shd w:val="clear" w:color="auto" w:fill="auto"/>
            <w:noWrap/>
            <w:vAlign w:val="bottom"/>
            <w:hideMark/>
          </w:tcPr>
          <w:p w14:paraId="324C5263" w14:textId="77777777" w:rsidR="00BE6461" w:rsidRPr="00BE6461" w:rsidRDefault="00BE6461" w:rsidP="00BE6461">
            <w:pPr>
              <w:jc w:val="right"/>
              <w:rPr>
                <w:b/>
                <w:bCs/>
                <w:sz w:val="20"/>
                <w:szCs w:val="20"/>
              </w:rPr>
            </w:pPr>
            <w:r w:rsidRPr="00BE6461">
              <w:rPr>
                <w:b/>
                <w:bCs/>
                <w:sz w:val="20"/>
                <w:szCs w:val="20"/>
              </w:rPr>
              <w:t>2.000,00</w:t>
            </w:r>
          </w:p>
        </w:tc>
        <w:tc>
          <w:tcPr>
            <w:tcW w:w="1500" w:type="dxa"/>
            <w:tcBorders>
              <w:top w:val="single" w:sz="4" w:space="0" w:color="auto"/>
              <w:left w:val="nil"/>
              <w:bottom w:val="single" w:sz="4" w:space="0" w:color="auto"/>
              <w:right w:val="nil"/>
            </w:tcBorders>
            <w:shd w:val="clear" w:color="auto" w:fill="auto"/>
            <w:noWrap/>
            <w:vAlign w:val="bottom"/>
            <w:hideMark/>
          </w:tcPr>
          <w:p w14:paraId="35018079" w14:textId="77777777" w:rsidR="00BE6461" w:rsidRPr="00BE6461" w:rsidRDefault="00BE6461" w:rsidP="00BE6461">
            <w:pPr>
              <w:jc w:val="right"/>
              <w:rPr>
                <w:b/>
                <w:bCs/>
                <w:sz w:val="20"/>
                <w:szCs w:val="20"/>
              </w:rPr>
            </w:pPr>
            <w:r w:rsidRPr="00BE6461">
              <w:rPr>
                <w:b/>
                <w:bCs/>
                <w:sz w:val="20"/>
                <w:szCs w:val="20"/>
              </w:rPr>
              <w:t>2.000,00</w:t>
            </w:r>
          </w:p>
        </w:tc>
        <w:tc>
          <w:tcPr>
            <w:tcW w:w="1100" w:type="dxa"/>
            <w:tcBorders>
              <w:top w:val="single" w:sz="4" w:space="0" w:color="auto"/>
              <w:left w:val="nil"/>
              <w:bottom w:val="single" w:sz="4" w:space="0" w:color="auto"/>
              <w:right w:val="nil"/>
            </w:tcBorders>
            <w:shd w:val="clear" w:color="auto" w:fill="auto"/>
            <w:noWrap/>
            <w:vAlign w:val="bottom"/>
            <w:hideMark/>
          </w:tcPr>
          <w:p w14:paraId="15AA7A00"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2518DB7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8AF6EAC"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3D3581B8" w14:textId="77777777" w:rsidR="00BE6461" w:rsidRPr="00BE6461" w:rsidRDefault="00BE6461" w:rsidP="00BE6461">
            <w:pPr>
              <w:jc w:val="right"/>
              <w:rPr>
                <w:b/>
                <w:bCs/>
                <w:color w:val="333333"/>
                <w:sz w:val="20"/>
                <w:szCs w:val="20"/>
              </w:rPr>
            </w:pPr>
            <w:r w:rsidRPr="00BE6461">
              <w:rPr>
                <w:b/>
                <w:bCs/>
                <w:color w:val="333333"/>
                <w:sz w:val="20"/>
                <w:szCs w:val="20"/>
              </w:rPr>
              <w:t>2.000,00</w:t>
            </w:r>
          </w:p>
        </w:tc>
        <w:tc>
          <w:tcPr>
            <w:tcW w:w="1500" w:type="dxa"/>
            <w:tcBorders>
              <w:top w:val="nil"/>
              <w:left w:val="nil"/>
              <w:bottom w:val="nil"/>
              <w:right w:val="nil"/>
            </w:tcBorders>
            <w:shd w:val="clear" w:color="auto" w:fill="auto"/>
            <w:noWrap/>
            <w:vAlign w:val="bottom"/>
            <w:hideMark/>
          </w:tcPr>
          <w:p w14:paraId="48BE4363" w14:textId="77777777" w:rsidR="00BE6461" w:rsidRPr="00BE6461" w:rsidRDefault="00BE6461" w:rsidP="00BE6461">
            <w:pPr>
              <w:jc w:val="right"/>
              <w:rPr>
                <w:b/>
                <w:bCs/>
                <w:color w:val="333333"/>
                <w:sz w:val="20"/>
                <w:szCs w:val="20"/>
              </w:rPr>
            </w:pPr>
            <w:r w:rsidRPr="00BE6461">
              <w:rPr>
                <w:b/>
                <w:bCs/>
                <w:color w:val="333333"/>
                <w:sz w:val="20"/>
                <w:szCs w:val="20"/>
              </w:rPr>
              <w:t>2.000,00</w:t>
            </w:r>
          </w:p>
        </w:tc>
        <w:tc>
          <w:tcPr>
            <w:tcW w:w="1100" w:type="dxa"/>
            <w:tcBorders>
              <w:top w:val="nil"/>
              <w:left w:val="nil"/>
              <w:bottom w:val="nil"/>
              <w:right w:val="nil"/>
            </w:tcBorders>
            <w:shd w:val="clear" w:color="auto" w:fill="auto"/>
            <w:noWrap/>
            <w:vAlign w:val="bottom"/>
            <w:hideMark/>
          </w:tcPr>
          <w:p w14:paraId="462C1B1C"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47A47C38"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5A812FC"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5BED3492" w14:textId="77777777" w:rsidR="00BE6461" w:rsidRPr="00BE6461" w:rsidRDefault="00BE6461" w:rsidP="00BE6461">
            <w:pPr>
              <w:jc w:val="right"/>
              <w:rPr>
                <w:b/>
                <w:bCs/>
                <w:color w:val="333333"/>
                <w:sz w:val="20"/>
                <w:szCs w:val="20"/>
              </w:rPr>
            </w:pPr>
            <w:r w:rsidRPr="00BE6461">
              <w:rPr>
                <w:b/>
                <w:bCs/>
                <w:color w:val="333333"/>
                <w:sz w:val="20"/>
                <w:szCs w:val="20"/>
              </w:rPr>
              <w:t>2.000,00</w:t>
            </w:r>
          </w:p>
        </w:tc>
        <w:tc>
          <w:tcPr>
            <w:tcW w:w="1500" w:type="dxa"/>
            <w:tcBorders>
              <w:top w:val="nil"/>
              <w:left w:val="nil"/>
              <w:bottom w:val="nil"/>
              <w:right w:val="nil"/>
            </w:tcBorders>
            <w:shd w:val="clear" w:color="auto" w:fill="auto"/>
            <w:noWrap/>
            <w:vAlign w:val="bottom"/>
            <w:hideMark/>
          </w:tcPr>
          <w:p w14:paraId="3606BBE0" w14:textId="77777777" w:rsidR="00BE6461" w:rsidRPr="00BE6461" w:rsidRDefault="00BE6461" w:rsidP="00BE6461">
            <w:pPr>
              <w:jc w:val="right"/>
              <w:rPr>
                <w:b/>
                <w:bCs/>
                <w:color w:val="333333"/>
                <w:sz w:val="20"/>
                <w:szCs w:val="20"/>
              </w:rPr>
            </w:pPr>
            <w:r w:rsidRPr="00BE6461">
              <w:rPr>
                <w:b/>
                <w:bCs/>
                <w:color w:val="333333"/>
                <w:sz w:val="20"/>
                <w:szCs w:val="20"/>
              </w:rPr>
              <w:t>2.000,00</w:t>
            </w:r>
          </w:p>
        </w:tc>
        <w:tc>
          <w:tcPr>
            <w:tcW w:w="1100" w:type="dxa"/>
            <w:tcBorders>
              <w:top w:val="nil"/>
              <w:left w:val="nil"/>
              <w:bottom w:val="nil"/>
              <w:right w:val="nil"/>
            </w:tcBorders>
            <w:shd w:val="clear" w:color="auto" w:fill="auto"/>
            <w:noWrap/>
            <w:vAlign w:val="bottom"/>
            <w:hideMark/>
          </w:tcPr>
          <w:p w14:paraId="3B625D5D"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4DEAEBB0" w14:textId="77777777" w:rsidTr="00BE6461">
        <w:trPr>
          <w:trHeight w:val="300"/>
        </w:trPr>
        <w:tc>
          <w:tcPr>
            <w:tcW w:w="1703" w:type="dxa"/>
            <w:tcBorders>
              <w:top w:val="nil"/>
              <w:left w:val="nil"/>
              <w:bottom w:val="nil"/>
              <w:right w:val="nil"/>
            </w:tcBorders>
            <w:shd w:val="clear" w:color="auto" w:fill="auto"/>
            <w:noWrap/>
            <w:vAlign w:val="bottom"/>
            <w:hideMark/>
          </w:tcPr>
          <w:p w14:paraId="0C3E5C78" w14:textId="77777777" w:rsidR="00BE6461" w:rsidRPr="00BE6461" w:rsidRDefault="00BE6461" w:rsidP="00BE6461">
            <w:pPr>
              <w:rPr>
                <w:b/>
                <w:bCs/>
                <w:sz w:val="20"/>
                <w:szCs w:val="20"/>
              </w:rPr>
            </w:pPr>
            <w:r w:rsidRPr="00BE6461">
              <w:rPr>
                <w:b/>
                <w:bCs/>
                <w:sz w:val="20"/>
                <w:szCs w:val="20"/>
              </w:rPr>
              <w:lastRenderedPageBreak/>
              <w:t>381</w:t>
            </w:r>
          </w:p>
        </w:tc>
        <w:tc>
          <w:tcPr>
            <w:tcW w:w="8457" w:type="dxa"/>
            <w:tcBorders>
              <w:top w:val="nil"/>
              <w:left w:val="nil"/>
              <w:bottom w:val="nil"/>
              <w:right w:val="nil"/>
            </w:tcBorders>
            <w:shd w:val="clear" w:color="auto" w:fill="auto"/>
            <w:vAlign w:val="bottom"/>
            <w:hideMark/>
          </w:tcPr>
          <w:p w14:paraId="4F6E1F31" w14:textId="77777777" w:rsidR="00BE6461" w:rsidRPr="00BE6461" w:rsidRDefault="00BE6461" w:rsidP="00BE6461">
            <w:pPr>
              <w:rPr>
                <w:b/>
                <w:bCs/>
                <w:sz w:val="20"/>
                <w:szCs w:val="20"/>
              </w:rPr>
            </w:pPr>
            <w:r w:rsidRPr="00BE6461">
              <w:rPr>
                <w:b/>
                <w:bCs/>
                <w:sz w:val="20"/>
                <w:szCs w:val="20"/>
              </w:rPr>
              <w:t xml:space="preserve">Tekuće donacije                                                                                     </w:t>
            </w:r>
          </w:p>
        </w:tc>
        <w:tc>
          <w:tcPr>
            <w:tcW w:w="1503" w:type="dxa"/>
            <w:tcBorders>
              <w:top w:val="nil"/>
              <w:left w:val="nil"/>
              <w:bottom w:val="nil"/>
              <w:right w:val="nil"/>
            </w:tcBorders>
            <w:shd w:val="clear" w:color="auto" w:fill="auto"/>
            <w:noWrap/>
            <w:vAlign w:val="bottom"/>
            <w:hideMark/>
          </w:tcPr>
          <w:p w14:paraId="4EAF6C19" w14:textId="77777777" w:rsidR="00BE6461" w:rsidRPr="00BE6461" w:rsidRDefault="00BE6461" w:rsidP="00BE6461">
            <w:pPr>
              <w:jc w:val="right"/>
              <w:rPr>
                <w:b/>
                <w:bCs/>
                <w:sz w:val="20"/>
                <w:szCs w:val="20"/>
              </w:rPr>
            </w:pPr>
            <w:r w:rsidRPr="00BE6461">
              <w:rPr>
                <w:b/>
                <w:bCs/>
                <w:sz w:val="20"/>
                <w:szCs w:val="20"/>
              </w:rPr>
              <w:t>2.000,00</w:t>
            </w:r>
          </w:p>
        </w:tc>
        <w:tc>
          <w:tcPr>
            <w:tcW w:w="1500" w:type="dxa"/>
            <w:tcBorders>
              <w:top w:val="nil"/>
              <w:left w:val="nil"/>
              <w:bottom w:val="nil"/>
              <w:right w:val="nil"/>
            </w:tcBorders>
            <w:shd w:val="clear" w:color="auto" w:fill="auto"/>
            <w:noWrap/>
            <w:vAlign w:val="bottom"/>
            <w:hideMark/>
          </w:tcPr>
          <w:p w14:paraId="3AD2D7FE" w14:textId="77777777" w:rsidR="00BE6461" w:rsidRPr="00BE6461" w:rsidRDefault="00BE6461" w:rsidP="00BE6461">
            <w:pPr>
              <w:jc w:val="right"/>
              <w:rPr>
                <w:b/>
                <w:bCs/>
                <w:sz w:val="20"/>
                <w:szCs w:val="20"/>
              </w:rPr>
            </w:pPr>
            <w:r w:rsidRPr="00BE6461">
              <w:rPr>
                <w:b/>
                <w:bCs/>
                <w:sz w:val="20"/>
                <w:szCs w:val="20"/>
              </w:rPr>
              <w:t>2.000,00</w:t>
            </w:r>
          </w:p>
        </w:tc>
        <w:tc>
          <w:tcPr>
            <w:tcW w:w="1100" w:type="dxa"/>
            <w:tcBorders>
              <w:top w:val="nil"/>
              <w:left w:val="nil"/>
              <w:bottom w:val="nil"/>
              <w:right w:val="nil"/>
            </w:tcBorders>
            <w:shd w:val="clear" w:color="auto" w:fill="auto"/>
            <w:noWrap/>
            <w:vAlign w:val="bottom"/>
            <w:hideMark/>
          </w:tcPr>
          <w:p w14:paraId="45B50E1B"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51369A8E" w14:textId="77777777" w:rsidTr="00BE6461">
        <w:trPr>
          <w:trHeight w:val="300"/>
        </w:trPr>
        <w:tc>
          <w:tcPr>
            <w:tcW w:w="1703" w:type="dxa"/>
            <w:tcBorders>
              <w:top w:val="nil"/>
              <w:left w:val="nil"/>
              <w:bottom w:val="nil"/>
              <w:right w:val="nil"/>
            </w:tcBorders>
            <w:shd w:val="clear" w:color="auto" w:fill="auto"/>
            <w:noWrap/>
            <w:vAlign w:val="bottom"/>
            <w:hideMark/>
          </w:tcPr>
          <w:p w14:paraId="48609C86" w14:textId="77777777" w:rsidR="00BE6461" w:rsidRPr="00BE6461" w:rsidRDefault="00BE6461" w:rsidP="00BE6461">
            <w:pPr>
              <w:rPr>
                <w:sz w:val="20"/>
                <w:szCs w:val="20"/>
              </w:rPr>
            </w:pPr>
            <w:r w:rsidRPr="00BE6461">
              <w:rPr>
                <w:sz w:val="20"/>
                <w:szCs w:val="20"/>
              </w:rPr>
              <w:t>3811</w:t>
            </w:r>
          </w:p>
        </w:tc>
        <w:tc>
          <w:tcPr>
            <w:tcW w:w="8457" w:type="dxa"/>
            <w:tcBorders>
              <w:top w:val="nil"/>
              <w:left w:val="nil"/>
              <w:bottom w:val="nil"/>
              <w:right w:val="nil"/>
            </w:tcBorders>
            <w:shd w:val="clear" w:color="auto" w:fill="auto"/>
            <w:vAlign w:val="bottom"/>
            <w:hideMark/>
          </w:tcPr>
          <w:p w14:paraId="3D619580" w14:textId="77777777" w:rsidR="00BE6461" w:rsidRPr="00BE6461" w:rsidRDefault="00BE6461" w:rsidP="00BE6461">
            <w:pPr>
              <w:rPr>
                <w:sz w:val="20"/>
                <w:szCs w:val="20"/>
              </w:rPr>
            </w:pPr>
            <w:r w:rsidRPr="00BE6461">
              <w:rPr>
                <w:sz w:val="20"/>
                <w:szCs w:val="20"/>
              </w:rPr>
              <w:t xml:space="preserve">Tekuće donacije u novcu                                                                             </w:t>
            </w:r>
          </w:p>
        </w:tc>
        <w:tc>
          <w:tcPr>
            <w:tcW w:w="1503" w:type="dxa"/>
            <w:tcBorders>
              <w:top w:val="nil"/>
              <w:left w:val="nil"/>
              <w:bottom w:val="nil"/>
              <w:right w:val="nil"/>
            </w:tcBorders>
            <w:shd w:val="clear" w:color="auto" w:fill="auto"/>
            <w:noWrap/>
            <w:vAlign w:val="bottom"/>
            <w:hideMark/>
          </w:tcPr>
          <w:p w14:paraId="63B11AA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C5859A1" w14:textId="77777777" w:rsidR="00BE6461" w:rsidRPr="00BE6461" w:rsidRDefault="00BE6461" w:rsidP="00BE6461">
            <w:pPr>
              <w:jc w:val="right"/>
              <w:rPr>
                <w:sz w:val="20"/>
                <w:szCs w:val="20"/>
              </w:rPr>
            </w:pPr>
            <w:r w:rsidRPr="00BE6461">
              <w:rPr>
                <w:sz w:val="20"/>
                <w:szCs w:val="20"/>
              </w:rPr>
              <w:t>2.000,00</w:t>
            </w:r>
          </w:p>
        </w:tc>
        <w:tc>
          <w:tcPr>
            <w:tcW w:w="1100" w:type="dxa"/>
            <w:tcBorders>
              <w:top w:val="nil"/>
              <w:left w:val="nil"/>
              <w:bottom w:val="nil"/>
              <w:right w:val="nil"/>
            </w:tcBorders>
            <w:shd w:val="clear" w:color="auto" w:fill="auto"/>
            <w:noWrap/>
            <w:vAlign w:val="bottom"/>
            <w:hideMark/>
          </w:tcPr>
          <w:p w14:paraId="04732A9E" w14:textId="77777777" w:rsidR="00BE6461" w:rsidRPr="00BE6461" w:rsidRDefault="00BE6461" w:rsidP="00BE6461">
            <w:pPr>
              <w:jc w:val="right"/>
              <w:rPr>
                <w:sz w:val="20"/>
                <w:szCs w:val="20"/>
              </w:rPr>
            </w:pPr>
          </w:p>
        </w:tc>
      </w:tr>
      <w:tr w:rsidR="00BE6461" w:rsidRPr="00BE6461" w14:paraId="3EDF9EFA"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36D42B67" w14:textId="77777777" w:rsidR="00BE6461" w:rsidRPr="00BE6461" w:rsidRDefault="00BE6461" w:rsidP="00BE6461">
            <w:pPr>
              <w:rPr>
                <w:b/>
                <w:bCs/>
                <w:sz w:val="20"/>
                <w:szCs w:val="20"/>
              </w:rPr>
            </w:pPr>
            <w:r w:rsidRPr="00BE6461">
              <w:rPr>
                <w:b/>
                <w:bCs/>
                <w:sz w:val="20"/>
                <w:szCs w:val="20"/>
              </w:rPr>
              <w:t>A100030</w:t>
            </w:r>
          </w:p>
        </w:tc>
        <w:tc>
          <w:tcPr>
            <w:tcW w:w="8457" w:type="dxa"/>
            <w:tcBorders>
              <w:top w:val="single" w:sz="4" w:space="0" w:color="auto"/>
              <w:left w:val="nil"/>
              <w:bottom w:val="single" w:sz="4" w:space="0" w:color="auto"/>
              <w:right w:val="nil"/>
            </w:tcBorders>
            <w:shd w:val="clear" w:color="auto" w:fill="auto"/>
            <w:vAlign w:val="bottom"/>
            <w:hideMark/>
          </w:tcPr>
          <w:p w14:paraId="0491E4E4" w14:textId="77777777" w:rsidR="00BE6461" w:rsidRPr="00BE6461" w:rsidRDefault="00BE6461" w:rsidP="00BE6461">
            <w:pPr>
              <w:rPr>
                <w:b/>
                <w:bCs/>
                <w:sz w:val="20"/>
                <w:szCs w:val="20"/>
              </w:rPr>
            </w:pPr>
            <w:r w:rsidRPr="00BE6461">
              <w:rPr>
                <w:b/>
                <w:bCs/>
                <w:sz w:val="20"/>
                <w:szCs w:val="20"/>
              </w:rPr>
              <w:t>Aktivnost: DODATNA SKRB O ŠKOLSKOJ DJECI</w:t>
            </w:r>
          </w:p>
        </w:tc>
        <w:tc>
          <w:tcPr>
            <w:tcW w:w="1503" w:type="dxa"/>
            <w:tcBorders>
              <w:top w:val="single" w:sz="4" w:space="0" w:color="auto"/>
              <w:left w:val="nil"/>
              <w:bottom w:val="single" w:sz="4" w:space="0" w:color="auto"/>
              <w:right w:val="nil"/>
            </w:tcBorders>
            <w:shd w:val="clear" w:color="auto" w:fill="auto"/>
            <w:noWrap/>
            <w:vAlign w:val="bottom"/>
            <w:hideMark/>
          </w:tcPr>
          <w:p w14:paraId="6C06A377" w14:textId="77777777" w:rsidR="00BE6461" w:rsidRPr="00BE6461" w:rsidRDefault="00BE6461" w:rsidP="00BE6461">
            <w:pPr>
              <w:jc w:val="right"/>
              <w:rPr>
                <w:b/>
                <w:bCs/>
                <w:sz w:val="20"/>
                <w:szCs w:val="20"/>
              </w:rPr>
            </w:pPr>
            <w:r w:rsidRPr="00BE6461">
              <w:rPr>
                <w:b/>
                <w:bCs/>
                <w:sz w:val="20"/>
                <w:szCs w:val="20"/>
              </w:rPr>
              <w:t>529.220,59</w:t>
            </w:r>
          </w:p>
        </w:tc>
        <w:tc>
          <w:tcPr>
            <w:tcW w:w="1500" w:type="dxa"/>
            <w:tcBorders>
              <w:top w:val="single" w:sz="4" w:space="0" w:color="auto"/>
              <w:left w:val="nil"/>
              <w:bottom w:val="single" w:sz="4" w:space="0" w:color="auto"/>
              <w:right w:val="nil"/>
            </w:tcBorders>
            <w:shd w:val="clear" w:color="auto" w:fill="auto"/>
            <w:noWrap/>
            <w:vAlign w:val="bottom"/>
            <w:hideMark/>
          </w:tcPr>
          <w:p w14:paraId="55BA059D" w14:textId="77777777" w:rsidR="00BE6461" w:rsidRPr="00BE6461" w:rsidRDefault="00BE6461" w:rsidP="00BE6461">
            <w:pPr>
              <w:jc w:val="right"/>
              <w:rPr>
                <w:b/>
                <w:bCs/>
                <w:sz w:val="20"/>
                <w:szCs w:val="20"/>
              </w:rPr>
            </w:pPr>
            <w:r w:rsidRPr="00BE6461">
              <w:rPr>
                <w:b/>
                <w:bCs/>
                <w:sz w:val="20"/>
                <w:szCs w:val="20"/>
              </w:rPr>
              <w:t>522.445,59</w:t>
            </w:r>
          </w:p>
        </w:tc>
        <w:tc>
          <w:tcPr>
            <w:tcW w:w="1100" w:type="dxa"/>
            <w:tcBorders>
              <w:top w:val="single" w:sz="4" w:space="0" w:color="auto"/>
              <w:left w:val="nil"/>
              <w:bottom w:val="single" w:sz="4" w:space="0" w:color="auto"/>
              <w:right w:val="nil"/>
            </w:tcBorders>
            <w:shd w:val="clear" w:color="auto" w:fill="auto"/>
            <w:noWrap/>
            <w:vAlign w:val="bottom"/>
            <w:hideMark/>
          </w:tcPr>
          <w:p w14:paraId="5C763BC3" w14:textId="77777777" w:rsidR="00BE6461" w:rsidRPr="00BE6461" w:rsidRDefault="00BE6461" w:rsidP="00BE6461">
            <w:pPr>
              <w:jc w:val="right"/>
              <w:rPr>
                <w:b/>
                <w:bCs/>
                <w:sz w:val="20"/>
                <w:szCs w:val="20"/>
              </w:rPr>
            </w:pPr>
            <w:r w:rsidRPr="00BE6461">
              <w:rPr>
                <w:b/>
                <w:bCs/>
                <w:sz w:val="20"/>
                <w:szCs w:val="20"/>
              </w:rPr>
              <w:t>98,72</w:t>
            </w:r>
          </w:p>
        </w:tc>
      </w:tr>
      <w:tr w:rsidR="00BE6461" w:rsidRPr="00BE6461" w14:paraId="1BF6FB8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3E2AF52"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4A6C8FBD" w14:textId="77777777" w:rsidR="00BE6461" w:rsidRPr="00BE6461" w:rsidRDefault="00BE6461" w:rsidP="00BE6461">
            <w:pPr>
              <w:jc w:val="right"/>
              <w:rPr>
                <w:b/>
                <w:bCs/>
                <w:color w:val="333333"/>
                <w:sz w:val="20"/>
                <w:szCs w:val="20"/>
              </w:rPr>
            </w:pPr>
            <w:r w:rsidRPr="00BE6461">
              <w:rPr>
                <w:b/>
                <w:bCs/>
                <w:color w:val="333333"/>
                <w:sz w:val="20"/>
                <w:szCs w:val="20"/>
              </w:rPr>
              <w:t>529.220,59</w:t>
            </w:r>
          </w:p>
        </w:tc>
        <w:tc>
          <w:tcPr>
            <w:tcW w:w="1500" w:type="dxa"/>
            <w:tcBorders>
              <w:top w:val="nil"/>
              <w:left w:val="nil"/>
              <w:bottom w:val="nil"/>
              <w:right w:val="nil"/>
            </w:tcBorders>
            <w:shd w:val="clear" w:color="auto" w:fill="auto"/>
            <w:noWrap/>
            <w:vAlign w:val="bottom"/>
            <w:hideMark/>
          </w:tcPr>
          <w:p w14:paraId="41D33348" w14:textId="77777777" w:rsidR="00BE6461" w:rsidRPr="00BE6461" w:rsidRDefault="00BE6461" w:rsidP="00BE6461">
            <w:pPr>
              <w:jc w:val="right"/>
              <w:rPr>
                <w:b/>
                <w:bCs/>
                <w:color w:val="333333"/>
                <w:sz w:val="20"/>
                <w:szCs w:val="20"/>
              </w:rPr>
            </w:pPr>
            <w:r w:rsidRPr="00BE6461">
              <w:rPr>
                <w:b/>
                <w:bCs/>
                <w:color w:val="333333"/>
                <w:sz w:val="20"/>
                <w:szCs w:val="20"/>
              </w:rPr>
              <w:t>522.445,59</w:t>
            </w:r>
          </w:p>
        </w:tc>
        <w:tc>
          <w:tcPr>
            <w:tcW w:w="1100" w:type="dxa"/>
            <w:tcBorders>
              <w:top w:val="nil"/>
              <w:left w:val="nil"/>
              <w:bottom w:val="nil"/>
              <w:right w:val="nil"/>
            </w:tcBorders>
            <w:shd w:val="clear" w:color="auto" w:fill="auto"/>
            <w:noWrap/>
            <w:vAlign w:val="bottom"/>
            <w:hideMark/>
          </w:tcPr>
          <w:p w14:paraId="5E632107" w14:textId="77777777" w:rsidR="00BE6461" w:rsidRPr="00BE6461" w:rsidRDefault="00BE6461" w:rsidP="00BE6461">
            <w:pPr>
              <w:jc w:val="right"/>
              <w:rPr>
                <w:b/>
                <w:bCs/>
                <w:color w:val="333333"/>
                <w:sz w:val="20"/>
                <w:szCs w:val="20"/>
              </w:rPr>
            </w:pPr>
            <w:r w:rsidRPr="00BE6461">
              <w:rPr>
                <w:b/>
                <w:bCs/>
                <w:color w:val="333333"/>
                <w:sz w:val="20"/>
                <w:szCs w:val="20"/>
              </w:rPr>
              <w:t>98,72</w:t>
            </w:r>
          </w:p>
        </w:tc>
      </w:tr>
      <w:tr w:rsidR="00BE6461" w:rsidRPr="00BE6461" w14:paraId="7D6B00A4"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D1B8EA1"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553B9F9D" w14:textId="77777777" w:rsidR="00BE6461" w:rsidRPr="00BE6461" w:rsidRDefault="00BE6461" w:rsidP="00BE6461">
            <w:pPr>
              <w:jc w:val="right"/>
              <w:rPr>
                <w:b/>
                <w:bCs/>
                <w:color w:val="333333"/>
                <w:sz w:val="20"/>
                <w:szCs w:val="20"/>
              </w:rPr>
            </w:pPr>
            <w:r w:rsidRPr="00BE6461">
              <w:rPr>
                <w:b/>
                <w:bCs/>
                <w:color w:val="333333"/>
                <w:sz w:val="20"/>
                <w:szCs w:val="20"/>
              </w:rPr>
              <w:t>529.220,59</w:t>
            </w:r>
          </w:p>
        </w:tc>
        <w:tc>
          <w:tcPr>
            <w:tcW w:w="1500" w:type="dxa"/>
            <w:tcBorders>
              <w:top w:val="nil"/>
              <w:left w:val="nil"/>
              <w:bottom w:val="nil"/>
              <w:right w:val="nil"/>
            </w:tcBorders>
            <w:shd w:val="clear" w:color="auto" w:fill="auto"/>
            <w:noWrap/>
            <w:vAlign w:val="bottom"/>
            <w:hideMark/>
          </w:tcPr>
          <w:p w14:paraId="6B671DE1" w14:textId="77777777" w:rsidR="00BE6461" w:rsidRPr="00BE6461" w:rsidRDefault="00BE6461" w:rsidP="00BE6461">
            <w:pPr>
              <w:jc w:val="right"/>
              <w:rPr>
                <w:b/>
                <w:bCs/>
                <w:color w:val="333333"/>
                <w:sz w:val="20"/>
                <w:szCs w:val="20"/>
              </w:rPr>
            </w:pPr>
            <w:r w:rsidRPr="00BE6461">
              <w:rPr>
                <w:b/>
                <w:bCs/>
                <w:color w:val="333333"/>
                <w:sz w:val="20"/>
                <w:szCs w:val="20"/>
              </w:rPr>
              <w:t>522.445,59</w:t>
            </w:r>
          </w:p>
        </w:tc>
        <w:tc>
          <w:tcPr>
            <w:tcW w:w="1100" w:type="dxa"/>
            <w:tcBorders>
              <w:top w:val="nil"/>
              <w:left w:val="nil"/>
              <w:bottom w:val="nil"/>
              <w:right w:val="nil"/>
            </w:tcBorders>
            <w:shd w:val="clear" w:color="auto" w:fill="auto"/>
            <w:noWrap/>
            <w:vAlign w:val="bottom"/>
            <w:hideMark/>
          </w:tcPr>
          <w:p w14:paraId="6DF22464" w14:textId="77777777" w:rsidR="00BE6461" w:rsidRPr="00BE6461" w:rsidRDefault="00BE6461" w:rsidP="00BE6461">
            <w:pPr>
              <w:jc w:val="right"/>
              <w:rPr>
                <w:b/>
                <w:bCs/>
                <w:color w:val="333333"/>
                <w:sz w:val="20"/>
                <w:szCs w:val="20"/>
              </w:rPr>
            </w:pPr>
            <w:r w:rsidRPr="00BE6461">
              <w:rPr>
                <w:b/>
                <w:bCs/>
                <w:color w:val="333333"/>
                <w:sz w:val="20"/>
                <w:szCs w:val="20"/>
              </w:rPr>
              <w:t>98,72</w:t>
            </w:r>
          </w:p>
        </w:tc>
      </w:tr>
      <w:tr w:rsidR="00BE6461" w:rsidRPr="00BE6461" w14:paraId="41361F0F" w14:textId="77777777" w:rsidTr="00BE6461">
        <w:trPr>
          <w:trHeight w:val="300"/>
        </w:trPr>
        <w:tc>
          <w:tcPr>
            <w:tcW w:w="1703" w:type="dxa"/>
            <w:tcBorders>
              <w:top w:val="nil"/>
              <w:left w:val="nil"/>
              <w:bottom w:val="nil"/>
              <w:right w:val="nil"/>
            </w:tcBorders>
            <w:shd w:val="clear" w:color="auto" w:fill="auto"/>
            <w:noWrap/>
            <w:vAlign w:val="bottom"/>
            <w:hideMark/>
          </w:tcPr>
          <w:p w14:paraId="0D049E93" w14:textId="77777777" w:rsidR="00BE6461" w:rsidRPr="00BE6461" w:rsidRDefault="00BE6461" w:rsidP="00BE6461">
            <w:pPr>
              <w:rPr>
                <w:b/>
                <w:bCs/>
                <w:sz w:val="20"/>
                <w:szCs w:val="20"/>
              </w:rPr>
            </w:pPr>
            <w:r w:rsidRPr="00BE6461">
              <w:rPr>
                <w:b/>
                <w:bCs/>
                <w:sz w:val="20"/>
                <w:szCs w:val="20"/>
              </w:rPr>
              <w:t>366</w:t>
            </w:r>
          </w:p>
        </w:tc>
        <w:tc>
          <w:tcPr>
            <w:tcW w:w="8457" w:type="dxa"/>
            <w:tcBorders>
              <w:top w:val="nil"/>
              <w:left w:val="nil"/>
              <w:bottom w:val="nil"/>
              <w:right w:val="nil"/>
            </w:tcBorders>
            <w:shd w:val="clear" w:color="auto" w:fill="auto"/>
            <w:vAlign w:val="bottom"/>
            <w:hideMark/>
          </w:tcPr>
          <w:p w14:paraId="05441EC9" w14:textId="77777777" w:rsidR="00BE6461" w:rsidRPr="00BE6461" w:rsidRDefault="00BE6461" w:rsidP="00BE6461">
            <w:pPr>
              <w:rPr>
                <w:b/>
                <w:bCs/>
                <w:sz w:val="20"/>
                <w:szCs w:val="20"/>
              </w:rPr>
            </w:pPr>
            <w:r w:rsidRPr="00BE6461">
              <w:rPr>
                <w:b/>
                <w:bCs/>
                <w:sz w:val="20"/>
                <w:szCs w:val="20"/>
              </w:rPr>
              <w:t>Pomoći proračunskim korisnicima drugih proračuna</w:t>
            </w:r>
          </w:p>
        </w:tc>
        <w:tc>
          <w:tcPr>
            <w:tcW w:w="1503" w:type="dxa"/>
            <w:tcBorders>
              <w:top w:val="nil"/>
              <w:left w:val="nil"/>
              <w:bottom w:val="nil"/>
              <w:right w:val="nil"/>
            </w:tcBorders>
            <w:shd w:val="clear" w:color="auto" w:fill="auto"/>
            <w:noWrap/>
            <w:vAlign w:val="bottom"/>
            <w:hideMark/>
          </w:tcPr>
          <w:p w14:paraId="215DAD09" w14:textId="77777777" w:rsidR="00BE6461" w:rsidRPr="00BE6461" w:rsidRDefault="00BE6461" w:rsidP="00BE6461">
            <w:pPr>
              <w:jc w:val="right"/>
              <w:rPr>
                <w:b/>
                <w:bCs/>
                <w:sz w:val="20"/>
                <w:szCs w:val="20"/>
              </w:rPr>
            </w:pPr>
            <w:r w:rsidRPr="00BE6461">
              <w:rPr>
                <w:b/>
                <w:bCs/>
                <w:sz w:val="20"/>
                <w:szCs w:val="20"/>
              </w:rPr>
              <w:t>513.220,59</w:t>
            </w:r>
          </w:p>
        </w:tc>
        <w:tc>
          <w:tcPr>
            <w:tcW w:w="1500" w:type="dxa"/>
            <w:tcBorders>
              <w:top w:val="nil"/>
              <w:left w:val="nil"/>
              <w:bottom w:val="nil"/>
              <w:right w:val="nil"/>
            </w:tcBorders>
            <w:shd w:val="clear" w:color="auto" w:fill="auto"/>
            <w:noWrap/>
            <w:vAlign w:val="bottom"/>
            <w:hideMark/>
          </w:tcPr>
          <w:p w14:paraId="21C3E599" w14:textId="77777777" w:rsidR="00BE6461" w:rsidRPr="00BE6461" w:rsidRDefault="00BE6461" w:rsidP="00BE6461">
            <w:pPr>
              <w:jc w:val="right"/>
              <w:rPr>
                <w:b/>
                <w:bCs/>
                <w:sz w:val="20"/>
                <w:szCs w:val="20"/>
              </w:rPr>
            </w:pPr>
            <w:r w:rsidRPr="00BE6461">
              <w:rPr>
                <w:b/>
                <w:bCs/>
                <w:sz w:val="20"/>
                <w:szCs w:val="20"/>
              </w:rPr>
              <w:t>506.845,59</w:t>
            </w:r>
          </w:p>
        </w:tc>
        <w:tc>
          <w:tcPr>
            <w:tcW w:w="1100" w:type="dxa"/>
            <w:tcBorders>
              <w:top w:val="nil"/>
              <w:left w:val="nil"/>
              <w:bottom w:val="nil"/>
              <w:right w:val="nil"/>
            </w:tcBorders>
            <w:shd w:val="clear" w:color="auto" w:fill="auto"/>
            <w:noWrap/>
            <w:vAlign w:val="bottom"/>
            <w:hideMark/>
          </w:tcPr>
          <w:p w14:paraId="734BE250" w14:textId="77777777" w:rsidR="00BE6461" w:rsidRPr="00BE6461" w:rsidRDefault="00BE6461" w:rsidP="00BE6461">
            <w:pPr>
              <w:jc w:val="right"/>
              <w:rPr>
                <w:b/>
                <w:bCs/>
                <w:sz w:val="20"/>
                <w:szCs w:val="20"/>
              </w:rPr>
            </w:pPr>
            <w:r w:rsidRPr="00BE6461">
              <w:rPr>
                <w:b/>
                <w:bCs/>
                <w:sz w:val="20"/>
                <w:szCs w:val="20"/>
              </w:rPr>
              <w:t>98,76</w:t>
            </w:r>
          </w:p>
        </w:tc>
      </w:tr>
      <w:tr w:rsidR="00BE6461" w:rsidRPr="00BE6461" w14:paraId="7A715635" w14:textId="77777777" w:rsidTr="00BE6461">
        <w:trPr>
          <w:trHeight w:val="300"/>
        </w:trPr>
        <w:tc>
          <w:tcPr>
            <w:tcW w:w="1703" w:type="dxa"/>
            <w:tcBorders>
              <w:top w:val="nil"/>
              <w:left w:val="nil"/>
              <w:bottom w:val="nil"/>
              <w:right w:val="nil"/>
            </w:tcBorders>
            <w:shd w:val="clear" w:color="auto" w:fill="auto"/>
            <w:noWrap/>
            <w:vAlign w:val="bottom"/>
            <w:hideMark/>
          </w:tcPr>
          <w:p w14:paraId="54525000" w14:textId="77777777" w:rsidR="00BE6461" w:rsidRPr="00BE6461" w:rsidRDefault="00BE6461" w:rsidP="00BE6461">
            <w:pPr>
              <w:rPr>
                <w:sz w:val="20"/>
                <w:szCs w:val="20"/>
              </w:rPr>
            </w:pPr>
            <w:r w:rsidRPr="00BE6461">
              <w:rPr>
                <w:sz w:val="20"/>
                <w:szCs w:val="20"/>
              </w:rPr>
              <w:t>3661</w:t>
            </w:r>
          </w:p>
        </w:tc>
        <w:tc>
          <w:tcPr>
            <w:tcW w:w="8457" w:type="dxa"/>
            <w:tcBorders>
              <w:top w:val="nil"/>
              <w:left w:val="nil"/>
              <w:bottom w:val="nil"/>
              <w:right w:val="nil"/>
            </w:tcBorders>
            <w:shd w:val="clear" w:color="auto" w:fill="auto"/>
            <w:vAlign w:val="bottom"/>
            <w:hideMark/>
          </w:tcPr>
          <w:p w14:paraId="74D3E9C3" w14:textId="77777777" w:rsidR="00BE6461" w:rsidRPr="00BE6461" w:rsidRDefault="00BE6461" w:rsidP="00BE6461">
            <w:pPr>
              <w:rPr>
                <w:sz w:val="20"/>
                <w:szCs w:val="20"/>
              </w:rPr>
            </w:pPr>
            <w:r w:rsidRPr="00BE6461">
              <w:rPr>
                <w:sz w:val="20"/>
                <w:szCs w:val="20"/>
              </w:rPr>
              <w:t>Tekuće pomoći proračunskim korisnicima drugih proračuna</w:t>
            </w:r>
          </w:p>
        </w:tc>
        <w:tc>
          <w:tcPr>
            <w:tcW w:w="1503" w:type="dxa"/>
            <w:tcBorders>
              <w:top w:val="nil"/>
              <w:left w:val="nil"/>
              <w:bottom w:val="nil"/>
              <w:right w:val="nil"/>
            </w:tcBorders>
            <w:shd w:val="clear" w:color="auto" w:fill="auto"/>
            <w:noWrap/>
            <w:vAlign w:val="bottom"/>
            <w:hideMark/>
          </w:tcPr>
          <w:p w14:paraId="00BBCEE9"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FFD77DE" w14:textId="77777777" w:rsidR="00BE6461" w:rsidRPr="00BE6461" w:rsidRDefault="00BE6461" w:rsidP="00BE6461">
            <w:pPr>
              <w:jc w:val="right"/>
              <w:rPr>
                <w:sz w:val="20"/>
                <w:szCs w:val="20"/>
              </w:rPr>
            </w:pPr>
            <w:r w:rsidRPr="00BE6461">
              <w:rPr>
                <w:sz w:val="20"/>
                <w:szCs w:val="20"/>
              </w:rPr>
              <w:t>506.845,59</w:t>
            </w:r>
          </w:p>
        </w:tc>
        <w:tc>
          <w:tcPr>
            <w:tcW w:w="1100" w:type="dxa"/>
            <w:tcBorders>
              <w:top w:val="nil"/>
              <w:left w:val="nil"/>
              <w:bottom w:val="nil"/>
              <w:right w:val="nil"/>
            </w:tcBorders>
            <w:shd w:val="clear" w:color="auto" w:fill="auto"/>
            <w:noWrap/>
            <w:vAlign w:val="bottom"/>
            <w:hideMark/>
          </w:tcPr>
          <w:p w14:paraId="79EC5477" w14:textId="77777777" w:rsidR="00BE6461" w:rsidRPr="00BE6461" w:rsidRDefault="00BE6461" w:rsidP="00BE6461">
            <w:pPr>
              <w:jc w:val="right"/>
              <w:rPr>
                <w:sz w:val="20"/>
                <w:szCs w:val="20"/>
              </w:rPr>
            </w:pPr>
          </w:p>
        </w:tc>
      </w:tr>
      <w:tr w:rsidR="00BE6461" w:rsidRPr="00BE6461" w14:paraId="7E5E84CF" w14:textId="77777777" w:rsidTr="00BE6461">
        <w:trPr>
          <w:trHeight w:val="300"/>
        </w:trPr>
        <w:tc>
          <w:tcPr>
            <w:tcW w:w="1703" w:type="dxa"/>
            <w:tcBorders>
              <w:top w:val="nil"/>
              <w:left w:val="nil"/>
              <w:bottom w:val="nil"/>
              <w:right w:val="nil"/>
            </w:tcBorders>
            <w:shd w:val="clear" w:color="auto" w:fill="auto"/>
            <w:noWrap/>
            <w:vAlign w:val="bottom"/>
            <w:hideMark/>
          </w:tcPr>
          <w:p w14:paraId="69052E8E" w14:textId="77777777" w:rsidR="00BE6461" w:rsidRPr="00BE6461" w:rsidRDefault="00BE6461" w:rsidP="00BE6461">
            <w:pPr>
              <w:rPr>
                <w:b/>
                <w:bCs/>
                <w:sz w:val="20"/>
                <w:szCs w:val="20"/>
              </w:rPr>
            </w:pPr>
            <w:r w:rsidRPr="00BE6461">
              <w:rPr>
                <w:b/>
                <w:bCs/>
                <w:sz w:val="20"/>
                <w:szCs w:val="20"/>
              </w:rPr>
              <w:t>372</w:t>
            </w:r>
          </w:p>
        </w:tc>
        <w:tc>
          <w:tcPr>
            <w:tcW w:w="8457" w:type="dxa"/>
            <w:tcBorders>
              <w:top w:val="nil"/>
              <w:left w:val="nil"/>
              <w:bottom w:val="nil"/>
              <w:right w:val="nil"/>
            </w:tcBorders>
            <w:shd w:val="clear" w:color="auto" w:fill="auto"/>
            <w:vAlign w:val="bottom"/>
            <w:hideMark/>
          </w:tcPr>
          <w:p w14:paraId="06D7EECE" w14:textId="77777777" w:rsidR="00BE6461" w:rsidRPr="00BE6461" w:rsidRDefault="00BE6461" w:rsidP="00BE6461">
            <w:pPr>
              <w:rPr>
                <w:b/>
                <w:bCs/>
                <w:sz w:val="20"/>
                <w:szCs w:val="20"/>
              </w:rPr>
            </w:pPr>
            <w:r w:rsidRPr="00BE6461">
              <w:rPr>
                <w:b/>
                <w:bCs/>
                <w:sz w:val="20"/>
                <w:szCs w:val="20"/>
              </w:rPr>
              <w:t xml:space="preserve">Ostale naknade građanima i kućanstvima iz proračuna                                                 </w:t>
            </w:r>
          </w:p>
        </w:tc>
        <w:tc>
          <w:tcPr>
            <w:tcW w:w="1503" w:type="dxa"/>
            <w:tcBorders>
              <w:top w:val="nil"/>
              <w:left w:val="nil"/>
              <w:bottom w:val="nil"/>
              <w:right w:val="nil"/>
            </w:tcBorders>
            <w:shd w:val="clear" w:color="auto" w:fill="auto"/>
            <w:noWrap/>
            <w:vAlign w:val="bottom"/>
            <w:hideMark/>
          </w:tcPr>
          <w:p w14:paraId="24F119EC" w14:textId="77777777" w:rsidR="00BE6461" w:rsidRPr="00BE6461" w:rsidRDefault="00BE6461" w:rsidP="00BE6461">
            <w:pPr>
              <w:jc w:val="right"/>
              <w:rPr>
                <w:b/>
                <w:bCs/>
                <w:sz w:val="20"/>
                <w:szCs w:val="20"/>
              </w:rPr>
            </w:pPr>
            <w:r w:rsidRPr="00BE6461">
              <w:rPr>
                <w:b/>
                <w:bCs/>
                <w:sz w:val="20"/>
                <w:szCs w:val="20"/>
              </w:rPr>
              <w:t>16.000,00</w:t>
            </w:r>
          </w:p>
        </w:tc>
        <w:tc>
          <w:tcPr>
            <w:tcW w:w="1500" w:type="dxa"/>
            <w:tcBorders>
              <w:top w:val="nil"/>
              <w:left w:val="nil"/>
              <w:bottom w:val="nil"/>
              <w:right w:val="nil"/>
            </w:tcBorders>
            <w:shd w:val="clear" w:color="auto" w:fill="auto"/>
            <w:noWrap/>
            <w:vAlign w:val="bottom"/>
            <w:hideMark/>
          </w:tcPr>
          <w:p w14:paraId="507C3858" w14:textId="77777777" w:rsidR="00BE6461" w:rsidRPr="00BE6461" w:rsidRDefault="00BE6461" w:rsidP="00BE6461">
            <w:pPr>
              <w:jc w:val="right"/>
              <w:rPr>
                <w:b/>
                <w:bCs/>
                <w:sz w:val="20"/>
                <w:szCs w:val="20"/>
              </w:rPr>
            </w:pPr>
            <w:r w:rsidRPr="00BE6461">
              <w:rPr>
                <w:b/>
                <w:bCs/>
                <w:sz w:val="20"/>
                <w:szCs w:val="20"/>
              </w:rPr>
              <w:t>15.600,00</w:t>
            </w:r>
          </w:p>
        </w:tc>
        <w:tc>
          <w:tcPr>
            <w:tcW w:w="1100" w:type="dxa"/>
            <w:tcBorders>
              <w:top w:val="nil"/>
              <w:left w:val="nil"/>
              <w:bottom w:val="nil"/>
              <w:right w:val="nil"/>
            </w:tcBorders>
            <w:shd w:val="clear" w:color="auto" w:fill="auto"/>
            <w:noWrap/>
            <w:vAlign w:val="bottom"/>
            <w:hideMark/>
          </w:tcPr>
          <w:p w14:paraId="488A57FE" w14:textId="77777777" w:rsidR="00BE6461" w:rsidRPr="00BE6461" w:rsidRDefault="00BE6461" w:rsidP="00BE6461">
            <w:pPr>
              <w:jc w:val="right"/>
              <w:rPr>
                <w:b/>
                <w:bCs/>
                <w:sz w:val="20"/>
                <w:szCs w:val="20"/>
              </w:rPr>
            </w:pPr>
            <w:r w:rsidRPr="00BE6461">
              <w:rPr>
                <w:b/>
                <w:bCs/>
                <w:sz w:val="20"/>
                <w:szCs w:val="20"/>
              </w:rPr>
              <w:t>97,50</w:t>
            </w:r>
          </w:p>
        </w:tc>
      </w:tr>
      <w:tr w:rsidR="00BE6461" w:rsidRPr="00BE6461" w14:paraId="10C21A22" w14:textId="77777777" w:rsidTr="00BE6461">
        <w:trPr>
          <w:trHeight w:val="300"/>
        </w:trPr>
        <w:tc>
          <w:tcPr>
            <w:tcW w:w="1703" w:type="dxa"/>
            <w:tcBorders>
              <w:top w:val="nil"/>
              <w:left w:val="nil"/>
              <w:bottom w:val="nil"/>
              <w:right w:val="nil"/>
            </w:tcBorders>
            <w:shd w:val="clear" w:color="auto" w:fill="auto"/>
            <w:noWrap/>
            <w:vAlign w:val="bottom"/>
            <w:hideMark/>
          </w:tcPr>
          <w:p w14:paraId="0B19FBBA" w14:textId="77777777" w:rsidR="00BE6461" w:rsidRPr="00BE6461" w:rsidRDefault="00BE6461" w:rsidP="00BE6461">
            <w:pPr>
              <w:rPr>
                <w:sz w:val="20"/>
                <w:szCs w:val="20"/>
              </w:rPr>
            </w:pPr>
            <w:r w:rsidRPr="00BE6461">
              <w:rPr>
                <w:sz w:val="20"/>
                <w:szCs w:val="20"/>
              </w:rPr>
              <w:t>3722</w:t>
            </w:r>
          </w:p>
        </w:tc>
        <w:tc>
          <w:tcPr>
            <w:tcW w:w="8457" w:type="dxa"/>
            <w:tcBorders>
              <w:top w:val="nil"/>
              <w:left w:val="nil"/>
              <w:bottom w:val="nil"/>
              <w:right w:val="nil"/>
            </w:tcBorders>
            <w:shd w:val="clear" w:color="auto" w:fill="auto"/>
            <w:vAlign w:val="bottom"/>
            <w:hideMark/>
          </w:tcPr>
          <w:p w14:paraId="7EDAD23A" w14:textId="77777777" w:rsidR="00BE6461" w:rsidRPr="00BE6461" w:rsidRDefault="00BE6461" w:rsidP="00BE6461">
            <w:pPr>
              <w:rPr>
                <w:sz w:val="20"/>
                <w:szCs w:val="20"/>
              </w:rPr>
            </w:pPr>
            <w:r w:rsidRPr="00BE6461">
              <w:rPr>
                <w:sz w:val="20"/>
                <w:szCs w:val="20"/>
              </w:rPr>
              <w:t xml:space="preserve">Naknade građanima i kućanstvima u naravi                                                            </w:t>
            </w:r>
          </w:p>
        </w:tc>
        <w:tc>
          <w:tcPr>
            <w:tcW w:w="1503" w:type="dxa"/>
            <w:tcBorders>
              <w:top w:val="nil"/>
              <w:left w:val="nil"/>
              <w:bottom w:val="nil"/>
              <w:right w:val="nil"/>
            </w:tcBorders>
            <w:shd w:val="clear" w:color="auto" w:fill="auto"/>
            <w:noWrap/>
            <w:vAlign w:val="bottom"/>
            <w:hideMark/>
          </w:tcPr>
          <w:p w14:paraId="2BBFFC19"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F371CD3" w14:textId="77777777" w:rsidR="00BE6461" w:rsidRPr="00BE6461" w:rsidRDefault="00BE6461" w:rsidP="00BE6461">
            <w:pPr>
              <w:jc w:val="right"/>
              <w:rPr>
                <w:sz w:val="20"/>
                <w:szCs w:val="20"/>
              </w:rPr>
            </w:pPr>
            <w:r w:rsidRPr="00BE6461">
              <w:rPr>
                <w:sz w:val="20"/>
                <w:szCs w:val="20"/>
              </w:rPr>
              <w:t>15.600,00</w:t>
            </w:r>
          </w:p>
        </w:tc>
        <w:tc>
          <w:tcPr>
            <w:tcW w:w="1100" w:type="dxa"/>
            <w:tcBorders>
              <w:top w:val="nil"/>
              <w:left w:val="nil"/>
              <w:bottom w:val="nil"/>
              <w:right w:val="nil"/>
            </w:tcBorders>
            <w:shd w:val="clear" w:color="auto" w:fill="auto"/>
            <w:noWrap/>
            <w:vAlign w:val="bottom"/>
            <w:hideMark/>
          </w:tcPr>
          <w:p w14:paraId="0059D161" w14:textId="77777777" w:rsidR="00BE6461" w:rsidRPr="00BE6461" w:rsidRDefault="00BE6461" w:rsidP="00BE6461">
            <w:pPr>
              <w:jc w:val="right"/>
              <w:rPr>
                <w:sz w:val="20"/>
                <w:szCs w:val="20"/>
              </w:rPr>
            </w:pPr>
          </w:p>
        </w:tc>
      </w:tr>
      <w:tr w:rsidR="00BE6461" w:rsidRPr="00BE6461" w14:paraId="38CB49A1" w14:textId="77777777" w:rsidTr="00BE6461">
        <w:trPr>
          <w:trHeight w:val="390"/>
        </w:trPr>
        <w:tc>
          <w:tcPr>
            <w:tcW w:w="1703" w:type="dxa"/>
            <w:tcBorders>
              <w:top w:val="single" w:sz="4" w:space="0" w:color="auto"/>
              <w:left w:val="nil"/>
              <w:bottom w:val="nil"/>
              <w:right w:val="nil"/>
            </w:tcBorders>
            <w:shd w:val="clear" w:color="auto" w:fill="auto"/>
            <w:noWrap/>
            <w:vAlign w:val="bottom"/>
            <w:hideMark/>
          </w:tcPr>
          <w:p w14:paraId="01713E0F" w14:textId="77777777" w:rsidR="00BE6461" w:rsidRPr="00BE6461" w:rsidRDefault="00BE6461" w:rsidP="00BE6461">
            <w:pPr>
              <w:rPr>
                <w:b/>
                <w:bCs/>
                <w:sz w:val="20"/>
                <w:szCs w:val="20"/>
              </w:rPr>
            </w:pPr>
            <w:r w:rsidRPr="00BE6461">
              <w:rPr>
                <w:b/>
                <w:bCs/>
                <w:sz w:val="20"/>
                <w:szCs w:val="20"/>
              </w:rPr>
              <w:t>1009</w:t>
            </w:r>
          </w:p>
        </w:tc>
        <w:tc>
          <w:tcPr>
            <w:tcW w:w="8457" w:type="dxa"/>
            <w:tcBorders>
              <w:top w:val="single" w:sz="4" w:space="0" w:color="auto"/>
              <w:left w:val="nil"/>
              <w:bottom w:val="nil"/>
              <w:right w:val="nil"/>
            </w:tcBorders>
            <w:shd w:val="clear" w:color="auto" w:fill="auto"/>
            <w:vAlign w:val="bottom"/>
            <w:hideMark/>
          </w:tcPr>
          <w:p w14:paraId="70666DAA" w14:textId="77777777" w:rsidR="00BE6461" w:rsidRPr="00BE6461" w:rsidRDefault="00BE6461" w:rsidP="00BE6461">
            <w:pPr>
              <w:rPr>
                <w:b/>
                <w:bCs/>
                <w:sz w:val="20"/>
                <w:szCs w:val="20"/>
              </w:rPr>
            </w:pPr>
            <w:r w:rsidRPr="00BE6461">
              <w:rPr>
                <w:b/>
                <w:bCs/>
                <w:sz w:val="20"/>
                <w:szCs w:val="20"/>
              </w:rPr>
              <w:t>Program: PROGRAM JAVNIH POTREBA U SPORTU I REKREACIJI</w:t>
            </w:r>
          </w:p>
        </w:tc>
        <w:tc>
          <w:tcPr>
            <w:tcW w:w="1503" w:type="dxa"/>
            <w:tcBorders>
              <w:top w:val="single" w:sz="4" w:space="0" w:color="auto"/>
              <w:left w:val="nil"/>
              <w:bottom w:val="nil"/>
              <w:right w:val="nil"/>
            </w:tcBorders>
            <w:shd w:val="clear" w:color="auto" w:fill="auto"/>
            <w:noWrap/>
            <w:vAlign w:val="bottom"/>
            <w:hideMark/>
          </w:tcPr>
          <w:p w14:paraId="248A0934" w14:textId="77777777" w:rsidR="00BE6461" w:rsidRPr="00BE6461" w:rsidRDefault="00BE6461" w:rsidP="00BE6461">
            <w:pPr>
              <w:jc w:val="right"/>
              <w:rPr>
                <w:b/>
                <w:bCs/>
                <w:sz w:val="20"/>
                <w:szCs w:val="20"/>
              </w:rPr>
            </w:pPr>
            <w:r w:rsidRPr="00BE6461">
              <w:rPr>
                <w:b/>
                <w:bCs/>
                <w:sz w:val="20"/>
                <w:szCs w:val="20"/>
              </w:rPr>
              <w:t>1.205.000,00</w:t>
            </w:r>
          </w:p>
        </w:tc>
        <w:tc>
          <w:tcPr>
            <w:tcW w:w="1500" w:type="dxa"/>
            <w:tcBorders>
              <w:top w:val="single" w:sz="4" w:space="0" w:color="auto"/>
              <w:left w:val="nil"/>
              <w:bottom w:val="nil"/>
              <w:right w:val="nil"/>
            </w:tcBorders>
            <w:shd w:val="clear" w:color="auto" w:fill="auto"/>
            <w:noWrap/>
            <w:vAlign w:val="bottom"/>
            <w:hideMark/>
          </w:tcPr>
          <w:p w14:paraId="5E8FDD71" w14:textId="77777777" w:rsidR="00BE6461" w:rsidRPr="00BE6461" w:rsidRDefault="00BE6461" w:rsidP="00BE6461">
            <w:pPr>
              <w:jc w:val="right"/>
              <w:rPr>
                <w:b/>
                <w:bCs/>
                <w:sz w:val="20"/>
                <w:szCs w:val="20"/>
              </w:rPr>
            </w:pPr>
            <w:r w:rsidRPr="00BE6461">
              <w:rPr>
                <w:b/>
                <w:bCs/>
                <w:sz w:val="20"/>
                <w:szCs w:val="20"/>
              </w:rPr>
              <w:t>1.205.000,00</w:t>
            </w:r>
          </w:p>
        </w:tc>
        <w:tc>
          <w:tcPr>
            <w:tcW w:w="1100" w:type="dxa"/>
            <w:tcBorders>
              <w:top w:val="single" w:sz="4" w:space="0" w:color="auto"/>
              <w:left w:val="nil"/>
              <w:bottom w:val="nil"/>
              <w:right w:val="nil"/>
            </w:tcBorders>
            <w:shd w:val="clear" w:color="auto" w:fill="auto"/>
            <w:noWrap/>
            <w:vAlign w:val="bottom"/>
            <w:hideMark/>
          </w:tcPr>
          <w:p w14:paraId="502F11D0"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1F425430"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69D482FF" w14:textId="77777777" w:rsidR="00BE6461" w:rsidRPr="00BE6461" w:rsidRDefault="00BE6461" w:rsidP="00BE6461">
            <w:pPr>
              <w:rPr>
                <w:b/>
                <w:bCs/>
                <w:sz w:val="20"/>
                <w:szCs w:val="20"/>
              </w:rPr>
            </w:pPr>
            <w:r w:rsidRPr="00BE6461">
              <w:rPr>
                <w:b/>
                <w:bCs/>
                <w:sz w:val="20"/>
                <w:szCs w:val="20"/>
              </w:rPr>
              <w:t>A100033</w:t>
            </w:r>
          </w:p>
        </w:tc>
        <w:tc>
          <w:tcPr>
            <w:tcW w:w="8457" w:type="dxa"/>
            <w:tcBorders>
              <w:top w:val="single" w:sz="4" w:space="0" w:color="auto"/>
              <w:left w:val="nil"/>
              <w:bottom w:val="single" w:sz="4" w:space="0" w:color="auto"/>
              <w:right w:val="nil"/>
            </w:tcBorders>
            <w:shd w:val="clear" w:color="auto" w:fill="auto"/>
            <w:vAlign w:val="bottom"/>
            <w:hideMark/>
          </w:tcPr>
          <w:p w14:paraId="18B264DA" w14:textId="77777777" w:rsidR="00BE6461" w:rsidRPr="00BE6461" w:rsidRDefault="00BE6461" w:rsidP="00BE6461">
            <w:pPr>
              <w:rPr>
                <w:b/>
                <w:bCs/>
                <w:sz w:val="20"/>
                <w:szCs w:val="20"/>
              </w:rPr>
            </w:pPr>
            <w:r w:rsidRPr="00BE6461">
              <w:rPr>
                <w:b/>
                <w:bCs/>
                <w:sz w:val="20"/>
                <w:szCs w:val="20"/>
              </w:rPr>
              <w:t>Aktivnost: TEKUĆE DONACIJE SPORTSKOJ ZAJEDNICI GRADA BUJA</w:t>
            </w:r>
          </w:p>
        </w:tc>
        <w:tc>
          <w:tcPr>
            <w:tcW w:w="1503" w:type="dxa"/>
            <w:tcBorders>
              <w:top w:val="single" w:sz="4" w:space="0" w:color="auto"/>
              <w:left w:val="nil"/>
              <w:bottom w:val="single" w:sz="4" w:space="0" w:color="auto"/>
              <w:right w:val="nil"/>
            </w:tcBorders>
            <w:shd w:val="clear" w:color="auto" w:fill="auto"/>
            <w:noWrap/>
            <w:vAlign w:val="bottom"/>
            <w:hideMark/>
          </w:tcPr>
          <w:p w14:paraId="0ED3CE79" w14:textId="77777777" w:rsidR="00BE6461" w:rsidRPr="00BE6461" w:rsidRDefault="00BE6461" w:rsidP="00BE6461">
            <w:pPr>
              <w:jc w:val="right"/>
              <w:rPr>
                <w:b/>
                <w:bCs/>
                <w:sz w:val="20"/>
                <w:szCs w:val="20"/>
              </w:rPr>
            </w:pPr>
            <w:r w:rsidRPr="00BE6461">
              <w:rPr>
                <w:b/>
                <w:bCs/>
                <w:sz w:val="20"/>
                <w:szCs w:val="20"/>
              </w:rPr>
              <w:t>1.200.000,00</w:t>
            </w:r>
          </w:p>
        </w:tc>
        <w:tc>
          <w:tcPr>
            <w:tcW w:w="1500" w:type="dxa"/>
            <w:tcBorders>
              <w:top w:val="single" w:sz="4" w:space="0" w:color="auto"/>
              <w:left w:val="nil"/>
              <w:bottom w:val="single" w:sz="4" w:space="0" w:color="auto"/>
              <w:right w:val="nil"/>
            </w:tcBorders>
            <w:shd w:val="clear" w:color="auto" w:fill="auto"/>
            <w:noWrap/>
            <w:vAlign w:val="bottom"/>
            <w:hideMark/>
          </w:tcPr>
          <w:p w14:paraId="6EA4B22C" w14:textId="77777777" w:rsidR="00BE6461" w:rsidRPr="00BE6461" w:rsidRDefault="00BE6461" w:rsidP="00BE6461">
            <w:pPr>
              <w:jc w:val="right"/>
              <w:rPr>
                <w:b/>
                <w:bCs/>
                <w:sz w:val="20"/>
                <w:szCs w:val="20"/>
              </w:rPr>
            </w:pPr>
            <w:r w:rsidRPr="00BE6461">
              <w:rPr>
                <w:b/>
                <w:bCs/>
                <w:sz w:val="20"/>
                <w:szCs w:val="20"/>
              </w:rPr>
              <w:t>1.200.000,00</w:t>
            </w:r>
          </w:p>
        </w:tc>
        <w:tc>
          <w:tcPr>
            <w:tcW w:w="1100" w:type="dxa"/>
            <w:tcBorders>
              <w:top w:val="single" w:sz="4" w:space="0" w:color="auto"/>
              <w:left w:val="nil"/>
              <w:bottom w:val="single" w:sz="4" w:space="0" w:color="auto"/>
              <w:right w:val="nil"/>
            </w:tcBorders>
            <w:shd w:val="clear" w:color="auto" w:fill="auto"/>
            <w:noWrap/>
            <w:vAlign w:val="bottom"/>
            <w:hideMark/>
          </w:tcPr>
          <w:p w14:paraId="3F54475B"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205C4998"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EA47F04"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17A9A488" w14:textId="77777777" w:rsidR="00BE6461" w:rsidRPr="00BE6461" w:rsidRDefault="00BE6461" w:rsidP="00BE6461">
            <w:pPr>
              <w:jc w:val="right"/>
              <w:rPr>
                <w:b/>
                <w:bCs/>
                <w:color w:val="333333"/>
                <w:sz w:val="20"/>
                <w:szCs w:val="20"/>
              </w:rPr>
            </w:pPr>
            <w:r w:rsidRPr="00BE6461">
              <w:rPr>
                <w:b/>
                <w:bCs/>
                <w:color w:val="333333"/>
                <w:sz w:val="20"/>
                <w:szCs w:val="20"/>
              </w:rPr>
              <w:t>1.200.000,00</w:t>
            </w:r>
          </w:p>
        </w:tc>
        <w:tc>
          <w:tcPr>
            <w:tcW w:w="1500" w:type="dxa"/>
            <w:tcBorders>
              <w:top w:val="nil"/>
              <w:left w:val="nil"/>
              <w:bottom w:val="nil"/>
              <w:right w:val="nil"/>
            </w:tcBorders>
            <w:shd w:val="clear" w:color="auto" w:fill="auto"/>
            <w:noWrap/>
            <w:vAlign w:val="bottom"/>
            <w:hideMark/>
          </w:tcPr>
          <w:p w14:paraId="6219B458" w14:textId="77777777" w:rsidR="00BE6461" w:rsidRPr="00BE6461" w:rsidRDefault="00BE6461" w:rsidP="00BE6461">
            <w:pPr>
              <w:jc w:val="right"/>
              <w:rPr>
                <w:b/>
                <w:bCs/>
                <w:color w:val="333333"/>
                <w:sz w:val="20"/>
                <w:szCs w:val="20"/>
              </w:rPr>
            </w:pPr>
            <w:r w:rsidRPr="00BE6461">
              <w:rPr>
                <w:b/>
                <w:bCs/>
                <w:color w:val="333333"/>
                <w:sz w:val="20"/>
                <w:szCs w:val="20"/>
              </w:rPr>
              <w:t>1.200.000,00</w:t>
            </w:r>
          </w:p>
        </w:tc>
        <w:tc>
          <w:tcPr>
            <w:tcW w:w="1100" w:type="dxa"/>
            <w:tcBorders>
              <w:top w:val="nil"/>
              <w:left w:val="nil"/>
              <w:bottom w:val="nil"/>
              <w:right w:val="nil"/>
            </w:tcBorders>
            <w:shd w:val="clear" w:color="auto" w:fill="auto"/>
            <w:noWrap/>
            <w:vAlign w:val="bottom"/>
            <w:hideMark/>
          </w:tcPr>
          <w:p w14:paraId="0F2883FD"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50871F54"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F80070A"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3D9AD4AA" w14:textId="77777777" w:rsidR="00BE6461" w:rsidRPr="00BE6461" w:rsidRDefault="00BE6461" w:rsidP="00BE6461">
            <w:pPr>
              <w:jc w:val="right"/>
              <w:rPr>
                <w:b/>
                <w:bCs/>
                <w:color w:val="333333"/>
                <w:sz w:val="20"/>
                <w:szCs w:val="20"/>
              </w:rPr>
            </w:pPr>
            <w:r w:rsidRPr="00BE6461">
              <w:rPr>
                <w:b/>
                <w:bCs/>
                <w:color w:val="333333"/>
                <w:sz w:val="20"/>
                <w:szCs w:val="20"/>
              </w:rPr>
              <w:t>1.200.000,00</w:t>
            </w:r>
          </w:p>
        </w:tc>
        <w:tc>
          <w:tcPr>
            <w:tcW w:w="1500" w:type="dxa"/>
            <w:tcBorders>
              <w:top w:val="nil"/>
              <w:left w:val="nil"/>
              <w:bottom w:val="nil"/>
              <w:right w:val="nil"/>
            </w:tcBorders>
            <w:shd w:val="clear" w:color="auto" w:fill="auto"/>
            <w:noWrap/>
            <w:vAlign w:val="bottom"/>
            <w:hideMark/>
          </w:tcPr>
          <w:p w14:paraId="77DD42EA" w14:textId="77777777" w:rsidR="00BE6461" w:rsidRPr="00BE6461" w:rsidRDefault="00BE6461" w:rsidP="00BE6461">
            <w:pPr>
              <w:jc w:val="right"/>
              <w:rPr>
                <w:b/>
                <w:bCs/>
                <w:color w:val="333333"/>
                <w:sz w:val="20"/>
                <w:szCs w:val="20"/>
              </w:rPr>
            </w:pPr>
            <w:r w:rsidRPr="00BE6461">
              <w:rPr>
                <w:b/>
                <w:bCs/>
                <w:color w:val="333333"/>
                <w:sz w:val="20"/>
                <w:szCs w:val="20"/>
              </w:rPr>
              <w:t>1.200.000,00</w:t>
            </w:r>
          </w:p>
        </w:tc>
        <w:tc>
          <w:tcPr>
            <w:tcW w:w="1100" w:type="dxa"/>
            <w:tcBorders>
              <w:top w:val="nil"/>
              <w:left w:val="nil"/>
              <w:bottom w:val="nil"/>
              <w:right w:val="nil"/>
            </w:tcBorders>
            <w:shd w:val="clear" w:color="auto" w:fill="auto"/>
            <w:noWrap/>
            <w:vAlign w:val="bottom"/>
            <w:hideMark/>
          </w:tcPr>
          <w:p w14:paraId="7E5CFDF2"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0E599712" w14:textId="77777777" w:rsidTr="00BE6461">
        <w:trPr>
          <w:trHeight w:val="300"/>
        </w:trPr>
        <w:tc>
          <w:tcPr>
            <w:tcW w:w="1703" w:type="dxa"/>
            <w:tcBorders>
              <w:top w:val="nil"/>
              <w:left w:val="nil"/>
              <w:bottom w:val="nil"/>
              <w:right w:val="nil"/>
            </w:tcBorders>
            <w:shd w:val="clear" w:color="auto" w:fill="auto"/>
            <w:noWrap/>
            <w:vAlign w:val="bottom"/>
            <w:hideMark/>
          </w:tcPr>
          <w:p w14:paraId="6AC9C170" w14:textId="77777777" w:rsidR="00BE6461" w:rsidRPr="00BE6461" w:rsidRDefault="00BE6461" w:rsidP="00BE6461">
            <w:pPr>
              <w:rPr>
                <w:b/>
                <w:bCs/>
                <w:sz w:val="20"/>
                <w:szCs w:val="20"/>
              </w:rPr>
            </w:pPr>
            <w:r w:rsidRPr="00BE6461">
              <w:rPr>
                <w:b/>
                <w:bCs/>
                <w:sz w:val="20"/>
                <w:szCs w:val="20"/>
              </w:rPr>
              <w:t>381</w:t>
            </w:r>
          </w:p>
        </w:tc>
        <w:tc>
          <w:tcPr>
            <w:tcW w:w="8457" w:type="dxa"/>
            <w:tcBorders>
              <w:top w:val="nil"/>
              <w:left w:val="nil"/>
              <w:bottom w:val="nil"/>
              <w:right w:val="nil"/>
            </w:tcBorders>
            <w:shd w:val="clear" w:color="auto" w:fill="auto"/>
            <w:vAlign w:val="bottom"/>
            <w:hideMark/>
          </w:tcPr>
          <w:p w14:paraId="590EE36A" w14:textId="77777777" w:rsidR="00BE6461" w:rsidRPr="00BE6461" w:rsidRDefault="00BE6461" w:rsidP="00BE6461">
            <w:pPr>
              <w:rPr>
                <w:b/>
                <w:bCs/>
                <w:sz w:val="20"/>
                <w:szCs w:val="20"/>
              </w:rPr>
            </w:pPr>
            <w:r w:rsidRPr="00BE6461">
              <w:rPr>
                <w:b/>
                <w:bCs/>
                <w:sz w:val="20"/>
                <w:szCs w:val="20"/>
              </w:rPr>
              <w:t xml:space="preserve">Tekuće donacije                                                                                     </w:t>
            </w:r>
          </w:p>
        </w:tc>
        <w:tc>
          <w:tcPr>
            <w:tcW w:w="1503" w:type="dxa"/>
            <w:tcBorders>
              <w:top w:val="nil"/>
              <w:left w:val="nil"/>
              <w:bottom w:val="nil"/>
              <w:right w:val="nil"/>
            </w:tcBorders>
            <w:shd w:val="clear" w:color="auto" w:fill="auto"/>
            <w:noWrap/>
            <w:vAlign w:val="bottom"/>
            <w:hideMark/>
          </w:tcPr>
          <w:p w14:paraId="2B3751EB" w14:textId="77777777" w:rsidR="00BE6461" w:rsidRPr="00BE6461" w:rsidRDefault="00BE6461" w:rsidP="00BE6461">
            <w:pPr>
              <w:jc w:val="right"/>
              <w:rPr>
                <w:b/>
                <w:bCs/>
                <w:sz w:val="20"/>
                <w:szCs w:val="20"/>
              </w:rPr>
            </w:pPr>
            <w:r w:rsidRPr="00BE6461">
              <w:rPr>
                <w:b/>
                <w:bCs/>
                <w:sz w:val="20"/>
                <w:szCs w:val="20"/>
              </w:rPr>
              <w:t>1.200.000,00</w:t>
            </w:r>
          </w:p>
        </w:tc>
        <w:tc>
          <w:tcPr>
            <w:tcW w:w="1500" w:type="dxa"/>
            <w:tcBorders>
              <w:top w:val="nil"/>
              <w:left w:val="nil"/>
              <w:bottom w:val="nil"/>
              <w:right w:val="nil"/>
            </w:tcBorders>
            <w:shd w:val="clear" w:color="auto" w:fill="auto"/>
            <w:noWrap/>
            <w:vAlign w:val="bottom"/>
            <w:hideMark/>
          </w:tcPr>
          <w:p w14:paraId="044E7A3E" w14:textId="77777777" w:rsidR="00BE6461" w:rsidRPr="00BE6461" w:rsidRDefault="00BE6461" w:rsidP="00BE6461">
            <w:pPr>
              <w:jc w:val="right"/>
              <w:rPr>
                <w:b/>
                <w:bCs/>
                <w:sz w:val="20"/>
                <w:szCs w:val="20"/>
              </w:rPr>
            </w:pPr>
            <w:r w:rsidRPr="00BE6461">
              <w:rPr>
                <w:b/>
                <w:bCs/>
                <w:sz w:val="20"/>
                <w:szCs w:val="20"/>
              </w:rPr>
              <w:t>1.200.000,00</w:t>
            </w:r>
          </w:p>
        </w:tc>
        <w:tc>
          <w:tcPr>
            <w:tcW w:w="1100" w:type="dxa"/>
            <w:tcBorders>
              <w:top w:val="nil"/>
              <w:left w:val="nil"/>
              <w:bottom w:val="nil"/>
              <w:right w:val="nil"/>
            </w:tcBorders>
            <w:shd w:val="clear" w:color="auto" w:fill="auto"/>
            <w:noWrap/>
            <w:vAlign w:val="bottom"/>
            <w:hideMark/>
          </w:tcPr>
          <w:p w14:paraId="51B45624"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3D702F90" w14:textId="77777777" w:rsidTr="00BE6461">
        <w:trPr>
          <w:trHeight w:val="300"/>
        </w:trPr>
        <w:tc>
          <w:tcPr>
            <w:tcW w:w="1703" w:type="dxa"/>
            <w:tcBorders>
              <w:top w:val="nil"/>
              <w:left w:val="nil"/>
              <w:bottom w:val="nil"/>
              <w:right w:val="nil"/>
            </w:tcBorders>
            <w:shd w:val="clear" w:color="auto" w:fill="auto"/>
            <w:noWrap/>
            <w:vAlign w:val="bottom"/>
            <w:hideMark/>
          </w:tcPr>
          <w:p w14:paraId="1E0547E9" w14:textId="77777777" w:rsidR="00BE6461" w:rsidRPr="00BE6461" w:rsidRDefault="00BE6461" w:rsidP="00BE6461">
            <w:pPr>
              <w:rPr>
                <w:sz w:val="20"/>
                <w:szCs w:val="20"/>
              </w:rPr>
            </w:pPr>
            <w:r w:rsidRPr="00BE6461">
              <w:rPr>
                <w:sz w:val="20"/>
                <w:szCs w:val="20"/>
              </w:rPr>
              <w:t>3811</w:t>
            </w:r>
          </w:p>
        </w:tc>
        <w:tc>
          <w:tcPr>
            <w:tcW w:w="8457" w:type="dxa"/>
            <w:tcBorders>
              <w:top w:val="nil"/>
              <w:left w:val="nil"/>
              <w:bottom w:val="nil"/>
              <w:right w:val="nil"/>
            </w:tcBorders>
            <w:shd w:val="clear" w:color="auto" w:fill="auto"/>
            <w:vAlign w:val="bottom"/>
            <w:hideMark/>
          </w:tcPr>
          <w:p w14:paraId="4BA47C3A" w14:textId="77777777" w:rsidR="00BE6461" w:rsidRPr="00BE6461" w:rsidRDefault="00BE6461" w:rsidP="00BE6461">
            <w:pPr>
              <w:rPr>
                <w:sz w:val="20"/>
                <w:szCs w:val="20"/>
              </w:rPr>
            </w:pPr>
            <w:r w:rsidRPr="00BE6461">
              <w:rPr>
                <w:sz w:val="20"/>
                <w:szCs w:val="20"/>
              </w:rPr>
              <w:t xml:space="preserve">Tekuće donacije u novcu                                                                             </w:t>
            </w:r>
          </w:p>
        </w:tc>
        <w:tc>
          <w:tcPr>
            <w:tcW w:w="1503" w:type="dxa"/>
            <w:tcBorders>
              <w:top w:val="nil"/>
              <w:left w:val="nil"/>
              <w:bottom w:val="nil"/>
              <w:right w:val="nil"/>
            </w:tcBorders>
            <w:shd w:val="clear" w:color="auto" w:fill="auto"/>
            <w:noWrap/>
            <w:vAlign w:val="bottom"/>
            <w:hideMark/>
          </w:tcPr>
          <w:p w14:paraId="003E9AF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CCB7354" w14:textId="77777777" w:rsidR="00BE6461" w:rsidRPr="00BE6461" w:rsidRDefault="00BE6461" w:rsidP="00BE6461">
            <w:pPr>
              <w:jc w:val="right"/>
              <w:rPr>
                <w:sz w:val="20"/>
                <w:szCs w:val="20"/>
              </w:rPr>
            </w:pPr>
            <w:r w:rsidRPr="00BE6461">
              <w:rPr>
                <w:sz w:val="20"/>
                <w:szCs w:val="20"/>
              </w:rPr>
              <w:t>1.200.000,00</w:t>
            </w:r>
          </w:p>
        </w:tc>
        <w:tc>
          <w:tcPr>
            <w:tcW w:w="1100" w:type="dxa"/>
            <w:tcBorders>
              <w:top w:val="nil"/>
              <w:left w:val="nil"/>
              <w:bottom w:val="nil"/>
              <w:right w:val="nil"/>
            </w:tcBorders>
            <w:shd w:val="clear" w:color="auto" w:fill="auto"/>
            <w:noWrap/>
            <w:vAlign w:val="bottom"/>
            <w:hideMark/>
          </w:tcPr>
          <w:p w14:paraId="241464EA" w14:textId="77777777" w:rsidR="00BE6461" w:rsidRPr="00BE6461" w:rsidRDefault="00BE6461" w:rsidP="00BE6461">
            <w:pPr>
              <w:jc w:val="right"/>
              <w:rPr>
                <w:sz w:val="20"/>
                <w:szCs w:val="20"/>
              </w:rPr>
            </w:pPr>
          </w:p>
        </w:tc>
      </w:tr>
      <w:tr w:rsidR="00BE6461" w:rsidRPr="00BE6461" w14:paraId="5D0D5BED"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13DD76E4" w14:textId="77777777" w:rsidR="00BE6461" w:rsidRPr="00BE6461" w:rsidRDefault="00BE6461" w:rsidP="00BE6461">
            <w:pPr>
              <w:rPr>
                <w:b/>
                <w:bCs/>
                <w:sz w:val="20"/>
                <w:szCs w:val="20"/>
              </w:rPr>
            </w:pPr>
            <w:r w:rsidRPr="00BE6461">
              <w:rPr>
                <w:b/>
                <w:bCs/>
                <w:sz w:val="20"/>
                <w:szCs w:val="20"/>
              </w:rPr>
              <w:t>A100034</w:t>
            </w:r>
          </w:p>
        </w:tc>
        <w:tc>
          <w:tcPr>
            <w:tcW w:w="8457" w:type="dxa"/>
            <w:tcBorders>
              <w:top w:val="single" w:sz="4" w:space="0" w:color="auto"/>
              <w:left w:val="nil"/>
              <w:bottom w:val="single" w:sz="4" w:space="0" w:color="auto"/>
              <w:right w:val="nil"/>
            </w:tcBorders>
            <w:shd w:val="clear" w:color="auto" w:fill="auto"/>
            <w:vAlign w:val="bottom"/>
            <w:hideMark/>
          </w:tcPr>
          <w:p w14:paraId="3226B88F" w14:textId="77777777" w:rsidR="00BE6461" w:rsidRPr="00BE6461" w:rsidRDefault="00BE6461" w:rsidP="00BE6461">
            <w:pPr>
              <w:rPr>
                <w:b/>
                <w:bCs/>
                <w:sz w:val="20"/>
                <w:szCs w:val="20"/>
              </w:rPr>
            </w:pPr>
            <w:r w:rsidRPr="00BE6461">
              <w:rPr>
                <w:b/>
                <w:bCs/>
                <w:sz w:val="20"/>
                <w:szCs w:val="20"/>
              </w:rPr>
              <w:t>Aktivnost: TEKUĆE DONACIJE SPORTSKIM I REKREATIVNIM UDRUGAMA / KLUBOVIMA</w:t>
            </w:r>
          </w:p>
        </w:tc>
        <w:tc>
          <w:tcPr>
            <w:tcW w:w="1503" w:type="dxa"/>
            <w:tcBorders>
              <w:top w:val="single" w:sz="4" w:space="0" w:color="auto"/>
              <w:left w:val="nil"/>
              <w:bottom w:val="single" w:sz="4" w:space="0" w:color="auto"/>
              <w:right w:val="nil"/>
            </w:tcBorders>
            <w:shd w:val="clear" w:color="auto" w:fill="auto"/>
            <w:noWrap/>
            <w:vAlign w:val="bottom"/>
            <w:hideMark/>
          </w:tcPr>
          <w:p w14:paraId="1283147A" w14:textId="77777777" w:rsidR="00BE6461" w:rsidRPr="00BE6461" w:rsidRDefault="00BE6461" w:rsidP="00BE6461">
            <w:pPr>
              <w:jc w:val="right"/>
              <w:rPr>
                <w:b/>
                <w:bCs/>
                <w:sz w:val="20"/>
                <w:szCs w:val="20"/>
              </w:rPr>
            </w:pPr>
            <w:r w:rsidRPr="00BE6461">
              <w:rPr>
                <w:b/>
                <w:bCs/>
                <w:sz w:val="20"/>
                <w:szCs w:val="20"/>
              </w:rPr>
              <w:t>5.000,00</w:t>
            </w:r>
          </w:p>
        </w:tc>
        <w:tc>
          <w:tcPr>
            <w:tcW w:w="1500" w:type="dxa"/>
            <w:tcBorders>
              <w:top w:val="single" w:sz="4" w:space="0" w:color="auto"/>
              <w:left w:val="nil"/>
              <w:bottom w:val="single" w:sz="4" w:space="0" w:color="auto"/>
              <w:right w:val="nil"/>
            </w:tcBorders>
            <w:shd w:val="clear" w:color="auto" w:fill="auto"/>
            <w:noWrap/>
            <w:vAlign w:val="bottom"/>
            <w:hideMark/>
          </w:tcPr>
          <w:p w14:paraId="49B54D95" w14:textId="77777777" w:rsidR="00BE6461" w:rsidRPr="00BE6461" w:rsidRDefault="00BE6461" w:rsidP="00BE6461">
            <w:pPr>
              <w:jc w:val="right"/>
              <w:rPr>
                <w:b/>
                <w:bCs/>
                <w:sz w:val="20"/>
                <w:szCs w:val="20"/>
              </w:rPr>
            </w:pPr>
            <w:r w:rsidRPr="00BE6461">
              <w:rPr>
                <w:b/>
                <w:bCs/>
                <w:sz w:val="20"/>
                <w:szCs w:val="20"/>
              </w:rPr>
              <w:t>5.000,00</w:t>
            </w:r>
          </w:p>
        </w:tc>
        <w:tc>
          <w:tcPr>
            <w:tcW w:w="1100" w:type="dxa"/>
            <w:tcBorders>
              <w:top w:val="single" w:sz="4" w:space="0" w:color="auto"/>
              <w:left w:val="nil"/>
              <w:bottom w:val="single" w:sz="4" w:space="0" w:color="auto"/>
              <w:right w:val="nil"/>
            </w:tcBorders>
            <w:shd w:val="clear" w:color="auto" w:fill="auto"/>
            <w:noWrap/>
            <w:vAlign w:val="bottom"/>
            <w:hideMark/>
          </w:tcPr>
          <w:p w14:paraId="4B6E2EFC"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59C866B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48C7FE4"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7D134423" w14:textId="77777777" w:rsidR="00BE6461" w:rsidRPr="00BE6461" w:rsidRDefault="00BE6461" w:rsidP="00BE6461">
            <w:pPr>
              <w:jc w:val="right"/>
              <w:rPr>
                <w:b/>
                <w:bCs/>
                <w:color w:val="333333"/>
                <w:sz w:val="20"/>
                <w:szCs w:val="20"/>
              </w:rPr>
            </w:pPr>
            <w:r w:rsidRPr="00BE6461">
              <w:rPr>
                <w:b/>
                <w:bCs/>
                <w:color w:val="333333"/>
                <w:sz w:val="20"/>
                <w:szCs w:val="20"/>
              </w:rPr>
              <w:t>5.000,00</w:t>
            </w:r>
          </w:p>
        </w:tc>
        <w:tc>
          <w:tcPr>
            <w:tcW w:w="1500" w:type="dxa"/>
            <w:tcBorders>
              <w:top w:val="nil"/>
              <w:left w:val="nil"/>
              <w:bottom w:val="nil"/>
              <w:right w:val="nil"/>
            </w:tcBorders>
            <w:shd w:val="clear" w:color="auto" w:fill="auto"/>
            <w:noWrap/>
            <w:vAlign w:val="bottom"/>
            <w:hideMark/>
          </w:tcPr>
          <w:p w14:paraId="6729EBA6" w14:textId="77777777" w:rsidR="00BE6461" w:rsidRPr="00BE6461" w:rsidRDefault="00BE6461" w:rsidP="00BE6461">
            <w:pPr>
              <w:jc w:val="right"/>
              <w:rPr>
                <w:b/>
                <w:bCs/>
                <w:color w:val="333333"/>
                <w:sz w:val="20"/>
                <w:szCs w:val="20"/>
              </w:rPr>
            </w:pPr>
            <w:r w:rsidRPr="00BE6461">
              <w:rPr>
                <w:b/>
                <w:bCs/>
                <w:color w:val="333333"/>
                <w:sz w:val="20"/>
                <w:szCs w:val="20"/>
              </w:rPr>
              <w:t>5.000,00</w:t>
            </w:r>
          </w:p>
        </w:tc>
        <w:tc>
          <w:tcPr>
            <w:tcW w:w="1100" w:type="dxa"/>
            <w:tcBorders>
              <w:top w:val="nil"/>
              <w:left w:val="nil"/>
              <w:bottom w:val="nil"/>
              <w:right w:val="nil"/>
            </w:tcBorders>
            <w:shd w:val="clear" w:color="auto" w:fill="auto"/>
            <w:noWrap/>
            <w:vAlign w:val="bottom"/>
            <w:hideMark/>
          </w:tcPr>
          <w:p w14:paraId="4E421FBD"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60109A7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81A024D"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18D7332B" w14:textId="77777777" w:rsidR="00BE6461" w:rsidRPr="00BE6461" w:rsidRDefault="00BE6461" w:rsidP="00BE6461">
            <w:pPr>
              <w:jc w:val="right"/>
              <w:rPr>
                <w:b/>
                <w:bCs/>
                <w:color w:val="333333"/>
                <w:sz w:val="20"/>
                <w:szCs w:val="20"/>
              </w:rPr>
            </w:pPr>
            <w:r w:rsidRPr="00BE6461">
              <w:rPr>
                <w:b/>
                <w:bCs/>
                <w:color w:val="333333"/>
                <w:sz w:val="20"/>
                <w:szCs w:val="20"/>
              </w:rPr>
              <w:t>5.000,00</w:t>
            </w:r>
          </w:p>
        </w:tc>
        <w:tc>
          <w:tcPr>
            <w:tcW w:w="1500" w:type="dxa"/>
            <w:tcBorders>
              <w:top w:val="nil"/>
              <w:left w:val="nil"/>
              <w:bottom w:val="nil"/>
              <w:right w:val="nil"/>
            </w:tcBorders>
            <w:shd w:val="clear" w:color="auto" w:fill="auto"/>
            <w:noWrap/>
            <w:vAlign w:val="bottom"/>
            <w:hideMark/>
          </w:tcPr>
          <w:p w14:paraId="12D2C161" w14:textId="77777777" w:rsidR="00BE6461" w:rsidRPr="00BE6461" w:rsidRDefault="00BE6461" w:rsidP="00BE6461">
            <w:pPr>
              <w:jc w:val="right"/>
              <w:rPr>
                <w:b/>
                <w:bCs/>
                <w:color w:val="333333"/>
                <w:sz w:val="20"/>
                <w:szCs w:val="20"/>
              </w:rPr>
            </w:pPr>
            <w:r w:rsidRPr="00BE6461">
              <w:rPr>
                <w:b/>
                <w:bCs/>
                <w:color w:val="333333"/>
                <w:sz w:val="20"/>
                <w:szCs w:val="20"/>
              </w:rPr>
              <w:t>5.000,00</w:t>
            </w:r>
          </w:p>
        </w:tc>
        <w:tc>
          <w:tcPr>
            <w:tcW w:w="1100" w:type="dxa"/>
            <w:tcBorders>
              <w:top w:val="nil"/>
              <w:left w:val="nil"/>
              <w:bottom w:val="nil"/>
              <w:right w:val="nil"/>
            </w:tcBorders>
            <w:shd w:val="clear" w:color="auto" w:fill="auto"/>
            <w:noWrap/>
            <w:vAlign w:val="bottom"/>
            <w:hideMark/>
          </w:tcPr>
          <w:p w14:paraId="3A516807"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6BCA56EE" w14:textId="77777777" w:rsidTr="00BE6461">
        <w:trPr>
          <w:trHeight w:val="300"/>
        </w:trPr>
        <w:tc>
          <w:tcPr>
            <w:tcW w:w="1703" w:type="dxa"/>
            <w:tcBorders>
              <w:top w:val="nil"/>
              <w:left w:val="nil"/>
              <w:bottom w:val="nil"/>
              <w:right w:val="nil"/>
            </w:tcBorders>
            <w:shd w:val="clear" w:color="auto" w:fill="auto"/>
            <w:noWrap/>
            <w:vAlign w:val="bottom"/>
            <w:hideMark/>
          </w:tcPr>
          <w:p w14:paraId="780219AC" w14:textId="77777777" w:rsidR="00BE6461" w:rsidRPr="00BE6461" w:rsidRDefault="00BE6461" w:rsidP="00BE6461">
            <w:pPr>
              <w:rPr>
                <w:b/>
                <w:bCs/>
                <w:sz w:val="20"/>
                <w:szCs w:val="20"/>
              </w:rPr>
            </w:pPr>
            <w:r w:rsidRPr="00BE6461">
              <w:rPr>
                <w:b/>
                <w:bCs/>
                <w:sz w:val="20"/>
                <w:szCs w:val="20"/>
              </w:rPr>
              <w:t>381</w:t>
            </w:r>
          </w:p>
        </w:tc>
        <w:tc>
          <w:tcPr>
            <w:tcW w:w="8457" w:type="dxa"/>
            <w:tcBorders>
              <w:top w:val="nil"/>
              <w:left w:val="nil"/>
              <w:bottom w:val="nil"/>
              <w:right w:val="nil"/>
            </w:tcBorders>
            <w:shd w:val="clear" w:color="auto" w:fill="auto"/>
            <w:vAlign w:val="bottom"/>
            <w:hideMark/>
          </w:tcPr>
          <w:p w14:paraId="039FCAE8" w14:textId="77777777" w:rsidR="00BE6461" w:rsidRPr="00BE6461" w:rsidRDefault="00BE6461" w:rsidP="00BE6461">
            <w:pPr>
              <w:rPr>
                <w:b/>
                <w:bCs/>
                <w:sz w:val="20"/>
                <w:szCs w:val="20"/>
              </w:rPr>
            </w:pPr>
            <w:r w:rsidRPr="00BE6461">
              <w:rPr>
                <w:b/>
                <w:bCs/>
                <w:sz w:val="20"/>
                <w:szCs w:val="20"/>
              </w:rPr>
              <w:t xml:space="preserve">Tekuće donacije                                                                                     </w:t>
            </w:r>
          </w:p>
        </w:tc>
        <w:tc>
          <w:tcPr>
            <w:tcW w:w="1503" w:type="dxa"/>
            <w:tcBorders>
              <w:top w:val="nil"/>
              <w:left w:val="nil"/>
              <w:bottom w:val="nil"/>
              <w:right w:val="nil"/>
            </w:tcBorders>
            <w:shd w:val="clear" w:color="auto" w:fill="auto"/>
            <w:noWrap/>
            <w:vAlign w:val="bottom"/>
            <w:hideMark/>
          </w:tcPr>
          <w:p w14:paraId="2437DDA8" w14:textId="77777777" w:rsidR="00BE6461" w:rsidRPr="00BE6461" w:rsidRDefault="00BE6461" w:rsidP="00BE6461">
            <w:pPr>
              <w:jc w:val="right"/>
              <w:rPr>
                <w:b/>
                <w:bCs/>
                <w:sz w:val="20"/>
                <w:szCs w:val="20"/>
              </w:rPr>
            </w:pPr>
            <w:r w:rsidRPr="00BE6461">
              <w:rPr>
                <w:b/>
                <w:bCs/>
                <w:sz w:val="20"/>
                <w:szCs w:val="20"/>
              </w:rPr>
              <w:t>5.000,00</w:t>
            </w:r>
          </w:p>
        </w:tc>
        <w:tc>
          <w:tcPr>
            <w:tcW w:w="1500" w:type="dxa"/>
            <w:tcBorders>
              <w:top w:val="nil"/>
              <w:left w:val="nil"/>
              <w:bottom w:val="nil"/>
              <w:right w:val="nil"/>
            </w:tcBorders>
            <w:shd w:val="clear" w:color="auto" w:fill="auto"/>
            <w:noWrap/>
            <w:vAlign w:val="bottom"/>
            <w:hideMark/>
          </w:tcPr>
          <w:p w14:paraId="0E3F326D" w14:textId="77777777" w:rsidR="00BE6461" w:rsidRPr="00BE6461" w:rsidRDefault="00BE6461" w:rsidP="00BE6461">
            <w:pPr>
              <w:jc w:val="right"/>
              <w:rPr>
                <w:b/>
                <w:bCs/>
                <w:sz w:val="20"/>
                <w:szCs w:val="20"/>
              </w:rPr>
            </w:pPr>
            <w:r w:rsidRPr="00BE6461">
              <w:rPr>
                <w:b/>
                <w:bCs/>
                <w:sz w:val="20"/>
                <w:szCs w:val="20"/>
              </w:rPr>
              <w:t>5.000,00</w:t>
            </w:r>
          </w:p>
        </w:tc>
        <w:tc>
          <w:tcPr>
            <w:tcW w:w="1100" w:type="dxa"/>
            <w:tcBorders>
              <w:top w:val="nil"/>
              <w:left w:val="nil"/>
              <w:bottom w:val="nil"/>
              <w:right w:val="nil"/>
            </w:tcBorders>
            <w:shd w:val="clear" w:color="auto" w:fill="auto"/>
            <w:noWrap/>
            <w:vAlign w:val="bottom"/>
            <w:hideMark/>
          </w:tcPr>
          <w:p w14:paraId="297E4283"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34CB387E" w14:textId="77777777" w:rsidTr="00BE6461">
        <w:trPr>
          <w:trHeight w:val="300"/>
        </w:trPr>
        <w:tc>
          <w:tcPr>
            <w:tcW w:w="1703" w:type="dxa"/>
            <w:tcBorders>
              <w:top w:val="nil"/>
              <w:left w:val="nil"/>
              <w:bottom w:val="nil"/>
              <w:right w:val="nil"/>
            </w:tcBorders>
            <w:shd w:val="clear" w:color="auto" w:fill="auto"/>
            <w:noWrap/>
            <w:vAlign w:val="bottom"/>
            <w:hideMark/>
          </w:tcPr>
          <w:p w14:paraId="4C75E345" w14:textId="77777777" w:rsidR="00BE6461" w:rsidRPr="00BE6461" w:rsidRDefault="00BE6461" w:rsidP="00BE6461">
            <w:pPr>
              <w:rPr>
                <w:sz w:val="20"/>
                <w:szCs w:val="20"/>
              </w:rPr>
            </w:pPr>
            <w:r w:rsidRPr="00BE6461">
              <w:rPr>
                <w:sz w:val="20"/>
                <w:szCs w:val="20"/>
              </w:rPr>
              <w:t>3811</w:t>
            </w:r>
          </w:p>
        </w:tc>
        <w:tc>
          <w:tcPr>
            <w:tcW w:w="8457" w:type="dxa"/>
            <w:tcBorders>
              <w:top w:val="nil"/>
              <w:left w:val="nil"/>
              <w:bottom w:val="nil"/>
              <w:right w:val="nil"/>
            </w:tcBorders>
            <w:shd w:val="clear" w:color="auto" w:fill="auto"/>
            <w:vAlign w:val="bottom"/>
            <w:hideMark/>
          </w:tcPr>
          <w:p w14:paraId="619C9CD0" w14:textId="77777777" w:rsidR="00BE6461" w:rsidRPr="00BE6461" w:rsidRDefault="00BE6461" w:rsidP="00BE6461">
            <w:pPr>
              <w:rPr>
                <w:sz w:val="20"/>
                <w:szCs w:val="20"/>
              </w:rPr>
            </w:pPr>
            <w:r w:rsidRPr="00BE6461">
              <w:rPr>
                <w:sz w:val="20"/>
                <w:szCs w:val="20"/>
              </w:rPr>
              <w:t xml:space="preserve">Tekuće donacije u novcu                                                                             </w:t>
            </w:r>
          </w:p>
        </w:tc>
        <w:tc>
          <w:tcPr>
            <w:tcW w:w="1503" w:type="dxa"/>
            <w:tcBorders>
              <w:top w:val="nil"/>
              <w:left w:val="nil"/>
              <w:bottom w:val="nil"/>
              <w:right w:val="nil"/>
            </w:tcBorders>
            <w:shd w:val="clear" w:color="auto" w:fill="auto"/>
            <w:noWrap/>
            <w:vAlign w:val="bottom"/>
            <w:hideMark/>
          </w:tcPr>
          <w:p w14:paraId="5038D41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F2D7237" w14:textId="77777777" w:rsidR="00BE6461" w:rsidRPr="00BE6461" w:rsidRDefault="00BE6461" w:rsidP="00BE6461">
            <w:pPr>
              <w:jc w:val="right"/>
              <w:rPr>
                <w:sz w:val="20"/>
                <w:szCs w:val="20"/>
              </w:rPr>
            </w:pPr>
            <w:r w:rsidRPr="00BE6461">
              <w:rPr>
                <w:sz w:val="20"/>
                <w:szCs w:val="20"/>
              </w:rPr>
              <w:t>5.000,00</w:t>
            </w:r>
          </w:p>
        </w:tc>
        <w:tc>
          <w:tcPr>
            <w:tcW w:w="1100" w:type="dxa"/>
            <w:tcBorders>
              <w:top w:val="nil"/>
              <w:left w:val="nil"/>
              <w:bottom w:val="nil"/>
              <w:right w:val="nil"/>
            </w:tcBorders>
            <w:shd w:val="clear" w:color="auto" w:fill="auto"/>
            <w:noWrap/>
            <w:vAlign w:val="bottom"/>
            <w:hideMark/>
          </w:tcPr>
          <w:p w14:paraId="7D83651E" w14:textId="77777777" w:rsidR="00BE6461" w:rsidRPr="00BE6461" w:rsidRDefault="00BE6461" w:rsidP="00BE6461">
            <w:pPr>
              <w:jc w:val="right"/>
              <w:rPr>
                <w:sz w:val="20"/>
                <w:szCs w:val="20"/>
              </w:rPr>
            </w:pPr>
          </w:p>
        </w:tc>
      </w:tr>
      <w:tr w:rsidR="00BE6461" w:rsidRPr="00BE6461" w14:paraId="369B394A" w14:textId="77777777" w:rsidTr="00BE6461">
        <w:trPr>
          <w:trHeight w:val="390"/>
        </w:trPr>
        <w:tc>
          <w:tcPr>
            <w:tcW w:w="1703" w:type="dxa"/>
            <w:tcBorders>
              <w:top w:val="single" w:sz="4" w:space="0" w:color="auto"/>
              <w:left w:val="nil"/>
              <w:bottom w:val="nil"/>
              <w:right w:val="nil"/>
            </w:tcBorders>
            <w:shd w:val="clear" w:color="auto" w:fill="auto"/>
            <w:noWrap/>
            <w:vAlign w:val="bottom"/>
            <w:hideMark/>
          </w:tcPr>
          <w:p w14:paraId="734318B4" w14:textId="77777777" w:rsidR="00BE6461" w:rsidRPr="00BE6461" w:rsidRDefault="00BE6461" w:rsidP="00BE6461">
            <w:pPr>
              <w:rPr>
                <w:b/>
                <w:bCs/>
                <w:sz w:val="20"/>
                <w:szCs w:val="20"/>
              </w:rPr>
            </w:pPr>
            <w:r w:rsidRPr="00BE6461">
              <w:rPr>
                <w:b/>
                <w:bCs/>
                <w:sz w:val="20"/>
                <w:szCs w:val="20"/>
              </w:rPr>
              <w:t>1010</w:t>
            </w:r>
          </w:p>
        </w:tc>
        <w:tc>
          <w:tcPr>
            <w:tcW w:w="8457" w:type="dxa"/>
            <w:tcBorders>
              <w:top w:val="single" w:sz="4" w:space="0" w:color="auto"/>
              <w:left w:val="nil"/>
              <w:bottom w:val="nil"/>
              <w:right w:val="nil"/>
            </w:tcBorders>
            <w:shd w:val="clear" w:color="auto" w:fill="auto"/>
            <w:vAlign w:val="bottom"/>
            <w:hideMark/>
          </w:tcPr>
          <w:p w14:paraId="7017B6E9" w14:textId="77777777" w:rsidR="00BE6461" w:rsidRPr="00BE6461" w:rsidRDefault="00BE6461" w:rsidP="00BE6461">
            <w:pPr>
              <w:rPr>
                <w:b/>
                <w:bCs/>
                <w:sz w:val="20"/>
                <w:szCs w:val="20"/>
              </w:rPr>
            </w:pPr>
            <w:r w:rsidRPr="00BE6461">
              <w:rPr>
                <w:b/>
                <w:bCs/>
                <w:sz w:val="20"/>
                <w:szCs w:val="20"/>
              </w:rPr>
              <w:t>Program: PROGRAM JAVNIH POTREBA U OBLASTI ZDRAVSTVA I SOCIJALNE SKRBI</w:t>
            </w:r>
          </w:p>
        </w:tc>
        <w:tc>
          <w:tcPr>
            <w:tcW w:w="1503" w:type="dxa"/>
            <w:tcBorders>
              <w:top w:val="single" w:sz="4" w:space="0" w:color="auto"/>
              <w:left w:val="nil"/>
              <w:bottom w:val="nil"/>
              <w:right w:val="nil"/>
            </w:tcBorders>
            <w:shd w:val="clear" w:color="auto" w:fill="auto"/>
            <w:noWrap/>
            <w:vAlign w:val="bottom"/>
            <w:hideMark/>
          </w:tcPr>
          <w:p w14:paraId="58D0FCDB" w14:textId="77777777" w:rsidR="00BE6461" w:rsidRPr="00BE6461" w:rsidRDefault="00BE6461" w:rsidP="00BE6461">
            <w:pPr>
              <w:jc w:val="right"/>
              <w:rPr>
                <w:b/>
                <w:bCs/>
                <w:sz w:val="20"/>
                <w:szCs w:val="20"/>
              </w:rPr>
            </w:pPr>
            <w:r w:rsidRPr="00BE6461">
              <w:rPr>
                <w:b/>
                <w:bCs/>
                <w:sz w:val="20"/>
                <w:szCs w:val="20"/>
              </w:rPr>
              <w:t>1.420.213,76</w:t>
            </w:r>
          </w:p>
        </w:tc>
        <w:tc>
          <w:tcPr>
            <w:tcW w:w="1500" w:type="dxa"/>
            <w:tcBorders>
              <w:top w:val="single" w:sz="4" w:space="0" w:color="auto"/>
              <w:left w:val="nil"/>
              <w:bottom w:val="nil"/>
              <w:right w:val="nil"/>
            </w:tcBorders>
            <w:shd w:val="clear" w:color="auto" w:fill="auto"/>
            <w:noWrap/>
            <w:vAlign w:val="bottom"/>
            <w:hideMark/>
          </w:tcPr>
          <w:p w14:paraId="64815345" w14:textId="77777777" w:rsidR="00BE6461" w:rsidRPr="00BE6461" w:rsidRDefault="00BE6461" w:rsidP="00BE6461">
            <w:pPr>
              <w:jc w:val="right"/>
              <w:rPr>
                <w:b/>
                <w:bCs/>
                <w:sz w:val="20"/>
                <w:szCs w:val="20"/>
              </w:rPr>
            </w:pPr>
            <w:r w:rsidRPr="00BE6461">
              <w:rPr>
                <w:b/>
                <w:bCs/>
                <w:sz w:val="20"/>
                <w:szCs w:val="20"/>
              </w:rPr>
              <w:t>1.167.303,99</w:t>
            </w:r>
          </w:p>
        </w:tc>
        <w:tc>
          <w:tcPr>
            <w:tcW w:w="1100" w:type="dxa"/>
            <w:tcBorders>
              <w:top w:val="single" w:sz="4" w:space="0" w:color="auto"/>
              <w:left w:val="nil"/>
              <w:bottom w:val="nil"/>
              <w:right w:val="nil"/>
            </w:tcBorders>
            <w:shd w:val="clear" w:color="auto" w:fill="auto"/>
            <w:noWrap/>
            <w:vAlign w:val="bottom"/>
            <w:hideMark/>
          </w:tcPr>
          <w:p w14:paraId="5064659E" w14:textId="77777777" w:rsidR="00BE6461" w:rsidRPr="00BE6461" w:rsidRDefault="00BE6461" w:rsidP="00BE6461">
            <w:pPr>
              <w:jc w:val="right"/>
              <w:rPr>
                <w:b/>
                <w:bCs/>
                <w:sz w:val="20"/>
                <w:szCs w:val="20"/>
              </w:rPr>
            </w:pPr>
            <w:r w:rsidRPr="00BE6461">
              <w:rPr>
                <w:b/>
                <w:bCs/>
                <w:sz w:val="20"/>
                <w:szCs w:val="20"/>
              </w:rPr>
              <w:t>82,19</w:t>
            </w:r>
          </w:p>
        </w:tc>
      </w:tr>
      <w:tr w:rsidR="00BE6461" w:rsidRPr="00BE6461" w14:paraId="1F135276"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7BF18C05" w14:textId="77777777" w:rsidR="00BE6461" w:rsidRPr="00BE6461" w:rsidRDefault="00BE6461" w:rsidP="00BE6461">
            <w:pPr>
              <w:rPr>
                <w:b/>
                <w:bCs/>
                <w:sz w:val="20"/>
                <w:szCs w:val="20"/>
              </w:rPr>
            </w:pPr>
            <w:r w:rsidRPr="00BE6461">
              <w:rPr>
                <w:b/>
                <w:bCs/>
                <w:sz w:val="20"/>
                <w:szCs w:val="20"/>
              </w:rPr>
              <w:t>A100035</w:t>
            </w:r>
          </w:p>
        </w:tc>
        <w:tc>
          <w:tcPr>
            <w:tcW w:w="8457" w:type="dxa"/>
            <w:tcBorders>
              <w:top w:val="single" w:sz="4" w:space="0" w:color="auto"/>
              <w:left w:val="nil"/>
              <w:bottom w:val="single" w:sz="4" w:space="0" w:color="auto"/>
              <w:right w:val="nil"/>
            </w:tcBorders>
            <w:shd w:val="clear" w:color="auto" w:fill="auto"/>
            <w:vAlign w:val="bottom"/>
            <w:hideMark/>
          </w:tcPr>
          <w:p w14:paraId="7C95883C" w14:textId="77777777" w:rsidR="00BE6461" w:rsidRPr="00BE6461" w:rsidRDefault="00BE6461" w:rsidP="00BE6461">
            <w:pPr>
              <w:rPr>
                <w:b/>
                <w:bCs/>
                <w:sz w:val="20"/>
                <w:szCs w:val="20"/>
              </w:rPr>
            </w:pPr>
            <w:r w:rsidRPr="00BE6461">
              <w:rPr>
                <w:b/>
                <w:bCs/>
                <w:sz w:val="20"/>
                <w:szCs w:val="20"/>
              </w:rPr>
              <w:t>Aktivnost: GRADSKO DRUŠTVO CRVENOG KRIŽA BUJE</w:t>
            </w:r>
          </w:p>
        </w:tc>
        <w:tc>
          <w:tcPr>
            <w:tcW w:w="1503" w:type="dxa"/>
            <w:tcBorders>
              <w:top w:val="single" w:sz="4" w:space="0" w:color="auto"/>
              <w:left w:val="nil"/>
              <w:bottom w:val="single" w:sz="4" w:space="0" w:color="auto"/>
              <w:right w:val="nil"/>
            </w:tcBorders>
            <w:shd w:val="clear" w:color="auto" w:fill="auto"/>
            <w:noWrap/>
            <w:vAlign w:val="bottom"/>
            <w:hideMark/>
          </w:tcPr>
          <w:p w14:paraId="0F985FB5" w14:textId="77777777" w:rsidR="00BE6461" w:rsidRPr="00BE6461" w:rsidRDefault="00BE6461" w:rsidP="00BE6461">
            <w:pPr>
              <w:jc w:val="right"/>
              <w:rPr>
                <w:b/>
                <w:bCs/>
                <w:sz w:val="20"/>
                <w:szCs w:val="20"/>
              </w:rPr>
            </w:pPr>
            <w:r w:rsidRPr="00BE6461">
              <w:rPr>
                <w:b/>
                <w:bCs/>
                <w:sz w:val="20"/>
                <w:szCs w:val="20"/>
              </w:rPr>
              <w:t>210.720,00</w:t>
            </w:r>
          </w:p>
        </w:tc>
        <w:tc>
          <w:tcPr>
            <w:tcW w:w="1500" w:type="dxa"/>
            <w:tcBorders>
              <w:top w:val="single" w:sz="4" w:space="0" w:color="auto"/>
              <w:left w:val="nil"/>
              <w:bottom w:val="single" w:sz="4" w:space="0" w:color="auto"/>
              <w:right w:val="nil"/>
            </w:tcBorders>
            <w:shd w:val="clear" w:color="auto" w:fill="auto"/>
            <w:noWrap/>
            <w:vAlign w:val="bottom"/>
            <w:hideMark/>
          </w:tcPr>
          <w:p w14:paraId="639C6A9C" w14:textId="77777777" w:rsidR="00BE6461" w:rsidRPr="00BE6461" w:rsidRDefault="00BE6461" w:rsidP="00BE6461">
            <w:pPr>
              <w:jc w:val="right"/>
              <w:rPr>
                <w:b/>
                <w:bCs/>
                <w:sz w:val="20"/>
                <w:szCs w:val="20"/>
              </w:rPr>
            </w:pPr>
            <w:r w:rsidRPr="00BE6461">
              <w:rPr>
                <w:b/>
                <w:bCs/>
                <w:sz w:val="20"/>
                <w:szCs w:val="20"/>
              </w:rPr>
              <w:t>210.719,00</w:t>
            </w:r>
          </w:p>
        </w:tc>
        <w:tc>
          <w:tcPr>
            <w:tcW w:w="1100" w:type="dxa"/>
            <w:tcBorders>
              <w:top w:val="single" w:sz="4" w:space="0" w:color="auto"/>
              <w:left w:val="nil"/>
              <w:bottom w:val="single" w:sz="4" w:space="0" w:color="auto"/>
              <w:right w:val="nil"/>
            </w:tcBorders>
            <w:shd w:val="clear" w:color="auto" w:fill="auto"/>
            <w:noWrap/>
            <w:vAlign w:val="bottom"/>
            <w:hideMark/>
          </w:tcPr>
          <w:p w14:paraId="02B2C3EF"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0A0B5E95"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34F39E8"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516D5D3C" w14:textId="77777777" w:rsidR="00BE6461" w:rsidRPr="00BE6461" w:rsidRDefault="00BE6461" w:rsidP="00BE6461">
            <w:pPr>
              <w:jc w:val="right"/>
              <w:rPr>
                <w:b/>
                <w:bCs/>
                <w:color w:val="333333"/>
                <w:sz w:val="20"/>
                <w:szCs w:val="20"/>
              </w:rPr>
            </w:pPr>
            <w:r w:rsidRPr="00BE6461">
              <w:rPr>
                <w:b/>
                <w:bCs/>
                <w:color w:val="333333"/>
                <w:sz w:val="20"/>
                <w:szCs w:val="20"/>
              </w:rPr>
              <w:t>210.720,00</w:t>
            </w:r>
          </w:p>
        </w:tc>
        <w:tc>
          <w:tcPr>
            <w:tcW w:w="1500" w:type="dxa"/>
            <w:tcBorders>
              <w:top w:val="nil"/>
              <w:left w:val="nil"/>
              <w:bottom w:val="nil"/>
              <w:right w:val="nil"/>
            </w:tcBorders>
            <w:shd w:val="clear" w:color="auto" w:fill="auto"/>
            <w:noWrap/>
            <w:vAlign w:val="bottom"/>
            <w:hideMark/>
          </w:tcPr>
          <w:p w14:paraId="6B9EAC79" w14:textId="77777777" w:rsidR="00BE6461" w:rsidRPr="00BE6461" w:rsidRDefault="00BE6461" w:rsidP="00BE6461">
            <w:pPr>
              <w:jc w:val="right"/>
              <w:rPr>
                <w:b/>
                <w:bCs/>
                <w:color w:val="333333"/>
                <w:sz w:val="20"/>
                <w:szCs w:val="20"/>
              </w:rPr>
            </w:pPr>
            <w:r w:rsidRPr="00BE6461">
              <w:rPr>
                <w:b/>
                <w:bCs/>
                <w:color w:val="333333"/>
                <w:sz w:val="20"/>
                <w:szCs w:val="20"/>
              </w:rPr>
              <w:t>210.719,00</w:t>
            </w:r>
          </w:p>
        </w:tc>
        <w:tc>
          <w:tcPr>
            <w:tcW w:w="1100" w:type="dxa"/>
            <w:tcBorders>
              <w:top w:val="nil"/>
              <w:left w:val="nil"/>
              <w:bottom w:val="nil"/>
              <w:right w:val="nil"/>
            </w:tcBorders>
            <w:shd w:val="clear" w:color="auto" w:fill="auto"/>
            <w:noWrap/>
            <w:vAlign w:val="bottom"/>
            <w:hideMark/>
          </w:tcPr>
          <w:p w14:paraId="414B8A74"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4FF8CB84"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13836D1"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149BF514" w14:textId="77777777" w:rsidR="00BE6461" w:rsidRPr="00BE6461" w:rsidRDefault="00BE6461" w:rsidP="00BE6461">
            <w:pPr>
              <w:jc w:val="right"/>
              <w:rPr>
                <w:b/>
                <w:bCs/>
                <w:color w:val="333333"/>
                <w:sz w:val="20"/>
                <w:szCs w:val="20"/>
              </w:rPr>
            </w:pPr>
            <w:r w:rsidRPr="00BE6461">
              <w:rPr>
                <w:b/>
                <w:bCs/>
                <w:color w:val="333333"/>
                <w:sz w:val="20"/>
                <w:szCs w:val="20"/>
              </w:rPr>
              <w:t>210.720,00</w:t>
            </w:r>
          </w:p>
        </w:tc>
        <w:tc>
          <w:tcPr>
            <w:tcW w:w="1500" w:type="dxa"/>
            <w:tcBorders>
              <w:top w:val="nil"/>
              <w:left w:val="nil"/>
              <w:bottom w:val="nil"/>
              <w:right w:val="nil"/>
            </w:tcBorders>
            <w:shd w:val="clear" w:color="auto" w:fill="auto"/>
            <w:noWrap/>
            <w:vAlign w:val="bottom"/>
            <w:hideMark/>
          </w:tcPr>
          <w:p w14:paraId="3E15AB33" w14:textId="77777777" w:rsidR="00BE6461" w:rsidRPr="00BE6461" w:rsidRDefault="00BE6461" w:rsidP="00BE6461">
            <w:pPr>
              <w:jc w:val="right"/>
              <w:rPr>
                <w:b/>
                <w:bCs/>
                <w:color w:val="333333"/>
                <w:sz w:val="20"/>
                <w:szCs w:val="20"/>
              </w:rPr>
            </w:pPr>
            <w:r w:rsidRPr="00BE6461">
              <w:rPr>
                <w:b/>
                <w:bCs/>
                <w:color w:val="333333"/>
                <w:sz w:val="20"/>
                <w:szCs w:val="20"/>
              </w:rPr>
              <w:t>210.719,00</w:t>
            </w:r>
          </w:p>
        </w:tc>
        <w:tc>
          <w:tcPr>
            <w:tcW w:w="1100" w:type="dxa"/>
            <w:tcBorders>
              <w:top w:val="nil"/>
              <w:left w:val="nil"/>
              <w:bottom w:val="nil"/>
              <w:right w:val="nil"/>
            </w:tcBorders>
            <w:shd w:val="clear" w:color="auto" w:fill="auto"/>
            <w:noWrap/>
            <w:vAlign w:val="bottom"/>
            <w:hideMark/>
          </w:tcPr>
          <w:p w14:paraId="6055A070"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6F0BA9D5" w14:textId="77777777" w:rsidTr="00BE6461">
        <w:trPr>
          <w:trHeight w:val="300"/>
        </w:trPr>
        <w:tc>
          <w:tcPr>
            <w:tcW w:w="1703" w:type="dxa"/>
            <w:tcBorders>
              <w:top w:val="nil"/>
              <w:left w:val="nil"/>
              <w:bottom w:val="nil"/>
              <w:right w:val="nil"/>
            </w:tcBorders>
            <w:shd w:val="clear" w:color="auto" w:fill="auto"/>
            <w:noWrap/>
            <w:vAlign w:val="bottom"/>
            <w:hideMark/>
          </w:tcPr>
          <w:p w14:paraId="16A47733" w14:textId="77777777" w:rsidR="00BE6461" w:rsidRPr="00BE6461" w:rsidRDefault="00BE6461" w:rsidP="00BE6461">
            <w:pPr>
              <w:rPr>
                <w:b/>
                <w:bCs/>
                <w:sz w:val="20"/>
                <w:szCs w:val="20"/>
              </w:rPr>
            </w:pPr>
            <w:r w:rsidRPr="00BE6461">
              <w:rPr>
                <w:b/>
                <w:bCs/>
                <w:sz w:val="20"/>
                <w:szCs w:val="20"/>
              </w:rPr>
              <w:t>381</w:t>
            </w:r>
          </w:p>
        </w:tc>
        <w:tc>
          <w:tcPr>
            <w:tcW w:w="8457" w:type="dxa"/>
            <w:tcBorders>
              <w:top w:val="nil"/>
              <w:left w:val="nil"/>
              <w:bottom w:val="nil"/>
              <w:right w:val="nil"/>
            </w:tcBorders>
            <w:shd w:val="clear" w:color="auto" w:fill="auto"/>
            <w:vAlign w:val="bottom"/>
            <w:hideMark/>
          </w:tcPr>
          <w:p w14:paraId="3E7D96C0" w14:textId="77777777" w:rsidR="00BE6461" w:rsidRPr="00BE6461" w:rsidRDefault="00BE6461" w:rsidP="00BE6461">
            <w:pPr>
              <w:rPr>
                <w:b/>
                <w:bCs/>
                <w:sz w:val="20"/>
                <w:szCs w:val="20"/>
              </w:rPr>
            </w:pPr>
            <w:r w:rsidRPr="00BE6461">
              <w:rPr>
                <w:b/>
                <w:bCs/>
                <w:sz w:val="20"/>
                <w:szCs w:val="20"/>
              </w:rPr>
              <w:t xml:space="preserve">Tekuće donacije                                                                                     </w:t>
            </w:r>
          </w:p>
        </w:tc>
        <w:tc>
          <w:tcPr>
            <w:tcW w:w="1503" w:type="dxa"/>
            <w:tcBorders>
              <w:top w:val="nil"/>
              <w:left w:val="nil"/>
              <w:bottom w:val="nil"/>
              <w:right w:val="nil"/>
            </w:tcBorders>
            <w:shd w:val="clear" w:color="auto" w:fill="auto"/>
            <w:noWrap/>
            <w:vAlign w:val="bottom"/>
            <w:hideMark/>
          </w:tcPr>
          <w:p w14:paraId="730D1891" w14:textId="77777777" w:rsidR="00BE6461" w:rsidRPr="00BE6461" w:rsidRDefault="00BE6461" w:rsidP="00BE6461">
            <w:pPr>
              <w:jc w:val="right"/>
              <w:rPr>
                <w:b/>
                <w:bCs/>
                <w:sz w:val="20"/>
                <w:szCs w:val="20"/>
              </w:rPr>
            </w:pPr>
            <w:r w:rsidRPr="00BE6461">
              <w:rPr>
                <w:b/>
                <w:bCs/>
                <w:sz w:val="20"/>
                <w:szCs w:val="20"/>
              </w:rPr>
              <w:t>210.720,00</w:t>
            </w:r>
          </w:p>
        </w:tc>
        <w:tc>
          <w:tcPr>
            <w:tcW w:w="1500" w:type="dxa"/>
            <w:tcBorders>
              <w:top w:val="nil"/>
              <w:left w:val="nil"/>
              <w:bottom w:val="nil"/>
              <w:right w:val="nil"/>
            </w:tcBorders>
            <w:shd w:val="clear" w:color="auto" w:fill="auto"/>
            <w:noWrap/>
            <w:vAlign w:val="bottom"/>
            <w:hideMark/>
          </w:tcPr>
          <w:p w14:paraId="58746431" w14:textId="77777777" w:rsidR="00BE6461" w:rsidRPr="00BE6461" w:rsidRDefault="00BE6461" w:rsidP="00BE6461">
            <w:pPr>
              <w:jc w:val="right"/>
              <w:rPr>
                <w:b/>
                <w:bCs/>
                <w:sz w:val="20"/>
                <w:szCs w:val="20"/>
              </w:rPr>
            </w:pPr>
            <w:r w:rsidRPr="00BE6461">
              <w:rPr>
                <w:b/>
                <w:bCs/>
                <w:sz w:val="20"/>
                <w:szCs w:val="20"/>
              </w:rPr>
              <w:t>210.719,00</w:t>
            </w:r>
          </w:p>
        </w:tc>
        <w:tc>
          <w:tcPr>
            <w:tcW w:w="1100" w:type="dxa"/>
            <w:tcBorders>
              <w:top w:val="nil"/>
              <w:left w:val="nil"/>
              <w:bottom w:val="nil"/>
              <w:right w:val="nil"/>
            </w:tcBorders>
            <w:shd w:val="clear" w:color="auto" w:fill="auto"/>
            <w:noWrap/>
            <w:vAlign w:val="bottom"/>
            <w:hideMark/>
          </w:tcPr>
          <w:p w14:paraId="04348CD6"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29FE6FD9" w14:textId="77777777" w:rsidTr="00BE6461">
        <w:trPr>
          <w:trHeight w:val="300"/>
        </w:trPr>
        <w:tc>
          <w:tcPr>
            <w:tcW w:w="1703" w:type="dxa"/>
            <w:tcBorders>
              <w:top w:val="nil"/>
              <w:left w:val="nil"/>
              <w:bottom w:val="nil"/>
              <w:right w:val="nil"/>
            </w:tcBorders>
            <w:shd w:val="clear" w:color="auto" w:fill="auto"/>
            <w:noWrap/>
            <w:vAlign w:val="bottom"/>
            <w:hideMark/>
          </w:tcPr>
          <w:p w14:paraId="2D7F4425" w14:textId="77777777" w:rsidR="00BE6461" w:rsidRPr="00BE6461" w:rsidRDefault="00BE6461" w:rsidP="00BE6461">
            <w:pPr>
              <w:rPr>
                <w:sz w:val="20"/>
                <w:szCs w:val="20"/>
              </w:rPr>
            </w:pPr>
            <w:r w:rsidRPr="00BE6461">
              <w:rPr>
                <w:sz w:val="20"/>
                <w:szCs w:val="20"/>
              </w:rPr>
              <w:t>3811</w:t>
            </w:r>
          </w:p>
        </w:tc>
        <w:tc>
          <w:tcPr>
            <w:tcW w:w="8457" w:type="dxa"/>
            <w:tcBorders>
              <w:top w:val="nil"/>
              <w:left w:val="nil"/>
              <w:bottom w:val="nil"/>
              <w:right w:val="nil"/>
            </w:tcBorders>
            <w:shd w:val="clear" w:color="auto" w:fill="auto"/>
            <w:vAlign w:val="bottom"/>
            <w:hideMark/>
          </w:tcPr>
          <w:p w14:paraId="06660B59" w14:textId="77777777" w:rsidR="00BE6461" w:rsidRPr="00BE6461" w:rsidRDefault="00BE6461" w:rsidP="00BE6461">
            <w:pPr>
              <w:rPr>
                <w:sz w:val="20"/>
                <w:szCs w:val="20"/>
              </w:rPr>
            </w:pPr>
            <w:r w:rsidRPr="00BE6461">
              <w:rPr>
                <w:sz w:val="20"/>
                <w:szCs w:val="20"/>
              </w:rPr>
              <w:t xml:space="preserve">Tekuće donacije u novcu                                                                             </w:t>
            </w:r>
          </w:p>
        </w:tc>
        <w:tc>
          <w:tcPr>
            <w:tcW w:w="1503" w:type="dxa"/>
            <w:tcBorders>
              <w:top w:val="nil"/>
              <w:left w:val="nil"/>
              <w:bottom w:val="nil"/>
              <w:right w:val="nil"/>
            </w:tcBorders>
            <w:shd w:val="clear" w:color="auto" w:fill="auto"/>
            <w:noWrap/>
            <w:vAlign w:val="bottom"/>
            <w:hideMark/>
          </w:tcPr>
          <w:p w14:paraId="13CE08E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2379EBD" w14:textId="77777777" w:rsidR="00BE6461" w:rsidRPr="00BE6461" w:rsidRDefault="00BE6461" w:rsidP="00BE6461">
            <w:pPr>
              <w:jc w:val="right"/>
              <w:rPr>
                <w:sz w:val="20"/>
                <w:szCs w:val="20"/>
              </w:rPr>
            </w:pPr>
            <w:r w:rsidRPr="00BE6461">
              <w:rPr>
                <w:sz w:val="20"/>
                <w:szCs w:val="20"/>
              </w:rPr>
              <w:t>210.719,00</w:t>
            </w:r>
          </w:p>
        </w:tc>
        <w:tc>
          <w:tcPr>
            <w:tcW w:w="1100" w:type="dxa"/>
            <w:tcBorders>
              <w:top w:val="nil"/>
              <w:left w:val="nil"/>
              <w:bottom w:val="nil"/>
              <w:right w:val="nil"/>
            </w:tcBorders>
            <w:shd w:val="clear" w:color="auto" w:fill="auto"/>
            <w:noWrap/>
            <w:vAlign w:val="bottom"/>
            <w:hideMark/>
          </w:tcPr>
          <w:p w14:paraId="0AD1B44C" w14:textId="77777777" w:rsidR="00BE6461" w:rsidRPr="00BE6461" w:rsidRDefault="00BE6461" w:rsidP="00BE6461">
            <w:pPr>
              <w:jc w:val="right"/>
              <w:rPr>
                <w:sz w:val="20"/>
                <w:szCs w:val="20"/>
              </w:rPr>
            </w:pPr>
          </w:p>
        </w:tc>
      </w:tr>
      <w:tr w:rsidR="00BE6461" w:rsidRPr="00BE6461" w14:paraId="65F45639"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2115A011" w14:textId="77777777" w:rsidR="00BE6461" w:rsidRPr="00BE6461" w:rsidRDefault="00BE6461" w:rsidP="00BE6461">
            <w:pPr>
              <w:rPr>
                <w:b/>
                <w:bCs/>
                <w:sz w:val="20"/>
                <w:szCs w:val="20"/>
              </w:rPr>
            </w:pPr>
            <w:r w:rsidRPr="00BE6461">
              <w:rPr>
                <w:b/>
                <w:bCs/>
                <w:sz w:val="20"/>
                <w:szCs w:val="20"/>
              </w:rPr>
              <w:t>A100036</w:t>
            </w:r>
          </w:p>
        </w:tc>
        <w:tc>
          <w:tcPr>
            <w:tcW w:w="8457" w:type="dxa"/>
            <w:tcBorders>
              <w:top w:val="single" w:sz="4" w:space="0" w:color="auto"/>
              <w:left w:val="nil"/>
              <w:bottom w:val="single" w:sz="4" w:space="0" w:color="auto"/>
              <w:right w:val="nil"/>
            </w:tcBorders>
            <w:shd w:val="clear" w:color="auto" w:fill="auto"/>
            <w:vAlign w:val="bottom"/>
            <w:hideMark/>
          </w:tcPr>
          <w:p w14:paraId="55AA638C" w14:textId="77777777" w:rsidR="00BE6461" w:rsidRPr="00BE6461" w:rsidRDefault="00BE6461" w:rsidP="00BE6461">
            <w:pPr>
              <w:rPr>
                <w:b/>
                <w:bCs/>
                <w:sz w:val="20"/>
                <w:szCs w:val="20"/>
              </w:rPr>
            </w:pPr>
            <w:r w:rsidRPr="00BE6461">
              <w:rPr>
                <w:b/>
                <w:bCs/>
                <w:sz w:val="20"/>
                <w:szCs w:val="20"/>
              </w:rPr>
              <w:t>Aktivnost: POMOĆI USTANOVAMA IZ OBLASTI SOCIJALNE SKRBI I ZDRAVSTVA</w:t>
            </w:r>
          </w:p>
        </w:tc>
        <w:tc>
          <w:tcPr>
            <w:tcW w:w="1503" w:type="dxa"/>
            <w:tcBorders>
              <w:top w:val="single" w:sz="4" w:space="0" w:color="auto"/>
              <w:left w:val="nil"/>
              <w:bottom w:val="single" w:sz="4" w:space="0" w:color="auto"/>
              <w:right w:val="nil"/>
            </w:tcBorders>
            <w:shd w:val="clear" w:color="auto" w:fill="auto"/>
            <w:noWrap/>
            <w:vAlign w:val="bottom"/>
            <w:hideMark/>
          </w:tcPr>
          <w:p w14:paraId="04B9D49E" w14:textId="77777777" w:rsidR="00BE6461" w:rsidRPr="00BE6461" w:rsidRDefault="00BE6461" w:rsidP="00BE6461">
            <w:pPr>
              <w:jc w:val="right"/>
              <w:rPr>
                <w:b/>
                <w:bCs/>
                <w:sz w:val="20"/>
                <w:szCs w:val="20"/>
              </w:rPr>
            </w:pPr>
            <w:r w:rsidRPr="00BE6461">
              <w:rPr>
                <w:b/>
                <w:bCs/>
                <w:sz w:val="20"/>
                <w:szCs w:val="20"/>
              </w:rPr>
              <w:t>346.018,00</w:t>
            </w:r>
          </w:p>
        </w:tc>
        <w:tc>
          <w:tcPr>
            <w:tcW w:w="1500" w:type="dxa"/>
            <w:tcBorders>
              <w:top w:val="single" w:sz="4" w:space="0" w:color="auto"/>
              <w:left w:val="nil"/>
              <w:bottom w:val="single" w:sz="4" w:space="0" w:color="auto"/>
              <w:right w:val="nil"/>
            </w:tcBorders>
            <w:shd w:val="clear" w:color="auto" w:fill="auto"/>
            <w:noWrap/>
            <w:vAlign w:val="bottom"/>
            <w:hideMark/>
          </w:tcPr>
          <w:p w14:paraId="681E744F" w14:textId="77777777" w:rsidR="00BE6461" w:rsidRPr="00BE6461" w:rsidRDefault="00BE6461" w:rsidP="00BE6461">
            <w:pPr>
              <w:jc w:val="right"/>
              <w:rPr>
                <w:b/>
                <w:bCs/>
                <w:sz w:val="20"/>
                <w:szCs w:val="20"/>
              </w:rPr>
            </w:pPr>
            <w:r w:rsidRPr="00BE6461">
              <w:rPr>
                <w:b/>
                <w:bCs/>
                <w:sz w:val="20"/>
                <w:szCs w:val="20"/>
              </w:rPr>
              <w:t>242.475,29</w:t>
            </w:r>
          </w:p>
        </w:tc>
        <w:tc>
          <w:tcPr>
            <w:tcW w:w="1100" w:type="dxa"/>
            <w:tcBorders>
              <w:top w:val="single" w:sz="4" w:space="0" w:color="auto"/>
              <w:left w:val="nil"/>
              <w:bottom w:val="single" w:sz="4" w:space="0" w:color="auto"/>
              <w:right w:val="nil"/>
            </w:tcBorders>
            <w:shd w:val="clear" w:color="auto" w:fill="auto"/>
            <w:noWrap/>
            <w:vAlign w:val="bottom"/>
            <w:hideMark/>
          </w:tcPr>
          <w:p w14:paraId="7360DC67" w14:textId="77777777" w:rsidR="00BE6461" w:rsidRPr="00BE6461" w:rsidRDefault="00BE6461" w:rsidP="00BE6461">
            <w:pPr>
              <w:jc w:val="right"/>
              <w:rPr>
                <w:b/>
                <w:bCs/>
                <w:sz w:val="20"/>
                <w:szCs w:val="20"/>
              </w:rPr>
            </w:pPr>
            <w:r w:rsidRPr="00BE6461">
              <w:rPr>
                <w:b/>
                <w:bCs/>
                <w:sz w:val="20"/>
                <w:szCs w:val="20"/>
              </w:rPr>
              <w:t>70,08</w:t>
            </w:r>
          </w:p>
        </w:tc>
      </w:tr>
      <w:tr w:rsidR="00BE6461" w:rsidRPr="00BE6461" w14:paraId="02CD9150"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99CBDD1" w14:textId="77777777" w:rsidR="00BE6461" w:rsidRPr="00BE6461" w:rsidRDefault="00BE6461" w:rsidP="00BE6461">
            <w:pPr>
              <w:rPr>
                <w:b/>
                <w:bCs/>
                <w:color w:val="333333"/>
                <w:sz w:val="20"/>
                <w:szCs w:val="20"/>
              </w:rPr>
            </w:pPr>
            <w:r w:rsidRPr="00BE6461">
              <w:rPr>
                <w:b/>
                <w:bCs/>
                <w:color w:val="333333"/>
                <w:sz w:val="20"/>
                <w:szCs w:val="20"/>
              </w:rPr>
              <w:lastRenderedPageBreak/>
              <w:t>Izvor 1. OPĆI PRIHODI I PRIMICI</w:t>
            </w:r>
          </w:p>
        </w:tc>
        <w:tc>
          <w:tcPr>
            <w:tcW w:w="1503" w:type="dxa"/>
            <w:tcBorders>
              <w:top w:val="nil"/>
              <w:left w:val="nil"/>
              <w:bottom w:val="nil"/>
              <w:right w:val="nil"/>
            </w:tcBorders>
            <w:shd w:val="clear" w:color="auto" w:fill="auto"/>
            <w:noWrap/>
            <w:vAlign w:val="bottom"/>
            <w:hideMark/>
          </w:tcPr>
          <w:p w14:paraId="3D2AF775" w14:textId="77777777" w:rsidR="00BE6461" w:rsidRPr="00BE6461" w:rsidRDefault="00BE6461" w:rsidP="00BE6461">
            <w:pPr>
              <w:jc w:val="right"/>
              <w:rPr>
                <w:b/>
                <w:bCs/>
                <w:color w:val="333333"/>
                <w:sz w:val="20"/>
                <w:szCs w:val="20"/>
              </w:rPr>
            </w:pPr>
            <w:r w:rsidRPr="00BE6461">
              <w:rPr>
                <w:b/>
                <w:bCs/>
                <w:color w:val="333333"/>
                <w:sz w:val="20"/>
                <w:szCs w:val="20"/>
              </w:rPr>
              <w:t>346.018,00</w:t>
            </w:r>
          </w:p>
        </w:tc>
        <w:tc>
          <w:tcPr>
            <w:tcW w:w="1500" w:type="dxa"/>
            <w:tcBorders>
              <w:top w:val="nil"/>
              <w:left w:val="nil"/>
              <w:bottom w:val="nil"/>
              <w:right w:val="nil"/>
            </w:tcBorders>
            <w:shd w:val="clear" w:color="auto" w:fill="auto"/>
            <w:noWrap/>
            <w:vAlign w:val="bottom"/>
            <w:hideMark/>
          </w:tcPr>
          <w:p w14:paraId="34641900" w14:textId="77777777" w:rsidR="00BE6461" w:rsidRPr="00BE6461" w:rsidRDefault="00BE6461" w:rsidP="00BE6461">
            <w:pPr>
              <w:jc w:val="right"/>
              <w:rPr>
                <w:b/>
                <w:bCs/>
                <w:color w:val="333333"/>
                <w:sz w:val="20"/>
                <w:szCs w:val="20"/>
              </w:rPr>
            </w:pPr>
            <w:r w:rsidRPr="00BE6461">
              <w:rPr>
                <w:b/>
                <w:bCs/>
                <w:color w:val="333333"/>
                <w:sz w:val="20"/>
                <w:szCs w:val="20"/>
              </w:rPr>
              <w:t>242.475,29</w:t>
            </w:r>
          </w:p>
        </w:tc>
        <w:tc>
          <w:tcPr>
            <w:tcW w:w="1100" w:type="dxa"/>
            <w:tcBorders>
              <w:top w:val="nil"/>
              <w:left w:val="nil"/>
              <w:bottom w:val="nil"/>
              <w:right w:val="nil"/>
            </w:tcBorders>
            <w:shd w:val="clear" w:color="auto" w:fill="auto"/>
            <w:noWrap/>
            <w:vAlign w:val="bottom"/>
            <w:hideMark/>
          </w:tcPr>
          <w:p w14:paraId="7F1FD223" w14:textId="77777777" w:rsidR="00BE6461" w:rsidRPr="00BE6461" w:rsidRDefault="00BE6461" w:rsidP="00BE6461">
            <w:pPr>
              <w:jc w:val="right"/>
              <w:rPr>
                <w:b/>
                <w:bCs/>
                <w:color w:val="333333"/>
                <w:sz w:val="20"/>
                <w:szCs w:val="20"/>
              </w:rPr>
            </w:pPr>
            <w:r w:rsidRPr="00BE6461">
              <w:rPr>
                <w:b/>
                <w:bCs/>
                <w:color w:val="333333"/>
                <w:sz w:val="20"/>
                <w:szCs w:val="20"/>
              </w:rPr>
              <w:t>70,08</w:t>
            </w:r>
          </w:p>
        </w:tc>
      </w:tr>
      <w:tr w:rsidR="00BE6461" w:rsidRPr="00BE6461" w14:paraId="12B963E4"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34C62A3"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4470C003" w14:textId="77777777" w:rsidR="00BE6461" w:rsidRPr="00BE6461" w:rsidRDefault="00BE6461" w:rsidP="00BE6461">
            <w:pPr>
              <w:jc w:val="right"/>
              <w:rPr>
                <w:b/>
                <w:bCs/>
                <w:color w:val="333333"/>
                <w:sz w:val="20"/>
                <w:szCs w:val="20"/>
              </w:rPr>
            </w:pPr>
            <w:r w:rsidRPr="00BE6461">
              <w:rPr>
                <w:b/>
                <w:bCs/>
                <w:color w:val="333333"/>
                <w:sz w:val="20"/>
                <w:szCs w:val="20"/>
              </w:rPr>
              <w:t>346.018,00</w:t>
            </w:r>
          </w:p>
        </w:tc>
        <w:tc>
          <w:tcPr>
            <w:tcW w:w="1500" w:type="dxa"/>
            <w:tcBorders>
              <w:top w:val="nil"/>
              <w:left w:val="nil"/>
              <w:bottom w:val="nil"/>
              <w:right w:val="nil"/>
            </w:tcBorders>
            <w:shd w:val="clear" w:color="auto" w:fill="auto"/>
            <w:noWrap/>
            <w:vAlign w:val="bottom"/>
            <w:hideMark/>
          </w:tcPr>
          <w:p w14:paraId="348317CB" w14:textId="77777777" w:rsidR="00BE6461" w:rsidRPr="00BE6461" w:rsidRDefault="00BE6461" w:rsidP="00BE6461">
            <w:pPr>
              <w:jc w:val="right"/>
              <w:rPr>
                <w:b/>
                <w:bCs/>
                <w:color w:val="333333"/>
                <w:sz w:val="20"/>
                <w:szCs w:val="20"/>
              </w:rPr>
            </w:pPr>
            <w:r w:rsidRPr="00BE6461">
              <w:rPr>
                <w:b/>
                <w:bCs/>
                <w:color w:val="333333"/>
                <w:sz w:val="20"/>
                <w:szCs w:val="20"/>
              </w:rPr>
              <w:t>242.475,29</w:t>
            </w:r>
          </w:p>
        </w:tc>
        <w:tc>
          <w:tcPr>
            <w:tcW w:w="1100" w:type="dxa"/>
            <w:tcBorders>
              <w:top w:val="nil"/>
              <w:left w:val="nil"/>
              <w:bottom w:val="nil"/>
              <w:right w:val="nil"/>
            </w:tcBorders>
            <w:shd w:val="clear" w:color="auto" w:fill="auto"/>
            <w:noWrap/>
            <w:vAlign w:val="bottom"/>
            <w:hideMark/>
          </w:tcPr>
          <w:p w14:paraId="2434A562" w14:textId="77777777" w:rsidR="00BE6461" w:rsidRPr="00BE6461" w:rsidRDefault="00BE6461" w:rsidP="00BE6461">
            <w:pPr>
              <w:jc w:val="right"/>
              <w:rPr>
                <w:b/>
                <w:bCs/>
                <w:color w:val="333333"/>
                <w:sz w:val="20"/>
                <w:szCs w:val="20"/>
              </w:rPr>
            </w:pPr>
            <w:r w:rsidRPr="00BE6461">
              <w:rPr>
                <w:b/>
                <w:bCs/>
                <w:color w:val="333333"/>
                <w:sz w:val="20"/>
                <w:szCs w:val="20"/>
              </w:rPr>
              <w:t>70,08</w:t>
            </w:r>
          </w:p>
        </w:tc>
      </w:tr>
      <w:tr w:rsidR="00BE6461" w:rsidRPr="00BE6461" w14:paraId="24C09E88" w14:textId="77777777" w:rsidTr="00BE6461">
        <w:trPr>
          <w:trHeight w:val="300"/>
        </w:trPr>
        <w:tc>
          <w:tcPr>
            <w:tcW w:w="1703" w:type="dxa"/>
            <w:tcBorders>
              <w:top w:val="nil"/>
              <w:left w:val="nil"/>
              <w:bottom w:val="nil"/>
              <w:right w:val="nil"/>
            </w:tcBorders>
            <w:shd w:val="clear" w:color="auto" w:fill="auto"/>
            <w:noWrap/>
            <w:vAlign w:val="bottom"/>
            <w:hideMark/>
          </w:tcPr>
          <w:p w14:paraId="6D39D9A6" w14:textId="77777777" w:rsidR="00BE6461" w:rsidRPr="00BE6461" w:rsidRDefault="00BE6461" w:rsidP="00BE6461">
            <w:pPr>
              <w:rPr>
                <w:b/>
                <w:bCs/>
                <w:sz w:val="20"/>
                <w:szCs w:val="20"/>
              </w:rPr>
            </w:pPr>
            <w:r w:rsidRPr="00BE6461">
              <w:rPr>
                <w:b/>
                <w:bCs/>
                <w:sz w:val="20"/>
                <w:szCs w:val="20"/>
              </w:rPr>
              <w:t>366</w:t>
            </w:r>
          </w:p>
        </w:tc>
        <w:tc>
          <w:tcPr>
            <w:tcW w:w="8457" w:type="dxa"/>
            <w:tcBorders>
              <w:top w:val="nil"/>
              <w:left w:val="nil"/>
              <w:bottom w:val="nil"/>
              <w:right w:val="nil"/>
            </w:tcBorders>
            <w:shd w:val="clear" w:color="auto" w:fill="auto"/>
            <w:vAlign w:val="bottom"/>
            <w:hideMark/>
          </w:tcPr>
          <w:p w14:paraId="5F5F9B81" w14:textId="77777777" w:rsidR="00BE6461" w:rsidRPr="00BE6461" w:rsidRDefault="00BE6461" w:rsidP="00BE6461">
            <w:pPr>
              <w:rPr>
                <w:b/>
                <w:bCs/>
                <w:sz w:val="20"/>
                <w:szCs w:val="20"/>
              </w:rPr>
            </w:pPr>
            <w:r w:rsidRPr="00BE6461">
              <w:rPr>
                <w:b/>
                <w:bCs/>
                <w:sz w:val="20"/>
                <w:szCs w:val="20"/>
              </w:rPr>
              <w:t>Pomoći proračunskim korisnicima drugih proračuna</w:t>
            </w:r>
          </w:p>
        </w:tc>
        <w:tc>
          <w:tcPr>
            <w:tcW w:w="1503" w:type="dxa"/>
            <w:tcBorders>
              <w:top w:val="nil"/>
              <w:left w:val="nil"/>
              <w:bottom w:val="nil"/>
              <w:right w:val="nil"/>
            </w:tcBorders>
            <w:shd w:val="clear" w:color="auto" w:fill="auto"/>
            <w:noWrap/>
            <w:vAlign w:val="bottom"/>
            <w:hideMark/>
          </w:tcPr>
          <w:p w14:paraId="71DD9AC6" w14:textId="77777777" w:rsidR="00BE6461" w:rsidRPr="00BE6461" w:rsidRDefault="00BE6461" w:rsidP="00BE6461">
            <w:pPr>
              <w:jc w:val="right"/>
              <w:rPr>
                <w:b/>
                <w:bCs/>
                <w:sz w:val="20"/>
                <w:szCs w:val="20"/>
              </w:rPr>
            </w:pPr>
            <w:r w:rsidRPr="00BE6461">
              <w:rPr>
                <w:b/>
                <w:bCs/>
                <w:sz w:val="20"/>
                <w:szCs w:val="20"/>
              </w:rPr>
              <w:t>278.018,00</w:t>
            </w:r>
          </w:p>
        </w:tc>
        <w:tc>
          <w:tcPr>
            <w:tcW w:w="1500" w:type="dxa"/>
            <w:tcBorders>
              <w:top w:val="nil"/>
              <w:left w:val="nil"/>
              <w:bottom w:val="nil"/>
              <w:right w:val="nil"/>
            </w:tcBorders>
            <w:shd w:val="clear" w:color="auto" w:fill="auto"/>
            <w:noWrap/>
            <w:vAlign w:val="bottom"/>
            <w:hideMark/>
          </w:tcPr>
          <w:p w14:paraId="5D8781E2" w14:textId="77777777" w:rsidR="00BE6461" w:rsidRPr="00BE6461" w:rsidRDefault="00BE6461" w:rsidP="00BE6461">
            <w:pPr>
              <w:jc w:val="right"/>
              <w:rPr>
                <w:b/>
                <w:bCs/>
                <w:sz w:val="20"/>
                <w:szCs w:val="20"/>
              </w:rPr>
            </w:pPr>
            <w:r w:rsidRPr="00BE6461">
              <w:rPr>
                <w:b/>
                <w:bCs/>
                <w:sz w:val="20"/>
                <w:szCs w:val="20"/>
              </w:rPr>
              <w:t>176.018,00</w:t>
            </w:r>
          </w:p>
        </w:tc>
        <w:tc>
          <w:tcPr>
            <w:tcW w:w="1100" w:type="dxa"/>
            <w:tcBorders>
              <w:top w:val="nil"/>
              <w:left w:val="nil"/>
              <w:bottom w:val="nil"/>
              <w:right w:val="nil"/>
            </w:tcBorders>
            <w:shd w:val="clear" w:color="auto" w:fill="auto"/>
            <w:noWrap/>
            <w:vAlign w:val="bottom"/>
            <w:hideMark/>
          </w:tcPr>
          <w:p w14:paraId="328EA0EE" w14:textId="77777777" w:rsidR="00BE6461" w:rsidRPr="00BE6461" w:rsidRDefault="00BE6461" w:rsidP="00BE6461">
            <w:pPr>
              <w:jc w:val="right"/>
              <w:rPr>
                <w:b/>
                <w:bCs/>
                <w:sz w:val="20"/>
                <w:szCs w:val="20"/>
              </w:rPr>
            </w:pPr>
            <w:r w:rsidRPr="00BE6461">
              <w:rPr>
                <w:b/>
                <w:bCs/>
                <w:sz w:val="20"/>
                <w:szCs w:val="20"/>
              </w:rPr>
              <w:t>63,31</w:t>
            </w:r>
          </w:p>
        </w:tc>
      </w:tr>
      <w:tr w:rsidR="00BE6461" w:rsidRPr="00BE6461" w14:paraId="7AE4D7DE" w14:textId="77777777" w:rsidTr="00BE6461">
        <w:trPr>
          <w:trHeight w:val="300"/>
        </w:trPr>
        <w:tc>
          <w:tcPr>
            <w:tcW w:w="1703" w:type="dxa"/>
            <w:tcBorders>
              <w:top w:val="nil"/>
              <w:left w:val="nil"/>
              <w:bottom w:val="nil"/>
              <w:right w:val="nil"/>
            </w:tcBorders>
            <w:shd w:val="clear" w:color="auto" w:fill="auto"/>
            <w:noWrap/>
            <w:vAlign w:val="bottom"/>
            <w:hideMark/>
          </w:tcPr>
          <w:p w14:paraId="0C8E999B" w14:textId="77777777" w:rsidR="00BE6461" w:rsidRPr="00BE6461" w:rsidRDefault="00BE6461" w:rsidP="00BE6461">
            <w:pPr>
              <w:rPr>
                <w:sz w:val="20"/>
                <w:szCs w:val="20"/>
              </w:rPr>
            </w:pPr>
            <w:r w:rsidRPr="00BE6461">
              <w:rPr>
                <w:sz w:val="20"/>
                <w:szCs w:val="20"/>
              </w:rPr>
              <w:t>3661</w:t>
            </w:r>
          </w:p>
        </w:tc>
        <w:tc>
          <w:tcPr>
            <w:tcW w:w="8457" w:type="dxa"/>
            <w:tcBorders>
              <w:top w:val="nil"/>
              <w:left w:val="nil"/>
              <w:bottom w:val="nil"/>
              <w:right w:val="nil"/>
            </w:tcBorders>
            <w:shd w:val="clear" w:color="auto" w:fill="auto"/>
            <w:vAlign w:val="bottom"/>
            <w:hideMark/>
          </w:tcPr>
          <w:p w14:paraId="55A78CC0" w14:textId="77777777" w:rsidR="00BE6461" w:rsidRPr="00BE6461" w:rsidRDefault="00BE6461" w:rsidP="00BE6461">
            <w:pPr>
              <w:rPr>
                <w:sz w:val="20"/>
                <w:szCs w:val="20"/>
              </w:rPr>
            </w:pPr>
            <w:r w:rsidRPr="00BE6461">
              <w:rPr>
                <w:sz w:val="20"/>
                <w:szCs w:val="20"/>
              </w:rPr>
              <w:t>Tekuće pomoći proračunskim korisnicima drugih proračuna</w:t>
            </w:r>
          </w:p>
        </w:tc>
        <w:tc>
          <w:tcPr>
            <w:tcW w:w="1503" w:type="dxa"/>
            <w:tcBorders>
              <w:top w:val="nil"/>
              <w:left w:val="nil"/>
              <w:bottom w:val="nil"/>
              <w:right w:val="nil"/>
            </w:tcBorders>
            <w:shd w:val="clear" w:color="auto" w:fill="auto"/>
            <w:noWrap/>
            <w:vAlign w:val="bottom"/>
            <w:hideMark/>
          </w:tcPr>
          <w:p w14:paraId="17CF797E"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D74A527" w14:textId="77777777" w:rsidR="00BE6461" w:rsidRPr="00BE6461" w:rsidRDefault="00BE6461" w:rsidP="00BE6461">
            <w:pPr>
              <w:jc w:val="right"/>
              <w:rPr>
                <w:sz w:val="20"/>
                <w:szCs w:val="20"/>
              </w:rPr>
            </w:pPr>
            <w:r w:rsidRPr="00BE6461">
              <w:rPr>
                <w:sz w:val="20"/>
                <w:szCs w:val="20"/>
              </w:rPr>
              <w:t>176.018,00</w:t>
            </w:r>
          </w:p>
        </w:tc>
        <w:tc>
          <w:tcPr>
            <w:tcW w:w="1100" w:type="dxa"/>
            <w:tcBorders>
              <w:top w:val="nil"/>
              <w:left w:val="nil"/>
              <w:bottom w:val="nil"/>
              <w:right w:val="nil"/>
            </w:tcBorders>
            <w:shd w:val="clear" w:color="auto" w:fill="auto"/>
            <w:noWrap/>
            <w:vAlign w:val="bottom"/>
            <w:hideMark/>
          </w:tcPr>
          <w:p w14:paraId="4EF07C7E" w14:textId="77777777" w:rsidR="00BE6461" w:rsidRPr="00BE6461" w:rsidRDefault="00BE6461" w:rsidP="00BE6461">
            <w:pPr>
              <w:jc w:val="right"/>
              <w:rPr>
                <w:sz w:val="20"/>
                <w:szCs w:val="20"/>
              </w:rPr>
            </w:pPr>
          </w:p>
        </w:tc>
      </w:tr>
      <w:tr w:rsidR="00BE6461" w:rsidRPr="00BE6461" w14:paraId="3A22CF77" w14:textId="77777777" w:rsidTr="00BE6461">
        <w:trPr>
          <w:trHeight w:val="300"/>
        </w:trPr>
        <w:tc>
          <w:tcPr>
            <w:tcW w:w="1703" w:type="dxa"/>
            <w:tcBorders>
              <w:top w:val="nil"/>
              <w:left w:val="nil"/>
              <w:bottom w:val="nil"/>
              <w:right w:val="nil"/>
            </w:tcBorders>
            <w:shd w:val="clear" w:color="auto" w:fill="auto"/>
            <w:noWrap/>
            <w:vAlign w:val="bottom"/>
            <w:hideMark/>
          </w:tcPr>
          <w:p w14:paraId="383A67A5" w14:textId="77777777" w:rsidR="00BE6461" w:rsidRPr="00BE6461" w:rsidRDefault="00BE6461" w:rsidP="00BE6461">
            <w:pPr>
              <w:rPr>
                <w:b/>
                <w:bCs/>
                <w:sz w:val="20"/>
                <w:szCs w:val="20"/>
              </w:rPr>
            </w:pPr>
            <w:r w:rsidRPr="00BE6461">
              <w:rPr>
                <w:b/>
                <w:bCs/>
                <w:sz w:val="20"/>
                <w:szCs w:val="20"/>
              </w:rPr>
              <w:t>381</w:t>
            </w:r>
          </w:p>
        </w:tc>
        <w:tc>
          <w:tcPr>
            <w:tcW w:w="8457" w:type="dxa"/>
            <w:tcBorders>
              <w:top w:val="nil"/>
              <w:left w:val="nil"/>
              <w:bottom w:val="nil"/>
              <w:right w:val="nil"/>
            </w:tcBorders>
            <w:shd w:val="clear" w:color="auto" w:fill="auto"/>
            <w:vAlign w:val="bottom"/>
            <w:hideMark/>
          </w:tcPr>
          <w:p w14:paraId="33A6F27E" w14:textId="77777777" w:rsidR="00BE6461" w:rsidRPr="00BE6461" w:rsidRDefault="00BE6461" w:rsidP="00BE6461">
            <w:pPr>
              <w:rPr>
                <w:b/>
                <w:bCs/>
                <w:sz w:val="20"/>
                <w:szCs w:val="20"/>
              </w:rPr>
            </w:pPr>
            <w:r w:rsidRPr="00BE6461">
              <w:rPr>
                <w:b/>
                <w:bCs/>
                <w:sz w:val="20"/>
                <w:szCs w:val="20"/>
              </w:rPr>
              <w:t xml:space="preserve">Tekuće donacije                                                                                     </w:t>
            </w:r>
          </w:p>
        </w:tc>
        <w:tc>
          <w:tcPr>
            <w:tcW w:w="1503" w:type="dxa"/>
            <w:tcBorders>
              <w:top w:val="nil"/>
              <w:left w:val="nil"/>
              <w:bottom w:val="nil"/>
              <w:right w:val="nil"/>
            </w:tcBorders>
            <w:shd w:val="clear" w:color="auto" w:fill="auto"/>
            <w:noWrap/>
            <w:vAlign w:val="bottom"/>
            <w:hideMark/>
          </w:tcPr>
          <w:p w14:paraId="26B1A58A" w14:textId="77777777" w:rsidR="00BE6461" w:rsidRPr="00BE6461" w:rsidRDefault="00BE6461" w:rsidP="00BE6461">
            <w:pPr>
              <w:jc w:val="right"/>
              <w:rPr>
                <w:b/>
                <w:bCs/>
                <w:sz w:val="20"/>
                <w:szCs w:val="20"/>
              </w:rPr>
            </w:pPr>
            <w:r w:rsidRPr="00BE6461">
              <w:rPr>
                <w:b/>
                <w:bCs/>
                <w:sz w:val="20"/>
                <w:szCs w:val="20"/>
              </w:rPr>
              <w:t>68.000,00</w:t>
            </w:r>
          </w:p>
        </w:tc>
        <w:tc>
          <w:tcPr>
            <w:tcW w:w="1500" w:type="dxa"/>
            <w:tcBorders>
              <w:top w:val="nil"/>
              <w:left w:val="nil"/>
              <w:bottom w:val="nil"/>
              <w:right w:val="nil"/>
            </w:tcBorders>
            <w:shd w:val="clear" w:color="auto" w:fill="auto"/>
            <w:noWrap/>
            <w:vAlign w:val="bottom"/>
            <w:hideMark/>
          </w:tcPr>
          <w:p w14:paraId="082869D7" w14:textId="77777777" w:rsidR="00BE6461" w:rsidRPr="00BE6461" w:rsidRDefault="00BE6461" w:rsidP="00BE6461">
            <w:pPr>
              <w:jc w:val="right"/>
              <w:rPr>
                <w:b/>
                <w:bCs/>
                <w:sz w:val="20"/>
                <w:szCs w:val="20"/>
              </w:rPr>
            </w:pPr>
            <w:r w:rsidRPr="00BE6461">
              <w:rPr>
                <w:b/>
                <w:bCs/>
                <w:sz w:val="20"/>
                <w:szCs w:val="20"/>
              </w:rPr>
              <w:t>66.457,29</w:t>
            </w:r>
          </w:p>
        </w:tc>
        <w:tc>
          <w:tcPr>
            <w:tcW w:w="1100" w:type="dxa"/>
            <w:tcBorders>
              <w:top w:val="nil"/>
              <w:left w:val="nil"/>
              <w:bottom w:val="nil"/>
              <w:right w:val="nil"/>
            </w:tcBorders>
            <w:shd w:val="clear" w:color="auto" w:fill="auto"/>
            <w:noWrap/>
            <w:vAlign w:val="bottom"/>
            <w:hideMark/>
          </w:tcPr>
          <w:p w14:paraId="11711442" w14:textId="77777777" w:rsidR="00BE6461" w:rsidRPr="00BE6461" w:rsidRDefault="00BE6461" w:rsidP="00BE6461">
            <w:pPr>
              <w:jc w:val="right"/>
              <w:rPr>
                <w:b/>
                <w:bCs/>
                <w:sz w:val="20"/>
                <w:szCs w:val="20"/>
              </w:rPr>
            </w:pPr>
            <w:r w:rsidRPr="00BE6461">
              <w:rPr>
                <w:b/>
                <w:bCs/>
                <w:sz w:val="20"/>
                <w:szCs w:val="20"/>
              </w:rPr>
              <w:t>97,73</w:t>
            </w:r>
          </w:p>
        </w:tc>
      </w:tr>
      <w:tr w:rsidR="00BE6461" w:rsidRPr="00BE6461" w14:paraId="31D77DBC" w14:textId="77777777" w:rsidTr="00BE6461">
        <w:trPr>
          <w:trHeight w:val="300"/>
        </w:trPr>
        <w:tc>
          <w:tcPr>
            <w:tcW w:w="1703" w:type="dxa"/>
            <w:tcBorders>
              <w:top w:val="nil"/>
              <w:left w:val="nil"/>
              <w:bottom w:val="nil"/>
              <w:right w:val="nil"/>
            </w:tcBorders>
            <w:shd w:val="clear" w:color="auto" w:fill="auto"/>
            <w:noWrap/>
            <w:vAlign w:val="bottom"/>
            <w:hideMark/>
          </w:tcPr>
          <w:p w14:paraId="647DD781" w14:textId="77777777" w:rsidR="00BE6461" w:rsidRPr="00BE6461" w:rsidRDefault="00BE6461" w:rsidP="00BE6461">
            <w:pPr>
              <w:rPr>
                <w:sz w:val="20"/>
                <w:szCs w:val="20"/>
              </w:rPr>
            </w:pPr>
            <w:r w:rsidRPr="00BE6461">
              <w:rPr>
                <w:sz w:val="20"/>
                <w:szCs w:val="20"/>
              </w:rPr>
              <w:t>3811</w:t>
            </w:r>
          </w:p>
        </w:tc>
        <w:tc>
          <w:tcPr>
            <w:tcW w:w="8457" w:type="dxa"/>
            <w:tcBorders>
              <w:top w:val="nil"/>
              <w:left w:val="nil"/>
              <w:bottom w:val="nil"/>
              <w:right w:val="nil"/>
            </w:tcBorders>
            <w:shd w:val="clear" w:color="auto" w:fill="auto"/>
            <w:vAlign w:val="bottom"/>
            <w:hideMark/>
          </w:tcPr>
          <w:p w14:paraId="4AC15072" w14:textId="77777777" w:rsidR="00BE6461" w:rsidRPr="00BE6461" w:rsidRDefault="00BE6461" w:rsidP="00BE6461">
            <w:pPr>
              <w:rPr>
                <w:sz w:val="20"/>
                <w:szCs w:val="20"/>
              </w:rPr>
            </w:pPr>
            <w:r w:rsidRPr="00BE6461">
              <w:rPr>
                <w:sz w:val="20"/>
                <w:szCs w:val="20"/>
              </w:rPr>
              <w:t xml:space="preserve">Tekuće donacije u novcu                                                                             </w:t>
            </w:r>
          </w:p>
        </w:tc>
        <w:tc>
          <w:tcPr>
            <w:tcW w:w="1503" w:type="dxa"/>
            <w:tcBorders>
              <w:top w:val="nil"/>
              <w:left w:val="nil"/>
              <w:bottom w:val="nil"/>
              <w:right w:val="nil"/>
            </w:tcBorders>
            <w:shd w:val="clear" w:color="auto" w:fill="auto"/>
            <w:noWrap/>
            <w:vAlign w:val="bottom"/>
            <w:hideMark/>
          </w:tcPr>
          <w:p w14:paraId="7538046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10E895E" w14:textId="77777777" w:rsidR="00BE6461" w:rsidRPr="00BE6461" w:rsidRDefault="00BE6461" w:rsidP="00BE6461">
            <w:pPr>
              <w:jc w:val="right"/>
              <w:rPr>
                <w:sz w:val="20"/>
                <w:szCs w:val="20"/>
              </w:rPr>
            </w:pPr>
            <w:r w:rsidRPr="00BE6461">
              <w:rPr>
                <w:sz w:val="20"/>
                <w:szCs w:val="20"/>
              </w:rPr>
              <w:t>66.457,29</w:t>
            </w:r>
          </w:p>
        </w:tc>
        <w:tc>
          <w:tcPr>
            <w:tcW w:w="1100" w:type="dxa"/>
            <w:tcBorders>
              <w:top w:val="nil"/>
              <w:left w:val="nil"/>
              <w:bottom w:val="nil"/>
              <w:right w:val="nil"/>
            </w:tcBorders>
            <w:shd w:val="clear" w:color="auto" w:fill="auto"/>
            <w:noWrap/>
            <w:vAlign w:val="bottom"/>
            <w:hideMark/>
          </w:tcPr>
          <w:p w14:paraId="25B87E71" w14:textId="77777777" w:rsidR="00BE6461" w:rsidRPr="00BE6461" w:rsidRDefault="00BE6461" w:rsidP="00BE6461">
            <w:pPr>
              <w:jc w:val="right"/>
              <w:rPr>
                <w:sz w:val="20"/>
                <w:szCs w:val="20"/>
              </w:rPr>
            </w:pPr>
          </w:p>
        </w:tc>
      </w:tr>
      <w:tr w:rsidR="00BE6461" w:rsidRPr="00BE6461" w14:paraId="6A2D0757"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32FF5B9E" w14:textId="77777777" w:rsidR="00BE6461" w:rsidRPr="00BE6461" w:rsidRDefault="00BE6461" w:rsidP="00BE6461">
            <w:pPr>
              <w:rPr>
                <w:b/>
                <w:bCs/>
                <w:sz w:val="20"/>
                <w:szCs w:val="20"/>
              </w:rPr>
            </w:pPr>
            <w:r w:rsidRPr="00BE6461">
              <w:rPr>
                <w:b/>
                <w:bCs/>
                <w:sz w:val="20"/>
                <w:szCs w:val="20"/>
              </w:rPr>
              <w:t>A100037</w:t>
            </w:r>
          </w:p>
        </w:tc>
        <w:tc>
          <w:tcPr>
            <w:tcW w:w="8457" w:type="dxa"/>
            <w:tcBorders>
              <w:top w:val="single" w:sz="4" w:space="0" w:color="auto"/>
              <w:left w:val="nil"/>
              <w:bottom w:val="single" w:sz="4" w:space="0" w:color="auto"/>
              <w:right w:val="nil"/>
            </w:tcBorders>
            <w:shd w:val="clear" w:color="auto" w:fill="auto"/>
            <w:vAlign w:val="bottom"/>
            <w:hideMark/>
          </w:tcPr>
          <w:p w14:paraId="096A9514" w14:textId="77777777" w:rsidR="00BE6461" w:rsidRPr="00BE6461" w:rsidRDefault="00BE6461" w:rsidP="00BE6461">
            <w:pPr>
              <w:rPr>
                <w:b/>
                <w:bCs/>
                <w:sz w:val="20"/>
                <w:szCs w:val="20"/>
              </w:rPr>
            </w:pPr>
            <w:r w:rsidRPr="00BE6461">
              <w:rPr>
                <w:b/>
                <w:bCs/>
                <w:sz w:val="20"/>
                <w:szCs w:val="20"/>
              </w:rPr>
              <w:t>Aktivnost: SOCIJALNE POTPORE STANOVNIŠTVU</w:t>
            </w:r>
          </w:p>
        </w:tc>
        <w:tc>
          <w:tcPr>
            <w:tcW w:w="1503" w:type="dxa"/>
            <w:tcBorders>
              <w:top w:val="single" w:sz="4" w:space="0" w:color="auto"/>
              <w:left w:val="nil"/>
              <w:bottom w:val="single" w:sz="4" w:space="0" w:color="auto"/>
              <w:right w:val="nil"/>
            </w:tcBorders>
            <w:shd w:val="clear" w:color="auto" w:fill="auto"/>
            <w:noWrap/>
            <w:vAlign w:val="bottom"/>
            <w:hideMark/>
          </w:tcPr>
          <w:p w14:paraId="58E5E5D6" w14:textId="77777777" w:rsidR="00BE6461" w:rsidRPr="00BE6461" w:rsidRDefault="00BE6461" w:rsidP="00BE6461">
            <w:pPr>
              <w:jc w:val="right"/>
              <w:rPr>
                <w:b/>
                <w:bCs/>
                <w:sz w:val="20"/>
                <w:szCs w:val="20"/>
              </w:rPr>
            </w:pPr>
            <w:r w:rsidRPr="00BE6461">
              <w:rPr>
                <w:b/>
                <w:bCs/>
                <w:sz w:val="20"/>
                <w:szCs w:val="20"/>
              </w:rPr>
              <w:t>581.000,00</w:t>
            </w:r>
          </w:p>
        </w:tc>
        <w:tc>
          <w:tcPr>
            <w:tcW w:w="1500" w:type="dxa"/>
            <w:tcBorders>
              <w:top w:val="single" w:sz="4" w:space="0" w:color="auto"/>
              <w:left w:val="nil"/>
              <w:bottom w:val="single" w:sz="4" w:space="0" w:color="auto"/>
              <w:right w:val="nil"/>
            </w:tcBorders>
            <w:shd w:val="clear" w:color="auto" w:fill="auto"/>
            <w:noWrap/>
            <w:vAlign w:val="bottom"/>
            <w:hideMark/>
          </w:tcPr>
          <w:p w14:paraId="06AF2278" w14:textId="77777777" w:rsidR="00BE6461" w:rsidRPr="00BE6461" w:rsidRDefault="00BE6461" w:rsidP="00BE6461">
            <w:pPr>
              <w:jc w:val="right"/>
              <w:rPr>
                <w:b/>
                <w:bCs/>
                <w:sz w:val="20"/>
                <w:szCs w:val="20"/>
              </w:rPr>
            </w:pPr>
            <w:r w:rsidRPr="00BE6461">
              <w:rPr>
                <w:b/>
                <w:bCs/>
                <w:sz w:val="20"/>
                <w:szCs w:val="20"/>
              </w:rPr>
              <w:t>439.751,07</w:t>
            </w:r>
          </w:p>
        </w:tc>
        <w:tc>
          <w:tcPr>
            <w:tcW w:w="1100" w:type="dxa"/>
            <w:tcBorders>
              <w:top w:val="single" w:sz="4" w:space="0" w:color="auto"/>
              <w:left w:val="nil"/>
              <w:bottom w:val="single" w:sz="4" w:space="0" w:color="auto"/>
              <w:right w:val="nil"/>
            </w:tcBorders>
            <w:shd w:val="clear" w:color="auto" w:fill="auto"/>
            <w:noWrap/>
            <w:vAlign w:val="bottom"/>
            <w:hideMark/>
          </w:tcPr>
          <w:p w14:paraId="07C9F79D" w14:textId="77777777" w:rsidR="00BE6461" w:rsidRPr="00BE6461" w:rsidRDefault="00BE6461" w:rsidP="00BE6461">
            <w:pPr>
              <w:jc w:val="right"/>
              <w:rPr>
                <w:b/>
                <w:bCs/>
                <w:sz w:val="20"/>
                <w:szCs w:val="20"/>
              </w:rPr>
            </w:pPr>
            <w:r w:rsidRPr="00BE6461">
              <w:rPr>
                <w:b/>
                <w:bCs/>
                <w:sz w:val="20"/>
                <w:szCs w:val="20"/>
              </w:rPr>
              <w:t>75,69</w:t>
            </w:r>
          </w:p>
        </w:tc>
      </w:tr>
      <w:tr w:rsidR="00BE6461" w:rsidRPr="00BE6461" w14:paraId="1E63A704"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C7F957B"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259679B6" w14:textId="77777777" w:rsidR="00BE6461" w:rsidRPr="00BE6461" w:rsidRDefault="00BE6461" w:rsidP="00BE6461">
            <w:pPr>
              <w:jc w:val="right"/>
              <w:rPr>
                <w:b/>
                <w:bCs/>
                <w:color w:val="333333"/>
                <w:sz w:val="20"/>
                <w:szCs w:val="20"/>
              </w:rPr>
            </w:pPr>
            <w:r w:rsidRPr="00BE6461">
              <w:rPr>
                <w:b/>
                <w:bCs/>
                <w:color w:val="333333"/>
                <w:sz w:val="20"/>
                <w:szCs w:val="20"/>
              </w:rPr>
              <w:t>553.400,00</w:t>
            </w:r>
          </w:p>
        </w:tc>
        <w:tc>
          <w:tcPr>
            <w:tcW w:w="1500" w:type="dxa"/>
            <w:tcBorders>
              <w:top w:val="nil"/>
              <w:left w:val="nil"/>
              <w:bottom w:val="nil"/>
              <w:right w:val="nil"/>
            </w:tcBorders>
            <w:shd w:val="clear" w:color="auto" w:fill="auto"/>
            <w:noWrap/>
            <w:vAlign w:val="bottom"/>
            <w:hideMark/>
          </w:tcPr>
          <w:p w14:paraId="18C7EF6B" w14:textId="77777777" w:rsidR="00BE6461" w:rsidRPr="00BE6461" w:rsidRDefault="00BE6461" w:rsidP="00BE6461">
            <w:pPr>
              <w:jc w:val="right"/>
              <w:rPr>
                <w:b/>
                <w:bCs/>
                <w:color w:val="333333"/>
                <w:sz w:val="20"/>
                <w:szCs w:val="20"/>
              </w:rPr>
            </w:pPr>
            <w:r w:rsidRPr="00BE6461">
              <w:rPr>
                <w:b/>
                <w:bCs/>
                <w:color w:val="333333"/>
                <w:sz w:val="20"/>
                <w:szCs w:val="20"/>
              </w:rPr>
              <w:t>415.301,07</w:t>
            </w:r>
          </w:p>
        </w:tc>
        <w:tc>
          <w:tcPr>
            <w:tcW w:w="1100" w:type="dxa"/>
            <w:tcBorders>
              <w:top w:val="nil"/>
              <w:left w:val="nil"/>
              <w:bottom w:val="nil"/>
              <w:right w:val="nil"/>
            </w:tcBorders>
            <w:shd w:val="clear" w:color="auto" w:fill="auto"/>
            <w:noWrap/>
            <w:vAlign w:val="bottom"/>
            <w:hideMark/>
          </w:tcPr>
          <w:p w14:paraId="4938AD78" w14:textId="77777777" w:rsidR="00BE6461" w:rsidRPr="00BE6461" w:rsidRDefault="00BE6461" w:rsidP="00BE6461">
            <w:pPr>
              <w:jc w:val="right"/>
              <w:rPr>
                <w:b/>
                <w:bCs/>
                <w:color w:val="333333"/>
                <w:sz w:val="20"/>
                <w:szCs w:val="20"/>
              </w:rPr>
            </w:pPr>
            <w:r w:rsidRPr="00BE6461">
              <w:rPr>
                <w:b/>
                <w:bCs/>
                <w:color w:val="333333"/>
                <w:sz w:val="20"/>
                <w:szCs w:val="20"/>
              </w:rPr>
              <w:t>75,05</w:t>
            </w:r>
          </w:p>
        </w:tc>
      </w:tr>
      <w:tr w:rsidR="00BE6461" w:rsidRPr="00BE6461" w14:paraId="4F33C9AE"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00B16CC"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747681D9" w14:textId="77777777" w:rsidR="00BE6461" w:rsidRPr="00BE6461" w:rsidRDefault="00BE6461" w:rsidP="00BE6461">
            <w:pPr>
              <w:jc w:val="right"/>
              <w:rPr>
                <w:b/>
                <w:bCs/>
                <w:color w:val="333333"/>
                <w:sz w:val="20"/>
                <w:szCs w:val="20"/>
              </w:rPr>
            </w:pPr>
            <w:r w:rsidRPr="00BE6461">
              <w:rPr>
                <w:b/>
                <w:bCs/>
                <w:color w:val="333333"/>
                <w:sz w:val="20"/>
                <w:szCs w:val="20"/>
              </w:rPr>
              <w:t>553.400,00</w:t>
            </w:r>
          </w:p>
        </w:tc>
        <w:tc>
          <w:tcPr>
            <w:tcW w:w="1500" w:type="dxa"/>
            <w:tcBorders>
              <w:top w:val="nil"/>
              <w:left w:val="nil"/>
              <w:bottom w:val="nil"/>
              <w:right w:val="nil"/>
            </w:tcBorders>
            <w:shd w:val="clear" w:color="auto" w:fill="auto"/>
            <w:noWrap/>
            <w:vAlign w:val="bottom"/>
            <w:hideMark/>
          </w:tcPr>
          <w:p w14:paraId="016057D9" w14:textId="77777777" w:rsidR="00BE6461" w:rsidRPr="00BE6461" w:rsidRDefault="00BE6461" w:rsidP="00BE6461">
            <w:pPr>
              <w:jc w:val="right"/>
              <w:rPr>
                <w:b/>
                <w:bCs/>
                <w:color w:val="333333"/>
                <w:sz w:val="20"/>
                <w:szCs w:val="20"/>
              </w:rPr>
            </w:pPr>
            <w:r w:rsidRPr="00BE6461">
              <w:rPr>
                <w:b/>
                <w:bCs/>
                <w:color w:val="333333"/>
                <w:sz w:val="20"/>
                <w:szCs w:val="20"/>
              </w:rPr>
              <w:t>415.301,07</w:t>
            </w:r>
          </w:p>
        </w:tc>
        <w:tc>
          <w:tcPr>
            <w:tcW w:w="1100" w:type="dxa"/>
            <w:tcBorders>
              <w:top w:val="nil"/>
              <w:left w:val="nil"/>
              <w:bottom w:val="nil"/>
              <w:right w:val="nil"/>
            </w:tcBorders>
            <w:shd w:val="clear" w:color="auto" w:fill="auto"/>
            <w:noWrap/>
            <w:vAlign w:val="bottom"/>
            <w:hideMark/>
          </w:tcPr>
          <w:p w14:paraId="6816D69A" w14:textId="77777777" w:rsidR="00BE6461" w:rsidRPr="00BE6461" w:rsidRDefault="00BE6461" w:rsidP="00BE6461">
            <w:pPr>
              <w:jc w:val="right"/>
              <w:rPr>
                <w:b/>
                <w:bCs/>
                <w:color w:val="333333"/>
                <w:sz w:val="20"/>
                <w:szCs w:val="20"/>
              </w:rPr>
            </w:pPr>
            <w:r w:rsidRPr="00BE6461">
              <w:rPr>
                <w:b/>
                <w:bCs/>
                <w:color w:val="333333"/>
                <w:sz w:val="20"/>
                <w:szCs w:val="20"/>
              </w:rPr>
              <w:t>75,05</w:t>
            </w:r>
          </w:p>
        </w:tc>
      </w:tr>
      <w:tr w:rsidR="00BE6461" w:rsidRPr="00BE6461" w14:paraId="69549930" w14:textId="77777777" w:rsidTr="00BE6461">
        <w:trPr>
          <w:trHeight w:val="300"/>
        </w:trPr>
        <w:tc>
          <w:tcPr>
            <w:tcW w:w="1703" w:type="dxa"/>
            <w:tcBorders>
              <w:top w:val="nil"/>
              <w:left w:val="nil"/>
              <w:bottom w:val="nil"/>
              <w:right w:val="nil"/>
            </w:tcBorders>
            <w:shd w:val="clear" w:color="auto" w:fill="auto"/>
            <w:noWrap/>
            <w:vAlign w:val="bottom"/>
            <w:hideMark/>
          </w:tcPr>
          <w:p w14:paraId="10CD078F" w14:textId="77777777" w:rsidR="00BE6461" w:rsidRPr="00BE6461" w:rsidRDefault="00BE6461" w:rsidP="00BE6461">
            <w:pPr>
              <w:rPr>
                <w:b/>
                <w:bCs/>
                <w:sz w:val="20"/>
                <w:szCs w:val="20"/>
              </w:rPr>
            </w:pPr>
            <w:r w:rsidRPr="00BE6461">
              <w:rPr>
                <w:b/>
                <w:bCs/>
                <w:sz w:val="20"/>
                <w:szCs w:val="20"/>
              </w:rPr>
              <w:t>372</w:t>
            </w:r>
          </w:p>
        </w:tc>
        <w:tc>
          <w:tcPr>
            <w:tcW w:w="8457" w:type="dxa"/>
            <w:tcBorders>
              <w:top w:val="nil"/>
              <w:left w:val="nil"/>
              <w:bottom w:val="nil"/>
              <w:right w:val="nil"/>
            </w:tcBorders>
            <w:shd w:val="clear" w:color="auto" w:fill="auto"/>
            <w:vAlign w:val="bottom"/>
            <w:hideMark/>
          </w:tcPr>
          <w:p w14:paraId="24A7A948" w14:textId="77777777" w:rsidR="00BE6461" w:rsidRPr="00BE6461" w:rsidRDefault="00BE6461" w:rsidP="00BE6461">
            <w:pPr>
              <w:rPr>
                <w:b/>
                <w:bCs/>
                <w:sz w:val="20"/>
                <w:szCs w:val="20"/>
              </w:rPr>
            </w:pPr>
            <w:r w:rsidRPr="00BE6461">
              <w:rPr>
                <w:b/>
                <w:bCs/>
                <w:sz w:val="20"/>
                <w:szCs w:val="20"/>
              </w:rPr>
              <w:t xml:space="preserve">Ostale naknade građanima i kućanstvima iz proračuna                                                 </w:t>
            </w:r>
          </w:p>
        </w:tc>
        <w:tc>
          <w:tcPr>
            <w:tcW w:w="1503" w:type="dxa"/>
            <w:tcBorders>
              <w:top w:val="nil"/>
              <w:left w:val="nil"/>
              <w:bottom w:val="nil"/>
              <w:right w:val="nil"/>
            </w:tcBorders>
            <w:shd w:val="clear" w:color="auto" w:fill="auto"/>
            <w:noWrap/>
            <w:vAlign w:val="bottom"/>
            <w:hideMark/>
          </w:tcPr>
          <w:p w14:paraId="4F15E8B3" w14:textId="77777777" w:rsidR="00BE6461" w:rsidRPr="00BE6461" w:rsidRDefault="00BE6461" w:rsidP="00BE6461">
            <w:pPr>
              <w:jc w:val="right"/>
              <w:rPr>
                <w:b/>
                <w:bCs/>
                <w:sz w:val="20"/>
                <w:szCs w:val="20"/>
              </w:rPr>
            </w:pPr>
            <w:r w:rsidRPr="00BE6461">
              <w:rPr>
                <w:b/>
                <w:bCs/>
                <w:sz w:val="20"/>
                <w:szCs w:val="20"/>
              </w:rPr>
              <w:t>553.400,00</w:t>
            </w:r>
          </w:p>
        </w:tc>
        <w:tc>
          <w:tcPr>
            <w:tcW w:w="1500" w:type="dxa"/>
            <w:tcBorders>
              <w:top w:val="nil"/>
              <w:left w:val="nil"/>
              <w:bottom w:val="nil"/>
              <w:right w:val="nil"/>
            </w:tcBorders>
            <w:shd w:val="clear" w:color="auto" w:fill="auto"/>
            <w:noWrap/>
            <w:vAlign w:val="bottom"/>
            <w:hideMark/>
          </w:tcPr>
          <w:p w14:paraId="168D080D" w14:textId="77777777" w:rsidR="00BE6461" w:rsidRPr="00BE6461" w:rsidRDefault="00BE6461" w:rsidP="00BE6461">
            <w:pPr>
              <w:jc w:val="right"/>
              <w:rPr>
                <w:b/>
                <w:bCs/>
                <w:sz w:val="20"/>
                <w:szCs w:val="20"/>
              </w:rPr>
            </w:pPr>
            <w:r w:rsidRPr="00BE6461">
              <w:rPr>
                <w:b/>
                <w:bCs/>
                <w:sz w:val="20"/>
                <w:szCs w:val="20"/>
              </w:rPr>
              <w:t>415.301,07</w:t>
            </w:r>
          </w:p>
        </w:tc>
        <w:tc>
          <w:tcPr>
            <w:tcW w:w="1100" w:type="dxa"/>
            <w:tcBorders>
              <w:top w:val="nil"/>
              <w:left w:val="nil"/>
              <w:bottom w:val="nil"/>
              <w:right w:val="nil"/>
            </w:tcBorders>
            <w:shd w:val="clear" w:color="auto" w:fill="auto"/>
            <w:noWrap/>
            <w:vAlign w:val="bottom"/>
            <w:hideMark/>
          </w:tcPr>
          <w:p w14:paraId="3B7A9937" w14:textId="77777777" w:rsidR="00BE6461" w:rsidRPr="00BE6461" w:rsidRDefault="00BE6461" w:rsidP="00BE6461">
            <w:pPr>
              <w:jc w:val="right"/>
              <w:rPr>
                <w:b/>
                <w:bCs/>
                <w:sz w:val="20"/>
                <w:szCs w:val="20"/>
              </w:rPr>
            </w:pPr>
            <w:r w:rsidRPr="00BE6461">
              <w:rPr>
                <w:b/>
                <w:bCs/>
                <w:sz w:val="20"/>
                <w:szCs w:val="20"/>
              </w:rPr>
              <w:t>75,05</w:t>
            </w:r>
          </w:p>
        </w:tc>
      </w:tr>
      <w:tr w:rsidR="00BE6461" w:rsidRPr="00BE6461" w14:paraId="6EB1F03A" w14:textId="77777777" w:rsidTr="00BE6461">
        <w:trPr>
          <w:trHeight w:val="300"/>
        </w:trPr>
        <w:tc>
          <w:tcPr>
            <w:tcW w:w="1703" w:type="dxa"/>
            <w:tcBorders>
              <w:top w:val="nil"/>
              <w:left w:val="nil"/>
              <w:bottom w:val="nil"/>
              <w:right w:val="nil"/>
            </w:tcBorders>
            <w:shd w:val="clear" w:color="auto" w:fill="auto"/>
            <w:noWrap/>
            <w:vAlign w:val="bottom"/>
            <w:hideMark/>
          </w:tcPr>
          <w:p w14:paraId="6D85A7D8" w14:textId="77777777" w:rsidR="00BE6461" w:rsidRPr="00BE6461" w:rsidRDefault="00BE6461" w:rsidP="00BE6461">
            <w:pPr>
              <w:rPr>
                <w:sz w:val="20"/>
                <w:szCs w:val="20"/>
              </w:rPr>
            </w:pPr>
            <w:r w:rsidRPr="00BE6461">
              <w:rPr>
                <w:sz w:val="20"/>
                <w:szCs w:val="20"/>
              </w:rPr>
              <w:t>3721</w:t>
            </w:r>
          </w:p>
        </w:tc>
        <w:tc>
          <w:tcPr>
            <w:tcW w:w="8457" w:type="dxa"/>
            <w:tcBorders>
              <w:top w:val="nil"/>
              <w:left w:val="nil"/>
              <w:bottom w:val="nil"/>
              <w:right w:val="nil"/>
            </w:tcBorders>
            <w:shd w:val="clear" w:color="auto" w:fill="auto"/>
            <w:vAlign w:val="bottom"/>
            <w:hideMark/>
          </w:tcPr>
          <w:p w14:paraId="3B84E867" w14:textId="77777777" w:rsidR="00BE6461" w:rsidRPr="00BE6461" w:rsidRDefault="00BE6461" w:rsidP="00BE6461">
            <w:pPr>
              <w:rPr>
                <w:sz w:val="20"/>
                <w:szCs w:val="20"/>
              </w:rPr>
            </w:pPr>
            <w:r w:rsidRPr="00BE6461">
              <w:rPr>
                <w:sz w:val="20"/>
                <w:szCs w:val="20"/>
              </w:rPr>
              <w:t xml:space="preserve">Naknade građanima i kućanstvima u novcu                                                             </w:t>
            </w:r>
          </w:p>
        </w:tc>
        <w:tc>
          <w:tcPr>
            <w:tcW w:w="1503" w:type="dxa"/>
            <w:tcBorders>
              <w:top w:val="nil"/>
              <w:left w:val="nil"/>
              <w:bottom w:val="nil"/>
              <w:right w:val="nil"/>
            </w:tcBorders>
            <w:shd w:val="clear" w:color="auto" w:fill="auto"/>
            <w:noWrap/>
            <w:vAlign w:val="bottom"/>
            <w:hideMark/>
          </w:tcPr>
          <w:p w14:paraId="74D496A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AA45957" w14:textId="77777777" w:rsidR="00BE6461" w:rsidRPr="00BE6461" w:rsidRDefault="00BE6461" w:rsidP="00BE6461">
            <w:pPr>
              <w:jc w:val="right"/>
              <w:rPr>
                <w:sz w:val="20"/>
                <w:szCs w:val="20"/>
              </w:rPr>
            </w:pPr>
            <w:r w:rsidRPr="00BE6461">
              <w:rPr>
                <w:sz w:val="20"/>
                <w:szCs w:val="20"/>
              </w:rPr>
              <w:t>257.259,50</w:t>
            </w:r>
          </w:p>
        </w:tc>
        <w:tc>
          <w:tcPr>
            <w:tcW w:w="1100" w:type="dxa"/>
            <w:tcBorders>
              <w:top w:val="nil"/>
              <w:left w:val="nil"/>
              <w:bottom w:val="nil"/>
              <w:right w:val="nil"/>
            </w:tcBorders>
            <w:shd w:val="clear" w:color="auto" w:fill="auto"/>
            <w:noWrap/>
            <w:vAlign w:val="bottom"/>
            <w:hideMark/>
          </w:tcPr>
          <w:p w14:paraId="2E041BF9" w14:textId="77777777" w:rsidR="00BE6461" w:rsidRPr="00BE6461" w:rsidRDefault="00BE6461" w:rsidP="00BE6461">
            <w:pPr>
              <w:jc w:val="right"/>
              <w:rPr>
                <w:sz w:val="20"/>
                <w:szCs w:val="20"/>
              </w:rPr>
            </w:pPr>
          </w:p>
        </w:tc>
      </w:tr>
      <w:tr w:rsidR="00BE6461" w:rsidRPr="00BE6461" w14:paraId="05C93388" w14:textId="77777777" w:rsidTr="00BE6461">
        <w:trPr>
          <w:trHeight w:val="300"/>
        </w:trPr>
        <w:tc>
          <w:tcPr>
            <w:tcW w:w="1703" w:type="dxa"/>
            <w:tcBorders>
              <w:top w:val="nil"/>
              <w:left w:val="nil"/>
              <w:bottom w:val="nil"/>
              <w:right w:val="nil"/>
            </w:tcBorders>
            <w:shd w:val="clear" w:color="auto" w:fill="auto"/>
            <w:noWrap/>
            <w:vAlign w:val="bottom"/>
            <w:hideMark/>
          </w:tcPr>
          <w:p w14:paraId="3B59D9EE" w14:textId="77777777" w:rsidR="00BE6461" w:rsidRPr="00BE6461" w:rsidRDefault="00BE6461" w:rsidP="00BE6461">
            <w:pPr>
              <w:rPr>
                <w:sz w:val="20"/>
                <w:szCs w:val="20"/>
              </w:rPr>
            </w:pPr>
            <w:r w:rsidRPr="00BE6461">
              <w:rPr>
                <w:sz w:val="20"/>
                <w:szCs w:val="20"/>
              </w:rPr>
              <w:t>3722</w:t>
            </w:r>
          </w:p>
        </w:tc>
        <w:tc>
          <w:tcPr>
            <w:tcW w:w="8457" w:type="dxa"/>
            <w:tcBorders>
              <w:top w:val="nil"/>
              <w:left w:val="nil"/>
              <w:bottom w:val="nil"/>
              <w:right w:val="nil"/>
            </w:tcBorders>
            <w:shd w:val="clear" w:color="auto" w:fill="auto"/>
            <w:vAlign w:val="bottom"/>
            <w:hideMark/>
          </w:tcPr>
          <w:p w14:paraId="010A58DB" w14:textId="77777777" w:rsidR="00BE6461" w:rsidRPr="00BE6461" w:rsidRDefault="00BE6461" w:rsidP="00BE6461">
            <w:pPr>
              <w:rPr>
                <w:sz w:val="20"/>
                <w:szCs w:val="20"/>
              </w:rPr>
            </w:pPr>
            <w:r w:rsidRPr="00BE6461">
              <w:rPr>
                <w:sz w:val="20"/>
                <w:szCs w:val="20"/>
              </w:rPr>
              <w:t xml:space="preserve">Naknade građanima i kućanstvima u naravi                                                            </w:t>
            </w:r>
          </w:p>
        </w:tc>
        <w:tc>
          <w:tcPr>
            <w:tcW w:w="1503" w:type="dxa"/>
            <w:tcBorders>
              <w:top w:val="nil"/>
              <w:left w:val="nil"/>
              <w:bottom w:val="nil"/>
              <w:right w:val="nil"/>
            </w:tcBorders>
            <w:shd w:val="clear" w:color="auto" w:fill="auto"/>
            <w:noWrap/>
            <w:vAlign w:val="bottom"/>
            <w:hideMark/>
          </w:tcPr>
          <w:p w14:paraId="04FF716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6AF07FD" w14:textId="77777777" w:rsidR="00BE6461" w:rsidRPr="00BE6461" w:rsidRDefault="00BE6461" w:rsidP="00BE6461">
            <w:pPr>
              <w:jc w:val="right"/>
              <w:rPr>
                <w:sz w:val="20"/>
                <w:szCs w:val="20"/>
              </w:rPr>
            </w:pPr>
            <w:r w:rsidRPr="00BE6461">
              <w:rPr>
                <w:sz w:val="20"/>
                <w:szCs w:val="20"/>
              </w:rPr>
              <w:t>158.041,57</w:t>
            </w:r>
          </w:p>
        </w:tc>
        <w:tc>
          <w:tcPr>
            <w:tcW w:w="1100" w:type="dxa"/>
            <w:tcBorders>
              <w:top w:val="nil"/>
              <w:left w:val="nil"/>
              <w:bottom w:val="nil"/>
              <w:right w:val="nil"/>
            </w:tcBorders>
            <w:shd w:val="clear" w:color="auto" w:fill="auto"/>
            <w:noWrap/>
            <w:vAlign w:val="bottom"/>
            <w:hideMark/>
          </w:tcPr>
          <w:p w14:paraId="13D24C63" w14:textId="77777777" w:rsidR="00BE6461" w:rsidRPr="00BE6461" w:rsidRDefault="00BE6461" w:rsidP="00BE6461">
            <w:pPr>
              <w:jc w:val="right"/>
              <w:rPr>
                <w:sz w:val="20"/>
                <w:szCs w:val="20"/>
              </w:rPr>
            </w:pPr>
          </w:p>
        </w:tc>
      </w:tr>
      <w:tr w:rsidR="00BE6461" w:rsidRPr="00BE6461" w14:paraId="3EF9C888"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2CA996A" w14:textId="77777777" w:rsidR="00BE6461" w:rsidRPr="00BE6461" w:rsidRDefault="00BE6461" w:rsidP="00BE6461">
            <w:pPr>
              <w:rPr>
                <w:b/>
                <w:bCs/>
                <w:color w:val="333333"/>
                <w:sz w:val="20"/>
                <w:szCs w:val="20"/>
              </w:rPr>
            </w:pPr>
            <w:r w:rsidRPr="00BE6461">
              <w:rPr>
                <w:b/>
                <w:bCs/>
                <w:color w:val="333333"/>
                <w:sz w:val="20"/>
                <w:szCs w:val="20"/>
              </w:rPr>
              <w:t>Izvor 5. POMOĆI</w:t>
            </w:r>
          </w:p>
        </w:tc>
        <w:tc>
          <w:tcPr>
            <w:tcW w:w="1503" w:type="dxa"/>
            <w:tcBorders>
              <w:top w:val="nil"/>
              <w:left w:val="nil"/>
              <w:bottom w:val="nil"/>
              <w:right w:val="nil"/>
            </w:tcBorders>
            <w:shd w:val="clear" w:color="auto" w:fill="auto"/>
            <w:noWrap/>
            <w:vAlign w:val="bottom"/>
            <w:hideMark/>
          </w:tcPr>
          <w:p w14:paraId="016C230C" w14:textId="77777777" w:rsidR="00BE6461" w:rsidRPr="00BE6461" w:rsidRDefault="00BE6461" w:rsidP="00BE6461">
            <w:pPr>
              <w:jc w:val="right"/>
              <w:rPr>
                <w:b/>
                <w:bCs/>
                <w:color w:val="333333"/>
                <w:sz w:val="20"/>
                <w:szCs w:val="20"/>
              </w:rPr>
            </w:pPr>
            <w:r w:rsidRPr="00BE6461">
              <w:rPr>
                <w:b/>
                <w:bCs/>
                <w:color w:val="333333"/>
                <w:sz w:val="20"/>
                <w:szCs w:val="20"/>
              </w:rPr>
              <w:t>27.600,00</w:t>
            </w:r>
          </w:p>
        </w:tc>
        <w:tc>
          <w:tcPr>
            <w:tcW w:w="1500" w:type="dxa"/>
            <w:tcBorders>
              <w:top w:val="nil"/>
              <w:left w:val="nil"/>
              <w:bottom w:val="nil"/>
              <w:right w:val="nil"/>
            </w:tcBorders>
            <w:shd w:val="clear" w:color="auto" w:fill="auto"/>
            <w:noWrap/>
            <w:vAlign w:val="bottom"/>
            <w:hideMark/>
          </w:tcPr>
          <w:p w14:paraId="2C8924EE" w14:textId="77777777" w:rsidR="00BE6461" w:rsidRPr="00BE6461" w:rsidRDefault="00BE6461" w:rsidP="00BE6461">
            <w:pPr>
              <w:jc w:val="right"/>
              <w:rPr>
                <w:b/>
                <w:bCs/>
                <w:color w:val="333333"/>
                <w:sz w:val="20"/>
                <w:szCs w:val="20"/>
              </w:rPr>
            </w:pPr>
            <w:r w:rsidRPr="00BE6461">
              <w:rPr>
                <w:b/>
                <w:bCs/>
                <w:color w:val="333333"/>
                <w:sz w:val="20"/>
                <w:szCs w:val="20"/>
              </w:rPr>
              <w:t>24.450,00</w:t>
            </w:r>
          </w:p>
        </w:tc>
        <w:tc>
          <w:tcPr>
            <w:tcW w:w="1100" w:type="dxa"/>
            <w:tcBorders>
              <w:top w:val="nil"/>
              <w:left w:val="nil"/>
              <w:bottom w:val="nil"/>
              <w:right w:val="nil"/>
            </w:tcBorders>
            <w:shd w:val="clear" w:color="auto" w:fill="auto"/>
            <w:noWrap/>
            <w:vAlign w:val="bottom"/>
            <w:hideMark/>
          </w:tcPr>
          <w:p w14:paraId="245A8053" w14:textId="77777777" w:rsidR="00BE6461" w:rsidRPr="00BE6461" w:rsidRDefault="00BE6461" w:rsidP="00BE6461">
            <w:pPr>
              <w:jc w:val="right"/>
              <w:rPr>
                <w:b/>
                <w:bCs/>
                <w:color w:val="333333"/>
                <w:sz w:val="20"/>
                <w:szCs w:val="20"/>
              </w:rPr>
            </w:pPr>
            <w:r w:rsidRPr="00BE6461">
              <w:rPr>
                <w:b/>
                <w:bCs/>
                <w:color w:val="333333"/>
                <w:sz w:val="20"/>
                <w:szCs w:val="20"/>
              </w:rPr>
              <w:t>88,59</w:t>
            </w:r>
          </w:p>
        </w:tc>
      </w:tr>
      <w:tr w:rsidR="00BE6461" w:rsidRPr="00BE6461" w14:paraId="21756C74"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F8ED978" w14:textId="77777777" w:rsidR="00BE6461" w:rsidRPr="00BE6461" w:rsidRDefault="00BE6461" w:rsidP="00BE6461">
            <w:pPr>
              <w:rPr>
                <w:b/>
                <w:bCs/>
                <w:color w:val="333333"/>
                <w:sz w:val="20"/>
                <w:szCs w:val="20"/>
              </w:rPr>
            </w:pPr>
            <w:r w:rsidRPr="00BE6461">
              <w:rPr>
                <w:b/>
                <w:bCs/>
                <w:color w:val="333333"/>
                <w:sz w:val="20"/>
                <w:szCs w:val="20"/>
              </w:rPr>
              <w:t>Izvor 5.1. POMOĆI</w:t>
            </w:r>
          </w:p>
        </w:tc>
        <w:tc>
          <w:tcPr>
            <w:tcW w:w="1503" w:type="dxa"/>
            <w:tcBorders>
              <w:top w:val="nil"/>
              <w:left w:val="nil"/>
              <w:bottom w:val="nil"/>
              <w:right w:val="nil"/>
            </w:tcBorders>
            <w:shd w:val="clear" w:color="auto" w:fill="auto"/>
            <w:noWrap/>
            <w:vAlign w:val="bottom"/>
            <w:hideMark/>
          </w:tcPr>
          <w:p w14:paraId="76399A78" w14:textId="77777777" w:rsidR="00BE6461" w:rsidRPr="00BE6461" w:rsidRDefault="00BE6461" w:rsidP="00BE6461">
            <w:pPr>
              <w:jc w:val="right"/>
              <w:rPr>
                <w:b/>
                <w:bCs/>
                <w:color w:val="333333"/>
                <w:sz w:val="20"/>
                <w:szCs w:val="20"/>
              </w:rPr>
            </w:pPr>
            <w:r w:rsidRPr="00BE6461">
              <w:rPr>
                <w:b/>
                <w:bCs/>
                <w:color w:val="333333"/>
                <w:sz w:val="20"/>
                <w:szCs w:val="20"/>
              </w:rPr>
              <w:t>27.600,00</w:t>
            </w:r>
          </w:p>
        </w:tc>
        <w:tc>
          <w:tcPr>
            <w:tcW w:w="1500" w:type="dxa"/>
            <w:tcBorders>
              <w:top w:val="nil"/>
              <w:left w:val="nil"/>
              <w:bottom w:val="nil"/>
              <w:right w:val="nil"/>
            </w:tcBorders>
            <w:shd w:val="clear" w:color="auto" w:fill="auto"/>
            <w:noWrap/>
            <w:vAlign w:val="bottom"/>
            <w:hideMark/>
          </w:tcPr>
          <w:p w14:paraId="1AE7F18C" w14:textId="77777777" w:rsidR="00BE6461" w:rsidRPr="00BE6461" w:rsidRDefault="00BE6461" w:rsidP="00BE6461">
            <w:pPr>
              <w:jc w:val="right"/>
              <w:rPr>
                <w:b/>
                <w:bCs/>
                <w:color w:val="333333"/>
                <w:sz w:val="20"/>
                <w:szCs w:val="20"/>
              </w:rPr>
            </w:pPr>
            <w:r w:rsidRPr="00BE6461">
              <w:rPr>
                <w:b/>
                <w:bCs/>
                <w:color w:val="333333"/>
                <w:sz w:val="20"/>
                <w:szCs w:val="20"/>
              </w:rPr>
              <w:t>24.450,00</w:t>
            </w:r>
          </w:p>
        </w:tc>
        <w:tc>
          <w:tcPr>
            <w:tcW w:w="1100" w:type="dxa"/>
            <w:tcBorders>
              <w:top w:val="nil"/>
              <w:left w:val="nil"/>
              <w:bottom w:val="nil"/>
              <w:right w:val="nil"/>
            </w:tcBorders>
            <w:shd w:val="clear" w:color="auto" w:fill="auto"/>
            <w:noWrap/>
            <w:vAlign w:val="bottom"/>
            <w:hideMark/>
          </w:tcPr>
          <w:p w14:paraId="4F2A3664" w14:textId="77777777" w:rsidR="00BE6461" w:rsidRPr="00BE6461" w:rsidRDefault="00BE6461" w:rsidP="00BE6461">
            <w:pPr>
              <w:jc w:val="right"/>
              <w:rPr>
                <w:b/>
                <w:bCs/>
                <w:color w:val="333333"/>
                <w:sz w:val="20"/>
                <w:szCs w:val="20"/>
              </w:rPr>
            </w:pPr>
            <w:r w:rsidRPr="00BE6461">
              <w:rPr>
                <w:b/>
                <w:bCs/>
                <w:color w:val="333333"/>
                <w:sz w:val="20"/>
                <w:szCs w:val="20"/>
              </w:rPr>
              <w:t>88,59</w:t>
            </w:r>
          </w:p>
        </w:tc>
      </w:tr>
      <w:tr w:rsidR="00BE6461" w:rsidRPr="00BE6461" w14:paraId="65F26A6D" w14:textId="77777777" w:rsidTr="00BE6461">
        <w:trPr>
          <w:trHeight w:val="300"/>
        </w:trPr>
        <w:tc>
          <w:tcPr>
            <w:tcW w:w="1703" w:type="dxa"/>
            <w:tcBorders>
              <w:top w:val="nil"/>
              <w:left w:val="nil"/>
              <w:bottom w:val="nil"/>
              <w:right w:val="nil"/>
            </w:tcBorders>
            <w:shd w:val="clear" w:color="auto" w:fill="auto"/>
            <w:noWrap/>
            <w:vAlign w:val="bottom"/>
            <w:hideMark/>
          </w:tcPr>
          <w:p w14:paraId="30CE549D" w14:textId="77777777" w:rsidR="00BE6461" w:rsidRPr="00BE6461" w:rsidRDefault="00BE6461" w:rsidP="00BE6461">
            <w:pPr>
              <w:rPr>
                <w:b/>
                <w:bCs/>
                <w:sz w:val="20"/>
                <w:szCs w:val="20"/>
              </w:rPr>
            </w:pPr>
            <w:r w:rsidRPr="00BE6461">
              <w:rPr>
                <w:b/>
                <w:bCs/>
                <w:sz w:val="20"/>
                <w:szCs w:val="20"/>
              </w:rPr>
              <w:t>372</w:t>
            </w:r>
          </w:p>
        </w:tc>
        <w:tc>
          <w:tcPr>
            <w:tcW w:w="8457" w:type="dxa"/>
            <w:tcBorders>
              <w:top w:val="nil"/>
              <w:left w:val="nil"/>
              <w:bottom w:val="nil"/>
              <w:right w:val="nil"/>
            </w:tcBorders>
            <w:shd w:val="clear" w:color="auto" w:fill="auto"/>
            <w:vAlign w:val="bottom"/>
            <w:hideMark/>
          </w:tcPr>
          <w:p w14:paraId="7690E6E5" w14:textId="77777777" w:rsidR="00BE6461" w:rsidRPr="00BE6461" w:rsidRDefault="00BE6461" w:rsidP="00BE6461">
            <w:pPr>
              <w:rPr>
                <w:b/>
                <w:bCs/>
                <w:sz w:val="20"/>
                <w:szCs w:val="20"/>
              </w:rPr>
            </w:pPr>
            <w:r w:rsidRPr="00BE6461">
              <w:rPr>
                <w:b/>
                <w:bCs/>
                <w:sz w:val="20"/>
                <w:szCs w:val="20"/>
              </w:rPr>
              <w:t xml:space="preserve">Ostale naknade građanima i kućanstvima iz proračuna                                                 </w:t>
            </w:r>
          </w:p>
        </w:tc>
        <w:tc>
          <w:tcPr>
            <w:tcW w:w="1503" w:type="dxa"/>
            <w:tcBorders>
              <w:top w:val="nil"/>
              <w:left w:val="nil"/>
              <w:bottom w:val="nil"/>
              <w:right w:val="nil"/>
            </w:tcBorders>
            <w:shd w:val="clear" w:color="auto" w:fill="auto"/>
            <w:noWrap/>
            <w:vAlign w:val="bottom"/>
            <w:hideMark/>
          </w:tcPr>
          <w:p w14:paraId="2FF6D38E" w14:textId="77777777" w:rsidR="00BE6461" w:rsidRPr="00BE6461" w:rsidRDefault="00BE6461" w:rsidP="00BE6461">
            <w:pPr>
              <w:jc w:val="right"/>
              <w:rPr>
                <w:b/>
                <w:bCs/>
                <w:sz w:val="20"/>
                <w:szCs w:val="20"/>
              </w:rPr>
            </w:pPr>
            <w:r w:rsidRPr="00BE6461">
              <w:rPr>
                <w:b/>
                <w:bCs/>
                <w:sz w:val="20"/>
                <w:szCs w:val="20"/>
              </w:rPr>
              <w:t>27.600,00</w:t>
            </w:r>
          </w:p>
        </w:tc>
        <w:tc>
          <w:tcPr>
            <w:tcW w:w="1500" w:type="dxa"/>
            <w:tcBorders>
              <w:top w:val="nil"/>
              <w:left w:val="nil"/>
              <w:bottom w:val="nil"/>
              <w:right w:val="nil"/>
            </w:tcBorders>
            <w:shd w:val="clear" w:color="auto" w:fill="auto"/>
            <w:noWrap/>
            <w:vAlign w:val="bottom"/>
            <w:hideMark/>
          </w:tcPr>
          <w:p w14:paraId="2B1ECBE0" w14:textId="77777777" w:rsidR="00BE6461" w:rsidRPr="00BE6461" w:rsidRDefault="00BE6461" w:rsidP="00BE6461">
            <w:pPr>
              <w:jc w:val="right"/>
              <w:rPr>
                <w:b/>
                <w:bCs/>
                <w:sz w:val="20"/>
                <w:szCs w:val="20"/>
              </w:rPr>
            </w:pPr>
            <w:r w:rsidRPr="00BE6461">
              <w:rPr>
                <w:b/>
                <w:bCs/>
                <w:sz w:val="20"/>
                <w:szCs w:val="20"/>
              </w:rPr>
              <w:t>24.450,00</w:t>
            </w:r>
          </w:p>
        </w:tc>
        <w:tc>
          <w:tcPr>
            <w:tcW w:w="1100" w:type="dxa"/>
            <w:tcBorders>
              <w:top w:val="nil"/>
              <w:left w:val="nil"/>
              <w:bottom w:val="nil"/>
              <w:right w:val="nil"/>
            </w:tcBorders>
            <w:shd w:val="clear" w:color="auto" w:fill="auto"/>
            <w:noWrap/>
            <w:vAlign w:val="bottom"/>
            <w:hideMark/>
          </w:tcPr>
          <w:p w14:paraId="57800952" w14:textId="77777777" w:rsidR="00BE6461" w:rsidRPr="00BE6461" w:rsidRDefault="00BE6461" w:rsidP="00BE6461">
            <w:pPr>
              <w:jc w:val="right"/>
              <w:rPr>
                <w:b/>
                <w:bCs/>
                <w:sz w:val="20"/>
                <w:szCs w:val="20"/>
              </w:rPr>
            </w:pPr>
            <w:r w:rsidRPr="00BE6461">
              <w:rPr>
                <w:b/>
                <w:bCs/>
                <w:sz w:val="20"/>
                <w:szCs w:val="20"/>
              </w:rPr>
              <w:t>88,59</w:t>
            </w:r>
          </w:p>
        </w:tc>
      </w:tr>
      <w:tr w:rsidR="00BE6461" w:rsidRPr="00BE6461" w14:paraId="471913D3" w14:textId="77777777" w:rsidTr="00BE6461">
        <w:trPr>
          <w:trHeight w:val="300"/>
        </w:trPr>
        <w:tc>
          <w:tcPr>
            <w:tcW w:w="1703" w:type="dxa"/>
            <w:tcBorders>
              <w:top w:val="nil"/>
              <w:left w:val="nil"/>
              <w:bottom w:val="nil"/>
              <w:right w:val="nil"/>
            </w:tcBorders>
            <w:shd w:val="clear" w:color="auto" w:fill="auto"/>
            <w:noWrap/>
            <w:vAlign w:val="bottom"/>
            <w:hideMark/>
          </w:tcPr>
          <w:p w14:paraId="1FE9B70F" w14:textId="77777777" w:rsidR="00BE6461" w:rsidRPr="00BE6461" w:rsidRDefault="00BE6461" w:rsidP="00BE6461">
            <w:pPr>
              <w:rPr>
                <w:sz w:val="20"/>
                <w:szCs w:val="20"/>
              </w:rPr>
            </w:pPr>
            <w:r w:rsidRPr="00BE6461">
              <w:rPr>
                <w:sz w:val="20"/>
                <w:szCs w:val="20"/>
              </w:rPr>
              <w:t>3721</w:t>
            </w:r>
          </w:p>
        </w:tc>
        <w:tc>
          <w:tcPr>
            <w:tcW w:w="8457" w:type="dxa"/>
            <w:tcBorders>
              <w:top w:val="nil"/>
              <w:left w:val="nil"/>
              <w:bottom w:val="nil"/>
              <w:right w:val="nil"/>
            </w:tcBorders>
            <w:shd w:val="clear" w:color="auto" w:fill="auto"/>
            <w:vAlign w:val="bottom"/>
            <w:hideMark/>
          </w:tcPr>
          <w:p w14:paraId="64207DA8" w14:textId="77777777" w:rsidR="00BE6461" w:rsidRPr="00BE6461" w:rsidRDefault="00BE6461" w:rsidP="00BE6461">
            <w:pPr>
              <w:rPr>
                <w:sz w:val="20"/>
                <w:szCs w:val="20"/>
              </w:rPr>
            </w:pPr>
            <w:r w:rsidRPr="00BE6461">
              <w:rPr>
                <w:sz w:val="20"/>
                <w:szCs w:val="20"/>
              </w:rPr>
              <w:t xml:space="preserve">Naknade građanima i kućanstvima u novcu                                                             </w:t>
            </w:r>
          </w:p>
        </w:tc>
        <w:tc>
          <w:tcPr>
            <w:tcW w:w="1503" w:type="dxa"/>
            <w:tcBorders>
              <w:top w:val="nil"/>
              <w:left w:val="nil"/>
              <w:bottom w:val="nil"/>
              <w:right w:val="nil"/>
            </w:tcBorders>
            <w:shd w:val="clear" w:color="auto" w:fill="auto"/>
            <w:noWrap/>
            <w:vAlign w:val="bottom"/>
            <w:hideMark/>
          </w:tcPr>
          <w:p w14:paraId="4D81939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F08B1FE" w14:textId="77777777" w:rsidR="00BE6461" w:rsidRPr="00BE6461" w:rsidRDefault="00BE6461" w:rsidP="00BE6461">
            <w:pPr>
              <w:jc w:val="right"/>
              <w:rPr>
                <w:sz w:val="20"/>
                <w:szCs w:val="20"/>
              </w:rPr>
            </w:pPr>
            <w:r w:rsidRPr="00BE6461">
              <w:rPr>
                <w:sz w:val="20"/>
                <w:szCs w:val="20"/>
              </w:rPr>
              <w:t>2.400,00</w:t>
            </w:r>
          </w:p>
        </w:tc>
        <w:tc>
          <w:tcPr>
            <w:tcW w:w="1100" w:type="dxa"/>
            <w:tcBorders>
              <w:top w:val="nil"/>
              <w:left w:val="nil"/>
              <w:bottom w:val="nil"/>
              <w:right w:val="nil"/>
            </w:tcBorders>
            <w:shd w:val="clear" w:color="auto" w:fill="auto"/>
            <w:noWrap/>
            <w:vAlign w:val="bottom"/>
            <w:hideMark/>
          </w:tcPr>
          <w:p w14:paraId="0BA153D0" w14:textId="77777777" w:rsidR="00BE6461" w:rsidRPr="00BE6461" w:rsidRDefault="00BE6461" w:rsidP="00BE6461">
            <w:pPr>
              <w:jc w:val="right"/>
              <w:rPr>
                <w:sz w:val="20"/>
                <w:szCs w:val="20"/>
              </w:rPr>
            </w:pPr>
          </w:p>
        </w:tc>
      </w:tr>
      <w:tr w:rsidR="00BE6461" w:rsidRPr="00BE6461" w14:paraId="0448DBA5" w14:textId="77777777" w:rsidTr="00BE6461">
        <w:trPr>
          <w:trHeight w:val="300"/>
        </w:trPr>
        <w:tc>
          <w:tcPr>
            <w:tcW w:w="1703" w:type="dxa"/>
            <w:tcBorders>
              <w:top w:val="nil"/>
              <w:left w:val="nil"/>
              <w:bottom w:val="nil"/>
              <w:right w:val="nil"/>
            </w:tcBorders>
            <w:shd w:val="clear" w:color="auto" w:fill="auto"/>
            <w:noWrap/>
            <w:vAlign w:val="bottom"/>
            <w:hideMark/>
          </w:tcPr>
          <w:p w14:paraId="281A6783" w14:textId="77777777" w:rsidR="00BE6461" w:rsidRPr="00BE6461" w:rsidRDefault="00BE6461" w:rsidP="00BE6461">
            <w:pPr>
              <w:rPr>
                <w:sz w:val="20"/>
                <w:szCs w:val="20"/>
              </w:rPr>
            </w:pPr>
            <w:r w:rsidRPr="00BE6461">
              <w:rPr>
                <w:sz w:val="20"/>
                <w:szCs w:val="20"/>
              </w:rPr>
              <w:t>3722</w:t>
            </w:r>
          </w:p>
        </w:tc>
        <w:tc>
          <w:tcPr>
            <w:tcW w:w="8457" w:type="dxa"/>
            <w:tcBorders>
              <w:top w:val="nil"/>
              <w:left w:val="nil"/>
              <w:bottom w:val="nil"/>
              <w:right w:val="nil"/>
            </w:tcBorders>
            <w:shd w:val="clear" w:color="auto" w:fill="auto"/>
            <w:vAlign w:val="bottom"/>
            <w:hideMark/>
          </w:tcPr>
          <w:p w14:paraId="1801C89C" w14:textId="77777777" w:rsidR="00BE6461" w:rsidRPr="00BE6461" w:rsidRDefault="00BE6461" w:rsidP="00BE6461">
            <w:pPr>
              <w:rPr>
                <w:sz w:val="20"/>
                <w:szCs w:val="20"/>
              </w:rPr>
            </w:pPr>
            <w:r w:rsidRPr="00BE6461">
              <w:rPr>
                <w:sz w:val="20"/>
                <w:szCs w:val="20"/>
              </w:rPr>
              <w:t xml:space="preserve">Naknade građanima i kućanstvima u naravi                                                            </w:t>
            </w:r>
          </w:p>
        </w:tc>
        <w:tc>
          <w:tcPr>
            <w:tcW w:w="1503" w:type="dxa"/>
            <w:tcBorders>
              <w:top w:val="nil"/>
              <w:left w:val="nil"/>
              <w:bottom w:val="nil"/>
              <w:right w:val="nil"/>
            </w:tcBorders>
            <w:shd w:val="clear" w:color="auto" w:fill="auto"/>
            <w:noWrap/>
            <w:vAlign w:val="bottom"/>
            <w:hideMark/>
          </w:tcPr>
          <w:p w14:paraId="1779CF1B"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70B0EC2" w14:textId="77777777" w:rsidR="00BE6461" w:rsidRPr="00BE6461" w:rsidRDefault="00BE6461" w:rsidP="00BE6461">
            <w:pPr>
              <w:jc w:val="right"/>
              <w:rPr>
                <w:sz w:val="20"/>
                <w:szCs w:val="20"/>
              </w:rPr>
            </w:pPr>
            <w:r w:rsidRPr="00BE6461">
              <w:rPr>
                <w:sz w:val="20"/>
                <w:szCs w:val="20"/>
              </w:rPr>
              <w:t>22.050,00</w:t>
            </w:r>
          </w:p>
        </w:tc>
        <w:tc>
          <w:tcPr>
            <w:tcW w:w="1100" w:type="dxa"/>
            <w:tcBorders>
              <w:top w:val="nil"/>
              <w:left w:val="nil"/>
              <w:bottom w:val="nil"/>
              <w:right w:val="nil"/>
            </w:tcBorders>
            <w:shd w:val="clear" w:color="auto" w:fill="auto"/>
            <w:noWrap/>
            <w:vAlign w:val="bottom"/>
            <w:hideMark/>
          </w:tcPr>
          <w:p w14:paraId="3E41FB0C" w14:textId="77777777" w:rsidR="00BE6461" w:rsidRPr="00BE6461" w:rsidRDefault="00BE6461" w:rsidP="00BE6461">
            <w:pPr>
              <w:jc w:val="right"/>
              <w:rPr>
                <w:sz w:val="20"/>
                <w:szCs w:val="20"/>
              </w:rPr>
            </w:pPr>
          </w:p>
        </w:tc>
      </w:tr>
      <w:tr w:rsidR="00BE6461" w:rsidRPr="00BE6461" w14:paraId="07ED27B7"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7A1F0C13" w14:textId="77777777" w:rsidR="00BE6461" w:rsidRPr="00BE6461" w:rsidRDefault="00BE6461" w:rsidP="00BE6461">
            <w:pPr>
              <w:rPr>
                <w:b/>
                <w:bCs/>
                <w:sz w:val="20"/>
                <w:szCs w:val="20"/>
              </w:rPr>
            </w:pPr>
            <w:r w:rsidRPr="00BE6461">
              <w:rPr>
                <w:b/>
                <w:bCs/>
                <w:sz w:val="20"/>
                <w:szCs w:val="20"/>
              </w:rPr>
              <w:t>A100038</w:t>
            </w:r>
          </w:p>
        </w:tc>
        <w:tc>
          <w:tcPr>
            <w:tcW w:w="8457" w:type="dxa"/>
            <w:tcBorders>
              <w:top w:val="single" w:sz="4" w:space="0" w:color="auto"/>
              <w:left w:val="nil"/>
              <w:bottom w:val="single" w:sz="4" w:space="0" w:color="auto"/>
              <w:right w:val="nil"/>
            </w:tcBorders>
            <w:shd w:val="clear" w:color="auto" w:fill="auto"/>
            <w:vAlign w:val="bottom"/>
            <w:hideMark/>
          </w:tcPr>
          <w:p w14:paraId="141F2B84" w14:textId="77777777" w:rsidR="00BE6461" w:rsidRPr="00BE6461" w:rsidRDefault="00BE6461" w:rsidP="00BE6461">
            <w:pPr>
              <w:rPr>
                <w:b/>
                <w:bCs/>
                <w:sz w:val="20"/>
                <w:szCs w:val="20"/>
              </w:rPr>
            </w:pPr>
            <w:r w:rsidRPr="00BE6461">
              <w:rPr>
                <w:b/>
                <w:bCs/>
                <w:sz w:val="20"/>
                <w:szCs w:val="20"/>
              </w:rPr>
              <w:t>Aktivnost: POTPORE UDRUGAMA SOCIJALNE SKRBI I ZDRAVSTVA NA PODRUČJU GRADA</w:t>
            </w:r>
          </w:p>
        </w:tc>
        <w:tc>
          <w:tcPr>
            <w:tcW w:w="1503" w:type="dxa"/>
            <w:tcBorders>
              <w:top w:val="single" w:sz="4" w:space="0" w:color="auto"/>
              <w:left w:val="nil"/>
              <w:bottom w:val="single" w:sz="4" w:space="0" w:color="auto"/>
              <w:right w:val="nil"/>
            </w:tcBorders>
            <w:shd w:val="clear" w:color="auto" w:fill="auto"/>
            <w:noWrap/>
            <w:vAlign w:val="bottom"/>
            <w:hideMark/>
          </w:tcPr>
          <w:p w14:paraId="0AD52F1D" w14:textId="77777777" w:rsidR="00BE6461" w:rsidRPr="00BE6461" w:rsidRDefault="00BE6461" w:rsidP="00BE6461">
            <w:pPr>
              <w:jc w:val="right"/>
              <w:rPr>
                <w:b/>
                <w:bCs/>
                <w:sz w:val="20"/>
                <w:szCs w:val="20"/>
              </w:rPr>
            </w:pPr>
            <w:r w:rsidRPr="00BE6461">
              <w:rPr>
                <w:b/>
                <w:bCs/>
                <w:sz w:val="20"/>
                <w:szCs w:val="20"/>
              </w:rPr>
              <w:t>15.500,00</w:t>
            </w:r>
          </w:p>
        </w:tc>
        <w:tc>
          <w:tcPr>
            <w:tcW w:w="1500" w:type="dxa"/>
            <w:tcBorders>
              <w:top w:val="single" w:sz="4" w:space="0" w:color="auto"/>
              <w:left w:val="nil"/>
              <w:bottom w:val="single" w:sz="4" w:space="0" w:color="auto"/>
              <w:right w:val="nil"/>
            </w:tcBorders>
            <w:shd w:val="clear" w:color="auto" w:fill="auto"/>
            <w:noWrap/>
            <w:vAlign w:val="bottom"/>
            <w:hideMark/>
          </w:tcPr>
          <w:p w14:paraId="2F7D1BF1" w14:textId="77777777" w:rsidR="00BE6461" w:rsidRPr="00BE6461" w:rsidRDefault="00BE6461" w:rsidP="00BE6461">
            <w:pPr>
              <w:jc w:val="right"/>
              <w:rPr>
                <w:b/>
                <w:bCs/>
                <w:sz w:val="20"/>
                <w:szCs w:val="20"/>
              </w:rPr>
            </w:pPr>
            <w:r w:rsidRPr="00BE6461">
              <w:rPr>
                <w:b/>
                <w:bCs/>
                <w:sz w:val="20"/>
                <w:szCs w:val="20"/>
              </w:rPr>
              <w:t>15.500,00</w:t>
            </w:r>
          </w:p>
        </w:tc>
        <w:tc>
          <w:tcPr>
            <w:tcW w:w="1100" w:type="dxa"/>
            <w:tcBorders>
              <w:top w:val="single" w:sz="4" w:space="0" w:color="auto"/>
              <w:left w:val="nil"/>
              <w:bottom w:val="single" w:sz="4" w:space="0" w:color="auto"/>
              <w:right w:val="nil"/>
            </w:tcBorders>
            <w:shd w:val="clear" w:color="auto" w:fill="auto"/>
            <w:noWrap/>
            <w:vAlign w:val="bottom"/>
            <w:hideMark/>
          </w:tcPr>
          <w:p w14:paraId="6DA5AD10"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52C2F3CE"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0195659"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57125704" w14:textId="77777777" w:rsidR="00BE6461" w:rsidRPr="00BE6461" w:rsidRDefault="00BE6461" w:rsidP="00BE6461">
            <w:pPr>
              <w:jc w:val="right"/>
              <w:rPr>
                <w:b/>
                <w:bCs/>
                <w:color w:val="333333"/>
                <w:sz w:val="20"/>
                <w:szCs w:val="20"/>
              </w:rPr>
            </w:pPr>
            <w:r w:rsidRPr="00BE6461">
              <w:rPr>
                <w:b/>
                <w:bCs/>
                <w:color w:val="333333"/>
                <w:sz w:val="20"/>
                <w:szCs w:val="20"/>
              </w:rPr>
              <w:t>15.500,00</w:t>
            </w:r>
          </w:p>
        </w:tc>
        <w:tc>
          <w:tcPr>
            <w:tcW w:w="1500" w:type="dxa"/>
            <w:tcBorders>
              <w:top w:val="nil"/>
              <w:left w:val="nil"/>
              <w:bottom w:val="nil"/>
              <w:right w:val="nil"/>
            </w:tcBorders>
            <w:shd w:val="clear" w:color="auto" w:fill="auto"/>
            <w:noWrap/>
            <w:vAlign w:val="bottom"/>
            <w:hideMark/>
          </w:tcPr>
          <w:p w14:paraId="75A1279D" w14:textId="77777777" w:rsidR="00BE6461" w:rsidRPr="00BE6461" w:rsidRDefault="00BE6461" w:rsidP="00BE6461">
            <w:pPr>
              <w:jc w:val="right"/>
              <w:rPr>
                <w:b/>
                <w:bCs/>
                <w:color w:val="333333"/>
                <w:sz w:val="20"/>
                <w:szCs w:val="20"/>
              </w:rPr>
            </w:pPr>
            <w:r w:rsidRPr="00BE6461">
              <w:rPr>
                <w:b/>
                <w:bCs/>
                <w:color w:val="333333"/>
                <w:sz w:val="20"/>
                <w:szCs w:val="20"/>
              </w:rPr>
              <w:t>15.500,00</w:t>
            </w:r>
          </w:p>
        </w:tc>
        <w:tc>
          <w:tcPr>
            <w:tcW w:w="1100" w:type="dxa"/>
            <w:tcBorders>
              <w:top w:val="nil"/>
              <w:left w:val="nil"/>
              <w:bottom w:val="nil"/>
              <w:right w:val="nil"/>
            </w:tcBorders>
            <w:shd w:val="clear" w:color="auto" w:fill="auto"/>
            <w:noWrap/>
            <w:vAlign w:val="bottom"/>
            <w:hideMark/>
          </w:tcPr>
          <w:p w14:paraId="4279B935"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76C1CE90"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C0FFF9A"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2CCD81A6" w14:textId="77777777" w:rsidR="00BE6461" w:rsidRPr="00BE6461" w:rsidRDefault="00BE6461" w:rsidP="00BE6461">
            <w:pPr>
              <w:jc w:val="right"/>
              <w:rPr>
                <w:b/>
                <w:bCs/>
                <w:color w:val="333333"/>
                <w:sz w:val="20"/>
                <w:szCs w:val="20"/>
              </w:rPr>
            </w:pPr>
            <w:r w:rsidRPr="00BE6461">
              <w:rPr>
                <w:b/>
                <w:bCs/>
                <w:color w:val="333333"/>
                <w:sz w:val="20"/>
                <w:szCs w:val="20"/>
              </w:rPr>
              <w:t>15.500,00</w:t>
            </w:r>
          </w:p>
        </w:tc>
        <w:tc>
          <w:tcPr>
            <w:tcW w:w="1500" w:type="dxa"/>
            <w:tcBorders>
              <w:top w:val="nil"/>
              <w:left w:val="nil"/>
              <w:bottom w:val="nil"/>
              <w:right w:val="nil"/>
            </w:tcBorders>
            <w:shd w:val="clear" w:color="auto" w:fill="auto"/>
            <w:noWrap/>
            <w:vAlign w:val="bottom"/>
            <w:hideMark/>
          </w:tcPr>
          <w:p w14:paraId="62F39AD0" w14:textId="77777777" w:rsidR="00BE6461" w:rsidRPr="00BE6461" w:rsidRDefault="00BE6461" w:rsidP="00BE6461">
            <w:pPr>
              <w:jc w:val="right"/>
              <w:rPr>
                <w:b/>
                <w:bCs/>
                <w:color w:val="333333"/>
                <w:sz w:val="20"/>
                <w:szCs w:val="20"/>
              </w:rPr>
            </w:pPr>
            <w:r w:rsidRPr="00BE6461">
              <w:rPr>
                <w:b/>
                <w:bCs/>
                <w:color w:val="333333"/>
                <w:sz w:val="20"/>
                <w:szCs w:val="20"/>
              </w:rPr>
              <w:t>15.500,00</w:t>
            </w:r>
          </w:p>
        </w:tc>
        <w:tc>
          <w:tcPr>
            <w:tcW w:w="1100" w:type="dxa"/>
            <w:tcBorders>
              <w:top w:val="nil"/>
              <w:left w:val="nil"/>
              <w:bottom w:val="nil"/>
              <w:right w:val="nil"/>
            </w:tcBorders>
            <w:shd w:val="clear" w:color="auto" w:fill="auto"/>
            <w:noWrap/>
            <w:vAlign w:val="bottom"/>
            <w:hideMark/>
          </w:tcPr>
          <w:p w14:paraId="368711C7"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6809DE28" w14:textId="77777777" w:rsidTr="00BE6461">
        <w:trPr>
          <w:trHeight w:val="300"/>
        </w:trPr>
        <w:tc>
          <w:tcPr>
            <w:tcW w:w="1703" w:type="dxa"/>
            <w:tcBorders>
              <w:top w:val="nil"/>
              <w:left w:val="nil"/>
              <w:bottom w:val="nil"/>
              <w:right w:val="nil"/>
            </w:tcBorders>
            <w:shd w:val="clear" w:color="auto" w:fill="auto"/>
            <w:noWrap/>
            <w:vAlign w:val="bottom"/>
            <w:hideMark/>
          </w:tcPr>
          <w:p w14:paraId="041E7143" w14:textId="77777777" w:rsidR="00BE6461" w:rsidRPr="00BE6461" w:rsidRDefault="00BE6461" w:rsidP="00BE6461">
            <w:pPr>
              <w:rPr>
                <w:b/>
                <w:bCs/>
                <w:sz w:val="20"/>
                <w:szCs w:val="20"/>
              </w:rPr>
            </w:pPr>
            <w:r w:rsidRPr="00BE6461">
              <w:rPr>
                <w:b/>
                <w:bCs/>
                <w:sz w:val="20"/>
                <w:szCs w:val="20"/>
              </w:rPr>
              <w:t>381</w:t>
            </w:r>
          </w:p>
        </w:tc>
        <w:tc>
          <w:tcPr>
            <w:tcW w:w="8457" w:type="dxa"/>
            <w:tcBorders>
              <w:top w:val="nil"/>
              <w:left w:val="nil"/>
              <w:bottom w:val="nil"/>
              <w:right w:val="nil"/>
            </w:tcBorders>
            <w:shd w:val="clear" w:color="auto" w:fill="auto"/>
            <w:vAlign w:val="bottom"/>
            <w:hideMark/>
          </w:tcPr>
          <w:p w14:paraId="1EEBD010" w14:textId="77777777" w:rsidR="00BE6461" w:rsidRPr="00BE6461" w:rsidRDefault="00BE6461" w:rsidP="00BE6461">
            <w:pPr>
              <w:rPr>
                <w:b/>
                <w:bCs/>
                <w:sz w:val="20"/>
                <w:szCs w:val="20"/>
              </w:rPr>
            </w:pPr>
            <w:r w:rsidRPr="00BE6461">
              <w:rPr>
                <w:b/>
                <w:bCs/>
                <w:sz w:val="20"/>
                <w:szCs w:val="20"/>
              </w:rPr>
              <w:t xml:space="preserve">Tekuće donacije                                                                                     </w:t>
            </w:r>
          </w:p>
        </w:tc>
        <w:tc>
          <w:tcPr>
            <w:tcW w:w="1503" w:type="dxa"/>
            <w:tcBorders>
              <w:top w:val="nil"/>
              <w:left w:val="nil"/>
              <w:bottom w:val="nil"/>
              <w:right w:val="nil"/>
            </w:tcBorders>
            <w:shd w:val="clear" w:color="auto" w:fill="auto"/>
            <w:noWrap/>
            <w:vAlign w:val="bottom"/>
            <w:hideMark/>
          </w:tcPr>
          <w:p w14:paraId="5799BC8B" w14:textId="77777777" w:rsidR="00BE6461" w:rsidRPr="00BE6461" w:rsidRDefault="00BE6461" w:rsidP="00BE6461">
            <w:pPr>
              <w:jc w:val="right"/>
              <w:rPr>
                <w:b/>
                <w:bCs/>
                <w:sz w:val="20"/>
                <w:szCs w:val="20"/>
              </w:rPr>
            </w:pPr>
            <w:r w:rsidRPr="00BE6461">
              <w:rPr>
                <w:b/>
                <w:bCs/>
                <w:sz w:val="20"/>
                <w:szCs w:val="20"/>
              </w:rPr>
              <w:t>15.500,00</w:t>
            </w:r>
          </w:p>
        </w:tc>
        <w:tc>
          <w:tcPr>
            <w:tcW w:w="1500" w:type="dxa"/>
            <w:tcBorders>
              <w:top w:val="nil"/>
              <w:left w:val="nil"/>
              <w:bottom w:val="nil"/>
              <w:right w:val="nil"/>
            </w:tcBorders>
            <w:shd w:val="clear" w:color="auto" w:fill="auto"/>
            <w:noWrap/>
            <w:vAlign w:val="bottom"/>
            <w:hideMark/>
          </w:tcPr>
          <w:p w14:paraId="3FE30C51" w14:textId="77777777" w:rsidR="00BE6461" w:rsidRPr="00BE6461" w:rsidRDefault="00BE6461" w:rsidP="00BE6461">
            <w:pPr>
              <w:jc w:val="right"/>
              <w:rPr>
                <w:b/>
                <w:bCs/>
                <w:sz w:val="20"/>
                <w:szCs w:val="20"/>
              </w:rPr>
            </w:pPr>
            <w:r w:rsidRPr="00BE6461">
              <w:rPr>
                <w:b/>
                <w:bCs/>
                <w:sz w:val="20"/>
                <w:szCs w:val="20"/>
              </w:rPr>
              <w:t>15.500,00</w:t>
            </w:r>
          </w:p>
        </w:tc>
        <w:tc>
          <w:tcPr>
            <w:tcW w:w="1100" w:type="dxa"/>
            <w:tcBorders>
              <w:top w:val="nil"/>
              <w:left w:val="nil"/>
              <w:bottom w:val="nil"/>
              <w:right w:val="nil"/>
            </w:tcBorders>
            <w:shd w:val="clear" w:color="auto" w:fill="auto"/>
            <w:noWrap/>
            <w:vAlign w:val="bottom"/>
            <w:hideMark/>
          </w:tcPr>
          <w:p w14:paraId="045C67E1"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680033FD" w14:textId="77777777" w:rsidTr="00BE6461">
        <w:trPr>
          <w:trHeight w:val="300"/>
        </w:trPr>
        <w:tc>
          <w:tcPr>
            <w:tcW w:w="1703" w:type="dxa"/>
            <w:tcBorders>
              <w:top w:val="nil"/>
              <w:left w:val="nil"/>
              <w:bottom w:val="nil"/>
              <w:right w:val="nil"/>
            </w:tcBorders>
            <w:shd w:val="clear" w:color="auto" w:fill="auto"/>
            <w:noWrap/>
            <w:vAlign w:val="bottom"/>
            <w:hideMark/>
          </w:tcPr>
          <w:p w14:paraId="5D9C7FF1" w14:textId="77777777" w:rsidR="00BE6461" w:rsidRPr="00BE6461" w:rsidRDefault="00BE6461" w:rsidP="00BE6461">
            <w:pPr>
              <w:rPr>
                <w:sz w:val="20"/>
                <w:szCs w:val="20"/>
              </w:rPr>
            </w:pPr>
            <w:r w:rsidRPr="00BE6461">
              <w:rPr>
                <w:sz w:val="20"/>
                <w:szCs w:val="20"/>
              </w:rPr>
              <w:t>3811</w:t>
            </w:r>
          </w:p>
        </w:tc>
        <w:tc>
          <w:tcPr>
            <w:tcW w:w="8457" w:type="dxa"/>
            <w:tcBorders>
              <w:top w:val="nil"/>
              <w:left w:val="nil"/>
              <w:bottom w:val="nil"/>
              <w:right w:val="nil"/>
            </w:tcBorders>
            <w:shd w:val="clear" w:color="auto" w:fill="auto"/>
            <w:vAlign w:val="bottom"/>
            <w:hideMark/>
          </w:tcPr>
          <w:p w14:paraId="57E53177" w14:textId="77777777" w:rsidR="00BE6461" w:rsidRPr="00BE6461" w:rsidRDefault="00BE6461" w:rsidP="00BE6461">
            <w:pPr>
              <w:rPr>
                <w:sz w:val="20"/>
                <w:szCs w:val="20"/>
              </w:rPr>
            </w:pPr>
            <w:r w:rsidRPr="00BE6461">
              <w:rPr>
                <w:sz w:val="20"/>
                <w:szCs w:val="20"/>
              </w:rPr>
              <w:t xml:space="preserve">Tekuće donacije u novcu                                                                             </w:t>
            </w:r>
          </w:p>
        </w:tc>
        <w:tc>
          <w:tcPr>
            <w:tcW w:w="1503" w:type="dxa"/>
            <w:tcBorders>
              <w:top w:val="nil"/>
              <w:left w:val="nil"/>
              <w:bottom w:val="nil"/>
              <w:right w:val="nil"/>
            </w:tcBorders>
            <w:shd w:val="clear" w:color="auto" w:fill="auto"/>
            <w:noWrap/>
            <w:vAlign w:val="bottom"/>
            <w:hideMark/>
          </w:tcPr>
          <w:p w14:paraId="0EA7982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E857FB7" w14:textId="77777777" w:rsidR="00BE6461" w:rsidRPr="00BE6461" w:rsidRDefault="00BE6461" w:rsidP="00BE6461">
            <w:pPr>
              <w:jc w:val="right"/>
              <w:rPr>
                <w:sz w:val="20"/>
                <w:szCs w:val="20"/>
              </w:rPr>
            </w:pPr>
            <w:r w:rsidRPr="00BE6461">
              <w:rPr>
                <w:sz w:val="20"/>
                <w:szCs w:val="20"/>
              </w:rPr>
              <w:t>15.500,00</w:t>
            </w:r>
          </w:p>
        </w:tc>
        <w:tc>
          <w:tcPr>
            <w:tcW w:w="1100" w:type="dxa"/>
            <w:tcBorders>
              <w:top w:val="nil"/>
              <w:left w:val="nil"/>
              <w:bottom w:val="nil"/>
              <w:right w:val="nil"/>
            </w:tcBorders>
            <w:shd w:val="clear" w:color="auto" w:fill="auto"/>
            <w:noWrap/>
            <w:vAlign w:val="bottom"/>
            <w:hideMark/>
          </w:tcPr>
          <w:p w14:paraId="72815E01" w14:textId="77777777" w:rsidR="00BE6461" w:rsidRPr="00BE6461" w:rsidRDefault="00BE6461" w:rsidP="00BE6461">
            <w:pPr>
              <w:jc w:val="right"/>
              <w:rPr>
                <w:sz w:val="20"/>
                <w:szCs w:val="20"/>
              </w:rPr>
            </w:pPr>
          </w:p>
        </w:tc>
      </w:tr>
      <w:tr w:rsidR="00BE6461" w:rsidRPr="00BE6461" w14:paraId="01CE030F"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6AD752D7" w14:textId="77777777" w:rsidR="00BE6461" w:rsidRPr="00BE6461" w:rsidRDefault="00BE6461" w:rsidP="00BE6461">
            <w:pPr>
              <w:rPr>
                <w:b/>
                <w:bCs/>
                <w:sz w:val="20"/>
                <w:szCs w:val="20"/>
              </w:rPr>
            </w:pPr>
            <w:r w:rsidRPr="00BE6461">
              <w:rPr>
                <w:b/>
                <w:bCs/>
                <w:sz w:val="20"/>
                <w:szCs w:val="20"/>
              </w:rPr>
              <w:t>A100039</w:t>
            </w:r>
          </w:p>
        </w:tc>
        <w:tc>
          <w:tcPr>
            <w:tcW w:w="8457" w:type="dxa"/>
            <w:tcBorders>
              <w:top w:val="single" w:sz="4" w:space="0" w:color="auto"/>
              <w:left w:val="nil"/>
              <w:bottom w:val="single" w:sz="4" w:space="0" w:color="auto"/>
              <w:right w:val="nil"/>
            </w:tcBorders>
            <w:shd w:val="clear" w:color="auto" w:fill="auto"/>
            <w:vAlign w:val="bottom"/>
            <w:hideMark/>
          </w:tcPr>
          <w:p w14:paraId="6191EB74" w14:textId="77777777" w:rsidR="00BE6461" w:rsidRPr="00BE6461" w:rsidRDefault="00BE6461" w:rsidP="00BE6461">
            <w:pPr>
              <w:rPr>
                <w:b/>
                <w:bCs/>
                <w:sz w:val="20"/>
                <w:szCs w:val="20"/>
              </w:rPr>
            </w:pPr>
            <w:r w:rsidRPr="00BE6461">
              <w:rPr>
                <w:b/>
                <w:bCs/>
                <w:sz w:val="20"/>
                <w:szCs w:val="20"/>
              </w:rPr>
              <w:t>Aktivnost: TEKUĆE DONACIJE UDRUGAMA I KORISNICIMA IZVAN GRADA BUJA</w:t>
            </w:r>
          </w:p>
        </w:tc>
        <w:tc>
          <w:tcPr>
            <w:tcW w:w="1503" w:type="dxa"/>
            <w:tcBorders>
              <w:top w:val="single" w:sz="4" w:space="0" w:color="auto"/>
              <w:left w:val="nil"/>
              <w:bottom w:val="single" w:sz="4" w:space="0" w:color="auto"/>
              <w:right w:val="nil"/>
            </w:tcBorders>
            <w:shd w:val="clear" w:color="auto" w:fill="auto"/>
            <w:noWrap/>
            <w:vAlign w:val="bottom"/>
            <w:hideMark/>
          </w:tcPr>
          <w:p w14:paraId="3602A9F7" w14:textId="77777777" w:rsidR="00BE6461" w:rsidRPr="00BE6461" w:rsidRDefault="00BE6461" w:rsidP="00BE6461">
            <w:pPr>
              <w:jc w:val="right"/>
              <w:rPr>
                <w:b/>
                <w:bCs/>
                <w:sz w:val="20"/>
                <w:szCs w:val="20"/>
              </w:rPr>
            </w:pPr>
            <w:r w:rsidRPr="00BE6461">
              <w:rPr>
                <w:b/>
                <w:bCs/>
                <w:sz w:val="20"/>
                <w:szCs w:val="20"/>
              </w:rPr>
              <w:t>92.000,00</w:t>
            </w:r>
          </w:p>
        </w:tc>
        <w:tc>
          <w:tcPr>
            <w:tcW w:w="1500" w:type="dxa"/>
            <w:tcBorders>
              <w:top w:val="single" w:sz="4" w:space="0" w:color="auto"/>
              <w:left w:val="nil"/>
              <w:bottom w:val="single" w:sz="4" w:space="0" w:color="auto"/>
              <w:right w:val="nil"/>
            </w:tcBorders>
            <w:shd w:val="clear" w:color="auto" w:fill="auto"/>
            <w:noWrap/>
            <w:vAlign w:val="bottom"/>
            <w:hideMark/>
          </w:tcPr>
          <w:p w14:paraId="1F3F46FE" w14:textId="77777777" w:rsidR="00BE6461" w:rsidRPr="00BE6461" w:rsidRDefault="00BE6461" w:rsidP="00BE6461">
            <w:pPr>
              <w:jc w:val="right"/>
              <w:rPr>
                <w:b/>
                <w:bCs/>
                <w:sz w:val="20"/>
                <w:szCs w:val="20"/>
              </w:rPr>
            </w:pPr>
            <w:r w:rsidRPr="00BE6461">
              <w:rPr>
                <w:b/>
                <w:bCs/>
                <w:sz w:val="20"/>
                <w:szCs w:val="20"/>
              </w:rPr>
              <w:t>92.000,00</w:t>
            </w:r>
          </w:p>
        </w:tc>
        <w:tc>
          <w:tcPr>
            <w:tcW w:w="1100" w:type="dxa"/>
            <w:tcBorders>
              <w:top w:val="single" w:sz="4" w:space="0" w:color="auto"/>
              <w:left w:val="nil"/>
              <w:bottom w:val="single" w:sz="4" w:space="0" w:color="auto"/>
              <w:right w:val="nil"/>
            </w:tcBorders>
            <w:shd w:val="clear" w:color="auto" w:fill="auto"/>
            <w:noWrap/>
            <w:vAlign w:val="bottom"/>
            <w:hideMark/>
          </w:tcPr>
          <w:p w14:paraId="59934514"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25B98848"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758146A"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691408AA" w14:textId="77777777" w:rsidR="00BE6461" w:rsidRPr="00BE6461" w:rsidRDefault="00BE6461" w:rsidP="00BE6461">
            <w:pPr>
              <w:jc w:val="right"/>
              <w:rPr>
                <w:b/>
                <w:bCs/>
                <w:color w:val="333333"/>
                <w:sz w:val="20"/>
                <w:szCs w:val="20"/>
              </w:rPr>
            </w:pPr>
            <w:r w:rsidRPr="00BE6461">
              <w:rPr>
                <w:b/>
                <w:bCs/>
                <w:color w:val="333333"/>
                <w:sz w:val="20"/>
                <w:szCs w:val="20"/>
              </w:rPr>
              <w:t>92.000,00</w:t>
            </w:r>
          </w:p>
        </w:tc>
        <w:tc>
          <w:tcPr>
            <w:tcW w:w="1500" w:type="dxa"/>
            <w:tcBorders>
              <w:top w:val="nil"/>
              <w:left w:val="nil"/>
              <w:bottom w:val="nil"/>
              <w:right w:val="nil"/>
            </w:tcBorders>
            <w:shd w:val="clear" w:color="auto" w:fill="auto"/>
            <w:noWrap/>
            <w:vAlign w:val="bottom"/>
            <w:hideMark/>
          </w:tcPr>
          <w:p w14:paraId="409D50A7" w14:textId="77777777" w:rsidR="00BE6461" w:rsidRPr="00BE6461" w:rsidRDefault="00BE6461" w:rsidP="00BE6461">
            <w:pPr>
              <w:jc w:val="right"/>
              <w:rPr>
                <w:b/>
                <w:bCs/>
                <w:color w:val="333333"/>
                <w:sz w:val="20"/>
                <w:szCs w:val="20"/>
              </w:rPr>
            </w:pPr>
            <w:r w:rsidRPr="00BE6461">
              <w:rPr>
                <w:b/>
                <w:bCs/>
                <w:color w:val="333333"/>
                <w:sz w:val="20"/>
                <w:szCs w:val="20"/>
              </w:rPr>
              <w:t>92.000,00</w:t>
            </w:r>
          </w:p>
        </w:tc>
        <w:tc>
          <w:tcPr>
            <w:tcW w:w="1100" w:type="dxa"/>
            <w:tcBorders>
              <w:top w:val="nil"/>
              <w:left w:val="nil"/>
              <w:bottom w:val="nil"/>
              <w:right w:val="nil"/>
            </w:tcBorders>
            <w:shd w:val="clear" w:color="auto" w:fill="auto"/>
            <w:noWrap/>
            <w:vAlign w:val="bottom"/>
            <w:hideMark/>
          </w:tcPr>
          <w:p w14:paraId="6E2BE9E9"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6B30DD1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9ADF6B7"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01DEAC0B" w14:textId="77777777" w:rsidR="00BE6461" w:rsidRPr="00BE6461" w:rsidRDefault="00BE6461" w:rsidP="00BE6461">
            <w:pPr>
              <w:jc w:val="right"/>
              <w:rPr>
                <w:b/>
                <w:bCs/>
                <w:color w:val="333333"/>
                <w:sz w:val="20"/>
                <w:szCs w:val="20"/>
              </w:rPr>
            </w:pPr>
            <w:r w:rsidRPr="00BE6461">
              <w:rPr>
                <w:b/>
                <w:bCs/>
                <w:color w:val="333333"/>
                <w:sz w:val="20"/>
                <w:szCs w:val="20"/>
              </w:rPr>
              <w:t>92.000,00</w:t>
            </w:r>
          </w:p>
        </w:tc>
        <w:tc>
          <w:tcPr>
            <w:tcW w:w="1500" w:type="dxa"/>
            <w:tcBorders>
              <w:top w:val="nil"/>
              <w:left w:val="nil"/>
              <w:bottom w:val="nil"/>
              <w:right w:val="nil"/>
            </w:tcBorders>
            <w:shd w:val="clear" w:color="auto" w:fill="auto"/>
            <w:noWrap/>
            <w:vAlign w:val="bottom"/>
            <w:hideMark/>
          </w:tcPr>
          <w:p w14:paraId="567AC224" w14:textId="77777777" w:rsidR="00BE6461" w:rsidRPr="00BE6461" w:rsidRDefault="00BE6461" w:rsidP="00BE6461">
            <w:pPr>
              <w:jc w:val="right"/>
              <w:rPr>
                <w:b/>
                <w:bCs/>
                <w:color w:val="333333"/>
                <w:sz w:val="20"/>
                <w:szCs w:val="20"/>
              </w:rPr>
            </w:pPr>
            <w:r w:rsidRPr="00BE6461">
              <w:rPr>
                <w:b/>
                <w:bCs/>
                <w:color w:val="333333"/>
                <w:sz w:val="20"/>
                <w:szCs w:val="20"/>
              </w:rPr>
              <w:t>92.000,00</w:t>
            </w:r>
          </w:p>
        </w:tc>
        <w:tc>
          <w:tcPr>
            <w:tcW w:w="1100" w:type="dxa"/>
            <w:tcBorders>
              <w:top w:val="nil"/>
              <w:left w:val="nil"/>
              <w:bottom w:val="nil"/>
              <w:right w:val="nil"/>
            </w:tcBorders>
            <w:shd w:val="clear" w:color="auto" w:fill="auto"/>
            <w:noWrap/>
            <w:vAlign w:val="bottom"/>
            <w:hideMark/>
          </w:tcPr>
          <w:p w14:paraId="3E76B5FF"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6660AC57" w14:textId="77777777" w:rsidTr="00BE6461">
        <w:trPr>
          <w:trHeight w:val="300"/>
        </w:trPr>
        <w:tc>
          <w:tcPr>
            <w:tcW w:w="1703" w:type="dxa"/>
            <w:tcBorders>
              <w:top w:val="nil"/>
              <w:left w:val="nil"/>
              <w:bottom w:val="nil"/>
              <w:right w:val="nil"/>
            </w:tcBorders>
            <w:shd w:val="clear" w:color="auto" w:fill="auto"/>
            <w:noWrap/>
            <w:vAlign w:val="bottom"/>
            <w:hideMark/>
          </w:tcPr>
          <w:p w14:paraId="4C9E92F2" w14:textId="77777777" w:rsidR="00BE6461" w:rsidRPr="00BE6461" w:rsidRDefault="00BE6461" w:rsidP="00BE6461">
            <w:pPr>
              <w:rPr>
                <w:b/>
                <w:bCs/>
                <w:sz w:val="20"/>
                <w:szCs w:val="20"/>
              </w:rPr>
            </w:pPr>
            <w:r w:rsidRPr="00BE6461">
              <w:rPr>
                <w:b/>
                <w:bCs/>
                <w:sz w:val="20"/>
                <w:szCs w:val="20"/>
              </w:rPr>
              <w:t>381</w:t>
            </w:r>
          </w:p>
        </w:tc>
        <w:tc>
          <w:tcPr>
            <w:tcW w:w="8457" w:type="dxa"/>
            <w:tcBorders>
              <w:top w:val="nil"/>
              <w:left w:val="nil"/>
              <w:bottom w:val="nil"/>
              <w:right w:val="nil"/>
            </w:tcBorders>
            <w:shd w:val="clear" w:color="auto" w:fill="auto"/>
            <w:vAlign w:val="bottom"/>
            <w:hideMark/>
          </w:tcPr>
          <w:p w14:paraId="7A7834CA" w14:textId="77777777" w:rsidR="00BE6461" w:rsidRPr="00BE6461" w:rsidRDefault="00BE6461" w:rsidP="00BE6461">
            <w:pPr>
              <w:rPr>
                <w:b/>
                <w:bCs/>
                <w:sz w:val="20"/>
                <w:szCs w:val="20"/>
              </w:rPr>
            </w:pPr>
            <w:r w:rsidRPr="00BE6461">
              <w:rPr>
                <w:b/>
                <w:bCs/>
                <w:sz w:val="20"/>
                <w:szCs w:val="20"/>
              </w:rPr>
              <w:t xml:space="preserve">Tekuće donacije                                                                                     </w:t>
            </w:r>
          </w:p>
        </w:tc>
        <w:tc>
          <w:tcPr>
            <w:tcW w:w="1503" w:type="dxa"/>
            <w:tcBorders>
              <w:top w:val="nil"/>
              <w:left w:val="nil"/>
              <w:bottom w:val="nil"/>
              <w:right w:val="nil"/>
            </w:tcBorders>
            <w:shd w:val="clear" w:color="auto" w:fill="auto"/>
            <w:noWrap/>
            <w:vAlign w:val="bottom"/>
            <w:hideMark/>
          </w:tcPr>
          <w:p w14:paraId="708E1248" w14:textId="77777777" w:rsidR="00BE6461" w:rsidRPr="00BE6461" w:rsidRDefault="00BE6461" w:rsidP="00BE6461">
            <w:pPr>
              <w:jc w:val="right"/>
              <w:rPr>
                <w:b/>
                <w:bCs/>
                <w:sz w:val="20"/>
                <w:szCs w:val="20"/>
              </w:rPr>
            </w:pPr>
            <w:r w:rsidRPr="00BE6461">
              <w:rPr>
                <w:b/>
                <w:bCs/>
                <w:sz w:val="20"/>
                <w:szCs w:val="20"/>
              </w:rPr>
              <w:t>92.000,00</w:t>
            </w:r>
          </w:p>
        </w:tc>
        <w:tc>
          <w:tcPr>
            <w:tcW w:w="1500" w:type="dxa"/>
            <w:tcBorders>
              <w:top w:val="nil"/>
              <w:left w:val="nil"/>
              <w:bottom w:val="nil"/>
              <w:right w:val="nil"/>
            </w:tcBorders>
            <w:shd w:val="clear" w:color="auto" w:fill="auto"/>
            <w:noWrap/>
            <w:vAlign w:val="bottom"/>
            <w:hideMark/>
          </w:tcPr>
          <w:p w14:paraId="15603963" w14:textId="77777777" w:rsidR="00BE6461" w:rsidRPr="00BE6461" w:rsidRDefault="00BE6461" w:rsidP="00BE6461">
            <w:pPr>
              <w:jc w:val="right"/>
              <w:rPr>
                <w:b/>
                <w:bCs/>
                <w:sz w:val="20"/>
                <w:szCs w:val="20"/>
              </w:rPr>
            </w:pPr>
            <w:r w:rsidRPr="00BE6461">
              <w:rPr>
                <w:b/>
                <w:bCs/>
                <w:sz w:val="20"/>
                <w:szCs w:val="20"/>
              </w:rPr>
              <w:t>92.000,00</w:t>
            </w:r>
          </w:p>
        </w:tc>
        <w:tc>
          <w:tcPr>
            <w:tcW w:w="1100" w:type="dxa"/>
            <w:tcBorders>
              <w:top w:val="nil"/>
              <w:left w:val="nil"/>
              <w:bottom w:val="nil"/>
              <w:right w:val="nil"/>
            </w:tcBorders>
            <w:shd w:val="clear" w:color="auto" w:fill="auto"/>
            <w:noWrap/>
            <w:vAlign w:val="bottom"/>
            <w:hideMark/>
          </w:tcPr>
          <w:p w14:paraId="27864DBA"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2735F7FE" w14:textId="77777777" w:rsidTr="00BE6461">
        <w:trPr>
          <w:trHeight w:val="300"/>
        </w:trPr>
        <w:tc>
          <w:tcPr>
            <w:tcW w:w="1703" w:type="dxa"/>
            <w:tcBorders>
              <w:top w:val="nil"/>
              <w:left w:val="nil"/>
              <w:bottom w:val="nil"/>
              <w:right w:val="nil"/>
            </w:tcBorders>
            <w:shd w:val="clear" w:color="auto" w:fill="auto"/>
            <w:noWrap/>
            <w:vAlign w:val="bottom"/>
            <w:hideMark/>
          </w:tcPr>
          <w:p w14:paraId="25C0624B" w14:textId="77777777" w:rsidR="00BE6461" w:rsidRPr="00BE6461" w:rsidRDefault="00BE6461" w:rsidP="00BE6461">
            <w:pPr>
              <w:rPr>
                <w:sz w:val="20"/>
                <w:szCs w:val="20"/>
              </w:rPr>
            </w:pPr>
            <w:r w:rsidRPr="00BE6461">
              <w:rPr>
                <w:sz w:val="20"/>
                <w:szCs w:val="20"/>
              </w:rPr>
              <w:t>3811</w:t>
            </w:r>
          </w:p>
        </w:tc>
        <w:tc>
          <w:tcPr>
            <w:tcW w:w="8457" w:type="dxa"/>
            <w:tcBorders>
              <w:top w:val="nil"/>
              <w:left w:val="nil"/>
              <w:bottom w:val="nil"/>
              <w:right w:val="nil"/>
            </w:tcBorders>
            <w:shd w:val="clear" w:color="auto" w:fill="auto"/>
            <w:vAlign w:val="bottom"/>
            <w:hideMark/>
          </w:tcPr>
          <w:p w14:paraId="6087A52B" w14:textId="77777777" w:rsidR="00BE6461" w:rsidRPr="00BE6461" w:rsidRDefault="00BE6461" w:rsidP="00BE6461">
            <w:pPr>
              <w:rPr>
                <w:sz w:val="20"/>
                <w:szCs w:val="20"/>
              </w:rPr>
            </w:pPr>
            <w:r w:rsidRPr="00BE6461">
              <w:rPr>
                <w:sz w:val="20"/>
                <w:szCs w:val="20"/>
              </w:rPr>
              <w:t xml:space="preserve">Tekuće donacije u novcu                                                                             </w:t>
            </w:r>
          </w:p>
        </w:tc>
        <w:tc>
          <w:tcPr>
            <w:tcW w:w="1503" w:type="dxa"/>
            <w:tcBorders>
              <w:top w:val="nil"/>
              <w:left w:val="nil"/>
              <w:bottom w:val="nil"/>
              <w:right w:val="nil"/>
            </w:tcBorders>
            <w:shd w:val="clear" w:color="auto" w:fill="auto"/>
            <w:noWrap/>
            <w:vAlign w:val="bottom"/>
            <w:hideMark/>
          </w:tcPr>
          <w:p w14:paraId="4ED85F3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DCA1088" w14:textId="77777777" w:rsidR="00BE6461" w:rsidRPr="00BE6461" w:rsidRDefault="00BE6461" w:rsidP="00BE6461">
            <w:pPr>
              <w:jc w:val="right"/>
              <w:rPr>
                <w:sz w:val="20"/>
                <w:szCs w:val="20"/>
              </w:rPr>
            </w:pPr>
            <w:r w:rsidRPr="00BE6461">
              <w:rPr>
                <w:sz w:val="20"/>
                <w:szCs w:val="20"/>
              </w:rPr>
              <w:t>92.000,00</w:t>
            </w:r>
          </w:p>
        </w:tc>
        <w:tc>
          <w:tcPr>
            <w:tcW w:w="1100" w:type="dxa"/>
            <w:tcBorders>
              <w:top w:val="nil"/>
              <w:left w:val="nil"/>
              <w:bottom w:val="nil"/>
              <w:right w:val="nil"/>
            </w:tcBorders>
            <w:shd w:val="clear" w:color="auto" w:fill="auto"/>
            <w:noWrap/>
            <w:vAlign w:val="bottom"/>
            <w:hideMark/>
          </w:tcPr>
          <w:p w14:paraId="2BE910CB" w14:textId="77777777" w:rsidR="00BE6461" w:rsidRPr="00BE6461" w:rsidRDefault="00BE6461" w:rsidP="00BE6461">
            <w:pPr>
              <w:jc w:val="right"/>
              <w:rPr>
                <w:sz w:val="20"/>
                <w:szCs w:val="20"/>
              </w:rPr>
            </w:pPr>
          </w:p>
        </w:tc>
      </w:tr>
      <w:tr w:rsidR="00BE6461" w:rsidRPr="00BE6461" w14:paraId="35D4F0C6"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5C77803F" w14:textId="77777777" w:rsidR="00BE6461" w:rsidRPr="00BE6461" w:rsidRDefault="00BE6461" w:rsidP="00BE6461">
            <w:pPr>
              <w:rPr>
                <w:b/>
                <w:bCs/>
                <w:sz w:val="20"/>
                <w:szCs w:val="20"/>
              </w:rPr>
            </w:pPr>
            <w:r w:rsidRPr="00BE6461">
              <w:rPr>
                <w:b/>
                <w:bCs/>
                <w:sz w:val="20"/>
                <w:szCs w:val="20"/>
              </w:rPr>
              <w:t>A100040</w:t>
            </w:r>
          </w:p>
        </w:tc>
        <w:tc>
          <w:tcPr>
            <w:tcW w:w="8457" w:type="dxa"/>
            <w:tcBorders>
              <w:top w:val="single" w:sz="4" w:space="0" w:color="auto"/>
              <w:left w:val="nil"/>
              <w:bottom w:val="single" w:sz="4" w:space="0" w:color="auto"/>
              <w:right w:val="nil"/>
            </w:tcBorders>
            <w:shd w:val="clear" w:color="auto" w:fill="auto"/>
            <w:vAlign w:val="bottom"/>
            <w:hideMark/>
          </w:tcPr>
          <w:p w14:paraId="6F7FDAD5" w14:textId="77777777" w:rsidR="00BE6461" w:rsidRPr="00BE6461" w:rsidRDefault="00BE6461" w:rsidP="00BE6461">
            <w:pPr>
              <w:rPr>
                <w:b/>
                <w:bCs/>
                <w:sz w:val="20"/>
                <w:szCs w:val="20"/>
              </w:rPr>
            </w:pPr>
            <w:r w:rsidRPr="00BE6461">
              <w:rPr>
                <w:b/>
                <w:bCs/>
                <w:sz w:val="20"/>
                <w:szCs w:val="20"/>
              </w:rPr>
              <w:t>Aktivnost: OSTALI SOCIJALNO ZDRAVSTVENI PROGRAMI</w:t>
            </w:r>
          </w:p>
        </w:tc>
        <w:tc>
          <w:tcPr>
            <w:tcW w:w="1503" w:type="dxa"/>
            <w:tcBorders>
              <w:top w:val="single" w:sz="4" w:space="0" w:color="auto"/>
              <w:left w:val="nil"/>
              <w:bottom w:val="single" w:sz="4" w:space="0" w:color="auto"/>
              <w:right w:val="nil"/>
            </w:tcBorders>
            <w:shd w:val="clear" w:color="auto" w:fill="auto"/>
            <w:noWrap/>
            <w:vAlign w:val="bottom"/>
            <w:hideMark/>
          </w:tcPr>
          <w:p w14:paraId="16FB1771" w14:textId="77777777" w:rsidR="00BE6461" w:rsidRPr="00BE6461" w:rsidRDefault="00BE6461" w:rsidP="00BE6461">
            <w:pPr>
              <w:jc w:val="right"/>
              <w:rPr>
                <w:b/>
                <w:bCs/>
                <w:sz w:val="20"/>
                <w:szCs w:val="20"/>
              </w:rPr>
            </w:pPr>
            <w:r w:rsidRPr="00BE6461">
              <w:rPr>
                <w:b/>
                <w:bCs/>
                <w:sz w:val="20"/>
                <w:szCs w:val="20"/>
              </w:rPr>
              <w:t>101.000,00</w:t>
            </w:r>
          </w:p>
        </w:tc>
        <w:tc>
          <w:tcPr>
            <w:tcW w:w="1500" w:type="dxa"/>
            <w:tcBorders>
              <w:top w:val="single" w:sz="4" w:space="0" w:color="auto"/>
              <w:left w:val="nil"/>
              <w:bottom w:val="single" w:sz="4" w:space="0" w:color="auto"/>
              <w:right w:val="nil"/>
            </w:tcBorders>
            <w:shd w:val="clear" w:color="auto" w:fill="auto"/>
            <w:noWrap/>
            <w:vAlign w:val="bottom"/>
            <w:hideMark/>
          </w:tcPr>
          <w:p w14:paraId="39BEF97B" w14:textId="77777777" w:rsidR="00BE6461" w:rsidRPr="00BE6461" w:rsidRDefault="00BE6461" w:rsidP="00BE6461">
            <w:pPr>
              <w:jc w:val="right"/>
              <w:rPr>
                <w:b/>
                <w:bCs/>
                <w:sz w:val="20"/>
                <w:szCs w:val="20"/>
              </w:rPr>
            </w:pPr>
            <w:r w:rsidRPr="00BE6461">
              <w:rPr>
                <w:b/>
                <w:bCs/>
                <w:sz w:val="20"/>
                <w:szCs w:val="20"/>
              </w:rPr>
              <w:t>92.882,87</w:t>
            </w:r>
          </w:p>
        </w:tc>
        <w:tc>
          <w:tcPr>
            <w:tcW w:w="1100" w:type="dxa"/>
            <w:tcBorders>
              <w:top w:val="single" w:sz="4" w:space="0" w:color="auto"/>
              <w:left w:val="nil"/>
              <w:bottom w:val="single" w:sz="4" w:space="0" w:color="auto"/>
              <w:right w:val="nil"/>
            </w:tcBorders>
            <w:shd w:val="clear" w:color="auto" w:fill="auto"/>
            <w:noWrap/>
            <w:vAlign w:val="bottom"/>
            <w:hideMark/>
          </w:tcPr>
          <w:p w14:paraId="6E75BCB2" w14:textId="77777777" w:rsidR="00BE6461" w:rsidRPr="00BE6461" w:rsidRDefault="00BE6461" w:rsidP="00BE6461">
            <w:pPr>
              <w:jc w:val="right"/>
              <w:rPr>
                <w:b/>
                <w:bCs/>
                <w:sz w:val="20"/>
                <w:szCs w:val="20"/>
              </w:rPr>
            </w:pPr>
            <w:r w:rsidRPr="00BE6461">
              <w:rPr>
                <w:b/>
                <w:bCs/>
                <w:sz w:val="20"/>
                <w:szCs w:val="20"/>
              </w:rPr>
              <w:t>91,96</w:t>
            </w:r>
          </w:p>
        </w:tc>
      </w:tr>
      <w:tr w:rsidR="00BE6461" w:rsidRPr="00BE6461" w14:paraId="1AAA000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525BC5D" w14:textId="77777777" w:rsidR="00BE6461" w:rsidRPr="00BE6461" w:rsidRDefault="00BE6461" w:rsidP="00BE6461">
            <w:pPr>
              <w:rPr>
                <w:b/>
                <w:bCs/>
                <w:color w:val="333333"/>
                <w:sz w:val="20"/>
                <w:szCs w:val="20"/>
              </w:rPr>
            </w:pPr>
            <w:r w:rsidRPr="00BE6461">
              <w:rPr>
                <w:b/>
                <w:bCs/>
                <w:color w:val="333333"/>
                <w:sz w:val="20"/>
                <w:szCs w:val="20"/>
              </w:rPr>
              <w:lastRenderedPageBreak/>
              <w:t>Izvor 1. OPĆI PRIHODI I PRIMICI</w:t>
            </w:r>
          </w:p>
        </w:tc>
        <w:tc>
          <w:tcPr>
            <w:tcW w:w="1503" w:type="dxa"/>
            <w:tcBorders>
              <w:top w:val="nil"/>
              <w:left w:val="nil"/>
              <w:bottom w:val="nil"/>
              <w:right w:val="nil"/>
            </w:tcBorders>
            <w:shd w:val="clear" w:color="auto" w:fill="auto"/>
            <w:noWrap/>
            <w:vAlign w:val="bottom"/>
            <w:hideMark/>
          </w:tcPr>
          <w:p w14:paraId="53B80CDB" w14:textId="77777777" w:rsidR="00BE6461" w:rsidRPr="00BE6461" w:rsidRDefault="00BE6461" w:rsidP="00BE6461">
            <w:pPr>
              <w:jc w:val="right"/>
              <w:rPr>
                <w:b/>
                <w:bCs/>
                <w:color w:val="333333"/>
                <w:sz w:val="20"/>
                <w:szCs w:val="20"/>
              </w:rPr>
            </w:pPr>
            <w:r w:rsidRPr="00BE6461">
              <w:rPr>
                <w:b/>
                <w:bCs/>
                <w:color w:val="333333"/>
                <w:sz w:val="20"/>
                <w:szCs w:val="20"/>
              </w:rPr>
              <w:t>101.000,00</w:t>
            </w:r>
          </w:p>
        </w:tc>
        <w:tc>
          <w:tcPr>
            <w:tcW w:w="1500" w:type="dxa"/>
            <w:tcBorders>
              <w:top w:val="nil"/>
              <w:left w:val="nil"/>
              <w:bottom w:val="nil"/>
              <w:right w:val="nil"/>
            </w:tcBorders>
            <w:shd w:val="clear" w:color="auto" w:fill="auto"/>
            <w:noWrap/>
            <w:vAlign w:val="bottom"/>
            <w:hideMark/>
          </w:tcPr>
          <w:p w14:paraId="56D21BED" w14:textId="77777777" w:rsidR="00BE6461" w:rsidRPr="00BE6461" w:rsidRDefault="00BE6461" w:rsidP="00BE6461">
            <w:pPr>
              <w:jc w:val="right"/>
              <w:rPr>
                <w:b/>
                <w:bCs/>
                <w:color w:val="333333"/>
                <w:sz w:val="20"/>
                <w:szCs w:val="20"/>
              </w:rPr>
            </w:pPr>
            <w:r w:rsidRPr="00BE6461">
              <w:rPr>
                <w:b/>
                <w:bCs/>
                <w:color w:val="333333"/>
                <w:sz w:val="20"/>
                <w:szCs w:val="20"/>
              </w:rPr>
              <w:t>92.882,87</w:t>
            </w:r>
          </w:p>
        </w:tc>
        <w:tc>
          <w:tcPr>
            <w:tcW w:w="1100" w:type="dxa"/>
            <w:tcBorders>
              <w:top w:val="nil"/>
              <w:left w:val="nil"/>
              <w:bottom w:val="nil"/>
              <w:right w:val="nil"/>
            </w:tcBorders>
            <w:shd w:val="clear" w:color="auto" w:fill="auto"/>
            <w:noWrap/>
            <w:vAlign w:val="bottom"/>
            <w:hideMark/>
          </w:tcPr>
          <w:p w14:paraId="5586424A" w14:textId="77777777" w:rsidR="00BE6461" w:rsidRPr="00BE6461" w:rsidRDefault="00BE6461" w:rsidP="00BE6461">
            <w:pPr>
              <w:jc w:val="right"/>
              <w:rPr>
                <w:b/>
                <w:bCs/>
                <w:color w:val="333333"/>
                <w:sz w:val="20"/>
                <w:szCs w:val="20"/>
              </w:rPr>
            </w:pPr>
            <w:r w:rsidRPr="00BE6461">
              <w:rPr>
                <w:b/>
                <w:bCs/>
                <w:color w:val="333333"/>
                <w:sz w:val="20"/>
                <w:szCs w:val="20"/>
              </w:rPr>
              <w:t>91,96</w:t>
            </w:r>
          </w:p>
        </w:tc>
      </w:tr>
      <w:tr w:rsidR="00BE6461" w:rsidRPr="00BE6461" w14:paraId="293A57B4"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6CEE827"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4AACE613" w14:textId="77777777" w:rsidR="00BE6461" w:rsidRPr="00BE6461" w:rsidRDefault="00BE6461" w:rsidP="00BE6461">
            <w:pPr>
              <w:jc w:val="right"/>
              <w:rPr>
                <w:b/>
                <w:bCs/>
                <w:color w:val="333333"/>
                <w:sz w:val="20"/>
                <w:szCs w:val="20"/>
              </w:rPr>
            </w:pPr>
            <w:r w:rsidRPr="00BE6461">
              <w:rPr>
                <w:b/>
                <w:bCs/>
                <w:color w:val="333333"/>
                <w:sz w:val="20"/>
                <w:szCs w:val="20"/>
              </w:rPr>
              <w:t>101.000,00</w:t>
            </w:r>
          </w:p>
        </w:tc>
        <w:tc>
          <w:tcPr>
            <w:tcW w:w="1500" w:type="dxa"/>
            <w:tcBorders>
              <w:top w:val="nil"/>
              <w:left w:val="nil"/>
              <w:bottom w:val="nil"/>
              <w:right w:val="nil"/>
            </w:tcBorders>
            <w:shd w:val="clear" w:color="auto" w:fill="auto"/>
            <w:noWrap/>
            <w:vAlign w:val="bottom"/>
            <w:hideMark/>
          </w:tcPr>
          <w:p w14:paraId="660352CC" w14:textId="77777777" w:rsidR="00BE6461" w:rsidRPr="00BE6461" w:rsidRDefault="00BE6461" w:rsidP="00BE6461">
            <w:pPr>
              <w:jc w:val="right"/>
              <w:rPr>
                <w:b/>
                <w:bCs/>
                <w:color w:val="333333"/>
                <w:sz w:val="20"/>
                <w:szCs w:val="20"/>
              </w:rPr>
            </w:pPr>
            <w:r w:rsidRPr="00BE6461">
              <w:rPr>
                <w:b/>
                <w:bCs/>
                <w:color w:val="333333"/>
                <w:sz w:val="20"/>
                <w:szCs w:val="20"/>
              </w:rPr>
              <w:t>92.882,87</w:t>
            </w:r>
          </w:p>
        </w:tc>
        <w:tc>
          <w:tcPr>
            <w:tcW w:w="1100" w:type="dxa"/>
            <w:tcBorders>
              <w:top w:val="nil"/>
              <w:left w:val="nil"/>
              <w:bottom w:val="nil"/>
              <w:right w:val="nil"/>
            </w:tcBorders>
            <w:shd w:val="clear" w:color="auto" w:fill="auto"/>
            <w:noWrap/>
            <w:vAlign w:val="bottom"/>
            <w:hideMark/>
          </w:tcPr>
          <w:p w14:paraId="288C4B88" w14:textId="77777777" w:rsidR="00BE6461" w:rsidRPr="00BE6461" w:rsidRDefault="00BE6461" w:rsidP="00BE6461">
            <w:pPr>
              <w:jc w:val="right"/>
              <w:rPr>
                <w:b/>
                <w:bCs/>
                <w:color w:val="333333"/>
                <w:sz w:val="20"/>
                <w:szCs w:val="20"/>
              </w:rPr>
            </w:pPr>
            <w:r w:rsidRPr="00BE6461">
              <w:rPr>
                <w:b/>
                <w:bCs/>
                <w:color w:val="333333"/>
                <w:sz w:val="20"/>
                <w:szCs w:val="20"/>
              </w:rPr>
              <w:t>91,96</w:t>
            </w:r>
          </w:p>
        </w:tc>
      </w:tr>
      <w:tr w:rsidR="00BE6461" w:rsidRPr="00BE6461" w14:paraId="48392131" w14:textId="77777777" w:rsidTr="00BE6461">
        <w:trPr>
          <w:trHeight w:val="300"/>
        </w:trPr>
        <w:tc>
          <w:tcPr>
            <w:tcW w:w="1703" w:type="dxa"/>
            <w:tcBorders>
              <w:top w:val="nil"/>
              <w:left w:val="nil"/>
              <w:bottom w:val="nil"/>
              <w:right w:val="nil"/>
            </w:tcBorders>
            <w:shd w:val="clear" w:color="auto" w:fill="auto"/>
            <w:noWrap/>
            <w:vAlign w:val="bottom"/>
            <w:hideMark/>
          </w:tcPr>
          <w:p w14:paraId="3E43702E"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3C335BBE"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1953695C" w14:textId="77777777" w:rsidR="00BE6461" w:rsidRPr="00BE6461" w:rsidRDefault="00BE6461" w:rsidP="00BE6461">
            <w:pPr>
              <w:jc w:val="right"/>
              <w:rPr>
                <w:b/>
                <w:bCs/>
                <w:sz w:val="20"/>
                <w:szCs w:val="20"/>
              </w:rPr>
            </w:pPr>
            <w:r w:rsidRPr="00BE6461">
              <w:rPr>
                <w:b/>
                <w:bCs/>
                <w:sz w:val="20"/>
                <w:szCs w:val="20"/>
              </w:rPr>
              <w:t>1.000,00</w:t>
            </w:r>
          </w:p>
        </w:tc>
        <w:tc>
          <w:tcPr>
            <w:tcW w:w="1500" w:type="dxa"/>
            <w:tcBorders>
              <w:top w:val="nil"/>
              <w:left w:val="nil"/>
              <w:bottom w:val="nil"/>
              <w:right w:val="nil"/>
            </w:tcBorders>
            <w:shd w:val="clear" w:color="auto" w:fill="auto"/>
            <w:noWrap/>
            <w:vAlign w:val="bottom"/>
            <w:hideMark/>
          </w:tcPr>
          <w:p w14:paraId="2FFDA007"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2FF0E976"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4D547EE3" w14:textId="77777777" w:rsidTr="00BE6461">
        <w:trPr>
          <w:trHeight w:val="300"/>
        </w:trPr>
        <w:tc>
          <w:tcPr>
            <w:tcW w:w="1703" w:type="dxa"/>
            <w:tcBorders>
              <w:top w:val="nil"/>
              <w:left w:val="nil"/>
              <w:bottom w:val="nil"/>
              <w:right w:val="nil"/>
            </w:tcBorders>
            <w:shd w:val="clear" w:color="auto" w:fill="auto"/>
            <w:noWrap/>
            <w:vAlign w:val="bottom"/>
            <w:hideMark/>
          </w:tcPr>
          <w:p w14:paraId="52BB4006" w14:textId="77777777" w:rsidR="00BE6461" w:rsidRPr="00BE6461" w:rsidRDefault="00BE6461" w:rsidP="00BE6461">
            <w:pPr>
              <w:rPr>
                <w:sz w:val="20"/>
                <w:szCs w:val="20"/>
              </w:rPr>
            </w:pPr>
            <w:r w:rsidRPr="00BE6461">
              <w:rPr>
                <w:sz w:val="20"/>
                <w:szCs w:val="20"/>
              </w:rPr>
              <w:t>3221</w:t>
            </w:r>
          </w:p>
        </w:tc>
        <w:tc>
          <w:tcPr>
            <w:tcW w:w="8457" w:type="dxa"/>
            <w:tcBorders>
              <w:top w:val="nil"/>
              <w:left w:val="nil"/>
              <w:bottom w:val="nil"/>
              <w:right w:val="nil"/>
            </w:tcBorders>
            <w:shd w:val="clear" w:color="auto" w:fill="auto"/>
            <w:vAlign w:val="bottom"/>
            <w:hideMark/>
          </w:tcPr>
          <w:p w14:paraId="7493FD3E" w14:textId="77777777" w:rsidR="00BE6461" w:rsidRPr="00BE6461" w:rsidRDefault="00BE6461" w:rsidP="00BE6461">
            <w:pPr>
              <w:rPr>
                <w:sz w:val="20"/>
                <w:szCs w:val="20"/>
              </w:rPr>
            </w:pPr>
            <w:r w:rsidRPr="00BE6461">
              <w:rPr>
                <w:sz w:val="20"/>
                <w:szCs w:val="20"/>
              </w:rPr>
              <w:t xml:space="preserve">Uredski materijal i ostali materijalni rashodi                                                      </w:t>
            </w:r>
          </w:p>
        </w:tc>
        <w:tc>
          <w:tcPr>
            <w:tcW w:w="1503" w:type="dxa"/>
            <w:tcBorders>
              <w:top w:val="nil"/>
              <w:left w:val="nil"/>
              <w:bottom w:val="nil"/>
              <w:right w:val="nil"/>
            </w:tcBorders>
            <w:shd w:val="clear" w:color="auto" w:fill="auto"/>
            <w:noWrap/>
            <w:vAlign w:val="bottom"/>
            <w:hideMark/>
          </w:tcPr>
          <w:p w14:paraId="6C673645"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E99F3EB"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032F6C25" w14:textId="77777777" w:rsidR="00BE6461" w:rsidRPr="00BE6461" w:rsidRDefault="00BE6461" w:rsidP="00BE6461">
            <w:pPr>
              <w:jc w:val="right"/>
              <w:rPr>
                <w:sz w:val="20"/>
                <w:szCs w:val="20"/>
              </w:rPr>
            </w:pPr>
          </w:p>
        </w:tc>
      </w:tr>
      <w:tr w:rsidR="00BE6461" w:rsidRPr="00BE6461" w14:paraId="6B3707A9" w14:textId="77777777" w:rsidTr="00BE6461">
        <w:trPr>
          <w:trHeight w:val="300"/>
        </w:trPr>
        <w:tc>
          <w:tcPr>
            <w:tcW w:w="1703" w:type="dxa"/>
            <w:tcBorders>
              <w:top w:val="nil"/>
              <w:left w:val="nil"/>
              <w:bottom w:val="nil"/>
              <w:right w:val="nil"/>
            </w:tcBorders>
            <w:shd w:val="clear" w:color="auto" w:fill="auto"/>
            <w:noWrap/>
            <w:vAlign w:val="bottom"/>
            <w:hideMark/>
          </w:tcPr>
          <w:p w14:paraId="3D94B431"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0CD19199"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5ECB4D3B" w14:textId="77777777" w:rsidR="00BE6461" w:rsidRPr="00BE6461" w:rsidRDefault="00BE6461" w:rsidP="00BE6461">
            <w:pPr>
              <w:jc w:val="right"/>
              <w:rPr>
                <w:b/>
                <w:bCs/>
                <w:sz w:val="20"/>
                <w:szCs w:val="20"/>
              </w:rPr>
            </w:pPr>
            <w:r w:rsidRPr="00BE6461">
              <w:rPr>
                <w:b/>
                <w:bCs/>
                <w:sz w:val="20"/>
                <w:szCs w:val="20"/>
              </w:rPr>
              <w:t>32.000,00</w:t>
            </w:r>
          </w:p>
        </w:tc>
        <w:tc>
          <w:tcPr>
            <w:tcW w:w="1500" w:type="dxa"/>
            <w:tcBorders>
              <w:top w:val="nil"/>
              <w:left w:val="nil"/>
              <w:bottom w:val="nil"/>
              <w:right w:val="nil"/>
            </w:tcBorders>
            <w:shd w:val="clear" w:color="auto" w:fill="auto"/>
            <w:noWrap/>
            <w:vAlign w:val="bottom"/>
            <w:hideMark/>
          </w:tcPr>
          <w:p w14:paraId="385EC88B" w14:textId="77777777" w:rsidR="00BE6461" w:rsidRPr="00BE6461" w:rsidRDefault="00BE6461" w:rsidP="00BE6461">
            <w:pPr>
              <w:jc w:val="right"/>
              <w:rPr>
                <w:b/>
                <w:bCs/>
                <w:sz w:val="20"/>
                <w:szCs w:val="20"/>
              </w:rPr>
            </w:pPr>
            <w:r w:rsidRPr="00BE6461">
              <w:rPr>
                <w:b/>
                <w:bCs/>
                <w:sz w:val="20"/>
                <w:szCs w:val="20"/>
              </w:rPr>
              <w:t>29.000,00</w:t>
            </w:r>
          </w:p>
        </w:tc>
        <w:tc>
          <w:tcPr>
            <w:tcW w:w="1100" w:type="dxa"/>
            <w:tcBorders>
              <w:top w:val="nil"/>
              <w:left w:val="nil"/>
              <w:bottom w:val="nil"/>
              <w:right w:val="nil"/>
            </w:tcBorders>
            <w:shd w:val="clear" w:color="auto" w:fill="auto"/>
            <w:noWrap/>
            <w:vAlign w:val="bottom"/>
            <w:hideMark/>
          </w:tcPr>
          <w:p w14:paraId="27405CDB" w14:textId="77777777" w:rsidR="00BE6461" w:rsidRPr="00BE6461" w:rsidRDefault="00BE6461" w:rsidP="00BE6461">
            <w:pPr>
              <w:jc w:val="right"/>
              <w:rPr>
                <w:b/>
                <w:bCs/>
                <w:sz w:val="20"/>
                <w:szCs w:val="20"/>
              </w:rPr>
            </w:pPr>
            <w:r w:rsidRPr="00BE6461">
              <w:rPr>
                <w:b/>
                <w:bCs/>
                <w:sz w:val="20"/>
                <w:szCs w:val="20"/>
              </w:rPr>
              <w:t>90,63</w:t>
            </w:r>
          </w:p>
        </w:tc>
      </w:tr>
      <w:tr w:rsidR="00BE6461" w:rsidRPr="00BE6461" w14:paraId="602F90C5" w14:textId="77777777" w:rsidTr="00BE6461">
        <w:trPr>
          <w:trHeight w:val="300"/>
        </w:trPr>
        <w:tc>
          <w:tcPr>
            <w:tcW w:w="1703" w:type="dxa"/>
            <w:tcBorders>
              <w:top w:val="nil"/>
              <w:left w:val="nil"/>
              <w:bottom w:val="nil"/>
              <w:right w:val="nil"/>
            </w:tcBorders>
            <w:shd w:val="clear" w:color="auto" w:fill="auto"/>
            <w:noWrap/>
            <w:vAlign w:val="bottom"/>
            <w:hideMark/>
          </w:tcPr>
          <w:p w14:paraId="392DD0E3" w14:textId="77777777" w:rsidR="00BE6461" w:rsidRPr="00BE6461" w:rsidRDefault="00BE6461" w:rsidP="00BE6461">
            <w:pPr>
              <w:rPr>
                <w:sz w:val="20"/>
                <w:szCs w:val="20"/>
              </w:rPr>
            </w:pPr>
            <w:r w:rsidRPr="00BE6461">
              <w:rPr>
                <w:sz w:val="20"/>
                <w:szCs w:val="20"/>
              </w:rPr>
              <w:t>3236</w:t>
            </w:r>
          </w:p>
        </w:tc>
        <w:tc>
          <w:tcPr>
            <w:tcW w:w="8457" w:type="dxa"/>
            <w:tcBorders>
              <w:top w:val="nil"/>
              <w:left w:val="nil"/>
              <w:bottom w:val="nil"/>
              <w:right w:val="nil"/>
            </w:tcBorders>
            <w:shd w:val="clear" w:color="auto" w:fill="auto"/>
            <w:vAlign w:val="bottom"/>
            <w:hideMark/>
          </w:tcPr>
          <w:p w14:paraId="2DB35CEC" w14:textId="77777777" w:rsidR="00BE6461" w:rsidRPr="00BE6461" w:rsidRDefault="00BE6461" w:rsidP="00BE6461">
            <w:pPr>
              <w:rPr>
                <w:sz w:val="20"/>
                <w:szCs w:val="20"/>
              </w:rPr>
            </w:pPr>
            <w:r w:rsidRPr="00BE6461">
              <w:rPr>
                <w:sz w:val="20"/>
                <w:szCs w:val="20"/>
              </w:rPr>
              <w:t xml:space="preserve">Zdravstvene i veterinarske usluge                                                                   </w:t>
            </w:r>
          </w:p>
        </w:tc>
        <w:tc>
          <w:tcPr>
            <w:tcW w:w="1503" w:type="dxa"/>
            <w:tcBorders>
              <w:top w:val="nil"/>
              <w:left w:val="nil"/>
              <w:bottom w:val="nil"/>
              <w:right w:val="nil"/>
            </w:tcBorders>
            <w:shd w:val="clear" w:color="auto" w:fill="auto"/>
            <w:noWrap/>
            <w:vAlign w:val="bottom"/>
            <w:hideMark/>
          </w:tcPr>
          <w:p w14:paraId="5500960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287C77C" w14:textId="77777777" w:rsidR="00BE6461" w:rsidRPr="00BE6461" w:rsidRDefault="00BE6461" w:rsidP="00BE6461">
            <w:pPr>
              <w:jc w:val="right"/>
              <w:rPr>
                <w:sz w:val="20"/>
                <w:szCs w:val="20"/>
              </w:rPr>
            </w:pPr>
            <w:r w:rsidRPr="00BE6461">
              <w:rPr>
                <w:sz w:val="20"/>
                <w:szCs w:val="20"/>
              </w:rPr>
              <w:t>29.000,00</w:t>
            </w:r>
          </w:p>
        </w:tc>
        <w:tc>
          <w:tcPr>
            <w:tcW w:w="1100" w:type="dxa"/>
            <w:tcBorders>
              <w:top w:val="nil"/>
              <w:left w:val="nil"/>
              <w:bottom w:val="nil"/>
              <w:right w:val="nil"/>
            </w:tcBorders>
            <w:shd w:val="clear" w:color="auto" w:fill="auto"/>
            <w:noWrap/>
            <w:vAlign w:val="bottom"/>
            <w:hideMark/>
          </w:tcPr>
          <w:p w14:paraId="7DFCA414" w14:textId="77777777" w:rsidR="00BE6461" w:rsidRPr="00BE6461" w:rsidRDefault="00BE6461" w:rsidP="00BE6461">
            <w:pPr>
              <w:jc w:val="right"/>
              <w:rPr>
                <w:sz w:val="20"/>
                <w:szCs w:val="20"/>
              </w:rPr>
            </w:pPr>
          </w:p>
        </w:tc>
      </w:tr>
      <w:tr w:rsidR="00BE6461" w:rsidRPr="00BE6461" w14:paraId="6F1D2C4F" w14:textId="77777777" w:rsidTr="00BE6461">
        <w:trPr>
          <w:trHeight w:val="300"/>
        </w:trPr>
        <w:tc>
          <w:tcPr>
            <w:tcW w:w="1703" w:type="dxa"/>
            <w:tcBorders>
              <w:top w:val="nil"/>
              <w:left w:val="nil"/>
              <w:bottom w:val="nil"/>
              <w:right w:val="nil"/>
            </w:tcBorders>
            <w:shd w:val="clear" w:color="auto" w:fill="auto"/>
            <w:noWrap/>
            <w:vAlign w:val="bottom"/>
            <w:hideMark/>
          </w:tcPr>
          <w:p w14:paraId="1BD1B900"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57B2E9E6"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05C3FF8A" w14:textId="77777777" w:rsidR="00BE6461" w:rsidRPr="00BE6461" w:rsidRDefault="00BE6461" w:rsidP="00BE6461">
            <w:pPr>
              <w:jc w:val="right"/>
              <w:rPr>
                <w:b/>
                <w:bCs/>
                <w:sz w:val="20"/>
                <w:szCs w:val="20"/>
              </w:rPr>
            </w:pPr>
            <w:r w:rsidRPr="00BE6461">
              <w:rPr>
                <w:b/>
                <w:bCs/>
                <w:sz w:val="20"/>
                <w:szCs w:val="20"/>
              </w:rPr>
              <w:t>14.000,00</w:t>
            </w:r>
          </w:p>
        </w:tc>
        <w:tc>
          <w:tcPr>
            <w:tcW w:w="1500" w:type="dxa"/>
            <w:tcBorders>
              <w:top w:val="nil"/>
              <w:left w:val="nil"/>
              <w:bottom w:val="nil"/>
              <w:right w:val="nil"/>
            </w:tcBorders>
            <w:shd w:val="clear" w:color="auto" w:fill="auto"/>
            <w:noWrap/>
            <w:vAlign w:val="bottom"/>
            <w:hideMark/>
          </w:tcPr>
          <w:p w14:paraId="4B2F0296" w14:textId="77777777" w:rsidR="00BE6461" w:rsidRPr="00BE6461" w:rsidRDefault="00BE6461" w:rsidP="00BE6461">
            <w:pPr>
              <w:jc w:val="right"/>
              <w:rPr>
                <w:b/>
                <w:bCs/>
                <w:sz w:val="20"/>
                <w:szCs w:val="20"/>
              </w:rPr>
            </w:pPr>
            <w:r w:rsidRPr="00BE6461">
              <w:rPr>
                <w:b/>
                <w:bCs/>
                <w:sz w:val="20"/>
                <w:szCs w:val="20"/>
              </w:rPr>
              <w:t>11.882,87</w:t>
            </w:r>
          </w:p>
        </w:tc>
        <w:tc>
          <w:tcPr>
            <w:tcW w:w="1100" w:type="dxa"/>
            <w:tcBorders>
              <w:top w:val="nil"/>
              <w:left w:val="nil"/>
              <w:bottom w:val="nil"/>
              <w:right w:val="nil"/>
            </w:tcBorders>
            <w:shd w:val="clear" w:color="auto" w:fill="auto"/>
            <w:noWrap/>
            <w:vAlign w:val="bottom"/>
            <w:hideMark/>
          </w:tcPr>
          <w:p w14:paraId="658309D5" w14:textId="77777777" w:rsidR="00BE6461" w:rsidRPr="00BE6461" w:rsidRDefault="00BE6461" w:rsidP="00BE6461">
            <w:pPr>
              <w:jc w:val="right"/>
              <w:rPr>
                <w:b/>
                <w:bCs/>
                <w:sz w:val="20"/>
                <w:szCs w:val="20"/>
              </w:rPr>
            </w:pPr>
            <w:r w:rsidRPr="00BE6461">
              <w:rPr>
                <w:b/>
                <w:bCs/>
                <w:sz w:val="20"/>
                <w:szCs w:val="20"/>
              </w:rPr>
              <w:t>84,88</w:t>
            </w:r>
          </w:p>
        </w:tc>
      </w:tr>
      <w:tr w:rsidR="00BE6461" w:rsidRPr="00BE6461" w14:paraId="5590E55C" w14:textId="77777777" w:rsidTr="00BE6461">
        <w:trPr>
          <w:trHeight w:val="300"/>
        </w:trPr>
        <w:tc>
          <w:tcPr>
            <w:tcW w:w="1703" w:type="dxa"/>
            <w:tcBorders>
              <w:top w:val="nil"/>
              <w:left w:val="nil"/>
              <w:bottom w:val="nil"/>
              <w:right w:val="nil"/>
            </w:tcBorders>
            <w:shd w:val="clear" w:color="auto" w:fill="auto"/>
            <w:noWrap/>
            <w:vAlign w:val="bottom"/>
            <w:hideMark/>
          </w:tcPr>
          <w:p w14:paraId="4D39BD2C" w14:textId="77777777" w:rsidR="00BE6461" w:rsidRPr="00BE6461" w:rsidRDefault="00BE6461" w:rsidP="00BE6461">
            <w:pPr>
              <w:rPr>
                <w:sz w:val="20"/>
                <w:szCs w:val="20"/>
              </w:rPr>
            </w:pPr>
            <w:r w:rsidRPr="00BE6461">
              <w:rPr>
                <w:sz w:val="20"/>
                <w:szCs w:val="20"/>
              </w:rPr>
              <w:t>3299</w:t>
            </w:r>
          </w:p>
        </w:tc>
        <w:tc>
          <w:tcPr>
            <w:tcW w:w="8457" w:type="dxa"/>
            <w:tcBorders>
              <w:top w:val="nil"/>
              <w:left w:val="nil"/>
              <w:bottom w:val="nil"/>
              <w:right w:val="nil"/>
            </w:tcBorders>
            <w:shd w:val="clear" w:color="auto" w:fill="auto"/>
            <w:vAlign w:val="bottom"/>
            <w:hideMark/>
          </w:tcPr>
          <w:p w14:paraId="3B1B1F2B" w14:textId="77777777" w:rsidR="00BE6461" w:rsidRPr="00BE6461" w:rsidRDefault="00BE6461" w:rsidP="00BE6461">
            <w:pPr>
              <w:rPr>
                <w:sz w:val="20"/>
                <w:szCs w:val="20"/>
              </w:rPr>
            </w:pPr>
            <w:r w:rsidRPr="00BE6461">
              <w:rPr>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1A879AD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F4B6133" w14:textId="77777777" w:rsidR="00BE6461" w:rsidRPr="00BE6461" w:rsidRDefault="00BE6461" w:rsidP="00BE6461">
            <w:pPr>
              <w:jc w:val="right"/>
              <w:rPr>
                <w:sz w:val="20"/>
                <w:szCs w:val="20"/>
              </w:rPr>
            </w:pPr>
            <w:r w:rsidRPr="00BE6461">
              <w:rPr>
                <w:sz w:val="20"/>
                <w:szCs w:val="20"/>
              </w:rPr>
              <w:t>11.882,87</w:t>
            </w:r>
          </w:p>
        </w:tc>
        <w:tc>
          <w:tcPr>
            <w:tcW w:w="1100" w:type="dxa"/>
            <w:tcBorders>
              <w:top w:val="nil"/>
              <w:left w:val="nil"/>
              <w:bottom w:val="nil"/>
              <w:right w:val="nil"/>
            </w:tcBorders>
            <w:shd w:val="clear" w:color="auto" w:fill="auto"/>
            <w:noWrap/>
            <w:vAlign w:val="bottom"/>
            <w:hideMark/>
          </w:tcPr>
          <w:p w14:paraId="69DCC57B" w14:textId="77777777" w:rsidR="00BE6461" w:rsidRPr="00BE6461" w:rsidRDefault="00BE6461" w:rsidP="00BE6461">
            <w:pPr>
              <w:jc w:val="right"/>
              <w:rPr>
                <w:sz w:val="20"/>
                <w:szCs w:val="20"/>
              </w:rPr>
            </w:pPr>
          </w:p>
        </w:tc>
      </w:tr>
      <w:tr w:rsidR="00BE6461" w:rsidRPr="00BE6461" w14:paraId="55AE9284" w14:textId="77777777" w:rsidTr="00BE6461">
        <w:trPr>
          <w:trHeight w:val="300"/>
        </w:trPr>
        <w:tc>
          <w:tcPr>
            <w:tcW w:w="1703" w:type="dxa"/>
            <w:tcBorders>
              <w:top w:val="nil"/>
              <w:left w:val="nil"/>
              <w:bottom w:val="nil"/>
              <w:right w:val="nil"/>
            </w:tcBorders>
            <w:shd w:val="clear" w:color="auto" w:fill="auto"/>
            <w:noWrap/>
            <w:vAlign w:val="bottom"/>
            <w:hideMark/>
          </w:tcPr>
          <w:p w14:paraId="32BBE6EB" w14:textId="77777777" w:rsidR="00BE6461" w:rsidRPr="00BE6461" w:rsidRDefault="00BE6461" w:rsidP="00BE6461">
            <w:pPr>
              <w:rPr>
                <w:b/>
                <w:bCs/>
                <w:sz w:val="20"/>
                <w:szCs w:val="20"/>
              </w:rPr>
            </w:pPr>
            <w:r w:rsidRPr="00BE6461">
              <w:rPr>
                <w:b/>
                <w:bCs/>
                <w:sz w:val="20"/>
                <w:szCs w:val="20"/>
              </w:rPr>
              <w:t>366</w:t>
            </w:r>
          </w:p>
        </w:tc>
        <w:tc>
          <w:tcPr>
            <w:tcW w:w="8457" w:type="dxa"/>
            <w:tcBorders>
              <w:top w:val="nil"/>
              <w:left w:val="nil"/>
              <w:bottom w:val="nil"/>
              <w:right w:val="nil"/>
            </w:tcBorders>
            <w:shd w:val="clear" w:color="auto" w:fill="auto"/>
            <w:vAlign w:val="bottom"/>
            <w:hideMark/>
          </w:tcPr>
          <w:p w14:paraId="6D969FCF" w14:textId="77777777" w:rsidR="00BE6461" w:rsidRPr="00BE6461" w:rsidRDefault="00BE6461" w:rsidP="00BE6461">
            <w:pPr>
              <w:rPr>
                <w:b/>
                <w:bCs/>
                <w:sz w:val="20"/>
                <w:szCs w:val="20"/>
              </w:rPr>
            </w:pPr>
            <w:r w:rsidRPr="00BE6461">
              <w:rPr>
                <w:b/>
                <w:bCs/>
                <w:sz w:val="20"/>
                <w:szCs w:val="20"/>
              </w:rPr>
              <w:t>Pomoći proračunskim korisnicima drugih proračuna</w:t>
            </w:r>
          </w:p>
        </w:tc>
        <w:tc>
          <w:tcPr>
            <w:tcW w:w="1503" w:type="dxa"/>
            <w:tcBorders>
              <w:top w:val="nil"/>
              <w:left w:val="nil"/>
              <w:bottom w:val="nil"/>
              <w:right w:val="nil"/>
            </w:tcBorders>
            <w:shd w:val="clear" w:color="auto" w:fill="auto"/>
            <w:noWrap/>
            <w:vAlign w:val="bottom"/>
            <w:hideMark/>
          </w:tcPr>
          <w:p w14:paraId="467DAB41" w14:textId="77777777" w:rsidR="00BE6461" w:rsidRPr="00BE6461" w:rsidRDefault="00BE6461" w:rsidP="00BE6461">
            <w:pPr>
              <w:jc w:val="right"/>
              <w:rPr>
                <w:b/>
                <w:bCs/>
                <w:sz w:val="20"/>
                <w:szCs w:val="20"/>
              </w:rPr>
            </w:pPr>
            <w:r w:rsidRPr="00BE6461">
              <w:rPr>
                <w:b/>
                <w:bCs/>
                <w:sz w:val="20"/>
                <w:szCs w:val="20"/>
              </w:rPr>
              <w:t>4.000,00</w:t>
            </w:r>
          </w:p>
        </w:tc>
        <w:tc>
          <w:tcPr>
            <w:tcW w:w="1500" w:type="dxa"/>
            <w:tcBorders>
              <w:top w:val="nil"/>
              <w:left w:val="nil"/>
              <w:bottom w:val="nil"/>
              <w:right w:val="nil"/>
            </w:tcBorders>
            <w:shd w:val="clear" w:color="auto" w:fill="auto"/>
            <w:noWrap/>
            <w:vAlign w:val="bottom"/>
            <w:hideMark/>
          </w:tcPr>
          <w:p w14:paraId="5E1FBB8C" w14:textId="77777777" w:rsidR="00BE6461" w:rsidRPr="00BE6461" w:rsidRDefault="00BE6461" w:rsidP="00BE6461">
            <w:pPr>
              <w:jc w:val="right"/>
              <w:rPr>
                <w:b/>
                <w:bCs/>
                <w:sz w:val="20"/>
                <w:szCs w:val="20"/>
              </w:rPr>
            </w:pPr>
            <w:r w:rsidRPr="00BE6461">
              <w:rPr>
                <w:b/>
                <w:bCs/>
                <w:sz w:val="20"/>
                <w:szCs w:val="20"/>
              </w:rPr>
              <w:t>2.000,00</w:t>
            </w:r>
          </w:p>
        </w:tc>
        <w:tc>
          <w:tcPr>
            <w:tcW w:w="1100" w:type="dxa"/>
            <w:tcBorders>
              <w:top w:val="nil"/>
              <w:left w:val="nil"/>
              <w:bottom w:val="nil"/>
              <w:right w:val="nil"/>
            </w:tcBorders>
            <w:shd w:val="clear" w:color="auto" w:fill="auto"/>
            <w:noWrap/>
            <w:vAlign w:val="bottom"/>
            <w:hideMark/>
          </w:tcPr>
          <w:p w14:paraId="026AC906" w14:textId="77777777" w:rsidR="00BE6461" w:rsidRPr="00BE6461" w:rsidRDefault="00BE6461" w:rsidP="00BE6461">
            <w:pPr>
              <w:jc w:val="right"/>
              <w:rPr>
                <w:b/>
                <w:bCs/>
                <w:sz w:val="20"/>
                <w:szCs w:val="20"/>
              </w:rPr>
            </w:pPr>
            <w:r w:rsidRPr="00BE6461">
              <w:rPr>
                <w:b/>
                <w:bCs/>
                <w:sz w:val="20"/>
                <w:szCs w:val="20"/>
              </w:rPr>
              <w:t>50,00</w:t>
            </w:r>
          </w:p>
        </w:tc>
      </w:tr>
      <w:tr w:rsidR="00BE6461" w:rsidRPr="00BE6461" w14:paraId="47D1C24C" w14:textId="77777777" w:rsidTr="00BE6461">
        <w:trPr>
          <w:trHeight w:val="300"/>
        </w:trPr>
        <w:tc>
          <w:tcPr>
            <w:tcW w:w="1703" w:type="dxa"/>
            <w:tcBorders>
              <w:top w:val="nil"/>
              <w:left w:val="nil"/>
              <w:bottom w:val="nil"/>
              <w:right w:val="nil"/>
            </w:tcBorders>
            <w:shd w:val="clear" w:color="auto" w:fill="auto"/>
            <w:noWrap/>
            <w:vAlign w:val="bottom"/>
            <w:hideMark/>
          </w:tcPr>
          <w:p w14:paraId="2537B9A8" w14:textId="77777777" w:rsidR="00BE6461" w:rsidRPr="00BE6461" w:rsidRDefault="00BE6461" w:rsidP="00BE6461">
            <w:pPr>
              <w:rPr>
                <w:sz w:val="20"/>
                <w:szCs w:val="20"/>
              </w:rPr>
            </w:pPr>
            <w:r w:rsidRPr="00BE6461">
              <w:rPr>
                <w:sz w:val="20"/>
                <w:szCs w:val="20"/>
              </w:rPr>
              <w:t>3661</w:t>
            </w:r>
          </w:p>
        </w:tc>
        <w:tc>
          <w:tcPr>
            <w:tcW w:w="8457" w:type="dxa"/>
            <w:tcBorders>
              <w:top w:val="nil"/>
              <w:left w:val="nil"/>
              <w:bottom w:val="nil"/>
              <w:right w:val="nil"/>
            </w:tcBorders>
            <w:shd w:val="clear" w:color="auto" w:fill="auto"/>
            <w:vAlign w:val="bottom"/>
            <w:hideMark/>
          </w:tcPr>
          <w:p w14:paraId="65DA3B7E" w14:textId="77777777" w:rsidR="00BE6461" w:rsidRPr="00BE6461" w:rsidRDefault="00BE6461" w:rsidP="00BE6461">
            <w:pPr>
              <w:rPr>
                <w:sz w:val="20"/>
                <w:szCs w:val="20"/>
              </w:rPr>
            </w:pPr>
            <w:r w:rsidRPr="00BE6461">
              <w:rPr>
                <w:sz w:val="20"/>
                <w:szCs w:val="20"/>
              </w:rPr>
              <w:t>Tekuće pomoći proračunskim korisnicima drugih proračuna</w:t>
            </w:r>
          </w:p>
        </w:tc>
        <w:tc>
          <w:tcPr>
            <w:tcW w:w="1503" w:type="dxa"/>
            <w:tcBorders>
              <w:top w:val="nil"/>
              <w:left w:val="nil"/>
              <w:bottom w:val="nil"/>
              <w:right w:val="nil"/>
            </w:tcBorders>
            <w:shd w:val="clear" w:color="auto" w:fill="auto"/>
            <w:noWrap/>
            <w:vAlign w:val="bottom"/>
            <w:hideMark/>
          </w:tcPr>
          <w:p w14:paraId="00294C5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B622083" w14:textId="77777777" w:rsidR="00BE6461" w:rsidRPr="00BE6461" w:rsidRDefault="00BE6461" w:rsidP="00BE6461">
            <w:pPr>
              <w:jc w:val="right"/>
              <w:rPr>
                <w:sz w:val="20"/>
                <w:szCs w:val="20"/>
              </w:rPr>
            </w:pPr>
            <w:r w:rsidRPr="00BE6461">
              <w:rPr>
                <w:sz w:val="20"/>
                <w:szCs w:val="20"/>
              </w:rPr>
              <w:t>2.000,00</w:t>
            </w:r>
          </w:p>
        </w:tc>
        <w:tc>
          <w:tcPr>
            <w:tcW w:w="1100" w:type="dxa"/>
            <w:tcBorders>
              <w:top w:val="nil"/>
              <w:left w:val="nil"/>
              <w:bottom w:val="nil"/>
              <w:right w:val="nil"/>
            </w:tcBorders>
            <w:shd w:val="clear" w:color="auto" w:fill="auto"/>
            <w:noWrap/>
            <w:vAlign w:val="bottom"/>
            <w:hideMark/>
          </w:tcPr>
          <w:p w14:paraId="0E860DF2" w14:textId="77777777" w:rsidR="00BE6461" w:rsidRPr="00BE6461" w:rsidRDefault="00BE6461" w:rsidP="00BE6461">
            <w:pPr>
              <w:jc w:val="right"/>
              <w:rPr>
                <w:sz w:val="20"/>
                <w:szCs w:val="20"/>
              </w:rPr>
            </w:pPr>
          </w:p>
        </w:tc>
      </w:tr>
      <w:tr w:rsidR="00BE6461" w:rsidRPr="00BE6461" w14:paraId="4AF1E700" w14:textId="77777777" w:rsidTr="00BE6461">
        <w:trPr>
          <w:trHeight w:val="300"/>
        </w:trPr>
        <w:tc>
          <w:tcPr>
            <w:tcW w:w="1703" w:type="dxa"/>
            <w:tcBorders>
              <w:top w:val="nil"/>
              <w:left w:val="nil"/>
              <w:bottom w:val="nil"/>
              <w:right w:val="nil"/>
            </w:tcBorders>
            <w:shd w:val="clear" w:color="auto" w:fill="auto"/>
            <w:noWrap/>
            <w:vAlign w:val="bottom"/>
            <w:hideMark/>
          </w:tcPr>
          <w:p w14:paraId="5517BF17" w14:textId="77777777" w:rsidR="00BE6461" w:rsidRPr="00BE6461" w:rsidRDefault="00BE6461" w:rsidP="00BE6461">
            <w:pPr>
              <w:rPr>
                <w:b/>
                <w:bCs/>
                <w:sz w:val="20"/>
                <w:szCs w:val="20"/>
              </w:rPr>
            </w:pPr>
            <w:r w:rsidRPr="00BE6461">
              <w:rPr>
                <w:b/>
                <w:bCs/>
                <w:sz w:val="20"/>
                <w:szCs w:val="20"/>
              </w:rPr>
              <w:t>381</w:t>
            </w:r>
          </w:p>
        </w:tc>
        <w:tc>
          <w:tcPr>
            <w:tcW w:w="8457" w:type="dxa"/>
            <w:tcBorders>
              <w:top w:val="nil"/>
              <w:left w:val="nil"/>
              <w:bottom w:val="nil"/>
              <w:right w:val="nil"/>
            </w:tcBorders>
            <w:shd w:val="clear" w:color="auto" w:fill="auto"/>
            <w:vAlign w:val="bottom"/>
            <w:hideMark/>
          </w:tcPr>
          <w:p w14:paraId="0B0ABB43" w14:textId="77777777" w:rsidR="00BE6461" w:rsidRPr="00BE6461" w:rsidRDefault="00BE6461" w:rsidP="00BE6461">
            <w:pPr>
              <w:rPr>
                <w:b/>
                <w:bCs/>
                <w:sz w:val="20"/>
                <w:szCs w:val="20"/>
              </w:rPr>
            </w:pPr>
            <w:r w:rsidRPr="00BE6461">
              <w:rPr>
                <w:b/>
                <w:bCs/>
                <w:sz w:val="20"/>
                <w:szCs w:val="20"/>
              </w:rPr>
              <w:t xml:space="preserve">Tekuće donacije                                                                                     </w:t>
            </w:r>
          </w:p>
        </w:tc>
        <w:tc>
          <w:tcPr>
            <w:tcW w:w="1503" w:type="dxa"/>
            <w:tcBorders>
              <w:top w:val="nil"/>
              <w:left w:val="nil"/>
              <w:bottom w:val="nil"/>
              <w:right w:val="nil"/>
            </w:tcBorders>
            <w:shd w:val="clear" w:color="auto" w:fill="auto"/>
            <w:noWrap/>
            <w:vAlign w:val="bottom"/>
            <w:hideMark/>
          </w:tcPr>
          <w:p w14:paraId="35BEAE04" w14:textId="77777777" w:rsidR="00BE6461" w:rsidRPr="00BE6461" w:rsidRDefault="00BE6461" w:rsidP="00BE6461">
            <w:pPr>
              <w:jc w:val="right"/>
              <w:rPr>
                <w:b/>
                <w:bCs/>
                <w:sz w:val="20"/>
                <w:szCs w:val="20"/>
              </w:rPr>
            </w:pPr>
            <w:r w:rsidRPr="00BE6461">
              <w:rPr>
                <w:b/>
                <w:bCs/>
                <w:sz w:val="20"/>
                <w:szCs w:val="20"/>
              </w:rPr>
              <w:t>50.000,00</w:t>
            </w:r>
          </w:p>
        </w:tc>
        <w:tc>
          <w:tcPr>
            <w:tcW w:w="1500" w:type="dxa"/>
            <w:tcBorders>
              <w:top w:val="nil"/>
              <w:left w:val="nil"/>
              <w:bottom w:val="nil"/>
              <w:right w:val="nil"/>
            </w:tcBorders>
            <w:shd w:val="clear" w:color="auto" w:fill="auto"/>
            <w:noWrap/>
            <w:vAlign w:val="bottom"/>
            <w:hideMark/>
          </w:tcPr>
          <w:p w14:paraId="6F269D87" w14:textId="77777777" w:rsidR="00BE6461" w:rsidRPr="00BE6461" w:rsidRDefault="00BE6461" w:rsidP="00BE6461">
            <w:pPr>
              <w:jc w:val="right"/>
              <w:rPr>
                <w:b/>
                <w:bCs/>
                <w:sz w:val="20"/>
                <w:szCs w:val="20"/>
              </w:rPr>
            </w:pPr>
            <w:r w:rsidRPr="00BE6461">
              <w:rPr>
                <w:b/>
                <w:bCs/>
                <w:sz w:val="20"/>
                <w:szCs w:val="20"/>
              </w:rPr>
              <w:t>50.000,00</w:t>
            </w:r>
          </w:p>
        </w:tc>
        <w:tc>
          <w:tcPr>
            <w:tcW w:w="1100" w:type="dxa"/>
            <w:tcBorders>
              <w:top w:val="nil"/>
              <w:left w:val="nil"/>
              <w:bottom w:val="nil"/>
              <w:right w:val="nil"/>
            </w:tcBorders>
            <w:shd w:val="clear" w:color="auto" w:fill="auto"/>
            <w:noWrap/>
            <w:vAlign w:val="bottom"/>
            <w:hideMark/>
          </w:tcPr>
          <w:p w14:paraId="37762839"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6E61567C" w14:textId="77777777" w:rsidTr="00BE6461">
        <w:trPr>
          <w:trHeight w:val="300"/>
        </w:trPr>
        <w:tc>
          <w:tcPr>
            <w:tcW w:w="1703" w:type="dxa"/>
            <w:tcBorders>
              <w:top w:val="nil"/>
              <w:left w:val="nil"/>
              <w:bottom w:val="nil"/>
              <w:right w:val="nil"/>
            </w:tcBorders>
            <w:shd w:val="clear" w:color="auto" w:fill="auto"/>
            <w:noWrap/>
            <w:vAlign w:val="bottom"/>
            <w:hideMark/>
          </w:tcPr>
          <w:p w14:paraId="3D37D21A" w14:textId="77777777" w:rsidR="00BE6461" w:rsidRPr="00BE6461" w:rsidRDefault="00BE6461" w:rsidP="00BE6461">
            <w:pPr>
              <w:rPr>
                <w:sz w:val="20"/>
                <w:szCs w:val="20"/>
              </w:rPr>
            </w:pPr>
            <w:r w:rsidRPr="00BE6461">
              <w:rPr>
                <w:sz w:val="20"/>
                <w:szCs w:val="20"/>
              </w:rPr>
              <w:t>3811</w:t>
            </w:r>
          </w:p>
        </w:tc>
        <w:tc>
          <w:tcPr>
            <w:tcW w:w="8457" w:type="dxa"/>
            <w:tcBorders>
              <w:top w:val="nil"/>
              <w:left w:val="nil"/>
              <w:bottom w:val="nil"/>
              <w:right w:val="nil"/>
            </w:tcBorders>
            <w:shd w:val="clear" w:color="auto" w:fill="auto"/>
            <w:vAlign w:val="bottom"/>
            <w:hideMark/>
          </w:tcPr>
          <w:p w14:paraId="218406E4" w14:textId="77777777" w:rsidR="00BE6461" w:rsidRPr="00BE6461" w:rsidRDefault="00BE6461" w:rsidP="00BE6461">
            <w:pPr>
              <w:rPr>
                <w:sz w:val="20"/>
                <w:szCs w:val="20"/>
              </w:rPr>
            </w:pPr>
            <w:r w:rsidRPr="00BE6461">
              <w:rPr>
                <w:sz w:val="20"/>
                <w:szCs w:val="20"/>
              </w:rPr>
              <w:t xml:space="preserve">Tekuće donacije u novcu                                                                             </w:t>
            </w:r>
          </w:p>
        </w:tc>
        <w:tc>
          <w:tcPr>
            <w:tcW w:w="1503" w:type="dxa"/>
            <w:tcBorders>
              <w:top w:val="nil"/>
              <w:left w:val="nil"/>
              <w:bottom w:val="nil"/>
              <w:right w:val="nil"/>
            </w:tcBorders>
            <w:shd w:val="clear" w:color="auto" w:fill="auto"/>
            <w:noWrap/>
            <w:vAlign w:val="bottom"/>
            <w:hideMark/>
          </w:tcPr>
          <w:p w14:paraId="61090B5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3047FB1" w14:textId="77777777" w:rsidR="00BE6461" w:rsidRPr="00BE6461" w:rsidRDefault="00BE6461" w:rsidP="00BE6461">
            <w:pPr>
              <w:jc w:val="right"/>
              <w:rPr>
                <w:sz w:val="20"/>
                <w:szCs w:val="20"/>
              </w:rPr>
            </w:pPr>
            <w:r w:rsidRPr="00BE6461">
              <w:rPr>
                <w:sz w:val="20"/>
                <w:szCs w:val="20"/>
              </w:rPr>
              <w:t>50.000,00</w:t>
            </w:r>
          </w:p>
        </w:tc>
        <w:tc>
          <w:tcPr>
            <w:tcW w:w="1100" w:type="dxa"/>
            <w:tcBorders>
              <w:top w:val="nil"/>
              <w:left w:val="nil"/>
              <w:bottom w:val="nil"/>
              <w:right w:val="nil"/>
            </w:tcBorders>
            <w:shd w:val="clear" w:color="auto" w:fill="auto"/>
            <w:noWrap/>
            <w:vAlign w:val="bottom"/>
            <w:hideMark/>
          </w:tcPr>
          <w:p w14:paraId="4EA36B89" w14:textId="77777777" w:rsidR="00BE6461" w:rsidRPr="00BE6461" w:rsidRDefault="00BE6461" w:rsidP="00BE6461">
            <w:pPr>
              <w:jc w:val="right"/>
              <w:rPr>
                <w:sz w:val="20"/>
                <w:szCs w:val="20"/>
              </w:rPr>
            </w:pPr>
          </w:p>
        </w:tc>
      </w:tr>
      <w:tr w:rsidR="00BE6461" w:rsidRPr="00BE6461" w14:paraId="49C9F352"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273FCC95" w14:textId="77777777" w:rsidR="00BE6461" w:rsidRPr="00BE6461" w:rsidRDefault="00BE6461" w:rsidP="00BE6461">
            <w:pPr>
              <w:rPr>
                <w:b/>
                <w:bCs/>
                <w:sz w:val="20"/>
                <w:szCs w:val="20"/>
              </w:rPr>
            </w:pPr>
            <w:r w:rsidRPr="00BE6461">
              <w:rPr>
                <w:b/>
                <w:bCs/>
                <w:sz w:val="20"/>
                <w:szCs w:val="20"/>
              </w:rPr>
              <w:t>K100005</w:t>
            </w:r>
          </w:p>
        </w:tc>
        <w:tc>
          <w:tcPr>
            <w:tcW w:w="8457" w:type="dxa"/>
            <w:tcBorders>
              <w:top w:val="single" w:sz="4" w:space="0" w:color="auto"/>
              <w:left w:val="nil"/>
              <w:bottom w:val="single" w:sz="4" w:space="0" w:color="auto"/>
              <w:right w:val="nil"/>
            </w:tcBorders>
            <w:shd w:val="clear" w:color="auto" w:fill="auto"/>
            <w:vAlign w:val="bottom"/>
            <w:hideMark/>
          </w:tcPr>
          <w:p w14:paraId="55983B95" w14:textId="77777777" w:rsidR="00BE6461" w:rsidRPr="00BE6461" w:rsidRDefault="00BE6461" w:rsidP="00BE6461">
            <w:pPr>
              <w:rPr>
                <w:b/>
                <w:bCs/>
                <w:sz w:val="20"/>
                <w:szCs w:val="20"/>
              </w:rPr>
            </w:pPr>
            <w:r w:rsidRPr="00BE6461">
              <w:rPr>
                <w:b/>
                <w:bCs/>
                <w:sz w:val="20"/>
                <w:szCs w:val="20"/>
              </w:rPr>
              <w:t>Kapitalni projekt: SUFINANCIRANJE IZGRADNJE OPĆE BOLNICE PULA</w:t>
            </w:r>
          </w:p>
        </w:tc>
        <w:tc>
          <w:tcPr>
            <w:tcW w:w="1503" w:type="dxa"/>
            <w:tcBorders>
              <w:top w:val="single" w:sz="4" w:space="0" w:color="auto"/>
              <w:left w:val="nil"/>
              <w:bottom w:val="single" w:sz="4" w:space="0" w:color="auto"/>
              <w:right w:val="nil"/>
            </w:tcBorders>
            <w:shd w:val="clear" w:color="auto" w:fill="auto"/>
            <w:noWrap/>
            <w:vAlign w:val="bottom"/>
            <w:hideMark/>
          </w:tcPr>
          <w:p w14:paraId="4C329999" w14:textId="77777777" w:rsidR="00BE6461" w:rsidRPr="00BE6461" w:rsidRDefault="00BE6461" w:rsidP="00BE6461">
            <w:pPr>
              <w:jc w:val="right"/>
              <w:rPr>
                <w:b/>
                <w:bCs/>
                <w:sz w:val="20"/>
                <w:szCs w:val="20"/>
              </w:rPr>
            </w:pPr>
            <w:r w:rsidRPr="00BE6461">
              <w:rPr>
                <w:b/>
                <w:bCs/>
                <w:sz w:val="20"/>
                <w:szCs w:val="20"/>
              </w:rPr>
              <w:t>73.975,76</w:t>
            </w:r>
          </w:p>
        </w:tc>
        <w:tc>
          <w:tcPr>
            <w:tcW w:w="1500" w:type="dxa"/>
            <w:tcBorders>
              <w:top w:val="single" w:sz="4" w:space="0" w:color="auto"/>
              <w:left w:val="nil"/>
              <w:bottom w:val="single" w:sz="4" w:space="0" w:color="auto"/>
              <w:right w:val="nil"/>
            </w:tcBorders>
            <w:shd w:val="clear" w:color="auto" w:fill="auto"/>
            <w:noWrap/>
            <w:vAlign w:val="bottom"/>
            <w:hideMark/>
          </w:tcPr>
          <w:p w14:paraId="4C3B4D96" w14:textId="77777777" w:rsidR="00BE6461" w:rsidRPr="00BE6461" w:rsidRDefault="00BE6461" w:rsidP="00BE6461">
            <w:pPr>
              <w:jc w:val="right"/>
              <w:rPr>
                <w:b/>
                <w:bCs/>
                <w:sz w:val="20"/>
                <w:szCs w:val="20"/>
              </w:rPr>
            </w:pPr>
            <w:r w:rsidRPr="00BE6461">
              <w:rPr>
                <w:b/>
                <w:bCs/>
                <w:sz w:val="20"/>
                <w:szCs w:val="20"/>
              </w:rPr>
              <w:t>73.975,76</w:t>
            </w:r>
          </w:p>
        </w:tc>
        <w:tc>
          <w:tcPr>
            <w:tcW w:w="1100" w:type="dxa"/>
            <w:tcBorders>
              <w:top w:val="single" w:sz="4" w:space="0" w:color="auto"/>
              <w:left w:val="nil"/>
              <w:bottom w:val="single" w:sz="4" w:space="0" w:color="auto"/>
              <w:right w:val="nil"/>
            </w:tcBorders>
            <w:shd w:val="clear" w:color="auto" w:fill="auto"/>
            <w:noWrap/>
            <w:vAlign w:val="bottom"/>
            <w:hideMark/>
          </w:tcPr>
          <w:p w14:paraId="1A1C4684"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60346E7E"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388618F"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0213A3D0" w14:textId="77777777" w:rsidR="00BE6461" w:rsidRPr="00BE6461" w:rsidRDefault="00BE6461" w:rsidP="00BE6461">
            <w:pPr>
              <w:jc w:val="right"/>
              <w:rPr>
                <w:b/>
                <w:bCs/>
                <w:color w:val="333333"/>
                <w:sz w:val="20"/>
                <w:szCs w:val="20"/>
              </w:rPr>
            </w:pPr>
            <w:r w:rsidRPr="00BE6461">
              <w:rPr>
                <w:b/>
                <w:bCs/>
                <w:color w:val="333333"/>
                <w:sz w:val="20"/>
                <w:szCs w:val="20"/>
              </w:rPr>
              <w:t>73.975,76</w:t>
            </w:r>
          </w:p>
        </w:tc>
        <w:tc>
          <w:tcPr>
            <w:tcW w:w="1500" w:type="dxa"/>
            <w:tcBorders>
              <w:top w:val="nil"/>
              <w:left w:val="nil"/>
              <w:bottom w:val="nil"/>
              <w:right w:val="nil"/>
            </w:tcBorders>
            <w:shd w:val="clear" w:color="auto" w:fill="auto"/>
            <w:noWrap/>
            <w:vAlign w:val="bottom"/>
            <w:hideMark/>
          </w:tcPr>
          <w:p w14:paraId="46801584" w14:textId="77777777" w:rsidR="00BE6461" w:rsidRPr="00BE6461" w:rsidRDefault="00BE6461" w:rsidP="00BE6461">
            <w:pPr>
              <w:jc w:val="right"/>
              <w:rPr>
                <w:b/>
                <w:bCs/>
                <w:color w:val="333333"/>
                <w:sz w:val="20"/>
                <w:szCs w:val="20"/>
              </w:rPr>
            </w:pPr>
            <w:r w:rsidRPr="00BE6461">
              <w:rPr>
                <w:b/>
                <w:bCs/>
                <w:color w:val="333333"/>
                <w:sz w:val="20"/>
                <w:szCs w:val="20"/>
              </w:rPr>
              <w:t>73.975,76</w:t>
            </w:r>
          </w:p>
        </w:tc>
        <w:tc>
          <w:tcPr>
            <w:tcW w:w="1100" w:type="dxa"/>
            <w:tcBorders>
              <w:top w:val="nil"/>
              <w:left w:val="nil"/>
              <w:bottom w:val="nil"/>
              <w:right w:val="nil"/>
            </w:tcBorders>
            <w:shd w:val="clear" w:color="auto" w:fill="auto"/>
            <w:noWrap/>
            <w:vAlign w:val="bottom"/>
            <w:hideMark/>
          </w:tcPr>
          <w:p w14:paraId="3AC63037"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0D7953C9"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67FC0AC"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7E0F6BB6" w14:textId="77777777" w:rsidR="00BE6461" w:rsidRPr="00BE6461" w:rsidRDefault="00BE6461" w:rsidP="00BE6461">
            <w:pPr>
              <w:jc w:val="right"/>
              <w:rPr>
                <w:b/>
                <w:bCs/>
                <w:color w:val="333333"/>
                <w:sz w:val="20"/>
                <w:szCs w:val="20"/>
              </w:rPr>
            </w:pPr>
            <w:r w:rsidRPr="00BE6461">
              <w:rPr>
                <w:b/>
                <w:bCs/>
                <w:color w:val="333333"/>
                <w:sz w:val="20"/>
                <w:szCs w:val="20"/>
              </w:rPr>
              <w:t>73.975,76</w:t>
            </w:r>
          </w:p>
        </w:tc>
        <w:tc>
          <w:tcPr>
            <w:tcW w:w="1500" w:type="dxa"/>
            <w:tcBorders>
              <w:top w:val="nil"/>
              <w:left w:val="nil"/>
              <w:bottom w:val="nil"/>
              <w:right w:val="nil"/>
            </w:tcBorders>
            <w:shd w:val="clear" w:color="auto" w:fill="auto"/>
            <w:noWrap/>
            <w:vAlign w:val="bottom"/>
            <w:hideMark/>
          </w:tcPr>
          <w:p w14:paraId="30A40E2B" w14:textId="77777777" w:rsidR="00BE6461" w:rsidRPr="00BE6461" w:rsidRDefault="00BE6461" w:rsidP="00BE6461">
            <w:pPr>
              <w:jc w:val="right"/>
              <w:rPr>
                <w:b/>
                <w:bCs/>
                <w:color w:val="333333"/>
                <w:sz w:val="20"/>
                <w:szCs w:val="20"/>
              </w:rPr>
            </w:pPr>
            <w:r w:rsidRPr="00BE6461">
              <w:rPr>
                <w:b/>
                <w:bCs/>
                <w:color w:val="333333"/>
                <w:sz w:val="20"/>
                <w:szCs w:val="20"/>
              </w:rPr>
              <w:t>73.975,76</w:t>
            </w:r>
          </w:p>
        </w:tc>
        <w:tc>
          <w:tcPr>
            <w:tcW w:w="1100" w:type="dxa"/>
            <w:tcBorders>
              <w:top w:val="nil"/>
              <w:left w:val="nil"/>
              <w:bottom w:val="nil"/>
              <w:right w:val="nil"/>
            </w:tcBorders>
            <w:shd w:val="clear" w:color="auto" w:fill="auto"/>
            <w:noWrap/>
            <w:vAlign w:val="bottom"/>
            <w:hideMark/>
          </w:tcPr>
          <w:p w14:paraId="20C05493"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58B463BF" w14:textId="77777777" w:rsidTr="00BE6461">
        <w:trPr>
          <w:trHeight w:val="300"/>
        </w:trPr>
        <w:tc>
          <w:tcPr>
            <w:tcW w:w="1703" w:type="dxa"/>
            <w:tcBorders>
              <w:top w:val="nil"/>
              <w:left w:val="nil"/>
              <w:bottom w:val="nil"/>
              <w:right w:val="nil"/>
            </w:tcBorders>
            <w:shd w:val="clear" w:color="auto" w:fill="auto"/>
            <w:noWrap/>
            <w:vAlign w:val="bottom"/>
            <w:hideMark/>
          </w:tcPr>
          <w:p w14:paraId="02900B55" w14:textId="77777777" w:rsidR="00BE6461" w:rsidRPr="00BE6461" w:rsidRDefault="00BE6461" w:rsidP="00BE6461">
            <w:pPr>
              <w:rPr>
                <w:b/>
                <w:bCs/>
                <w:sz w:val="20"/>
                <w:szCs w:val="20"/>
              </w:rPr>
            </w:pPr>
            <w:r w:rsidRPr="00BE6461">
              <w:rPr>
                <w:b/>
                <w:bCs/>
                <w:sz w:val="20"/>
                <w:szCs w:val="20"/>
              </w:rPr>
              <w:t>363</w:t>
            </w:r>
          </w:p>
        </w:tc>
        <w:tc>
          <w:tcPr>
            <w:tcW w:w="8457" w:type="dxa"/>
            <w:tcBorders>
              <w:top w:val="nil"/>
              <w:left w:val="nil"/>
              <w:bottom w:val="nil"/>
              <w:right w:val="nil"/>
            </w:tcBorders>
            <w:shd w:val="clear" w:color="auto" w:fill="auto"/>
            <w:vAlign w:val="bottom"/>
            <w:hideMark/>
          </w:tcPr>
          <w:p w14:paraId="6B0F7007" w14:textId="77777777" w:rsidR="00BE6461" w:rsidRPr="00BE6461" w:rsidRDefault="00BE6461" w:rsidP="00BE6461">
            <w:pPr>
              <w:rPr>
                <w:b/>
                <w:bCs/>
                <w:sz w:val="20"/>
                <w:szCs w:val="20"/>
              </w:rPr>
            </w:pPr>
            <w:r w:rsidRPr="00BE6461">
              <w:rPr>
                <w:b/>
                <w:bCs/>
                <w:sz w:val="20"/>
                <w:szCs w:val="20"/>
              </w:rPr>
              <w:t xml:space="preserve">Pomoći unutar općeg proračuna                                                                       </w:t>
            </w:r>
          </w:p>
        </w:tc>
        <w:tc>
          <w:tcPr>
            <w:tcW w:w="1503" w:type="dxa"/>
            <w:tcBorders>
              <w:top w:val="nil"/>
              <w:left w:val="nil"/>
              <w:bottom w:val="nil"/>
              <w:right w:val="nil"/>
            </w:tcBorders>
            <w:shd w:val="clear" w:color="auto" w:fill="auto"/>
            <w:noWrap/>
            <w:vAlign w:val="bottom"/>
            <w:hideMark/>
          </w:tcPr>
          <w:p w14:paraId="4A49A692" w14:textId="77777777" w:rsidR="00BE6461" w:rsidRPr="00BE6461" w:rsidRDefault="00BE6461" w:rsidP="00BE6461">
            <w:pPr>
              <w:jc w:val="right"/>
              <w:rPr>
                <w:b/>
                <w:bCs/>
                <w:sz w:val="20"/>
                <w:szCs w:val="20"/>
              </w:rPr>
            </w:pPr>
            <w:r w:rsidRPr="00BE6461">
              <w:rPr>
                <w:b/>
                <w:bCs/>
                <w:sz w:val="20"/>
                <w:szCs w:val="20"/>
              </w:rPr>
              <w:t>73.975,76</w:t>
            </w:r>
          </w:p>
        </w:tc>
        <w:tc>
          <w:tcPr>
            <w:tcW w:w="1500" w:type="dxa"/>
            <w:tcBorders>
              <w:top w:val="nil"/>
              <w:left w:val="nil"/>
              <w:bottom w:val="nil"/>
              <w:right w:val="nil"/>
            </w:tcBorders>
            <w:shd w:val="clear" w:color="auto" w:fill="auto"/>
            <w:noWrap/>
            <w:vAlign w:val="bottom"/>
            <w:hideMark/>
          </w:tcPr>
          <w:p w14:paraId="0687FA59" w14:textId="77777777" w:rsidR="00BE6461" w:rsidRPr="00BE6461" w:rsidRDefault="00BE6461" w:rsidP="00BE6461">
            <w:pPr>
              <w:jc w:val="right"/>
              <w:rPr>
                <w:b/>
                <w:bCs/>
                <w:sz w:val="20"/>
                <w:szCs w:val="20"/>
              </w:rPr>
            </w:pPr>
            <w:r w:rsidRPr="00BE6461">
              <w:rPr>
                <w:b/>
                <w:bCs/>
                <w:sz w:val="20"/>
                <w:szCs w:val="20"/>
              </w:rPr>
              <w:t>73.975,76</w:t>
            </w:r>
          </w:p>
        </w:tc>
        <w:tc>
          <w:tcPr>
            <w:tcW w:w="1100" w:type="dxa"/>
            <w:tcBorders>
              <w:top w:val="nil"/>
              <w:left w:val="nil"/>
              <w:bottom w:val="nil"/>
              <w:right w:val="nil"/>
            </w:tcBorders>
            <w:shd w:val="clear" w:color="auto" w:fill="auto"/>
            <w:noWrap/>
            <w:vAlign w:val="bottom"/>
            <w:hideMark/>
          </w:tcPr>
          <w:p w14:paraId="299BCA80"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2FE90D4D" w14:textId="77777777" w:rsidTr="00BE6461">
        <w:trPr>
          <w:trHeight w:val="300"/>
        </w:trPr>
        <w:tc>
          <w:tcPr>
            <w:tcW w:w="1703" w:type="dxa"/>
            <w:tcBorders>
              <w:top w:val="nil"/>
              <w:left w:val="nil"/>
              <w:bottom w:val="nil"/>
              <w:right w:val="nil"/>
            </w:tcBorders>
            <w:shd w:val="clear" w:color="auto" w:fill="auto"/>
            <w:noWrap/>
            <w:vAlign w:val="bottom"/>
            <w:hideMark/>
          </w:tcPr>
          <w:p w14:paraId="1B6368A9" w14:textId="77777777" w:rsidR="00BE6461" w:rsidRPr="00BE6461" w:rsidRDefault="00BE6461" w:rsidP="00BE6461">
            <w:pPr>
              <w:rPr>
                <w:sz w:val="20"/>
                <w:szCs w:val="20"/>
              </w:rPr>
            </w:pPr>
            <w:r w:rsidRPr="00BE6461">
              <w:rPr>
                <w:sz w:val="20"/>
                <w:szCs w:val="20"/>
              </w:rPr>
              <w:t>3632</w:t>
            </w:r>
          </w:p>
        </w:tc>
        <w:tc>
          <w:tcPr>
            <w:tcW w:w="8457" w:type="dxa"/>
            <w:tcBorders>
              <w:top w:val="nil"/>
              <w:left w:val="nil"/>
              <w:bottom w:val="nil"/>
              <w:right w:val="nil"/>
            </w:tcBorders>
            <w:shd w:val="clear" w:color="auto" w:fill="auto"/>
            <w:vAlign w:val="bottom"/>
            <w:hideMark/>
          </w:tcPr>
          <w:p w14:paraId="4FB2DFCE" w14:textId="77777777" w:rsidR="00BE6461" w:rsidRPr="00BE6461" w:rsidRDefault="00BE6461" w:rsidP="00BE6461">
            <w:pPr>
              <w:rPr>
                <w:sz w:val="20"/>
                <w:szCs w:val="20"/>
              </w:rPr>
            </w:pPr>
            <w:r w:rsidRPr="00BE6461">
              <w:rPr>
                <w:sz w:val="20"/>
                <w:szCs w:val="20"/>
              </w:rPr>
              <w:t xml:space="preserve">Kapitalne pomoći unutar općeg proračuna                                                             </w:t>
            </w:r>
          </w:p>
        </w:tc>
        <w:tc>
          <w:tcPr>
            <w:tcW w:w="1503" w:type="dxa"/>
            <w:tcBorders>
              <w:top w:val="nil"/>
              <w:left w:val="nil"/>
              <w:bottom w:val="nil"/>
              <w:right w:val="nil"/>
            </w:tcBorders>
            <w:shd w:val="clear" w:color="auto" w:fill="auto"/>
            <w:noWrap/>
            <w:vAlign w:val="bottom"/>
            <w:hideMark/>
          </w:tcPr>
          <w:p w14:paraId="1C40B575"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97E1840" w14:textId="77777777" w:rsidR="00BE6461" w:rsidRPr="00BE6461" w:rsidRDefault="00BE6461" w:rsidP="00BE6461">
            <w:pPr>
              <w:jc w:val="right"/>
              <w:rPr>
                <w:sz w:val="20"/>
                <w:szCs w:val="20"/>
              </w:rPr>
            </w:pPr>
            <w:r w:rsidRPr="00BE6461">
              <w:rPr>
                <w:sz w:val="20"/>
                <w:szCs w:val="20"/>
              </w:rPr>
              <w:t>73.975,76</w:t>
            </w:r>
          </w:p>
        </w:tc>
        <w:tc>
          <w:tcPr>
            <w:tcW w:w="1100" w:type="dxa"/>
            <w:tcBorders>
              <w:top w:val="nil"/>
              <w:left w:val="nil"/>
              <w:bottom w:val="nil"/>
              <w:right w:val="nil"/>
            </w:tcBorders>
            <w:shd w:val="clear" w:color="auto" w:fill="auto"/>
            <w:noWrap/>
            <w:vAlign w:val="bottom"/>
            <w:hideMark/>
          </w:tcPr>
          <w:p w14:paraId="75754BC7" w14:textId="77777777" w:rsidR="00BE6461" w:rsidRPr="00BE6461" w:rsidRDefault="00BE6461" w:rsidP="00BE6461">
            <w:pPr>
              <w:jc w:val="right"/>
              <w:rPr>
                <w:sz w:val="20"/>
                <w:szCs w:val="20"/>
              </w:rPr>
            </w:pPr>
          </w:p>
        </w:tc>
      </w:tr>
      <w:tr w:rsidR="00BE6461" w:rsidRPr="00BE6461" w14:paraId="4CED71BE" w14:textId="77777777" w:rsidTr="00BE6461">
        <w:trPr>
          <w:trHeight w:val="390"/>
        </w:trPr>
        <w:tc>
          <w:tcPr>
            <w:tcW w:w="1703" w:type="dxa"/>
            <w:tcBorders>
              <w:top w:val="single" w:sz="4" w:space="0" w:color="auto"/>
              <w:left w:val="nil"/>
              <w:bottom w:val="nil"/>
              <w:right w:val="nil"/>
            </w:tcBorders>
            <w:shd w:val="clear" w:color="auto" w:fill="auto"/>
            <w:noWrap/>
            <w:vAlign w:val="bottom"/>
            <w:hideMark/>
          </w:tcPr>
          <w:p w14:paraId="1AB00E21" w14:textId="77777777" w:rsidR="00BE6461" w:rsidRPr="00BE6461" w:rsidRDefault="00BE6461" w:rsidP="00BE6461">
            <w:pPr>
              <w:rPr>
                <w:b/>
                <w:bCs/>
                <w:sz w:val="20"/>
                <w:szCs w:val="20"/>
              </w:rPr>
            </w:pPr>
            <w:r w:rsidRPr="00BE6461">
              <w:rPr>
                <w:b/>
                <w:bCs/>
                <w:sz w:val="20"/>
                <w:szCs w:val="20"/>
              </w:rPr>
              <w:t>1011</w:t>
            </w:r>
          </w:p>
        </w:tc>
        <w:tc>
          <w:tcPr>
            <w:tcW w:w="8457" w:type="dxa"/>
            <w:tcBorders>
              <w:top w:val="single" w:sz="4" w:space="0" w:color="auto"/>
              <w:left w:val="nil"/>
              <w:bottom w:val="nil"/>
              <w:right w:val="nil"/>
            </w:tcBorders>
            <w:shd w:val="clear" w:color="auto" w:fill="auto"/>
            <w:vAlign w:val="bottom"/>
            <w:hideMark/>
          </w:tcPr>
          <w:p w14:paraId="6F1AC294" w14:textId="77777777" w:rsidR="00BE6461" w:rsidRPr="00BE6461" w:rsidRDefault="00BE6461" w:rsidP="00BE6461">
            <w:pPr>
              <w:rPr>
                <w:b/>
                <w:bCs/>
                <w:sz w:val="20"/>
                <w:szCs w:val="20"/>
              </w:rPr>
            </w:pPr>
            <w:r w:rsidRPr="00BE6461">
              <w:rPr>
                <w:b/>
                <w:bCs/>
                <w:sz w:val="20"/>
                <w:szCs w:val="20"/>
              </w:rPr>
              <w:t>Program: PROGRAM POTICANJA RAZVOJA POLJOPRIVREDE, PODUZETNIŠTVA I TREĆEG SEKTORA</w:t>
            </w:r>
          </w:p>
        </w:tc>
        <w:tc>
          <w:tcPr>
            <w:tcW w:w="1503" w:type="dxa"/>
            <w:tcBorders>
              <w:top w:val="single" w:sz="4" w:space="0" w:color="auto"/>
              <w:left w:val="nil"/>
              <w:bottom w:val="nil"/>
              <w:right w:val="nil"/>
            </w:tcBorders>
            <w:shd w:val="clear" w:color="auto" w:fill="auto"/>
            <w:noWrap/>
            <w:vAlign w:val="bottom"/>
            <w:hideMark/>
          </w:tcPr>
          <w:p w14:paraId="70A7A99D" w14:textId="77777777" w:rsidR="00BE6461" w:rsidRPr="00BE6461" w:rsidRDefault="00BE6461" w:rsidP="00BE6461">
            <w:pPr>
              <w:jc w:val="right"/>
              <w:rPr>
                <w:b/>
                <w:bCs/>
                <w:sz w:val="20"/>
                <w:szCs w:val="20"/>
              </w:rPr>
            </w:pPr>
            <w:r w:rsidRPr="00BE6461">
              <w:rPr>
                <w:b/>
                <w:bCs/>
                <w:sz w:val="20"/>
                <w:szCs w:val="20"/>
              </w:rPr>
              <w:t>761.900,00</w:t>
            </w:r>
          </w:p>
        </w:tc>
        <w:tc>
          <w:tcPr>
            <w:tcW w:w="1500" w:type="dxa"/>
            <w:tcBorders>
              <w:top w:val="single" w:sz="4" w:space="0" w:color="auto"/>
              <w:left w:val="nil"/>
              <w:bottom w:val="nil"/>
              <w:right w:val="nil"/>
            </w:tcBorders>
            <w:shd w:val="clear" w:color="auto" w:fill="auto"/>
            <w:noWrap/>
            <w:vAlign w:val="bottom"/>
            <w:hideMark/>
          </w:tcPr>
          <w:p w14:paraId="6B22E3FE" w14:textId="77777777" w:rsidR="00BE6461" w:rsidRPr="00BE6461" w:rsidRDefault="00BE6461" w:rsidP="00BE6461">
            <w:pPr>
              <w:jc w:val="right"/>
              <w:rPr>
                <w:b/>
                <w:bCs/>
                <w:sz w:val="20"/>
                <w:szCs w:val="20"/>
              </w:rPr>
            </w:pPr>
            <w:r w:rsidRPr="00BE6461">
              <w:rPr>
                <w:b/>
                <w:bCs/>
                <w:sz w:val="20"/>
                <w:szCs w:val="20"/>
              </w:rPr>
              <w:t>221.122,92</w:t>
            </w:r>
          </w:p>
        </w:tc>
        <w:tc>
          <w:tcPr>
            <w:tcW w:w="1100" w:type="dxa"/>
            <w:tcBorders>
              <w:top w:val="single" w:sz="4" w:space="0" w:color="auto"/>
              <w:left w:val="nil"/>
              <w:bottom w:val="nil"/>
              <w:right w:val="nil"/>
            </w:tcBorders>
            <w:shd w:val="clear" w:color="auto" w:fill="auto"/>
            <w:noWrap/>
            <w:vAlign w:val="bottom"/>
            <w:hideMark/>
          </w:tcPr>
          <w:p w14:paraId="34918022" w14:textId="77777777" w:rsidR="00BE6461" w:rsidRPr="00BE6461" w:rsidRDefault="00BE6461" w:rsidP="00BE6461">
            <w:pPr>
              <w:jc w:val="right"/>
              <w:rPr>
                <w:b/>
                <w:bCs/>
                <w:sz w:val="20"/>
                <w:szCs w:val="20"/>
              </w:rPr>
            </w:pPr>
            <w:r w:rsidRPr="00BE6461">
              <w:rPr>
                <w:b/>
                <w:bCs/>
                <w:sz w:val="20"/>
                <w:szCs w:val="20"/>
              </w:rPr>
              <w:t>29,02</w:t>
            </w:r>
          </w:p>
        </w:tc>
      </w:tr>
      <w:tr w:rsidR="00BE6461" w:rsidRPr="00BE6461" w14:paraId="18C37E1B"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4C315440" w14:textId="77777777" w:rsidR="00BE6461" w:rsidRPr="00BE6461" w:rsidRDefault="00BE6461" w:rsidP="00BE6461">
            <w:pPr>
              <w:rPr>
                <w:b/>
                <w:bCs/>
                <w:sz w:val="20"/>
                <w:szCs w:val="20"/>
              </w:rPr>
            </w:pPr>
            <w:r w:rsidRPr="00BE6461">
              <w:rPr>
                <w:b/>
                <w:bCs/>
                <w:sz w:val="20"/>
                <w:szCs w:val="20"/>
              </w:rPr>
              <w:t>A100041</w:t>
            </w:r>
          </w:p>
        </w:tc>
        <w:tc>
          <w:tcPr>
            <w:tcW w:w="8457" w:type="dxa"/>
            <w:tcBorders>
              <w:top w:val="single" w:sz="4" w:space="0" w:color="auto"/>
              <w:left w:val="nil"/>
              <w:bottom w:val="single" w:sz="4" w:space="0" w:color="auto"/>
              <w:right w:val="nil"/>
            </w:tcBorders>
            <w:shd w:val="clear" w:color="auto" w:fill="auto"/>
            <w:vAlign w:val="bottom"/>
            <w:hideMark/>
          </w:tcPr>
          <w:p w14:paraId="1B79E701" w14:textId="77777777" w:rsidR="00BE6461" w:rsidRPr="00BE6461" w:rsidRDefault="00BE6461" w:rsidP="00BE6461">
            <w:pPr>
              <w:rPr>
                <w:b/>
                <w:bCs/>
                <w:sz w:val="20"/>
                <w:szCs w:val="20"/>
              </w:rPr>
            </w:pPr>
            <w:r w:rsidRPr="00BE6461">
              <w:rPr>
                <w:b/>
                <w:bCs/>
                <w:sz w:val="20"/>
                <w:szCs w:val="20"/>
              </w:rPr>
              <w:t>Aktivnost: PROGRAM - GRADOVI ULJA</w:t>
            </w:r>
          </w:p>
        </w:tc>
        <w:tc>
          <w:tcPr>
            <w:tcW w:w="1503" w:type="dxa"/>
            <w:tcBorders>
              <w:top w:val="single" w:sz="4" w:space="0" w:color="auto"/>
              <w:left w:val="nil"/>
              <w:bottom w:val="single" w:sz="4" w:space="0" w:color="auto"/>
              <w:right w:val="nil"/>
            </w:tcBorders>
            <w:shd w:val="clear" w:color="auto" w:fill="auto"/>
            <w:noWrap/>
            <w:vAlign w:val="bottom"/>
            <w:hideMark/>
          </w:tcPr>
          <w:p w14:paraId="2E9FDD58" w14:textId="77777777" w:rsidR="00BE6461" w:rsidRPr="00BE6461" w:rsidRDefault="00BE6461" w:rsidP="00BE6461">
            <w:pPr>
              <w:jc w:val="right"/>
              <w:rPr>
                <w:b/>
                <w:bCs/>
                <w:sz w:val="20"/>
                <w:szCs w:val="20"/>
              </w:rPr>
            </w:pPr>
            <w:r w:rsidRPr="00BE6461">
              <w:rPr>
                <w:b/>
                <w:bCs/>
                <w:sz w:val="20"/>
                <w:szCs w:val="20"/>
              </w:rPr>
              <w:t>8.000,00</w:t>
            </w:r>
          </w:p>
        </w:tc>
        <w:tc>
          <w:tcPr>
            <w:tcW w:w="1500" w:type="dxa"/>
            <w:tcBorders>
              <w:top w:val="single" w:sz="4" w:space="0" w:color="auto"/>
              <w:left w:val="nil"/>
              <w:bottom w:val="single" w:sz="4" w:space="0" w:color="auto"/>
              <w:right w:val="nil"/>
            </w:tcBorders>
            <w:shd w:val="clear" w:color="auto" w:fill="auto"/>
            <w:noWrap/>
            <w:vAlign w:val="bottom"/>
            <w:hideMark/>
          </w:tcPr>
          <w:p w14:paraId="45FB337D" w14:textId="77777777" w:rsidR="00BE6461" w:rsidRPr="00BE6461" w:rsidRDefault="00BE6461" w:rsidP="00BE6461">
            <w:pPr>
              <w:jc w:val="right"/>
              <w:rPr>
                <w:b/>
                <w:bCs/>
                <w:sz w:val="20"/>
                <w:szCs w:val="20"/>
              </w:rPr>
            </w:pPr>
            <w:r w:rsidRPr="00BE6461">
              <w:rPr>
                <w:b/>
                <w:bCs/>
                <w:sz w:val="20"/>
                <w:szCs w:val="20"/>
              </w:rPr>
              <w:t>8.000,00</w:t>
            </w:r>
          </w:p>
        </w:tc>
        <w:tc>
          <w:tcPr>
            <w:tcW w:w="1100" w:type="dxa"/>
            <w:tcBorders>
              <w:top w:val="single" w:sz="4" w:space="0" w:color="auto"/>
              <w:left w:val="nil"/>
              <w:bottom w:val="single" w:sz="4" w:space="0" w:color="auto"/>
              <w:right w:val="nil"/>
            </w:tcBorders>
            <w:shd w:val="clear" w:color="auto" w:fill="auto"/>
            <w:noWrap/>
            <w:vAlign w:val="bottom"/>
            <w:hideMark/>
          </w:tcPr>
          <w:p w14:paraId="50F316EE"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25037F88"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EC99CE4"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37948A74" w14:textId="77777777" w:rsidR="00BE6461" w:rsidRPr="00BE6461" w:rsidRDefault="00BE6461" w:rsidP="00BE6461">
            <w:pPr>
              <w:jc w:val="right"/>
              <w:rPr>
                <w:b/>
                <w:bCs/>
                <w:color w:val="333333"/>
                <w:sz w:val="20"/>
                <w:szCs w:val="20"/>
              </w:rPr>
            </w:pPr>
            <w:r w:rsidRPr="00BE6461">
              <w:rPr>
                <w:b/>
                <w:bCs/>
                <w:color w:val="333333"/>
                <w:sz w:val="20"/>
                <w:szCs w:val="20"/>
              </w:rPr>
              <w:t>8.000,00</w:t>
            </w:r>
          </w:p>
        </w:tc>
        <w:tc>
          <w:tcPr>
            <w:tcW w:w="1500" w:type="dxa"/>
            <w:tcBorders>
              <w:top w:val="nil"/>
              <w:left w:val="nil"/>
              <w:bottom w:val="nil"/>
              <w:right w:val="nil"/>
            </w:tcBorders>
            <w:shd w:val="clear" w:color="auto" w:fill="auto"/>
            <w:noWrap/>
            <w:vAlign w:val="bottom"/>
            <w:hideMark/>
          </w:tcPr>
          <w:p w14:paraId="589063BF" w14:textId="77777777" w:rsidR="00BE6461" w:rsidRPr="00BE6461" w:rsidRDefault="00BE6461" w:rsidP="00BE6461">
            <w:pPr>
              <w:jc w:val="right"/>
              <w:rPr>
                <w:b/>
                <w:bCs/>
                <w:color w:val="333333"/>
                <w:sz w:val="20"/>
                <w:szCs w:val="20"/>
              </w:rPr>
            </w:pPr>
            <w:r w:rsidRPr="00BE6461">
              <w:rPr>
                <w:b/>
                <w:bCs/>
                <w:color w:val="333333"/>
                <w:sz w:val="20"/>
                <w:szCs w:val="20"/>
              </w:rPr>
              <w:t>8.000,00</w:t>
            </w:r>
          </w:p>
        </w:tc>
        <w:tc>
          <w:tcPr>
            <w:tcW w:w="1100" w:type="dxa"/>
            <w:tcBorders>
              <w:top w:val="nil"/>
              <w:left w:val="nil"/>
              <w:bottom w:val="nil"/>
              <w:right w:val="nil"/>
            </w:tcBorders>
            <w:shd w:val="clear" w:color="auto" w:fill="auto"/>
            <w:noWrap/>
            <w:vAlign w:val="bottom"/>
            <w:hideMark/>
          </w:tcPr>
          <w:p w14:paraId="364F8DE6"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6EFF5B12"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240491E" w14:textId="77777777" w:rsidR="00BE6461" w:rsidRPr="00BE6461" w:rsidRDefault="00BE6461" w:rsidP="00BE6461">
            <w:pPr>
              <w:rPr>
                <w:b/>
                <w:bCs/>
                <w:color w:val="333333"/>
                <w:sz w:val="20"/>
                <w:szCs w:val="20"/>
              </w:rPr>
            </w:pPr>
            <w:r w:rsidRPr="00BE6461">
              <w:rPr>
                <w:b/>
                <w:bCs/>
                <w:color w:val="333333"/>
                <w:sz w:val="20"/>
                <w:szCs w:val="20"/>
              </w:rPr>
              <w:t>Izvor 4.5. PRIHODI POSEBNE NAMJENE - POLJOPRIVREDNO ZEMLJIŠTE RH</w:t>
            </w:r>
          </w:p>
        </w:tc>
        <w:tc>
          <w:tcPr>
            <w:tcW w:w="1503" w:type="dxa"/>
            <w:tcBorders>
              <w:top w:val="nil"/>
              <w:left w:val="nil"/>
              <w:bottom w:val="nil"/>
              <w:right w:val="nil"/>
            </w:tcBorders>
            <w:shd w:val="clear" w:color="auto" w:fill="auto"/>
            <w:noWrap/>
            <w:vAlign w:val="bottom"/>
            <w:hideMark/>
          </w:tcPr>
          <w:p w14:paraId="4741CD07" w14:textId="77777777" w:rsidR="00BE6461" w:rsidRPr="00BE6461" w:rsidRDefault="00BE6461" w:rsidP="00BE6461">
            <w:pPr>
              <w:jc w:val="right"/>
              <w:rPr>
                <w:b/>
                <w:bCs/>
                <w:color w:val="333333"/>
                <w:sz w:val="20"/>
                <w:szCs w:val="20"/>
              </w:rPr>
            </w:pPr>
            <w:r w:rsidRPr="00BE6461">
              <w:rPr>
                <w:b/>
                <w:bCs/>
                <w:color w:val="333333"/>
                <w:sz w:val="20"/>
                <w:szCs w:val="20"/>
              </w:rPr>
              <w:t>8.000,00</w:t>
            </w:r>
          </w:p>
        </w:tc>
        <w:tc>
          <w:tcPr>
            <w:tcW w:w="1500" w:type="dxa"/>
            <w:tcBorders>
              <w:top w:val="nil"/>
              <w:left w:val="nil"/>
              <w:bottom w:val="nil"/>
              <w:right w:val="nil"/>
            </w:tcBorders>
            <w:shd w:val="clear" w:color="auto" w:fill="auto"/>
            <w:noWrap/>
            <w:vAlign w:val="bottom"/>
            <w:hideMark/>
          </w:tcPr>
          <w:p w14:paraId="42636A2C" w14:textId="77777777" w:rsidR="00BE6461" w:rsidRPr="00BE6461" w:rsidRDefault="00BE6461" w:rsidP="00BE6461">
            <w:pPr>
              <w:jc w:val="right"/>
              <w:rPr>
                <w:b/>
                <w:bCs/>
                <w:color w:val="333333"/>
                <w:sz w:val="20"/>
                <w:szCs w:val="20"/>
              </w:rPr>
            </w:pPr>
            <w:r w:rsidRPr="00BE6461">
              <w:rPr>
                <w:b/>
                <w:bCs/>
                <w:color w:val="333333"/>
                <w:sz w:val="20"/>
                <w:szCs w:val="20"/>
              </w:rPr>
              <w:t>8.000,00</w:t>
            </w:r>
          </w:p>
        </w:tc>
        <w:tc>
          <w:tcPr>
            <w:tcW w:w="1100" w:type="dxa"/>
            <w:tcBorders>
              <w:top w:val="nil"/>
              <w:left w:val="nil"/>
              <w:bottom w:val="nil"/>
              <w:right w:val="nil"/>
            </w:tcBorders>
            <w:shd w:val="clear" w:color="auto" w:fill="auto"/>
            <w:noWrap/>
            <w:vAlign w:val="bottom"/>
            <w:hideMark/>
          </w:tcPr>
          <w:p w14:paraId="7AECF1A6"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115ECE39" w14:textId="77777777" w:rsidTr="00BE6461">
        <w:trPr>
          <w:trHeight w:val="300"/>
        </w:trPr>
        <w:tc>
          <w:tcPr>
            <w:tcW w:w="1703" w:type="dxa"/>
            <w:tcBorders>
              <w:top w:val="nil"/>
              <w:left w:val="nil"/>
              <w:bottom w:val="nil"/>
              <w:right w:val="nil"/>
            </w:tcBorders>
            <w:shd w:val="clear" w:color="auto" w:fill="auto"/>
            <w:noWrap/>
            <w:vAlign w:val="bottom"/>
            <w:hideMark/>
          </w:tcPr>
          <w:p w14:paraId="5555C5C9" w14:textId="77777777" w:rsidR="00BE6461" w:rsidRPr="00BE6461" w:rsidRDefault="00BE6461" w:rsidP="00BE6461">
            <w:pPr>
              <w:rPr>
                <w:b/>
                <w:bCs/>
                <w:sz w:val="20"/>
                <w:szCs w:val="20"/>
              </w:rPr>
            </w:pPr>
            <w:r w:rsidRPr="00BE6461">
              <w:rPr>
                <w:b/>
                <w:bCs/>
                <w:sz w:val="20"/>
                <w:szCs w:val="20"/>
              </w:rPr>
              <w:t>366</w:t>
            </w:r>
          </w:p>
        </w:tc>
        <w:tc>
          <w:tcPr>
            <w:tcW w:w="8457" w:type="dxa"/>
            <w:tcBorders>
              <w:top w:val="nil"/>
              <w:left w:val="nil"/>
              <w:bottom w:val="nil"/>
              <w:right w:val="nil"/>
            </w:tcBorders>
            <w:shd w:val="clear" w:color="auto" w:fill="auto"/>
            <w:vAlign w:val="bottom"/>
            <w:hideMark/>
          </w:tcPr>
          <w:p w14:paraId="5691A0C9" w14:textId="77777777" w:rsidR="00BE6461" w:rsidRPr="00BE6461" w:rsidRDefault="00BE6461" w:rsidP="00BE6461">
            <w:pPr>
              <w:rPr>
                <w:b/>
                <w:bCs/>
                <w:sz w:val="20"/>
                <w:szCs w:val="20"/>
              </w:rPr>
            </w:pPr>
            <w:r w:rsidRPr="00BE6461">
              <w:rPr>
                <w:b/>
                <w:bCs/>
                <w:sz w:val="20"/>
                <w:szCs w:val="20"/>
              </w:rPr>
              <w:t>Pomoći proračunskim korisnicima drugih proračuna</w:t>
            </w:r>
          </w:p>
        </w:tc>
        <w:tc>
          <w:tcPr>
            <w:tcW w:w="1503" w:type="dxa"/>
            <w:tcBorders>
              <w:top w:val="nil"/>
              <w:left w:val="nil"/>
              <w:bottom w:val="nil"/>
              <w:right w:val="nil"/>
            </w:tcBorders>
            <w:shd w:val="clear" w:color="auto" w:fill="auto"/>
            <w:noWrap/>
            <w:vAlign w:val="bottom"/>
            <w:hideMark/>
          </w:tcPr>
          <w:p w14:paraId="2BD22706" w14:textId="77777777" w:rsidR="00BE6461" w:rsidRPr="00BE6461" w:rsidRDefault="00BE6461" w:rsidP="00BE6461">
            <w:pPr>
              <w:jc w:val="right"/>
              <w:rPr>
                <w:b/>
                <w:bCs/>
                <w:sz w:val="20"/>
                <w:szCs w:val="20"/>
              </w:rPr>
            </w:pPr>
            <w:r w:rsidRPr="00BE6461">
              <w:rPr>
                <w:b/>
                <w:bCs/>
                <w:sz w:val="20"/>
                <w:szCs w:val="20"/>
              </w:rPr>
              <w:t>8.000,00</w:t>
            </w:r>
          </w:p>
        </w:tc>
        <w:tc>
          <w:tcPr>
            <w:tcW w:w="1500" w:type="dxa"/>
            <w:tcBorders>
              <w:top w:val="nil"/>
              <w:left w:val="nil"/>
              <w:bottom w:val="nil"/>
              <w:right w:val="nil"/>
            </w:tcBorders>
            <w:shd w:val="clear" w:color="auto" w:fill="auto"/>
            <w:noWrap/>
            <w:vAlign w:val="bottom"/>
            <w:hideMark/>
          </w:tcPr>
          <w:p w14:paraId="382FC927" w14:textId="77777777" w:rsidR="00BE6461" w:rsidRPr="00BE6461" w:rsidRDefault="00BE6461" w:rsidP="00BE6461">
            <w:pPr>
              <w:jc w:val="right"/>
              <w:rPr>
                <w:b/>
                <w:bCs/>
                <w:sz w:val="20"/>
                <w:szCs w:val="20"/>
              </w:rPr>
            </w:pPr>
            <w:r w:rsidRPr="00BE6461">
              <w:rPr>
                <w:b/>
                <w:bCs/>
                <w:sz w:val="20"/>
                <w:szCs w:val="20"/>
              </w:rPr>
              <w:t>8.000,00</w:t>
            </w:r>
          </w:p>
        </w:tc>
        <w:tc>
          <w:tcPr>
            <w:tcW w:w="1100" w:type="dxa"/>
            <w:tcBorders>
              <w:top w:val="nil"/>
              <w:left w:val="nil"/>
              <w:bottom w:val="nil"/>
              <w:right w:val="nil"/>
            </w:tcBorders>
            <w:shd w:val="clear" w:color="auto" w:fill="auto"/>
            <w:noWrap/>
            <w:vAlign w:val="bottom"/>
            <w:hideMark/>
          </w:tcPr>
          <w:p w14:paraId="1C44AAF2"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6FC3C80B" w14:textId="77777777" w:rsidTr="00BE6461">
        <w:trPr>
          <w:trHeight w:val="300"/>
        </w:trPr>
        <w:tc>
          <w:tcPr>
            <w:tcW w:w="1703" w:type="dxa"/>
            <w:tcBorders>
              <w:top w:val="nil"/>
              <w:left w:val="nil"/>
              <w:bottom w:val="nil"/>
              <w:right w:val="nil"/>
            </w:tcBorders>
            <w:shd w:val="clear" w:color="auto" w:fill="auto"/>
            <w:noWrap/>
            <w:vAlign w:val="bottom"/>
            <w:hideMark/>
          </w:tcPr>
          <w:p w14:paraId="7D1A1F0B" w14:textId="77777777" w:rsidR="00BE6461" w:rsidRPr="00BE6461" w:rsidRDefault="00BE6461" w:rsidP="00BE6461">
            <w:pPr>
              <w:rPr>
                <w:sz w:val="20"/>
                <w:szCs w:val="20"/>
              </w:rPr>
            </w:pPr>
            <w:r w:rsidRPr="00BE6461">
              <w:rPr>
                <w:sz w:val="20"/>
                <w:szCs w:val="20"/>
              </w:rPr>
              <w:t>3661</w:t>
            </w:r>
          </w:p>
        </w:tc>
        <w:tc>
          <w:tcPr>
            <w:tcW w:w="8457" w:type="dxa"/>
            <w:tcBorders>
              <w:top w:val="nil"/>
              <w:left w:val="nil"/>
              <w:bottom w:val="nil"/>
              <w:right w:val="nil"/>
            </w:tcBorders>
            <w:shd w:val="clear" w:color="auto" w:fill="auto"/>
            <w:vAlign w:val="bottom"/>
            <w:hideMark/>
          </w:tcPr>
          <w:p w14:paraId="6E25EDFE" w14:textId="77777777" w:rsidR="00BE6461" w:rsidRPr="00BE6461" w:rsidRDefault="00BE6461" w:rsidP="00BE6461">
            <w:pPr>
              <w:rPr>
                <w:sz w:val="20"/>
                <w:szCs w:val="20"/>
              </w:rPr>
            </w:pPr>
            <w:r w:rsidRPr="00BE6461">
              <w:rPr>
                <w:sz w:val="20"/>
                <w:szCs w:val="20"/>
              </w:rPr>
              <w:t>Tekuće pomoći proračunskim korisnicima drugih proračuna</w:t>
            </w:r>
          </w:p>
        </w:tc>
        <w:tc>
          <w:tcPr>
            <w:tcW w:w="1503" w:type="dxa"/>
            <w:tcBorders>
              <w:top w:val="nil"/>
              <w:left w:val="nil"/>
              <w:bottom w:val="nil"/>
              <w:right w:val="nil"/>
            </w:tcBorders>
            <w:shd w:val="clear" w:color="auto" w:fill="auto"/>
            <w:noWrap/>
            <w:vAlign w:val="bottom"/>
            <w:hideMark/>
          </w:tcPr>
          <w:p w14:paraId="402812FF"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C6DA5DD" w14:textId="77777777" w:rsidR="00BE6461" w:rsidRPr="00BE6461" w:rsidRDefault="00BE6461" w:rsidP="00BE6461">
            <w:pPr>
              <w:jc w:val="right"/>
              <w:rPr>
                <w:sz w:val="20"/>
                <w:szCs w:val="20"/>
              </w:rPr>
            </w:pPr>
            <w:r w:rsidRPr="00BE6461">
              <w:rPr>
                <w:sz w:val="20"/>
                <w:szCs w:val="20"/>
              </w:rPr>
              <w:t>8.000,00</w:t>
            </w:r>
          </w:p>
        </w:tc>
        <w:tc>
          <w:tcPr>
            <w:tcW w:w="1100" w:type="dxa"/>
            <w:tcBorders>
              <w:top w:val="nil"/>
              <w:left w:val="nil"/>
              <w:bottom w:val="nil"/>
              <w:right w:val="nil"/>
            </w:tcBorders>
            <w:shd w:val="clear" w:color="auto" w:fill="auto"/>
            <w:noWrap/>
            <w:vAlign w:val="bottom"/>
            <w:hideMark/>
          </w:tcPr>
          <w:p w14:paraId="7580F855" w14:textId="77777777" w:rsidR="00BE6461" w:rsidRPr="00BE6461" w:rsidRDefault="00BE6461" w:rsidP="00BE6461">
            <w:pPr>
              <w:jc w:val="right"/>
              <w:rPr>
                <w:sz w:val="20"/>
                <w:szCs w:val="20"/>
              </w:rPr>
            </w:pPr>
          </w:p>
        </w:tc>
      </w:tr>
      <w:tr w:rsidR="00BE6461" w:rsidRPr="00BE6461" w14:paraId="49E966B2"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44DE2EE1" w14:textId="77777777" w:rsidR="00BE6461" w:rsidRPr="00BE6461" w:rsidRDefault="00BE6461" w:rsidP="00BE6461">
            <w:pPr>
              <w:rPr>
                <w:b/>
                <w:bCs/>
                <w:sz w:val="20"/>
                <w:szCs w:val="20"/>
              </w:rPr>
            </w:pPr>
            <w:r w:rsidRPr="00BE6461">
              <w:rPr>
                <w:b/>
                <w:bCs/>
                <w:sz w:val="20"/>
                <w:szCs w:val="20"/>
              </w:rPr>
              <w:t>A100042</w:t>
            </w:r>
          </w:p>
        </w:tc>
        <w:tc>
          <w:tcPr>
            <w:tcW w:w="8457" w:type="dxa"/>
            <w:tcBorders>
              <w:top w:val="single" w:sz="4" w:space="0" w:color="auto"/>
              <w:left w:val="nil"/>
              <w:bottom w:val="single" w:sz="4" w:space="0" w:color="auto"/>
              <w:right w:val="nil"/>
            </w:tcBorders>
            <w:shd w:val="clear" w:color="auto" w:fill="auto"/>
            <w:vAlign w:val="bottom"/>
            <w:hideMark/>
          </w:tcPr>
          <w:p w14:paraId="1AB94256" w14:textId="77777777" w:rsidR="00BE6461" w:rsidRPr="00BE6461" w:rsidRDefault="00BE6461" w:rsidP="00BE6461">
            <w:pPr>
              <w:rPr>
                <w:b/>
                <w:bCs/>
                <w:sz w:val="20"/>
                <w:szCs w:val="20"/>
              </w:rPr>
            </w:pPr>
            <w:r w:rsidRPr="00BE6461">
              <w:rPr>
                <w:b/>
                <w:bCs/>
                <w:sz w:val="20"/>
                <w:szCs w:val="20"/>
              </w:rPr>
              <w:t>Aktivnost: PROGRAM - GRADOVI VINA</w:t>
            </w:r>
          </w:p>
        </w:tc>
        <w:tc>
          <w:tcPr>
            <w:tcW w:w="1503" w:type="dxa"/>
            <w:tcBorders>
              <w:top w:val="single" w:sz="4" w:space="0" w:color="auto"/>
              <w:left w:val="nil"/>
              <w:bottom w:val="single" w:sz="4" w:space="0" w:color="auto"/>
              <w:right w:val="nil"/>
            </w:tcBorders>
            <w:shd w:val="clear" w:color="auto" w:fill="auto"/>
            <w:noWrap/>
            <w:vAlign w:val="bottom"/>
            <w:hideMark/>
          </w:tcPr>
          <w:p w14:paraId="5032937D" w14:textId="77777777" w:rsidR="00BE6461" w:rsidRPr="00BE6461" w:rsidRDefault="00BE6461" w:rsidP="00BE6461">
            <w:pPr>
              <w:jc w:val="right"/>
              <w:rPr>
                <w:b/>
                <w:bCs/>
                <w:sz w:val="20"/>
                <w:szCs w:val="20"/>
              </w:rPr>
            </w:pPr>
            <w:r w:rsidRPr="00BE6461">
              <w:rPr>
                <w:b/>
                <w:bCs/>
                <w:sz w:val="20"/>
                <w:szCs w:val="20"/>
              </w:rPr>
              <w:t>5.800,00</w:t>
            </w:r>
          </w:p>
        </w:tc>
        <w:tc>
          <w:tcPr>
            <w:tcW w:w="1500" w:type="dxa"/>
            <w:tcBorders>
              <w:top w:val="single" w:sz="4" w:space="0" w:color="auto"/>
              <w:left w:val="nil"/>
              <w:bottom w:val="single" w:sz="4" w:space="0" w:color="auto"/>
              <w:right w:val="nil"/>
            </w:tcBorders>
            <w:shd w:val="clear" w:color="auto" w:fill="auto"/>
            <w:noWrap/>
            <w:vAlign w:val="bottom"/>
            <w:hideMark/>
          </w:tcPr>
          <w:p w14:paraId="3F510FBB" w14:textId="77777777" w:rsidR="00BE6461" w:rsidRPr="00BE6461" w:rsidRDefault="00BE6461" w:rsidP="00BE6461">
            <w:pPr>
              <w:jc w:val="right"/>
              <w:rPr>
                <w:b/>
                <w:bCs/>
                <w:sz w:val="20"/>
                <w:szCs w:val="20"/>
              </w:rPr>
            </w:pPr>
            <w:r w:rsidRPr="00BE6461">
              <w:rPr>
                <w:b/>
                <w:bCs/>
                <w:sz w:val="20"/>
                <w:szCs w:val="20"/>
              </w:rPr>
              <w:t>5.673,75</w:t>
            </w:r>
          </w:p>
        </w:tc>
        <w:tc>
          <w:tcPr>
            <w:tcW w:w="1100" w:type="dxa"/>
            <w:tcBorders>
              <w:top w:val="single" w:sz="4" w:space="0" w:color="auto"/>
              <w:left w:val="nil"/>
              <w:bottom w:val="single" w:sz="4" w:space="0" w:color="auto"/>
              <w:right w:val="nil"/>
            </w:tcBorders>
            <w:shd w:val="clear" w:color="auto" w:fill="auto"/>
            <w:noWrap/>
            <w:vAlign w:val="bottom"/>
            <w:hideMark/>
          </w:tcPr>
          <w:p w14:paraId="23D5534D" w14:textId="77777777" w:rsidR="00BE6461" w:rsidRPr="00BE6461" w:rsidRDefault="00BE6461" w:rsidP="00BE6461">
            <w:pPr>
              <w:jc w:val="right"/>
              <w:rPr>
                <w:b/>
                <w:bCs/>
                <w:sz w:val="20"/>
                <w:szCs w:val="20"/>
              </w:rPr>
            </w:pPr>
            <w:r w:rsidRPr="00BE6461">
              <w:rPr>
                <w:b/>
                <w:bCs/>
                <w:sz w:val="20"/>
                <w:szCs w:val="20"/>
              </w:rPr>
              <w:t>97,82</w:t>
            </w:r>
          </w:p>
        </w:tc>
      </w:tr>
      <w:tr w:rsidR="00BE6461" w:rsidRPr="00BE6461" w14:paraId="25583EAA"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A159D92"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4A4ABAE3" w14:textId="77777777" w:rsidR="00BE6461" w:rsidRPr="00BE6461" w:rsidRDefault="00BE6461" w:rsidP="00BE6461">
            <w:pPr>
              <w:jc w:val="right"/>
              <w:rPr>
                <w:b/>
                <w:bCs/>
                <w:color w:val="333333"/>
                <w:sz w:val="20"/>
                <w:szCs w:val="20"/>
              </w:rPr>
            </w:pPr>
            <w:r w:rsidRPr="00BE6461">
              <w:rPr>
                <w:b/>
                <w:bCs/>
                <w:color w:val="333333"/>
                <w:sz w:val="20"/>
                <w:szCs w:val="20"/>
              </w:rPr>
              <w:t>5.800,00</w:t>
            </w:r>
          </w:p>
        </w:tc>
        <w:tc>
          <w:tcPr>
            <w:tcW w:w="1500" w:type="dxa"/>
            <w:tcBorders>
              <w:top w:val="nil"/>
              <w:left w:val="nil"/>
              <w:bottom w:val="nil"/>
              <w:right w:val="nil"/>
            </w:tcBorders>
            <w:shd w:val="clear" w:color="auto" w:fill="auto"/>
            <w:noWrap/>
            <w:vAlign w:val="bottom"/>
            <w:hideMark/>
          </w:tcPr>
          <w:p w14:paraId="2FF06FEE" w14:textId="77777777" w:rsidR="00BE6461" w:rsidRPr="00BE6461" w:rsidRDefault="00BE6461" w:rsidP="00BE6461">
            <w:pPr>
              <w:jc w:val="right"/>
              <w:rPr>
                <w:b/>
                <w:bCs/>
                <w:color w:val="333333"/>
                <w:sz w:val="20"/>
                <w:szCs w:val="20"/>
              </w:rPr>
            </w:pPr>
            <w:r w:rsidRPr="00BE6461">
              <w:rPr>
                <w:b/>
                <w:bCs/>
                <w:color w:val="333333"/>
                <w:sz w:val="20"/>
                <w:szCs w:val="20"/>
              </w:rPr>
              <w:t>5.673,75</w:t>
            </w:r>
          </w:p>
        </w:tc>
        <w:tc>
          <w:tcPr>
            <w:tcW w:w="1100" w:type="dxa"/>
            <w:tcBorders>
              <w:top w:val="nil"/>
              <w:left w:val="nil"/>
              <w:bottom w:val="nil"/>
              <w:right w:val="nil"/>
            </w:tcBorders>
            <w:shd w:val="clear" w:color="auto" w:fill="auto"/>
            <w:noWrap/>
            <w:vAlign w:val="bottom"/>
            <w:hideMark/>
          </w:tcPr>
          <w:p w14:paraId="3602D2A8" w14:textId="77777777" w:rsidR="00BE6461" w:rsidRPr="00BE6461" w:rsidRDefault="00BE6461" w:rsidP="00BE6461">
            <w:pPr>
              <w:jc w:val="right"/>
              <w:rPr>
                <w:b/>
                <w:bCs/>
                <w:color w:val="333333"/>
                <w:sz w:val="20"/>
                <w:szCs w:val="20"/>
              </w:rPr>
            </w:pPr>
            <w:r w:rsidRPr="00BE6461">
              <w:rPr>
                <w:b/>
                <w:bCs/>
                <w:color w:val="333333"/>
                <w:sz w:val="20"/>
                <w:szCs w:val="20"/>
              </w:rPr>
              <w:t>97,82</w:t>
            </w:r>
          </w:p>
        </w:tc>
      </w:tr>
      <w:tr w:rsidR="00BE6461" w:rsidRPr="00BE6461" w14:paraId="2903153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568CC1C"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606B2B88" w14:textId="77777777" w:rsidR="00BE6461" w:rsidRPr="00BE6461" w:rsidRDefault="00BE6461" w:rsidP="00BE6461">
            <w:pPr>
              <w:jc w:val="right"/>
              <w:rPr>
                <w:b/>
                <w:bCs/>
                <w:color w:val="333333"/>
                <w:sz w:val="20"/>
                <w:szCs w:val="20"/>
              </w:rPr>
            </w:pPr>
            <w:r w:rsidRPr="00BE6461">
              <w:rPr>
                <w:b/>
                <w:bCs/>
                <w:color w:val="333333"/>
                <w:sz w:val="20"/>
                <w:szCs w:val="20"/>
              </w:rPr>
              <w:t>5.800,00</w:t>
            </w:r>
          </w:p>
        </w:tc>
        <w:tc>
          <w:tcPr>
            <w:tcW w:w="1500" w:type="dxa"/>
            <w:tcBorders>
              <w:top w:val="nil"/>
              <w:left w:val="nil"/>
              <w:bottom w:val="nil"/>
              <w:right w:val="nil"/>
            </w:tcBorders>
            <w:shd w:val="clear" w:color="auto" w:fill="auto"/>
            <w:noWrap/>
            <w:vAlign w:val="bottom"/>
            <w:hideMark/>
          </w:tcPr>
          <w:p w14:paraId="0A71E6B0" w14:textId="77777777" w:rsidR="00BE6461" w:rsidRPr="00BE6461" w:rsidRDefault="00BE6461" w:rsidP="00BE6461">
            <w:pPr>
              <w:jc w:val="right"/>
              <w:rPr>
                <w:b/>
                <w:bCs/>
                <w:color w:val="333333"/>
                <w:sz w:val="20"/>
                <w:szCs w:val="20"/>
              </w:rPr>
            </w:pPr>
            <w:r w:rsidRPr="00BE6461">
              <w:rPr>
                <w:b/>
                <w:bCs/>
                <w:color w:val="333333"/>
                <w:sz w:val="20"/>
                <w:szCs w:val="20"/>
              </w:rPr>
              <w:t>5.673,75</w:t>
            </w:r>
          </w:p>
        </w:tc>
        <w:tc>
          <w:tcPr>
            <w:tcW w:w="1100" w:type="dxa"/>
            <w:tcBorders>
              <w:top w:val="nil"/>
              <w:left w:val="nil"/>
              <w:bottom w:val="nil"/>
              <w:right w:val="nil"/>
            </w:tcBorders>
            <w:shd w:val="clear" w:color="auto" w:fill="auto"/>
            <w:noWrap/>
            <w:vAlign w:val="bottom"/>
            <w:hideMark/>
          </w:tcPr>
          <w:p w14:paraId="4EAB9F17" w14:textId="77777777" w:rsidR="00BE6461" w:rsidRPr="00BE6461" w:rsidRDefault="00BE6461" w:rsidP="00BE6461">
            <w:pPr>
              <w:jc w:val="right"/>
              <w:rPr>
                <w:b/>
                <w:bCs/>
                <w:color w:val="333333"/>
                <w:sz w:val="20"/>
                <w:szCs w:val="20"/>
              </w:rPr>
            </w:pPr>
            <w:r w:rsidRPr="00BE6461">
              <w:rPr>
                <w:b/>
                <w:bCs/>
                <w:color w:val="333333"/>
                <w:sz w:val="20"/>
                <w:szCs w:val="20"/>
              </w:rPr>
              <w:t>97,82</w:t>
            </w:r>
          </w:p>
        </w:tc>
      </w:tr>
      <w:tr w:rsidR="00BE6461" w:rsidRPr="00BE6461" w14:paraId="603A80B0" w14:textId="77777777" w:rsidTr="00BE6461">
        <w:trPr>
          <w:trHeight w:val="300"/>
        </w:trPr>
        <w:tc>
          <w:tcPr>
            <w:tcW w:w="1703" w:type="dxa"/>
            <w:tcBorders>
              <w:top w:val="nil"/>
              <w:left w:val="nil"/>
              <w:bottom w:val="nil"/>
              <w:right w:val="nil"/>
            </w:tcBorders>
            <w:shd w:val="clear" w:color="auto" w:fill="auto"/>
            <w:noWrap/>
            <w:vAlign w:val="bottom"/>
            <w:hideMark/>
          </w:tcPr>
          <w:p w14:paraId="7650B87D"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11C27C63"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6D2AA7DF" w14:textId="77777777" w:rsidR="00BE6461" w:rsidRPr="00BE6461" w:rsidRDefault="00BE6461" w:rsidP="00BE6461">
            <w:pPr>
              <w:jc w:val="right"/>
              <w:rPr>
                <w:b/>
                <w:bCs/>
                <w:sz w:val="20"/>
                <w:szCs w:val="20"/>
              </w:rPr>
            </w:pPr>
            <w:r w:rsidRPr="00BE6461">
              <w:rPr>
                <w:b/>
                <w:bCs/>
                <w:sz w:val="20"/>
                <w:szCs w:val="20"/>
              </w:rPr>
              <w:t>5.800,00</w:t>
            </w:r>
          </w:p>
        </w:tc>
        <w:tc>
          <w:tcPr>
            <w:tcW w:w="1500" w:type="dxa"/>
            <w:tcBorders>
              <w:top w:val="nil"/>
              <w:left w:val="nil"/>
              <w:bottom w:val="nil"/>
              <w:right w:val="nil"/>
            </w:tcBorders>
            <w:shd w:val="clear" w:color="auto" w:fill="auto"/>
            <w:noWrap/>
            <w:vAlign w:val="bottom"/>
            <w:hideMark/>
          </w:tcPr>
          <w:p w14:paraId="187701E9" w14:textId="77777777" w:rsidR="00BE6461" w:rsidRPr="00BE6461" w:rsidRDefault="00BE6461" w:rsidP="00BE6461">
            <w:pPr>
              <w:jc w:val="right"/>
              <w:rPr>
                <w:b/>
                <w:bCs/>
                <w:sz w:val="20"/>
                <w:szCs w:val="20"/>
              </w:rPr>
            </w:pPr>
            <w:r w:rsidRPr="00BE6461">
              <w:rPr>
                <w:b/>
                <w:bCs/>
                <w:sz w:val="20"/>
                <w:szCs w:val="20"/>
              </w:rPr>
              <w:t>5.673,75</w:t>
            </w:r>
          </w:p>
        </w:tc>
        <w:tc>
          <w:tcPr>
            <w:tcW w:w="1100" w:type="dxa"/>
            <w:tcBorders>
              <w:top w:val="nil"/>
              <w:left w:val="nil"/>
              <w:bottom w:val="nil"/>
              <w:right w:val="nil"/>
            </w:tcBorders>
            <w:shd w:val="clear" w:color="auto" w:fill="auto"/>
            <w:noWrap/>
            <w:vAlign w:val="bottom"/>
            <w:hideMark/>
          </w:tcPr>
          <w:p w14:paraId="289110B4" w14:textId="77777777" w:rsidR="00BE6461" w:rsidRPr="00BE6461" w:rsidRDefault="00BE6461" w:rsidP="00BE6461">
            <w:pPr>
              <w:jc w:val="right"/>
              <w:rPr>
                <w:b/>
                <w:bCs/>
                <w:sz w:val="20"/>
                <w:szCs w:val="20"/>
              </w:rPr>
            </w:pPr>
            <w:r w:rsidRPr="00BE6461">
              <w:rPr>
                <w:b/>
                <w:bCs/>
                <w:sz w:val="20"/>
                <w:szCs w:val="20"/>
              </w:rPr>
              <w:t>97,82</w:t>
            </w:r>
          </w:p>
        </w:tc>
      </w:tr>
      <w:tr w:rsidR="00BE6461" w:rsidRPr="00BE6461" w14:paraId="6375E1CD" w14:textId="77777777" w:rsidTr="00BE6461">
        <w:trPr>
          <w:trHeight w:val="300"/>
        </w:trPr>
        <w:tc>
          <w:tcPr>
            <w:tcW w:w="1703" w:type="dxa"/>
            <w:tcBorders>
              <w:top w:val="nil"/>
              <w:left w:val="nil"/>
              <w:bottom w:val="nil"/>
              <w:right w:val="nil"/>
            </w:tcBorders>
            <w:shd w:val="clear" w:color="auto" w:fill="auto"/>
            <w:noWrap/>
            <w:vAlign w:val="bottom"/>
            <w:hideMark/>
          </w:tcPr>
          <w:p w14:paraId="3F67BBBA" w14:textId="77777777" w:rsidR="00BE6461" w:rsidRPr="00BE6461" w:rsidRDefault="00BE6461" w:rsidP="00BE6461">
            <w:pPr>
              <w:rPr>
                <w:sz w:val="20"/>
                <w:szCs w:val="20"/>
              </w:rPr>
            </w:pPr>
            <w:r w:rsidRPr="00BE6461">
              <w:rPr>
                <w:sz w:val="20"/>
                <w:szCs w:val="20"/>
              </w:rPr>
              <w:t>3294</w:t>
            </w:r>
          </w:p>
        </w:tc>
        <w:tc>
          <w:tcPr>
            <w:tcW w:w="8457" w:type="dxa"/>
            <w:tcBorders>
              <w:top w:val="nil"/>
              <w:left w:val="nil"/>
              <w:bottom w:val="nil"/>
              <w:right w:val="nil"/>
            </w:tcBorders>
            <w:shd w:val="clear" w:color="auto" w:fill="auto"/>
            <w:vAlign w:val="bottom"/>
            <w:hideMark/>
          </w:tcPr>
          <w:p w14:paraId="0999959B" w14:textId="77777777" w:rsidR="00BE6461" w:rsidRPr="00BE6461" w:rsidRDefault="00BE6461" w:rsidP="00BE6461">
            <w:pPr>
              <w:rPr>
                <w:sz w:val="20"/>
                <w:szCs w:val="20"/>
              </w:rPr>
            </w:pPr>
            <w:r w:rsidRPr="00BE6461">
              <w:rPr>
                <w:sz w:val="20"/>
                <w:szCs w:val="20"/>
              </w:rPr>
              <w:t>Članarine i norme</w:t>
            </w:r>
          </w:p>
        </w:tc>
        <w:tc>
          <w:tcPr>
            <w:tcW w:w="1503" w:type="dxa"/>
            <w:tcBorders>
              <w:top w:val="nil"/>
              <w:left w:val="nil"/>
              <w:bottom w:val="nil"/>
              <w:right w:val="nil"/>
            </w:tcBorders>
            <w:shd w:val="clear" w:color="auto" w:fill="auto"/>
            <w:noWrap/>
            <w:vAlign w:val="bottom"/>
            <w:hideMark/>
          </w:tcPr>
          <w:p w14:paraId="640D164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51C79C2" w14:textId="77777777" w:rsidR="00BE6461" w:rsidRPr="00BE6461" w:rsidRDefault="00BE6461" w:rsidP="00BE6461">
            <w:pPr>
              <w:jc w:val="right"/>
              <w:rPr>
                <w:sz w:val="20"/>
                <w:szCs w:val="20"/>
              </w:rPr>
            </w:pPr>
            <w:r w:rsidRPr="00BE6461">
              <w:rPr>
                <w:sz w:val="20"/>
                <w:szCs w:val="20"/>
              </w:rPr>
              <w:t>5.673,75</w:t>
            </w:r>
          </w:p>
        </w:tc>
        <w:tc>
          <w:tcPr>
            <w:tcW w:w="1100" w:type="dxa"/>
            <w:tcBorders>
              <w:top w:val="nil"/>
              <w:left w:val="nil"/>
              <w:bottom w:val="nil"/>
              <w:right w:val="nil"/>
            </w:tcBorders>
            <w:shd w:val="clear" w:color="auto" w:fill="auto"/>
            <w:noWrap/>
            <w:vAlign w:val="bottom"/>
            <w:hideMark/>
          </w:tcPr>
          <w:p w14:paraId="1077EAC3" w14:textId="77777777" w:rsidR="00BE6461" w:rsidRPr="00BE6461" w:rsidRDefault="00BE6461" w:rsidP="00BE6461">
            <w:pPr>
              <w:jc w:val="right"/>
              <w:rPr>
                <w:sz w:val="20"/>
                <w:szCs w:val="20"/>
              </w:rPr>
            </w:pPr>
          </w:p>
        </w:tc>
      </w:tr>
      <w:tr w:rsidR="00BE6461" w:rsidRPr="00BE6461" w14:paraId="33CE0E33"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3C6460B2" w14:textId="77777777" w:rsidR="00BE6461" w:rsidRPr="00BE6461" w:rsidRDefault="00BE6461" w:rsidP="00BE6461">
            <w:pPr>
              <w:rPr>
                <w:b/>
                <w:bCs/>
                <w:sz w:val="20"/>
                <w:szCs w:val="20"/>
              </w:rPr>
            </w:pPr>
            <w:r w:rsidRPr="00BE6461">
              <w:rPr>
                <w:b/>
                <w:bCs/>
                <w:sz w:val="20"/>
                <w:szCs w:val="20"/>
              </w:rPr>
              <w:lastRenderedPageBreak/>
              <w:t>A100045</w:t>
            </w:r>
          </w:p>
        </w:tc>
        <w:tc>
          <w:tcPr>
            <w:tcW w:w="8457" w:type="dxa"/>
            <w:tcBorders>
              <w:top w:val="single" w:sz="4" w:space="0" w:color="auto"/>
              <w:left w:val="nil"/>
              <w:bottom w:val="single" w:sz="4" w:space="0" w:color="auto"/>
              <w:right w:val="nil"/>
            </w:tcBorders>
            <w:shd w:val="clear" w:color="auto" w:fill="auto"/>
            <w:vAlign w:val="bottom"/>
            <w:hideMark/>
          </w:tcPr>
          <w:p w14:paraId="71DE63BA" w14:textId="77777777" w:rsidR="00BE6461" w:rsidRPr="00BE6461" w:rsidRDefault="00BE6461" w:rsidP="00BE6461">
            <w:pPr>
              <w:rPr>
                <w:b/>
                <w:bCs/>
                <w:sz w:val="20"/>
                <w:szCs w:val="20"/>
              </w:rPr>
            </w:pPr>
            <w:r w:rsidRPr="00BE6461">
              <w:rPr>
                <w:b/>
                <w:bCs/>
                <w:sz w:val="20"/>
                <w:szCs w:val="20"/>
              </w:rPr>
              <w:t>Aktivnost: POMOĆI I DONACIJE UDRGAMA OD ZNAČAJA ZA RAZVOJ POLJOPRIVREDE</w:t>
            </w:r>
          </w:p>
        </w:tc>
        <w:tc>
          <w:tcPr>
            <w:tcW w:w="1503" w:type="dxa"/>
            <w:tcBorders>
              <w:top w:val="single" w:sz="4" w:space="0" w:color="auto"/>
              <w:left w:val="nil"/>
              <w:bottom w:val="single" w:sz="4" w:space="0" w:color="auto"/>
              <w:right w:val="nil"/>
            </w:tcBorders>
            <w:shd w:val="clear" w:color="auto" w:fill="auto"/>
            <w:noWrap/>
            <w:vAlign w:val="bottom"/>
            <w:hideMark/>
          </w:tcPr>
          <w:p w14:paraId="7BA4D951" w14:textId="77777777" w:rsidR="00BE6461" w:rsidRPr="00BE6461" w:rsidRDefault="00BE6461" w:rsidP="00BE6461">
            <w:pPr>
              <w:jc w:val="right"/>
              <w:rPr>
                <w:b/>
                <w:bCs/>
                <w:sz w:val="20"/>
                <w:szCs w:val="20"/>
              </w:rPr>
            </w:pPr>
            <w:r w:rsidRPr="00BE6461">
              <w:rPr>
                <w:b/>
                <w:bCs/>
                <w:sz w:val="20"/>
                <w:szCs w:val="20"/>
              </w:rPr>
              <w:t>12.000,00</w:t>
            </w:r>
          </w:p>
        </w:tc>
        <w:tc>
          <w:tcPr>
            <w:tcW w:w="1500" w:type="dxa"/>
            <w:tcBorders>
              <w:top w:val="single" w:sz="4" w:space="0" w:color="auto"/>
              <w:left w:val="nil"/>
              <w:bottom w:val="single" w:sz="4" w:space="0" w:color="auto"/>
              <w:right w:val="nil"/>
            </w:tcBorders>
            <w:shd w:val="clear" w:color="auto" w:fill="auto"/>
            <w:noWrap/>
            <w:vAlign w:val="bottom"/>
            <w:hideMark/>
          </w:tcPr>
          <w:p w14:paraId="7E31F747" w14:textId="77777777" w:rsidR="00BE6461" w:rsidRPr="00BE6461" w:rsidRDefault="00BE6461" w:rsidP="00BE6461">
            <w:pPr>
              <w:jc w:val="right"/>
              <w:rPr>
                <w:b/>
                <w:bCs/>
                <w:sz w:val="20"/>
                <w:szCs w:val="20"/>
              </w:rPr>
            </w:pPr>
            <w:r w:rsidRPr="00BE6461">
              <w:rPr>
                <w:b/>
                <w:bCs/>
                <w:sz w:val="20"/>
                <w:szCs w:val="20"/>
              </w:rPr>
              <w:t>12.000,00</w:t>
            </w:r>
          </w:p>
        </w:tc>
        <w:tc>
          <w:tcPr>
            <w:tcW w:w="1100" w:type="dxa"/>
            <w:tcBorders>
              <w:top w:val="single" w:sz="4" w:space="0" w:color="auto"/>
              <w:left w:val="nil"/>
              <w:bottom w:val="single" w:sz="4" w:space="0" w:color="auto"/>
              <w:right w:val="nil"/>
            </w:tcBorders>
            <w:shd w:val="clear" w:color="auto" w:fill="auto"/>
            <w:noWrap/>
            <w:vAlign w:val="bottom"/>
            <w:hideMark/>
          </w:tcPr>
          <w:p w14:paraId="5DE84C90"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3916945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30384DC"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390CA697" w14:textId="77777777" w:rsidR="00BE6461" w:rsidRPr="00BE6461" w:rsidRDefault="00BE6461" w:rsidP="00BE6461">
            <w:pPr>
              <w:jc w:val="right"/>
              <w:rPr>
                <w:b/>
                <w:bCs/>
                <w:color w:val="333333"/>
                <w:sz w:val="20"/>
                <w:szCs w:val="20"/>
              </w:rPr>
            </w:pPr>
            <w:r w:rsidRPr="00BE6461">
              <w:rPr>
                <w:b/>
                <w:bCs/>
                <w:color w:val="333333"/>
                <w:sz w:val="20"/>
                <w:szCs w:val="20"/>
              </w:rPr>
              <w:t>12.000,00</w:t>
            </w:r>
          </w:p>
        </w:tc>
        <w:tc>
          <w:tcPr>
            <w:tcW w:w="1500" w:type="dxa"/>
            <w:tcBorders>
              <w:top w:val="nil"/>
              <w:left w:val="nil"/>
              <w:bottom w:val="nil"/>
              <w:right w:val="nil"/>
            </w:tcBorders>
            <w:shd w:val="clear" w:color="auto" w:fill="auto"/>
            <w:noWrap/>
            <w:vAlign w:val="bottom"/>
            <w:hideMark/>
          </w:tcPr>
          <w:p w14:paraId="355FD151" w14:textId="77777777" w:rsidR="00BE6461" w:rsidRPr="00BE6461" w:rsidRDefault="00BE6461" w:rsidP="00BE6461">
            <w:pPr>
              <w:jc w:val="right"/>
              <w:rPr>
                <w:b/>
                <w:bCs/>
                <w:color w:val="333333"/>
                <w:sz w:val="20"/>
                <w:szCs w:val="20"/>
              </w:rPr>
            </w:pPr>
            <w:r w:rsidRPr="00BE6461">
              <w:rPr>
                <w:b/>
                <w:bCs/>
                <w:color w:val="333333"/>
                <w:sz w:val="20"/>
                <w:szCs w:val="20"/>
              </w:rPr>
              <w:t>12.000,00</w:t>
            </w:r>
          </w:p>
        </w:tc>
        <w:tc>
          <w:tcPr>
            <w:tcW w:w="1100" w:type="dxa"/>
            <w:tcBorders>
              <w:top w:val="nil"/>
              <w:left w:val="nil"/>
              <w:bottom w:val="nil"/>
              <w:right w:val="nil"/>
            </w:tcBorders>
            <w:shd w:val="clear" w:color="auto" w:fill="auto"/>
            <w:noWrap/>
            <w:vAlign w:val="bottom"/>
            <w:hideMark/>
          </w:tcPr>
          <w:p w14:paraId="37EDCE78"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76A7AF94"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2463AD4"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4B4BB3B4" w14:textId="77777777" w:rsidR="00BE6461" w:rsidRPr="00BE6461" w:rsidRDefault="00BE6461" w:rsidP="00BE6461">
            <w:pPr>
              <w:jc w:val="right"/>
              <w:rPr>
                <w:b/>
                <w:bCs/>
                <w:color w:val="333333"/>
                <w:sz w:val="20"/>
                <w:szCs w:val="20"/>
              </w:rPr>
            </w:pPr>
            <w:r w:rsidRPr="00BE6461">
              <w:rPr>
                <w:b/>
                <w:bCs/>
                <w:color w:val="333333"/>
                <w:sz w:val="20"/>
                <w:szCs w:val="20"/>
              </w:rPr>
              <w:t>12.000,00</w:t>
            </w:r>
          </w:p>
        </w:tc>
        <w:tc>
          <w:tcPr>
            <w:tcW w:w="1500" w:type="dxa"/>
            <w:tcBorders>
              <w:top w:val="nil"/>
              <w:left w:val="nil"/>
              <w:bottom w:val="nil"/>
              <w:right w:val="nil"/>
            </w:tcBorders>
            <w:shd w:val="clear" w:color="auto" w:fill="auto"/>
            <w:noWrap/>
            <w:vAlign w:val="bottom"/>
            <w:hideMark/>
          </w:tcPr>
          <w:p w14:paraId="3239CE51" w14:textId="77777777" w:rsidR="00BE6461" w:rsidRPr="00BE6461" w:rsidRDefault="00BE6461" w:rsidP="00BE6461">
            <w:pPr>
              <w:jc w:val="right"/>
              <w:rPr>
                <w:b/>
                <w:bCs/>
                <w:color w:val="333333"/>
                <w:sz w:val="20"/>
                <w:szCs w:val="20"/>
              </w:rPr>
            </w:pPr>
            <w:r w:rsidRPr="00BE6461">
              <w:rPr>
                <w:b/>
                <w:bCs/>
                <w:color w:val="333333"/>
                <w:sz w:val="20"/>
                <w:szCs w:val="20"/>
              </w:rPr>
              <w:t>12.000,00</w:t>
            </w:r>
          </w:p>
        </w:tc>
        <w:tc>
          <w:tcPr>
            <w:tcW w:w="1100" w:type="dxa"/>
            <w:tcBorders>
              <w:top w:val="nil"/>
              <w:left w:val="nil"/>
              <w:bottom w:val="nil"/>
              <w:right w:val="nil"/>
            </w:tcBorders>
            <w:shd w:val="clear" w:color="auto" w:fill="auto"/>
            <w:noWrap/>
            <w:vAlign w:val="bottom"/>
            <w:hideMark/>
          </w:tcPr>
          <w:p w14:paraId="6EACCFAA"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4DCC6EDB" w14:textId="77777777" w:rsidTr="00BE6461">
        <w:trPr>
          <w:trHeight w:val="300"/>
        </w:trPr>
        <w:tc>
          <w:tcPr>
            <w:tcW w:w="1703" w:type="dxa"/>
            <w:tcBorders>
              <w:top w:val="nil"/>
              <w:left w:val="nil"/>
              <w:bottom w:val="nil"/>
              <w:right w:val="nil"/>
            </w:tcBorders>
            <w:shd w:val="clear" w:color="auto" w:fill="auto"/>
            <w:noWrap/>
            <w:vAlign w:val="bottom"/>
            <w:hideMark/>
          </w:tcPr>
          <w:p w14:paraId="1A07C6AA" w14:textId="77777777" w:rsidR="00BE6461" w:rsidRPr="00BE6461" w:rsidRDefault="00BE6461" w:rsidP="00BE6461">
            <w:pPr>
              <w:rPr>
                <w:b/>
                <w:bCs/>
                <w:sz w:val="20"/>
                <w:szCs w:val="20"/>
              </w:rPr>
            </w:pPr>
            <w:r w:rsidRPr="00BE6461">
              <w:rPr>
                <w:b/>
                <w:bCs/>
                <w:sz w:val="20"/>
                <w:szCs w:val="20"/>
              </w:rPr>
              <w:t>381</w:t>
            </w:r>
          </w:p>
        </w:tc>
        <w:tc>
          <w:tcPr>
            <w:tcW w:w="8457" w:type="dxa"/>
            <w:tcBorders>
              <w:top w:val="nil"/>
              <w:left w:val="nil"/>
              <w:bottom w:val="nil"/>
              <w:right w:val="nil"/>
            </w:tcBorders>
            <w:shd w:val="clear" w:color="auto" w:fill="auto"/>
            <w:vAlign w:val="bottom"/>
            <w:hideMark/>
          </w:tcPr>
          <w:p w14:paraId="375D3203" w14:textId="77777777" w:rsidR="00BE6461" w:rsidRPr="00BE6461" w:rsidRDefault="00BE6461" w:rsidP="00BE6461">
            <w:pPr>
              <w:rPr>
                <w:b/>
                <w:bCs/>
                <w:sz w:val="20"/>
                <w:szCs w:val="20"/>
              </w:rPr>
            </w:pPr>
            <w:r w:rsidRPr="00BE6461">
              <w:rPr>
                <w:b/>
                <w:bCs/>
                <w:sz w:val="20"/>
                <w:szCs w:val="20"/>
              </w:rPr>
              <w:t xml:space="preserve">Tekuće donacije                                                                                     </w:t>
            </w:r>
          </w:p>
        </w:tc>
        <w:tc>
          <w:tcPr>
            <w:tcW w:w="1503" w:type="dxa"/>
            <w:tcBorders>
              <w:top w:val="nil"/>
              <w:left w:val="nil"/>
              <w:bottom w:val="nil"/>
              <w:right w:val="nil"/>
            </w:tcBorders>
            <w:shd w:val="clear" w:color="auto" w:fill="auto"/>
            <w:noWrap/>
            <w:vAlign w:val="bottom"/>
            <w:hideMark/>
          </w:tcPr>
          <w:p w14:paraId="0D547728" w14:textId="77777777" w:rsidR="00BE6461" w:rsidRPr="00BE6461" w:rsidRDefault="00BE6461" w:rsidP="00BE6461">
            <w:pPr>
              <w:jc w:val="right"/>
              <w:rPr>
                <w:b/>
                <w:bCs/>
                <w:sz w:val="20"/>
                <w:szCs w:val="20"/>
              </w:rPr>
            </w:pPr>
            <w:r w:rsidRPr="00BE6461">
              <w:rPr>
                <w:b/>
                <w:bCs/>
                <w:sz w:val="20"/>
                <w:szCs w:val="20"/>
              </w:rPr>
              <w:t>12.000,00</w:t>
            </w:r>
          </w:p>
        </w:tc>
        <w:tc>
          <w:tcPr>
            <w:tcW w:w="1500" w:type="dxa"/>
            <w:tcBorders>
              <w:top w:val="nil"/>
              <w:left w:val="nil"/>
              <w:bottom w:val="nil"/>
              <w:right w:val="nil"/>
            </w:tcBorders>
            <w:shd w:val="clear" w:color="auto" w:fill="auto"/>
            <w:noWrap/>
            <w:vAlign w:val="bottom"/>
            <w:hideMark/>
          </w:tcPr>
          <w:p w14:paraId="7C6BF9BE" w14:textId="77777777" w:rsidR="00BE6461" w:rsidRPr="00BE6461" w:rsidRDefault="00BE6461" w:rsidP="00BE6461">
            <w:pPr>
              <w:jc w:val="right"/>
              <w:rPr>
                <w:b/>
                <w:bCs/>
                <w:sz w:val="20"/>
                <w:szCs w:val="20"/>
              </w:rPr>
            </w:pPr>
            <w:r w:rsidRPr="00BE6461">
              <w:rPr>
                <w:b/>
                <w:bCs/>
                <w:sz w:val="20"/>
                <w:szCs w:val="20"/>
              </w:rPr>
              <w:t>12.000,00</w:t>
            </w:r>
          </w:p>
        </w:tc>
        <w:tc>
          <w:tcPr>
            <w:tcW w:w="1100" w:type="dxa"/>
            <w:tcBorders>
              <w:top w:val="nil"/>
              <w:left w:val="nil"/>
              <w:bottom w:val="nil"/>
              <w:right w:val="nil"/>
            </w:tcBorders>
            <w:shd w:val="clear" w:color="auto" w:fill="auto"/>
            <w:noWrap/>
            <w:vAlign w:val="bottom"/>
            <w:hideMark/>
          </w:tcPr>
          <w:p w14:paraId="5558E169"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0F49FC43" w14:textId="77777777" w:rsidTr="00BE6461">
        <w:trPr>
          <w:trHeight w:val="300"/>
        </w:trPr>
        <w:tc>
          <w:tcPr>
            <w:tcW w:w="1703" w:type="dxa"/>
            <w:tcBorders>
              <w:top w:val="nil"/>
              <w:left w:val="nil"/>
              <w:bottom w:val="nil"/>
              <w:right w:val="nil"/>
            </w:tcBorders>
            <w:shd w:val="clear" w:color="auto" w:fill="auto"/>
            <w:noWrap/>
            <w:vAlign w:val="bottom"/>
            <w:hideMark/>
          </w:tcPr>
          <w:p w14:paraId="36C5AF1C" w14:textId="77777777" w:rsidR="00BE6461" w:rsidRPr="00BE6461" w:rsidRDefault="00BE6461" w:rsidP="00BE6461">
            <w:pPr>
              <w:rPr>
                <w:sz w:val="20"/>
                <w:szCs w:val="20"/>
              </w:rPr>
            </w:pPr>
            <w:r w:rsidRPr="00BE6461">
              <w:rPr>
                <w:sz w:val="20"/>
                <w:szCs w:val="20"/>
              </w:rPr>
              <w:t>3811</w:t>
            </w:r>
          </w:p>
        </w:tc>
        <w:tc>
          <w:tcPr>
            <w:tcW w:w="8457" w:type="dxa"/>
            <w:tcBorders>
              <w:top w:val="nil"/>
              <w:left w:val="nil"/>
              <w:bottom w:val="nil"/>
              <w:right w:val="nil"/>
            </w:tcBorders>
            <w:shd w:val="clear" w:color="auto" w:fill="auto"/>
            <w:vAlign w:val="bottom"/>
            <w:hideMark/>
          </w:tcPr>
          <w:p w14:paraId="58DBA00F" w14:textId="77777777" w:rsidR="00BE6461" w:rsidRPr="00BE6461" w:rsidRDefault="00BE6461" w:rsidP="00BE6461">
            <w:pPr>
              <w:rPr>
                <w:sz w:val="20"/>
                <w:szCs w:val="20"/>
              </w:rPr>
            </w:pPr>
            <w:r w:rsidRPr="00BE6461">
              <w:rPr>
                <w:sz w:val="20"/>
                <w:szCs w:val="20"/>
              </w:rPr>
              <w:t xml:space="preserve">Tekuće donacije u novcu                                                                             </w:t>
            </w:r>
          </w:p>
        </w:tc>
        <w:tc>
          <w:tcPr>
            <w:tcW w:w="1503" w:type="dxa"/>
            <w:tcBorders>
              <w:top w:val="nil"/>
              <w:left w:val="nil"/>
              <w:bottom w:val="nil"/>
              <w:right w:val="nil"/>
            </w:tcBorders>
            <w:shd w:val="clear" w:color="auto" w:fill="auto"/>
            <w:noWrap/>
            <w:vAlign w:val="bottom"/>
            <w:hideMark/>
          </w:tcPr>
          <w:p w14:paraId="7C9845F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8C067B2" w14:textId="77777777" w:rsidR="00BE6461" w:rsidRPr="00BE6461" w:rsidRDefault="00BE6461" w:rsidP="00BE6461">
            <w:pPr>
              <w:jc w:val="right"/>
              <w:rPr>
                <w:sz w:val="20"/>
                <w:szCs w:val="20"/>
              </w:rPr>
            </w:pPr>
            <w:r w:rsidRPr="00BE6461">
              <w:rPr>
                <w:sz w:val="20"/>
                <w:szCs w:val="20"/>
              </w:rPr>
              <w:t>12.000,00</w:t>
            </w:r>
          </w:p>
        </w:tc>
        <w:tc>
          <w:tcPr>
            <w:tcW w:w="1100" w:type="dxa"/>
            <w:tcBorders>
              <w:top w:val="nil"/>
              <w:left w:val="nil"/>
              <w:bottom w:val="nil"/>
              <w:right w:val="nil"/>
            </w:tcBorders>
            <w:shd w:val="clear" w:color="auto" w:fill="auto"/>
            <w:noWrap/>
            <w:vAlign w:val="bottom"/>
            <w:hideMark/>
          </w:tcPr>
          <w:p w14:paraId="08571193" w14:textId="77777777" w:rsidR="00BE6461" w:rsidRPr="00BE6461" w:rsidRDefault="00BE6461" w:rsidP="00BE6461">
            <w:pPr>
              <w:jc w:val="right"/>
              <w:rPr>
                <w:sz w:val="20"/>
                <w:szCs w:val="20"/>
              </w:rPr>
            </w:pPr>
          </w:p>
        </w:tc>
      </w:tr>
      <w:tr w:rsidR="00BE6461" w:rsidRPr="00BE6461" w14:paraId="4062A73B"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245F513C" w14:textId="77777777" w:rsidR="00BE6461" w:rsidRPr="00BE6461" w:rsidRDefault="00BE6461" w:rsidP="00BE6461">
            <w:pPr>
              <w:rPr>
                <w:b/>
                <w:bCs/>
                <w:sz w:val="20"/>
                <w:szCs w:val="20"/>
              </w:rPr>
            </w:pPr>
            <w:r w:rsidRPr="00BE6461">
              <w:rPr>
                <w:b/>
                <w:bCs/>
                <w:sz w:val="20"/>
                <w:szCs w:val="20"/>
              </w:rPr>
              <w:t>A100046</w:t>
            </w:r>
          </w:p>
        </w:tc>
        <w:tc>
          <w:tcPr>
            <w:tcW w:w="8457" w:type="dxa"/>
            <w:tcBorders>
              <w:top w:val="single" w:sz="4" w:space="0" w:color="auto"/>
              <w:left w:val="nil"/>
              <w:bottom w:val="single" w:sz="4" w:space="0" w:color="auto"/>
              <w:right w:val="nil"/>
            </w:tcBorders>
            <w:shd w:val="clear" w:color="auto" w:fill="auto"/>
            <w:vAlign w:val="bottom"/>
            <w:hideMark/>
          </w:tcPr>
          <w:p w14:paraId="77BC3BCB" w14:textId="77777777" w:rsidR="00BE6461" w:rsidRPr="00BE6461" w:rsidRDefault="00BE6461" w:rsidP="00BE6461">
            <w:pPr>
              <w:rPr>
                <w:b/>
                <w:bCs/>
                <w:sz w:val="20"/>
                <w:szCs w:val="20"/>
              </w:rPr>
            </w:pPr>
            <w:r w:rsidRPr="00BE6461">
              <w:rPr>
                <w:b/>
                <w:bCs/>
                <w:sz w:val="20"/>
                <w:szCs w:val="20"/>
              </w:rPr>
              <w:t>Aktivnost: POSEBNI PROGRAMI U OBLASTI GOSPODARSTVA</w:t>
            </w:r>
          </w:p>
        </w:tc>
        <w:tc>
          <w:tcPr>
            <w:tcW w:w="1503" w:type="dxa"/>
            <w:tcBorders>
              <w:top w:val="single" w:sz="4" w:space="0" w:color="auto"/>
              <w:left w:val="nil"/>
              <w:bottom w:val="single" w:sz="4" w:space="0" w:color="auto"/>
              <w:right w:val="nil"/>
            </w:tcBorders>
            <w:shd w:val="clear" w:color="auto" w:fill="auto"/>
            <w:noWrap/>
            <w:vAlign w:val="bottom"/>
            <w:hideMark/>
          </w:tcPr>
          <w:p w14:paraId="0B4EC227" w14:textId="77777777" w:rsidR="00BE6461" w:rsidRPr="00BE6461" w:rsidRDefault="00BE6461" w:rsidP="00BE6461">
            <w:pPr>
              <w:jc w:val="right"/>
              <w:rPr>
                <w:b/>
                <w:bCs/>
                <w:sz w:val="20"/>
                <w:szCs w:val="20"/>
              </w:rPr>
            </w:pPr>
            <w:r w:rsidRPr="00BE6461">
              <w:rPr>
                <w:b/>
                <w:bCs/>
                <w:sz w:val="20"/>
                <w:szCs w:val="20"/>
              </w:rPr>
              <w:t>667.400,00</w:t>
            </w:r>
          </w:p>
        </w:tc>
        <w:tc>
          <w:tcPr>
            <w:tcW w:w="1500" w:type="dxa"/>
            <w:tcBorders>
              <w:top w:val="single" w:sz="4" w:space="0" w:color="auto"/>
              <w:left w:val="nil"/>
              <w:bottom w:val="single" w:sz="4" w:space="0" w:color="auto"/>
              <w:right w:val="nil"/>
            </w:tcBorders>
            <w:shd w:val="clear" w:color="auto" w:fill="auto"/>
            <w:noWrap/>
            <w:vAlign w:val="bottom"/>
            <w:hideMark/>
          </w:tcPr>
          <w:p w14:paraId="677AF8C1" w14:textId="77777777" w:rsidR="00BE6461" w:rsidRPr="00BE6461" w:rsidRDefault="00BE6461" w:rsidP="00BE6461">
            <w:pPr>
              <w:jc w:val="right"/>
              <w:rPr>
                <w:b/>
                <w:bCs/>
                <w:sz w:val="20"/>
                <w:szCs w:val="20"/>
              </w:rPr>
            </w:pPr>
            <w:r w:rsidRPr="00BE6461">
              <w:rPr>
                <w:b/>
                <w:bCs/>
                <w:sz w:val="20"/>
                <w:szCs w:val="20"/>
              </w:rPr>
              <w:t>126.749,17</w:t>
            </w:r>
          </w:p>
        </w:tc>
        <w:tc>
          <w:tcPr>
            <w:tcW w:w="1100" w:type="dxa"/>
            <w:tcBorders>
              <w:top w:val="single" w:sz="4" w:space="0" w:color="auto"/>
              <w:left w:val="nil"/>
              <w:bottom w:val="single" w:sz="4" w:space="0" w:color="auto"/>
              <w:right w:val="nil"/>
            </w:tcBorders>
            <w:shd w:val="clear" w:color="auto" w:fill="auto"/>
            <w:noWrap/>
            <w:vAlign w:val="bottom"/>
            <w:hideMark/>
          </w:tcPr>
          <w:p w14:paraId="73A5F2DB" w14:textId="77777777" w:rsidR="00BE6461" w:rsidRPr="00BE6461" w:rsidRDefault="00BE6461" w:rsidP="00BE6461">
            <w:pPr>
              <w:jc w:val="right"/>
              <w:rPr>
                <w:b/>
                <w:bCs/>
                <w:sz w:val="20"/>
                <w:szCs w:val="20"/>
              </w:rPr>
            </w:pPr>
            <w:r w:rsidRPr="00BE6461">
              <w:rPr>
                <w:b/>
                <w:bCs/>
                <w:sz w:val="20"/>
                <w:szCs w:val="20"/>
              </w:rPr>
              <w:t>18,99</w:t>
            </w:r>
          </w:p>
        </w:tc>
      </w:tr>
      <w:tr w:rsidR="00BE6461" w:rsidRPr="00BE6461" w14:paraId="255E378A"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3B65D06"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261B79CF" w14:textId="77777777" w:rsidR="00BE6461" w:rsidRPr="00BE6461" w:rsidRDefault="00BE6461" w:rsidP="00BE6461">
            <w:pPr>
              <w:jc w:val="right"/>
              <w:rPr>
                <w:b/>
                <w:bCs/>
                <w:color w:val="333333"/>
                <w:sz w:val="20"/>
                <w:szCs w:val="20"/>
              </w:rPr>
            </w:pPr>
            <w:r w:rsidRPr="00BE6461">
              <w:rPr>
                <w:b/>
                <w:bCs/>
                <w:color w:val="333333"/>
                <w:sz w:val="20"/>
                <w:szCs w:val="20"/>
              </w:rPr>
              <w:t>545.000,00</w:t>
            </w:r>
          </w:p>
        </w:tc>
        <w:tc>
          <w:tcPr>
            <w:tcW w:w="1500" w:type="dxa"/>
            <w:tcBorders>
              <w:top w:val="nil"/>
              <w:left w:val="nil"/>
              <w:bottom w:val="nil"/>
              <w:right w:val="nil"/>
            </w:tcBorders>
            <w:shd w:val="clear" w:color="auto" w:fill="auto"/>
            <w:noWrap/>
            <w:vAlign w:val="bottom"/>
            <w:hideMark/>
          </w:tcPr>
          <w:p w14:paraId="071CD0BF" w14:textId="77777777" w:rsidR="00BE6461" w:rsidRPr="00BE6461" w:rsidRDefault="00BE6461" w:rsidP="00BE6461">
            <w:pPr>
              <w:jc w:val="right"/>
              <w:rPr>
                <w:b/>
                <w:bCs/>
                <w:color w:val="333333"/>
                <w:sz w:val="20"/>
                <w:szCs w:val="20"/>
              </w:rPr>
            </w:pPr>
            <w:r w:rsidRPr="00BE6461">
              <w:rPr>
                <w:b/>
                <w:bCs/>
                <w:color w:val="333333"/>
                <w:sz w:val="20"/>
                <w:szCs w:val="20"/>
              </w:rPr>
              <w:t>48.983,43</w:t>
            </w:r>
          </w:p>
        </w:tc>
        <w:tc>
          <w:tcPr>
            <w:tcW w:w="1100" w:type="dxa"/>
            <w:tcBorders>
              <w:top w:val="nil"/>
              <w:left w:val="nil"/>
              <w:bottom w:val="nil"/>
              <w:right w:val="nil"/>
            </w:tcBorders>
            <w:shd w:val="clear" w:color="auto" w:fill="auto"/>
            <w:noWrap/>
            <w:vAlign w:val="bottom"/>
            <w:hideMark/>
          </w:tcPr>
          <w:p w14:paraId="7780DAFE" w14:textId="77777777" w:rsidR="00BE6461" w:rsidRPr="00BE6461" w:rsidRDefault="00BE6461" w:rsidP="00BE6461">
            <w:pPr>
              <w:jc w:val="right"/>
              <w:rPr>
                <w:b/>
                <w:bCs/>
                <w:color w:val="333333"/>
                <w:sz w:val="20"/>
                <w:szCs w:val="20"/>
              </w:rPr>
            </w:pPr>
            <w:r w:rsidRPr="00BE6461">
              <w:rPr>
                <w:b/>
                <w:bCs/>
                <w:color w:val="333333"/>
                <w:sz w:val="20"/>
                <w:szCs w:val="20"/>
              </w:rPr>
              <w:t>8,99</w:t>
            </w:r>
          </w:p>
        </w:tc>
      </w:tr>
      <w:tr w:rsidR="00BE6461" w:rsidRPr="00BE6461" w14:paraId="13ABC6F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A8566F3"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5ACB4C7F" w14:textId="77777777" w:rsidR="00BE6461" w:rsidRPr="00BE6461" w:rsidRDefault="00BE6461" w:rsidP="00BE6461">
            <w:pPr>
              <w:jc w:val="right"/>
              <w:rPr>
                <w:b/>
                <w:bCs/>
                <w:color w:val="333333"/>
                <w:sz w:val="20"/>
                <w:szCs w:val="20"/>
              </w:rPr>
            </w:pPr>
            <w:r w:rsidRPr="00BE6461">
              <w:rPr>
                <w:b/>
                <w:bCs/>
                <w:color w:val="333333"/>
                <w:sz w:val="20"/>
                <w:szCs w:val="20"/>
              </w:rPr>
              <w:t>545.000,00</w:t>
            </w:r>
          </w:p>
        </w:tc>
        <w:tc>
          <w:tcPr>
            <w:tcW w:w="1500" w:type="dxa"/>
            <w:tcBorders>
              <w:top w:val="nil"/>
              <w:left w:val="nil"/>
              <w:bottom w:val="nil"/>
              <w:right w:val="nil"/>
            </w:tcBorders>
            <w:shd w:val="clear" w:color="auto" w:fill="auto"/>
            <w:noWrap/>
            <w:vAlign w:val="bottom"/>
            <w:hideMark/>
          </w:tcPr>
          <w:p w14:paraId="44428445" w14:textId="77777777" w:rsidR="00BE6461" w:rsidRPr="00BE6461" w:rsidRDefault="00BE6461" w:rsidP="00BE6461">
            <w:pPr>
              <w:jc w:val="right"/>
              <w:rPr>
                <w:b/>
                <w:bCs/>
                <w:color w:val="333333"/>
                <w:sz w:val="20"/>
                <w:szCs w:val="20"/>
              </w:rPr>
            </w:pPr>
            <w:r w:rsidRPr="00BE6461">
              <w:rPr>
                <w:b/>
                <w:bCs/>
                <w:color w:val="333333"/>
                <w:sz w:val="20"/>
                <w:szCs w:val="20"/>
              </w:rPr>
              <w:t>48.983,43</w:t>
            </w:r>
          </w:p>
        </w:tc>
        <w:tc>
          <w:tcPr>
            <w:tcW w:w="1100" w:type="dxa"/>
            <w:tcBorders>
              <w:top w:val="nil"/>
              <w:left w:val="nil"/>
              <w:bottom w:val="nil"/>
              <w:right w:val="nil"/>
            </w:tcBorders>
            <w:shd w:val="clear" w:color="auto" w:fill="auto"/>
            <w:noWrap/>
            <w:vAlign w:val="bottom"/>
            <w:hideMark/>
          </w:tcPr>
          <w:p w14:paraId="46D926A1" w14:textId="77777777" w:rsidR="00BE6461" w:rsidRPr="00BE6461" w:rsidRDefault="00BE6461" w:rsidP="00BE6461">
            <w:pPr>
              <w:jc w:val="right"/>
              <w:rPr>
                <w:b/>
                <w:bCs/>
                <w:color w:val="333333"/>
                <w:sz w:val="20"/>
                <w:szCs w:val="20"/>
              </w:rPr>
            </w:pPr>
            <w:r w:rsidRPr="00BE6461">
              <w:rPr>
                <w:b/>
                <w:bCs/>
                <w:color w:val="333333"/>
                <w:sz w:val="20"/>
                <w:szCs w:val="20"/>
              </w:rPr>
              <w:t>8,99</w:t>
            </w:r>
          </w:p>
        </w:tc>
      </w:tr>
      <w:tr w:rsidR="00BE6461" w:rsidRPr="00BE6461" w14:paraId="63192973" w14:textId="77777777" w:rsidTr="00BE6461">
        <w:trPr>
          <w:trHeight w:val="300"/>
        </w:trPr>
        <w:tc>
          <w:tcPr>
            <w:tcW w:w="1703" w:type="dxa"/>
            <w:tcBorders>
              <w:top w:val="nil"/>
              <w:left w:val="nil"/>
              <w:bottom w:val="nil"/>
              <w:right w:val="nil"/>
            </w:tcBorders>
            <w:shd w:val="clear" w:color="auto" w:fill="auto"/>
            <w:noWrap/>
            <w:vAlign w:val="bottom"/>
            <w:hideMark/>
          </w:tcPr>
          <w:p w14:paraId="3FFD5284"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745368CB"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3EE82197" w14:textId="77777777" w:rsidR="00BE6461" w:rsidRPr="00BE6461" w:rsidRDefault="00BE6461" w:rsidP="00BE6461">
            <w:pPr>
              <w:jc w:val="right"/>
              <w:rPr>
                <w:b/>
                <w:bCs/>
                <w:sz w:val="20"/>
                <w:szCs w:val="20"/>
              </w:rPr>
            </w:pPr>
            <w:r w:rsidRPr="00BE6461">
              <w:rPr>
                <w:b/>
                <w:bCs/>
                <w:sz w:val="20"/>
                <w:szCs w:val="20"/>
              </w:rPr>
              <w:t>19.500,00</w:t>
            </w:r>
          </w:p>
        </w:tc>
        <w:tc>
          <w:tcPr>
            <w:tcW w:w="1500" w:type="dxa"/>
            <w:tcBorders>
              <w:top w:val="nil"/>
              <w:left w:val="nil"/>
              <w:bottom w:val="nil"/>
              <w:right w:val="nil"/>
            </w:tcBorders>
            <w:shd w:val="clear" w:color="auto" w:fill="auto"/>
            <w:noWrap/>
            <w:vAlign w:val="bottom"/>
            <w:hideMark/>
          </w:tcPr>
          <w:p w14:paraId="6A5D82C8" w14:textId="77777777" w:rsidR="00BE6461" w:rsidRPr="00BE6461" w:rsidRDefault="00BE6461" w:rsidP="00BE6461">
            <w:pPr>
              <w:jc w:val="right"/>
              <w:rPr>
                <w:b/>
                <w:bCs/>
                <w:sz w:val="20"/>
                <w:szCs w:val="20"/>
              </w:rPr>
            </w:pPr>
            <w:r w:rsidRPr="00BE6461">
              <w:rPr>
                <w:b/>
                <w:bCs/>
                <w:sz w:val="20"/>
                <w:szCs w:val="20"/>
              </w:rPr>
              <w:t>19.500,00</w:t>
            </w:r>
          </w:p>
        </w:tc>
        <w:tc>
          <w:tcPr>
            <w:tcW w:w="1100" w:type="dxa"/>
            <w:tcBorders>
              <w:top w:val="nil"/>
              <w:left w:val="nil"/>
              <w:bottom w:val="nil"/>
              <w:right w:val="nil"/>
            </w:tcBorders>
            <w:shd w:val="clear" w:color="auto" w:fill="auto"/>
            <w:noWrap/>
            <w:vAlign w:val="bottom"/>
            <w:hideMark/>
          </w:tcPr>
          <w:p w14:paraId="206F2633"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70681572" w14:textId="77777777" w:rsidTr="00BE6461">
        <w:trPr>
          <w:trHeight w:val="300"/>
        </w:trPr>
        <w:tc>
          <w:tcPr>
            <w:tcW w:w="1703" w:type="dxa"/>
            <w:tcBorders>
              <w:top w:val="nil"/>
              <w:left w:val="nil"/>
              <w:bottom w:val="nil"/>
              <w:right w:val="nil"/>
            </w:tcBorders>
            <w:shd w:val="clear" w:color="auto" w:fill="auto"/>
            <w:noWrap/>
            <w:vAlign w:val="bottom"/>
            <w:hideMark/>
          </w:tcPr>
          <w:p w14:paraId="57580016"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660827A1"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61E52AF2"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FAD6F7D" w14:textId="77777777" w:rsidR="00BE6461" w:rsidRPr="00BE6461" w:rsidRDefault="00BE6461" w:rsidP="00BE6461">
            <w:pPr>
              <w:jc w:val="right"/>
              <w:rPr>
                <w:sz w:val="20"/>
                <w:szCs w:val="20"/>
              </w:rPr>
            </w:pPr>
            <w:r w:rsidRPr="00BE6461">
              <w:rPr>
                <w:sz w:val="20"/>
                <w:szCs w:val="20"/>
              </w:rPr>
              <w:t>19.500,00</w:t>
            </w:r>
          </w:p>
        </w:tc>
        <w:tc>
          <w:tcPr>
            <w:tcW w:w="1100" w:type="dxa"/>
            <w:tcBorders>
              <w:top w:val="nil"/>
              <w:left w:val="nil"/>
              <w:bottom w:val="nil"/>
              <w:right w:val="nil"/>
            </w:tcBorders>
            <w:shd w:val="clear" w:color="auto" w:fill="auto"/>
            <w:noWrap/>
            <w:vAlign w:val="bottom"/>
            <w:hideMark/>
          </w:tcPr>
          <w:p w14:paraId="2B9AE5A1" w14:textId="77777777" w:rsidR="00BE6461" w:rsidRPr="00BE6461" w:rsidRDefault="00BE6461" w:rsidP="00BE6461">
            <w:pPr>
              <w:jc w:val="right"/>
              <w:rPr>
                <w:sz w:val="20"/>
                <w:szCs w:val="20"/>
              </w:rPr>
            </w:pPr>
          </w:p>
        </w:tc>
      </w:tr>
      <w:tr w:rsidR="00BE6461" w:rsidRPr="00BE6461" w14:paraId="656E0515" w14:textId="77777777" w:rsidTr="00BE6461">
        <w:trPr>
          <w:trHeight w:val="300"/>
        </w:trPr>
        <w:tc>
          <w:tcPr>
            <w:tcW w:w="1703" w:type="dxa"/>
            <w:tcBorders>
              <w:top w:val="nil"/>
              <w:left w:val="nil"/>
              <w:bottom w:val="nil"/>
              <w:right w:val="nil"/>
            </w:tcBorders>
            <w:shd w:val="clear" w:color="auto" w:fill="auto"/>
            <w:noWrap/>
            <w:vAlign w:val="bottom"/>
            <w:hideMark/>
          </w:tcPr>
          <w:p w14:paraId="640BACF3"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2EF6CDE8"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4D45F8C6" w14:textId="77777777" w:rsidR="00BE6461" w:rsidRPr="00BE6461" w:rsidRDefault="00BE6461" w:rsidP="00BE6461">
            <w:pPr>
              <w:jc w:val="right"/>
              <w:rPr>
                <w:b/>
                <w:bCs/>
                <w:sz w:val="20"/>
                <w:szCs w:val="20"/>
              </w:rPr>
            </w:pPr>
            <w:r w:rsidRPr="00BE6461">
              <w:rPr>
                <w:b/>
                <w:bCs/>
                <w:sz w:val="20"/>
                <w:szCs w:val="20"/>
              </w:rPr>
              <w:t>500,00</w:t>
            </w:r>
          </w:p>
        </w:tc>
        <w:tc>
          <w:tcPr>
            <w:tcW w:w="1500" w:type="dxa"/>
            <w:tcBorders>
              <w:top w:val="nil"/>
              <w:left w:val="nil"/>
              <w:bottom w:val="nil"/>
              <w:right w:val="nil"/>
            </w:tcBorders>
            <w:shd w:val="clear" w:color="auto" w:fill="auto"/>
            <w:noWrap/>
            <w:vAlign w:val="bottom"/>
            <w:hideMark/>
          </w:tcPr>
          <w:p w14:paraId="1065A650" w14:textId="77777777" w:rsidR="00BE6461" w:rsidRPr="00BE6461" w:rsidRDefault="00BE6461" w:rsidP="00BE6461">
            <w:pPr>
              <w:jc w:val="right"/>
              <w:rPr>
                <w:b/>
                <w:bCs/>
                <w:sz w:val="20"/>
                <w:szCs w:val="20"/>
              </w:rPr>
            </w:pPr>
            <w:r w:rsidRPr="00BE6461">
              <w:rPr>
                <w:b/>
                <w:bCs/>
                <w:sz w:val="20"/>
                <w:szCs w:val="20"/>
              </w:rPr>
              <w:t>500,00</w:t>
            </w:r>
          </w:p>
        </w:tc>
        <w:tc>
          <w:tcPr>
            <w:tcW w:w="1100" w:type="dxa"/>
            <w:tcBorders>
              <w:top w:val="nil"/>
              <w:left w:val="nil"/>
              <w:bottom w:val="nil"/>
              <w:right w:val="nil"/>
            </w:tcBorders>
            <w:shd w:val="clear" w:color="auto" w:fill="auto"/>
            <w:noWrap/>
            <w:vAlign w:val="bottom"/>
            <w:hideMark/>
          </w:tcPr>
          <w:p w14:paraId="26AA117F"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08EC8A46" w14:textId="77777777" w:rsidTr="00BE6461">
        <w:trPr>
          <w:trHeight w:val="300"/>
        </w:trPr>
        <w:tc>
          <w:tcPr>
            <w:tcW w:w="1703" w:type="dxa"/>
            <w:tcBorders>
              <w:top w:val="nil"/>
              <w:left w:val="nil"/>
              <w:bottom w:val="nil"/>
              <w:right w:val="nil"/>
            </w:tcBorders>
            <w:shd w:val="clear" w:color="auto" w:fill="auto"/>
            <w:noWrap/>
            <w:vAlign w:val="bottom"/>
            <w:hideMark/>
          </w:tcPr>
          <w:p w14:paraId="48C5EF90" w14:textId="77777777" w:rsidR="00BE6461" w:rsidRPr="00BE6461" w:rsidRDefault="00BE6461" w:rsidP="00BE6461">
            <w:pPr>
              <w:rPr>
                <w:sz w:val="20"/>
                <w:szCs w:val="20"/>
              </w:rPr>
            </w:pPr>
            <w:r w:rsidRPr="00BE6461">
              <w:rPr>
                <w:sz w:val="20"/>
                <w:szCs w:val="20"/>
              </w:rPr>
              <w:t>3294</w:t>
            </w:r>
          </w:p>
        </w:tc>
        <w:tc>
          <w:tcPr>
            <w:tcW w:w="8457" w:type="dxa"/>
            <w:tcBorders>
              <w:top w:val="nil"/>
              <w:left w:val="nil"/>
              <w:bottom w:val="nil"/>
              <w:right w:val="nil"/>
            </w:tcBorders>
            <w:shd w:val="clear" w:color="auto" w:fill="auto"/>
            <w:vAlign w:val="bottom"/>
            <w:hideMark/>
          </w:tcPr>
          <w:p w14:paraId="6C844798" w14:textId="77777777" w:rsidR="00BE6461" w:rsidRPr="00BE6461" w:rsidRDefault="00BE6461" w:rsidP="00BE6461">
            <w:pPr>
              <w:rPr>
                <w:sz w:val="20"/>
                <w:szCs w:val="20"/>
              </w:rPr>
            </w:pPr>
            <w:r w:rsidRPr="00BE6461">
              <w:rPr>
                <w:sz w:val="20"/>
                <w:szCs w:val="20"/>
              </w:rPr>
              <w:t>Članarine i norme</w:t>
            </w:r>
          </w:p>
        </w:tc>
        <w:tc>
          <w:tcPr>
            <w:tcW w:w="1503" w:type="dxa"/>
            <w:tcBorders>
              <w:top w:val="nil"/>
              <w:left w:val="nil"/>
              <w:bottom w:val="nil"/>
              <w:right w:val="nil"/>
            </w:tcBorders>
            <w:shd w:val="clear" w:color="auto" w:fill="auto"/>
            <w:noWrap/>
            <w:vAlign w:val="bottom"/>
            <w:hideMark/>
          </w:tcPr>
          <w:p w14:paraId="29BB7BB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8861218" w14:textId="77777777" w:rsidR="00BE6461" w:rsidRPr="00BE6461" w:rsidRDefault="00BE6461" w:rsidP="00BE6461">
            <w:pPr>
              <w:jc w:val="right"/>
              <w:rPr>
                <w:sz w:val="20"/>
                <w:szCs w:val="20"/>
              </w:rPr>
            </w:pPr>
            <w:r w:rsidRPr="00BE6461">
              <w:rPr>
                <w:sz w:val="20"/>
                <w:szCs w:val="20"/>
              </w:rPr>
              <w:t>500,00</w:t>
            </w:r>
          </w:p>
        </w:tc>
        <w:tc>
          <w:tcPr>
            <w:tcW w:w="1100" w:type="dxa"/>
            <w:tcBorders>
              <w:top w:val="nil"/>
              <w:left w:val="nil"/>
              <w:bottom w:val="nil"/>
              <w:right w:val="nil"/>
            </w:tcBorders>
            <w:shd w:val="clear" w:color="auto" w:fill="auto"/>
            <w:noWrap/>
            <w:vAlign w:val="bottom"/>
            <w:hideMark/>
          </w:tcPr>
          <w:p w14:paraId="6A70EACC" w14:textId="77777777" w:rsidR="00BE6461" w:rsidRPr="00BE6461" w:rsidRDefault="00BE6461" w:rsidP="00BE6461">
            <w:pPr>
              <w:jc w:val="right"/>
              <w:rPr>
                <w:sz w:val="20"/>
                <w:szCs w:val="20"/>
              </w:rPr>
            </w:pPr>
          </w:p>
        </w:tc>
      </w:tr>
      <w:tr w:rsidR="00BE6461" w:rsidRPr="00BE6461" w14:paraId="15B4A975" w14:textId="77777777" w:rsidTr="00BE6461">
        <w:trPr>
          <w:trHeight w:val="525"/>
        </w:trPr>
        <w:tc>
          <w:tcPr>
            <w:tcW w:w="1703" w:type="dxa"/>
            <w:tcBorders>
              <w:top w:val="nil"/>
              <w:left w:val="nil"/>
              <w:bottom w:val="nil"/>
              <w:right w:val="nil"/>
            </w:tcBorders>
            <w:shd w:val="clear" w:color="auto" w:fill="auto"/>
            <w:noWrap/>
            <w:vAlign w:val="bottom"/>
            <w:hideMark/>
          </w:tcPr>
          <w:p w14:paraId="75816410" w14:textId="77777777" w:rsidR="00BE6461" w:rsidRPr="00BE6461" w:rsidRDefault="00BE6461" w:rsidP="00BE6461">
            <w:pPr>
              <w:rPr>
                <w:b/>
                <w:bCs/>
                <w:sz w:val="20"/>
                <w:szCs w:val="20"/>
              </w:rPr>
            </w:pPr>
            <w:r w:rsidRPr="00BE6461">
              <w:rPr>
                <w:b/>
                <w:bCs/>
                <w:sz w:val="20"/>
                <w:szCs w:val="20"/>
              </w:rPr>
              <w:t>352</w:t>
            </w:r>
          </w:p>
        </w:tc>
        <w:tc>
          <w:tcPr>
            <w:tcW w:w="8457" w:type="dxa"/>
            <w:tcBorders>
              <w:top w:val="nil"/>
              <w:left w:val="nil"/>
              <w:bottom w:val="nil"/>
              <w:right w:val="nil"/>
            </w:tcBorders>
            <w:shd w:val="clear" w:color="auto" w:fill="auto"/>
            <w:vAlign w:val="bottom"/>
            <w:hideMark/>
          </w:tcPr>
          <w:p w14:paraId="7FE8A255" w14:textId="77777777" w:rsidR="00BE6461" w:rsidRPr="00BE6461" w:rsidRDefault="00BE6461" w:rsidP="00BE6461">
            <w:pPr>
              <w:rPr>
                <w:b/>
                <w:bCs/>
                <w:sz w:val="20"/>
                <w:szCs w:val="20"/>
              </w:rPr>
            </w:pPr>
            <w:r w:rsidRPr="00BE6461">
              <w:rPr>
                <w:b/>
                <w:bCs/>
                <w:sz w:val="20"/>
                <w:szCs w:val="20"/>
              </w:rPr>
              <w:t>Subvencije trgovačkim društvima, zadrugama, poljoprivrednicima i obrtnicima izvan javnog sektora</w:t>
            </w:r>
          </w:p>
        </w:tc>
        <w:tc>
          <w:tcPr>
            <w:tcW w:w="1503" w:type="dxa"/>
            <w:tcBorders>
              <w:top w:val="nil"/>
              <w:left w:val="nil"/>
              <w:bottom w:val="nil"/>
              <w:right w:val="nil"/>
            </w:tcBorders>
            <w:shd w:val="clear" w:color="auto" w:fill="auto"/>
            <w:noWrap/>
            <w:vAlign w:val="bottom"/>
            <w:hideMark/>
          </w:tcPr>
          <w:p w14:paraId="1AA8A612" w14:textId="77777777" w:rsidR="00BE6461" w:rsidRPr="00BE6461" w:rsidRDefault="00BE6461" w:rsidP="00BE6461">
            <w:pPr>
              <w:jc w:val="right"/>
              <w:rPr>
                <w:b/>
                <w:bCs/>
                <w:sz w:val="20"/>
                <w:szCs w:val="20"/>
              </w:rPr>
            </w:pPr>
            <w:r w:rsidRPr="00BE6461">
              <w:rPr>
                <w:b/>
                <w:bCs/>
                <w:sz w:val="20"/>
                <w:szCs w:val="20"/>
              </w:rPr>
              <w:t>520.000,00</w:t>
            </w:r>
          </w:p>
        </w:tc>
        <w:tc>
          <w:tcPr>
            <w:tcW w:w="1500" w:type="dxa"/>
            <w:tcBorders>
              <w:top w:val="nil"/>
              <w:left w:val="nil"/>
              <w:bottom w:val="nil"/>
              <w:right w:val="nil"/>
            </w:tcBorders>
            <w:shd w:val="clear" w:color="auto" w:fill="auto"/>
            <w:noWrap/>
            <w:vAlign w:val="bottom"/>
            <w:hideMark/>
          </w:tcPr>
          <w:p w14:paraId="52F7B882" w14:textId="77777777" w:rsidR="00BE6461" w:rsidRPr="00BE6461" w:rsidRDefault="00BE6461" w:rsidP="00BE6461">
            <w:pPr>
              <w:jc w:val="right"/>
              <w:rPr>
                <w:b/>
                <w:bCs/>
                <w:sz w:val="20"/>
                <w:szCs w:val="20"/>
              </w:rPr>
            </w:pPr>
            <w:r w:rsidRPr="00BE6461">
              <w:rPr>
                <w:b/>
                <w:bCs/>
                <w:sz w:val="20"/>
                <w:szCs w:val="20"/>
              </w:rPr>
              <w:t>23.983,43</w:t>
            </w:r>
          </w:p>
        </w:tc>
        <w:tc>
          <w:tcPr>
            <w:tcW w:w="1100" w:type="dxa"/>
            <w:tcBorders>
              <w:top w:val="nil"/>
              <w:left w:val="nil"/>
              <w:bottom w:val="nil"/>
              <w:right w:val="nil"/>
            </w:tcBorders>
            <w:shd w:val="clear" w:color="auto" w:fill="auto"/>
            <w:noWrap/>
            <w:vAlign w:val="bottom"/>
            <w:hideMark/>
          </w:tcPr>
          <w:p w14:paraId="046E475F" w14:textId="77777777" w:rsidR="00BE6461" w:rsidRPr="00BE6461" w:rsidRDefault="00BE6461" w:rsidP="00BE6461">
            <w:pPr>
              <w:jc w:val="right"/>
              <w:rPr>
                <w:b/>
                <w:bCs/>
                <w:sz w:val="20"/>
                <w:szCs w:val="20"/>
              </w:rPr>
            </w:pPr>
            <w:r w:rsidRPr="00BE6461">
              <w:rPr>
                <w:b/>
                <w:bCs/>
                <w:sz w:val="20"/>
                <w:szCs w:val="20"/>
              </w:rPr>
              <w:t>4,61</w:t>
            </w:r>
          </w:p>
        </w:tc>
      </w:tr>
      <w:tr w:rsidR="00BE6461" w:rsidRPr="00BE6461" w14:paraId="3F6FEA76" w14:textId="77777777" w:rsidTr="00BE6461">
        <w:trPr>
          <w:trHeight w:val="300"/>
        </w:trPr>
        <w:tc>
          <w:tcPr>
            <w:tcW w:w="1703" w:type="dxa"/>
            <w:tcBorders>
              <w:top w:val="nil"/>
              <w:left w:val="nil"/>
              <w:bottom w:val="nil"/>
              <w:right w:val="nil"/>
            </w:tcBorders>
            <w:shd w:val="clear" w:color="auto" w:fill="auto"/>
            <w:noWrap/>
            <w:vAlign w:val="bottom"/>
            <w:hideMark/>
          </w:tcPr>
          <w:p w14:paraId="4ED5ABD8" w14:textId="77777777" w:rsidR="00BE6461" w:rsidRPr="00BE6461" w:rsidRDefault="00BE6461" w:rsidP="00BE6461">
            <w:pPr>
              <w:rPr>
                <w:sz w:val="20"/>
                <w:szCs w:val="20"/>
              </w:rPr>
            </w:pPr>
            <w:r w:rsidRPr="00BE6461">
              <w:rPr>
                <w:sz w:val="20"/>
                <w:szCs w:val="20"/>
              </w:rPr>
              <w:t>3522</w:t>
            </w:r>
          </w:p>
        </w:tc>
        <w:tc>
          <w:tcPr>
            <w:tcW w:w="8457" w:type="dxa"/>
            <w:tcBorders>
              <w:top w:val="nil"/>
              <w:left w:val="nil"/>
              <w:bottom w:val="nil"/>
              <w:right w:val="nil"/>
            </w:tcBorders>
            <w:shd w:val="clear" w:color="auto" w:fill="auto"/>
            <w:vAlign w:val="bottom"/>
            <w:hideMark/>
          </w:tcPr>
          <w:p w14:paraId="762E5C1A" w14:textId="77777777" w:rsidR="00BE6461" w:rsidRPr="00BE6461" w:rsidRDefault="00BE6461" w:rsidP="00BE6461">
            <w:pPr>
              <w:rPr>
                <w:sz w:val="20"/>
                <w:szCs w:val="20"/>
              </w:rPr>
            </w:pPr>
            <w:r w:rsidRPr="00BE6461">
              <w:rPr>
                <w:sz w:val="20"/>
                <w:szCs w:val="20"/>
              </w:rPr>
              <w:t>Subvencije trgovačkim društvima i zadrugama izvan javnog sektora</w:t>
            </w:r>
          </w:p>
        </w:tc>
        <w:tc>
          <w:tcPr>
            <w:tcW w:w="1503" w:type="dxa"/>
            <w:tcBorders>
              <w:top w:val="nil"/>
              <w:left w:val="nil"/>
              <w:bottom w:val="nil"/>
              <w:right w:val="nil"/>
            </w:tcBorders>
            <w:shd w:val="clear" w:color="auto" w:fill="auto"/>
            <w:noWrap/>
            <w:vAlign w:val="bottom"/>
            <w:hideMark/>
          </w:tcPr>
          <w:p w14:paraId="6B903B1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737E60E" w14:textId="77777777" w:rsidR="00BE6461" w:rsidRPr="00BE6461" w:rsidRDefault="00BE6461" w:rsidP="00BE6461">
            <w:pPr>
              <w:jc w:val="right"/>
              <w:rPr>
                <w:sz w:val="20"/>
                <w:szCs w:val="20"/>
              </w:rPr>
            </w:pPr>
            <w:r w:rsidRPr="00BE6461">
              <w:rPr>
                <w:sz w:val="20"/>
                <w:szCs w:val="20"/>
              </w:rPr>
              <w:t>23.983,43</w:t>
            </w:r>
          </w:p>
        </w:tc>
        <w:tc>
          <w:tcPr>
            <w:tcW w:w="1100" w:type="dxa"/>
            <w:tcBorders>
              <w:top w:val="nil"/>
              <w:left w:val="nil"/>
              <w:bottom w:val="nil"/>
              <w:right w:val="nil"/>
            </w:tcBorders>
            <w:shd w:val="clear" w:color="auto" w:fill="auto"/>
            <w:noWrap/>
            <w:vAlign w:val="bottom"/>
            <w:hideMark/>
          </w:tcPr>
          <w:p w14:paraId="568174EF" w14:textId="77777777" w:rsidR="00BE6461" w:rsidRPr="00BE6461" w:rsidRDefault="00BE6461" w:rsidP="00BE6461">
            <w:pPr>
              <w:jc w:val="right"/>
              <w:rPr>
                <w:sz w:val="20"/>
                <w:szCs w:val="20"/>
              </w:rPr>
            </w:pPr>
          </w:p>
        </w:tc>
      </w:tr>
      <w:tr w:rsidR="00BE6461" w:rsidRPr="00BE6461" w14:paraId="6E7F1A70" w14:textId="77777777" w:rsidTr="00BE6461">
        <w:trPr>
          <w:trHeight w:val="300"/>
        </w:trPr>
        <w:tc>
          <w:tcPr>
            <w:tcW w:w="1703" w:type="dxa"/>
            <w:tcBorders>
              <w:top w:val="nil"/>
              <w:left w:val="nil"/>
              <w:bottom w:val="nil"/>
              <w:right w:val="nil"/>
            </w:tcBorders>
            <w:shd w:val="clear" w:color="auto" w:fill="auto"/>
            <w:noWrap/>
            <w:vAlign w:val="bottom"/>
            <w:hideMark/>
          </w:tcPr>
          <w:p w14:paraId="43829173" w14:textId="77777777" w:rsidR="00BE6461" w:rsidRPr="00BE6461" w:rsidRDefault="00BE6461" w:rsidP="00BE6461">
            <w:pPr>
              <w:rPr>
                <w:sz w:val="20"/>
                <w:szCs w:val="20"/>
              </w:rPr>
            </w:pPr>
            <w:r w:rsidRPr="00BE6461">
              <w:rPr>
                <w:sz w:val="20"/>
                <w:szCs w:val="20"/>
              </w:rPr>
              <w:t>3523</w:t>
            </w:r>
          </w:p>
        </w:tc>
        <w:tc>
          <w:tcPr>
            <w:tcW w:w="8457" w:type="dxa"/>
            <w:tcBorders>
              <w:top w:val="nil"/>
              <w:left w:val="nil"/>
              <w:bottom w:val="nil"/>
              <w:right w:val="nil"/>
            </w:tcBorders>
            <w:shd w:val="clear" w:color="auto" w:fill="auto"/>
            <w:vAlign w:val="bottom"/>
            <w:hideMark/>
          </w:tcPr>
          <w:p w14:paraId="0312C7CA" w14:textId="77777777" w:rsidR="00BE6461" w:rsidRPr="00BE6461" w:rsidRDefault="00BE6461" w:rsidP="00BE6461">
            <w:pPr>
              <w:rPr>
                <w:sz w:val="20"/>
                <w:szCs w:val="20"/>
              </w:rPr>
            </w:pPr>
            <w:r w:rsidRPr="00BE6461">
              <w:rPr>
                <w:sz w:val="20"/>
                <w:szCs w:val="20"/>
              </w:rPr>
              <w:t xml:space="preserve">Subvencije poljoprivrednicima i obrtnicima                                                          </w:t>
            </w:r>
          </w:p>
        </w:tc>
        <w:tc>
          <w:tcPr>
            <w:tcW w:w="1503" w:type="dxa"/>
            <w:tcBorders>
              <w:top w:val="nil"/>
              <w:left w:val="nil"/>
              <w:bottom w:val="nil"/>
              <w:right w:val="nil"/>
            </w:tcBorders>
            <w:shd w:val="clear" w:color="auto" w:fill="auto"/>
            <w:noWrap/>
            <w:vAlign w:val="bottom"/>
            <w:hideMark/>
          </w:tcPr>
          <w:p w14:paraId="0287502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C1A8B64"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41622DAD" w14:textId="77777777" w:rsidR="00BE6461" w:rsidRPr="00BE6461" w:rsidRDefault="00BE6461" w:rsidP="00BE6461">
            <w:pPr>
              <w:jc w:val="right"/>
              <w:rPr>
                <w:sz w:val="20"/>
                <w:szCs w:val="20"/>
              </w:rPr>
            </w:pPr>
          </w:p>
        </w:tc>
      </w:tr>
      <w:tr w:rsidR="00BE6461" w:rsidRPr="00BE6461" w14:paraId="4EBF959F" w14:textId="77777777" w:rsidTr="00BE6461">
        <w:trPr>
          <w:trHeight w:val="300"/>
        </w:trPr>
        <w:tc>
          <w:tcPr>
            <w:tcW w:w="1703" w:type="dxa"/>
            <w:tcBorders>
              <w:top w:val="nil"/>
              <w:left w:val="nil"/>
              <w:bottom w:val="nil"/>
              <w:right w:val="nil"/>
            </w:tcBorders>
            <w:shd w:val="clear" w:color="auto" w:fill="auto"/>
            <w:noWrap/>
            <w:vAlign w:val="bottom"/>
            <w:hideMark/>
          </w:tcPr>
          <w:p w14:paraId="1D263DAA" w14:textId="77777777" w:rsidR="00BE6461" w:rsidRPr="00BE6461" w:rsidRDefault="00BE6461" w:rsidP="00BE6461">
            <w:pPr>
              <w:rPr>
                <w:b/>
                <w:bCs/>
                <w:sz w:val="20"/>
                <w:szCs w:val="20"/>
              </w:rPr>
            </w:pPr>
            <w:r w:rsidRPr="00BE6461">
              <w:rPr>
                <w:b/>
                <w:bCs/>
                <w:sz w:val="20"/>
                <w:szCs w:val="20"/>
              </w:rPr>
              <w:t>366</w:t>
            </w:r>
          </w:p>
        </w:tc>
        <w:tc>
          <w:tcPr>
            <w:tcW w:w="8457" w:type="dxa"/>
            <w:tcBorders>
              <w:top w:val="nil"/>
              <w:left w:val="nil"/>
              <w:bottom w:val="nil"/>
              <w:right w:val="nil"/>
            </w:tcBorders>
            <w:shd w:val="clear" w:color="auto" w:fill="auto"/>
            <w:vAlign w:val="bottom"/>
            <w:hideMark/>
          </w:tcPr>
          <w:p w14:paraId="5F1869B7" w14:textId="77777777" w:rsidR="00BE6461" w:rsidRPr="00BE6461" w:rsidRDefault="00BE6461" w:rsidP="00BE6461">
            <w:pPr>
              <w:rPr>
                <w:b/>
                <w:bCs/>
                <w:sz w:val="20"/>
                <w:szCs w:val="20"/>
              </w:rPr>
            </w:pPr>
            <w:r w:rsidRPr="00BE6461">
              <w:rPr>
                <w:b/>
                <w:bCs/>
                <w:sz w:val="20"/>
                <w:szCs w:val="20"/>
              </w:rPr>
              <w:t>Pomoći proračunskim korisnicima drugih proračuna</w:t>
            </w:r>
          </w:p>
        </w:tc>
        <w:tc>
          <w:tcPr>
            <w:tcW w:w="1503" w:type="dxa"/>
            <w:tcBorders>
              <w:top w:val="nil"/>
              <w:left w:val="nil"/>
              <w:bottom w:val="nil"/>
              <w:right w:val="nil"/>
            </w:tcBorders>
            <w:shd w:val="clear" w:color="auto" w:fill="auto"/>
            <w:noWrap/>
            <w:vAlign w:val="bottom"/>
            <w:hideMark/>
          </w:tcPr>
          <w:p w14:paraId="469C6BD8" w14:textId="77777777" w:rsidR="00BE6461" w:rsidRPr="00BE6461" w:rsidRDefault="00BE6461" w:rsidP="00BE6461">
            <w:pPr>
              <w:jc w:val="right"/>
              <w:rPr>
                <w:b/>
                <w:bCs/>
                <w:sz w:val="20"/>
                <w:szCs w:val="20"/>
              </w:rPr>
            </w:pPr>
            <w:r w:rsidRPr="00BE6461">
              <w:rPr>
                <w:b/>
                <w:bCs/>
                <w:sz w:val="20"/>
                <w:szCs w:val="20"/>
              </w:rPr>
              <w:t>5.000,00</w:t>
            </w:r>
          </w:p>
        </w:tc>
        <w:tc>
          <w:tcPr>
            <w:tcW w:w="1500" w:type="dxa"/>
            <w:tcBorders>
              <w:top w:val="nil"/>
              <w:left w:val="nil"/>
              <w:bottom w:val="nil"/>
              <w:right w:val="nil"/>
            </w:tcBorders>
            <w:shd w:val="clear" w:color="auto" w:fill="auto"/>
            <w:noWrap/>
            <w:vAlign w:val="bottom"/>
            <w:hideMark/>
          </w:tcPr>
          <w:p w14:paraId="79E2198D" w14:textId="77777777" w:rsidR="00BE6461" w:rsidRPr="00BE6461" w:rsidRDefault="00BE6461" w:rsidP="00BE6461">
            <w:pPr>
              <w:jc w:val="right"/>
              <w:rPr>
                <w:b/>
                <w:bCs/>
                <w:sz w:val="20"/>
                <w:szCs w:val="20"/>
              </w:rPr>
            </w:pPr>
            <w:r w:rsidRPr="00BE6461">
              <w:rPr>
                <w:b/>
                <w:bCs/>
                <w:sz w:val="20"/>
                <w:szCs w:val="20"/>
              </w:rPr>
              <w:t>5.000,00</w:t>
            </w:r>
          </w:p>
        </w:tc>
        <w:tc>
          <w:tcPr>
            <w:tcW w:w="1100" w:type="dxa"/>
            <w:tcBorders>
              <w:top w:val="nil"/>
              <w:left w:val="nil"/>
              <w:bottom w:val="nil"/>
              <w:right w:val="nil"/>
            </w:tcBorders>
            <w:shd w:val="clear" w:color="auto" w:fill="auto"/>
            <w:noWrap/>
            <w:vAlign w:val="bottom"/>
            <w:hideMark/>
          </w:tcPr>
          <w:p w14:paraId="71FB3F7D"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27A645F3" w14:textId="77777777" w:rsidTr="00BE6461">
        <w:trPr>
          <w:trHeight w:val="300"/>
        </w:trPr>
        <w:tc>
          <w:tcPr>
            <w:tcW w:w="1703" w:type="dxa"/>
            <w:tcBorders>
              <w:top w:val="nil"/>
              <w:left w:val="nil"/>
              <w:bottom w:val="nil"/>
              <w:right w:val="nil"/>
            </w:tcBorders>
            <w:shd w:val="clear" w:color="auto" w:fill="auto"/>
            <w:noWrap/>
            <w:vAlign w:val="bottom"/>
            <w:hideMark/>
          </w:tcPr>
          <w:p w14:paraId="26DBCE4E" w14:textId="77777777" w:rsidR="00BE6461" w:rsidRPr="00BE6461" w:rsidRDefault="00BE6461" w:rsidP="00BE6461">
            <w:pPr>
              <w:rPr>
                <w:sz w:val="20"/>
                <w:szCs w:val="20"/>
              </w:rPr>
            </w:pPr>
            <w:r w:rsidRPr="00BE6461">
              <w:rPr>
                <w:sz w:val="20"/>
                <w:szCs w:val="20"/>
              </w:rPr>
              <w:t>3661</w:t>
            </w:r>
          </w:p>
        </w:tc>
        <w:tc>
          <w:tcPr>
            <w:tcW w:w="8457" w:type="dxa"/>
            <w:tcBorders>
              <w:top w:val="nil"/>
              <w:left w:val="nil"/>
              <w:bottom w:val="nil"/>
              <w:right w:val="nil"/>
            </w:tcBorders>
            <w:shd w:val="clear" w:color="auto" w:fill="auto"/>
            <w:vAlign w:val="bottom"/>
            <w:hideMark/>
          </w:tcPr>
          <w:p w14:paraId="59863C22" w14:textId="77777777" w:rsidR="00BE6461" w:rsidRPr="00BE6461" w:rsidRDefault="00BE6461" w:rsidP="00BE6461">
            <w:pPr>
              <w:rPr>
                <w:sz w:val="20"/>
                <w:szCs w:val="20"/>
              </w:rPr>
            </w:pPr>
            <w:r w:rsidRPr="00BE6461">
              <w:rPr>
                <w:sz w:val="20"/>
                <w:szCs w:val="20"/>
              </w:rPr>
              <w:t>Tekuće pomoći proračunskim korisnicima drugih proračuna</w:t>
            </w:r>
          </w:p>
        </w:tc>
        <w:tc>
          <w:tcPr>
            <w:tcW w:w="1503" w:type="dxa"/>
            <w:tcBorders>
              <w:top w:val="nil"/>
              <w:left w:val="nil"/>
              <w:bottom w:val="nil"/>
              <w:right w:val="nil"/>
            </w:tcBorders>
            <w:shd w:val="clear" w:color="auto" w:fill="auto"/>
            <w:noWrap/>
            <w:vAlign w:val="bottom"/>
            <w:hideMark/>
          </w:tcPr>
          <w:p w14:paraId="0DBDCE3B"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59D53CC" w14:textId="77777777" w:rsidR="00BE6461" w:rsidRPr="00BE6461" w:rsidRDefault="00BE6461" w:rsidP="00BE6461">
            <w:pPr>
              <w:jc w:val="right"/>
              <w:rPr>
                <w:sz w:val="20"/>
                <w:szCs w:val="20"/>
              </w:rPr>
            </w:pPr>
            <w:r w:rsidRPr="00BE6461">
              <w:rPr>
                <w:sz w:val="20"/>
                <w:szCs w:val="20"/>
              </w:rPr>
              <w:t>5.000,00</w:t>
            </w:r>
          </w:p>
        </w:tc>
        <w:tc>
          <w:tcPr>
            <w:tcW w:w="1100" w:type="dxa"/>
            <w:tcBorders>
              <w:top w:val="nil"/>
              <w:left w:val="nil"/>
              <w:bottom w:val="nil"/>
              <w:right w:val="nil"/>
            </w:tcBorders>
            <w:shd w:val="clear" w:color="auto" w:fill="auto"/>
            <w:noWrap/>
            <w:vAlign w:val="bottom"/>
            <w:hideMark/>
          </w:tcPr>
          <w:p w14:paraId="3FA492F3" w14:textId="77777777" w:rsidR="00BE6461" w:rsidRPr="00BE6461" w:rsidRDefault="00BE6461" w:rsidP="00BE6461">
            <w:pPr>
              <w:jc w:val="right"/>
              <w:rPr>
                <w:sz w:val="20"/>
                <w:szCs w:val="20"/>
              </w:rPr>
            </w:pPr>
          </w:p>
        </w:tc>
      </w:tr>
      <w:tr w:rsidR="00BE6461" w:rsidRPr="00BE6461" w14:paraId="1689D22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0D654AB"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297AF259" w14:textId="77777777" w:rsidR="00BE6461" w:rsidRPr="00BE6461" w:rsidRDefault="00BE6461" w:rsidP="00BE6461">
            <w:pPr>
              <w:jc w:val="right"/>
              <w:rPr>
                <w:b/>
                <w:bCs/>
                <w:color w:val="333333"/>
                <w:sz w:val="20"/>
                <w:szCs w:val="20"/>
              </w:rPr>
            </w:pPr>
            <w:r w:rsidRPr="00BE6461">
              <w:rPr>
                <w:b/>
                <w:bCs/>
                <w:color w:val="333333"/>
                <w:sz w:val="20"/>
                <w:szCs w:val="20"/>
              </w:rPr>
              <w:t>122.400,00</w:t>
            </w:r>
          </w:p>
        </w:tc>
        <w:tc>
          <w:tcPr>
            <w:tcW w:w="1500" w:type="dxa"/>
            <w:tcBorders>
              <w:top w:val="nil"/>
              <w:left w:val="nil"/>
              <w:bottom w:val="nil"/>
              <w:right w:val="nil"/>
            </w:tcBorders>
            <w:shd w:val="clear" w:color="auto" w:fill="auto"/>
            <w:noWrap/>
            <w:vAlign w:val="bottom"/>
            <w:hideMark/>
          </w:tcPr>
          <w:p w14:paraId="6CB00C15" w14:textId="77777777" w:rsidR="00BE6461" w:rsidRPr="00BE6461" w:rsidRDefault="00BE6461" w:rsidP="00BE6461">
            <w:pPr>
              <w:jc w:val="right"/>
              <w:rPr>
                <w:b/>
                <w:bCs/>
                <w:color w:val="333333"/>
                <w:sz w:val="20"/>
                <w:szCs w:val="20"/>
              </w:rPr>
            </w:pPr>
            <w:r w:rsidRPr="00BE6461">
              <w:rPr>
                <w:b/>
                <w:bCs/>
                <w:color w:val="333333"/>
                <w:sz w:val="20"/>
                <w:szCs w:val="20"/>
              </w:rPr>
              <w:t>77.765,74</w:t>
            </w:r>
          </w:p>
        </w:tc>
        <w:tc>
          <w:tcPr>
            <w:tcW w:w="1100" w:type="dxa"/>
            <w:tcBorders>
              <w:top w:val="nil"/>
              <w:left w:val="nil"/>
              <w:bottom w:val="nil"/>
              <w:right w:val="nil"/>
            </w:tcBorders>
            <w:shd w:val="clear" w:color="auto" w:fill="auto"/>
            <w:noWrap/>
            <w:vAlign w:val="bottom"/>
            <w:hideMark/>
          </w:tcPr>
          <w:p w14:paraId="38CC73F8" w14:textId="77777777" w:rsidR="00BE6461" w:rsidRPr="00BE6461" w:rsidRDefault="00BE6461" w:rsidP="00BE6461">
            <w:pPr>
              <w:jc w:val="right"/>
              <w:rPr>
                <w:b/>
                <w:bCs/>
                <w:color w:val="333333"/>
                <w:sz w:val="20"/>
                <w:szCs w:val="20"/>
              </w:rPr>
            </w:pPr>
            <w:r w:rsidRPr="00BE6461">
              <w:rPr>
                <w:b/>
                <w:bCs/>
                <w:color w:val="333333"/>
                <w:sz w:val="20"/>
                <w:szCs w:val="20"/>
              </w:rPr>
              <w:t>63,53</w:t>
            </w:r>
          </w:p>
        </w:tc>
      </w:tr>
      <w:tr w:rsidR="00BE6461" w:rsidRPr="00BE6461" w14:paraId="2FBF6F49"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04EF815" w14:textId="77777777" w:rsidR="00BE6461" w:rsidRPr="00BE6461" w:rsidRDefault="00BE6461" w:rsidP="00BE6461">
            <w:pPr>
              <w:rPr>
                <w:b/>
                <w:bCs/>
                <w:color w:val="333333"/>
                <w:sz w:val="20"/>
                <w:szCs w:val="20"/>
              </w:rPr>
            </w:pPr>
            <w:r w:rsidRPr="00BE6461">
              <w:rPr>
                <w:b/>
                <w:bCs/>
                <w:color w:val="333333"/>
                <w:sz w:val="20"/>
                <w:szCs w:val="20"/>
              </w:rPr>
              <w:t>Izvor 4.5. PRIHODI POSEBNE NAMJENE - POLJOPRIVREDNO ZEMLJIŠTE RH</w:t>
            </w:r>
          </w:p>
        </w:tc>
        <w:tc>
          <w:tcPr>
            <w:tcW w:w="1503" w:type="dxa"/>
            <w:tcBorders>
              <w:top w:val="nil"/>
              <w:left w:val="nil"/>
              <w:bottom w:val="nil"/>
              <w:right w:val="nil"/>
            </w:tcBorders>
            <w:shd w:val="clear" w:color="auto" w:fill="auto"/>
            <w:noWrap/>
            <w:vAlign w:val="bottom"/>
            <w:hideMark/>
          </w:tcPr>
          <w:p w14:paraId="30900B08" w14:textId="77777777" w:rsidR="00BE6461" w:rsidRPr="00BE6461" w:rsidRDefault="00BE6461" w:rsidP="00BE6461">
            <w:pPr>
              <w:jc w:val="right"/>
              <w:rPr>
                <w:b/>
                <w:bCs/>
                <w:color w:val="333333"/>
                <w:sz w:val="20"/>
                <w:szCs w:val="20"/>
              </w:rPr>
            </w:pPr>
            <w:r w:rsidRPr="00BE6461">
              <w:rPr>
                <w:b/>
                <w:bCs/>
                <w:color w:val="333333"/>
                <w:sz w:val="20"/>
                <w:szCs w:val="20"/>
              </w:rPr>
              <w:t>122.400,00</w:t>
            </w:r>
          </w:p>
        </w:tc>
        <w:tc>
          <w:tcPr>
            <w:tcW w:w="1500" w:type="dxa"/>
            <w:tcBorders>
              <w:top w:val="nil"/>
              <w:left w:val="nil"/>
              <w:bottom w:val="nil"/>
              <w:right w:val="nil"/>
            </w:tcBorders>
            <w:shd w:val="clear" w:color="auto" w:fill="auto"/>
            <w:noWrap/>
            <w:vAlign w:val="bottom"/>
            <w:hideMark/>
          </w:tcPr>
          <w:p w14:paraId="2103FDBC" w14:textId="77777777" w:rsidR="00BE6461" w:rsidRPr="00BE6461" w:rsidRDefault="00BE6461" w:rsidP="00BE6461">
            <w:pPr>
              <w:jc w:val="right"/>
              <w:rPr>
                <w:b/>
                <w:bCs/>
                <w:color w:val="333333"/>
                <w:sz w:val="20"/>
                <w:szCs w:val="20"/>
              </w:rPr>
            </w:pPr>
            <w:r w:rsidRPr="00BE6461">
              <w:rPr>
                <w:b/>
                <w:bCs/>
                <w:color w:val="333333"/>
                <w:sz w:val="20"/>
                <w:szCs w:val="20"/>
              </w:rPr>
              <w:t>77.765,74</w:t>
            </w:r>
          </w:p>
        </w:tc>
        <w:tc>
          <w:tcPr>
            <w:tcW w:w="1100" w:type="dxa"/>
            <w:tcBorders>
              <w:top w:val="nil"/>
              <w:left w:val="nil"/>
              <w:bottom w:val="nil"/>
              <w:right w:val="nil"/>
            </w:tcBorders>
            <w:shd w:val="clear" w:color="auto" w:fill="auto"/>
            <w:noWrap/>
            <w:vAlign w:val="bottom"/>
            <w:hideMark/>
          </w:tcPr>
          <w:p w14:paraId="3129E83E" w14:textId="77777777" w:rsidR="00BE6461" w:rsidRPr="00BE6461" w:rsidRDefault="00BE6461" w:rsidP="00BE6461">
            <w:pPr>
              <w:jc w:val="right"/>
              <w:rPr>
                <w:b/>
                <w:bCs/>
                <w:color w:val="333333"/>
                <w:sz w:val="20"/>
                <w:szCs w:val="20"/>
              </w:rPr>
            </w:pPr>
            <w:r w:rsidRPr="00BE6461">
              <w:rPr>
                <w:b/>
                <w:bCs/>
                <w:color w:val="333333"/>
                <w:sz w:val="20"/>
                <w:szCs w:val="20"/>
              </w:rPr>
              <w:t>63,53</w:t>
            </w:r>
          </w:p>
        </w:tc>
      </w:tr>
      <w:tr w:rsidR="00BE6461" w:rsidRPr="00BE6461" w14:paraId="06103319" w14:textId="77777777" w:rsidTr="00BE6461">
        <w:trPr>
          <w:trHeight w:val="300"/>
        </w:trPr>
        <w:tc>
          <w:tcPr>
            <w:tcW w:w="1703" w:type="dxa"/>
            <w:tcBorders>
              <w:top w:val="nil"/>
              <w:left w:val="nil"/>
              <w:bottom w:val="nil"/>
              <w:right w:val="nil"/>
            </w:tcBorders>
            <w:shd w:val="clear" w:color="auto" w:fill="auto"/>
            <w:noWrap/>
            <w:vAlign w:val="bottom"/>
            <w:hideMark/>
          </w:tcPr>
          <w:p w14:paraId="5E1D1869"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1D3E6CA2"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7EDA3952" w14:textId="77777777" w:rsidR="00BE6461" w:rsidRPr="00BE6461" w:rsidRDefault="00BE6461" w:rsidP="00BE6461">
            <w:pPr>
              <w:jc w:val="right"/>
              <w:rPr>
                <w:b/>
                <w:bCs/>
                <w:sz w:val="20"/>
                <w:szCs w:val="20"/>
              </w:rPr>
            </w:pPr>
            <w:r w:rsidRPr="00BE6461">
              <w:rPr>
                <w:b/>
                <w:bCs/>
                <w:sz w:val="20"/>
                <w:szCs w:val="20"/>
              </w:rPr>
              <w:t>52.400,00</w:t>
            </w:r>
          </w:p>
        </w:tc>
        <w:tc>
          <w:tcPr>
            <w:tcW w:w="1500" w:type="dxa"/>
            <w:tcBorders>
              <w:top w:val="nil"/>
              <w:left w:val="nil"/>
              <w:bottom w:val="nil"/>
              <w:right w:val="nil"/>
            </w:tcBorders>
            <w:shd w:val="clear" w:color="auto" w:fill="auto"/>
            <w:noWrap/>
            <w:vAlign w:val="bottom"/>
            <w:hideMark/>
          </w:tcPr>
          <w:p w14:paraId="14D60104" w14:textId="77777777" w:rsidR="00BE6461" w:rsidRPr="00BE6461" w:rsidRDefault="00BE6461" w:rsidP="00BE6461">
            <w:pPr>
              <w:jc w:val="right"/>
              <w:rPr>
                <w:b/>
                <w:bCs/>
                <w:sz w:val="20"/>
                <w:szCs w:val="20"/>
              </w:rPr>
            </w:pPr>
            <w:r w:rsidRPr="00BE6461">
              <w:rPr>
                <w:b/>
                <w:bCs/>
                <w:sz w:val="20"/>
                <w:szCs w:val="20"/>
              </w:rPr>
              <w:t>41.726,25</w:t>
            </w:r>
          </w:p>
        </w:tc>
        <w:tc>
          <w:tcPr>
            <w:tcW w:w="1100" w:type="dxa"/>
            <w:tcBorders>
              <w:top w:val="nil"/>
              <w:left w:val="nil"/>
              <w:bottom w:val="nil"/>
              <w:right w:val="nil"/>
            </w:tcBorders>
            <w:shd w:val="clear" w:color="auto" w:fill="auto"/>
            <w:noWrap/>
            <w:vAlign w:val="bottom"/>
            <w:hideMark/>
          </w:tcPr>
          <w:p w14:paraId="70F1C49A" w14:textId="77777777" w:rsidR="00BE6461" w:rsidRPr="00BE6461" w:rsidRDefault="00BE6461" w:rsidP="00BE6461">
            <w:pPr>
              <w:jc w:val="right"/>
              <w:rPr>
                <w:b/>
                <w:bCs/>
                <w:sz w:val="20"/>
                <w:szCs w:val="20"/>
              </w:rPr>
            </w:pPr>
            <w:r w:rsidRPr="00BE6461">
              <w:rPr>
                <w:b/>
                <w:bCs/>
                <w:sz w:val="20"/>
                <w:szCs w:val="20"/>
              </w:rPr>
              <w:t>79,63</w:t>
            </w:r>
          </w:p>
        </w:tc>
      </w:tr>
      <w:tr w:rsidR="00BE6461" w:rsidRPr="00BE6461" w14:paraId="38CC8E5E" w14:textId="77777777" w:rsidTr="00BE6461">
        <w:trPr>
          <w:trHeight w:val="300"/>
        </w:trPr>
        <w:tc>
          <w:tcPr>
            <w:tcW w:w="1703" w:type="dxa"/>
            <w:tcBorders>
              <w:top w:val="nil"/>
              <w:left w:val="nil"/>
              <w:bottom w:val="nil"/>
              <w:right w:val="nil"/>
            </w:tcBorders>
            <w:shd w:val="clear" w:color="auto" w:fill="auto"/>
            <w:noWrap/>
            <w:vAlign w:val="bottom"/>
            <w:hideMark/>
          </w:tcPr>
          <w:p w14:paraId="3684EFF8" w14:textId="77777777" w:rsidR="00BE6461" w:rsidRPr="00BE6461" w:rsidRDefault="00BE6461" w:rsidP="00BE6461">
            <w:pPr>
              <w:rPr>
                <w:sz w:val="20"/>
                <w:szCs w:val="20"/>
              </w:rPr>
            </w:pPr>
            <w:r w:rsidRPr="00BE6461">
              <w:rPr>
                <w:sz w:val="20"/>
                <w:szCs w:val="20"/>
              </w:rPr>
              <w:t>3233</w:t>
            </w:r>
          </w:p>
        </w:tc>
        <w:tc>
          <w:tcPr>
            <w:tcW w:w="8457" w:type="dxa"/>
            <w:tcBorders>
              <w:top w:val="nil"/>
              <w:left w:val="nil"/>
              <w:bottom w:val="nil"/>
              <w:right w:val="nil"/>
            </w:tcBorders>
            <w:shd w:val="clear" w:color="auto" w:fill="auto"/>
            <w:vAlign w:val="bottom"/>
            <w:hideMark/>
          </w:tcPr>
          <w:p w14:paraId="24F6C52D" w14:textId="77777777" w:rsidR="00BE6461" w:rsidRPr="00BE6461" w:rsidRDefault="00BE6461" w:rsidP="00BE6461">
            <w:pPr>
              <w:rPr>
                <w:sz w:val="20"/>
                <w:szCs w:val="20"/>
              </w:rPr>
            </w:pPr>
            <w:r w:rsidRPr="00BE6461">
              <w:rPr>
                <w:sz w:val="20"/>
                <w:szCs w:val="20"/>
              </w:rPr>
              <w:t xml:space="preserve">Usluge promidžbe i informiranja                                                                     </w:t>
            </w:r>
          </w:p>
        </w:tc>
        <w:tc>
          <w:tcPr>
            <w:tcW w:w="1503" w:type="dxa"/>
            <w:tcBorders>
              <w:top w:val="nil"/>
              <w:left w:val="nil"/>
              <w:bottom w:val="nil"/>
              <w:right w:val="nil"/>
            </w:tcBorders>
            <w:shd w:val="clear" w:color="auto" w:fill="auto"/>
            <w:noWrap/>
            <w:vAlign w:val="bottom"/>
            <w:hideMark/>
          </w:tcPr>
          <w:p w14:paraId="29F71F2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872B971"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3440E637" w14:textId="77777777" w:rsidR="00BE6461" w:rsidRPr="00BE6461" w:rsidRDefault="00BE6461" w:rsidP="00BE6461">
            <w:pPr>
              <w:jc w:val="right"/>
              <w:rPr>
                <w:sz w:val="20"/>
                <w:szCs w:val="20"/>
              </w:rPr>
            </w:pPr>
          </w:p>
        </w:tc>
      </w:tr>
      <w:tr w:rsidR="00BE6461" w:rsidRPr="00BE6461" w14:paraId="03B761B6" w14:textId="77777777" w:rsidTr="00BE6461">
        <w:trPr>
          <w:trHeight w:val="300"/>
        </w:trPr>
        <w:tc>
          <w:tcPr>
            <w:tcW w:w="1703" w:type="dxa"/>
            <w:tcBorders>
              <w:top w:val="nil"/>
              <w:left w:val="nil"/>
              <w:bottom w:val="nil"/>
              <w:right w:val="nil"/>
            </w:tcBorders>
            <w:shd w:val="clear" w:color="auto" w:fill="auto"/>
            <w:noWrap/>
            <w:vAlign w:val="bottom"/>
            <w:hideMark/>
          </w:tcPr>
          <w:p w14:paraId="1A7E8371"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028550FC"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4F80793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EB7DAA7" w14:textId="77777777" w:rsidR="00BE6461" w:rsidRPr="00BE6461" w:rsidRDefault="00BE6461" w:rsidP="00BE6461">
            <w:pPr>
              <w:jc w:val="right"/>
              <w:rPr>
                <w:sz w:val="20"/>
                <w:szCs w:val="20"/>
              </w:rPr>
            </w:pPr>
            <w:r w:rsidRPr="00BE6461">
              <w:rPr>
                <w:sz w:val="20"/>
                <w:szCs w:val="20"/>
              </w:rPr>
              <w:t>41.726,25</w:t>
            </w:r>
          </w:p>
        </w:tc>
        <w:tc>
          <w:tcPr>
            <w:tcW w:w="1100" w:type="dxa"/>
            <w:tcBorders>
              <w:top w:val="nil"/>
              <w:left w:val="nil"/>
              <w:bottom w:val="nil"/>
              <w:right w:val="nil"/>
            </w:tcBorders>
            <w:shd w:val="clear" w:color="auto" w:fill="auto"/>
            <w:noWrap/>
            <w:vAlign w:val="bottom"/>
            <w:hideMark/>
          </w:tcPr>
          <w:p w14:paraId="3E4BF9B5" w14:textId="77777777" w:rsidR="00BE6461" w:rsidRPr="00BE6461" w:rsidRDefault="00BE6461" w:rsidP="00BE6461">
            <w:pPr>
              <w:jc w:val="right"/>
              <w:rPr>
                <w:sz w:val="20"/>
                <w:szCs w:val="20"/>
              </w:rPr>
            </w:pPr>
          </w:p>
        </w:tc>
      </w:tr>
      <w:tr w:rsidR="00BE6461" w:rsidRPr="00BE6461" w14:paraId="759F3A85" w14:textId="77777777" w:rsidTr="00BE6461">
        <w:trPr>
          <w:trHeight w:val="300"/>
        </w:trPr>
        <w:tc>
          <w:tcPr>
            <w:tcW w:w="1703" w:type="dxa"/>
            <w:tcBorders>
              <w:top w:val="nil"/>
              <w:left w:val="nil"/>
              <w:bottom w:val="nil"/>
              <w:right w:val="nil"/>
            </w:tcBorders>
            <w:shd w:val="clear" w:color="auto" w:fill="auto"/>
            <w:noWrap/>
            <w:vAlign w:val="bottom"/>
            <w:hideMark/>
          </w:tcPr>
          <w:p w14:paraId="2D2C2523"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11997507"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472B41B1" w14:textId="77777777" w:rsidR="00BE6461" w:rsidRPr="00BE6461" w:rsidRDefault="00BE6461" w:rsidP="00BE6461">
            <w:pPr>
              <w:jc w:val="right"/>
              <w:rPr>
                <w:b/>
                <w:bCs/>
                <w:sz w:val="20"/>
                <w:szCs w:val="20"/>
              </w:rPr>
            </w:pPr>
            <w:r w:rsidRPr="00BE6461">
              <w:rPr>
                <w:b/>
                <w:bCs/>
                <w:sz w:val="20"/>
                <w:szCs w:val="20"/>
              </w:rPr>
              <w:t>45.000,00</w:t>
            </w:r>
          </w:p>
        </w:tc>
        <w:tc>
          <w:tcPr>
            <w:tcW w:w="1500" w:type="dxa"/>
            <w:tcBorders>
              <w:top w:val="nil"/>
              <w:left w:val="nil"/>
              <w:bottom w:val="nil"/>
              <w:right w:val="nil"/>
            </w:tcBorders>
            <w:shd w:val="clear" w:color="auto" w:fill="auto"/>
            <w:noWrap/>
            <w:vAlign w:val="bottom"/>
            <w:hideMark/>
          </w:tcPr>
          <w:p w14:paraId="61840D53" w14:textId="77777777" w:rsidR="00BE6461" w:rsidRPr="00BE6461" w:rsidRDefault="00BE6461" w:rsidP="00BE6461">
            <w:pPr>
              <w:jc w:val="right"/>
              <w:rPr>
                <w:b/>
                <w:bCs/>
                <w:sz w:val="20"/>
                <w:szCs w:val="20"/>
              </w:rPr>
            </w:pPr>
            <w:r w:rsidRPr="00BE6461">
              <w:rPr>
                <w:b/>
                <w:bCs/>
                <w:sz w:val="20"/>
                <w:szCs w:val="20"/>
              </w:rPr>
              <w:t>21.039,49</w:t>
            </w:r>
          </w:p>
        </w:tc>
        <w:tc>
          <w:tcPr>
            <w:tcW w:w="1100" w:type="dxa"/>
            <w:tcBorders>
              <w:top w:val="nil"/>
              <w:left w:val="nil"/>
              <w:bottom w:val="nil"/>
              <w:right w:val="nil"/>
            </w:tcBorders>
            <w:shd w:val="clear" w:color="auto" w:fill="auto"/>
            <w:noWrap/>
            <w:vAlign w:val="bottom"/>
            <w:hideMark/>
          </w:tcPr>
          <w:p w14:paraId="220003D1" w14:textId="77777777" w:rsidR="00BE6461" w:rsidRPr="00BE6461" w:rsidRDefault="00BE6461" w:rsidP="00BE6461">
            <w:pPr>
              <w:jc w:val="right"/>
              <w:rPr>
                <w:b/>
                <w:bCs/>
                <w:sz w:val="20"/>
                <w:szCs w:val="20"/>
              </w:rPr>
            </w:pPr>
            <w:r w:rsidRPr="00BE6461">
              <w:rPr>
                <w:b/>
                <w:bCs/>
                <w:sz w:val="20"/>
                <w:szCs w:val="20"/>
              </w:rPr>
              <w:t>46,75</w:t>
            </w:r>
          </w:p>
        </w:tc>
      </w:tr>
      <w:tr w:rsidR="00BE6461" w:rsidRPr="00BE6461" w14:paraId="0ED58CAD" w14:textId="77777777" w:rsidTr="00BE6461">
        <w:trPr>
          <w:trHeight w:val="525"/>
        </w:trPr>
        <w:tc>
          <w:tcPr>
            <w:tcW w:w="1703" w:type="dxa"/>
            <w:tcBorders>
              <w:top w:val="nil"/>
              <w:left w:val="nil"/>
              <w:bottom w:val="nil"/>
              <w:right w:val="nil"/>
            </w:tcBorders>
            <w:shd w:val="clear" w:color="auto" w:fill="auto"/>
            <w:noWrap/>
            <w:vAlign w:val="bottom"/>
            <w:hideMark/>
          </w:tcPr>
          <w:p w14:paraId="7894F919" w14:textId="77777777" w:rsidR="00BE6461" w:rsidRPr="00BE6461" w:rsidRDefault="00BE6461" w:rsidP="00BE6461">
            <w:pPr>
              <w:rPr>
                <w:sz w:val="20"/>
                <w:szCs w:val="20"/>
              </w:rPr>
            </w:pPr>
            <w:r w:rsidRPr="00BE6461">
              <w:rPr>
                <w:sz w:val="20"/>
                <w:szCs w:val="20"/>
              </w:rPr>
              <w:t>3291</w:t>
            </w:r>
          </w:p>
        </w:tc>
        <w:tc>
          <w:tcPr>
            <w:tcW w:w="8457" w:type="dxa"/>
            <w:tcBorders>
              <w:top w:val="nil"/>
              <w:left w:val="nil"/>
              <w:bottom w:val="nil"/>
              <w:right w:val="nil"/>
            </w:tcBorders>
            <w:shd w:val="clear" w:color="auto" w:fill="auto"/>
            <w:vAlign w:val="bottom"/>
            <w:hideMark/>
          </w:tcPr>
          <w:p w14:paraId="06252CCC" w14:textId="77777777" w:rsidR="00BE6461" w:rsidRPr="00BE6461" w:rsidRDefault="00BE6461" w:rsidP="00BE6461">
            <w:pPr>
              <w:rPr>
                <w:sz w:val="20"/>
                <w:szCs w:val="20"/>
              </w:rPr>
            </w:pPr>
            <w:r w:rsidRPr="00BE6461">
              <w:rPr>
                <w:sz w:val="20"/>
                <w:szCs w:val="20"/>
              </w:rPr>
              <w:t xml:space="preserve">Naknade za rad predstavničkih i izvršnih tijela, povjerenstava i slično                             </w:t>
            </w:r>
          </w:p>
        </w:tc>
        <w:tc>
          <w:tcPr>
            <w:tcW w:w="1503" w:type="dxa"/>
            <w:tcBorders>
              <w:top w:val="nil"/>
              <w:left w:val="nil"/>
              <w:bottom w:val="nil"/>
              <w:right w:val="nil"/>
            </w:tcBorders>
            <w:shd w:val="clear" w:color="auto" w:fill="auto"/>
            <w:noWrap/>
            <w:vAlign w:val="bottom"/>
            <w:hideMark/>
          </w:tcPr>
          <w:p w14:paraId="5B34333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C9D01FE" w14:textId="77777777" w:rsidR="00BE6461" w:rsidRPr="00BE6461" w:rsidRDefault="00BE6461" w:rsidP="00BE6461">
            <w:pPr>
              <w:jc w:val="right"/>
              <w:rPr>
                <w:sz w:val="20"/>
                <w:szCs w:val="20"/>
              </w:rPr>
            </w:pPr>
            <w:r w:rsidRPr="00BE6461">
              <w:rPr>
                <w:sz w:val="20"/>
                <w:szCs w:val="20"/>
              </w:rPr>
              <w:t>21.039,49</w:t>
            </w:r>
          </w:p>
        </w:tc>
        <w:tc>
          <w:tcPr>
            <w:tcW w:w="1100" w:type="dxa"/>
            <w:tcBorders>
              <w:top w:val="nil"/>
              <w:left w:val="nil"/>
              <w:bottom w:val="nil"/>
              <w:right w:val="nil"/>
            </w:tcBorders>
            <w:shd w:val="clear" w:color="auto" w:fill="auto"/>
            <w:noWrap/>
            <w:vAlign w:val="bottom"/>
            <w:hideMark/>
          </w:tcPr>
          <w:p w14:paraId="2E625EA4" w14:textId="77777777" w:rsidR="00BE6461" w:rsidRPr="00BE6461" w:rsidRDefault="00BE6461" w:rsidP="00BE6461">
            <w:pPr>
              <w:jc w:val="right"/>
              <w:rPr>
                <w:sz w:val="20"/>
                <w:szCs w:val="20"/>
              </w:rPr>
            </w:pPr>
          </w:p>
        </w:tc>
      </w:tr>
      <w:tr w:rsidR="00BE6461" w:rsidRPr="00BE6461" w14:paraId="184DA394" w14:textId="77777777" w:rsidTr="00BE6461">
        <w:trPr>
          <w:trHeight w:val="300"/>
        </w:trPr>
        <w:tc>
          <w:tcPr>
            <w:tcW w:w="1703" w:type="dxa"/>
            <w:tcBorders>
              <w:top w:val="nil"/>
              <w:left w:val="nil"/>
              <w:bottom w:val="nil"/>
              <w:right w:val="nil"/>
            </w:tcBorders>
            <w:shd w:val="clear" w:color="auto" w:fill="auto"/>
            <w:noWrap/>
            <w:vAlign w:val="bottom"/>
            <w:hideMark/>
          </w:tcPr>
          <w:p w14:paraId="31828D2F" w14:textId="77777777" w:rsidR="00BE6461" w:rsidRPr="00BE6461" w:rsidRDefault="00BE6461" w:rsidP="00BE6461">
            <w:pPr>
              <w:rPr>
                <w:sz w:val="20"/>
                <w:szCs w:val="20"/>
              </w:rPr>
            </w:pPr>
            <w:r w:rsidRPr="00BE6461">
              <w:rPr>
                <w:sz w:val="20"/>
                <w:szCs w:val="20"/>
              </w:rPr>
              <w:t>3295</w:t>
            </w:r>
          </w:p>
        </w:tc>
        <w:tc>
          <w:tcPr>
            <w:tcW w:w="8457" w:type="dxa"/>
            <w:tcBorders>
              <w:top w:val="nil"/>
              <w:left w:val="nil"/>
              <w:bottom w:val="nil"/>
              <w:right w:val="nil"/>
            </w:tcBorders>
            <w:shd w:val="clear" w:color="auto" w:fill="auto"/>
            <w:vAlign w:val="bottom"/>
            <w:hideMark/>
          </w:tcPr>
          <w:p w14:paraId="786F10B9" w14:textId="77777777" w:rsidR="00BE6461" w:rsidRPr="00BE6461" w:rsidRDefault="00BE6461" w:rsidP="00BE6461">
            <w:pPr>
              <w:rPr>
                <w:sz w:val="20"/>
                <w:szCs w:val="20"/>
              </w:rPr>
            </w:pPr>
            <w:r w:rsidRPr="00BE6461">
              <w:rPr>
                <w:sz w:val="20"/>
                <w:szCs w:val="20"/>
              </w:rPr>
              <w:t xml:space="preserve">Pristojbe i naknade                                                                                 </w:t>
            </w:r>
          </w:p>
        </w:tc>
        <w:tc>
          <w:tcPr>
            <w:tcW w:w="1503" w:type="dxa"/>
            <w:tcBorders>
              <w:top w:val="nil"/>
              <w:left w:val="nil"/>
              <w:bottom w:val="nil"/>
              <w:right w:val="nil"/>
            </w:tcBorders>
            <w:shd w:val="clear" w:color="auto" w:fill="auto"/>
            <w:noWrap/>
            <w:vAlign w:val="bottom"/>
            <w:hideMark/>
          </w:tcPr>
          <w:p w14:paraId="57E1827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155FEFF"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5B243D39" w14:textId="77777777" w:rsidR="00BE6461" w:rsidRPr="00BE6461" w:rsidRDefault="00BE6461" w:rsidP="00BE6461">
            <w:pPr>
              <w:jc w:val="right"/>
              <w:rPr>
                <w:sz w:val="20"/>
                <w:szCs w:val="20"/>
              </w:rPr>
            </w:pPr>
          </w:p>
        </w:tc>
      </w:tr>
      <w:tr w:rsidR="00BE6461" w:rsidRPr="00BE6461" w14:paraId="47164503" w14:textId="77777777" w:rsidTr="00BE6461">
        <w:trPr>
          <w:trHeight w:val="525"/>
        </w:trPr>
        <w:tc>
          <w:tcPr>
            <w:tcW w:w="1703" w:type="dxa"/>
            <w:tcBorders>
              <w:top w:val="nil"/>
              <w:left w:val="nil"/>
              <w:bottom w:val="nil"/>
              <w:right w:val="nil"/>
            </w:tcBorders>
            <w:shd w:val="clear" w:color="auto" w:fill="auto"/>
            <w:noWrap/>
            <w:vAlign w:val="bottom"/>
            <w:hideMark/>
          </w:tcPr>
          <w:p w14:paraId="75892AF8" w14:textId="77777777" w:rsidR="00BE6461" w:rsidRPr="00BE6461" w:rsidRDefault="00BE6461" w:rsidP="00BE6461">
            <w:pPr>
              <w:rPr>
                <w:b/>
                <w:bCs/>
                <w:sz w:val="20"/>
                <w:szCs w:val="20"/>
              </w:rPr>
            </w:pPr>
            <w:r w:rsidRPr="00BE6461">
              <w:rPr>
                <w:b/>
                <w:bCs/>
                <w:sz w:val="20"/>
                <w:szCs w:val="20"/>
              </w:rPr>
              <w:t>352</w:t>
            </w:r>
          </w:p>
        </w:tc>
        <w:tc>
          <w:tcPr>
            <w:tcW w:w="8457" w:type="dxa"/>
            <w:tcBorders>
              <w:top w:val="nil"/>
              <w:left w:val="nil"/>
              <w:bottom w:val="nil"/>
              <w:right w:val="nil"/>
            </w:tcBorders>
            <w:shd w:val="clear" w:color="auto" w:fill="auto"/>
            <w:vAlign w:val="bottom"/>
            <w:hideMark/>
          </w:tcPr>
          <w:p w14:paraId="2A4273DE" w14:textId="77777777" w:rsidR="00BE6461" w:rsidRPr="00BE6461" w:rsidRDefault="00BE6461" w:rsidP="00BE6461">
            <w:pPr>
              <w:rPr>
                <w:b/>
                <w:bCs/>
                <w:sz w:val="20"/>
                <w:szCs w:val="20"/>
              </w:rPr>
            </w:pPr>
            <w:r w:rsidRPr="00BE6461">
              <w:rPr>
                <w:b/>
                <w:bCs/>
                <w:sz w:val="20"/>
                <w:szCs w:val="20"/>
              </w:rPr>
              <w:t>Subvencije trgovačkim društvima, zadrugama, poljoprivrednicima i obrtnicima izvan javnog sektora</w:t>
            </w:r>
          </w:p>
        </w:tc>
        <w:tc>
          <w:tcPr>
            <w:tcW w:w="1503" w:type="dxa"/>
            <w:tcBorders>
              <w:top w:val="nil"/>
              <w:left w:val="nil"/>
              <w:bottom w:val="nil"/>
              <w:right w:val="nil"/>
            </w:tcBorders>
            <w:shd w:val="clear" w:color="auto" w:fill="auto"/>
            <w:noWrap/>
            <w:vAlign w:val="bottom"/>
            <w:hideMark/>
          </w:tcPr>
          <w:p w14:paraId="5263C438" w14:textId="77777777" w:rsidR="00BE6461" w:rsidRPr="00BE6461" w:rsidRDefault="00BE6461" w:rsidP="00BE6461">
            <w:pPr>
              <w:jc w:val="right"/>
              <w:rPr>
                <w:b/>
                <w:bCs/>
                <w:sz w:val="20"/>
                <w:szCs w:val="20"/>
              </w:rPr>
            </w:pPr>
            <w:r w:rsidRPr="00BE6461">
              <w:rPr>
                <w:b/>
                <w:bCs/>
                <w:sz w:val="20"/>
                <w:szCs w:val="20"/>
              </w:rPr>
              <w:t>10.000,00</w:t>
            </w:r>
          </w:p>
        </w:tc>
        <w:tc>
          <w:tcPr>
            <w:tcW w:w="1500" w:type="dxa"/>
            <w:tcBorders>
              <w:top w:val="nil"/>
              <w:left w:val="nil"/>
              <w:bottom w:val="nil"/>
              <w:right w:val="nil"/>
            </w:tcBorders>
            <w:shd w:val="clear" w:color="auto" w:fill="auto"/>
            <w:noWrap/>
            <w:vAlign w:val="bottom"/>
            <w:hideMark/>
          </w:tcPr>
          <w:p w14:paraId="586B7780"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2DD45D91"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570FF7A1" w14:textId="77777777" w:rsidTr="00BE6461">
        <w:trPr>
          <w:trHeight w:val="300"/>
        </w:trPr>
        <w:tc>
          <w:tcPr>
            <w:tcW w:w="1703" w:type="dxa"/>
            <w:tcBorders>
              <w:top w:val="nil"/>
              <w:left w:val="nil"/>
              <w:bottom w:val="nil"/>
              <w:right w:val="nil"/>
            </w:tcBorders>
            <w:shd w:val="clear" w:color="auto" w:fill="auto"/>
            <w:noWrap/>
            <w:vAlign w:val="bottom"/>
            <w:hideMark/>
          </w:tcPr>
          <w:p w14:paraId="3C626CEA" w14:textId="77777777" w:rsidR="00BE6461" w:rsidRPr="00BE6461" w:rsidRDefault="00BE6461" w:rsidP="00BE6461">
            <w:pPr>
              <w:rPr>
                <w:sz w:val="20"/>
                <w:szCs w:val="20"/>
              </w:rPr>
            </w:pPr>
            <w:r w:rsidRPr="00BE6461">
              <w:rPr>
                <w:sz w:val="20"/>
                <w:szCs w:val="20"/>
              </w:rPr>
              <w:lastRenderedPageBreak/>
              <w:t>3523</w:t>
            </w:r>
          </w:p>
        </w:tc>
        <w:tc>
          <w:tcPr>
            <w:tcW w:w="8457" w:type="dxa"/>
            <w:tcBorders>
              <w:top w:val="nil"/>
              <w:left w:val="nil"/>
              <w:bottom w:val="nil"/>
              <w:right w:val="nil"/>
            </w:tcBorders>
            <w:shd w:val="clear" w:color="auto" w:fill="auto"/>
            <w:vAlign w:val="bottom"/>
            <w:hideMark/>
          </w:tcPr>
          <w:p w14:paraId="26F92B45" w14:textId="77777777" w:rsidR="00BE6461" w:rsidRPr="00BE6461" w:rsidRDefault="00BE6461" w:rsidP="00BE6461">
            <w:pPr>
              <w:rPr>
                <w:sz w:val="20"/>
                <w:szCs w:val="20"/>
              </w:rPr>
            </w:pPr>
            <w:r w:rsidRPr="00BE6461">
              <w:rPr>
                <w:sz w:val="20"/>
                <w:szCs w:val="20"/>
              </w:rPr>
              <w:t xml:space="preserve">Subvencije poljoprivrednicima i obrtnicima                                                          </w:t>
            </w:r>
          </w:p>
        </w:tc>
        <w:tc>
          <w:tcPr>
            <w:tcW w:w="1503" w:type="dxa"/>
            <w:tcBorders>
              <w:top w:val="nil"/>
              <w:left w:val="nil"/>
              <w:bottom w:val="nil"/>
              <w:right w:val="nil"/>
            </w:tcBorders>
            <w:shd w:val="clear" w:color="auto" w:fill="auto"/>
            <w:noWrap/>
            <w:vAlign w:val="bottom"/>
            <w:hideMark/>
          </w:tcPr>
          <w:p w14:paraId="3FFDBCE0"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443A9CE"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32D601CE" w14:textId="77777777" w:rsidR="00BE6461" w:rsidRPr="00BE6461" w:rsidRDefault="00BE6461" w:rsidP="00BE6461">
            <w:pPr>
              <w:jc w:val="right"/>
              <w:rPr>
                <w:sz w:val="20"/>
                <w:szCs w:val="20"/>
              </w:rPr>
            </w:pPr>
          </w:p>
        </w:tc>
      </w:tr>
      <w:tr w:rsidR="00BE6461" w:rsidRPr="00BE6461" w14:paraId="1161B835" w14:textId="77777777" w:rsidTr="00BE6461">
        <w:trPr>
          <w:trHeight w:val="300"/>
        </w:trPr>
        <w:tc>
          <w:tcPr>
            <w:tcW w:w="1703" w:type="dxa"/>
            <w:tcBorders>
              <w:top w:val="nil"/>
              <w:left w:val="nil"/>
              <w:bottom w:val="nil"/>
              <w:right w:val="nil"/>
            </w:tcBorders>
            <w:shd w:val="clear" w:color="auto" w:fill="auto"/>
            <w:noWrap/>
            <w:vAlign w:val="bottom"/>
            <w:hideMark/>
          </w:tcPr>
          <w:p w14:paraId="1A9BB362" w14:textId="77777777" w:rsidR="00BE6461" w:rsidRPr="00BE6461" w:rsidRDefault="00BE6461" w:rsidP="00BE6461">
            <w:pPr>
              <w:rPr>
                <w:b/>
                <w:bCs/>
                <w:sz w:val="20"/>
                <w:szCs w:val="20"/>
              </w:rPr>
            </w:pPr>
            <w:r w:rsidRPr="00BE6461">
              <w:rPr>
                <w:b/>
                <w:bCs/>
                <w:sz w:val="20"/>
                <w:szCs w:val="20"/>
              </w:rPr>
              <w:t>366</w:t>
            </w:r>
          </w:p>
        </w:tc>
        <w:tc>
          <w:tcPr>
            <w:tcW w:w="8457" w:type="dxa"/>
            <w:tcBorders>
              <w:top w:val="nil"/>
              <w:left w:val="nil"/>
              <w:bottom w:val="nil"/>
              <w:right w:val="nil"/>
            </w:tcBorders>
            <w:shd w:val="clear" w:color="auto" w:fill="auto"/>
            <w:vAlign w:val="bottom"/>
            <w:hideMark/>
          </w:tcPr>
          <w:p w14:paraId="623D6C8C" w14:textId="77777777" w:rsidR="00BE6461" w:rsidRPr="00BE6461" w:rsidRDefault="00BE6461" w:rsidP="00BE6461">
            <w:pPr>
              <w:rPr>
                <w:b/>
                <w:bCs/>
                <w:sz w:val="20"/>
                <w:szCs w:val="20"/>
              </w:rPr>
            </w:pPr>
            <w:r w:rsidRPr="00BE6461">
              <w:rPr>
                <w:b/>
                <w:bCs/>
                <w:sz w:val="20"/>
                <w:szCs w:val="20"/>
              </w:rPr>
              <w:t>Pomoći proračunskim korisnicima drugih proračuna</w:t>
            </w:r>
          </w:p>
        </w:tc>
        <w:tc>
          <w:tcPr>
            <w:tcW w:w="1503" w:type="dxa"/>
            <w:tcBorders>
              <w:top w:val="nil"/>
              <w:left w:val="nil"/>
              <w:bottom w:val="nil"/>
              <w:right w:val="nil"/>
            </w:tcBorders>
            <w:shd w:val="clear" w:color="auto" w:fill="auto"/>
            <w:noWrap/>
            <w:vAlign w:val="bottom"/>
            <w:hideMark/>
          </w:tcPr>
          <w:p w14:paraId="697A2EAB" w14:textId="77777777" w:rsidR="00BE6461" w:rsidRPr="00BE6461" w:rsidRDefault="00BE6461" w:rsidP="00BE6461">
            <w:pPr>
              <w:jc w:val="right"/>
              <w:rPr>
                <w:b/>
                <w:bCs/>
                <w:sz w:val="20"/>
                <w:szCs w:val="20"/>
              </w:rPr>
            </w:pPr>
            <w:r w:rsidRPr="00BE6461">
              <w:rPr>
                <w:b/>
                <w:bCs/>
                <w:sz w:val="20"/>
                <w:szCs w:val="20"/>
              </w:rPr>
              <w:t>15.000,00</w:t>
            </w:r>
          </w:p>
        </w:tc>
        <w:tc>
          <w:tcPr>
            <w:tcW w:w="1500" w:type="dxa"/>
            <w:tcBorders>
              <w:top w:val="nil"/>
              <w:left w:val="nil"/>
              <w:bottom w:val="nil"/>
              <w:right w:val="nil"/>
            </w:tcBorders>
            <w:shd w:val="clear" w:color="auto" w:fill="auto"/>
            <w:noWrap/>
            <w:vAlign w:val="bottom"/>
            <w:hideMark/>
          </w:tcPr>
          <w:p w14:paraId="0F5D40F9" w14:textId="77777777" w:rsidR="00BE6461" w:rsidRPr="00BE6461" w:rsidRDefault="00BE6461" w:rsidP="00BE6461">
            <w:pPr>
              <w:jc w:val="right"/>
              <w:rPr>
                <w:b/>
                <w:bCs/>
                <w:sz w:val="20"/>
                <w:szCs w:val="20"/>
              </w:rPr>
            </w:pPr>
            <w:r w:rsidRPr="00BE6461">
              <w:rPr>
                <w:b/>
                <w:bCs/>
                <w:sz w:val="20"/>
                <w:szCs w:val="20"/>
              </w:rPr>
              <w:t>15.000,00</w:t>
            </w:r>
          </w:p>
        </w:tc>
        <w:tc>
          <w:tcPr>
            <w:tcW w:w="1100" w:type="dxa"/>
            <w:tcBorders>
              <w:top w:val="nil"/>
              <w:left w:val="nil"/>
              <w:bottom w:val="nil"/>
              <w:right w:val="nil"/>
            </w:tcBorders>
            <w:shd w:val="clear" w:color="auto" w:fill="auto"/>
            <w:noWrap/>
            <w:vAlign w:val="bottom"/>
            <w:hideMark/>
          </w:tcPr>
          <w:p w14:paraId="079244B0"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4F9BE2B9" w14:textId="77777777" w:rsidTr="00BE6461">
        <w:trPr>
          <w:trHeight w:val="300"/>
        </w:trPr>
        <w:tc>
          <w:tcPr>
            <w:tcW w:w="1703" w:type="dxa"/>
            <w:tcBorders>
              <w:top w:val="nil"/>
              <w:left w:val="nil"/>
              <w:bottom w:val="nil"/>
              <w:right w:val="nil"/>
            </w:tcBorders>
            <w:shd w:val="clear" w:color="auto" w:fill="auto"/>
            <w:noWrap/>
            <w:vAlign w:val="bottom"/>
            <w:hideMark/>
          </w:tcPr>
          <w:p w14:paraId="6CE4796E" w14:textId="77777777" w:rsidR="00BE6461" w:rsidRPr="00BE6461" w:rsidRDefault="00BE6461" w:rsidP="00BE6461">
            <w:pPr>
              <w:rPr>
                <w:sz w:val="20"/>
                <w:szCs w:val="20"/>
              </w:rPr>
            </w:pPr>
            <w:r w:rsidRPr="00BE6461">
              <w:rPr>
                <w:sz w:val="20"/>
                <w:szCs w:val="20"/>
              </w:rPr>
              <w:t>3661</w:t>
            </w:r>
          </w:p>
        </w:tc>
        <w:tc>
          <w:tcPr>
            <w:tcW w:w="8457" w:type="dxa"/>
            <w:tcBorders>
              <w:top w:val="nil"/>
              <w:left w:val="nil"/>
              <w:bottom w:val="nil"/>
              <w:right w:val="nil"/>
            </w:tcBorders>
            <w:shd w:val="clear" w:color="auto" w:fill="auto"/>
            <w:vAlign w:val="bottom"/>
            <w:hideMark/>
          </w:tcPr>
          <w:p w14:paraId="1413694C" w14:textId="77777777" w:rsidR="00BE6461" w:rsidRPr="00BE6461" w:rsidRDefault="00BE6461" w:rsidP="00BE6461">
            <w:pPr>
              <w:rPr>
                <w:sz w:val="20"/>
                <w:szCs w:val="20"/>
              </w:rPr>
            </w:pPr>
            <w:r w:rsidRPr="00BE6461">
              <w:rPr>
                <w:sz w:val="20"/>
                <w:szCs w:val="20"/>
              </w:rPr>
              <w:t>Tekuće pomoći proračunskim korisnicima drugih proračuna</w:t>
            </w:r>
          </w:p>
        </w:tc>
        <w:tc>
          <w:tcPr>
            <w:tcW w:w="1503" w:type="dxa"/>
            <w:tcBorders>
              <w:top w:val="nil"/>
              <w:left w:val="nil"/>
              <w:bottom w:val="nil"/>
              <w:right w:val="nil"/>
            </w:tcBorders>
            <w:shd w:val="clear" w:color="auto" w:fill="auto"/>
            <w:noWrap/>
            <w:vAlign w:val="bottom"/>
            <w:hideMark/>
          </w:tcPr>
          <w:p w14:paraId="47BB57A9"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91EBA12" w14:textId="77777777" w:rsidR="00BE6461" w:rsidRPr="00BE6461" w:rsidRDefault="00BE6461" w:rsidP="00BE6461">
            <w:pPr>
              <w:jc w:val="right"/>
              <w:rPr>
                <w:sz w:val="20"/>
                <w:szCs w:val="20"/>
              </w:rPr>
            </w:pPr>
            <w:r w:rsidRPr="00BE6461">
              <w:rPr>
                <w:sz w:val="20"/>
                <w:szCs w:val="20"/>
              </w:rPr>
              <w:t>15.000,00</w:t>
            </w:r>
          </w:p>
        </w:tc>
        <w:tc>
          <w:tcPr>
            <w:tcW w:w="1100" w:type="dxa"/>
            <w:tcBorders>
              <w:top w:val="nil"/>
              <w:left w:val="nil"/>
              <w:bottom w:val="nil"/>
              <w:right w:val="nil"/>
            </w:tcBorders>
            <w:shd w:val="clear" w:color="auto" w:fill="auto"/>
            <w:noWrap/>
            <w:vAlign w:val="bottom"/>
            <w:hideMark/>
          </w:tcPr>
          <w:p w14:paraId="2AD52FEA" w14:textId="77777777" w:rsidR="00BE6461" w:rsidRPr="00BE6461" w:rsidRDefault="00BE6461" w:rsidP="00BE6461">
            <w:pPr>
              <w:jc w:val="right"/>
              <w:rPr>
                <w:sz w:val="20"/>
                <w:szCs w:val="20"/>
              </w:rPr>
            </w:pPr>
          </w:p>
        </w:tc>
      </w:tr>
      <w:tr w:rsidR="00BE6461" w:rsidRPr="00BE6461" w14:paraId="72B74A65"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2A55AE52" w14:textId="77777777" w:rsidR="00BE6461" w:rsidRPr="00BE6461" w:rsidRDefault="00BE6461" w:rsidP="00BE6461">
            <w:pPr>
              <w:rPr>
                <w:b/>
                <w:bCs/>
                <w:sz w:val="20"/>
                <w:szCs w:val="20"/>
              </w:rPr>
            </w:pPr>
            <w:r w:rsidRPr="00BE6461">
              <w:rPr>
                <w:b/>
                <w:bCs/>
                <w:sz w:val="20"/>
                <w:szCs w:val="20"/>
              </w:rPr>
              <w:t>A100063</w:t>
            </w:r>
          </w:p>
        </w:tc>
        <w:tc>
          <w:tcPr>
            <w:tcW w:w="8457" w:type="dxa"/>
            <w:tcBorders>
              <w:top w:val="single" w:sz="4" w:space="0" w:color="auto"/>
              <w:left w:val="nil"/>
              <w:bottom w:val="single" w:sz="4" w:space="0" w:color="auto"/>
              <w:right w:val="nil"/>
            </w:tcBorders>
            <w:shd w:val="clear" w:color="auto" w:fill="auto"/>
            <w:vAlign w:val="bottom"/>
            <w:hideMark/>
          </w:tcPr>
          <w:p w14:paraId="340D54D5" w14:textId="77777777" w:rsidR="00BE6461" w:rsidRPr="00BE6461" w:rsidRDefault="00BE6461" w:rsidP="00BE6461">
            <w:pPr>
              <w:rPr>
                <w:b/>
                <w:bCs/>
                <w:sz w:val="20"/>
                <w:szCs w:val="20"/>
              </w:rPr>
            </w:pPr>
            <w:r w:rsidRPr="00BE6461">
              <w:rPr>
                <w:b/>
                <w:bCs/>
                <w:sz w:val="20"/>
                <w:szCs w:val="20"/>
              </w:rPr>
              <w:t>Aktivnost: VALORIZACIJA BUJSKE MALVAZIJE</w:t>
            </w:r>
          </w:p>
        </w:tc>
        <w:tc>
          <w:tcPr>
            <w:tcW w:w="1503" w:type="dxa"/>
            <w:tcBorders>
              <w:top w:val="single" w:sz="4" w:space="0" w:color="auto"/>
              <w:left w:val="nil"/>
              <w:bottom w:val="single" w:sz="4" w:space="0" w:color="auto"/>
              <w:right w:val="nil"/>
            </w:tcBorders>
            <w:shd w:val="clear" w:color="auto" w:fill="auto"/>
            <w:noWrap/>
            <w:vAlign w:val="bottom"/>
            <w:hideMark/>
          </w:tcPr>
          <w:p w14:paraId="7E7C4F6F" w14:textId="77777777" w:rsidR="00BE6461" w:rsidRPr="00BE6461" w:rsidRDefault="00BE6461" w:rsidP="00BE6461">
            <w:pPr>
              <w:jc w:val="right"/>
              <w:rPr>
                <w:b/>
                <w:bCs/>
                <w:sz w:val="20"/>
                <w:szCs w:val="20"/>
              </w:rPr>
            </w:pPr>
            <w:r w:rsidRPr="00BE6461">
              <w:rPr>
                <w:b/>
                <w:bCs/>
                <w:sz w:val="20"/>
                <w:szCs w:val="20"/>
              </w:rPr>
              <w:t>35.000,00</w:t>
            </w:r>
          </w:p>
        </w:tc>
        <w:tc>
          <w:tcPr>
            <w:tcW w:w="1500" w:type="dxa"/>
            <w:tcBorders>
              <w:top w:val="single" w:sz="4" w:space="0" w:color="auto"/>
              <w:left w:val="nil"/>
              <w:bottom w:val="single" w:sz="4" w:space="0" w:color="auto"/>
              <w:right w:val="nil"/>
            </w:tcBorders>
            <w:shd w:val="clear" w:color="auto" w:fill="auto"/>
            <w:noWrap/>
            <w:vAlign w:val="bottom"/>
            <w:hideMark/>
          </w:tcPr>
          <w:p w14:paraId="02005049" w14:textId="77777777" w:rsidR="00BE6461" w:rsidRPr="00BE6461" w:rsidRDefault="00BE6461" w:rsidP="00BE6461">
            <w:pPr>
              <w:jc w:val="right"/>
              <w:rPr>
                <w:b/>
                <w:bCs/>
                <w:sz w:val="20"/>
                <w:szCs w:val="20"/>
              </w:rPr>
            </w:pPr>
            <w:r w:rsidRPr="00BE6461">
              <w:rPr>
                <w:b/>
                <w:bCs/>
                <w:sz w:val="20"/>
                <w:szCs w:val="20"/>
              </w:rPr>
              <w:t>35.000,00</w:t>
            </w:r>
          </w:p>
        </w:tc>
        <w:tc>
          <w:tcPr>
            <w:tcW w:w="1100" w:type="dxa"/>
            <w:tcBorders>
              <w:top w:val="single" w:sz="4" w:space="0" w:color="auto"/>
              <w:left w:val="nil"/>
              <w:bottom w:val="single" w:sz="4" w:space="0" w:color="auto"/>
              <w:right w:val="nil"/>
            </w:tcBorders>
            <w:shd w:val="clear" w:color="auto" w:fill="auto"/>
            <w:noWrap/>
            <w:vAlign w:val="bottom"/>
            <w:hideMark/>
          </w:tcPr>
          <w:p w14:paraId="6114B6D7"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5D68A298"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CADF1EF"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382757BC" w14:textId="77777777" w:rsidR="00BE6461" w:rsidRPr="00BE6461" w:rsidRDefault="00BE6461" w:rsidP="00BE6461">
            <w:pPr>
              <w:jc w:val="right"/>
              <w:rPr>
                <w:b/>
                <w:bCs/>
                <w:color w:val="333333"/>
                <w:sz w:val="20"/>
                <w:szCs w:val="20"/>
              </w:rPr>
            </w:pPr>
            <w:r w:rsidRPr="00BE6461">
              <w:rPr>
                <w:b/>
                <w:bCs/>
                <w:color w:val="333333"/>
                <w:sz w:val="20"/>
                <w:szCs w:val="20"/>
              </w:rPr>
              <w:t>35.000,00</w:t>
            </w:r>
          </w:p>
        </w:tc>
        <w:tc>
          <w:tcPr>
            <w:tcW w:w="1500" w:type="dxa"/>
            <w:tcBorders>
              <w:top w:val="nil"/>
              <w:left w:val="nil"/>
              <w:bottom w:val="nil"/>
              <w:right w:val="nil"/>
            </w:tcBorders>
            <w:shd w:val="clear" w:color="auto" w:fill="auto"/>
            <w:noWrap/>
            <w:vAlign w:val="bottom"/>
            <w:hideMark/>
          </w:tcPr>
          <w:p w14:paraId="585D8F27" w14:textId="77777777" w:rsidR="00BE6461" w:rsidRPr="00BE6461" w:rsidRDefault="00BE6461" w:rsidP="00BE6461">
            <w:pPr>
              <w:jc w:val="right"/>
              <w:rPr>
                <w:b/>
                <w:bCs/>
                <w:color w:val="333333"/>
                <w:sz w:val="20"/>
                <w:szCs w:val="20"/>
              </w:rPr>
            </w:pPr>
            <w:r w:rsidRPr="00BE6461">
              <w:rPr>
                <w:b/>
                <w:bCs/>
                <w:color w:val="333333"/>
                <w:sz w:val="20"/>
                <w:szCs w:val="20"/>
              </w:rPr>
              <w:t>35.000,00</w:t>
            </w:r>
          </w:p>
        </w:tc>
        <w:tc>
          <w:tcPr>
            <w:tcW w:w="1100" w:type="dxa"/>
            <w:tcBorders>
              <w:top w:val="nil"/>
              <w:left w:val="nil"/>
              <w:bottom w:val="nil"/>
              <w:right w:val="nil"/>
            </w:tcBorders>
            <w:shd w:val="clear" w:color="auto" w:fill="auto"/>
            <w:noWrap/>
            <w:vAlign w:val="bottom"/>
            <w:hideMark/>
          </w:tcPr>
          <w:p w14:paraId="1849AC6D"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4C2614CE"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232889F" w14:textId="77777777" w:rsidR="00BE6461" w:rsidRPr="00BE6461" w:rsidRDefault="00BE6461" w:rsidP="00BE6461">
            <w:pPr>
              <w:rPr>
                <w:b/>
                <w:bCs/>
                <w:color w:val="333333"/>
                <w:sz w:val="20"/>
                <w:szCs w:val="20"/>
              </w:rPr>
            </w:pPr>
            <w:r w:rsidRPr="00BE6461">
              <w:rPr>
                <w:b/>
                <w:bCs/>
                <w:color w:val="333333"/>
                <w:sz w:val="20"/>
                <w:szCs w:val="20"/>
              </w:rPr>
              <w:t>Izvor 4.5. PRIHODI POSEBNE NAMJENE - POLJOPRIVREDNO ZEMLJIŠTE RH</w:t>
            </w:r>
          </w:p>
        </w:tc>
        <w:tc>
          <w:tcPr>
            <w:tcW w:w="1503" w:type="dxa"/>
            <w:tcBorders>
              <w:top w:val="nil"/>
              <w:left w:val="nil"/>
              <w:bottom w:val="nil"/>
              <w:right w:val="nil"/>
            </w:tcBorders>
            <w:shd w:val="clear" w:color="auto" w:fill="auto"/>
            <w:noWrap/>
            <w:vAlign w:val="bottom"/>
            <w:hideMark/>
          </w:tcPr>
          <w:p w14:paraId="37B008B7" w14:textId="77777777" w:rsidR="00BE6461" w:rsidRPr="00BE6461" w:rsidRDefault="00BE6461" w:rsidP="00BE6461">
            <w:pPr>
              <w:jc w:val="right"/>
              <w:rPr>
                <w:b/>
                <w:bCs/>
                <w:color w:val="333333"/>
                <w:sz w:val="20"/>
                <w:szCs w:val="20"/>
              </w:rPr>
            </w:pPr>
            <w:r w:rsidRPr="00BE6461">
              <w:rPr>
                <w:b/>
                <w:bCs/>
                <w:color w:val="333333"/>
                <w:sz w:val="20"/>
                <w:szCs w:val="20"/>
              </w:rPr>
              <w:t>35.000,00</w:t>
            </w:r>
          </w:p>
        </w:tc>
        <w:tc>
          <w:tcPr>
            <w:tcW w:w="1500" w:type="dxa"/>
            <w:tcBorders>
              <w:top w:val="nil"/>
              <w:left w:val="nil"/>
              <w:bottom w:val="nil"/>
              <w:right w:val="nil"/>
            </w:tcBorders>
            <w:shd w:val="clear" w:color="auto" w:fill="auto"/>
            <w:noWrap/>
            <w:vAlign w:val="bottom"/>
            <w:hideMark/>
          </w:tcPr>
          <w:p w14:paraId="774B1CDC" w14:textId="77777777" w:rsidR="00BE6461" w:rsidRPr="00BE6461" w:rsidRDefault="00BE6461" w:rsidP="00BE6461">
            <w:pPr>
              <w:jc w:val="right"/>
              <w:rPr>
                <w:b/>
                <w:bCs/>
                <w:color w:val="333333"/>
                <w:sz w:val="20"/>
                <w:szCs w:val="20"/>
              </w:rPr>
            </w:pPr>
            <w:r w:rsidRPr="00BE6461">
              <w:rPr>
                <w:b/>
                <w:bCs/>
                <w:color w:val="333333"/>
                <w:sz w:val="20"/>
                <w:szCs w:val="20"/>
              </w:rPr>
              <w:t>35.000,00</w:t>
            </w:r>
          </w:p>
        </w:tc>
        <w:tc>
          <w:tcPr>
            <w:tcW w:w="1100" w:type="dxa"/>
            <w:tcBorders>
              <w:top w:val="nil"/>
              <w:left w:val="nil"/>
              <w:bottom w:val="nil"/>
              <w:right w:val="nil"/>
            </w:tcBorders>
            <w:shd w:val="clear" w:color="auto" w:fill="auto"/>
            <w:noWrap/>
            <w:vAlign w:val="bottom"/>
            <w:hideMark/>
          </w:tcPr>
          <w:p w14:paraId="179F0F99"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3DC3BF33" w14:textId="77777777" w:rsidTr="00BE6461">
        <w:trPr>
          <w:trHeight w:val="300"/>
        </w:trPr>
        <w:tc>
          <w:tcPr>
            <w:tcW w:w="1703" w:type="dxa"/>
            <w:tcBorders>
              <w:top w:val="nil"/>
              <w:left w:val="nil"/>
              <w:bottom w:val="nil"/>
              <w:right w:val="nil"/>
            </w:tcBorders>
            <w:shd w:val="clear" w:color="auto" w:fill="auto"/>
            <w:noWrap/>
            <w:vAlign w:val="bottom"/>
            <w:hideMark/>
          </w:tcPr>
          <w:p w14:paraId="6BF913D3" w14:textId="77777777" w:rsidR="00BE6461" w:rsidRPr="00BE6461" w:rsidRDefault="00BE6461" w:rsidP="00BE6461">
            <w:pPr>
              <w:rPr>
                <w:b/>
                <w:bCs/>
                <w:sz w:val="20"/>
                <w:szCs w:val="20"/>
              </w:rPr>
            </w:pPr>
            <w:r w:rsidRPr="00BE6461">
              <w:rPr>
                <w:b/>
                <w:bCs/>
                <w:sz w:val="20"/>
                <w:szCs w:val="20"/>
              </w:rPr>
              <w:t>381</w:t>
            </w:r>
          </w:p>
        </w:tc>
        <w:tc>
          <w:tcPr>
            <w:tcW w:w="8457" w:type="dxa"/>
            <w:tcBorders>
              <w:top w:val="nil"/>
              <w:left w:val="nil"/>
              <w:bottom w:val="nil"/>
              <w:right w:val="nil"/>
            </w:tcBorders>
            <w:shd w:val="clear" w:color="auto" w:fill="auto"/>
            <w:vAlign w:val="bottom"/>
            <w:hideMark/>
          </w:tcPr>
          <w:p w14:paraId="4D7A828F" w14:textId="77777777" w:rsidR="00BE6461" w:rsidRPr="00BE6461" w:rsidRDefault="00BE6461" w:rsidP="00BE6461">
            <w:pPr>
              <w:rPr>
                <w:b/>
                <w:bCs/>
                <w:sz w:val="20"/>
                <w:szCs w:val="20"/>
              </w:rPr>
            </w:pPr>
            <w:r w:rsidRPr="00BE6461">
              <w:rPr>
                <w:b/>
                <w:bCs/>
                <w:sz w:val="20"/>
                <w:szCs w:val="20"/>
              </w:rPr>
              <w:t xml:space="preserve">Tekuće donacije                                                                                     </w:t>
            </w:r>
          </w:p>
        </w:tc>
        <w:tc>
          <w:tcPr>
            <w:tcW w:w="1503" w:type="dxa"/>
            <w:tcBorders>
              <w:top w:val="nil"/>
              <w:left w:val="nil"/>
              <w:bottom w:val="nil"/>
              <w:right w:val="nil"/>
            </w:tcBorders>
            <w:shd w:val="clear" w:color="auto" w:fill="auto"/>
            <w:noWrap/>
            <w:vAlign w:val="bottom"/>
            <w:hideMark/>
          </w:tcPr>
          <w:p w14:paraId="6FEF79FE" w14:textId="77777777" w:rsidR="00BE6461" w:rsidRPr="00BE6461" w:rsidRDefault="00BE6461" w:rsidP="00BE6461">
            <w:pPr>
              <w:jc w:val="right"/>
              <w:rPr>
                <w:b/>
                <w:bCs/>
                <w:sz w:val="20"/>
                <w:szCs w:val="20"/>
              </w:rPr>
            </w:pPr>
            <w:r w:rsidRPr="00BE6461">
              <w:rPr>
                <w:b/>
                <w:bCs/>
                <w:sz w:val="20"/>
                <w:szCs w:val="20"/>
              </w:rPr>
              <w:t>35.000,00</w:t>
            </w:r>
          </w:p>
        </w:tc>
        <w:tc>
          <w:tcPr>
            <w:tcW w:w="1500" w:type="dxa"/>
            <w:tcBorders>
              <w:top w:val="nil"/>
              <w:left w:val="nil"/>
              <w:bottom w:val="nil"/>
              <w:right w:val="nil"/>
            </w:tcBorders>
            <w:shd w:val="clear" w:color="auto" w:fill="auto"/>
            <w:noWrap/>
            <w:vAlign w:val="bottom"/>
            <w:hideMark/>
          </w:tcPr>
          <w:p w14:paraId="51280181" w14:textId="77777777" w:rsidR="00BE6461" w:rsidRPr="00BE6461" w:rsidRDefault="00BE6461" w:rsidP="00BE6461">
            <w:pPr>
              <w:jc w:val="right"/>
              <w:rPr>
                <w:b/>
                <w:bCs/>
                <w:sz w:val="20"/>
                <w:szCs w:val="20"/>
              </w:rPr>
            </w:pPr>
            <w:r w:rsidRPr="00BE6461">
              <w:rPr>
                <w:b/>
                <w:bCs/>
                <w:sz w:val="20"/>
                <w:szCs w:val="20"/>
              </w:rPr>
              <w:t>35.000,00</w:t>
            </w:r>
          </w:p>
        </w:tc>
        <w:tc>
          <w:tcPr>
            <w:tcW w:w="1100" w:type="dxa"/>
            <w:tcBorders>
              <w:top w:val="nil"/>
              <w:left w:val="nil"/>
              <w:bottom w:val="nil"/>
              <w:right w:val="nil"/>
            </w:tcBorders>
            <w:shd w:val="clear" w:color="auto" w:fill="auto"/>
            <w:noWrap/>
            <w:vAlign w:val="bottom"/>
            <w:hideMark/>
          </w:tcPr>
          <w:p w14:paraId="06CE9200"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6369569A" w14:textId="77777777" w:rsidTr="00BE6461">
        <w:trPr>
          <w:trHeight w:val="300"/>
        </w:trPr>
        <w:tc>
          <w:tcPr>
            <w:tcW w:w="1703" w:type="dxa"/>
            <w:tcBorders>
              <w:top w:val="nil"/>
              <w:left w:val="nil"/>
              <w:bottom w:val="nil"/>
              <w:right w:val="nil"/>
            </w:tcBorders>
            <w:shd w:val="clear" w:color="auto" w:fill="auto"/>
            <w:noWrap/>
            <w:vAlign w:val="bottom"/>
            <w:hideMark/>
          </w:tcPr>
          <w:p w14:paraId="198AE005" w14:textId="77777777" w:rsidR="00BE6461" w:rsidRPr="00BE6461" w:rsidRDefault="00BE6461" w:rsidP="00BE6461">
            <w:pPr>
              <w:rPr>
                <w:sz w:val="20"/>
                <w:szCs w:val="20"/>
              </w:rPr>
            </w:pPr>
            <w:r w:rsidRPr="00BE6461">
              <w:rPr>
                <w:sz w:val="20"/>
                <w:szCs w:val="20"/>
              </w:rPr>
              <w:t>3811</w:t>
            </w:r>
          </w:p>
        </w:tc>
        <w:tc>
          <w:tcPr>
            <w:tcW w:w="8457" w:type="dxa"/>
            <w:tcBorders>
              <w:top w:val="nil"/>
              <w:left w:val="nil"/>
              <w:bottom w:val="nil"/>
              <w:right w:val="nil"/>
            </w:tcBorders>
            <w:shd w:val="clear" w:color="auto" w:fill="auto"/>
            <w:vAlign w:val="bottom"/>
            <w:hideMark/>
          </w:tcPr>
          <w:p w14:paraId="7FC0E725" w14:textId="77777777" w:rsidR="00BE6461" w:rsidRPr="00BE6461" w:rsidRDefault="00BE6461" w:rsidP="00BE6461">
            <w:pPr>
              <w:rPr>
                <w:sz w:val="20"/>
                <w:szCs w:val="20"/>
              </w:rPr>
            </w:pPr>
            <w:r w:rsidRPr="00BE6461">
              <w:rPr>
                <w:sz w:val="20"/>
                <w:szCs w:val="20"/>
              </w:rPr>
              <w:t xml:space="preserve">Tekuće donacije u novcu                                                                             </w:t>
            </w:r>
          </w:p>
        </w:tc>
        <w:tc>
          <w:tcPr>
            <w:tcW w:w="1503" w:type="dxa"/>
            <w:tcBorders>
              <w:top w:val="nil"/>
              <w:left w:val="nil"/>
              <w:bottom w:val="nil"/>
              <w:right w:val="nil"/>
            </w:tcBorders>
            <w:shd w:val="clear" w:color="auto" w:fill="auto"/>
            <w:noWrap/>
            <w:vAlign w:val="bottom"/>
            <w:hideMark/>
          </w:tcPr>
          <w:p w14:paraId="267073A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3116EDD" w14:textId="77777777" w:rsidR="00BE6461" w:rsidRPr="00BE6461" w:rsidRDefault="00BE6461" w:rsidP="00BE6461">
            <w:pPr>
              <w:jc w:val="right"/>
              <w:rPr>
                <w:sz w:val="20"/>
                <w:szCs w:val="20"/>
              </w:rPr>
            </w:pPr>
            <w:r w:rsidRPr="00BE6461">
              <w:rPr>
                <w:sz w:val="20"/>
                <w:szCs w:val="20"/>
              </w:rPr>
              <w:t>35.000,00</w:t>
            </w:r>
          </w:p>
        </w:tc>
        <w:tc>
          <w:tcPr>
            <w:tcW w:w="1100" w:type="dxa"/>
            <w:tcBorders>
              <w:top w:val="nil"/>
              <w:left w:val="nil"/>
              <w:bottom w:val="nil"/>
              <w:right w:val="nil"/>
            </w:tcBorders>
            <w:shd w:val="clear" w:color="auto" w:fill="auto"/>
            <w:noWrap/>
            <w:vAlign w:val="bottom"/>
            <w:hideMark/>
          </w:tcPr>
          <w:p w14:paraId="0ED6D9AC" w14:textId="77777777" w:rsidR="00BE6461" w:rsidRPr="00BE6461" w:rsidRDefault="00BE6461" w:rsidP="00BE6461">
            <w:pPr>
              <w:jc w:val="right"/>
              <w:rPr>
                <w:sz w:val="20"/>
                <w:szCs w:val="20"/>
              </w:rPr>
            </w:pPr>
          </w:p>
        </w:tc>
      </w:tr>
      <w:tr w:rsidR="00BE6461" w:rsidRPr="00BE6461" w14:paraId="09590DE6"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5B2C37D9" w14:textId="77777777" w:rsidR="00BE6461" w:rsidRPr="00BE6461" w:rsidRDefault="00BE6461" w:rsidP="00BE6461">
            <w:pPr>
              <w:rPr>
                <w:b/>
                <w:bCs/>
                <w:sz w:val="20"/>
                <w:szCs w:val="20"/>
              </w:rPr>
            </w:pPr>
            <w:r w:rsidRPr="00BE6461">
              <w:rPr>
                <w:b/>
                <w:bCs/>
                <w:sz w:val="20"/>
                <w:szCs w:val="20"/>
              </w:rPr>
              <w:t>A100094</w:t>
            </w:r>
          </w:p>
        </w:tc>
        <w:tc>
          <w:tcPr>
            <w:tcW w:w="8457" w:type="dxa"/>
            <w:tcBorders>
              <w:top w:val="single" w:sz="4" w:space="0" w:color="auto"/>
              <w:left w:val="nil"/>
              <w:bottom w:val="single" w:sz="4" w:space="0" w:color="auto"/>
              <w:right w:val="nil"/>
            </w:tcBorders>
            <w:shd w:val="clear" w:color="auto" w:fill="auto"/>
            <w:vAlign w:val="bottom"/>
            <w:hideMark/>
          </w:tcPr>
          <w:p w14:paraId="4A675ADF" w14:textId="77777777" w:rsidR="00BE6461" w:rsidRPr="00BE6461" w:rsidRDefault="00BE6461" w:rsidP="00BE6461">
            <w:pPr>
              <w:rPr>
                <w:b/>
                <w:bCs/>
                <w:sz w:val="20"/>
                <w:szCs w:val="20"/>
              </w:rPr>
            </w:pPr>
            <w:r w:rsidRPr="00BE6461">
              <w:rPr>
                <w:b/>
                <w:bCs/>
                <w:sz w:val="20"/>
                <w:szCs w:val="20"/>
              </w:rPr>
              <w:t>Aktivnost: RAZVOJ CIVILNOG DRUŠTVA</w:t>
            </w:r>
          </w:p>
        </w:tc>
        <w:tc>
          <w:tcPr>
            <w:tcW w:w="1503" w:type="dxa"/>
            <w:tcBorders>
              <w:top w:val="single" w:sz="4" w:space="0" w:color="auto"/>
              <w:left w:val="nil"/>
              <w:bottom w:val="single" w:sz="4" w:space="0" w:color="auto"/>
              <w:right w:val="nil"/>
            </w:tcBorders>
            <w:shd w:val="clear" w:color="auto" w:fill="auto"/>
            <w:noWrap/>
            <w:vAlign w:val="bottom"/>
            <w:hideMark/>
          </w:tcPr>
          <w:p w14:paraId="7A15EB15" w14:textId="77777777" w:rsidR="00BE6461" w:rsidRPr="00BE6461" w:rsidRDefault="00BE6461" w:rsidP="00BE6461">
            <w:pPr>
              <w:jc w:val="right"/>
              <w:rPr>
                <w:b/>
                <w:bCs/>
                <w:sz w:val="20"/>
                <w:szCs w:val="20"/>
              </w:rPr>
            </w:pPr>
            <w:r w:rsidRPr="00BE6461">
              <w:rPr>
                <w:b/>
                <w:bCs/>
                <w:sz w:val="20"/>
                <w:szCs w:val="20"/>
              </w:rPr>
              <w:t>33.700,00</w:t>
            </w:r>
          </w:p>
        </w:tc>
        <w:tc>
          <w:tcPr>
            <w:tcW w:w="1500" w:type="dxa"/>
            <w:tcBorders>
              <w:top w:val="single" w:sz="4" w:space="0" w:color="auto"/>
              <w:left w:val="nil"/>
              <w:bottom w:val="single" w:sz="4" w:space="0" w:color="auto"/>
              <w:right w:val="nil"/>
            </w:tcBorders>
            <w:shd w:val="clear" w:color="auto" w:fill="auto"/>
            <w:noWrap/>
            <w:vAlign w:val="bottom"/>
            <w:hideMark/>
          </w:tcPr>
          <w:p w14:paraId="35E88F2C" w14:textId="77777777" w:rsidR="00BE6461" w:rsidRPr="00BE6461" w:rsidRDefault="00BE6461" w:rsidP="00BE6461">
            <w:pPr>
              <w:jc w:val="right"/>
              <w:rPr>
                <w:b/>
                <w:bCs/>
                <w:sz w:val="20"/>
                <w:szCs w:val="20"/>
              </w:rPr>
            </w:pPr>
            <w:r w:rsidRPr="00BE6461">
              <w:rPr>
                <w:b/>
                <w:bCs/>
                <w:sz w:val="20"/>
                <w:szCs w:val="20"/>
              </w:rPr>
              <w:t>33.700,00</w:t>
            </w:r>
          </w:p>
        </w:tc>
        <w:tc>
          <w:tcPr>
            <w:tcW w:w="1100" w:type="dxa"/>
            <w:tcBorders>
              <w:top w:val="single" w:sz="4" w:space="0" w:color="auto"/>
              <w:left w:val="nil"/>
              <w:bottom w:val="single" w:sz="4" w:space="0" w:color="auto"/>
              <w:right w:val="nil"/>
            </w:tcBorders>
            <w:shd w:val="clear" w:color="auto" w:fill="auto"/>
            <w:noWrap/>
            <w:vAlign w:val="bottom"/>
            <w:hideMark/>
          </w:tcPr>
          <w:p w14:paraId="35C95F48"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0008C56D"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876E1A2"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43BADCB7" w14:textId="77777777" w:rsidR="00BE6461" w:rsidRPr="00BE6461" w:rsidRDefault="00BE6461" w:rsidP="00BE6461">
            <w:pPr>
              <w:jc w:val="right"/>
              <w:rPr>
                <w:b/>
                <w:bCs/>
                <w:color w:val="333333"/>
                <w:sz w:val="20"/>
                <w:szCs w:val="20"/>
              </w:rPr>
            </w:pPr>
            <w:r w:rsidRPr="00BE6461">
              <w:rPr>
                <w:b/>
                <w:bCs/>
                <w:color w:val="333333"/>
                <w:sz w:val="20"/>
                <w:szCs w:val="20"/>
              </w:rPr>
              <w:t>33.700,00</w:t>
            </w:r>
          </w:p>
        </w:tc>
        <w:tc>
          <w:tcPr>
            <w:tcW w:w="1500" w:type="dxa"/>
            <w:tcBorders>
              <w:top w:val="nil"/>
              <w:left w:val="nil"/>
              <w:bottom w:val="nil"/>
              <w:right w:val="nil"/>
            </w:tcBorders>
            <w:shd w:val="clear" w:color="auto" w:fill="auto"/>
            <w:noWrap/>
            <w:vAlign w:val="bottom"/>
            <w:hideMark/>
          </w:tcPr>
          <w:p w14:paraId="72B242A7" w14:textId="77777777" w:rsidR="00BE6461" w:rsidRPr="00BE6461" w:rsidRDefault="00BE6461" w:rsidP="00BE6461">
            <w:pPr>
              <w:jc w:val="right"/>
              <w:rPr>
                <w:b/>
                <w:bCs/>
                <w:color w:val="333333"/>
                <w:sz w:val="20"/>
                <w:szCs w:val="20"/>
              </w:rPr>
            </w:pPr>
            <w:r w:rsidRPr="00BE6461">
              <w:rPr>
                <w:b/>
                <w:bCs/>
                <w:color w:val="333333"/>
                <w:sz w:val="20"/>
                <w:szCs w:val="20"/>
              </w:rPr>
              <w:t>33.700,00</w:t>
            </w:r>
          </w:p>
        </w:tc>
        <w:tc>
          <w:tcPr>
            <w:tcW w:w="1100" w:type="dxa"/>
            <w:tcBorders>
              <w:top w:val="nil"/>
              <w:left w:val="nil"/>
              <w:bottom w:val="nil"/>
              <w:right w:val="nil"/>
            </w:tcBorders>
            <w:shd w:val="clear" w:color="auto" w:fill="auto"/>
            <w:noWrap/>
            <w:vAlign w:val="bottom"/>
            <w:hideMark/>
          </w:tcPr>
          <w:p w14:paraId="3BB3E945"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4AC48F5C"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B8A9367"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3E45C816" w14:textId="77777777" w:rsidR="00BE6461" w:rsidRPr="00BE6461" w:rsidRDefault="00BE6461" w:rsidP="00BE6461">
            <w:pPr>
              <w:jc w:val="right"/>
              <w:rPr>
                <w:b/>
                <w:bCs/>
                <w:color w:val="333333"/>
                <w:sz w:val="20"/>
                <w:szCs w:val="20"/>
              </w:rPr>
            </w:pPr>
            <w:r w:rsidRPr="00BE6461">
              <w:rPr>
                <w:b/>
                <w:bCs/>
                <w:color w:val="333333"/>
                <w:sz w:val="20"/>
                <w:szCs w:val="20"/>
              </w:rPr>
              <w:t>33.700,00</w:t>
            </w:r>
          </w:p>
        </w:tc>
        <w:tc>
          <w:tcPr>
            <w:tcW w:w="1500" w:type="dxa"/>
            <w:tcBorders>
              <w:top w:val="nil"/>
              <w:left w:val="nil"/>
              <w:bottom w:val="nil"/>
              <w:right w:val="nil"/>
            </w:tcBorders>
            <w:shd w:val="clear" w:color="auto" w:fill="auto"/>
            <w:noWrap/>
            <w:vAlign w:val="bottom"/>
            <w:hideMark/>
          </w:tcPr>
          <w:p w14:paraId="1619CA3D" w14:textId="77777777" w:rsidR="00BE6461" w:rsidRPr="00BE6461" w:rsidRDefault="00BE6461" w:rsidP="00BE6461">
            <w:pPr>
              <w:jc w:val="right"/>
              <w:rPr>
                <w:b/>
                <w:bCs/>
                <w:color w:val="333333"/>
                <w:sz w:val="20"/>
                <w:szCs w:val="20"/>
              </w:rPr>
            </w:pPr>
            <w:r w:rsidRPr="00BE6461">
              <w:rPr>
                <w:b/>
                <w:bCs/>
                <w:color w:val="333333"/>
                <w:sz w:val="20"/>
                <w:szCs w:val="20"/>
              </w:rPr>
              <w:t>33.700,00</w:t>
            </w:r>
          </w:p>
        </w:tc>
        <w:tc>
          <w:tcPr>
            <w:tcW w:w="1100" w:type="dxa"/>
            <w:tcBorders>
              <w:top w:val="nil"/>
              <w:left w:val="nil"/>
              <w:bottom w:val="nil"/>
              <w:right w:val="nil"/>
            </w:tcBorders>
            <w:shd w:val="clear" w:color="auto" w:fill="auto"/>
            <w:noWrap/>
            <w:vAlign w:val="bottom"/>
            <w:hideMark/>
          </w:tcPr>
          <w:p w14:paraId="76703C41"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193F85E3" w14:textId="77777777" w:rsidTr="00BE6461">
        <w:trPr>
          <w:trHeight w:val="300"/>
        </w:trPr>
        <w:tc>
          <w:tcPr>
            <w:tcW w:w="1703" w:type="dxa"/>
            <w:tcBorders>
              <w:top w:val="nil"/>
              <w:left w:val="nil"/>
              <w:bottom w:val="nil"/>
              <w:right w:val="nil"/>
            </w:tcBorders>
            <w:shd w:val="clear" w:color="auto" w:fill="auto"/>
            <w:noWrap/>
            <w:vAlign w:val="bottom"/>
            <w:hideMark/>
          </w:tcPr>
          <w:p w14:paraId="71BC9F1A"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6C308AC0"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1D47CD94" w14:textId="77777777" w:rsidR="00BE6461" w:rsidRPr="00BE6461" w:rsidRDefault="00BE6461" w:rsidP="00BE6461">
            <w:pPr>
              <w:jc w:val="right"/>
              <w:rPr>
                <w:b/>
                <w:bCs/>
                <w:sz w:val="20"/>
                <w:szCs w:val="20"/>
              </w:rPr>
            </w:pPr>
            <w:r w:rsidRPr="00BE6461">
              <w:rPr>
                <w:b/>
                <w:bCs/>
                <w:sz w:val="20"/>
                <w:szCs w:val="20"/>
              </w:rPr>
              <w:t>23.700,00</w:t>
            </w:r>
          </w:p>
        </w:tc>
        <w:tc>
          <w:tcPr>
            <w:tcW w:w="1500" w:type="dxa"/>
            <w:tcBorders>
              <w:top w:val="nil"/>
              <w:left w:val="nil"/>
              <w:bottom w:val="nil"/>
              <w:right w:val="nil"/>
            </w:tcBorders>
            <w:shd w:val="clear" w:color="auto" w:fill="auto"/>
            <w:noWrap/>
            <w:vAlign w:val="bottom"/>
            <w:hideMark/>
          </w:tcPr>
          <w:p w14:paraId="66A67AE8" w14:textId="77777777" w:rsidR="00BE6461" w:rsidRPr="00BE6461" w:rsidRDefault="00BE6461" w:rsidP="00BE6461">
            <w:pPr>
              <w:jc w:val="right"/>
              <w:rPr>
                <w:b/>
                <w:bCs/>
                <w:sz w:val="20"/>
                <w:szCs w:val="20"/>
              </w:rPr>
            </w:pPr>
            <w:r w:rsidRPr="00BE6461">
              <w:rPr>
                <w:b/>
                <w:bCs/>
                <w:sz w:val="20"/>
                <w:szCs w:val="20"/>
              </w:rPr>
              <w:t>23.700,00</w:t>
            </w:r>
          </w:p>
        </w:tc>
        <w:tc>
          <w:tcPr>
            <w:tcW w:w="1100" w:type="dxa"/>
            <w:tcBorders>
              <w:top w:val="nil"/>
              <w:left w:val="nil"/>
              <w:bottom w:val="nil"/>
              <w:right w:val="nil"/>
            </w:tcBorders>
            <w:shd w:val="clear" w:color="auto" w:fill="auto"/>
            <w:noWrap/>
            <w:vAlign w:val="bottom"/>
            <w:hideMark/>
          </w:tcPr>
          <w:p w14:paraId="1BC615D0"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38961524" w14:textId="77777777" w:rsidTr="00BE6461">
        <w:trPr>
          <w:trHeight w:val="300"/>
        </w:trPr>
        <w:tc>
          <w:tcPr>
            <w:tcW w:w="1703" w:type="dxa"/>
            <w:tcBorders>
              <w:top w:val="nil"/>
              <w:left w:val="nil"/>
              <w:bottom w:val="nil"/>
              <w:right w:val="nil"/>
            </w:tcBorders>
            <w:shd w:val="clear" w:color="auto" w:fill="auto"/>
            <w:noWrap/>
            <w:vAlign w:val="bottom"/>
            <w:hideMark/>
          </w:tcPr>
          <w:p w14:paraId="35000738"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5D21BA32"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71F0FB9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4F17BA5" w14:textId="77777777" w:rsidR="00BE6461" w:rsidRPr="00BE6461" w:rsidRDefault="00BE6461" w:rsidP="00BE6461">
            <w:pPr>
              <w:jc w:val="right"/>
              <w:rPr>
                <w:sz w:val="20"/>
                <w:szCs w:val="20"/>
              </w:rPr>
            </w:pPr>
            <w:r w:rsidRPr="00BE6461">
              <w:rPr>
                <w:sz w:val="20"/>
                <w:szCs w:val="20"/>
              </w:rPr>
              <w:t>23.700,00</w:t>
            </w:r>
          </w:p>
        </w:tc>
        <w:tc>
          <w:tcPr>
            <w:tcW w:w="1100" w:type="dxa"/>
            <w:tcBorders>
              <w:top w:val="nil"/>
              <w:left w:val="nil"/>
              <w:bottom w:val="nil"/>
              <w:right w:val="nil"/>
            </w:tcBorders>
            <w:shd w:val="clear" w:color="auto" w:fill="auto"/>
            <w:noWrap/>
            <w:vAlign w:val="bottom"/>
            <w:hideMark/>
          </w:tcPr>
          <w:p w14:paraId="7F213909" w14:textId="77777777" w:rsidR="00BE6461" w:rsidRPr="00BE6461" w:rsidRDefault="00BE6461" w:rsidP="00BE6461">
            <w:pPr>
              <w:jc w:val="right"/>
              <w:rPr>
                <w:sz w:val="20"/>
                <w:szCs w:val="20"/>
              </w:rPr>
            </w:pPr>
          </w:p>
        </w:tc>
      </w:tr>
      <w:tr w:rsidR="00BE6461" w:rsidRPr="00BE6461" w14:paraId="5FEEEFF4" w14:textId="77777777" w:rsidTr="00BE6461">
        <w:trPr>
          <w:trHeight w:val="300"/>
        </w:trPr>
        <w:tc>
          <w:tcPr>
            <w:tcW w:w="1703" w:type="dxa"/>
            <w:tcBorders>
              <w:top w:val="nil"/>
              <w:left w:val="nil"/>
              <w:bottom w:val="nil"/>
              <w:right w:val="nil"/>
            </w:tcBorders>
            <w:shd w:val="clear" w:color="auto" w:fill="auto"/>
            <w:noWrap/>
            <w:vAlign w:val="bottom"/>
            <w:hideMark/>
          </w:tcPr>
          <w:p w14:paraId="70B5DE1E" w14:textId="77777777" w:rsidR="00BE6461" w:rsidRPr="00BE6461" w:rsidRDefault="00BE6461" w:rsidP="00BE6461">
            <w:pPr>
              <w:rPr>
                <w:b/>
                <w:bCs/>
                <w:sz w:val="20"/>
                <w:szCs w:val="20"/>
              </w:rPr>
            </w:pPr>
            <w:r w:rsidRPr="00BE6461">
              <w:rPr>
                <w:b/>
                <w:bCs/>
                <w:sz w:val="20"/>
                <w:szCs w:val="20"/>
              </w:rPr>
              <w:t>381</w:t>
            </w:r>
          </w:p>
        </w:tc>
        <w:tc>
          <w:tcPr>
            <w:tcW w:w="8457" w:type="dxa"/>
            <w:tcBorders>
              <w:top w:val="nil"/>
              <w:left w:val="nil"/>
              <w:bottom w:val="nil"/>
              <w:right w:val="nil"/>
            </w:tcBorders>
            <w:shd w:val="clear" w:color="auto" w:fill="auto"/>
            <w:vAlign w:val="bottom"/>
            <w:hideMark/>
          </w:tcPr>
          <w:p w14:paraId="0C170F26" w14:textId="77777777" w:rsidR="00BE6461" w:rsidRPr="00BE6461" w:rsidRDefault="00BE6461" w:rsidP="00BE6461">
            <w:pPr>
              <w:rPr>
                <w:b/>
                <w:bCs/>
                <w:sz w:val="20"/>
                <w:szCs w:val="20"/>
              </w:rPr>
            </w:pPr>
            <w:r w:rsidRPr="00BE6461">
              <w:rPr>
                <w:b/>
                <w:bCs/>
                <w:sz w:val="20"/>
                <w:szCs w:val="20"/>
              </w:rPr>
              <w:t xml:space="preserve">Tekuće donacije                                                                                     </w:t>
            </w:r>
          </w:p>
        </w:tc>
        <w:tc>
          <w:tcPr>
            <w:tcW w:w="1503" w:type="dxa"/>
            <w:tcBorders>
              <w:top w:val="nil"/>
              <w:left w:val="nil"/>
              <w:bottom w:val="nil"/>
              <w:right w:val="nil"/>
            </w:tcBorders>
            <w:shd w:val="clear" w:color="auto" w:fill="auto"/>
            <w:noWrap/>
            <w:vAlign w:val="bottom"/>
            <w:hideMark/>
          </w:tcPr>
          <w:p w14:paraId="6BACEE28" w14:textId="77777777" w:rsidR="00BE6461" w:rsidRPr="00BE6461" w:rsidRDefault="00BE6461" w:rsidP="00BE6461">
            <w:pPr>
              <w:jc w:val="right"/>
              <w:rPr>
                <w:b/>
                <w:bCs/>
                <w:sz w:val="20"/>
                <w:szCs w:val="20"/>
              </w:rPr>
            </w:pPr>
            <w:r w:rsidRPr="00BE6461">
              <w:rPr>
                <w:b/>
                <w:bCs/>
                <w:sz w:val="20"/>
                <w:szCs w:val="20"/>
              </w:rPr>
              <w:t>10.000,00</w:t>
            </w:r>
          </w:p>
        </w:tc>
        <w:tc>
          <w:tcPr>
            <w:tcW w:w="1500" w:type="dxa"/>
            <w:tcBorders>
              <w:top w:val="nil"/>
              <w:left w:val="nil"/>
              <w:bottom w:val="nil"/>
              <w:right w:val="nil"/>
            </w:tcBorders>
            <w:shd w:val="clear" w:color="auto" w:fill="auto"/>
            <w:noWrap/>
            <w:vAlign w:val="bottom"/>
            <w:hideMark/>
          </w:tcPr>
          <w:p w14:paraId="64396E10" w14:textId="77777777" w:rsidR="00BE6461" w:rsidRPr="00BE6461" w:rsidRDefault="00BE6461" w:rsidP="00BE6461">
            <w:pPr>
              <w:jc w:val="right"/>
              <w:rPr>
                <w:b/>
                <w:bCs/>
                <w:sz w:val="20"/>
                <w:szCs w:val="20"/>
              </w:rPr>
            </w:pPr>
            <w:r w:rsidRPr="00BE6461">
              <w:rPr>
                <w:b/>
                <w:bCs/>
                <w:sz w:val="20"/>
                <w:szCs w:val="20"/>
              </w:rPr>
              <w:t>10.000,00</w:t>
            </w:r>
          </w:p>
        </w:tc>
        <w:tc>
          <w:tcPr>
            <w:tcW w:w="1100" w:type="dxa"/>
            <w:tcBorders>
              <w:top w:val="nil"/>
              <w:left w:val="nil"/>
              <w:bottom w:val="nil"/>
              <w:right w:val="nil"/>
            </w:tcBorders>
            <w:shd w:val="clear" w:color="auto" w:fill="auto"/>
            <w:noWrap/>
            <w:vAlign w:val="bottom"/>
            <w:hideMark/>
          </w:tcPr>
          <w:p w14:paraId="0A404DA2"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67DB447F" w14:textId="77777777" w:rsidTr="00BE6461">
        <w:trPr>
          <w:trHeight w:val="300"/>
        </w:trPr>
        <w:tc>
          <w:tcPr>
            <w:tcW w:w="1703" w:type="dxa"/>
            <w:tcBorders>
              <w:top w:val="nil"/>
              <w:left w:val="nil"/>
              <w:bottom w:val="nil"/>
              <w:right w:val="nil"/>
            </w:tcBorders>
            <w:shd w:val="clear" w:color="auto" w:fill="auto"/>
            <w:noWrap/>
            <w:vAlign w:val="bottom"/>
            <w:hideMark/>
          </w:tcPr>
          <w:p w14:paraId="6C785501" w14:textId="77777777" w:rsidR="00BE6461" w:rsidRPr="00BE6461" w:rsidRDefault="00BE6461" w:rsidP="00BE6461">
            <w:pPr>
              <w:rPr>
                <w:sz w:val="20"/>
                <w:szCs w:val="20"/>
              </w:rPr>
            </w:pPr>
            <w:r w:rsidRPr="00BE6461">
              <w:rPr>
                <w:sz w:val="20"/>
                <w:szCs w:val="20"/>
              </w:rPr>
              <w:t>3811</w:t>
            </w:r>
          </w:p>
        </w:tc>
        <w:tc>
          <w:tcPr>
            <w:tcW w:w="8457" w:type="dxa"/>
            <w:tcBorders>
              <w:top w:val="nil"/>
              <w:left w:val="nil"/>
              <w:bottom w:val="nil"/>
              <w:right w:val="nil"/>
            </w:tcBorders>
            <w:shd w:val="clear" w:color="auto" w:fill="auto"/>
            <w:vAlign w:val="bottom"/>
            <w:hideMark/>
          </w:tcPr>
          <w:p w14:paraId="5F6200BF" w14:textId="77777777" w:rsidR="00BE6461" w:rsidRPr="00BE6461" w:rsidRDefault="00BE6461" w:rsidP="00BE6461">
            <w:pPr>
              <w:rPr>
                <w:sz w:val="20"/>
                <w:szCs w:val="20"/>
              </w:rPr>
            </w:pPr>
            <w:r w:rsidRPr="00BE6461">
              <w:rPr>
                <w:sz w:val="20"/>
                <w:szCs w:val="20"/>
              </w:rPr>
              <w:t xml:space="preserve">Tekuće donacije u novcu                                                                             </w:t>
            </w:r>
          </w:p>
        </w:tc>
        <w:tc>
          <w:tcPr>
            <w:tcW w:w="1503" w:type="dxa"/>
            <w:tcBorders>
              <w:top w:val="nil"/>
              <w:left w:val="nil"/>
              <w:bottom w:val="nil"/>
              <w:right w:val="nil"/>
            </w:tcBorders>
            <w:shd w:val="clear" w:color="auto" w:fill="auto"/>
            <w:noWrap/>
            <w:vAlign w:val="bottom"/>
            <w:hideMark/>
          </w:tcPr>
          <w:p w14:paraId="4DC3831E"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089E6AB" w14:textId="77777777" w:rsidR="00BE6461" w:rsidRPr="00BE6461" w:rsidRDefault="00BE6461" w:rsidP="00BE6461">
            <w:pPr>
              <w:jc w:val="right"/>
              <w:rPr>
                <w:sz w:val="20"/>
                <w:szCs w:val="20"/>
              </w:rPr>
            </w:pPr>
            <w:r w:rsidRPr="00BE6461">
              <w:rPr>
                <w:sz w:val="20"/>
                <w:szCs w:val="20"/>
              </w:rPr>
              <w:t>10.000,00</w:t>
            </w:r>
          </w:p>
        </w:tc>
        <w:tc>
          <w:tcPr>
            <w:tcW w:w="1100" w:type="dxa"/>
            <w:tcBorders>
              <w:top w:val="nil"/>
              <w:left w:val="nil"/>
              <w:bottom w:val="nil"/>
              <w:right w:val="nil"/>
            </w:tcBorders>
            <w:shd w:val="clear" w:color="auto" w:fill="auto"/>
            <w:noWrap/>
            <w:vAlign w:val="bottom"/>
            <w:hideMark/>
          </w:tcPr>
          <w:p w14:paraId="256326FB" w14:textId="77777777" w:rsidR="00BE6461" w:rsidRPr="00BE6461" w:rsidRDefault="00BE6461" w:rsidP="00BE6461">
            <w:pPr>
              <w:jc w:val="right"/>
              <w:rPr>
                <w:sz w:val="20"/>
                <w:szCs w:val="20"/>
              </w:rPr>
            </w:pPr>
          </w:p>
        </w:tc>
      </w:tr>
      <w:tr w:rsidR="00BE6461" w:rsidRPr="00BE6461" w14:paraId="7F536F36" w14:textId="77777777" w:rsidTr="00BE6461">
        <w:trPr>
          <w:trHeight w:val="495"/>
        </w:trPr>
        <w:tc>
          <w:tcPr>
            <w:tcW w:w="10160" w:type="dxa"/>
            <w:gridSpan w:val="2"/>
            <w:tcBorders>
              <w:top w:val="single" w:sz="4" w:space="0" w:color="auto"/>
              <w:left w:val="nil"/>
              <w:bottom w:val="single" w:sz="4" w:space="0" w:color="auto"/>
              <w:right w:val="nil"/>
            </w:tcBorders>
            <w:shd w:val="clear" w:color="auto" w:fill="auto"/>
            <w:noWrap/>
            <w:vAlign w:val="bottom"/>
            <w:hideMark/>
          </w:tcPr>
          <w:p w14:paraId="61DFA9C1" w14:textId="77777777" w:rsidR="00BE6461" w:rsidRPr="00BE6461" w:rsidRDefault="00BE6461" w:rsidP="00BE6461">
            <w:pPr>
              <w:rPr>
                <w:b/>
                <w:bCs/>
                <w:sz w:val="20"/>
                <w:szCs w:val="20"/>
              </w:rPr>
            </w:pPr>
            <w:r w:rsidRPr="00BE6461">
              <w:rPr>
                <w:b/>
                <w:bCs/>
                <w:sz w:val="20"/>
                <w:szCs w:val="20"/>
              </w:rPr>
              <w:t>GLAVA 00103 DJEČJI VRTIĆI</w:t>
            </w:r>
          </w:p>
        </w:tc>
        <w:tc>
          <w:tcPr>
            <w:tcW w:w="1503" w:type="dxa"/>
            <w:tcBorders>
              <w:top w:val="single" w:sz="4" w:space="0" w:color="auto"/>
              <w:left w:val="nil"/>
              <w:bottom w:val="single" w:sz="4" w:space="0" w:color="auto"/>
              <w:right w:val="nil"/>
            </w:tcBorders>
            <w:shd w:val="clear" w:color="auto" w:fill="auto"/>
            <w:noWrap/>
            <w:vAlign w:val="bottom"/>
            <w:hideMark/>
          </w:tcPr>
          <w:p w14:paraId="5C804759" w14:textId="77777777" w:rsidR="00BE6461" w:rsidRPr="00BE6461" w:rsidRDefault="00BE6461" w:rsidP="00BE6461">
            <w:pPr>
              <w:jc w:val="right"/>
              <w:rPr>
                <w:b/>
                <w:bCs/>
                <w:sz w:val="20"/>
                <w:szCs w:val="20"/>
              </w:rPr>
            </w:pPr>
            <w:r w:rsidRPr="00BE6461">
              <w:rPr>
                <w:b/>
                <w:bCs/>
                <w:sz w:val="20"/>
                <w:szCs w:val="20"/>
              </w:rPr>
              <w:t>6.828.910,10</w:t>
            </w:r>
          </w:p>
        </w:tc>
        <w:tc>
          <w:tcPr>
            <w:tcW w:w="1500" w:type="dxa"/>
            <w:tcBorders>
              <w:top w:val="single" w:sz="4" w:space="0" w:color="auto"/>
              <w:left w:val="nil"/>
              <w:bottom w:val="single" w:sz="4" w:space="0" w:color="auto"/>
              <w:right w:val="nil"/>
            </w:tcBorders>
            <w:shd w:val="clear" w:color="auto" w:fill="auto"/>
            <w:noWrap/>
            <w:vAlign w:val="bottom"/>
            <w:hideMark/>
          </w:tcPr>
          <w:p w14:paraId="403E134C" w14:textId="77777777" w:rsidR="00BE6461" w:rsidRPr="00BE6461" w:rsidRDefault="00BE6461" w:rsidP="00BE6461">
            <w:pPr>
              <w:jc w:val="right"/>
              <w:rPr>
                <w:b/>
                <w:bCs/>
                <w:sz w:val="20"/>
                <w:szCs w:val="20"/>
              </w:rPr>
            </w:pPr>
            <w:r w:rsidRPr="00BE6461">
              <w:rPr>
                <w:b/>
                <w:bCs/>
                <w:sz w:val="20"/>
                <w:szCs w:val="20"/>
              </w:rPr>
              <w:t>6.867.876,85</w:t>
            </w:r>
          </w:p>
        </w:tc>
        <w:tc>
          <w:tcPr>
            <w:tcW w:w="1100" w:type="dxa"/>
            <w:tcBorders>
              <w:top w:val="single" w:sz="4" w:space="0" w:color="auto"/>
              <w:left w:val="nil"/>
              <w:bottom w:val="single" w:sz="4" w:space="0" w:color="auto"/>
              <w:right w:val="nil"/>
            </w:tcBorders>
            <w:shd w:val="clear" w:color="auto" w:fill="auto"/>
            <w:noWrap/>
            <w:vAlign w:val="bottom"/>
            <w:hideMark/>
          </w:tcPr>
          <w:p w14:paraId="28772F04" w14:textId="77777777" w:rsidR="00BE6461" w:rsidRPr="00BE6461" w:rsidRDefault="00BE6461" w:rsidP="00BE6461">
            <w:pPr>
              <w:jc w:val="right"/>
              <w:rPr>
                <w:b/>
                <w:bCs/>
                <w:sz w:val="20"/>
                <w:szCs w:val="20"/>
              </w:rPr>
            </w:pPr>
            <w:r w:rsidRPr="00BE6461">
              <w:rPr>
                <w:b/>
                <w:bCs/>
                <w:sz w:val="20"/>
                <w:szCs w:val="20"/>
              </w:rPr>
              <w:t>100,57</w:t>
            </w:r>
          </w:p>
        </w:tc>
      </w:tr>
      <w:tr w:rsidR="00BE6461" w:rsidRPr="00BE6461" w14:paraId="51DE3D6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EDE64C0"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74CBF695" w14:textId="77777777" w:rsidR="00BE6461" w:rsidRPr="00BE6461" w:rsidRDefault="00BE6461" w:rsidP="00BE6461">
            <w:pPr>
              <w:jc w:val="right"/>
              <w:rPr>
                <w:b/>
                <w:bCs/>
                <w:color w:val="333333"/>
                <w:sz w:val="20"/>
                <w:szCs w:val="20"/>
              </w:rPr>
            </w:pPr>
            <w:r w:rsidRPr="00BE6461">
              <w:rPr>
                <w:b/>
                <w:bCs/>
                <w:color w:val="333333"/>
                <w:sz w:val="20"/>
                <w:szCs w:val="20"/>
              </w:rPr>
              <w:t>4.967.240,12</w:t>
            </w:r>
          </w:p>
        </w:tc>
        <w:tc>
          <w:tcPr>
            <w:tcW w:w="1500" w:type="dxa"/>
            <w:tcBorders>
              <w:top w:val="nil"/>
              <w:left w:val="nil"/>
              <w:bottom w:val="nil"/>
              <w:right w:val="nil"/>
            </w:tcBorders>
            <w:shd w:val="clear" w:color="auto" w:fill="auto"/>
            <w:noWrap/>
            <w:vAlign w:val="bottom"/>
            <w:hideMark/>
          </w:tcPr>
          <w:p w14:paraId="4FBFB45B" w14:textId="77777777" w:rsidR="00BE6461" w:rsidRPr="00BE6461" w:rsidRDefault="00BE6461" w:rsidP="00BE6461">
            <w:pPr>
              <w:jc w:val="right"/>
              <w:rPr>
                <w:b/>
                <w:bCs/>
                <w:color w:val="333333"/>
                <w:sz w:val="20"/>
                <w:szCs w:val="20"/>
              </w:rPr>
            </w:pPr>
            <w:r w:rsidRPr="00BE6461">
              <w:rPr>
                <w:b/>
                <w:bCs/>
                <w:color w:val="333333"/>
                <w:sz w:val="20"/>
                <w:szCs w:val="20"/>
              </w:rPr>
              <w:t>4.814.862,97</w:t>
            </w:r>
          </w:p>
        </w:tc>
        <w:tc>
          <w:tcPr>
            <w:tcW w:w="1100" w:type="dxa"/>
            <w:tcBorders>
              <w:top w:val="nil"/>
              <w:left w:val="nil"/>
              <w:bottom w:val="nil"/>
              <w:right w:val="nil"/>
            </w:tcBorders>
            <w:shd w:val="clear" w:color="auto" w:fill="auto"/>
            <w:noWrap/>
            <w:vAlign w:val="bottom"/>
            <w:hideMark/>
          </w:tcPr>
          <w:p w14:paraId="0876D536" w14:textId="77777777" w:rsidR="00BE6461" w:rsidRPr="00BE6461" w:rsidRDefault="00BE6461" w:rsidP="00BE6461">
            <w:pPr>
              <w:jc w:val="right"/>
              <w:rPr>
                <w:b/>
                <w:bCs/>
                <w:color w:val="333333"/>
                <w:sz w:val="20"/>
                <w:szCs w:val="20"/>
              </w:rPr>
            </w:pPr>
            <w:r w:rsidRPr="00BE6461">
              <w:rPr>
                <w:b/>
                <w:bCs/>
                <w:color w:val="333333"/>
                <w:sz w:val="20"/>
                <w:szCs w:val="20"/>
              </w:rPr>
              <w:t>96,93</w:t>
            </w:r>
          </w:p>
        </w:tc>
      </w:tr>
      <w:tr w:rsidR="00BE6461" w:rsidRPr="00BE6461" w14:paraId="3502DDB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5E66884"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03447077" w14:textId="77777777" w:rsidR="00BE6461" w:rsidRPr="00BE6461" w:rsidRDefault="00BE6461" w:rsidP="00BE6461">
            <w:pPr>
              <w:jc w:val="right"/>
              <w:rPr>
                <w:b/>
                <w:bCs/>
                <w:color w:val="333333"/>
                <w:sz w:val="20"/>
                <w:szCs w:val="20"/>
              </w:rPr>
            </w:pPr>
            <w:r w:rsidRPr="00BE6461">
              <w:rPr>
                <w:b/>
                <w:bCs/>
                <w:color w:val="333333"/>
                <w:sz w:val="20"/>
                <w:szCs w:val="20"/>
              </w:rPr>
              <w:t>4.967.240,12</w:t>
            </w:r>
          </w:p>
        </w:tc>
        <w:tc>
          <w:tcPr>
            <w:tcW w:w="1500" w:type="dxa"/>
            <w:tcBorders>
              <w:top w:val="nil"/>
              <w:left w:val="nil"/>
              <w:bottom w:val="nil"/>
              <w:right w:val="nil"/>
            </w:tcBorders>
            <w:shd w:val="clear" w:color="auto" w:fill="auto"/>
            <w:noWrap/>
            <w:vAlign w:val="bottom"/>
            <w:hideMark/>
          </w:tcPr>
          <w:p w14:paraId="739B36E8" w14:textId="77777777" w:rsidR="00BE6461" w:rsidRPr="00BE6461" w:rsidRDefault="00BE6461" w:rsidP="00BE6461">
            <w:pPr>
              <w:jc w:val="right"/>
              <w:rPr>
                <w:b/>
                <w:bCs/>
                <w:color w:val="333333"/>
                <w:sz w:val="20"/>
                <w:szCs w:val="20"/>
              </w:rPr>
            </w:pPr>
            <w:r w:rsidRPr="00BE6461">
              <w:rPr>
                <w:b/>
                <w:bCs/>
                <w:color w:val="333333"/>
                <w:sz w:val="20"/>
                <w:szCs w:val="20"/>
              </w:rPr>
              <w:t>4.814.862,97</w:t>
            </w:r>
          </w:p>
        </w:tc>
        <w:tc>
          <w:tcPr>
            <w:tcW w:w="1100" w:type="dxa"/>
            <w:tcBorders>
              <w:top w:val="nil"/>
              <w:left w:val="nil"/>
              <w:bottom w:val="nil"/>
              <w:right w:val="nil"/>
            </w:tcBorders>
            <w:shd w:val="clear" w:color="auto" w:fill="auto"/>
            <w:noWrap/>
            <w:vAlign w:val="bottom"/>
            <w:hideMark/>
          </w:tcPr>
          <w:p w14:paraId="24964C89" w14:textId="77777777" w:rsidR="00BE6461" w:rsidRPr="00BE6461" w:rsidRDefault="00BE6461" w:rsidP="00BE6461">
            <w:pPr>
              <w:jc w:val="right"/>
              <w:rPr>
                <w:b/>
                <w:bCs/>
                <w:color w:val="333333"/>
                <w:sz w:val="20"/>
                <w:szCs w:val="20"/>
              </w:rPr>
            </w:pPr>
            <w:r w:rsidRPr="00BE6461">
              <w:rPr>
                <w:b/>
                <w:bCs/>
                <w:color w:val="333333"/>
                <w:sz w:val="20"/>
                <w:szCs w:val="20"/>
              </w:rPr>
              <w:t>96,93</w:t>
            </w:r>
          </w:p>
        </w:tc>
      </w:tr>
      <w:tr w:rsidR="00BE6461" w:rsidRPr="00BE6461" w14:paraId="2541B80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9FF9270" w14:textId="77777777" w:rsidR="00BE6461" w:rsidRPr="00BE6461" w:rsidRDefault="00BE6461" w:rsidP="00BE6461">
            <w:pPr>
              <w:rPr>
                <w:b/>
                <w:bCs/>
                <w:color w:val="333333"/>
                <w:sz w:val="20"/>
                <w:szCs w:val="20"/>
              </w:rPr>
            </w:pPr>
            <w:r w:rsidRPr="00BE6461">
              <w:rPr>
                <w:b/>
                <w:bCs/>
                <w:color w:val="333333"/>
                <w:sz w:val="20"/>
                <w:szCs w:val="20"/>
              </w:rPr>
              <w:t>Izvor 3. VLASTITI PRIHODI</w:t>
            </w:r>
          </w:p>
        </w:tc>
        <w:tc>
          <w:tcPr>
            <w:tcW w:w="1503" w:type="dxa"/>
            <w:tcBorders>
              <w:top w:val="nil"/>
              <w:left w:val="nil"/>
              <w:bottom w:val="nil"/>
              <w:right w:val="nil"/>
            </w:tcBorders>
            <w:shd w:val="clear" w:color="auto" w:fill="auto"/>
            <w:noWrap/>
            <w:vAlign w:val="bottom"/>
            <w:hideMark/>
          </w:tcPr>
          <w:p w14:paraId="6CA1A2EF" w14:textId="77777777" w:rsidR="00BE6461" w:rsidRPr="00BE6461" w:rsidRDefault="00BE6461" w:rsidP="00BE6461">
            <w:pPr>
              <w:jc w:val="right"/>
              <w:rPr>
                <w:b/>
                <w:bCs/>
                <w:color w:val="333333"/>
                <w:sz w:val="20"/>
                <w:szCs w:val="20"/>
              </w:rPr>
            </w:pPr>
            <w:r w:rsidRPr="00BE6461">
              <w:rPr>
                <w:b/>
                <w:bCs/>
                <w:color w:val="333333"/>
                <w:sz w:val="20"/>
                <w:szCs w:val="20"/>
              </w:rPr>
              <w:t>23.000,00</w:t>
            </w:r>
          </w:p>
        </w:tc>
        <w:tc>
          <w:tcPr>
            <w:tcW w:w="1500" w:type="dxa"/>
            <w:tcBorders>
              <w:top w:val="nil"/>
              <w:left w:val="nil"/>
              <w:bottom w:val="nil"/>
              <w:right w:val="nil"/>
            </w:tcBorders>
            <w:shd w:val="clear" w:color="auto" w:fill="auto"/>
            <w:noWrap/>
            <w:vAlign w:val="bottom"/>
            <w:hideMark/>
          </w:tcPr>
          <w:p w14:paraId="0FF49946" w14:textId="77777777" w:rsidR="00BE6461" w:rsidRPr="00BE6461" w:rsidRDefault="00BE6461" w:rsidP="00BE6461">
            <w:pPr>
              <w:jc w:val="right"/>
              <w:rPr>
                <w:b/>
                <w:bCs/>
                <w:color w:val="333333"/>
                <w:sz w:val="20"/>
                <w:szCs w:val="20"/>
              </w:rPr>
            </w:pPr>
            <w:r w:rsidRPr="00BE6461">
              <w:rPr>
                <w:b/>
                <w:bCs/>
                <w:color w:val="333333"/>
                <w:sz w:val="20"/>
                <w:szCs w:val="20"/>
              </w:rPr>
              <w:t>24.546,00</w:t>
            </w:r>
          </w:p>
        </w:tc>
        <w:tc>
          <w:tcPr>
            <w:tcW w:w="1100" w:type="dxa"/>
            <w:tcBorders>
              <w:top w:val="nil"/>
              <w:left w:val="nil"/>
              <w:bottom w:val="nil"/>
              <w:right w:val="nil"/>
            </w:tcBorders>
            <w:shd w:val="clear" w:color="auto" w:fill="auto"/>
            <w:noWrap/>
            <w:vAlign w:val="bottom"/>
            <w:hideMark/>
          </w:tcPr>
          <w:p w14:paraId="35A8BC04" w14:textId="77777777" w:rsidR="00BE6461" w:rsidRPr="00BE6461" w:rsidRDefault="00BE6461" w:rsidP="00BE6461">
            <w:pPr>
              <w:jc w:val="right"/>
              <w:rPr>
                <w:b/>
                <w:bCs/>
                <w:color w:val="333333"/>
                <w:sz w:val="20"/>
                <w:szCs w:val="20"/>
              </w:rPr>
            </w:pPr>
            <w:r w:rsidRPr="00BE6461">
              <w:rPr>
                <w:b/>
                <w:bCs/>
                <w:color w:val="333333"/>
                <w:sz w:val="20"/>
                <w:szCs w:val="20"/>
              </w:rPr>
              <w:t>106,72</w:t>
            </w:r>
          </w:p>
        </w:tc>
      </w:tr>
      <w:tr w:rsidR="00BE6461" w:rsidRPr="00BE6461" w14:paraId="44EFC78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53D9E76" w14:textId="77777777" w:rsidR="00BE6461" w:rsidRPr="00BE6461" w:rsidRDefault="00BE6461" w:rsidP="00BE6461">
            <w:pPr>
              <w:rPr>
                <w:b/>
                <w:bCs/>
                <w:color w:val="333333"/>
                <w:sz w:val="20"/>
                <w:szCs w:val="20"/>
              </w:rPr>
            </w:pPr>
            <w:r w:rsidRPr="00BE6461">
              <w:rPr>
                <w:b/>
                <w:bCs/>
                <w:color w:val="333333"/>
                <w:sz w:val="20"/>
                <w:szCs w:val="20"/>
              </w:rPr>
              <w:t>Izvor 3.2. VLASTITI PRIHODI - PRORAČUNSKI KORISNICI</w:t>
            </w:r>
          </w:p>
        </w:tc>
        <w:tc>
          <w:tcPr>
            <w:tcW w:w="1503" w:type="dxa"/>
            <w:tcBorders>
              <w:top w:val="nil"/>
              <w:left w:val="nil"/>
              <w:bottom w:val="nil"/>
              <w:right w:val="nil"/>
            </w:tcBorders>
            <w:shd w:val="clear" w:color="auto" w:fill="auto"/>
            <w:noWrap/>
            <w:vAlign w:val="bottom"/>
            <w:hideMark/>
          </w:tcPr>
          <w:p w14:paraId="07F4FE5F" w14:textId="77777777" w:rsidR="00BE6461" w:rsidRPr="00BE6461" w:rsidRDefault="00BE6461" w:rsidP="00BE6461">
            <w:pPr>
              <w:jc w:val="right"/>
              <w:rPr>
                <w:b/>
                <w:bCs/>
                <w:color w:val="333333"/>
                <w:sz w:val="20"/>
                <w:szCs w:val="20"/>
              </w:rPr>
            </w:pPr>
            <w:r w:rsidRPr="00BE6461">
              <w:rPr>
                <w:b/>
                <w:bCs/>
                <w:color w:val="333333"/>
                <w:sz w:val="20"/>
                <w:szCs w:val="20"/>
              </w:rPr>
              <w:t>23.000,00</w:t>
            </w:r>
          </w:p>
        </w:tc>
        <w:tc>
          <w:tcPr>
            <w:tcW w:w="1500" w:type="dxa"/>
            <w:tcBorders>
              <w:top w:val="nil"/>
              <w:left w:val="nil"/>
              <w:bottom w:val="nil"/>
              <w:right w:val="nil"/>
            </w:tcBorders>
            <w:shd w:val="clear" w:color="auto" w:fill="auto"/>
            <w:noWrap/>
            <w:vAlign w:val="bottom"/>
            <w:hideMark/>
          </w:tcPr>
          <w:p w14:paraId="5CCF2C65" w14:textId="77777777" w:rsidR="00BE6461" w:rsidRPr="00BE6461" w:rsidRDefault="00BE6461" w:rsidP="00BE6461">
            <w:pPr>
              <w:jc w:val="right"/>
              <w:rPr>
                <w:b/>
                <w:bCs/>
                <w:color w:val="333333"/>
                <w:sz w:val="20"/>
                <w:szCs w:val="20"/>
              </w:rPr>
            </w:pPr>
            <w:r w:rsidRPr="00BE6461">
              <w:rPr>
                <w:b/>
                <w:bCs/>
                <w:color w:val="333333"/>
                <w:sz w:val="20"/>
                <w:szCs w:val="20"/>
              </w:rPr>
              <w:t>24.546,00</w:t>
            </w:r>
          </w:p>
        </w:tc>
        <w:tc>
          <w:tcPr>
            <w:tcW w:w="1100" w:type="dxa"/>
            <w:tcBorders>
              <w:top w:val="nil"/>
              <w:left w:val="nil"/>
              <w:bottom w:val="nil"/>
              <w:right w:val="nil"/>
            </w:tcBorders>
            <w:shd w:val="clear" w:color="auto" w:fill="auto"/>
            <w:noWrap/>
            <w:vAlign w:val="bottom"/>
            <w:hideMark/>
          </w:tcPr>
          <w:p w14:paraId="12E70D24" w14:textId="77777777" w:rsidR="00BE6461" w:rsidRPr="00BE6461" w:rsidRDefault="00BE6461" w:rsidP="00BE6461">
            <w:pPr>
              <w:jc w:val="right"/>
              <w:rPr>
                <w:b/>
                <w:bCs/>
                <w:color w:val="333333"/>
                <w:sz w:val="20"/>
                <w:szCs w:val="20"/>
              </w:rPr>
            </w:pPr>
            <w:r w:rsidRPr="00BE6461">
              <w:rPr>
                <w:b/>
                <w:bCs/>
                <w:color w:val="333333"/>
                <w:sz w:val="20"/>
                <w:szCs w:val="20"/>
              </w:rPr>
              <w:t>106,72</w:t>
            </w:r>
          </w:p>
        </w:tc>
      </w:tr>
      <w:tr w:rsidR="00BE6461" w:rsidRPr="00BE6461" w14:paraId="64423800"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DC5D797"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69EC7E04" w14:textId="77777777" w:rsidR="00BE6461" w:rsidRPr="00BE6461" w:rsidRDefault="00BE6461" w:rsidP="00BE6461">
            <w:pPr>
              <w:jc w:val="right"/>
              <w:rPr>
                <w:b/>
                <w:bCs/>
                <w:color w:val="333333"/>
                <w:sz w:val="20"/>
                <w:szCs w:val="20"/>
              </w:rPr>
            </w:pPr>
            <w:r w:rsidRPr="00BE6461">
              <w:rPr>
                <w:b/>
                <w:bCs/>
                <w:color w:val="333333"/>
                <w:sz w:val="20"/>
                <w:szCs w:val="20"/>
              </w:rPr>
              <w:t>1.283.895,62</w:t>
            </w:r>
          </w:p>
        </w:tc>
        <w:tc>
          <w:tcPr>
            <w:tcW w:w="1500" w:type="dxa"/>
            <w:tcBorders>
              <w:top w:val="nil"/>
              <w:left w:val="nil"/>
              <w:bottom w:val="nil"/>
              <w:right w:val="nil"/>
            </w:tcBorders>
            <w:shd w:val="clear" w:color="auto" w:fill="auto"/>
            <w:noWrap/>
            <w:vAlign w:val="bottom"/>
            <w:hideMark/>
          </w:tcPr>
          <w:p w14:paraId="30AB4834" w14:textId="77777777" w:rsidR="00BE6461" w:rsidRPr="00BE6461" w:rsidRDefault="00BE6461" w:rsidP="00BE6461">
            <w:pPr>
              <w:jc w:val="right"/>
              <w:rPr>
                <w:b/>
                <w:bCs/>
                <w:color w:val="333333"/>
                <w:sz w:val="20"/>
                <w:szCs w:val="20"/>
              </w:rPr>
            </w:pPr>
            <w:r w:rsidRPr="00BE6461">
              <w:rPr>
                <w:b/>
                <w:bCs/>
                <w:color w:val="333333"/>
                <w:sz w:val="20"/>
                <w:szCs w:val="20"/>
              </w:rPr>
              <w:t>1.294.545,84</w:t>
            </w:r>
          </w:p>
        </w:tc>
        <w:tc>
          <w:tcPr>
            <w:tcW w:w="1100" w:type="dxa"/>
            <w:tcBorders>
              <w:top w:val="nil"/>
              <w:left w:val="nil"/>
              <w:bottom w:val="nil"/>
              <w:right w:val="nil"/>
            </w:tcBorders>
            <w:shd w:val="clear" w:color="auto" w:fill="auto"/>
            <w:noWrap/>
            <w:vAlign w:val="bottom"/>
            <w:hideMark/>
          </w:tcPr>
          <w:p w14:paraId="35FDCA2F" w14:textId="77777777" w:rsidR="00BE6461" w:rsidRPr="00BE6461" w:rsidRDefault="00BE6461" w:rsidP="00BE6461">
            <w:pPr>
              <w:jc w:val="right"/>
              <w:rPr>
                <w:b/>
                <w:bCs/>
                <w:color w:val="333333"/>
                <w:sz w:val="20"/>
                <w:szCs w:val="20"/>
              </w:rPr>
            </w:pPr>
            <w:r w:rsidRPr="00BE6461">
              <w:rPr>
                <w:b/>
                <w:bCs/>
                <w:color w:val="333333"/>
                <w:sz w:val="20"/>
                <w:szCs w:val="20"/>
              </w:rPr>
              <w:t>100,83</w:t>
            </w:r>
          </w:p>
        </w:tc>
      </w:tr>
      <w:tr w:rsidR="00BE6461" w:rsidRPr="00BE6461" w14:paraId="30597142"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B6B4A6A" w14:textId="77777777" w:rsidR="00BE6461" w:rsidRPr="00BE6461" w:rsidRDefault="00BE6461" w:rsidP="00BE6461">
            <w:pPr>
              <w:rPr>
                <w:b/>
                <w:bCs/>
                <w:color w:val="333333"/>
                <w:sz w:val="20"/>
                <w:szCs w:val="20"/>
              </w:rPr>
            </w:pPr>
            <w:r w:rsidRPr="00BE6461">
              <w:rPr>
                <w:b/>
                <w:bCs/>
                <w:color w:val="333333"/>
                <w:sz w:val="20"/>
                <w:szCs w:val="20"/>
              </w:rPr>
              <w:t>Izvor 4.7. PRIHODI POSEBNE NAMJENE - PRORAČUNSKI KORISNICI</w:t>
            </w:r>
          </w:p>
        </w:tc>
        <w:tc>
          <w:tcPr>
            <w:tcW w:w="1503" w:type="dxa"/>
            <w:tcBorders>
              <w:top w:val="nil"/>
              <w:left w:val="nil"/>
              <w:bottom w:val="nil"/>
              <w:right w:val="nil"/>
            </w:tcBorders>
            <w:shd w:val="clear" w:color="auto" w:fill="auto"/>
            <w:noWrap/>
            <w:vAlign w:val="bottom"/>
            <w:hideMark/>
          </w:tcPr>
          <w:p w14:paraId="3E12AC5C" w14:textId="77777777" w:rsidR="00BE6461" w:rsidRPr="00BE6461" w:rsidRDefault="00BE6461" w:rsidP="00BE6461">
            <w:pPr>
              <w:jc w:val="right"/>
              <w:rPr>
                <w:b/>
                <w:bCs/>
                <w:color w:val="333333"/>
                <w:sz w:val="20"/>
                <w:szCs w:val="20"/>
              </w:rPr>
            </w:pPr>
            <w:r w:rsidRPr="00BE6461">
              <w:rPr>
                <w:b/>
                <w:bCs/>
                <w:color w:val="333333"/>
                <w:sz w:val="20"/>
                <w:szCs w:val="20"/>
              </w:rPr>
              <w:t>1.283.895,62</w:t>
            </w:r>
          </w:p>
        </w:tc>
        <w:tc>
          <w:tcPr>
            <w:tcW w:w="1500" w:type="dxa"/>
            <w:tcBorders>
              <w:top w:val="nil"/>
              <w:left w:val="nil"/>
              <w:bottom w:val="nil"/>
              <w:right w:val="nil"/>
            </w:tcBorders>
            <w:shd w:val="clear" w:color="auto" w:fill="auto"/>
            <w:noWrap/>
            <w:vAlign w:val="bottom"/>
            <w:hideMark/>
          </w:tcPr>
          <w:p w14:paraId="6D6B15D1" w14:textId="77777777" w:rsidR="00BE6461" w:rsidRPr="00BE6461" w:rsidRDefault="00BE6461" w:rsidP="00BE6461">
            <w:pPr>
              <w:jc w:val="right"/>
              <w:rPr>
                <w:b/>
                <w:bCs/>
                <w:color w:val="333333"/>
                <w:sz w:val="20"/>
                <w:szCs w:val="20"/>
              </w:rPr>
            </w:pPr>
            <w:r w:rsidRPr="00BE6461">
              <w:rPr>
                <w:b/>
                <w:bCs/>
                <w:color w:val="333333"/>
                <w:sz w:val="20"/>
                <w:szCs w:val="20"/>
              </w:rPr>
              <w:t>1.294.545,84</w:t>
            </w:r>
          </w:p>
        </w:tc>
        <w:tc>
          <w:tcPr>
            <w:tcW w:w="1100" w:type="dxa"/>
            <w:tcBorders>
              <w:top w:val="nil"/>
              <w:left w:val="nil"/>
              <w:bottom w:val="nil"/>
              <w:right w:val="nil"/>
            </w:tcBorders>
            <w:shd w:val="clear" w:color="auto" w:fill="auto"/>
            <w:noWrap/>
            <w:vAlign w:val="bottom"/>
            <w:hideMark/>
          </w:tcPr>
          <w:p w14:paraId="4030EF4F" w14:textId="77777777" w:rsidR="00BE6461" w:rsidRPr="00BE6461" w:rsidRDefault="00BE6461" w:rsidP="00BE6461">
            <w:pPr>
              <w:jc w:val="right"/>
              <w:rPr>
                <w:b/>
                <w:bCs/>
                <w:color w:val="333333"/>
                <w:sz w:val="20"/>
                <w:szCs w:val="20"/>
              </w:rPr>
            </w:pPr>
            <w:r w:rsidRPr="00BE6461">
              <w:rPr>
                <w:b/>
                <w:bCs/>
                <w:color w:val="333333"/>
                <w:sz w:val="20"/>
                <w:szCs w:val="20"/>
              </w:rPr>
              <w:t>100,83</w:t>
            </w:r>
          </w:p>
        </w:tc>
      </w:tr>
      <w:tr w:rsidR="00BE6461" w:rsidRPr="00BE6461" w14:paraId="3B6EB87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25AB65B" w14:textId="77777777" w:rsidR="00BE6461" w:rsidRPr="00BE6461" w:rsidRDefault="00BE6461" w:rsidP="00BE6461">
            <w:pPr>
              <w:rPr>
                <w:b/>
                <w:bCs/>
                <w:color w:val="333333"/>
                <w:sz w:val="20"/>
                <w:szCs w:val="20"/>
              </w:rPr>
            </w:pPr>
            <w:r w:rsidRPr="00BE6461">
              <w:rPr>
                <w:b/>
                <w:bCs/>
                <w:color w:val="333333"/>
                <w:sz w:val="20"/>
                <w:szCs w:val="20"/>
              </w:rPr>
              <w:t>Izvor 5. POMOĆI</w:t>
            </w:r>
          </w:p>
        </w:tc>
        <w:tc>
          <w:tcPr>
            <w:tcW w:w="1503" w:type="dxa"/>
            <w:tcBorders>
              <w:top w:val="nil"/>
              <w:left w:val="nil"/>
              <w:bottom w:val="nil"/>
              <w:right w:val="nil"/>
            </w:tcBorders>
            <w:shd w:val="clear" w:color="auto" w:fill="auto"/>
            <w:noWrap/>
            <w:vAlign w:val="bottom"/>
            <w:hideMark/>
          </w:tcPr>
          <w:p w14:paraId="1D12C8E8" w14:textId="77777777" w:rsidR="00BE6461" w:rsidRPr="00BE6461" w:rsidRDefault="00BE6461" w:rsidP="00BE6461">
            <w:pPr>
              <w:jc w:val="right"/>
              <w:rPr>
                <w:b/>
                <w:bCs/>
                <w:color w:val="333333"/>
                <w:sz w:val="20"/>
                <w:szCs w:val="20"/>
              </w:rPr>
            </w:pPr>
            <w:r w:rsidRPr="00BE6461">
              <w:rPr>
                <w:b/>
                <w:bCs/>
                <w:color w:val="333333"/>
                <w:sz w:val="20"/>
                <w:szCs w:val="20"/>
              </w:rPr>
              <w:t>521.990,00</w:t>
            </w:r>
          </w:p>
        </w:tc>
        <w:tc>
          <w:tcPr>
            <w:tcW w:w="1500" w:type="dxa"/>
            <w:tcBorders>
              <w:top w:val="nil"/>
              <w:left w:val="nil"/>
              <w:bottom w:val="nil"/>
              <w:right w:val="nil"/>
            </w:tcBorders>
            <w:shd w:val="clear" w:color="auto" w:fill="auto"/>
            <w:noWrap/>
            <w:vAlign w:val="bottom"/>
            <w:hideMark/>
          </w:tcPr>
          <w:p w14:paraId="74B22BE4" w14:textId="77777777" w:rsidR="00BE6461" w:rsidRPr="00BE6461" w:rsidRDefault="00BE6461" w:rsidP="00BE6461">
            <w:pPr>
              <w:jc w:val="right"/>
              <w:rPr>
                <w:b/>
                <w:bCs/>
                <w:color w:val="333333"/>
                <w:sz w:val="20"/>
                <w:szCs w:val="20"/>
              </w:rPr>
            </w:pPr>
            <w:r w:rsidRPr="00BE6461">
              <w:rPr>
                <w:b/>
                <w:bCs/>
                <w:color w:val="333333"/>
                <w:sz w:val="20"/>
                <w:szCs w:val="20"/>
              </w:rPr>
              <w:t>662.684,64</w:t>
            </w:r>
          </w:p>
        </w:tc>
        <w:tc>
          <w:tcPr>
            <w:tcW w:w="1100" w:type="dxa"/>
            <w:tcBorders>
              <w:top w:val="nil"/>
              <w:left w:val="nil"/>
              <w:bottom w:val="nil"/>
              <w:right w:val="nil"/>
            </w:tcBorders>
            <w:shd w:val="clear" w:color="auto" w:fill="auto"/>
            <w:noWrap/>
            <w:vAlign w:val="bottom"/>
            <w:hideMark/>
          </w:tcPr>
          <w:p w14:paraId="724AD232" w14:textId="77777777" w:rsidR="00BE6461" w:rsidRPr="00BE6461" w:rsidRDefault="00BE6461" w:rsidP="00BE6461">
            <w:pPr>
              <w:jc w:val="right"/>
              <w:rPr>
                <w:b/>
                <w:bCs/>
                <w:color w:val="333333"/>
                <w:sz w:val="20"/>
                <w:szCs w:val="20"/>
              </w:rPr>
            </w:pPr>
            <w:r w:rsidRPr="00BE6461">
              <w:rPr>
                <w:b/>
                <w:bCs/>
                <w:color w:val="333333"/>
                <w:sz w:val="20"/>
                <w:szCs w:val="20"/>
              </w:rPr>
              <w:t>126,95</w:t>
            </w:r>
          </w:p>
        </w:tc>
      </w:tr>
      <w:tr w:rsidR="00BE6461" w:rsidRPr="00BE6461" w14:paraId="5DE5EB3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1A82B51" w14:textId="77777777" w:rsidR="00BE6461" w:rsidRPr="00BE6461" w:rsidRDefault="00BE6461" w:rsidP="00BE6461">
            <w:pPr>
              <w:rPr>
                <w:b/>
                <w:bCs/>
                <w:color w:val="333333"/>
                <w:sz w:val="20"/>
                <w:szCs w:val="20"/>
              </w:rPr>
            </w:pPr>
            <w:r w:rsidRPr="00BE6461">
              <w:rPr>
                <w:b/>
                <w:bCs/>
                <w:color w:val="333333"/>
                <w:sz w:val="20"/>
                <w:szCs w:val="20"/>
              </w:rPr>
              <w:t>Izvor 5.2. POMOĆI - PRORAČUNSKI KORISNICI (GRAD)</w:t>
            </w:r>
          </w:p>
        </w:tc>
        <w:tc>
          <w:tcPr>
            <w:tcW w:w="1503" w:type="dxa"/>
            <w:tcBorders>
              <w:top w:val="nil"/>
              <w:left w:val="nil"/>
              <w:bottom w:val="nil"/>
              <w:right w:val="nil"/>
            </w:tcBorders>
            <w:shd w:val="clear" w:color="auto" w:fill="auto"/>
            <w:noWrap/>
            <w:vAlign w:val="bottom"/>
            <w:hideMark/>
          </w:tcPr>
          <w:p w14:paraId="4B9273BA" w14:textId="77777777" w:rsidR="00BE6461" w:rsidRPr="00BE6461" w:rsidRDefault="00BE6461" w:rsidP="00BE6461">
            <w:pPr>
              <w:jc w:val="right"/>
              <w:rPr>
                <w:b/>
                <w:bCs/>
                <w:color w:val="333333"/>
                <w:sz w:val="20"/>
                <w:szCs w:val="20"/>
              </w:rPr>
            </w:pPr>
            <w:r w:rsidRPr="00BE6461">
              <w:rPr>
                <w:b/>
                <w:bCs/>
                <w:color w:val="333333"/>
                <w:sz w:val="20"/>
                <w:szCs w:val="20"/>
              </w:rPr>
              <w:t>521.990,00</w:t>
            </w:r>
          </w:p>
        </w:tc>
        <w:tc>
          <w:tcPr>
            <w:tcW w:w="1500" w:type="dxa"/>
            <w:tcBorders>
              <w:top w:val="nil"/>
              <w:left w:val="nil"/>
              <w:bottom w:val="nil"/>
              <w:right w:val="nil"/>
            </w:tcBorders>
            <w:shd w:val="clear" w:color="auto" w:fill="auto"/>
            <w:noWrap/>
            <w:vAlign w:val="bottom"/>
            <w:hideMark/>
          </w:tcPr>
          <w:p w14:paraId="4C6E9457" w14:textId="77777777" w:rsidR="00BE6461" w:rsidRPr="00BE6461" w:rsidRDefault="00BE6461" w:rsidP="00BE6461">
            <w:pPr>
              <w:jc w:val="right"/>
              <w:rPr>
                <w:b/>
                <w:bCs/>
                <w:color w:val="333333"/>
                <w:sz w:val="20"/>
                <w:szCs w:val="20"/>
              </w:rPr>
            </w:pPr>
            <w:r w:rsidRPr="00BE6461">
              <w:rPr>
                <w:b/>
                <w:bCs/>
                <w:color w:val="333333"/>
                <w:sz w:val="20"/>
                <w:szCs w:val="20"/>
              </w:rPr>
              <w:t>662.684,64</w:t>
            </w:r>
          </w:p>
        </w:tc>
        <w:tc>
          <w:tcPr>
            <w:tcW w:w="1100" w:type="dxa"/>
            <w:tcBorders>
              <w:top w:val="nil"/>
              <w:left w:val="nil"/>
              <w:bottom w:val="nil"/>
              <w:right w:val="nil"/>
            </w:tcBorders>
            <w:shd w:val="clear" w:color="auto" w:fill="auto"/>
            <w:noWrap/>
            <w:vAlign w:val="bottom"/>
            <w:hideMark/>
          </w:tcPr>
          <w:p w14:paraId="493DAB6A" w14:textId="77777777" w:rsidR="00BE6461" w:rsidRPr="00BE6461" w:rsidRDefault="00BE6461" w:rsidP="00BE6461">
            <w:pPr>
              <w:jc w:val="right"/>
              <w:rPr>
                <w:b/>
                <w:bCs/>
                <w:color w:val="333333"/>
                <w:sz w:val="20"/>
                <w:szCs w:val="20"/>
              </w:rPr>
            </w:pPr>
            <w:r w:rsidRPr="00BE6461">
              <w:rPr>
                <w:b/>
                <w:bCs/>
                <w:color w:val="333333"/>
                <w:sz w:val="20"/>
                <w:szCs w:val="20"/>
              </w:rPr>
              <w:t>126,95</w:t>
            </w:r>
          </w:p>
        </w:tc>
      </w:tr>
      <w:tr w:rsidR="00BE6461" w:rsidRPr="00BE6461" w14:paraId="3C6ACAA4"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87E1B96" w14:textId="77777777" w:rsidR="00BE6461" w:rsidRPr="00BE6461" w:rsidRDefault="00BE6461" w:rsidP="00BE6461">
            <w:pPr>
              <w:rPr>
                <w:b/>
                <w:bCs/>
                <w:color w:val="333333"/>
                <w:sz w:val="20"/>
                <w:szCs w:val="20"/>
              </w:rPr>
            </w:pPr>
            <w:r w:rsidRPr="00BE6461">
              <w:rPr>
                <w:b/>
                <w:bCs/>
                <w:color w:val="333333"/>
                <w:sz w:val="20"/>
                <w:szCs w:val="20"/>
              </w:rPr>
              <w:t>Izvor 6. DONACIJE</w:t>
            </w:r>
          </w:p>
        </w:tc>
        <w:tc>
          <w:tcPr>
            <w:tcW w:w="1503" w:type="dxa"/>
            <w:tcBorders>
              <w:top w:val="nil"/>
              <w:left w:val="nil"/>
              <w:bottom w:val="nil"/>
              <w:right w:val="nil"/>
            </w:tcBorders>
            <w:shd w:val="clear" w:color="auto" w:fill="auto"/>
            <w:noWrap/>
            <w:vAlign w:val="bottom"/>
            <w:hideMark/>
          </w:tcPr>
          <w:p w14:paraId="78F52B92" w14:textId="77777777" w:rsidR="00BE6461" w:rsidRPr="00BE6461" w:rsidRDefault="00BE6461" w:rsidP="00BE6461">
            <w:pPr>
              <w:jc w:val="right"/>
              <w:rPr>
                <w:b/>
                <w:bCs/>
                <w:color w:val="333333"/>
                <w:sz w:val="20"/>
                <w:szCs w:val="20"/>
              </w:rPr>
            </w:pPr>
            <w:r w:rsidRPr="00BE6461">
              <w:rPr>
                <w:b/>
                <w:bCs/>
                <w:color w:val="333333"/>
                <w:sz w:val="20"/>
                <w:szCs w:val="20"/>
              </w:rPr>
              <w:t>32.784,36</w:t>
            </w:r>
          </w:p>
        </w:tc>
        <w:tc>
          <w:tcPr>
            <w:tcW w:w="1500" w:type="dxa"/>
            <w:tcBorders>
              <w:top w:val="nil"/>
              <w:left w:val="nil"/>
              <w:bottom w:val="nil"/>
              <w:right w:val="nil"/>
            </w:tcBorders>
            <w:shd w:val="clear" w:color="auto" w:fill="auto"/>
            <w:noWrap/>
            <w:vAlign w:val="bottom"/>
            <w:hideMark/>
          </w:tcPr>
          <w:p w14:paraId="70957752" w14:textId="77777777" w:rsidR="00BE6461" w:rsidRPr="00BE6461" w:rsidRDefault="00BE6461" w:rsidP="00BE6461">
            <w:pPr>
              <w:jc w:val="right"/>
              <w:rPr>
                <w:b/>
                <w:bCs/>
                <w:color w:val="333333"/>
                <w:sz w:val="20"/>
                <w:szCs w:val="20"/>
              </w:rPr>
            </w:pPr>
            <w:r w:rsidRPr="00BE6461">
              <w:rPr>
                <w:b/>
                <w:bCs/>
                <w:color w:val="333333"/>
                <w:sz w:val="20"/>
                <w:szCs w:val="20"/>
              </w:rPr>
              <w:t>71.237,40</w:t>
            </w:r>
          </w:p>
        </w:tc>
        <w:tc>
          <w:tcPr>
            <w:tcW w:w="1100" w:type="dxa"/>
            <w:tcBorders>
              <w:top w:val="nil"/>
              <w:left w:val="nil"/>
              <w:bottom w:val="nil"/>
              <w:right w:val="nil"/>
            </w:tcBorders>
            <w:shd w:val="clear" w:color="auto" w:fill="auto"/>
            <w:noWrap/>
            <w:vAlign w:val="bottom"/>
            <w:hideMark/>
          </w:tcPr>
          <w:p w14:paraId="310F8B96" w14:textId="77777777" w:rsidR="00BE6461" w:rsidRPr="00BE6461" w:rsidRDefault="00BE6461" w:rsidP="00BE6461">
            <w:pPr>
              <w:jc w:val="right"/>
              <w:rPr>
                <w:b/>
                <w:bCs/>
                <w:color w:val="333333"/>
                <w:sz w:val="20"/>
                <w:szCs w:val="20"/>
              </w:rPr>
            </w:pPr>
            <w:r w:rsidRPr="00BE6461">
              <w:rPr>
                <w:b/>
                <w:bCs/>
                <w:color w:val="333333"/>
                <w:sz w:val="20"/>
                <w:szCs w:val="20"/>
              </w:rPr>
              <w:t>217,29</w:t>
            </w:r>
          </w:p>
        </w:tc>
      </w:tr>
      <w:tr w:rsidR="00BE6461" w:rsidRPr="00BE6461" w14:paraId="29E3C10D"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7ECC48D" w14:textId="77777777" w:rsidR="00BE6461" w:rsidRPr="00BE6461" w:rsidRDefault="00BE6461" w:rsidP="00BE6461">
            <w:pPr>
              <w:rPr>
                <w:b/>
                <w:bCs/>
                <w:color w:val="333333"/>
                <w:sz w:val="20"/>
                <w:szCs w:val="20"/>
              </w:rPr>
            </w:pPr>
            <w:r w:rsidRPr="00BE6461">
              <w:rPr>
                <w:b/>
                <w:bCs/>
                <w:color w:val="333333"/>
                <w:sz w:val="20"/>
                <w:szCs w:val="20"/>
              </w:rPr>
              <w:t>Izvor 6.2. DONACIJE - PRORAČUNSKI KORISNICI (GRAD)</w:t>
            </w:r>
          </w:p>
        </w:tc>
        <w:tc>
          <w:tcPr>
            <w:tcW w:w="1503" w:type="dxa"/>
            <w:tcBorders>
              <w:top w:val="nil"/>
              <w:left w:val="nil"/>
              <w:bottom w:val="nil"/>
              <w:right w:val="nil"/>
            </w:tcBorders>
            <w:shd w:val="clear" w:color="auto" w:fill="auto"/>
            <w:noWrap/>
            <w:vAlign w:val="bottom"/>
            <w:hideMark/>
          </w:tcPr>
          <w:p w14:paraId="013D404D" w14:textId="77777777" w:rsidR="00BE6461" w:rsidRPr="00BE6461" w:rsidRDefault="00BE6461" w:rsidP="00BE6461">
            <w:pPr>
              <w:jc w:val="right"/>
              <w:rPr>
                <w:b/>
                <w:bCs/>
                <w:color w:val="333333"/>
                <w:sz w:val="20"/>
                <w:szCs w:val="20"/>
              </w:rPr>
            </w:pPr>
            <w:r w:rsidRPr="00BE6461">
              <w:rPr>
                <w:b/>
                <w:bCs/>
                <w:color w:val="333333"/>
                <w:sz w:val="20"/>
                <w:szCs w:val="20"/>
              </w:rPr>
              <w:t>2.369,65</w:t>
            </w:r>
          </w:p>
        </w:tc>
        <w:tc>
          <w:tcPr>
            <w:tcW w:w="1500" w:type="dxa"/>
            <w:tcBorders>
              <w:top w:val="nil"/>
              <w:left w:val="nil"/>
              <w:bottom w:val="nil"/>
              <w:right w:val="nil"/>
            </w:tcBorders>
            <w:shd w:val="clear" w:color="auto" w:fill="auto"/>
            <w:noWrap/>
            <w:vAlign w:val="bottom"/>
            <w:hideMark/>
          </w:tcPr>
          <w:p w14:paraId="25D86CBE"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100" w:type="dxa"/>
            <w:tcBorders>
              <w:top w:val="nil"/>
              <w:left w:val="nil"/>
              <w:bottom w:val="nil"/>
              <w:right w:val="nil"/>
            </w:tcBorders>
            <w:shd w:val="clear" w:color="auto" w:fill="auto"/>
            <w:noWrap/>
            <w:vAlign w:val="bottom"/>
            <w:hideMark/>
          </w:tcPr>
          <w:p w14:paraId="7AD07349"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71E2DCCF"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171E5D1" w14:textId="77777777" w:rsidR="00BE6461" w:rsidRPr="00BE6461" w:rsidRDefault="00BE6461" w:rsidP="00BE6461">
            <w:pPr>
              <w:rPr>
                <w:b/>
                <w:bCs/>
                <w:color w:val="333333"/>
                <w:sz w:val="20"/>
                <w:szCs w:val="20"/>
              </w:rPr>
            </w:pPr>
            <w:r w:rsidRPr="00BE6461">
              <w:rPr>
                <w:b/>
                <w:bCs/>
                <w:color w:val="333333"/>
                <w:sz w:val="20"/>
                <w:szCs w:val="20"/>
              </w:rPr>
              <w:t>Izvor 6.3. DONACIJE - PRORAČUNSKI KORISNICI (DIREKTNO)</w:t>
            </w:r>
          </w:p>
        </w:tc>
        <w:tc>
          <w:tcPr>
            <w:tcW w:w="1503" w:type="dxa"/>
            <w:tcBorders>
              <w:top w:val="nil"/>
              <w:left w:val="nil"/>
              <w:bottom w:val="nil"/>
              <w:right w:val="nil"/>
            </w:tcBorders>
            <w:shd w:val="clear" w:color="auto" w:fill="auto"/>
            <w:noWrap/>
            <w:vAlign w:val="bottom"/>
            <w:hideMark/>
          </w:tcPr>
          <w:p w14:paraId="298A5174" w14:textId="77777777" w:rsidR="00BE6461" w:rsidRPr="00BE6461" w:rsidRDefault="00BE6461" w:rsidP="00BE6461">
            <w:pPr>
              <w:jc w:val="right"/>
              <w:rPr>
                <w:b/>
                <w:bCs/>
                <w:color w:val="333333"/>
                <w:sz w:val="20"/>
                <w:szCs w:val="20"/>
              </w:rPr>
            </w:pPr>
            <w:r w:rsidRPr="00BE6461">
              <w:rPr>
                <w:b/>
                <w:bCs/>
                <w:color w:val="333333"/>
                <w:sz w:val="20"/>
                <w:szCs w:val="20"/>
              </w:rPr>
              <w:t>30.414,71</w:t>
            </w:r>
          </w:p>
        </w:tc>
        <w:tc>
          <w:tcPr>
            <w:tcW w:w="1500" w:type="dxa"/>
            <w:tcBorders>
              <w:top w:val="nil"/>
              <w:left w:val="nil"/>
              <w:bottom w:val="nil"/>
              <w:right w:val="nil"/>
            </w:tcBorders>
            <w:shd w:val="clear" w:color="auto" w:fill="auto"/>
            <w:noWrap/>
            <w:vAlign w:val="bottom"/>
            <w:hideMark/>
          </w:tcPr>
          <w:p w14:paraId="3A639067" w14:textId="77777777" w:rsidR="00BE6461" w:rsidRPr="00BE6461" w:rsidRDefault="00BE6461" w:rsidP="00BE6461">
            <w:pPr>
              <w:jc w:val="right"/>
              <w:rPr>
                <w:b/>
                <w:bCs/>
                <w:color w:val="333333"/>
                <w:sz w:val="20"/>
                <w:szCs w:val="20"/>
              </w:rPr>
            </w:pPr>
            <w:r w:rsidRPr="00BE6461">
              <w:rPr>
                <w:b/>
                <w:bCs/>
                <w:color w:val="333333"/>
                <w:sz w:val="20"/>
                <w:szCs w:val="20"/>
              </w:rPr>
              <w:t>71.237,40</w:t>
            </w:r>
          </w:p>
        </w:tc>
        <w:tc>
          <w:tcPr>
            <w:tcW w:w="1100" w:type="dxa"/>
            <w:tcBorders>
              <w:top w:val="nil"/>
              <w:left w:val="nil"/>
              <w:bottom w:val="nil"/>
              <w:right w:val="nil"/>
            </w:tcBorders>
            <w:shd w:val="clear" w:color="auto" w:fill="auto"/>
            <w:noWrap/>
            <w:vAlign w:val="bottom"/>
            <w:hideMark/>
          </w:tcPr>
          <w:p w14:paraId="18A7A147" w14:textId="77777777" w:rsidR="00BE6461" w:rsidRPr="00BE6461" w:rsidRDefault="00BE6461" w:rsidP="00BE6461">
            <w:pPr>
              <w:jc w:val="right"/>
              <w:rPr>
                <w:b/>
                <w:bCs/>
                <w:color w:val="333333"/>
                <w:sz w:val="20"/>
                <w:szCs w:val="20"/>
              </w:rPr>
            </w:pPr>
            <w:r w:rsidRPr="00BE6461">
              <w:rPr>
                <w:b/>
                <w:bCs/>
                <w:color w:val="333333"/>
                <w:sz w:val="20"/>
                <w:szCs w:val="20"/>
              </w:rPr>
              <w:t>234,22</w:t>
            </w:r>
          </w:p>
        </w:tc>
      </w:tr>
      <w:tr w:rsidR="00BE6461" w:rsidRPr="00BE6461" w14:paraId="69ACF04A" w14:textId="77777777" w:rsidTr="00BE6461">
        <w:trPr>
          <w:trHeight w:val="390"/>
        </w:trPr>
        <w:tc>
          <w:tcPr>
            <w:tcW w:w="10160" w:type="dxa"/>
            <w:gridSpan w:val="2"/>
            <w:tcBorders>
              <w:top w:val="single" w:sz="4" w:space="0" w:color="auto"/>
              <w:left w:val="nil"/>
              <w:bottom w:val="nil"/>
              <w:right w:val="nil"/>
            </w:tcBorders>
            <w:shd w:val="clear" w:color="auto" w:fill="auto"/>
            <w:noWrap/>
            <w:vAlign w:val="bottom"/>
            <w:hideMark/>
          </w:tcPr>
          <w:p w14:paraId="273DDDFF" w14:textId="77777777" w:rsidR="00BE6461" w:rsidRPr="00BE6461" w:rsidRDefault="00BE6461" w:rsidP="00BE6461">
            <w:pPr>
              <w:rPr>
                <w:b/>
                <w:bCs/>
                <w:sz w:val="20"/>
                <w:szCs w:val="20"/>
              </w:rPr>
            </w:pPr>
            <w:r w:rsidRPr="00BE6461">
              <w:rPr>
                <w:b/>
                <w:bCs/>
                <w:sz w:val="20"/>
                <w:szCs w:val="20"/>
              </w:rPr>
              <w:t>PROR. KORISNIK 36305 DJEČJI VRTIĆ BUJE</w:t>
            </w:r>
          </w:p>
        </w:tc>
        <w:tc>
          <w:tcPr>
            <w:tcW w:w="1503" w:type="dxa"/>
            <w:tcBorders>
              <w:top w:val="single" w:sz="4" w:space="0" w:color="auto"/>
              <w:left w:val="nil"/>
              <w:bottom w:val="nil"/>
              <w:right w:val="nil"/>
            </w:tcBorders>
            <w:shd w:val="clear" w:color="auto" w:fill="auto"/>
            <w:noWrap/>
            <w:vAlign w:val="bottom"/>
            <w:hideMark/>
          </w:tcPr>
          <w:p w14:paraId="0B7A4F97" w14:textId="77777777" w:rsidR="00BE6461" w:rsidRPr="00BE6461" w:rsidRDefault="00BE6461" w:rsidP="00BE6461">
            <w:pPr>
              <w:jc w:val="right"/>
              <w:rPr>
                <w:b/>
                <w:bCs/>
                <w:sz w:val="20"/>
                <w:szCs w:val="20"/>
              </w:rPr>
            </w:pPr>
            <w:r w:rsidRPr="00BE6461">
              <w:rPr>
                <w:b/>
                <w:bCs/>
                <w:sz w:val="20"/>
                <w:szCs w:val="20"/>
              </w:rPr>
              <w:t>4.204.471,32</w:t>
            </w:r>
          </w:p>
        </w:tc>
        <w:tc>
          <w:tcPr>
            <w:tcW w:w="1500" w:type="dxa"/>
            <w:tcBorders>
              <w:top w:val="single" w:sz="4" w:space="0" w:color="auto"/>
              <w:left w:val="nil"/>
              <w:bottom w:val="nil"/>
              <w:right w:val="nil"/>
            </w:tcBorders>
            <w:shd w:val="clear" w:color="auto" w:fill="auto"/>
            <w:noWrap/>
            <w:vAlign w:val="bottom"/>
            <w:hideMark/>
          </w:tcPr>
          <w:p w14:paraId="6E4C0010" w14:textId="77777777" w:rsidR="00BE6461" w:rsidRPr="00BE6461" w:rsidRDefault="00BE6461" w:rsidP="00BE6461">
            <w:pPr>
              <w:jc w:val="right"/>
              <w:rPr>
                <w:b/>
                <w:bCs/>
                <w:sz w:val="20"/>
                <w:szCs w:val="20"/>
              </w:rPr>
            </w:pPr>
            <w:r w:rsidRPr="00BE6461">
              <w:rPr>
                <w:b/>
                <w:bCs/>
                <w:sz w:val="20"/>
                <w:szCs w:val="20"/>
              </w:rPr>
              <w:t>4.172.188,33</w:t>
            </w:r>
          </w:p>
        </w:tc>
        <w:tc>
          <w:tcPr>
            <w:tcW w:w="1100" w:type="dxa"/>
            <w:tcBorders>
              <w:top w:val="single" w:sz="4" w:space="0" w:color="auto"/>
              <w:left w:val="nil"/>
              <w:bottom w:val="nil"/>
              <w:right w:val="nil"/>
            </w:tcBorders>
            <w:shd w:val="clear" w:color="auto" w:fill="auto"/>
            <w:noWrap/>
            <w:vAlign w:val="bottom"/>
            <w:hideMark/>
          </w:tcPr>
          <w:p w14:paraId="74AB4618" w14:textId="77777777" w:rsidR="00BE6461" w:rsidRPr="00BE6461" w:rsidRDefault="00BE6461" w:rsidP="00BE6461">
            <w:pPr>
              <w:jc w:val="right"/>
              <w:rPr>
                <w:b/>
                <w:bCs/>
                <w:sz w:val="20"/>
                <w:szCs w:val="20"/>
              </w:rPr>
            </w:pPr>
            <w:r w:rsidRPr="00BE6461">
              <w:rPr>
                <w:b/>
                <w:bCs/>
                <w:sz w:val="20"/>
                <w:szCs w:val="20"/>
              </w:rPr>
              <w:t>99,23</w:t>
            </w:r>
          </w:p>
        </w:tc>
      </w:tr>
      <w:tr w:rsidR="00BE6461" w:rsidRPr="00BE6461" w14:paraId="51E0098D" w14:textId="77777777" w:rsidTr="00BE6461">
        <w:trPr>
          <w:trHeight w:val="390"/>
        </w:trPr>
        <w:tc>
          <w:tcPr>
            <w:tcW w:w="1703" w:type="dxa"/>
            <w:tcBorders>
              <w:top w:val="single" w:sz="4" w:space="0" w:color="auto"/>
              <w:left w:val="nil"/>
              <w:bottom w:val="nil"/>
              <w:right w:val="nil"/>
            </w:tcBorders>
            <w:shd w:val="clear" w:color="auto" w:fill="auto"/>
            <w:noWrap/>
            <w:vAlign w:val="bottom"/>
            <w:hideMark/>
          </w:tcPr>
          <w:p w14:paraId="2A8B448A" w14:textId="77777777" w:rsidR="00BE6461" w:rsidRPr="00BE6461" w:rsidRDefault="00BE6461" w:rsidP="00BE6461">
            <w:pPr>
              <w:rPr>
                <w:b/>
                <w:bCs/>
                <w:sz w:val="20"/>
                <w:szCs w:val="20"/>
              </w:rPr>
            </w:pPr>
            <w:r w:rsidRPr="00BE6461">
              <w:rPr>
                <w:b/>
                <w:bCs/>
                <w:sz w:val="20"/>
                <w:szCs w:val="20"/>
              </w:rPr>
              <w:t>1004</w:t>
            </w:r>
          </w:p>
        </w:tc>
        <w:tc>
          <w:tcPr>
            <w:tcW w:w="8457" w:type="dxa"/>
            <w:tcBorders>
              <w:top w:val="single" w:sz="4" w:space="0" w:color="auto"/>
              <w:left w:val="nil"/>
              <w:bottom w:val="nil"/>
              <w:right w:val="nil"/>
            </w:tcBorders>
            <w:shd w:val="clear" w:color="auto" w:fill="auto"/>
            <w:vAlign w:val="bottom"/>
            <w:hideMark/>
          </w:tcPr>
          <w:p w14:paraId="3BD12D10" w14:textId="77777777" w:rsidR="00BE6461" w:rsidRPr="00BE6461" w:rsidRDefault="00BE6461" w:rsidP="00BE6461">
            <w:pPr>
              <w:rPr>
                <w:b/>
                <w:bCs/>
                <w:sz w:val="20"/>
                <w:szCs w:val="20"/>
              </w:rPr>
            </w:pPr>
            <w:r w:rsidRPr="00BE6461">
              <w:rPr>
                <w:b/>
                <w:bCs/>
                <w:sz w:val="20"/>
                <w:szCs w:val="20"/>
              </w:rPr>
              <w:t>Program: DJELATNOST DJEČJEG VRTIĆA BUJE</w:t>
            </w:r>
          </w:p>
        </w:tc>
        <w:tc>
          <w:tcPr>
            <w:tcW w:w="1503" w:type="dxa"/>
            <w:tcBorders>
              <w:top w:val="single" w:sz="4" w:space="0" w:color="auto"/>
              <w:left w:val="nil"/>
              <w:bottom w:val="nil"/>
              <w:right w:val="nil"/>
            </w:tcBorders>
            <w:shd w:val="clear" w:color="auto" w:fill="auto"/>
            <w:noWrap/>
            <w:vAlign w:val="bottom"/>
            <w:hideMark/>
          </w:tcPr>
          <w:p w14:paraId="62BA8ADD" w14:textId="77777777" w:rsidR="00BE6461" w:rsidRPr="00BE6461" w:rsidRDefault="00BE6461" w:rsidP="00BE6461">
            <w:pPr>
              <w:jc w:val="right"/>
              <w:rPr>
                <w:b/>
                <w:bCs/>
                <w:sz w:val="20"/>
                <w:szCs w:val="20"/>
              </w:rPr>
            </w:pPr>
            <w:r w:rsidRPr="00BE6461">
              <w:rPr>
                <w:b/>
                <w:bCs/>
                <w:sz w:val="20"/>
                <w:szCs w:val="20"/>
              </w:rPr>
              <w:t>4.204.471,32</w:t>
            </w:r>
          </w:p>
        </w:tc>
        <w:tc>
          <w:tcPr>
            <w:tcW w:w="1500" w:type="dxa"/>
            <w:tcBorders>
              <w:top w:val="single" w:sz="4" w:space="0" w:color="auto"/>
              <w:left w:val="nil"/>
              <w:bottom w:val="nil"/>
              <w:right w:val="nil"/>
            </w:tcBorders>
            <w:shd w:val="clear" w:color="auto" w:fill="auto"/>
            <w:noWrap/>
            <w:vAlign w:val="bottom"/>
            <w:hideMark/>
          </w:tcPr>
          <w:p w14:paraId="296E2823" w14:textId="77777777" w:rsidR="00BE6461" w:rsidRPr="00BE6461" w:rsidRDefault="00BE6461" w:rsidP="00BE6461">
            <w:pPr>
              <w:jc w:val="right"/>
              <w:rPr>
                <w:b/>
                <w:bCs/>
                <w:sz w:val="20"/>
                <w:szCs w:val="20"/>
              </w:rPr>
            </w:pPr>
            <w:r w:rsidRPr="00BE6461">
              <w:rPr>
                <w:b/>
                <w:bCs/>
                <w:sz w:val="20"/>
                <w:szCs w:val="20"/>
              </w:rPr>
              <w:t>4.172.188,33</w:t>
            </w:r>
          </w:p>
        </w:tc>
        <w:tc>
          <w:tcPr>
            <w:tcW w:w="1100" w:type="dxa"/>
            <w:tcBorders>
              <w:top w:val="single" w:sz="4" w:space="0" w:color="auto"/>
              <w:left w:val="nil"/>
              <w:bottom w:val="nil"/>
              <w:right w:val="nil"/>
            </w:tcBorders>
            <w:shd w:val="clear" w:color="auto" w:fill="auto"/>
            <w:noWrap/>
            <w:vAlign w:val="bottom"/>
            <w:hideMark/>
          </w:tcPr>
          <w:p w14:paraId="0206971E" w14:textId="77777777" w:rsidR="00BE6461" w:rsidRPr="00BE6461" w:rsidRDefault="00BE6461" w:rsidP="00BE6461">
            <w:pPr>
              <w:jc w:val="right"/>
              <w:rPr>
                <w:b/>
                <w:bCs/>
                <w:sz w:val="20"/>
                <w:szCs w:val="20"/>
              </w:rPr>
            </w:pPr>
            <w:r w:rsidRPr="00BE6461">
              <w:rPr>
                <w:b/>
                <w:bCs/>
                <w:sz w:val="20"/>
                <w:szCs w:val="20"/>
              </w:rPr>
              <w:t>99,23</w:t>
            </w:r>
          </w:p>
        </w:tc>
      </w:tr>
      <w:tr w:rsidR="00BE6461" w:rsidRPr="00BE6461" w14:paraId="16325507"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1ADB5426" w14:textId="77777777" w:rsidR="00BE6461" w:rsidRPr="00BE6461" w:rsidRDefault="00BE6461" w:rsidP="00BE6461">
            <w:pPr>
              <w:rPr>
                <w:b/>
                <w:bCs/>
                <w:sz w:val="20"/>
                <w:szCs w:val="20"/>
              </w:rPr>
            </w:pPr>
            <w:r w:rsidRPr="00BE6461">
              <w:rPr>
                <w:b/>
                <w:bCs/>
                <w:sz w:val="20"/>
                <w:szCs w:val="20"/>
              </w:rPr>
              <w:lastRenderedPageBreak/>
              <w:t>A100011</w:t>
            </w:r>
          </w:p>
        </w:tc>
        <w:tc>
          <w:tcPr>
            <w:tcW w:w="8457" w:type="dxa"/>
            <w:tcBorders>
              <w:top w:val="single" w:sz="4" w:space="0" w:color="auto"/>
              <w:left w:val="nil"/>
              <w:bottom w:val="single" w:sz="4" w:space="0" w:color="auto"/>
              <w:right w:val="nil"/>
            </w:tcBorders>
            <w:shd w:val="clear" w:color="auto" w:fill="auto"/>
            <w:vAlign w:val="bottom"/>
            <w:hideMark/>
          </w:tcPr>
          <w:p w14:paraId="6B37EBD3" w14:textId="77777777" w:rsidR="00BE6461" w:rsidRPr="00BE6461" w:rsidRDefault="00BE6461" w:rsidP="00BE6461">
            <w:pPr>
              <w:rPr>
                <w:b/>
                <w:bCs/>
                <w:sz w:val="20"/>
                <w:szCs w:val="20"/>
              </w:rPr>
            </w:pPr>
            <w:r w:rsidRPr="00BE6461">
              <w:rPr>
                <w:b/>
                <w:bCs/>
                <w:sz w:val="20"/>
                <w:szCs w:val="20"/>
              </w:rPr>
              <w:t>Aktivnost: RASHODI ZA ZAPOSLENE</w:t>
            </w:r>
          </w:p>
        </w:tc>
        <w:tc>
          <w:tcPr>
            <w:tcW w:w="1503" w:type="dxa"/>
            <w:tcBorders>
              <w:top w:val="single" w:sz="4" w:space="0" w:color="auto"/>
              <w:left w:val="nil"/>
              <w:bottom w:val="single" w:sz="4" w:space="0" w:color="auto"/>
              <w:right w:val="nil"/>
            </w:tcBorders>
            <w:shd w:val="clear" w:color="auto" w:fill="auto"/>
            <w:noWrap/>
            <w:vAlign w:val="bottom"/>
            <w:hideMark/>
          </w:tcPr>
          <w:p w14:paraId="5B5EFC6E" w14:textId="77777777" w:rsidR="00BE6461" w:rsidRPr="00BE6461" w:rsidRDefault="00BE6461" w:rsidP="00BE6461">
            <w:pPr>
              <w:jc w:val="right"/>
              <w:rPr>
                <w:b/>
                <w:bCs/>
                <w:sz w:val="20"/>
                <w:szCs w:val="20"/>
              </w:rPr>
            </w:pPr>
            <w:r w:rsidRPr="00BE6461">
              <w:rPr>
                <w:b/>
                <w:bCs/>
                <w:sz w:val="20"/>
                <w:szCs w:val="20"/>
              </w:rPr>
              <w:t>3.060.097,10</w:t>
            </w:r>
          </w:p>
        </w:tc>
        <w:tc>
          <w:tcPr>
            <w:tcW w:w="1500" w:type="dxa"/>
            <w:tcBorders>
              <w:top w:val="single" w:sz="4" w:space="0" w:color="auto"/>
              <w:left w:val="nil"/>
              <w:bottom w:val="single" w:sz="4" w:space="0" w:color="auto"/>
              <w:right w:val="nil"/>
            </w:tcBorders>
            <w:shd w:val="clear" w:color="auto" w:fill="auto"/>
            <w:noWrap/>
            <w:vAlign w:val="bottom"/>
            <w:hideMark/>
          </w:tcPr>
          <w:p w14:paraId="6606EEB0" w14:textId="77777777" w:rsidR="00BE6461" w:rsidRPr="00BE6461" w:rsidRDefault="00BE6461" w:rsidP="00BE6461">
            <w:pPr>
              <w:jc w:val="right"/>
              <w:rPr>
                <w:b/>
                <w:bCs/>
                <w:sz w:val="20"/>
                <w:szCs w:val="20"/>
              </w:rPr>
            </w:pPr>
            <w:r w:rsidRPr="00BE6461">
              <w:rPr>
                <w:b/>
                <w:bCs/>
                <w:sz w:val="20"/>
                <w:szCs w:val="20"/>
              </w:rPr>
              <w:t>3.057.335,66</w:t>
            </w:r>
          </w:p>
        </w:tc>
        <w:tc>
          <w:tcPr>
            <w:tcW w:w="1100" w:type="dxa"/>
            <w:tcBorders>
              <w:top w:val="single" w:sz="4" w:space="0" w:color="auto"/>
              <w:left w:val="nil"/>
              <w:bottom w:val="single" w:sz="4" w:space="0" w:color="auto"/>
              <w:right w:val="nil"/>
            </w:tcBorders>
            <w:shd w:val="clear" w:color="auto" w:fill="auto"/>
            <w:noWrap/>
            <w:vAlign w:val="bottom"/>
            <w:hideMark/>
          </w:tcPr>
          <w:p w14:paraId="32FFB0E7" w14:textId="77777777" w:rsidR="00BE6461" w:rsidRPr="00BE6461" w:rsidRDefault="00BE6461" w:rsidP="00BE6461">
            <w:pPr>
              <w:jc w:val="right"/>
              <w:rPr>
                <w:b/>
                <w:bCs/>
                <w:sz w:val="20"/>
                <w:szCs w:val="20"/>
              </w:rPr>
            </w:pPr>
            <w:r w:rsidRPr="00BE6461">
              <w:rPr>
                <w:b/>
                <w:bCs/>
                <w:sz w:val="20"/>
                <w:szCs w:val="20"/>
              </w:rPr>
              <w:t>99,91</w:t>
            </w:r>
          </w:p>
        </w:tc>
      </w:tr>
      <w:tr w:rsidR="00BE6461" w:rsidRPr="00BE6461" w14:paraId="023CE4BE"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3F4AF7B"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7CFCD586" w14:textId="77777777" w:rsidR="00BE6461" w:rsidRPr="00BE6461" w:rsidRDefault="00BE6461" w:rsidP="00BE6461">
            <w:pPr>
              <w:jc w:val="right"/>
              <w:rPr>
                <w:b/>
                <w:bCs/>
                <w:color w:val="333333"/>
                <w:sz w:val="20"/>
                <w:szCs w:val="20"/>
              </w:rPr>
            </w:pPr>
            <w:r w:rsidRPr="00BE6461">
              <w:rPr>
                <w:b/>
                <w:bCs/>
                <w:color w:val="333333"/>
                <w:sz w:val="20"/>
                <w:szCs w:val="20"/>
              </w:rPr>
              <w:t>2.840.097,10</w:t>
            </w:r>
          </w:p>
        </w:tc>
        <w:tc>
          <w:tcPr>
            <w:tcW w:w="1500" w:type="dxa"/>
            <w:tcBorders>
              <w:top w:val="nil"/>
              <w:left w:val="nil"/>
              <w:bottom w:val="nil"/>
              <w:right w:val="nil"/>
            </w:tcBorders>
            <w:shd w:val="clear" w:color="auto" w:fill="auto"/>
            <w:noWrap/>
            <w:vAlign w:val="bottom"/>
            <w:hideMark/>
          </w:tcPr>
          <w:p w14:paraId="0A987FB4" w14:textId="77777777" w:rsidR="00BE6461" w:rsidRPr="00BE6461" w:rsidRDefault="00BE6461" w:rsidP="00BE6461">
            <w:pPr>
              <w:jc w:val="right"/>
              <w:rPr>
                <w:b/>
                <w:bCs/>
                <w:color w:val="333333"/>
                <w:sz w:val="20"/>
                <w:szCs w:val="20"/>
              </w:rPr>
            </w:pPr>
            <w:r w:rsidRPr="00BE6461">
              <w:rPr>
                <w:b/>
                <w:bCs/>
                <w:color w:val="333333"/>
                <w:sz w:val="20"/>
                <w:szCs w:val="20"/>
              </w:rPr>
              <w:t>2.791.616,30</w:t>
            </w:r>
          </w:p>
        </w:tc>
        <w:tc>
          <w:tcPr>
            <w:tcW w:w="1100" w:type="dxa"/>
            <w:tcBorders>
              <w:top w:val="nil"/>
              <w:left w:val="nil"/>
              <w:bottom w:val="nil"/>
              <w:right w:val="nil"/>
            </w:tcBorders>
            <w:shd w:val="clear" w:color="auto" w:fill="auto"/>
            <w:noWrap/>
            <w:vAlign w:val="bottom"/>
            <w:hideMark/>
          </w:tcPr>
          <w:p w14:paraId="1767BFFC" w14:textId="77777777" w:rsidR="00BE6461" w:rsidRPr="00BE6461" w:rsidRDefault="00BE6461" w:rsidP="00BE6461">
            <w:pPr>
              <w:jc w:val="right"/>
              <w:rPr>
                <w:b/>
                <w:bCs/>
                <w:color w:val="333333"/>
                <w:sz w:val="20"/>
                <w:szCs w:val="20"/>
              </w:rPr>
            </w:pPr>
            <w:r w:rsidRPr="00BE6461">
              <w:rPr>
                <w:b/>
                <w:bCs/>
                <w:color w:val="333333"/>
                <w:sz w:val="20"/>
                <w:szCs w:val="20"/>
              </w:rPr>
              <w:t>98,29</w:t>
            </w:r>
          </w:p>
        </w:tc>
      </w:tr>
      <w:tr w:rsidR="00BE6461" w:rsidRPr="00BE6461" w14:paraId="73B8FA80"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51FF75B"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66614FF3" w14:textId="77777777" w:rsidR="00BE6461" w:rsidRPr="00BE6461" w:rsidRDefault="00BE6461" w:rsidP="00BE6461">
            <w:pPr>
              <w:jc w:val="right"/>
              <w:rPr>
                <w:b/>
                <w:bCs/>
                <w:color w:val="333333"/>
                <w:sz w:val="20"/>
                <w:szCs w:val="20"/>
              </w:rPr>
            </w:pPr>
            <w:r w:rsidRPr="00BE6461">
              <w:rPr>
                <w:b/>
                <w:bCs/>
                <w:color w:val="333333"/>
                <w:sz w:val="20"/>
                <w:szCs w:val="20"/>
              </w:rPr>
              <w:t>2.840.097,10</w:t>
            </w:r>
          </w:p>
        </w:tc>
        <w:tc>
          <w:tcPr>
            <w:tcW w:w="1500" w:type="dxa"/>
            <w:tcBorders>
              <w:top w:val="nil"/>
              <w:left w:val="nil"/>
              <w:bottom w:val="nil"/>
              <w:right w:val="nil"/>
            </w:tcBorders>
            <w:shd w:val="clear" w:color="auto" w:fill="auto"/>
            <w:noWrap/>
            <w:vAlign w:val="bottom"/>
            <w:hideMark/>
          </w:tcPr>
          <w:p w14:paraId="3E4511CB" w14:textId="77777777" w:rsidR="00BE6461" w:rsidRPr="00BE6461" w:rsidRDefault="00BE6461" w:rsidP="00BE6461">
            <w:pPr>
              <w:jc w:val="right"/>
              <w:rPr>
                <w:b/>
                <w:bCs/>
                <w:color w:val="333333"/>
                <w:sz w:val="20"/>
                <w:szCs w:val="20"/>
              </w:rPr>
            </w:pPr>
            <w:r w:rsidRPr="00BE6461">
              <w:rPr>
                <w:b/>
                <w:bCs/>
                <w:color w:val="333333"/>
                <w:sz w:val="20"/>
                <w:szCs w:val="20"/>
              </w:rPr>
              <w:t>2.791.616,30</w:t>
            </w:r>
          </w:p>
        </w:tc>
        <w:tc>
          <w:tcPr>
            <w:tcW w:w="1100" w:type="dxa"/>
            <w:tcBorders>
              <w:top w:val="nil"/>
              <w:left w:val="nil"/>
              <w:bottom w:val="nil"/>
              <w:right w:val="nil"/>
            </w:tcBorders>
            <w:shd w:val="clear" w:color="auto" w:fill="auto"/>
            <w:noWrap/>
            <w:vAlign w:val="bottom"/>
            <w:hideMark/>
          </w:tcPr>
          <w:p w14:paraId="7AC85D87" w14:textId="77777777" w:rsidR="00BE6461" w:rsidRPr="00BE6461" w:rsidRDefault="00BE6461" w:rsidP="00BE6461">
            <w:pPr>
              <w:jc w:val="right"/>
              <w:rPr>
                <w:b/>
                <w:bCs/>
                <w:color w:val="333333"/>
                <w:sz w:val="20"/>
                <w:szCs w:val="20"/>
              </w:rPr>
            </w:pPr>
            <w:r w:rsidRPr="00BE6461">
              <w:rPr>
                <w:b/>
                <w:bCs/>
                <w:color w:val="333333"/>
                <w:sz w:val="20"/>
                <w:szCs w:val="20"/>
              </w:rPr>
              <w:t>98,29</w:t>
            </w:r>
          </w:p>
        </w:tc>
      </w:tr>
      <w:tr w:rsidR="00BE6461" w:rsidRPr="00BE6461" w14:paraId="03902899" w14:textId="77777777" w:rsidTr="00BE6461">
        <w:trPr>
          <w:trHeight w:val="300"/>
        </w:trPr>
        <w:tc>
          <w:tcPr>
            <w:tcW w:w="1703" w:type="dxa"/>
            <w:tcBorders>
              <w:top w:val="nil"/>
              <w:left w:val="nil"/>
              <w:bottom w:val="nil"/>
              <w:right w:val="nil"/>
            </w:tcBorders>
            <w:shd w:val="clear" w:color="auto" w:fill="auto"/>
            <w:noWrap/>
            <w:vAlign w:val="bottom"/>
            <w:hideMark/>
          </w:tcPr>
          <w:p w14:paraId="1A6F0773" w14:textId="77777777" w:rsidR="00BE6461" w:rsidRPr="00BE6461" w:rsidRDefault="00BE6461" w:rsidP="00BE6461">
            <w:pPr>
              <w:rPr>
                <w:b/>
                <w:bCs/>
                <w:sz w:val="20"/>
                <w:szCs w:val="20"/>
              </w:rPr>
            </w:pPr>
            <w:r w:rsidRPr="00BE6461">
              <w:rPr>
                <w:b/>
                <w:bCs/>
                <w:sz w:val="20"/>
                <w:szCs w:val="20"/>
              </w:rPr>
              <w:t>311</w:t>
            </w:r>
          </w:p>
        </w:tc>
        <w:tc>
          <w:tcPr>
            <w:tcW w:w="8457" w:type="dxa"/>
            <w:tcBorders>
              <w:top w:val="nil"/>
              <w:left w:val="nil"/>
              <w:bottom w:val="nil"/>
              <w:right w:val="nil"/>
            </w:tcBorders>
            <w:shd w:val="clear" w:color="auto" w:fill="auto"/>
            <w:vAlign w:val="bottom"/>
            <w:hideMark/>
          </w:tcPr>
          <w:p w14:paraId="307D7F80" w14:textId="77777777" w:rsidR="00BE6461" w:rsidRPr="00BE6461" w:rsidRDefault="00BE6461" w:rsidP="00BE6461">
            <w:pPr>
              <w:rPr>
                <w:b/>
                <w:bCs/>
                <w:sz w:val="20"/>
                <w:szCs w:val="20"/>
              </w:rPr>
            </w:pPr>
            <w:r w:rsidRPr="00BE6461">
              <w:rPr>
                <w:b/>
                <w:bCs/>
                <w:sz w:val="20"/>
                <w:szCs w:val="20"/>
              </w:rPr>
              <w:t xml:space="preserve">Plaće (Bruto)                                                                                       </w:t>
            </w:r>
          </w:p>
        </w:tc>
        <w:tc>
          <w:tcPr>
            <w:tcW w:w="1503" w:type="dxa"/>
            <w:tcBorders>
              <w:top w:val="nil"/>
              <w:left w:val="nil"/>
              <w:bottom w:val="nil"/>
              <w:right w:val="nil"/>
            </w:tcBorders>
            <w:shd w:val="clear" w:color="auto" w:fill="auto"/>
            <w:noWrap/>
            <w:vAlign w:val="bottom"/>
            <w:hideMark/>
          </w:tcPr>
          <w:p w14:paraId="5991183B" w14:textId="77777777" w:rsidR="00BE6461" w:rsidRPr="00BE6461" w:rsidRDefault="00BE6461" w:rsidP="00BE6461">
            <w:pPr>
              <w:jc w:val="right"/>
              <w:rPr>
                <w:b/>
                <w:bCs/>
                <w:sz w:val="20"/>
                <w:szCs w:val="20"/>
              </w:rPr>
            </w:pPr>
            <w:r w:rsidRPr="00BE6461">
              <w:rPr>
                <w:b/>
                <w:bCs/>
                <w:sz w:val="20"/>
                <w:szCs w:val="20"/>
              </w:rPr>
              <w:t>2.219.184,20</w:t>
            </w:r>
          </w:p>
        </w:tc>
        <w:tc>
          <w:tcPr>
            <w:tcW w:w="1500" w:type="dxa"/>
            <w:tcBorders>
              <w:top w:val="nil"/>
              <w:left w:val="nil"/>
              <w:bottom w:val="nil"/>
              <w:right w:val="nil"/>
            </w:tcBorders>
            <w:shd w:val="clear" w:color="auto" w:fill="auto"/>
            <w:noWrap/>
            <w:vAlign w:val="bottom"/>
            <w:hideMark/>
          </w:tcPr>
          <w:p w14:paraId="2E5B7B42" w14:textId="77777777" w:rsidR="00BE6461" w:rsidRPr="00BE6461" w:rsidRDefault="00BE6461" w:rsidP="00BE6461">
            <w:pPr>
              <w:jc w:val="right"/>
              <w:rPr>
                <w:b/>
                <w:bCs/>
                <w:sz w:val="20"/>
                <w:szCs w:val="20"/>
              </w:rPr>
            </w:pPr>
            <w:r w:rsidRPr="00BE6461">
              <w:rPr>
                <w:b/>
                <w:bCs/>
                <w:sz w:val="20"/>
                <w:szCs w:val="20"/>
              </w:rPr>
              <w:t>2.186.550,45</w:t>
            </w:r>
          </w:p>
        </w:tc>
        <w:tc>
          <w:tcPr>
            <w:tcW w:w="1100" w:type="dxa"/>
            <w:tcBorders>
              <w:top w:val="nil"/>
              <w:left w:val="nil"/>
              <w:bottom w:val="nil"/>
              <w:right w:val="nil"/>
            </w:tcBorders>
            <w:shd w:val="clear" w:color="auto" w:fill="auto"/>
            <w:noWrap/>
            <w:vAlign w:val="bottom"/>
            <w:hideMark/>
          </w:tcPr>
          <w:p w14:paraId="06945511" w14:textId="77777777" w:rsidR="00BE6461" w:rsidRPr="00BE6461" w:rsidRDefault="00BE6461" w:rsidP="00BE6461">
            <w:pPr>
              <w:jc w:val="right"/>
              <w:rPr>
                <w:b/>
                <w:bCs/>
                <w:sz w:val="20"/>
                <w:szCs w:val="20"/>
              </w:rPr>
            </w:pPr>
            <w:r w:rsidRPr="00BE6461">
              <w:rPr>
                <w:b/>
                <w:bCs/>
                <w:sz w:val="20"/>
                <w:szCs w:val="20"/>
              </w:rPr>
              <w:t>98,53</w:t>
            </w:r>
          </w:p>
        </w:tc>
      </w:tr>
      <w:tr w:rsidR="00BE6461" w:rsidRPr="00BE6461" w14:paraId="20C878EE" w14:textId="77777777" w:rsidTr="00BE6461">
        <w:trPr>
          <w:trHeight w:val="300"/>
        </w:trPr>
        <w:tc>
          <w:tcPr>
            <w:tcW w:w="1703" w:type="dxa"/>
            <w:tcBorders>
              <w:top w:val="nil"/>
              <w:left w:val="nil"/>
              <w:bottom w:val="nil"/>
              <w:right w:val="nil"/>
            </w:tcBorders>
            <w:shd w:val="clear" w:color="auto" w:fill="auto"/>
            <w:noWrap/>
            <w:vAlign w:val="bottom"/>
            <w:hideMark/>
          </w:tcPr>
          <w:p w14:paraId="4C722AA1" w14:textId="77777777" w:rsidR="00BE6461" w:rsidRPr="00BE6461" w:rsidRDefault="00BE6461" w:rsidP="00BE6461">
            <w:pPr>
              <w:rPr>
                <w:sz w:val="20"/>
                <w:szCs w:val="20"/>
              </w:rPr>
            </w:pPr>
            <w:r w:rsidRPr="00BE6461">
              <w:rPr>
                <w:sz w:val="20"/>
                <w:szCs w:val="20"/>
              </w:rPr>
              <w:t>3111</w:t>
            </w:r>
          </w:p>
        </w:tc>
        <w:tc>
          <w:tcPr>
            <w:tcW w:w="8457" w:type="dxa"/>
            <w:tcBorders>
              <w:top w:val="nil"/>
              <w:left w:val="nil"/>
              <w:bottom w:val="nil"/>
              <w:right w:val="nil"/>
            </w:tcBorders>
            <w:shd w:val="clear" w:color="auto" w:fill="auto"/>
            <w:vAlign w:val="bottom"/>
            <w:hideMark/>
          </w:tcPr>
          <w:p w14:paraId="52DA5368" w14:textId="77777777" w:rsidR="00BE6461" w:rsidRPr="00BE6461" w:rsidRDefault="00BE6461" w:rsidP="00BE6461">
            <w:pPr>
              <w:rPr>
                <w:sz w:val="20"/>
                <w:szCs w:val="20"/>
              </w:rPr>
            </w:pPr>
            <w:r w:rsidRPr="00BE6461">
              <w:rPr>
                <w:sz w:val="20"/>
                <w:szCs w:val="20"/>
              </w:rPr>
              <w:t xml:space="preserve">Plaće za redovan rad                                                                                </w:t>
            </w:r>
          </w:p>
        </w:tc>
        <w:tc>
          <w:tcPr>
            <w:tcW w:w="1503" w:type="dxa"/>
            <w:tcBorders>
              <w:top w:val="nil"/>
              <w:left w:val="nil"/>
              <w:bottom w:val="nil"/>
              <w:right w:val="nil"/>
            </w:tcBorders>
            <w:shd w:val="clear" w:color="auto" w:fill="auto"/>
            <w:noWrap/>
            <w:vAlign w:val="bottom"/>
            <w:hideMark/>
          </w:tcPr>
          <w:p w14:paraId="1CBE8C5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51B5526" w14:textId="77777777" w:rsidR="00BE6461" w:rsidRPr="00BE6461" w:rsidRDefault="00BE6461" w:rsidP="00BE6461">
            <w:pPr>
              <w:jc w:val="right"/>
              <w:rPr>
                <w:sz w:val="20"/>
                <w:szCs w:val="20"/>
              </w:rPr>
            </w:pPr>
            <w:r w:rsidRPr="00BE6461">
              <w:rPr>
                <w:sz w:val="20"/>
                <w:szCs w:val="20"/>
              </w:rPr>
              <w:t>2.186.550,45</w:t>
            </w:r>
          </w:p>
        </w:tc>
        <w:tc>
          <w:tcPr>
            <w:tcW w:w="1100" w:type="dxa"/>
            <w:tcBorders>
              <w:top w:val="nil"/>
              <w:left w:val="nil"/>
              <w:bottom w:val="nil"/>
              <w:right w:val="nil"/>
            </w:tcBorders>
            <w:shd w:val="clear" w:color="auto" w:fill="auto"/>
            <w:noWrap/>
            <w:vAlign w:val="bottom"/>
            <w:hideMark/>
          </w:tcPr>
          <w:p w14:paraId="149E87B2" w14:textId="77777777" w:rsidR="00BE6461" w:rsidRPr="00BE6461" w:rsidRDefault="00BE6461" w:rsidP="00BE6461">
            <w:pPr>
              <w:jc w:val="right"/>
              <w:rPr>
                <w:sz w:val="20"/>
                <w:szCs w:val="20"/>
              </w:rPr>
            </w:pPr>
          </w:p>
        </w:tc>
      </w:tr>
      <w:tr w:rsidR="00BE6461" w:rsidRPr="00BE6461" w14:paraId="0713BB0E" w14:textId="77777777" w:rsidTr="00BE6461">
        <w:trPr>
          <w:trHeight w:val="300"/>
        </w:trPr>
        <w:tc>
          <w:tcPr>
            <w:tcW w:w="1703" w:type="dxa"/>
            <w:tcBorders>
              <w:top w:val="nil"/>
              <w:left w:val="nil"/>
              <w:bottom w:val="nil"/>
              <w:right w:val="nil"/>
            </w:tcBorders>
            <w:shd w:val="clear" w:color="auto" w:fill="auto"/>
            <w:noWrap/>
            <w:vAlign w:val="bottom"/>
            <w:hideMark/>
          </w:tcPr>
          <w:p w14:paraId="45D3FDF4" w14:textId="77777777" w:rsidR="00BE6461" w:rsidRPr="00BE6461" w:rsidRDefault="00BE6461" w:rsidP="00BE6461">
            <w:pPr>
              <w:rPr>
                <w:b/>
                <w:bCs/>
                <w:sz w:val="20"/>
                <w:szCs w:val="20"/>
              </w:rPr>
            </w:pPr>
            <w:r w:rsidRPr="00BE6461">
              <w:rPr>
                <w:b/>
                <w:bCs/>
                <w:sz w:val="20"/>
                <w:szCs w:val="20"/>
              </w:rPr>
              <w:t>312</w:t>
            </w:r>
          </w:p>
        </w:tc>
        <w:tc>
          <w:tcPr>
            <w:tcW w:w="8457" w:type="dxa"/>
            <w:tcBorders>
              <w:top w:val="nil"/>
              <w:left w:val="nil"/>
              <w:bottom w:val="nil"/>
              <w:right w:val="nil"/>
            </w:tcBorders>
            <w:shd w:val="clear" w:color="auto" w:fill="auto"/>
            <w:vAlign w:val="bottom"/>
            <w:hideMark/>
          </w:tcPr>
          <w:p w14:paraId="70C25C05" w14:textId="77777777" w:rsidR="00BE6461" w:rsidRPr="00BE6461" w:rsidRDefault="00BE6461" w:rsidP="00BE6461">
            <w:pPr>
              <w:rPr>
                <w:b/>
                <w:bCs/>
                <w:sz w:val="20"/>
                <w:szCs w:val="20"/>
              </w:rPr>
            </w:pPr>
            <w:r w:rsidRPr="00BE6461">
              <w:rPr>
                <w:b/>
                <w:bCs/>
                <w:sz w:val="20"/>
                <w:szCs w:val="20"/>
              </w:rPr>
              <w:t xml:space="preserve">Ostali rashodi za zaposlene                                                                         </w:t>
            </w:r>
          </w:p>
        </w:tc>
        <w:tc>
          <w:tcPr>
            <w:tcW w:w="1503" w:type="dxa"/>
            <w:tcBorders>
              <w:top w:val="nil"/>
              <w:left w:val="nil"/>
              <w:bottom w:val="nil"/>
              <w:right w:val="nil"/>
            </w:tcBorders>
            <w:shd w:val="clear" w:color="auto" w:fill="auto"/>
            <w:noWrap/>
            <w:vAlign w:val="bottom"/>
            <w:hideMark/>
          </w:tcPr>
          <w:p w14:paraId="6B51189C" w14:textId="77777777" w:rsidR="00BE6461" w:rsidRPr="00BE6461" w:rsidRDefault="00BE6461" w:rsidP="00BE6461">
            <w:pPr>
              <w:jc w:val="right"/>
              <w:rPr>
                <w:b/>
                <w:bCs/>
                <w:sz w:val="20"/>
                <w:szCs w:val="20"/>
              </w:rPr>
            </w:pPr>
            <w:r w:rsidRPr="00BE6461">
              <w:rPr>
                <w:b/>
                <w:bCs/>
                <w:sz w:val="20"/>
                <w:szCs w:val="20"/>
              </w:rPr>
              <w:t>253.810,29</w:t>
            </w:r>
          </w:p>
        </w:tc>
        <w:tc>
          <w:tcPr>
            <w:tcW w:w="1500" w:type="dxa"/>
            <w:tcBorders>
              <w:top w:val="nil"/>
              <w:left w:val="nil"/>
              <w:bottom w:val="nil"/>
              <w:right w:val="nil"/>
            </w:tcBorders>
            <w:shd w:val="clear" w:color="auto" w:fill="auto"/>
            <w:noWrap/>
            <w:vAlign w:val="bottom"/>
            <w:hideMark/>
          </w:tcPr>
          <w:p w14:paraId="212A0EFC" w14:textId="77777777" w:rsidR="00BE6461" w:rsidRPr="00BE6461" w:rsidRDefault="00BE6461" w:rsidP="00BE6461">
            <w:pPr>
              <w:jc w:val="right"/>
              <w:rPr>
                <w:b/>
                <w:bCs/>
                <w:sz w:val="20"/>
                <w:szCs w:val="20"/>
              </w:rPr>
            </w:pPr>
            <w:r w:rsidRPr="00BE6461">
              <w:rPr>
                <w:b/>
                <w:bCs/>
                <w:sz w:val="20"/>
                <w:szCs w:val="20"/>
              </w:rPr>
              <w:t>244.585,29</w:t>
            </w:r>
          </w:p>
        </w:tc>
        <w:tc>
          <w:tcPr>
            <w:tcW w:w="1100" w:type="dxa"/>
            <w:tcBorders>
              <w:top w:val="nil"/>
              <w:left w:val="nil"/>
              <w:bottom w:val="nil"/>
              <w:right w:val="nil"/>
            </w:tcBorders>
            <w:shd w:val="clear" w:color="auto" w:fill="auto"/>
            <w:noWrap/>
            <w:vAlign w:val="bottom"/>
            <w:hideMark/>
          </w:tcPr>
          <w:p w14:paraId="658DAC31" w14:textId="77777777" w:rsidR="00BE6461" w:rsidRPr="00BE6461" w:rsidRDefault="00BE6461" w:rsidP="00BE6461">
            <w:pPr>
              <w:jc w:val="right"/>
              <w:rPr>
                <w:b/>
                <w:bCs/>
                <w:sz w:val="20"/>
                <w:szCs w:val="20"/>
              </w:rPr>
            </w:pPr>
            <w:r w:rsidRPr="00BE6461">
              <w:rPr>
                <w:b/>
                <w:bCs/>
                <w:sz w:val="20"/>
                <w:szCs w:val="20"/>
              </w:rPr>
              <w:t>96,37</w:t>
            </w:r>
          </w:p>
        </w:tc>
      </w:tr>
      <w:tr w:rsidR="00BE6461" w:rsidRPr="00BE6461" w14:paraId="4F9058A6" w14:textId="77777777" w:rsidTr="00BE6461">
        <w:trPr>
          <w:trHeight w:val="300"/>
        </w:trPr>
        <w:tc>
          <w:tcPr>
            <w:tcW w:w="1703" w:type="dxa"/>
            <w:tcBorders>
              <w:top w:val="nil"/>
              <w:left w:val="nil"/>
              <w:bottom w:val="nil"/>
              <w:right w:val="nil"/>
            </w:tcBorders>
            <w:shd w:val="clear" w:color="auto" w:fill="auto"/>
            <w:noWrap/>
            <w:vAlign w:val="bottom"/>
            <w:hideMark/>
          </w:tcPr>
          <w:p w14:paraId="1AFBC71A" w14:textId="77777777" w:rsidR="00BE6461" w:rsidRPr="00BE6461" w:rsidRDefault="00BE6461" w:rsidP="00BE6461">
            <w:pPr>
              <w:rPr>
                <w:sz w:val="20"/>
                <w:szCs w:val="20"/>
              </w:rPr>
            </w:pPr>
            <w:r w:rsidRPr="00BE6461">
              <w:rPr>
                <w:sz w:val="20"/>
                <w:szCs w:val="20"/>
              </w:rPr>
              <w:t>3121</w:t>
            </w:r>
          </w:p>
        </w:tc>
        <w:tc>
          <w:tcPr>
            <w:tcW w:w="8457" w:type="dxa"/>
            <w:tcBorders>
              <w:top w:val="nil"/>
              <w:left w:val="nil"/>
              <w:bottom w:val="nil"/>
              <w:right w:val="nil"/>
            </w:tcBorders>
            <w:shd w:val="clear" w:color="auto" w:fill="auto"/>
            <w:vAlign w:val="bottom"/>
            <w:hideMark/>
          </w:tcPr>
          <w:p w14:paraId="48120111" w14:textId="77777777" w:rsidR="00BE6461" w:rsidRPr="00BE6461" w:rsidRDefault="00BE6461" w:rsidP="00BE6461">
            <w:pPr>
              <w:rPr>
                <w:sz w:val="20"/>
                <w:szCs w:val="20"/>
              </w:rPr>
            </w:pPr>
            <w:r w:rsidRPr="00BE6461">
              <w:rPr>
                <w:sz w:val="20"/>
                <w:szCs w:val="20"/>
              </w:rPr>
              <w:t xml:space="preserve">Ostali rashodi za zaposlene                                                                         </w:t>
            </w:r>
          </w:p>
        </w:tc>
        <w:tc>
          <w:tcPr>
            <w:tcW w:w="1503" w:type="dxa"/>
            <w:tcBorders>
              <w:top w:val="nil"/>
              <w:left w:val="nil"/>
              <w:bottom w:val="nil"/>
              <w:right w:val="nil"/>
            </w:tcBorders>
            <w:shd w:val="clear" w:color="auto" w:fill="auto"/>
            <w:noWrap/>
            <w:vAlign w:val="bottom"/>
            <w:hideMark/>
          </w:tcPr>
          <w:p w14:paraId="75BFD41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B38A4A3" w14:textId="77777777" w:rsidR="00BE6461" w:rsidRPr="00BE6461" w:rsidRDefault="00BE6461" w:rsidP="00BE6461">
            <w:pPr>
              <w:jc w:val="right"/>
              <w:rPr>
                <w:sz w:val="20"/>
                <w:szCs w:val="20"/>
              </w:rPr>
            </w:pPr>
            <w:r w:rsidRPr="00BE6461">
              <w:rPr>
                <w:sz w:val="20"/>
                <w:szCs w:val="20"/>
              </w:rPr>
              <w:t>244.585,29</w:t>
            </w:r>
          </w:p>
        </w:tc>
        <w:tc>
          <w:tcPr>
            <w:tcW w:w="1100" w:type="dxa"/>
            <w:tcBorders>
              <w:top w:val="nil"/>
              <w:left w:val="nil"/>
              <w:bottom w:val="nil"/>
              <w:right w:val="nil"/>
            </w:tcBorders>
            <w:shd w:val="clear" w:color="auto" w:fill="auto"/>
            <w:noWrap/>
            <w:vAlign w:val="bottom"/>
            <w:hideMark/>
          </w:tcPr>
          <w:p w14:paraId="2710EE3D" w14:textId="77777777" w:rsidR="00BE6461" w:rsidRPr="00BE6461" w:rsidRDefault="00BE6461" w:rsidP="00BE6461">
            <w:pPr>
              <w:jc w:val="right"/>
              <w:rPr>
                <w:sz w:val="20"/>
                <w:szCs w:val="20"/>
              </w:rPr>
            </w:pPr>
          </w:p>
        </w:tc>
      </w:tr>
      <w:tr w:rsidR="00BE6461" w:rsidRPr="00BE6461" w14:paraId="169863DF" w14:textId="77777777" w:rsidTr="00BE6461">
        <w:trPr>
          <w:trHeight w:val="300"/>
        </w:trPr>
        <w:tc>
          <w:tcPr>
            <w:tcW w:w="1703" w:type="dxa"/>
            <w:tcBorders>
              <w:top w:val="nil"/>
              <w:left w:val="nil"/>
              <w:bottom w:val="nil"/>
              <w:right w:val="nil"/>
            </w:tcBorders>
            <w:shd w:val="clear" w:color="auto" w:fill="auto"/>
            <w:noWrap/>
            <w:vAlign w:val="bottom"/>
            <w:hideMark/>
          </w:tcPr>
          <w:p w14:paraId="6FA5C4E0" w14:textId="77777777" w:rsidR="00BE6461" w:rsidRPr="00BE6461" w:rsidRDefault="00BE6461" w:rsidP="00BE6461">
            <w:pPr>
              <w:rPr>
                <w:b/>
                <w:bCs/>
                <w:sz w:val="20"/>
                <w:szCs w:val="20"/>
              </w:rPr>
            </w:pPr>
            <w:r w:rsidRPr="00BE6461">
              <w:rPr>
                <w:b/>
                <w:bCs/>
                <w:sz w:val="20"/>
                <w:szCs w:val="20"/>
              </w:rPr>
              <w:t>313</w:t>
            </w:r>
          </w:p>
        </w:tc>
        <w:tc>
          <w:tcPr>
            <w:tcW w:w="8457" w:type="dxa"/>
            <w:tcBorders>
              <w:top w:val="nil"/>
              <w:left w:val="nil"/>
              <w:bottom w:val="nil"/>
              <w:right w:val="nil"/>
            </w:tcBorders>
            <w:shd w:val="clear" w:color="auto" w:fill="auto"/>
            <w:vAlign w:val="bottom"/>
            <w:hideMark/>
          </w:tcPr>
          <w:p w14:paraId="457EA6C8" w14:textId="77777777" w:rsidR="00BE6461" w:rsidRPr="00BE6461" w:rsidRDefault="00BE6461" w:rsidP="00BE6461">
            <w:pPr>
              <w:rPr>
                <w:b/>
                <w:bCs/>
                <w:sz w:val="20"/>
                <w:szCs w:val="20"/>
              </w:rPr>
            </w:pPr>
            <w:r w:rsidRPr="00BE6461">
              <w:rPr>
                <w:b/>
                <w:bCs/>
                <w:sz w:val="20"/>
                <w:szCs w:val="20"/>
              </w:rPr>
              <w:t xml:space="preserve">Doprinosi na plaće                                                                                  </w:t>
            </w:r>
          </w:p>
        </w:tc>
        <w:tc>
          <w:tcPr>
            <w:tcW w:w="1503" w:type="dxa"/>
            <w:tcBorders>
              <w:top w:val="nil"/>
              <w:left w:val="nil"/>
              <w:bottom w:val="nil"/>
              <w:right w:val="nil"/>
            </w:tcBorders>
            <w:shd w:val="clear" w:color="auto" w:fill="auto"/>
            <w:noWrap/>
            <w:vAlign w:val="bottom"/>
            <w:hideMark/>
          </w:tcPr>
          <w:p w14:paraId="26D12598" w14:textId="77777777" w:rsidR="00BE6461" w:rsidRPr="00BE6461" w:rsidRDefault="00BE6461" w:rsidP="00BE6461">
            <w:pPr>
              <w:jc w:val="right"/>
              <w:rPr>
                <w:b/>
                <w:bCs/>
                <w:sz w:val="20"/>
                <w:szCs w:val="20"/>
              </w:rPr>
            </w:pPr>
            <w:r w:rsidRPr="00BE6461">
              <w:rPr>
                <w:b/>
                <w:bCs/>
                <w:sz w:val="20"/>
                <w:szCs w:val="20"/>
              </w:rPr>
              <w:t>366.165,30</w:t>
            </w:r>
          </w:p>
        </w:tc>
        <w:tc>
          <w:tcPr>
            <w:tcW w:w="1500" w:type="dxa"/>
            <w:tcBorders>
              <w:top w:val="nil"/>
              <w:left w:val="nil"/>
              <w:bottom w:val="nil"/>
              <w:right w:val="nil"/>
            </w:tcBorders>
            <w:shd w:val="clear" w:color="auto" w:fill="auto"/>
            <w:noWrap/>
            <w:vAlign w:val="bottom"/>
            <w:hideMark/>
          </w:tcPr>
          <w:p w14:paraId="409BF104" w14:textId="77777777" w:rsidR="00BE6461" w:rsidRPr="00BE6461" w:rsidRDefault="00BE6461" w:rsidP="00BE6461">
            <w:pPr>
              <w:jc w:val="right"/>
              <w:rPr>
                <w:b/>
                <w:bCs/>
                <w:sz w:val="20"/>
                <w:szCs w:val="20"/>
              </w:rPr>
            </w:pPr>
            <w:r w:rsidRPr="00BE6461">
              <w:rPr>
                <w:b/>
                <w:bCs/>
                <w:sz w:val="20"/>
                <w:szCs w:val="20"/>
              </w:rPr>
              <w:t>359.543,25</w:t>
            </w:r>
          </w:p>
        </w:tc>
        <w:tc>
          <w:tcPr>
            <w:tcW w:w="1100" w:type="dxa"/>
            <w:tcBorders>
              <w:top w:val="nil"/>
              <w:left w:val="nil"/>
              <w:bottom w:val="nil"/>
              <w:right w:val="nil"/>
            </w:tcBorders>
            <w:shd w:val="clear" w:color="auto" w:fill="auto"/>
            <w:noWrap/>
            <w:vAlign w:val="bottom"/>
            <w:hideMark/>
          </w:tcPr>
          <w:p w14:paraId="3979F428" w14:textId="77777777" w:rsidR="00BE6461" w:rsidRPr="00BE6461" w:rsidRDefault="00BE6461" w:rsidP="00BE6461">
            <w:pPr>
              <w:jc w:val="right"/>
              <w:rPr>
                <w:b/>
                <w:bCs/>
                <w:sz w:val="20"/>
                <w:szCs w:val="20"/>
              </w:rPr>
            </w:pPr>
            <w:r w:rsidRPr="00BE6461">
              <w:rPr>
                <w:b/>
                <w:bCs/>
                <w:sz w:val="20"/>
                <w:szCs w:val="20"/>
              </w:rPr>
              <w:t>98,19</w:t>
            </w:r>
          </w:p>
        </w:tc>
      </w:tr>
      <w:tr w:rsidR="00BE6461" w:rsidRPr="00BE6461" w14:paraId="547CF550" w14:textId="77777777" w:rsidTr="00BE6461">
        <w:trPr>
          <w:trHeight w:val="300"/>
        </w:trPr>
        <w:tc>
          <w:tcPr>
            <w:tcW w:w="1703" w:type="dxa"/>
            <w:tcBorders>
              <w:top w:val="nil"/>
              <w:left w:val="nil"/>
              <w:bottom w:val="nil"/>
              <w:right w:val="nil"/>
            </w:tcBorders>
            <w:shd w:val="clear" w:color="auto" w:fill="auto"/>
            <w:noWrap/>
            <w:vAlign w:val="bottom"/>
            <w:hideMark/>
          </w:tcPr>
          <w:p w14:paraId="6F3C2478" w14:textId="77777777" w:rsidR="00BE6461" w:rsidRPr="00BE6461" w:rsidRDefault="00BE6461" w:rsidP="00BE6461">
            <w:pPr>
              <w:rPr>
                <w:sz w:val="20"/>
                <w:szCs w:val="20"/>
              </w:rPr>
            </w:pPr>
            <w:r w:rsidRPr="00BE6461">
              <w:rPr>
                <w:sz w:val="20"/>
                <w:szCs w:val="20"/>
              </w:rPr>
              <w:t>3132</w:t>
            </w:r>
          </w:p>
        </w:tc>
        <w:tc>
          <w:tcPr>
            <w:tcW w:w="8457" w:type="dxa"/>
            <w:tcBorders>
              <w:top w:val="nil"/>
              <w:left w:val="nil"/>
              <w:bottom w:val="nil"/>
              <w:right w:val="nil"/>
            </w:tcBorders>
            <w:shd w:val="clear" w:color="auto" w:fill="auto"/>
            <w:vAlign w:val="bottom"/>
            <w:hideMark/>
          </w:tcPr>
          <w:p w14:paraId="71501437" w14:textId="77777777" w:rsidR="00BE6461" w:rsidRPr="00BE6461" w:rsidRDefault="00BE6461" w:rsidP="00BE6461">
            <w:pPr>
              <w:rPr>
                <w:sz w:val="20"/>
                <w:szCs w:val="20"/>
              </w:rPr>
            </w:pPr>
            <w:r w:rsidRPr="00BE6461">
              <w:rPr>
                <w:sz w:val="20"/>
                <w:szCs w:val="20"/>
              </w:rPr>
              <w:t xml:space="preserve">Doprinosi za obvezno zdravstveno osiguranje                                                         </w:t>
            </w:r>
          </w:p>
        </w:tc>
        <w:tc>
          <w:tcPr>
            <w:tcW w:w="1503" w:type="dxa"/>
            <w:tcBorders>
              <w:top w:val="nil"/>
              <w:left w:val="nil"/>
              <w:bottom w:val="nil"/>
              <w:right w:val="nil"/>
            </w:tcBorders>
            <w:shd w:val="clear" w:color="auto" w:fill="auto"/>
            <w:noWrap/>
            <w:vAlign w:val="bottom"/>
            <w:hideMark/>
          </w:tcPr>
          <w:p w14:paraId="28246F4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8CEB76A" w14:textId="77777777" w:rsidR="00BE6461" w:rsidRPr="00BE6461" w:rsidRDefault="00BE6461" w:rsidP="00BE6461">
            <w:pPr>
              <w:jc w:val="right"/>
              <w:rPr>
                <w:sz w:val="20"/>
                <w:szCs w:val="20"/>
              </w:rPr>
            </w:pPr>
            <w:r w:rsidRPr="00BE6461">
              <w:rPr>
                <w:sz w:val="20"/>
                <w:szCs w:val="20"/>
              </w:rPr>
              <w:t>359.543,25</w:t>
            </w:r>
          </w:p>
        </w:tc>
        <w:tc>
          <w:tcPr>
            <w:tcW w:w="1100" w:type="dxa"/>
            <w:tcBorders>
              <w:top w:val="nil"/>
              <w:left w:val="nil"/>
              <w:bottom w:val="nil"/>
              <w:right w:val="nil"/>
            </w:tcBorders>
            <w:shd w:val="clear" w:color="auto" w:fill="auto"/>
            <w:noWrap/>
            <w:vAlign w:val="bottom"/>
            <w:hideMark/>
          </w:tcPr>
          <w:p w14:paraId="4D5F1A33" w14:textId="77777777" w:rsidR="00BE6461" w:rsidRPr="00BE6461" w:rsidRDefault="00BE6461" w:rsidP="00BE6461">
            <w:pPr>
              <w:jc w:val="right"/>
              <w:rPr>
                <w:sz w:val="20"/>
                <w:szCs w:val="20"/>
              </w:rPr>
            </w:pPr>
          </w:p>
        </w:tc>
      </w:tr>
      <w:tr w:rsidR="00BE6461" w:rsidRPr="00BE6461" w14:paraId="73854B7D" w14:textId="77777777" w:rsidTr="00BE6461">
        <w:trPr>
          <w:trHeight w:val="300"/>
        </w:trPr>
        <w:tc>
          <w:tcPr>
            <w:tcW w:w="1703" w:type="dxa"/>
            <w:tcBorders>
              <w:top w:val="nil"/>
              <w:left w:val="nil"/>
              <w:bottom w:val="nil"/>
              <w:right w:val="nil"/>
            </w:tcBorders>
            <w:shd w:val="clear" w:color="auto" w:fill="auto"/>
            <w:noWrap/>
            <w:vAlign w:val="bottom"/>
            <w:hideMark/>
          </w:tcPr>
          <w:p w14:paraId="58DBCF49"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03ABF977"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778E0AD1" w14:textId="77777777" w:rsidR="00BE6461" w:rsidRPr="00BE6461" w:rsidRDefault="00BE6461" w:rsidP="00BE6461">
            <w:pPr>
              <w:jc w:val="right"/>
              <w:rPr>
                <w:b/>
                <w:bCs/>
                <w:sz w:val="20"/>
                <w:szCs w:val="20"/>
              </w:rPr>
            </w:pPr>
            <w:r w:rsidRPr="00BE6461">
              <w:rPr>
                <w:b/>
                <w:bCs/>
                <w:sz w:val="20"/>
                <w:szCs w:val="20"/>
              </w:rPr>
              <w:t>937,31</w:t>
            </w:r>
          </w:p>
        </w:tc>
        <w:tc>
          <w:tcPr>
            <w:tcW w:w="1500" w:type="dxa"/>
            <w:tcBorders>
              <w:top w:val="nil"/>
              <w:left w:val="nil"/>
              <w:bottom w:val="nil"/>
              <w:right w:val="nil"/>
            </w:tcBorders>
            <w:shd w:val="clear" w:color="auto" w:fill="auto"/>
            <w:noWrap/>
            <w:vAlign w:val="bottom"/>
            <w:hideMark/>
          </w:tcPr>
          <w:p w14:paraId="1F41E3CC" w14:textId="77777777" w:rsidR="00BE6461" w:rsidRPr="00BE6461" w:rsidRDefault="00BE6461" w:rsidP="00BE6461">
            <w:pPr>
              <w:jc w:val="right"/>
              <w:rPr>
                <w:b/>
                <w:bCs/>
                <w:sz w:val="20"/>
                <w:szCs w:val="20"/>
              </w:rPr>
            </w:pPr>
            <w:r w:rsidRPr="00BE6461">
              <w:rPr>
                <w:b/>
                <w:bCs/>
                <w:sz w:val="20"/>
                <w:szCs w:val="20"/>
              </w:rPr>
              <w:t>937,31</w:t>
            </w:r>
          </w:p>
        </w:tc>
        <w:tc>
          <w:tcPr>
            <w:tcW w:w="1100" w:type="dxa"/>
            <w:tcBorders>
              <w:top w:val="nil"/>
              <w:left w:val="nil"/>
              <w:bottom w:val="nil"/>
              <w:right w:val="nil"/>
            </w:tcBorders>
            <w:shd w:val="clear" w:color="auto" w:fill="auto"/>
            <w:noWrap/>
            <w:vAlign w:val="bottom"/>
            <w:hideMark/>
          </w:tcPr>
          <w:p w14:paraId="3DCCC3EE"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2D91D96A" w14:textId="77777777" w:rsidTr="00BE6461">
        <w:trPr>
          <w:trHeight w:val="300"/>
        </w:trPr>
        <w:tc>
          <w:tcPr>
            <w:tcW w:w="1703" w:type="dxa"/>
            <w:tcBorders>
              <w:top w:val="nil"/>
              <w:left w:val="nil"/>
              <w:bottom w:val="nil"/>
              <w:right w:val="nil"/>
            </w:tcBorders>
            <w:shd w:val="clear" w:color="auto" w:fill="auto"/>
            <w:noWrap/>
            <w:vAlign w:val="bottom"/>
            <w:hideMark/>
          </w:tcPr>
          <w:p w14:paraId="5BADE5EE" w14:textId="77777777" w:rsidR="00BE6461" w:rsidRPr="00BE6461" w:rsidRDefault="00BE6461" w:rsidP="00BE6461">
            <w:pPr>
              <w:rPr>
                <w:sz w:val="20"/>
                <w:szCs w:val="20"/>
              </w:rPr>
            </w:pPr>
            <w:r w:rsidRPr="00BE6461">
              <w:rPr>
                <w:sz w:val="20"/>
                <w:szCs w:val="20"/>
              </w:rPr>
              <w:t>3295</w:t>
            </w:r>
          </w:p>
        </w:tc>
        <w:tc>
          <w:tcPr>
            <w:tcW w:w="8457" w:type="dxa"/>
            <w:tcBorders>
              <w:top w:val="nil"/>
              <w:left w:val="nil"/>
              <w:bottom w:val="nil"/>
              <w:right w:val="nil"/>
            </w:tcBorders>
            <w:shd w:val="clear" w:color="auto" w:fill="auto"/>
            <w:vAlign w:val="bottom"/>
            <w:hideMark/>
          </w:tcPr>
          <w:p w14:paraId="395ACE7A" w14:textId="77777777" w:rsidR="00BE6461" w:rsidRPr="00BE6461" w:rsidRDefault="00BE6461" w:rsidP="00BE6461">
            <w:pPr>
              <w:rPr>
                <w:sz w:val="20"/>
                <w:szCs w:val="20"/>
              </w:rPr>
            </w:pPr>
            <w:r w:rsidRPr="00BE6461">
              <w:rPr>
                <w:sz w:val="20"/>
                <w:szCs w:val="20"/>
              </w:rPr>
              <w:t xml:space="preserve">Pristojbe i naknade                                                                                 </w:t>
            </w:r>
          </w:p>
        </w:tc>
        <w:tc>
          <w:tcPr>
            <w:tcW w:w="1503" w:type="dxa"/>
            <w:tcBorders>
              <w:top w:val="nil"/>
              <w:left w:val="nil"/>
              <w:bottom w:val="nil"/>
              <w:right w:val="nil"/>
            </w:tcBorders>
            <w:shd w:val="clear" w:color="auto" w:fill="auto"/>
            <w:noWrap/>
            <w:vAlign w:val="bottom"/>
            <w:hideMark/>
          </w:tcPr>
          <w:p w14:paraId="6BAFF130"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7C4BA98" w14:textId="77777777" w:rsidR="00BE6461" w:rsidRPr="00BE6461" w:rsidRDefault="00BE6461" w:rsidP="00BE6461">
            <w:pPr>
              <w:jc w:val="right"/>
              <w:rPr>
                <w:sz w:val="20"/>
                <w:szCs w:val="20"/>
              </w:rPr>
            </w:pPr>
            <w:r w:rsidRPr="00BE6461">
              <w:rPr>
                <w:sz w:val="20"/>
                <w:szCs w:val="20"/>
              </w:rPr>
              <w:t>937,31</w:t>
            </w:r>
          </w:p>
        </w:tc>
        <w:tc>
          <w:tcPr>
            <w:tcW w:w="1100" w:type="dxa"/>
            <w:tcBorders>
              <w:top w:val="nil"/>
              <w:left w:val="nil"/>
              <w:bottom w:val="nil"/>
              <w:right w:val="nil"/>
            </w:tcBorders>
            <w:shd w:val="clear" w:color="auto" w:fill="auto"/>
            <w:noWrap/>
            <w:vAlign w:val="bottom"/>
            <w:hideMark/>
          </w:tcPr>
          <w:p w14:paraId="3137324F" w14:textId="77777777" w:rsidR="00BE6461" w:rsidRPr="00BE6461" w:rsidRDefault="00BE6461" w:rsidP="00BE6461">
            <w:pPr>
              <w:jc w:val="right"/>
              <w:rPr>
                <w:sz w:val="20"/>
                <w:szCs w:val="20"/>
              </w:rPr>
            </w:pPr>
          </w:p>
        </w:tc>
      </w:tr>
      <w:tr w:rsidR="00BE6461" w:rsidRPr="00BE6461" w14:paraId="7FAEB32A"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F4E93BE" w14:textId="77777777" w:rsidR="00BE6461" w:rsidRPr="00BE6461" w:rsidRDefault="00BE6461" w:rsidP="00BE6461">
            <w:pPr>
              <w:rPr>
                <w:b/>
                <w:bCs/>
                <w:color w:val="333333"/>
                <w:sz w:val="20"/>
                <w:szCs w:val="20"/>
              </w:rPr>
            </w:pPr>
            <w:r w:rsidRPr="00BE6461">
              <w:rPr>
                <w:b/>
                <w:bCs/>
                <w:color w:val="333333"/>
                <w:sz w:val="20"/>
                <w:szCs w:val="20"/>
              </w:rPr>
              <w:t>Izvor 5. POMOĆI</w:t>
            </w:r>
          </w:p>
        </w:tc>
        <w:tc>
          <w:tcPr>
            <w:tcW w:w="1503" w:type="dxa"/>
            <w:tcBorders>
              <w:top w:val="nil"/>
              <w:left w:val="nil"/>
              <w:bottom w:val="nil"/>
              <w:right w:val="nil"/>
            </w:tcBorders>
            <w:shd w:val="clear" w:color="auto" w:fill="auto"/>
            <w:noWrap/>
            <w:vAlign w:val="bottom"/>
            <w:hideMark/>
          </w:tcPr>
          <w:p w14:paraId="1486D0DE" w14:textId="77777777" w:rsidR="00BE6461" w:rsidRPr="00BE6461" w:rsidRDefault="00BE6461" w:rsidP="00BE6461">
            <w:pPr>
              <w:jc w:val="right"/>
              <w:rPr>
                <w:b/>
                <w:bCs/>
                <w:color w:val="333333"/>
                <w:sz w:val="20"/>
                <w:szCs w:val="20"/>
              </w:rPr>
            </w:pPr>
            <w:r w:rsidRPr="00BE6461">
              <w:rPr>
                <w:b/>
                <w:bCs/>
                <w:color w:val="333333"/>
                <w:sz w:val="20"/>
                <w:szCs w:val="20"/>
              </w:rPr>
              <w:t>220.000,00</w:t>
            </w:r>
          </w:p>
        </w:tc>
        <w:tc>
          <w:tcPr>
            <w:tcW w:w="1500" w:type="dxa"/>
            <w:tcBorders>
              <w:top w:val="nil"/>
              <w:left w:val="nil"/>
              <w:bottom w:val="nil"/>
              <w:right w:val="nil"/>
            </w:tcBorders>
            <w:shd w:val="clear" w:color="auto" w:fill="auto"/>
            <w:noWrap/>
            <w:vAlign w:val="bottom"/>
            <w:hideMark/>
          </w:tcPr>
          <w:p w14:paraId="13079D42" w14:textId="77777777" w:rsidR="00BE6461" w:rsidRPr="00BE6461" w:rsidRDefault="00BE6461" w:rsidP="00BE6461">
            <w:pPr>
              <w:jc w:val="right"/>
              <w:rPr>
                <w:b/>
                <w:bCs/>
                <w:color w:val="333333"/>
                <w:sz w:val="20"/>
                <w:szCs w:val="20"/>
              </w:rPr>
            </w:pPr>
            <w:r w:rsidRPr="00BE6461">
              <w:rPr>
                <w:b/>
                <w:bCs/>
                <w:color w:val="333333"/>
                <w:sz w:val="20"/>
                <w:szCs w:val="20"/>
              </w:rPr>
              <w:t>265.719,36</w:t>
            </w:r>
          </w:p>
        </w:tc>
        <w:tc>
          <w:tcPr>
            <w:tcW w:w="1100" w:type="dxa"/>
            <w:tcBorders>
              <w:top w:val="nil"/>
              <w:left w:val="nil"/>
              <w:bottom w:val="nil"/>
              <w:right w:val="nil"/>
            </w:tcBorders>
            <w:shd w:val="clear" w:color="auto" w:fill="auto"/>
            <w:noWrap/>
            <w:vAlign w:val="bottom"/>
            <w:hideMark/>
          </w:tcPr>
          <w:p w14:paraId="2628A0D4" w14:textId="77777777" w:rsidR="00BE6461" w:rsidRPr="00BE6461" w:rsidRDefault="00BE6461" w:rsidP="00BE6461">
            <w:pPr>
              <w:jc w:val="right"/>
              <w:rPr>
                <w:b/>
                <w:bCs/>
                <w:color w:val="333333"/>
                <w:sz w:val="20"/>
                <w:szCs w:val="20"/>
              </w:rPr>
            </w:pPr>
            <w:r w:rsidRPr="00BE6461">
              <w:rPr>
                <w:b/>
                <w:bCs/>
                <w:color w:val="333333"/>
                <w:sz w:val="20"/>
                <w:szCs w:val="20"/>
              </w:rPr>
              <w:t>120,78</w:t>
            </w:r>
          </w:p>
        </w:tc>
      </w:tr>
      <w:tr w:rsidR="00BE6461" w:rsidRPr="00BE6461" w14:paraId="10B3BEA5"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C1C3D67" w14:textId="77777777" w:rsidR="00BE6461" w:rsidRPr="00BE6461" w:rsidRDefault="00BE6461" w:rsidP="00BE6461">
            <w:pPr>
              <w:rPr>
                <w:b/>
                <w:bCs/>
                <w:color w:val="333333"/>
                <w:sz w:val="20"/>
                <w:szCs w:val="20"/>
              </w:rPr>
            </w:pPr>
            <w:r w:rsidRPr="00BE6461">
              <w:rPr>
                <w:b/>
                <w:bCs/>
                <w:color w:val="333333"/>
                <w:sz w:val="20"/>
                <w:szCs w:val="20"/>
              </w:rPr>
              <w:t>Izvor 5.2. POMOĆI - PRORAČUNSKI KORISNICI (GRAD)</w:t>
            </w:r>
          </w:p>
        </w:tc>
        <w:tc>
          <w:tcPr>
            <w:tcW w:w="1503" w:type="dxa"/>
            <w:tcBorders>
              <w:top w:val="nil"/>
              <w:left w:val="nil"/>
              <w:bottom w:val="nil"/>
              <w:right w:val="nil"/>
            </w:tcBorders>
            <w:shd w:val="clear" w:color="auto" w:fill="auto"/>
            <w:noWrap/>
            <w:vAlign w:val="bottom"/>
            <w:hideMark/>
          </w:tcPr>
          <w:p w14:paraId="126C8F08" w14:textId="77777777" w:rsidR="00BE6461" w:rsidRPr="00BE6461" w:rsidRDefault="00BE6461" w:rsidP="00BE6461">
            <w:pPr>
              <w:jc w:val="right"/>
              <w:rPr>
                <w:b/>
                <w:bCs/>
                <w:color w:val="333333"/>
                <w:sz w:val="20"/>
                <w:szCs w:val="20"/>
              </w:rPr>
            </w:pPr>
            <w:r w:rsidRPr="00BE6461">
              <w:rPr>
                <w:b/>
                <w:bCs/>
                <w:color w:val="333333"/>
                <w:sz w:val="20"/>
                <w:szCs w:val="20"/>
              </w:rPr>
              <w:t>220.000,00</w:t>
            </w:r>
          </w:p>
        </w:tc>
        <w:tc>
          <w:tcPr>
            <w:tcW w:w="1500" w:type="dxa"/>
            <w:tcBorders>
              <w:top w:val="nil"/>
              <w:left w:val="nil"/>
              <w:bottom w:val="nil"/>
              <w:right w:val="nil"/>
            </w:tcBorders>
            <w:shd w:val="clear" w:color="auto" w:fill="auto"/>
            <w:noWrap/>
            <w:vAlign w:val="bottom"/>
            <w:hideMark/>
          </w:tcPr>
          <w:p w14:paraId="69B7EE0F" w14:textId="77777777" w:rsidR="00BE6461" w:rsidRPr="00BE6461" w:rsidRDefault="00BE6461" w:rsidP="00BE6461">
            <w:pPr>
              <w:jc w:val="right"/>
              <w:rPr>
                <w:b/>
                <w:bCs/>
                <w:color w:val="333333"/>
                <w:sz w:val="20"/>
                <w:szCs w:val="20"/>
              </w:rPr>
            </w:pPr>
            <w:r w:rsidRPr="00BE6461">
              <w:rPr>
                <w:b/>
                <w:bCs/>
                <w:color w:val="333333"/>
                <w:sz w:val="20"/>
                <w:szCs w:val="20"/>
              </w:rPr>
              <w:t>265.719,36</w:t>
            </w:r>
          </w:p>
        </w:tc>
        <w:tc>
          <w:tcPr>
            <w:tcW w:w="1100" w:type="dxa"/>
            <w:tcBorders>
              <w:top w:val="nil"/>
              <w:left w:val="nil"/>
              <w:bottom w:val="nil"/>
              <w:right w:val="nil"/>
            </w:tcBorders>
            <w:shd w:val="clear" w:color="auto" w:fill="auto"/>
            <w:noWrap/>
            <w:vAlign w:val="bottom"/>
            <w:hideMark/>
          </w:tcPr>
          <w:p w14:paraId="5034B294" w14:textId="77777777" w:rsidR="00BE6461" w:rsidRPr="00BE6461" w:rsidRDefault="00BE6461" w:rsidP="00BE6461">
            <w:pPr>
              <w:jc w:val="right"/>
              <w:rPr>
                <w:b/>
                <w:bCs/>
                <w:color w:val="333333"/>
                <w:sz w:val="20"/>
                <w:szCs w:val="20"/>
              </w:rPr>
            </w:pPr>
            <w:r w:rsidRPr="00BE6461">
              <w:rPr>
                <w:b/>
                <w:bCs/>
                <w:color w:val="333333"/>
                <w:sz w:val="20"/>
                <w:szCs w:val="20"/>
              </w:rPr>
              <w:t>120,78</w:t>
            </w:r>
          </w:p>
        </w:tc>
      </w:tr>
      <w:tr w:rsidR="00BE6461" w:rsidRPr="00BE6461" w14:paraId="3F51CB21" w14:textId="77777777" w:rsidTr="00BE6461">
        <w:trPr>
          <w:trHeight w:val="300"/>
        </w:trPr>
        <w:tc>
          <w:tcPr>
            <w:tcW w:w="1703" w:type="dxa"/>
            <w:tcBorders>
              <w:top w:val="nil"/>
              <w:left w:val="nil"/>
              <w:bottom w:val="nil"/>
              <w:right w:val="nil"/>
            </w:tcBorders>
            <w:shd w:val="clear" w:color="auto" w:fill="auto"/>
            <w:noWrap/>
            <w:vAlign w:val="bottom"/>
            <w:hideMark/>
          </w:tcPr>
          <w:p w14:paraId="5AA5827A" w14:textId="77777777" w:rsidR="00BE6461" w:rsidRPr="00BE6461" w:rsidRDefault="00BE6461" w:rsidP="00BE6461">
            <w:pPr>
              <w:rPr>
                <w:b/>
                <w:bCs/>
                <w:sz w:val="20"/>
                <w:szCs w:val="20"/>
              </w:rPr>
            </w:pPr>
            <w:r w:rsidRPr="00BE6461">
              <w:rPr>
                <w:b/>
                <w:bCs/>
                <w:sz w:val="20"/>
                <w:szCs w:val="20"/>
              </w:rPr>
              <w:t>311</w:t>
            </w:r>
          </w:p>
        </w:tc>
        <w:tc>
          <w:tcPr>
            <w:tcW w:w="8457" w:type="dxa"/>
            <w:tcBorders>
              <w:top w:val="nil"/>
              <w:left w:val="nil"/>
              <w:bottom w:val="nil"/>
              <w:right w:val="nil"/>
            </w:tcBorders>
            <w:shd w:val="clear" w:color="auto" w:fill="auto"/>
            <w:vAlign w:val="bottom"/>
            <w:hideMark/>
          </w:tcPr>
          <w:p w14:paraId="1A8B678D" w14:textId="77777777" w:rsidR="00BE6461" w:rsidRPr="00BE6461" w:rsidRDefault="00BE6461" w:rsidP="00BE6461">
            <w:pPr>
              <w:rPr>
                <w:b/>
                <w:bCs/>
                <w:sz w:val="20"/>
                <w:szCs w:val="20"/>
              </w:rPr>
            </w:pPr>
            <w:r w:rsidRPr="00BE6461">
              <w:rPr>
                <w:b/>
                <w:bCs/>
                <w:sz w:val="20"/>
                <w:szCs w:val="20"/>
              </w:rPr>
              <w:t xml:space="preserve">Plaće (Bruto)                                                                                       </w:t>
            </w:r>
          </w:p>
        </w:tc>
        <w:tc>
          <w:tcPr>
            <w:tcW w:w="1503" w:type="dxa"/>
            <w:tcBorders>
              <w:top w:val="nil"/>
              <w:left w:val="nil"/>
              <w:bottom w:val="nil"/>
              <w:right w:val="nil"/>
            </w:tcBorders>
            <w:shd w:val="clear" w:color="auto" w:fill="auto"/>
            <w:noWrap/>
            <w:vAlign w:val="bottom"/>
            <w:hideMark/>
          </w:tcPr>
          <w:p w14:paraId="71104EE8" w14:textId="77777777" w:rsidR="00BE6461" w:rsidRPr="00BE6461" w:rsidRDefault="00BE6461" w:rsidP="00BE6461">
            <w:pPr>
              <w:jc w:val="right"/>
              <w:rPr>
                <w:b/>
                <w:bCs/>
                <w:sz w:val="20"/>
                <w:szCs w:val="20"/>
              </w:rPr>
            </w:pPr>
            <w:r w:rsidRPr="00BE6461">
              <w:rPr>
                <w:b/>
                <w:bCs/>
                <w:sz w:val="20"/>
                <w:szCs w:val="20"/>
              </w:rPr>
              <w:t>188.841,20</w:t>
            </w:r>
          </w:p>
        </w:tc>
        <w:tc>
          <w:tcPr>
            <w:tcW w:w="1500" w:type="dxa"/>
            <w:tcBorders>
              <w:top w:val="nil"/>
              <w:left w:val="nil"/>
              <w:bottom w:val="nil"/>
              <w:right w:val="nil"/>
            </w:tcBorders>
            <w:shd w:val="clear" w:color="auto" w:fill="auto"/>
            <w:noWrap/>
            <w:vAlign w:val="bottom"/>
            <w:hideMark/>
          </w:tcPr>
          <w:p w14:paraId="19B00D73" w14:textId="77777777" w:rsidR="00BE6461" w:rsidRPr="00BE6461" w:rsidRDefault="00BE6461" w:rsidP="00BE6461">
            <w:pPr>
              <w:jc w:val="right"/>
              <w:rPr>
                <w:b/>
                <w:bCs/>
                <w:sz w:val="20"/>
                <w:szCs w:val="20"/>
              </w:rPr>
            </w:pPr>
            <w:r w:rsidRPr="00BE6461">
              <w:rPr>
                <w:b/>
                <w:bCs/>
                <w:sz w:val="20"/>
                <w:szCs w:val="20"/>
              </w:rPr>
              <w:t>228.085,32</w:t>
            </w:r>
          </w:p>
        </w:tc>
        <w:tc>
          <w:tcPr>
            <w:tcW w:w="1100" w:type="dxa"/>
            <w:tcBorders>
              <w:top w:val="nil"/>
              <w:left w:val="nil"/>
              <w:bottom w:val="nil"/>
              <w:right w:val="nil"/>
            </w:tcBorders>
            <w:shd w:val="clear" w:color="auto" w:fill="auto"/>
            <w:noWrap/>
            <w:vAlign w:val="bottom"/>
            <w:hideMark/>
          </w:tcPr>
          <w:p w14:paraId="1200AF4D" w14:textId="77777777" w:rsidR="00BE6461" w:rsidRPr="00BE6461" w:rsidRDefault="00BE6461" w:rsidP="00BE6461">
            <w:pPr>
              <w:jc w:val="right"/>
              <w:rPr>
                <w:b/>
                <w:bCs/>
                <w:sz w:val="20"/>
                <w:szCs w:val="20"/>
              </w:rPr>
            </w:pPr>
            <w:r w:rsidRPr="00BE6461">
              <w:rPr>
                <w:b/>
                <w:bCs/>
                <w:sz w:val="20"/>
                <w:szCs w:val="20"/>
              </w:rPr>
              <w:t>120,78</w:t>
            </w:r>
          </w:p>
        </w:tc>
      </w:tr>
      <w:tr w:rsidR="00BE6461" w:rsidRPr="00BE6461" w14:paraId="212B8896" w14:textId="77777777" w:rsidTr="00BE6461">
        <w:trPr>
          <w:trHeight w:val="300"/>
        </w:trPr>
        <w:tc>
          <w:tcPr>
            <w:tcW w:w="1703" w:type="dxa"/>
            <w:tcBorders>
              <w:top w:val="nil"/>
              <w:left w:val="nil"/>
              <w:bottom w:val="nil"/>
              <w:right w:val="nil"/>
            </w:tcBorders>
            <w:shd w:val="clear" w:color="auto" w:fill="auto"/>
            <w:noWrap/>
            <w:vAlign w:val="bottom"/>
            <w:hideMark/>
          </w:tcPr>
          <w:p w14:paraId="3FEA86A2" w14:textId="77777777" w:rsidR="00BE6461" w:rsidRPr="00BE6461" w:rsidRDefault="00BE6461" w:rsidP="00BE6461">
            <w:pPr>
              <w:rPr>
                <w:sz w:val="20"/>
                <w:szCs w:val="20"/>
              </w:rPr>
            </w:pPr>
            <w:r w:rsidRPr="00BE6461">
              <w:rPr>
                <w:sz w:val="20"/>
                <w:szCs w:val="20"/>
              </w:rPr>
              <w:t>3111</w:t>
            </w:r>
          </w:p>
        </w:tc>
        <w:tc>
          <w:tcPr>
            <w:tcW w:w="8457" w:type="dxa"/>
            <w:tcBorders>
              <w:top w:val="nil"/>
              <w:left w:val="nil"/>
              <w:bottom w:val="nil"/>
              <w:right w:val="nil"/>
            </w:tcBorders>
            <w:shd w:val="clear" w:color="auto" w:fill="auto"/>
            <w:vAlign w:val="bottom"/>
            <w:hideMark/>
          </w:tcPr>
          <w:p w14:paraId="233BBFEF" w14:textId="77777777" w:rsidR="00BE6461" w:rsidRPr="00BE6461" w:rsidRDefault="00BE6461" w:rsidP="00BE6461">
            <w:pPr>
              <w:rPr>
                <w:sz w:val="20"/>
                <w:szCs w:val="20"/>
              </w:rPr>
            </w:pPr>
            <w:r w:rsidRPr="00BE6461">
              <w:rPr>
                <w:sz w:val="20"/>
                <w:szCs w:val="20"/>
              </w:rPr>
              <w:t xml:space="preserve">Plaće za redovan rad                                                                                </w:t>
            </w:r>
          </w:p>
        </w:tc>
        <w:tc>
          <w:tcPr>
            <w:tcW w:w="1503" w:type="dxa"/>
            <w:tcBorders>
              <w:top w:val="nil"/>
              <w:left w:val="nil"/>
              <w:bottom w:val="nil"/>
              <w:right w:val="nil"/>
            </w:tcBorders>
            <w:shd w:val="clear" w:color="auto" w:fill="auto"/>
            <w:noWrap/>
            <w:vAlign w:val="bottom"/>
            <w:hideMark/>
          </w:tcPr>
          <w:p w14:paraId="463EE77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6420662" w14:textId="77777777" w:rsidR="00BE6461" w:rsidRPr="00BE6461" w:rsidRDefault="00BE6461" w:rsidP="00BE6461">
            <w:pPr>
              <w:jc w:val="right"/>
              <w:rPr>
                <w:sz w:val="20"/>
                <w:szCs w:val="20"/>
              </w:rPr>
            </w:pPr>
            <w:r w:rsidRPr="00BE6461">
              <w:rPr>
                <w:sz w:val="20"/>
                <w:szCs w:val="20"/>
              </w:rPr>
              <w:t>228.085,32</w:t>
            </w:r>
          </w:p>
        </w:tc>
        <w:tc>
          <w:tcPr>
            <w:tcW w:w="1100" w:type="dxa"/>
            <w:tcBorders>
              <w:top w:val="nil"/>
              <w:left w:val="nil"/>
              <w:bottom w:val="nil"/>
              <w:right w:val="nil"/>
            </w:tcBorders>
            <w:shd w:val="clear" w:color="auto" w:fill="auto"/>
            <w:noWrap/>
            <w:vAlign w:val="bottom"/>
            <w:hideMark/>
          </w:tcPr>
          <w:p w14:paraId="5DFBD51C" w14:textId="77777777" w:rsidR="00BE6461" w:rsidRPr="00BE6461" w:rsidRDefault="00BE6461" w:rsidP="00BE6461">
            <w:pPr>
              <w:jc w:val="right"/>
              <w:rPr>
                <w:sz w:val="20"/>
                <w:szCs w:val="20"/>
              </w:rPr>
            </w:pPr>
          </w:p>
        </w:tc>
      </w:tr>
      <w:tr w:rsidR="00BE6461" w:rsidRPr="00BE6461" w14:paraId="26065661" w14:textId="77777777" w:rsidTr="00BE6461">
        <w:trPr>
          <w:trHeight w:val="300"/>
        </w:trPr>
        <w:tc>
          <w:tcPr>
            <w:tcW w:w="1703" w:type="dxa"/>
            <w:tcBorders>
              <w:top w:val="nil"/>
              <w:left w:val="nil"/>
              <w:bottom w:val="nil"/>
              <w:right w:val="nil"/>
            </w:tcBorders>
            <w:shd w:val="clear" w:color="auto" w:fill="auto"/>
            <w:noWrap/>
            <w:vAlign w:val="bottom"/>
            <w:hideMark/>
          </w:tcPr>
          <w:p w14:paraId="1E23AE2C" w14:textId="77777777" w:rsidR="00BE6461" w:rsidRPr="00BE6461" w:rsidRDefault="00BE6461" w:rsidP="00BE6461">
            <w:pPr>
              <w:rPr>
                <w:b/>
                <w:bCs/>
                <w:sz w:val="20"/>
                <w:szCs w:val="20"/>
              </w:rPr>
            </w:pPr>
            <w:r w:rsidRPr="00BE6461">
              <w:rPr>
                <w:b/>
                <w:bCs/>
                <w:sz w:val="20"/>
                <w:szCs w:val="20"/>
              </w:rPr>
              <w:t>313</w:t>
            </w:r>
          </w:p>
        </w:tc>
        <w:tc>
          <w:tcPr>
            <w:tcW w:w="8457" w:type="dxa"/>
            <w:tcBorders>
              <w:top w:val="nil"/>
              <w:left w:val="nil"/>
              <w:bottom w:val="nil"/>
              <w:right w:val="nil"/>
            </w:tcBorders>
            <w:shd w:val="clear" w:color="auto" w:fill="auto"/>
            <w:vAlign w:val="bottom"/>
            <w:hideMark/>
          </w:tcPr>
          <w:p w14:paraId="59DD92FE" w14:textId="77777777" w:rsidR="00BE6461" w:rsidRPr="00BE6461" w:rsidRDefault="00BE6461" w:rsidP="00BE6461">
            <w:pPr>
              <w:rPr>
                <w:b/>
                <w:bCs/>
                <w:sz w:val="20"/>
                <w:szCs w:val="20"/>
              </w:rPr>
            </w:pPr>
            <w:r w:rsidRPr="00BE6461">
              <w:rPr>
                <w:b/>
                <w:bCs/>
                <w:sz w:val="20"/>
                <w:szCs w:val="20"/>
              </w:rPr>
              <w:t xml:space="preserve">Doprinosi na plaće                                                                                  </w:t>
            </w:r>
          </w:p>
        </w:tc>
        <w:tc>
          <w:tcPr>
            <w:tcW w:w="1503" w:type="dxa"/>
            <w:tcBorders>
              <w:top w:val="nil"/>
              <w:left w:val="nil"/>
              <w:bottom w:val="nil"/>
              <w:right w:val="nil"/>
            </w:tcBorders>
            <w:shd w:val="clear" w:color="auto" w:fill="auto"/>
            <w:noWrap/>
            <w:vAlign w:val="bottom"/>
            <w:hideMark/>
          </w:tcPr>
          <w:p w14:paraId="245CFF47" w14:textId="77777777" w:rsidR="00BE6461" w:rsidRPr="00BE6461" w:rsidRDefault="00BE6461" w:rsidP="00BE6461">
            <w:pPr>
              <w:jc w:val="right"/>
              <w:rPr>
                <w:b/>
                <w:bCs/>
                <w:sz w:val="20"/>
                <w:szCs w:val="20"/>
              </w:rPr>
            </w:pPr>
            <w:r w:rsidRPr="00BE6461">
              <w:rPr>
                <w:b/>
                <w:bCs/>
                <w:sz w:val="20"/>
                <w:szCs w:val="20"/>
              </w:rPr>
              <w:t>31.158,80</w:t>
            </w:r>
          </w:p>
        </w:tc>
        <w:tc>
          <w:tcPr>
            <w:tcW w:w="1500" w:type="dxa"/>
            <w:tcBorders>
              <w:top w:val="nil"/>
              <w:left w:val="nil"/>
              <w:bottom w:val="nil"/>
              <w:right w:val="nil"/>
            </w:tcBorders>
            <w:shd w:val="clear" w:color="auto" w:fill="auto"/>
            <w:noWrap/>
            <w:vAlign w:val="bottom"/>
            <w:hideMark/>
          </w:tcPr>
          <w:p w14:paraId="1EBA1AF1" w14:textId="77777777" w:rsidR="00BE6461" w:rsidRPr="00BE6461" w:rsidRDefault="00BE6461" w:rsidP="00BE6461">
            <w:pPr>
              <w:jc w:val="right"/>
              <w:rPr>
                <w:b/>
                <w:bCs/>
                <w:sz w:val="20"/>
                <w:szCs w:val="20"/>
              </w:rPr>
            </w:pPr>
            <w:r w:rsidRPr="00BE6461">
              <w:rPr>
                <w:b/>
                <w:bCs/>
                <w:sz w:val="20"/>
                <w:szCs w:val="20"/>
              </w:rPr>
              <w:t>37.634,04</w:t>
            </w:r>
          </w:p>
        </w:tc>
        <w:tc>
          <w:tcPr>
            <w:tcW w:w="1100" w:type="dxa"/>
            <w:tcBorders>
              <w:top w:val="nil"/>
              <w:left w:val="nil"/>
              <w:bottom w:val="nil"/>
              <w:right w:val="nil"/>
            </w:tcBorders>
            <w:shd w:val="clear" w:color="auto" w:fill="auto"/>
            <w:noWrap/>
            <w:vAlign w:val="bottom"/>
            <w:hideMark/>
          </w:tcPr>
          <w:p w14:paraId="64A8425A" w14:textId="77777777" w:rsidR="00BE6461" w:rsidRPr="00BE6461" w:rsidRDefault="00BE6461" w:rsidP="00BE6461">
            <w:pPr>
              <w:jc w:val="right"/>
              <w:rPr>
                <w:b/>
                <w:bCs/>
                <w:sz w:val="20"/>
                <w:szCs w:val="20"/>
              </w:rPr>
            </w:pPr>
            <w:r w:rsidRPr="00BE6461">
              <w:rPr>
                <w:b/>
                <w:bCs/>
                <w:sz w:val="20"/>
                <w:szCs w:val="20"/>
              </w:rPr>
              <w:t>120,78</w:t>
            </w:r>
          </w:p>
        </w:tc>
      </w:tr>
      <w:tr w:rsidR="00BE6461" w:rsidRPr="00BE6461" w14:paraId="075FC1AD" w14:textId="77777777" w:rsidTr="00BE6461">
        <w:trPr>
          <w:trHeight w:val="300"/>
        </w:trPr>
        <w:tc>
          <w:tcPr>
            <w:tcW w:w="1703" w:type="dxa"/>
            <w:tcBorders>
              <w:top w:val="nil"/>
              <w:left w:val="nil"/>
              <w:bottom w:val="nil"/>
              <w:right w:val="nil"/>
            </w:tcBorders>
            <w:shd w:val="clear" w:color="auto" w:fill="auto"/>
            <w:noWrap/>
            <w:vAlign w:val="bottom"/>
            <w:hideMark/>
          </w:tcPr>
          <w:p w14:paraId="5C2C9F5A" w14:textId="77777777" w:rsidR="00BE6461" w:rsidRPr="00BE6461" w:rsidRDefault="00BE6461" w:rsidP="00BE6461">
            <w:pPr>
              <w:rPr>
                <w:sz w:val="20"/>
                <w:szCs w:val="20"/>
              </w:rPr>
            </w:pPr>
            <w:r w:rsidRPr="00BE6461">
              <w:rPr>
                <w:sz w:val="20"/>
                <w:szCs w:val="20"/>
              </w:rPr>
              <w:t>3132</w:t>
            </w:r>
          </w:p>
        </w:tc>
        <w:tc>
          <w:tcPr>
            <w:tcW w:w="8457" w:type="dxa"/>
            <w:tcBorders>
              <w:top w:val="nil"/>
              <w:left w:val="nil"/>
              <w:bottom w:val="nil"/>
              <w:right w:val="nil"/>
            </w:tcBorders>
            <w:shd w:val="clear" w:color="auto" w:fill="auto"/>
            <w:vAlign w:val="bottom"/>
            <w:hideMark/>
          </w:tcPr>
          <w:p w14:paraId="36EA30EA" w14:textId="77777777" w:rsidR="00BE6461" w:rsidRPr="00BE6461" w:rsidRDefault="00BE6461" w:rsidP="00BE6461">
            <w:pPr>
              <w:rPr>
                <w:sz w:val="20"/>
                <w:szCs w:val="20"/>
              </w:rPr>
            </w:pPr>
            <w:r w:rsidRPr="00BE6461">
              <w:rPr>
                <w:sz w:val="20"/>
                <w:szCs w:val="20"/>
              </w:rPr>
              <w:t xml:space="preserve">Doprinosi za obvezno zdravstveno osiguranje                                                         </w:t>
            </w:r>
          </w:p>
        </w:tc>
        <w:tc>
          <w:tcPr>
            <w:tcW w:w="1503" w:type="dxa"/>
            <w:tcBorders>
              <w:top w:val="nil"/>
              <w:left w:val="nil"/>
              <w:bottom w:val="nil"/>
              <w:right w:val="nil"/>
            </w:tcBorders>
            <w:shd w:val="clear" w:color="auto" w:fill="auto"/>
            <w:noWrap/>
            <w:vAlign w:val="bottom"/>
            <w:hideMark/>
          </w:tcPr>
          <w:p w14:paraId="5163461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884CC53" w14:textId="77777777" w:rsidR="00BE6461" w:rsidRPr="00BE6461" w:rsidRDefault="00BE6461" w:rsidP="00BE6461">
            <w:pPr>
              <w:jc w:val="right"/>
              <w:rPr>
                <w:sz w:val="20"/>
                <w:szCs w:val="20"/>
              </w:rPr>
            </w:pPr>
            <w:r w:rsidRPr="00BE6461">
              <w:rPr>
                <w:sz w:val="20"/>
                <w:szCs w:val="20"/>
              </w:rPr>
              <w:t>37.634,04</w:t>
            </w:r>
          </w:p>
        </w:tc>
        <w:tc>
          <w:tcPr>
            <w:tcW w:w="1100" w:type="dxa"/>
            <w:tcBorders>
              <w:top w:val="nil"/>
              <w:left w:val="nil"/>
              <w:bottom w:val="nil"/>
              <w:right w:val="nil"/>
            </w:tcBorders>
            <w:shd w:val="clear" w:color="auto" w:fill="auto"/>
            <w:noWrap/>
            <w:vAlign w:val="bottom"/>
            <w:hideMark/>
          </w:tcPr>
          <w:p w14:paraId="499F828A" w14:textId="77777777" w:rsidR="00BE6461" w:rsidRPr="00BE6461" w:rsidRDefault="00BE6461" w:rsidP="00BE6461">
            <w:pPr>
              <w:jc w:val="right"/>
              <w:rPr>
                <w:sz w:val="20"/>
                <w:szCs w:val="20"/>
              </w:rPr>
            </w:pPr>
          </w:p>
        </w:tc>
      </w:tr>
      <w:tr w:rsidR="00BE6461" w:rsidRPr="00BE6461" w14:paraId="7B1D9925"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7F95BFA5" w14:textId="77777777" w:rsidR="00BE6461" w:rsidRPr="00BE6461" w:rsidRDefault="00BE6461" w:rsidP="00BE6461">
            <w:pPr>
              <w:rPr>
                <w:b/>
                <w:bCs/>
                <w:sz w:val="20"/>
                <w:szCs w:val="20"/>
              </w:rPr>
            </w:pPr>
            <w:r w:rsidRPr="00BE6461">
              <w:rPr>
                <w:b/>
                <w:bCs/>
                <w:sz w:val="20"/>
                <w:szCs w:val="20"/>
              </w:rPr>
              <w:t>A100012</w:t>
            </w:r>
          </w:p>
        </w:tc>
        <w:tc>
          <w:tcPr>
            <w:tcW w:w="8457" w:type="dxa"/>
            <w:tcBorders>
              <w:top w:val="single" w:sz="4" w:space="0" w:color="auto"/>
              <w:left w:val="nil"/>
              <w:bottom w:val="single" w:sz="4" w:space="0" w:color="auto"/>
              <w:right w:val="nil"/>
            </w:tcBorders>
            <w:shd w:val="clear" w:color="auto" w:fill="auto"/>
            <w:vAlign w:val="bottom"/>
            <w:hideMark/>
          </w:tcPr>
          <w:p w14:paraId="2EE606D1" w14:textId="77777777" w:rsidR="00BE6461" w:rsidRPr="00BE6461" w:rsidRDefault="00BE6461" w:rsidP="00BE6461">
            <w:pPr>
              <w:rPr>
                <w:b/>
                <w:bCs/>
                <w:sz w:val="20"/>
                <w:szCs w:val="20"/>
              </w:rPr>
            </w:pPr>
            <w:r w:rsidRPr="00BE6461">
              <w:rPr>
                <w:b/>
                <w:bCs/>
                <w:sz w:val="20"/>
                <w:szCs w:val="20"/>
              </w:rPr>
              <w:t>Aktivnost: MATERIJALNI RASHODI</w:t>
            </w:r>
          </w:p>
        </w:tc>
        <w:tc>
          <w:tcPr>
            <w:tcW w:w="1503" w:type="dxa"/>
            <w:tcBorders>
              <w:top w:val="single" w:sz="4" w:space="0" w:color="auto"/>
              <w:left w:val="nil"/>
              <w:bottom w:val="single" w:sz="4" w:space="0" w:color="auto"/>
              <w:right w:val="nil"/>
            </w:tcBorders>
            <w:shd w:val="clear" w:color="auto" w:fill="auto"/>
            <w:noWrap/>
            <w:vAlign w:val="bottom"/>
            <w:hideMark/>
          </w:tcPr>
          <w:p w14:paraId="49A04CBA" w14:textId="77777777" w:rsidR="00BE6461" w:rsidRPr="00BE6461" w:rsidRDefault="00BE6461" w:rsidP="00BE6461">
            <w:pPr>
              <w:jc w:val="right"/>
              <w:rPr>
                <w:b/>
                <w:bCs/>
                <w:sz w:val="20"/>
                <w:szCs w:val="20"/>
              </w:rPr>
            </w:pPr>
            <w:r w:rsidRPr="00BE6461">
              <w:rPr>
                <w:b/>
                <w:bCs/>
                <w:sz w:val="20"/>
                <w:szCs w:val="20"/>
              </w:rPr>
              <w:t>671.480,66</w:t>
            </w:r>
          </w:p>
        </w:tc>
        <w:tc>
          <w:tcPr>
            <w:tcW w:w="1500" w:type="dxa"/>
            <w:tcBorders>
              <w:top w:val="single" w:sz="4" w:space="0" w:color="auto"/>
              <w:left w:val="nil"/>
              <w:bottom w:val="single" w:sz="4" w:space="0" w:color="auto"/>
              <w:right w:val="nil"/>
            </w:tcBorders>
            <w:shd w:val="clear" w:color="auto" w:fill="auto"/>
            <w:noWrap/>
            <w:vAlign w:val="bottom"/>
            <w:hideMark/>
          </w:tcPr>
          <w:p w14:paraId="25AC5C61" w14:textId="77777777" w:rsidR="00BE6461" w:rsidRPr="00BE6461" w:rsidRDefault="00BE6461" w:rsidP="00BE6461">
            <w:pPr>
              <w:jc w:val="right"/>
              <w:rPr>
                <w:b/>
                <w:bCs/>
                <w:sz w:val="20"/>
                <w:szCs w:val="20"/>
              </w:rPr>
            </w:pPr>
            <w:r w:rsidRPr="00BE6461">
              <w:rPr>
                <w:b/>
                <w:bCs/>
                <w:sz w:val="20"/>
                <w:szCs w:val="20"/>
              </w:rPr>
              <w:t>629.054,51</w:t>
            </w:r>
          </w:p>
        </w:tc>
        <w:tc>
          <w:tcPr>
            <w:tcW w:w="1100" w:type="dxa"/>
            <w:tcBorders>
              <w:top w:val="single" w:sz="4" w:space="0" w:color="auto"/>
              <w:left w:val="nil"/>
              <w:bottom w:val="single" w:sz="4" w:space="0" w:color="auto"/>
              <w:right w:val="nil"/>
            </w:tcBorders>
            <w:shd w:val="clear" w:color="auto" w:fill="auto"/>
            <w:noWrap/>
            <w:vAlign w:val="bottom"/>
            <w:hideMark/>
          </w:tcPr>
          <w:p w14:paraId="6060C2CA" w14:textId="77777777" w:rsidR="00BE6461" w:rsidRPr="00BE6461" w:rsidRDefault="00BE6461" w:rsidP="00BE6461">
            <w:pPr>
              <w:jc w:val="right"/>
              <w:rPr>
                <w:b/>
                <w:bCs/>
                <w:sz w:val="20"/>
                <w:szCs w:val="20"/>
              </w:rPr>
            </w:pPr>
            <w:r w:rsidRPr="00BE6461">
              <w:rPr>
                <w:b/>
                <w:bCs/>
                <w:sz w:val="20"/>
                <w:szCs w:val="20"/>
              </w:rPr>
              <w:t>93,68</w:t>
            </w:r>
          </w:p>
        </w:tc>
      </w:tr>
      <w:tr w:rsidR="00BE6461" w:rsidRPr="00BE6461" w14:paraId="6CECB81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9891182"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5A7185D0" w14:textId="77777777" w:rsidR="00BE6461" w:rsidRPr="00BE6461" w:rsidRDefault="00BE6461" w:rsidP="00BE6461">
            <w:pPr>
              <w:jc w:val="right"/>
              <w:rPr>
                <w:b/>
                <w:bCs/>
                <w:color w:val="333333"/>
                <w:sz w:val="20"/>
                <w:szCs w:val="20"/>
              </w:rPr>
            </w:pPr>
            <w:r w:rsidRPr="00BE6461">
              <w:rPr>
                <w:b/>
                <w:bCs/>
                <w:color w:val="333333"/>
                <w:sz w:val="20"/>
                <w:szCs w:val="20"/>
              </w:rPr>
              <w:t>239.005,24</w:t>
            </w:r>
          </w:p>
        </w:tc>
        <w:tc>
          <w:tcPr>
            <w:tcW w:w="1500" w:type="dxa"/>
            <w:tcBorders>
              <w:top w:val="nil"/>
              <w:left w:val="nil"/>
              <w:bottom w:val="nil"/>
              <w:right w:val="nil"/>
            </w:tcBorders>
            <w:shd w:val="clear" w:color="auto" w:fill="auto"/>
            <w:noWrap/>
            <w:vAlign w:val="bottom"/>
            <w:hideMark/>
          </w:tcPr>
          <w:p w14:paraId="50275161" w14:textId="77777777" w:rsidR="00BE6461" w:rsidRPr="00BE6461" w:rsidRDefault="00BE6461" w:rsidP="00BE6461">
            <w:pPr>
              <w:jc w:val="right"/>
              <w:rPr>
                <w:b/>
                <w:bCs/>
                <w:color w:val="333333"/>
                <w:sz w:val="20"/>
                <w:szCs w:val="20"/>
              </w:rPr>
            </w:pPr>
            <w:r w:rsidRPr="00BE6461">
              <w:rPr>
                <w:b/>
                <w:bCs/>
                <w:color w:val="333333"/>
                <w:sz w:val="20"/>
                <w:szCs w:val="20"/>
              </w:rPr>
              <w:t>227.347,59</w:t>
            </w:r>
          </w:p>
        </w:tc>
        <w:tc>
          <w:tcPr>
            <w:tcW w:w="1100" w:type="dxa"/>
            <w:tcBorders>
              <w:top w:val="nil"/>
              <w:left w:val="nil"/>
              <w:bottom w:val="nil"/>
              <w:right w:val="nil"/>
            </w:tcBorders>
            <w:shd w:val="clear" w:color="auto" w:fill="auto"/>
            <w:noWrap/>
            <w:vAlign w:val="bottom"/>
            <w:hideMark/>
          </w:tcPr>
          <w:p w14:paraId="0F69E7C2" w14:textId="77777777" w:rsidR="00BE6461" w:rsidRPr="00BE6461" w:rsidRDefault="00BE6461" w:rsidP="00BE6461">
            <w:pPr>
              <w:jc w:val="right"/>
              <w:rPr>
                <w:b/>
                <w:bCs/>
                <w:color w:val="333333"/>
                <w:sz w:val="20"/>
                <w:szCs w:val="20"/>
              </w:rPr>
            </w:pPr>
            <w:r w:rsidRPr="00BE6461">
              <w:rPr>
                <w:b/>
                <w:bCs/>
                <w:color w:val="333333"/>
                <w:sz w:val="20"/>
                <w:szCs w:val="20"/>
              </w:rPr>
              <w:t>95,12</w:t>
            </w:r>
          </w:p>
        </w:tc>
      </w:tr>
      <w:tr w:rsidR="00BE6461" w:rsidRPr="00BE6461" w14:paraId="21861B3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05E6607"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507CEC24" w14:textId="77777777" w:rsidR="00BE6461" w:rsidRPr="00BE6461" w:rsidRDefault="00BE6461" w:rsidP="00BE6461">
            <w:pPr>
              <w:jc w:val="right"/>
              <w:rPr>
                <w:b/>
                <w:bCs/>
                <w:color w:val="333333"/>
                <w:sz w:val="20"/>
                <w:szCs w:val="20"/>
              </w:rPr>
            </w:pPr>
            <w:r w:rsidRPr="00BE6461">
              <w:rPr>
                <w:b/>
                <w:bCs/>
                <w:color w:val="333333"/>
                <w:sz w:val="20"/>
                <w:szCs w:val="20"/>
              </w:rPr>
              <w:t>239.005,24</w:t>
            </w:r>
          </w:p>
        </w:tc>
        <w:tc>
          <w:tcPr>
            <w:tcW w:w="1500" w:type="dxa"/>
            <w:tcBorders>
              <w:top w:val="nil"/>
              <w:left w:val="nil"/>
              <w:bottom w:val="nil"/>
              <w:right w:val="nil"/>
            </w:tcBorders>
            <w:shd w:val="clear" w:color="auto" w:fill="auto"/>
            <w:noWrap/>
            <w:vAlign w:val="bottom"/>
            <w:hideMark/>
          </w:tcPr>
          <w:p w14:paraId="637BF37F" w14:textId="77777777" w:rsidR="00BE6461" w:rsidRPr="00BE6461" w:rsidRDefault="00BE6461" w:rsidP="00BE6461">
            <w:pPr>
              <w:jc w:val="right"/>
              <w:rPr>
                <w:b/>
                <w:bCs/>
                <w:color w:val="333333"/>
                <w:sz w:val="20"/>
                <w:szCs w:val="20"/>
              </w:rPr>
            </w:pPr>
            <w:r w:rsidRPr="00BE6461">
              <w:rPr>
                <w:b/>
                <w:bCs/>
                <w:color w:val="333333"/>
                <w:sz w:val="20"/>
                <w:szCs w:val="20"/>
              </w:rPr>
              <w:t>227.347,59</w:t>
            </w:r>
          </w:p>
        </w:tc>
        <w:tc>
          <w:tcPr>
            <w:tcW w:w="1100" w:type="dxa"/>
            <w:tcBorders>
              <w:top w:val="nil"/>
              <w:left w:val="nil"/>
              <w:bottom w:val="nil"/>
              <w:right w:val="nil"/>
            </w:tcBorders>
            <w:shd w:val="clear" w:color="auto" w:fill="auto"/>
            <w:noWrap/>
            <w:vAlign w:val="bottom"/>
            <w:hideMark/>
          </w:tcPr>
          <w:p w14:paraId="253947D9" w14:textId="77777777" w:rsidR="00BE6461" w:rsidRPr="00BE6461" w:rsidRDefault="00BE6461" w:rsidP="00BE6461">
            <w:pPr>
              <w:jc w:val="right"/>
              <w:rPr>
                <w:b/>
                <w:bCs/>
                <w:color w:val="333333"/>
                <w:sz w:val="20"/>
                <w:szCs w:val="20"/>
              </w:rPr>
            </w:pPr>
            <w:r w:rsidRPr="00BE6461">
              <w:rPr>
                <w:b/>
                <w:bCs/>
                <w:color w:val="333333"/>
                <w:sz w:val="20"/>
                <w:szCs w:val="20"/>
              </w:rPr>
              <w:t>95,12</w:t>
            </w:r>
          </w:p>
        </w:tc>
      </w:tr>
      <w:tr w:rsidR="00BE6461" w:rsidRPr="00BE6461" w14:paraId="5F7FFC3B" w14:textId="77777777" w:rsidTr="00BE6461">
        <w:trPr>
          <w:trHeight w:val="300"/>
        </w:trPr>
        <w:tc>
          <w:tcPr>
            <w:tcW w:w="1703" w:type="dxa"/>
            <w:tcBorders>
              <w:top w:val="nil"/>
              <w:left w:val="nil"/>
              <w:bottom w:val="nil"/>
              <w:right w:val="nil"/>
            </w:tcBorders>
            <w:shd w:val="clear" w:color="auto" w:fill="auto"/>
            <w:noWrap/>
            <w:vAlign w:val="bottom"/>
            <w:hideMark/>
          </w:tcPr>
          <w:p w14:paraId="30CEB61E" w14:textId="77777777" w:rsidR="00BE6461" w:rsidRPr="00BE6461" w:rsidRDefault="00BE6461" w:rsidP="00BE6461">
            <w:pPr>
              <w:rPr>
                <w:b/>
                <w:bCs/>
                <w:sz w:val="20"/>
                <w:szCs w:val="20"/>
              </w:rPr>
            </w:pPr>
            <w:r w:rsidRPr="00BE6461">
              <w:rPr>
                <w:b/>
                <w:bCs/>
                <w:sz w:val="20"/>
                <w:szCs w:val="20"/>
              </w:rPr>
              <w:t>321</w:t>
            </w:r>
          </w:p>
        </w:tc>
        <w:tc>
          <w:tcPr>
            <w:tcW w:w="8457" w:type="dxa"/>
            <w:tcBorders>
              <w:top w:val="nil"/>
              <w:left w:val="nil"/>
              <w:bottom w:val="nil"/>
              <w:right w:val="nil"/>
            </w:tcBorders>
            <w:shd w:val="clear" w:color="auto" w:fill="auto"/>
            <w:vAlign w:val="bottom"/>
            <w:hideMark/>
          </w:tcPr>
          <w:p w14:paraId="052D6C07" w14:textId="77777777" w:rsidR="00BE6461" w:rsidRPr="00BE6461" w:rsidRDefault="00BE6461" w:rsidP="00BE6461">
            <w:pPr>
              <w:rPr>
                <w:b/>
                <w:bCs/>
                <w:sz w:val="20"/>
                <w:szCs w:val="20"/>
              </w:rPr>
            </w:pPr>
            <w:r w:rsidRPr="00BE6461">
              <w:rPr>
                <w:b/>
                <w:bCs/>
                <w:sz w:val="20"/>
                <w:szCs w:val="20"/>
              </w:rPr>
              <w:t xml:space="preserve">Naknade troškova zaposlenima                                                                        </w:t>
            </w:r>
          </w:p>
        </w:tc>
        <w:tc>
          <w:tcPr>
            <w:tcW w:w="1503" w:type="dxa"/>
            <w:tcBorders>
              <w:top w:val="nil"/>
              <w:left w:val="nil"/>
              <w:bottom w:val="nil"/>
              <w:right w:val="nil"/>
            </w:tcBorders>
            <w:shd w:val="clear" w:color="auto" w:fill="auto"/>
            <w:noWrap/>
            <w:vAlign w:val="bottom"/>
            <w:hideMark/>
          </w:tcPr>
          <w:p w14:paraId="3A95F4D4" w14:textId="77777777" w:rsidR="00BE6461" w:rsidRPr="00BE6461" w:rsidRDefault="00BE6461" w:rsidP="00BE6461">
            <w:pPr>
              <w:jc w:val="right"/>
              <w:rPr>
                <w:b/>
                <w:bCs/>
                <w:sz w:val="20"/>
                <w:szCs w:val="20"/>
              </w:rPr>
            </w:pPr>
            <w:r w:rsidRPr="00BE6461">
              <w:rPr>
                <w:b/>
                <w:bCs/>
                <w:sz w:val="20"/>
                <w:szCs w:val="20"/>
              </w:rPr>
              <w:t>178.500,00</w:t>
            </w:r>
          </w:p>
        </w:tc>
        <w:tc>
          <w:tcPr>
            <w:tcW w:w="1500" w:type="dxa"/>
            <w:tcBorders>
              <w:top w:val="nil"/>
              <w:left w:val="nil"/>
              <w:bottom w:val="nil"/>
              <w:right w:val="nil"/>
            </w:tcBorders>
            <w:shd w:val="clear" w:color="auto" w:fill="auto"/>
            <w:noWrap/>
            <w:vAlign w:val="bottom"/>
            <w:hideMark/>
          </w:tcPr>
          <w:p w14:paraId="25DE29E8" w14:textId="77777777" w:rsidR="00BE6461" w:rsidRPr="00BE6461" w:rsidRDefault="00BE6461" w:rsidP="00BE6461">
            <w:pPr>
              <w:jc w:val="right"/>
              <w:rPr>
                <w:b/>
                <w:bCs/>
                <w:sz w:val="20"/>
                <w:szCs w:val="20"/>
              </w:rPr>
            </w:pPr>
            <w:r w:rsidRPr="00BE6461">
              <w:rPr>
                <w:b/>
                <w:bCs/>
                <w:sz w:val="20"/>
                <w:szCs w:val="20"/>
              </w:rPr>
              <w:t>167.475,00</w:t>
            </w:r>
          </w:p>
        </w:tc>
        <w:tc>
          <w:tcPr>
            <w:tcW w:w="1100" w:type="dxa"/>
            <w:tcBorders>
              <w:top w:val="nil"/>
              <w:left w:val="nil"/>
              <w:bottom w:val="nil"/>
              <w:right w:val="nil"/>
            </w:tcBorders>
            <w:shd w:val="clear" w:color="auto" w:fill="auto"/>
            <w:noWrap/>
            <w:vAlign w:val="bottom"/>
            <w:hideMark/>
          </w:tcPr>
          <w:p w14:paraId="56FA684B" w14:textId="77777777" w:rsidR="00BE6461" w:rsidRPr="00BE6461" w:rsidRDefault="00BE6461" w:rsidP="00BE6461">
            <w:pPr>
              <w:jc w:val="right"/>
              <w:rPr>
                <w:b/>
                <w:bCs/>
                <w:sz w:val="20"/>
                <w:szCs w:val="20"/>
              </w:rPr>
            </w:pPr>
            <w:r w:rsidRPr="00BE6461">
              <w:rPr>
                <w:b/>
                <w:bCs/>
                <w:sz w:val="20"/>
                <w:szCs w:val="20"/>
              </w:rPr>
              <w:t>93,82</w:t>
            </w:r>
          </w:p>
        </w:tc>
      </w:tr>
      <w:tr w:rsidR="00BE6461" w:rsidRPr="00BE6461" w14:paraId="5987AD7A" w14:textId="77777777" w:rsidTr="00BE6461">
        <w:trPr>
          <w:trHeight w:val="300"/>
        </w:trPr>
        <w:tc>
          <w:tcPr>
            <w:tcW w:w="1703" w:type="dxa"/>
            <w:tcBorders>
              <w:top w:val="nil"/>
              <w:left w:val="nil"/>
              <w:bottom w:val="nil"/>
              <w:right w:val="nil"/>
            </w:tcBorders>
            <w:shd w:val="clear" w:color="auto" w:fill="auto"/>
            <w:noWrap/>
            <w:vAlign w:val="bottom"/>
            <w:hideMark/>
          </w:tcPr>
          <w:p w14:paraId="4BFC4E5B" w14:textId="77777777" w:rsidR="00BE6461" w:rsidRPr="00BE6461" w:rsidRDefault="00BE6461" w:rsidP="00BE6461">
            <w:pPr>
              <w:rPr>
                <w:sz w:val="20"/>
                <w:szCs w:val="20"/>
              </w:rPr>
            </w:pPr>
            <w:r w:rsidRPr="00BE6461">
              <w:rPr>
                <w:sz w:val="20"/>
                <w:szCs w:val="20"/>
              </w:rPr>
              <w:t>3212</w:t>
            </w:r>
          </w:p>
        </w:tc>
        <w:tc>
          <w:tcPr>
            <w:tcW w:w="8457" w:type="dxa"/>
            <w:tcBorders>
              <w:top w:val="nil"/>
              <w:left w:val="nil"/>
              <w:bottom w:val="nil"/>
              <w:right w:val="nil"/>
            </w:tcBorders>
            <w:shd w:val="clear" w:color="auto" w:fill="auto"/>
            <w:vAlign w:val="bottom"/>
            <w:hideMark/>
          </w:tcPr>
          <w:p w14:paraId="2956DA9E" w14:textId="77777777" w:rsidR="00BE6461" w:rsidRPr="00BE6461" w:rsidRDefault="00BE6461" w:rsidP="00BE6461">
            <w:pPr>
              <w:rPr>
                <w:sz w:val="20"/>
                <w:szCs w:val="20"/>
              </w:rPr>
            </w:pPr>
            <w:r w:rsidRPr="00BE6461">
              <w:rPr>
                <w:sz w:val="20"/>
                <w:szCs w:val="20"/>
              </w:rPr>
              <w:t xml:space="preserve">Naknade za prijevoz, za rad na terenu i odvojeni život                                              </w:t>
            </w:r>
          </w:p>
        </w:tc>
        <w:tc>
          <w:tcPr>
            <w:tcW w:w="1503" w:type="dxa"/>
            <w:tcBorders>
              <w:top w:val="nil"/>
              <w:left w:val="nil"/>
              <w:bottom w:val="nil"/>
              <w:right w:val="nil"/>
            </w:tcBorders>
            <w:shd w:val="clear" w:color="auto" w:fill="auto"/>
            <w:noWrap/>
            <w:vAlign w:val="bottom"/>
            <w:hideMark/>
          </w:tcPr>
          <w:p w14:paraId="040DA5E9"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AA28C33" w14:textId="77777777" w:rsidR="00BE6461" w:rsidRPr="00BE6461" w:rsidRDefault="00BE6461" w:rsidP="00BE6461">
            <w:pPr>
              <w:jc w:val="right"/>
              <w:rPr>
                <w:sz w:val="20"/>
                <w:szCs w:val="20"/>
              </w:rPr>
            </w:pPr>
            <w:r w:rsidRPr="00BE6461">
              <w:rPr>
                <w:sz w:val="20"/>
                <w:szCs w:val="20"/>
              </w:rPr>
              <w:t>167.475,00</w:t>
            </w:r>
          </w:p>
        </w:tc>
        <w:tc>
          <w:tcPr>
            <w:tcW w:w="1100" w:type="dxa"/>
            <w:tcBorders>
              <w:top w:val="nil"/>
              <w:left w:val="nil"/>
              <w:bottom w:val="nil"/>
              <w:right w:val="nil"/>
            </w:tcBorders>
            <w:shd w:val="clear" w:color="auto" w:fill="auto"/>
            <w:noWrap/>
            <w:vAlign w:val="bottom"/>
            <w:hideMark/>
          </w:tcPr>
          <w:p w14:paraId="68E94EFA" w14:textId="77777777" w:rsidR="00BE6461" w:rsidRPr="00BE6461" w:rsidRDefault="00BE6461" w:rsidP="00BE6461">
            <w:pPr>
              <w:jc w:val="right"/>
              <w:rPr>
                <w:sz w:val="20"/>
                <w:szCs w:val="20"/>
              </w:rPr>
            </w:pPr>
          </w:p>
        </w:tc>
      </w:tr>
      <w:tr w:rsidR="00BE6461" w:rsidRPr="00BE6461" w14:paraId="23A8ECCF" w14:textId="77777777" w:rsidTr="00BE6461">
        <w:trPr>
          <w:trHeight w:val="300"/>
        </w:trPr>
        <w:tc>
          <w:tcPr>
            <w:tcW w:w="1703" w:type="dxa"/>
            <w:tcBorders>
              <w:top w:val="nil"/>
              <w:left w:val="nil"/>
              <w:bottom w:val="nil"/>
              <w:right w:val="nil"/>
            </w:tcBorders>
            <w:shd w:val="clear" w:color="auto" w:fill="auto"/>
            <w:noWrap/>
            <w:vAlign w:val="bottom"/>
            <w:hideMark/>
          </w:tcPr>
          <w:p w14:paraId="4517074C"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1F7FD09E"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0573075B" w14:textId="77777777" w:rsidR="00BE6461" w:rsidRPr="00BE6461" w:rsidRDefault="00BE6461" w:rsidP="00BE6461">
            <w:pPr>
              <w:jc w:val="right"/>
              <w:rPr>
                <w:b/>
                <w:bCs/>
                <w:sz w:val="20"/>
                <w:szCs w:val="20"/>
              </w:rPr>
            </w:pPr>
            <w:r w:rsidRPr="00BE6461">
              <w:rPr>
                <w:b/>
                <w:bCs/>
                <w:sz w:val="20"/>
                <w:szCs w:val="20"/>
              </w:rPr>
              <w:t>37.544,00</w:t>
            </w:r>
          </w:p>
        </w:tc>
        <w:tc>
          <w:tcPr>
            <w:tcW w:w="1500" w:type="dxa"/>
            <w:tcBorders>
              <w:top w:val="nil"/>
              <w:left w:val="nil"/>
              <w:bottom w:val="nil"/>
              <w:right w:val="nil"/>
            </w:tcBorders>
            <w:shd w:val="clear" w:color="auto" w:fill="auto"/>
            <w:noWrap/>
            <w:vAlign w:val="bottom"/>
            <w:hideMark/>
          </w:tcPr>
          <w:p w14:paraId="28EDEC40" w14:textId="77777777" w:rsidR="00BE6461" w:rsidRPr="00BE6461" w:rsidRDefault="00BE6461" w:rsidP="00BE6461">
            <w:pPr>
              <w:jc w:val="right"/>
              <w:rPr>
                <w:b/>
                <w:bCs/>
                <w:sz w:val="20"/>
                <w:szCs w:val="20"/>
              </w:rPr>
            </w:pPr>
            <w:r w:rsidRPr="00BE6461">
              <w:rPr>
                <w:b/>
                <w:bCs/>
                <w:sz w:val="20"/>
                <w:szCs w:val="20"/>
              </w:rPr>
              <w:t>37.994,00</w:t>
            </w:r>
          </w:p>
        </w:tc>
        <w:tc>
          <w:tcPr>
            <w:tcW w:w="1100" w:type="dxa"/>
            <w:tcBorders>
              <w:top w:val="nil"/>
              <w:left w:val="nil"/>
              <w:bottom w:val="nil"/>
              <w:right w:val="nil"/>
            </w:tcBorders>
            <w:shd w:val="clear" w:color="auto" w:fill="auto"/>
            <w:noWrap/>
            <w:vAlign w:val="bottom"/>
            <w:hideMark/>
          </w:tcPr>
          <w:p w14:paraId="4A8D23F3" w14:textId="77777777" w:rsidR="00BE6461" w:rsidRPr="00BE6461" w:rsidRDefault="00BE6461" w:rsidP="00BE6461">
            <w:pPr>
              <w:jc w:val="right"/>
              <w:rPr>
                <w:b/>
                <w:bCs/>
                <w:sz w:val="20"/>
                <w:szCs w:val="20"/>
              </w:rPr>
            </w:pPr>
            <w:r w:rsidRPr="00BE6461">
              <w:rPr>
                <w:b/>
                <w:bCs/>
                <w:sz w:val="20"/>
                <w:szCs w:val="20"/>
              </w:rPr>
              <w:t>101,20</w:t>
            </w:r>
          </w:p>
        </w:tc>
      </w:tr>
      <w:tr w:rsidR="00BE6461" w:rsidRPr="00BE6461" w14:paraId="7D7690AC" w14:textId="77777777" w:rsidTr="00BE6461">
        <w:trPr>
          <w:trHeight w:val="300"/>
        </w:trPr>
        <w:tc>
          <w:tcPr>
            <w:tcW w:w="1703" w:type="dxa"/>
            <w:tcBorders>
              <w:top w:val="nil"/>
              <w:left w:val="nil"/>
              <w:bottom w:val="nil"/>
              <w:right w:val="nil"/>
            </w:tcBorders>
            <w:shd w:val="clear" w:color="auto" w:fill="auto"/>
            <w:noWrap/>
            <w:vAlign w:val="bottom"/>
            <w:hideMark/>
          </w:tcPr>
          <w:p w14:paraId="22917846" w14:textId="77777777" w:rsidR="00BE6461" w:rsidRPr="00BE6461" w:rsidRDefault="00BE6461" w:rsidP="00BE6461">
            <w:pPr>
              <w:rPr>
                <w:sz w:val="20"/>
                <w:szCs w:val="20"/>
              </w:rPr>
            </w:pPr>
            <w:r w:rsidRPr="00BE6461">
              <w:rPr>
                <w:sz w:val="20"/>
                <w:szCs w:val="20"/>
              </w:rPr>
              <w:t>3236</w:t>
            </w:r>
          </w:p>
        </w:tc>
        <w:tc>
          <w:tcPr>
            <w:tcW w:w="8457" w:type="dxa"/>
            <w:tcBorders>
              <w:top w:val="nil"/>
              <w:left w:val="nil"/>
              <w:bottom w:val="nil"/>
              <w:right w:val="nil"/>
            </w:tcBorders>
            <w:shd w:val="clear" w:color="auto" w:fill="auto"/>
            <w:vAlign w:val="bottom"/>
            <w:hideMark/>
          </w:tcPr>
          <w:p w14:paraId="41BFDC50" w14:textId="77777777" w:rsidR="00BE6461" w:rsidRPr="00BE6461" w:rsidRDefault="00BE6461" w:rsidP="00BE6461">
            <w:pPr>
              <w:rPr>
                <w:sz w:val="20"/>
                <w:szCs w:val="20"/>
              </w:rPr>
            </w:pPr>
            <w:r w:rsidRPr="00BE6461">
              <w:rPr>
                <w:sz w:val="20"/>
                <w:szCs w:val="20"/>
              </w:rPr>
              <w:t xml:space="preserve">Zdravstvene i veterinarske usluge                                                                   </w:t>
            </w:r>
          </w:p>
        </w:tc>
        <w:tc>
          <w:tcPr>
            <w:tcW w:w="1503" w:type="dxa"/>
            <w:tcBorders>
              <w:top w:val="nil"/>
              <w:left w:val="nil"/>
              <w:bottom w:val="nil"/>
              <w:right w:val="nil"/>
            </w:tcBorders>
            <w:shd w:val="clear" w:color="auto" w:fill="auto"/>
            <w:noWrap/>
            <w:vAlign w:val="bottom"/>
            <w:hideMark/>
          </w:tcPr>
          <w:p w14:paraId="7873BC7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B11B4B7" w14:textId="77777777" w:rsidR="00BE6461" w:rsidRPr="00BE6461" w:rsidRDefault="00BE6461" w:rsidP="00BE6461">
            <w:pPr>
              <w:jc w:val="right"/>
              <w:rPr>
                <w:sz w:val="20"/>
                <w:szCs w:val="20"/>
              </w:rPr>
            </w:pPr>
            <w:r w:rsidRPr="00BE6461">
              <w:rPr>
                <w:sz w:val="20"/>
                <w:szCs w:val="20"/>
              </w:rPr>
              <w:t>37.994,00</w:t>
            </w:r>
          </w:p>
        </w:tc>
        <w:tc>
          <w:tcPr>
            <w:tcW w:w="1100" w:type="dxa"/>
            <w:tcBorders>
              <w:top w:val="nil"/>
              <w:left w:val="nil"/>
              <w:bottom w:val="nil"/>
              <w:right w:val="nil"/>
            </w:tcBorders>
            <w:shd w:val="clear" w:color="auto" w:fill="auto"/>
            <w:noWrap/>
            <w:vAlign w:val="bottom"/>
            <w:hideMark/>
          </w:tcPr>
          <w:p w14:paraId="414E8CA6" w14:textId="77777777" w:rsidR="00BE6461" w:rsidRPr="00BE6461" w:rsidRDefault="00BE6461" w:rsidP="00BE6461">
            <w:pPr>
              <w:jc w:val="right"/>
              <w:rPr>
                <w:sz w:val="20"/>
                <w:szCs w:val="20"/>
              </w:rPr>
            </w:pPr>
          </w:p>
        </w:tc>
      </w:tr>
      <w:tr w:rsidR="00BE6461" w:rsidRPr="00BE6461" w14:paraId="3157ADD3" w14:textId="77777777" w:rsidTr="00BE6461">
        <w:trPr>
          <w:trHeight w:val="300"/>
        </w:trPr>
        <w:tc>
          <w:tcPr>
            <w:tcW w:w="1703" w:type="dxa"/>
            <w:tcBorders>
              <w:top w:val="nil"/>
              <w:left w:val="nil"/>
              <w:bottom w:val="nil"/>
              <w:right w:val="nil"/>
            </w:tcBorders>
            <w:shd w:val="clear" w:color="auto" w:fill="auto"/>
            <w:noWrap/>
            <w:vAlign w:val="bottom"/>
            <w:hideMark/>
          </w:tcPr>
          <w:p w14:paraId="4899048E"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31508EFB"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7A8A1363" w14:textId="77777777" w:rsidR="00BE6461" w:rsidRPr="00BE6461" w:rsidRDefault="00BE6461" w:rsidP="00BE6461">
            <w:pPr>
              <w:jc w:val="right"/>
              <w:rPr>
                <w:b/>
                <w:bCs/>
                <w:sz w:val="20"/>
                <w:szCs w:val="20"/>
              </w:rPr>
            </w:pPr>
            <w:r w:rsidRPr="00BE6461">
              <w:rPr>
                <w:b/>
                <w:bCs/>
                <w:sz w:val="20"/>
                <w:szCs w:val="20"/>
              </w:rPr>
              <w:t>22.961,24</w:t>
            </w:r>
          </w:p>
        </w:tc>
        <w:tc>
          <w:tcPr>
            <w:tcW w:w="1500" w:type="dxa"/>
            <w:tcBorders>
              <w:top w:val="nil"/>
              <w:left w:val="nil"/>
              <w:bottom w:val="nil"/>
              <w:right w:val="nil"/>
            </w:tcBorders>
            <w:shd w:val="clear" w:color="auto" w:fill="auto"/>
            <w:noWrap/>
            <w:vAlign w:val="bottom"/>
            <w:hideMark/>
          </w:tcPr>
          <w:p w14:paraId="1E16C5DC" w14:textId="77777777" w:rsidR="00BE6461" w:rsidRPr="00BE6461" w:rsidRDefault="00BE6461" w:rsidP="00BE6461">
            <w:pPr>
              <w:jc w:val="right"/>
              <w:rPr>
                <w:b/>
                <w:bCs/>
                <w:sz w:val="20"/>
                <w:szCs w:val="20"/>
              </w:rPr>
            </w:pPr>
            <w:r w:rsidRPr="00BE6461">
              <w:rPr>
                <w:b/>
                <w:bCs/>
                <w:sz w:val="20"/>
                <w:szCs w:val="20"/>
              </w:rPr>
              <w:t>21.878,59</w:t>
            </w:r>
          </w:p>
        </w:tc>
        <w:tc>
          <w:tcPr>
            <w:tcW w:w="1100" w:type="dxa"/>
            <w:tcBorders>
              <w:top w:val="nil"/>
              <w:left w:val="nil"/>
              <w:bottom w:val="nil"/>
              <w:right w:val="nil"/>
            </w:tcBorders>
            <w:shd w:val="clear" w:color="auto" w:fill="auto"/>
            <w:noWrap/>
            <w:vAlign w:val="bottom"/>
            <w:hideMark/>
          </w:tcPr>
          <w:p w14:paraId="6AB15D5D" w14:textId="77777777" w:rsidR="00BE6461" w:rsidRPr="00BE6461" w:rsidRDefault="00BE6461" w:rsidP="00BE6461">
            <w:pPr>
              <w:jc w:val="right"/>
              <w:rPr>
                <w:b/>
                <w:bCs/>
                <w:sz w:val="20"/>
                <w:szCs w:val="20"/>
              </w:rPr>
            </w:pPr>
            <w:r w:rsidRPr="00BE6461">
              <w:rPr>
                <w:b/>
                <w:bCs/>
                <w:sz w:val="20"/>
                <w:szCs w:val="20"/>
              </w:rPr>
              <w:t>95,28</w:t>
            </w:r>
          </w:p>
        </w:tc>
      </w:tr>
      <w:tr w:rsidR="00BE6461" w:rsidRPr="00BE6461" w14:paraId="580ED1F0" w14:textId="77777777" w:rsidTr="00BE6461">
        <w:trPr>
          <w:trHeight w:val="300"/>
        </w:trPr>
        <w:tc>
          <w:tcPr>
            <w:tcW w:w="1703" w:type="dxa"/>
            <w:tcBorders>
              <w:top w:val="nil"/>
              <w:left w:val="nil"/>
              <w:bottom w:val="nil"/>
              <w:right w:val="nil"/>
            </w:tcBorders>
            <w:shd w:val="clear" w:color="auto" w:fill="auto"/>
            <w:noWrap/>
            <w:vAlign w:val="bottom"/>
            <w:hideMark/>
          </w:tcPr>
          <w:p w14:paraId="0BB446DB" w14:textId="77777777" w:rsidR="00BE6461" w:rsidRPr="00BE6461" w:rsidRDefault="00BE6461" w:rsidP="00BE6461">
            <w:pPr>
              <w:rPr>
                <w:sz w:val="20"/>
                <w:szCs w:val="20"/>
              </w:rPr>
            </w:pPr>
            <w:r w:rsidRPr="00BE6461">
              <w:rPr>
                <w:sz w:val="20"/>
                <w:szCs w:val="20"/>
              </w:rPr>
              <w:t>3292</w:t>
            </w:r>
          </w:p>
        </w:tc>
        <w:tc>
          <w:tcPr>
            <w:tcW w:w="8457" w:type="dxa"/>
            <w:tcBorders>
              <w:top w:val="nil"/>
              <w:left w:val="nil"/>
              <w:bottom w:val="nil"/>
              <w:right w:val="nil"/>
            </w:tcBorders>
            <w:shd w:val="clear" w:color="auto" w:fill="auto"/>
            <w:vAlign w:val="bottom"/>
            <w:hideMark/>
          </w:tcPr>
          <w:p w14:paraId="1E0EF2D0" w14:textId="77777777" w:rsidR="00BE6461" w:rsidRPr="00BE6461" w:rsidRDefault="00BE6461" w:rsidP="00BE6461">
            <w:pPr>
              <w:rPr>
                <w:sz w:val="20"/>
                <w:szCs w:val="20"/>
              </w:rPr>
            </w:pPr>
            <w:r w:rsidRPr="00BE6461">
              <w:rPr>
                <w:sz w:val="20"/>
                <w:szCs w:val="20"/>
              </w:rPr>
              <w:t xml:space="preserve">Premije osiguranja                                                                                  </w:t>
            </w:r>
          </w:p>
        </w:tc>
        <w:tc>
          <w:tcPr>
            <w:tcW w:w="1503" w:type="dxa"/>
            <w:tcBorders>
              <w:top w:val="nil"/>
              <w:left w:val="nil"/>
              <w:bottom w:val="nil"/>
              <w:right w:val="nil"/>
            </w:tcBorders>
            <w:shd w:val="clear" w:color="auto" w:fill="auto"/>
            <w:noWrap/>
            <w:vAlign w:val="bottom"/>
            <w:hideMark/>
          </w:tcPr>
          <w:p w14:paraId="3E85D25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EE2C645" w14:textId="77777777" w:rsidR="00BE6461" w:rsidRPr="00BE6461" w:rsidRDefault="00BE6461" w:rsidP="00BE6461">
            <w:pPr>
              <w:jc w:val="right"/>
              <w:rPr>
                <w:sz w:val="20"/>
                <w:szCs w:val="20"/>
              </w:rPr>
            </w:pPr>
            <w:r w:rsidRPr="00BE6461">
              <w:rPr>
                <w:sz w:val="20"/>
                <w:szCs w:val="20"/>
              </w:rPr>
              <w:t>21.878,59</w:t>
            </w:r>
          </w:p>
        </w:tc>
        <w:tc>
          <w:tcPr>
            <w:tcW w:w="1100" w:type="dxa"/>
            <w:tcBorders>
              <w:top w:val="nil"/>
              <w:left w:val="nil"/>
              <w:bottom w:val="nil"/>
              <w:right w:val="nil"/>
            </w:tcBorders>
            <w:shd w:val="clear" w:color="auto" w:fill="auto"/>
            <w:noWrap/>
            <w:vAlign w:val="bottom"/>
            <w:hideMark/>
          </w:tcPr>
          <w:p w14:paraId="4CDD122B" w14:textId="77777777" w:rsidR="00BE6461" w:rsidRPr="00BE6461" w:rsidRDefault="00BE6461" w:rsidP="00BE6461">
            <w:pPr>
              <w:jc w:val="right"/>
              <w:rPr>
                <w:sz w:val="20"/>
                <w:szCs w:val="20"/>
              </w:rPr>
            </w:pPr>
          </w:p>
        </w:tc>
      </w:tr>
      <w:tr w:rsidR="00BE6461" w:rsidRPr="00BE6461" w14:paraId="0947F2A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B98C79E"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3F2ED3A9" w14:textId="77777777" w:rsidR="00BE6461" w:rsidRPr="00BE6461" w:rsidRDefault="00BE6461" w:rsidP="00BE6461">
            <w:pPr>
              <w:jc w:val="right"/>
              <w:rPr>
                <w:b/>
                <w:bCs/>
                <w:color w:val="333333"/>
                <w:sz w:val="20"/>
                <w:szCs w:val="20"/>
              </w:rPr>
            </w:pPr>
            <w:r w:rsidRPr="00BE6461">
              <w:rPr>
                <w:b/>
                <w:bCs/>
                <w:color w:val="333333"/>
                <w:sz w:val="20"/>
                <w:szCs w:val="20"/>
              </w:rPr>
              <w:t>396.655,42</w:t>
            </w:r>
          </w:p>
        </w:tc>
        <w:tc>
          <w:tcPr>
            <w:tcW w:w="1500" w:type="dxa"/>
            <w:tcBorders>
              <w:top w:val="nil"/>
              <w:left w:val="nil"/>
              <w:bottom w:val="nil"/>
              <w:right w:val="nil"/>
            </w:tcBorders>
            <w:shd w:val="clear" w:color="auto" w:fill="auto"/>
            <w:noWrap/>
            <w:vAlign w:val="bottom"/>
            <w:hideMark/>
          </w:tcPr>
          <w:p w14:paraId="027ADD61" w14:textId="77777777" w:rsidR="00BE6461" w:rsidRPr="00BE6461" w:rsidRDefault="00BE6461" w:rsidP="00BE6461">
            <w:pPr>
              <w:jc w:val="right"/>
              <w:rPr>
                <w:b/>
                <w:bCs/>
                <w:color w:val="333333"/>
                <w:sz w:val="20"/>
                <w:szCs w:val="20"/>
              </w:rPr>
            </w:pPr>
            <w:r w:rsidRPr="00BE6461">
              <w:rPr>
                <w:b/>
                <w:bCs/>
                <w:color w:val="333333"/>
                <w:sz w:val="20"/>
                <w:szCs w:val="20"/>
              </w:rPr>
              <w:t>379.293,45</w:t>
            </w:r>
          </w:p>
        </w:tc>
        <w:tc>
          <w:tcPr>
            <w:tcW w:w="1100" w:type="dxa"/>
            <w:tcBorders>
              <w:top w:val="nil"/>
              <w:left w:val="nil"/>
              <w:bottom w:val="nil"/>
              <w:right w:val="nil"/>
            </w:tcBorders>
            <w:shd w:val="clear" w:color="auto" w:fill="auto"/>
            <w:noWrap/>
            <w:vAlign w:val="bottom"/>
            <w:hideMark/>
          </w:tcPr>
          <w:p w14:paraId="3E8B83B1" w14:textId="77777777" w:rsidR="00BE6461" w:rsidRPr="00BE6461" w:rsidRDefault="00BE6461" w:rsidP="00BE6461">
            <w:pPr>
              <w:jc w:val="right"/>
              <w:rPr>
                <w:b/>
                <w:bCs/>
                <w:color w:val="333333"/>
                <w:sz w:val="20"/>
                <w:szCs w:val="20"/>
              </w:rPr>
            </w:pPr>
            <w:r w:rsidRPr="00BE6461">
              <w:rPr>
                <w:b/>
                <w:bCs/>
                <w:color w:val="333333"/>
                <w:sz w:val="20"/>
                <w:szCs w:val="20"/>
              </w:rPr>
              <w:t>95,62</w:t>
            </w:r>
          </w:p>
        </w:tc>
      </w:tr>
      <w:tr w:rsidR="00BE6461" w:rsidRPr="00BE6461" w14:paraId="67DCC93A"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8349084" w14:textId="77777777" w:rsidR="00BE6461" w:rsidRPr="00BE6461" w:rsidRDefault="00BE6461" w:rsidP="00BE6461">
            <w:pPr>
              <w:rPr>
                <w:b/>
                <w:bCs/>
                <w:color w:val="333333"/>
                <w:sz w:val="20"/>
                <w:szCs w:val="20"/>
              </w:rPr>
            </w:pPr>
            <w:r w:rsidRPr="00BE6461">
              <w:rPr>
                <w:b/>
                <w:bCs/>
                <w:color w:val="333333"/>
                <w:sz w:val="20"/>
                <w:szCs w:val="20"/>
              </w:rPr>
              <w:t>Izvor 4.7. PRIHODI POSEBNE NAMJENE - PRORAČUNSKI KORISNICI</w:t>
            </w:r>
          </w:p>
        </w:tc>
        <w:tc>
          <w:tcPr>
            <w:tcW w:w="1503" w:type="dxa"/>
            <w:tcBorders>
              <w:top w:val="nil"/>
              <w:left w:val="nil"/>
              <w:bottom w:val="nil"/>
              <w:right w:val="nil"/>
            </w:tcBorders>
            <w:shd w:val="clear" w:color="auto" w:fill="auto"/>
            <w:noWrap/>
            <w:vAlign w:val="bottom"/>
            <w:hideMark/>
          </w:tcPr>
          <w:p w14:paraId="0398D300" w14:textId="77777777" w:rsidR="00BE6461" w:rsidRPr="00BE6461" w:rsidRDefault="00BE6461" w:rsidP="00BE6461">
            <w:pPr>
              <w:jc w:val="right"/>
              <w:rPr>
                <w:b/>
                <w:bCs/>
                <w:color w:val="333333"/>
                <w:sz w:val="20"/>
                <w:szCs w:val="20"/>
              </w:rPr>
            </w:pPr>
            <w:r w:rsidRPr="00BE6461">
              <w:rPr>
                <w:b/>
                <w:bCs/>
                <w:color w:val="333333"/>
                <w:sz w:val="20"/>
                <w:szCs w:val="20"/>
              </w:rPr>
              <w:t>396.655,42</w:t>
            </w:r>
          </w:p>
        </w:tc>
        <w:tc>
          <w:tcPr>
            <w:tcW w:w="1500" w:type="dxa"/>
            <w:tcBorders>
              <w:top w:val="nil"/>
              <w:left w:val="nil"/>
              <w:bottom w:val="nil"/>
              <w:right w:val="nil"/>
            </w:tcBorders>
            <w:shd w:val="clear" w:color="auto" w:fill="auto"/>
            <w:noWrap/>
            <w:vAlign w:val="bottom"/>
            <w:hideMark/>
          </w:tcPr>
          <w:p w14:paraId="18E35F93" w14:textId="77777777" w:rsidR="00BE6461" w:rsidRPr="00BE6461" w:rsidRDefault="00BE6461" w:rsidP="00BE6461">
            <w:pPr>
              <w:jc w:val="right"/>
              <w:rPr>
                <w:b/>
                <w:bCs/>
                <w:color w:val="333333"/>
                <w:sz w:val="20"/>
                <w:szCs w:val="20"/>
              </w:rPr>
            </w:pPr>
            <w:r w:rsidRPr="00BE6461">
              <w:rPr>
                <w:b/>
                <w:bCs/>
                <w:color w:val="333333"/>
                <w:sz w:val="20"/>
                <w:szCs w:val="20"/>
              </w:rPr>
              <w:t>379.293,45</w:t>
            </w:r>
          </w:p>
        </w:tc>
        <w:tc>
          <w:tcPr>
            <w:tcW w:w="1100" w:type="dxa"/>
            <w:tcBorders>
              <w:top w:val="nil"/>
              <w:left w:val="nil"/>
              <w:bottom w:val="nil"/>
              <w:right w:val="nil"/>
            </w:tcBorders>
            <w:shd w:val="clear" w:color="auto" w:fill="auto"/>
            <w:noWrap/>
            <w:vAlign w:val="bottom"/>
            <w:hideMark/>
          </w:tcPr>
          <w:p w14:paraId="65D64332" w14:textId="77777777" w:rsidR="00BE6461" w:rsidRPr="00BE6461" w:rsidRDefault="00BE6461" w:rsidP="00BE6461">
            <w:pPr>
              <w:jc w:val="right"/>
              <w:rPr>
                <w:b/>
                <w:bCs/>
                <w:color w:val="333333"/>
                <w:sz w:val="20"/>
                <w:szCs w:val="20"/>
              </w:rPr>
            </w:pPr>
            <w:r w:rsidRPr="00BE6461">
              <w:rPr>
                <w:b/>
                <w:bCs/>
                <w:color w:val="333333"/>
                <w:sz w:val="20"/>
                <w:szCs w:val="20"/>
              </w:rPr>
              <w:t>95,62</w:t>
            </w:r>
          </w:p>
        </w:tc>
      </w:tr>
      <w:tr w:rsidR="00BE6461" w:rsidRPr="00BE6461" w14:paraId="1C74A568" w14:textId="77777777" w:rsidTr="00BE6461">
        <w:trPr>
          <w:trHeight w:val="300"/>
        </w:trPr>
        <w:tc>
          <w:tcPr>
            <w:tcW w:w="1703" w:type="dxa"/>
            <w:tcBorders>
              <w:top w:val="nil"/>
              <w:left w:val="nil"/>
              <w:bottom w:val="nil"/>
              <w:right w:val="nil"/>
            </w:tcBorders>
            <w:shd w:val="clear" w:color="auto" w:fill="auto"/>
            <w:noWrap/>
            <w:vAlign w:val="bottom"/>
            <w:hideMark/>
          </w:tcPr>
          <w:p w14:paraId="1C209DC6" w14:textId="77777777" w:rsidR="00BE6461" w:rsidRPr="00BE6461" w:rsidRDefault="00BE6461" w:rsidP="00BE6461">
            <w:pPr>
              <w:rPr>
                <w:b/>
                <w:bCs/>
                <w:sz w:val="20"/>
                <w:szCs w:val="20"/>
              </w:rPr>
            </w:pPr>
            <w:r w:rsidRPr="00BE6461">
              <w:rPr>
                <w:b/>
                <w:bCs/>
                <w:sz w:val="20"/>
                <w:szCs w:val="20"/>
              </w:rPr>
              <w:t>321</w:t>
            </w:r>
          </w:p>
        </w:tc>
        <w:tc>
          <w:tcPr>
            <w:tcW w:w="8457" w:type="dxa"/>
            <w:tcBorders>
              <w:top w:val="nil"/>
              <w:left w:val="nil"/>
              <w:bottom w:val="nil"/>
              <w:right w:val="nil"/>
            </w:tcBorders>
            <w:shd w:val="clear" w:color="auto" w:fill="auto"/>
            <w:vAlign w:val="bottom"/>
            <w:hideMark/>
          </w:tcPr>
          <w:p w14:paraId="2A517765" w14:textId="77777777" w:rsidR="00BE6461" w:rsidRPr="00BE6461" w:rsidRDefault="00BE6461" w:rsidP="00BE6461">
            <w:pPr>
              <w:rPr>
                <w:b/>
                <w:bCs/>
                <w:sz w:val="20"/>
                <w:szCs w:val="20"/>
              </w:rPr>
            </w:pPr>
            <w:r w:rsidRPr="00BE6461">
              <w:rPr>
                <w:b/>
                <w:bCs/>
                <w:sz w:val="20"/>
                <w:szCs w:val="20"/>
              </w:rPr>
              <w:t xml:space="preserve">Naknade troškova zaposlenima                                                                        </w:t>
            </w:r>
          </w:p>
        </w:tc>
        <w:tc>
          <w:tcPr>
            <w:tcW w:w="1503" w:type="dxa"/>
            <w:tcBorders>
              <w:top w:val="nil"/>
              <w:left w:val="nil"/>
              <w:bottom w:val="nil"/>
              <w:right w:val="nil"/>
            </w:tcBorders>
            <w:shd w:val="clear" w:color="auto" w:fill="auto"/>
            <w:noWrap/>
            <w:vAlign w:val="bottom"/>
            <w:hideMark/>
          </w:tcPr>
          <w:p w14:paraId="125E1597" w14:textId="77777777" w:rsidR="00BE6461" w:rsidRPr="00BE6461" w:rsidRDefault="00BE6461" w:rsidP="00BE6461">
            <w:pPr>
              <w:jc w:val="right"/>
              <w:rPr>
                <w:b/>
                <w:bCs/>
                <w:sz w:val="20"/>
                <w:szCs w:val="20"/>
              </w:rPr>
            </w:pPr>
            <w:r w:rsidRPr="00BE6461">
              <w:rPr>
                <w:b/>
                <w:bCs/>
                <w:sz w:val="20"/>
                <w:szCs w:val="20"/>
              </w:rPr>
              <w:t>10.800,00</w:t>
            </w:r>
          </w:p>
        </w:tc>
        <w:tc>
          <w:tcPr>
            <w:tcW w:w="1500" w:type="dxa"/>
            <w:tcBorders>
              <w:top w:val="nil"/>
              <w:left w:val="nil"/>
              <w:bottom w:val="nil"/>
              <w:right w:val="nil"/>
            </w:tcBorders>
            <w:shd w:val="clear" w:color="auto" w:fill="auto"/>
            <w:noWrap/>
            <w:vAlign w:val="bottom"/>
            <w:hideMark/>
          </w:tcPr>
          <w:p w14:paraId="3E6F08AA" w14:textId="77777777" w:rsidR="00BE6461" w:rsidRPr="00BE6461" w:rsidRDefault="00BE6461" w:rsidP="00BE6461">
            <w:pPr>
              <w:jc w:val="right"/>
              <w:rPr>
                <w:b/>
                <w:bCs/>
                <w:sz w:val="20"/>
                <w:szCs w:val="20"/>
              </w:rPr>
            </w:pPr>
            <w:r w:rsidRPr="00BE6461">
              <w:rPr>
                <w:b/>
                <w:bCs/>
                <w:sz w:val="20"/>
                <w:szCs w:val="20"/>
              </w:rPr>
              <w:t>5.823,83</w:t>
            </w:r>
          </w:p>
        </w:tc>
        <w:tc>
          <w:tcPr>
            <w:tcW w:w="1100" w:type="dxa"/>
            <w:tcBorders>
              <w:top w:val="nil"/>
              <w:left w:val="nil"/>
              <w:bottom w:val="nil"/>
              <w:right w:val="nil"/>
            </w:tcBorders>
            <w:shd w:val="clear" w:color="auto" w:fill="auto"/>
            <w:noWrap/>
            <w:vAlign w:val="bottom"/>
            <w:hideMark/>
          </w:tcPr>
          <w:p w14:paraId="44AC2E2F" w14:textId="77777777" w:rsidR="00BE6461" w:rsidRPr="00BE6461" w:rsidRDefault="00BE6461" w:rsidP="00BE6461">
            <w:pPr>
              <w:jc w:val="right"/>
              <w:rPr>
                <w:b/>
                <w:bCs/>
                <w:sz w:val="20"/>
                <w:szCs w:val="20"/>
              </w:rPr>
            </w:pPr>
            <w:r w:rsidRPr="00BE6461">
              <w:rPr>
                <w:b/>
                <w:bCs/>
                <w:sz w:val="20"/>
                <w:szCs w:val="20"/>
              </w:rPr>
              <w:t>53,92</w:t>
            </w:r>
          </w:p>
        </w:tc>
      </w:tr>
      <w:tr w:rsidR="00BE6461" w:rsidRPr="00BE6461" w14:paraId="74023E97" w14:textId="77777777" w:rsidTr="00BE6461">
        <w:trPr>
          <w:trHeight w:val="300"/>
        </w:trPr>
        <w:tc>
          <w:tcPr>
            <w:tcW w:w="1703" w:type="dxa"/>
            <w:tcBorders>
              <w:top w:val="nil"/>
              <w:left w:val="nil"/>
              <w:bottom w:val="nil"/>
              <w:right w:val="nil"/>
            </w:tcBorders>
            <w:shd w:val="clear" w:color="auto" w:fill="auto"/>
            <w:noWrap/>
            <w:vAlign w:val="bottom"/>
            <w:hideMark/>
          </w:tcPr>
          <w:p w14:paraId="41FA4293" w14:textId="77777777" w:rsidR="00BE6461" w:rsidRPr="00BE6461" w:rsidRDefault="00BE6461" w:rsidP="00BE6461">
            <w:pPr>
              <w:rPr>
                <w:sz w:val="20"/>
                <w:szCs w:val="20"/>
              </w:rPr>
            </w:pPr>
            <w:r w:rsidRPr="00BE6461">
              <w:rPr>
                <w:sz w:val="20"/>
                <w:szCs w:val="20"/>
              </w:rPr>
              <w:t>3211</w:t>
            </w:r>
          </w:p>
        </w:tc>
        <w:tc>
          <w:tcPr>
            <w:tcW w:w="8457" w:type="dxa"/>
            <w:tcBorders>
              <w:top w:val="nil"/>
              <w:left w:val="nil"/>
              <w:bottom w:val="nil"/>
              <w:right w:val="nil"/>
            </w:tcBorders>
            <w:shd w:val="clear" w:color="auto" w:fill="auto"/>
            <w:vAlign w:val="bottom"/>
            <w:hideMark/>
          </w:tcPr>
          <w:p w14:paraId="38D8D94B" w14:textId="77777777" w:rsidR="00BE6461" w:rsidRPr="00BE6461" w:rsidRDefault="00BE6461" w:rsidP="00BE6461">
            <w:pPr>
              <w:rPr>
                <w:sz w:val="20"/>
                <w:szCs w:val="20"/>
              </w:rPr>
            </w:pPr>
            <w:r w:rsidRPr="00BE6461">
              <w:rPr>
                <w:sz w:val="20"/>
                <w:szCs w:val="20"/>
              </w:rPr>
              <w:t xml:space="preserve">Službena putovanja                                                                                  </w:t>
            </w:r>
          </w:p>
        </w:tc>
        <w:tc>
          <w:tcPr>
            <w:tcW w:w="1503" w:type="dxa"/>
            <w:tcBorders>
              <w:top w:val="nil"/>
              <w:left w:val="nil"/>
              <w:bottom w:val="nil"/>
              <w:right w:val="nil"/>
            </w:tcBorders>
            <w:shd w:val="clear" w:color="auto" w:fill="auto"/>
            <w:noWrap/>
            <w:vAlign w:val="bottom"/>
            <w:hideMark/>
          </w:tcPr>
          <w:p w14:paraId="7214EE8E"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810B566" w14:textId="77777777" w:rsidR="00BE6461" w:rsidRPr="00BE6461" w:rsidRDefault="00BE6461" w:rsidP="00BE6461">
            <w:pPr>
              <w:jc w:val="right"/>
              <w:rPr>
                <w:sz w:val="20"/>
                <w:szCs w:val="20"/>
              </w:rPr>
            </w:pPr>
            <w:r w:rsidRPr="00BE6461">
              <w:rPr>
                <w:sz w:val="20"/>
                <w:szCs w:val="20"/>
              </w:rPr>
              <w:t>5.473,83</w:t>
            </w:r>
          </w:p>
        </w:tc>
        <w:tc>
          <w:tcPr>
            <w:tcW w:w="1100" w:type="dxa"/>
            <w:tcBorders>
              <w:top w:val="nil"/>
              <w:left w:val="nil"/>
              <w:bottom w:val="nil"/>
              <w:right w:val="nil"/>
            </w:tcBorders>
            <w:shd w:val="clear" w:color="auto" w:fill="auto"/>
            <w:noWrap/>
            <w:vAlign w:val="bottom"/>
            <w:hideMark/>
          </w:tcPr>
          <w:p w14:paraId="240BCE9E" w14:textId="77777777" w:rsidR="00BE6461" w:rsidRPr="00BE6461" w:rsidRDefault="00BE6461" w:rsidP="00BE6461">
            <w:pPr>
              <w:jc w:val="right"/>
              <w:rPr>
                <w:sz w:val="20"/>
                <w:szCs w:val="20"/>
              </w:rPr>
            </w:pPr>
          </w:p>
        </w:tc>
      </w:tr>
      <w:tr w:rsidR="00BE6461" w:rsidRPr="00BE6461" w14:paraId="5AFA8B66" w14:textId="77777777" w:rsidTr="00BE6461">
        <w:trPr>
          <w:trHeight w:val="300"/>
        </w:trPr>
        <w:tc>
          <w:tcPr>
            <w:tcW w:w="1703" w:type="dxa"/>
            <w:tcBorders>
              <w:top w:val="nil"/>
              <w:left w:val="nil"/>
              <w:bottom w:val="nil"/>
              <w:right w:val="nil"/>
            </w:tcBorders>
            <w:shd w:val="clear" w:color="auto" w:fill="auto"/>
            <w:noWrap/>
            <w:vAlign w:val="bottom"/>
            <w:hideMark/>
          </w:tcPr>
          <w:p w14:paraId="152813BB" w14:textId="77777777" w:rsidR="00BE6461" w:rsidRPr="00BE6461" w:rsidRDefault="00BE6461" w:rsidP="00BE6461">
            <w:pPr>
              <w:rPr>
                <w:sz w:val="20"/>
                <w:szCs w:val="20"/>
              </w:rPr>
            </w:pPr>
            <w:r w:rsidRPr="00BE6461">
              <w:rPr>
                <w:sz w:val="20"/>
                <w:szCs w:val="20"/>
              </w:rPr>
              <w:lastRenderedPageBreak/>
              <w:t>3213</w:t>
            </w:r>
          </w:p>
        </w:tc>
        <w:tc>
          <w:tcPr>
            <w:tcW w:w="8457" w:type="dxa"/>
            <w:tcBorders>
              <w:top w:val="nil"/>
              <w:left w:val="nil"/>
              <w:bottom w:val="nil"/>
              <w:right w:val="nil"/>
            </w:tcBorders>
            <w:shd w:val="clear" w:color="auto" w:fill="auto"/>
            <w:vAlign w:val="bottom"/>
            <w:hideMark/>
          </w:tcPr>
          <w:p w14:paraId="3D899D90" w14:textId="77777777" w:rsidR="00BE6461" w:rsidRPr="00BE6461" w:rsidRDefault="00BE6461" w:rsidP="00BE6461">
            <w:pPr>
              <w:rPr>
                <w:sz w:val="20"/>
                <w:szCs w:val="20"/>
              </w:rPr>
            </w:pPr>
            <w:r w:rsidRPr="00BE6461">
              <w:rPr>
                <w:sz w:val="20"/>
                <w:szCs w:val="20"/>
              </w:rPr>
              <w:t xml:space="preserve">Stručno usavršavanje zaposlenika                                                                    </w:t>
            </w:r>
          </w:p>
        </w:tc>
        <w:tc>
          <w:tcPr>
            <w:tcW w:w="1503" w:type="dxa"/>
            <w:tcBorders>
              <w:top w:val="nil"/>
              <w:left w:val="nil"/>
              <w:bottom w:val="nil"/>
              <w:right w:val="nil"/>
            </w:tcBorders>
            <w:shd w:val="clear" w:color="auto" w:fill="auto"/>
            <w:noWrap/>
            <w:vAlign w:val="bottom"/>
            <w:hideMark/>
          </w:tcPr>
          <w:p w14:paraId="636E72BB"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F344C79" w14:textId="77777777" w:rsidR="00BE6461" w:rsidRPr="00BE6461" w:rsidRDefault="00BE6461" w:rsidP="00BE6461">
            <w:pPr>
              <w:jc w:val="right"/>
              <w:rPr>
                <w:sz w:val="20"/>
                <w:szCs w:val="20"/>
              </w:rPr>
            </w:pPr>
            <w:r w:rsidRPr="00BE6461">
              <w:rPr>
                <w:sz w:val="20"/>
                <w:szCs w:val="20"/>
              </w:rPr>
              <w:t>350,00</w:t>
            </w:r>
          </w:p>
        </w:tc>
        <w:tc>
          <w:tcPr>
            <w:tcW w:w="1100" w:type="dxa"/>
            <w:tcBorders>
              <w:top w:val="nil"/>
              <w:left w:val="nil"/>
              <w:bottom w:val="nil"/>
              <w:right w:val="nil"/>
            </w:tcBorders>
            <w:shd w:val="clear" w:color="auto" w:fill="auto"/>
            <w:noWrap/>
            <w:vAlign w:val="bottom"/>
            <w:hideMark/>
          </w:tcPr>
          <w:p w14:paraId="34667DF2" w14:textId="77777777" w:rsidR="00BE6461" w:rsidRPr="00BE6461" w:rsidRDefault="00BE6461" w:rsidP="00BE6461">
            <w:pPr>
              <w:jc w:val="right"/>
              <w:rPr>
                <w:sz w:val="20"/>
                <w:szCs w:val="20"/>
              </w:rPr>
            </w:pPr>
          </w:p>
        </w:tc>
      </w:tr>
      <w:tr w:rsidR="00BE6461" w:rsidRPr="00BE6461" w14:paraId="39128AAC" w14:textId="77777777" w:rsidTr="00BE6461">
        <w:trPr>
          <w:trHeight w:val="300"/>
        </w:trPr>
        <w:tc>
          <w:tcPr>
            <w:tcW w:w="1703" w:type="dxa"/>
            <w:tcBorders>
              <w:top w:val="nil"/>
              <w:left w:val="nil"/>
              <w:bottom w:val="nil"/>
              <w:right w:val="nil"/>
            </w:tcBorders>
            <w:shd w:val="clear" w:color="auto" w:fill="auto"/>
            <w:noWrap/>
            <w:vAlign w:val="bottom"/>
            <w:hideMark/>
          </w:tcPr>
          <w:p w14:paraId="58C2A3C4" w14:textId="77777777" w:rsidR="00BE6461" w:rsidRPr="00BE6461" w:rsidRDefault="00BE6461" w:rsidP="00BE6461">
            <w:pPr>
              <w:rPr>
                <w:sz w:val="20"/>
                <w:szCs w:val="20"/>
              </w:rPr>
            </w:pPr>
            <w:r w:rsidRPr="00BE6461">
              <w:rPr>
                <w:sz w:val="20"/>
                <w:szCs w:val="20"/>
              </w:rPr>
              <w:t>3214</w:t>
            </w:r>
          </w:p>
        </w:tc>
        <w:tc>
          <w:tcPr>
            <w:tcW w:w="8457" w:type="dxa"/>
            <w:tcBorders>
              <w:top w:val="nil"/>
              <w:left w:val="nil"/>
              <w:bottom w:val="nil"/>
              <w:right w:val="nil"/>
            </w:tcBorders>
            <w:shd w:val="clear" w:color="auto" w:fill="auto"/>
            <w:vAlign w:val="bottom"/>
            <w:hideMark/>
          </w:tcPr>
          <w:p w14:paraId="3E117CA1" w14:textId="77777777" w:rsidR="00BE6461" w:rsidRPr="00BE6461" w:rsidRDefault="00BE6461" w:rsidP="00BE6461">
            <w:pPr>
              <w:rPr>
                <w:sz w:val="20"/>
                <w:szCs w:val="20"/>
              </w:rPr>
            </w:pPr>
            <w:r w:rsidRPr="00BE6461">
              <w:rPr>
                <w:sz w:val="20"/>
                <w:szCs w:val="20"/>
              </w:rPr>
              <w:t xml:space="preserve">Ostale naknade troškova zaposlenima                                                                 </w:t>
            </w:r>
          </w:p>
        </w:tc>
        <w:tc>
          <w:tcPr>
            <w:tcW w:w="1503" w:type="dxa"/>
            <w:tcBorders>
              <w:top w:val="nil"/>
              <w:left w:val="nil"/>
              <w:bottom w:val="nil"/>
              <w:right w:val="nil"/>
            </w:tcBorders>
            <w:shd w:val="clear" w:color="auto" w:fill="auto"/>
            <w:noWrap/>
            <w:vAlign w:val="bottom"/>
            <w:hideMark/>
          </w:tcPr>
          <w:p w14:paraId="3FE711F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EA82225"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3332A5E1" w14:textId="77777777" w:rsidR="00BE6461" w:rsidRPr="00BE6461" w:rsidRDefault="00BE6461" w:rsidP="00BE6461">
            <w:pPr>
              <w:jc w:val="right"/>
              <w:rPr>
                <w:sz w:val="20"/>
                <w:szCs w:val="20"/>
              </w:rPr>
            </w:pPr>
          </w:p>
        </w:tc>
      </w:tr>
      <w:tr w:rsidR="00BE6461" w:rsidRPr="00BE6461" w14:paraId="7C5F1987" w14:textId="77777777" w:rsidTr="00BE6461">
        <w:trPr>
          <w:trHeight w:val="300"/>
        </w:trPr>
        <w:tc>
          <w:tcPr>
            <w:tcW w:w="1703" w:type="dxa"/>
            <w:tcBorders>
              <w:top w:val="nil"/>
              <w:left w:val="nil"/>
              <w:bottom w:val="nil"/>
              <w:right w:val="nil"/>
            </w:tcBorders>
            <w:shd w:val="clear" w:color="auto" w:fill="auto"/>
            <w:noWrap/>
            <w:vAlign w:val="bottom"/>
            <w:hideMark/>
          </w:tcPr>
          <w:p w14:paraId="175EAB79"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25E50345"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5DBB3E63" w14:textId="77777777" w:rsidR="00BE6461" w:rsidRPr="00BE6461" w:rsidRDefault="00BE6461" w:rsidP="00BE6461">
            <w:pPr>
              <w:jc w:val="right"/>
              <w:rPr>
                <w:b/>
                <w:bCs/>
                <w:sz w:val="20"/>
                <w:szCs w:val="20"/>
              </w:rPr>
            </w:pPr>
            <w:r w:rsidRPr="00BE6461">
              <w:rPr>
                <w:b/>
                <w:bCs/>
                <w:sz w:val="20"/>
                <w:szCs w:val="20"/>
              </w:rPr>
              <w:t>244.767,50</w:t>
            </w:r>
          </w:p>
        </w:tc>
        <w:tc>
          <w:tcPr>
            <w:tcW w:w="1500" w:type="dxa"/>
            <w:tcBorders>
              <w:top w:val="nil"/>
              <w:left w:val="nil"/>
              <w:bottom w:val="nil"/>
              <w:right w:val="nil"/>
            </w:tcBorders>
            <w:shd w:val="clear" w:color="auto" w:fill="auto"/>
            <w:noWrap/>
            <w:vAlign w:val="bottom"/>
            <w:hideMark/>
          </w:tcPr>
          <w:p w14:paraId="73555160" w14:textId="77777777" w:rsidR="00BE6461" w:rsidRPr="00BE6461" w:rsidRDefault="00BE6461" w:rsidP="00BE6461">
            <w:pPr>
              <w:jc w:val="right"/>
              <w:rPr>
                <w:b/>
                <w:bCs/>
                <w:sz w:val="20"/>
                <w:szCs w:val="20"/>
              </w:rPr>
            </w:pPr>
            <w:r w:rsidRPr="00BE6461">
              <w:rPr>
                <w:b/>
                <w:bCs/>
                <w:sz w:val="20"/>
                <w:szCs w:val="20"/>
              </w:rPr>
              <w:t>241.026,18</w:t>
            </w:r>
          </w:p>
        </w:tc>
        <w:tc>
          <w:tcPr>
            <w:tcW w:w="1100" w:type="dxa"/>
            <w:tcBorders>
              <w:top w:val="nil"/>
              <w:left w:val="nil"/>
              <w:bottom w:val="nil"/>
              <w:right w:val="nil"/>
            </w:tcBorders>
            <w:shd w:val="clear" w:color="auto" w:fill="auto"/>
            <w:noWrap/>
            <w:vAlign w:val="bottom"/>
            <w:hideMark/>
          </w:tcPr>
          <w:p w14:paraId="2B1FC1EB" w14:textId="77777777" w:rsidR="00BE6461" w:rsidRPr="00BE6461" w:rsidRDefault="00BE6461" w:rsidP="00BE6461">
            <w:pPr>
              <w:jc w:val="right"/>
              <w:rPr>
                <w:b/>
                <w:bCs/>
                <w:sz w:val="20"/>
                <w:szCs w:val="20"/>
              </w:rPr>
            </w:pPr>
            <w:r w:rsidRPr="00BE6461">
              <w:rPr>
                <w:b/>
                <w:bCs/>
                <w:sz w:val="20"/>
                <w:szCs w:val="20"/>
              </w:rPr>
              <w:t>98,47</w:t>
            </w:r>
          </w:p>
        </w:tc>
      </w:tr>
      <w:tr w:rsidR="00BE6461" w:rsidRPr="00BE6461" w14:paraId="0B9AEFA1" w14:textId="77777777" w:rsidTr="00BE6461">
        <w:trPr>
          <w:trHeight w:val="300"/>
        </w:trPr>
        <w:tc>
          <w:tcPr>
            <w:tcW w:w="1703" w:type="dxa"/>
            <w:tcBorders>
              <w:top w:val="nil"/>
              <w:left w:val="nil"/>
              <w:bottom w:val="nil"/>
              <w:right w:val="nil"/>
            </w:tcBorders>
            <w:shd w:val="clear" w:color="auto" w:fill="auto"/>
            <w:noWrap/>
            <w:vAlign w:val="bottom"/>
            <w:hideMark/>
          </w:tcPr>
          <w:p w14:paraId="676342FB" w14:textId="77777777" w:rsidR="00BE6461" w:rsidRPr="00BE6461" w:rsidRDefault="00BE6461" w:rsidP="00BE6461">
            <w:pPr>
              <w:rPr>
                <w:sz w:val="20"/>
                <w:szCs w:val="20"/>
              </w:rPr>
            </w:pPr>
            <w:r w:rsidRPr="00BE6461">
              <w:rPr>
                <w:sz w:val="20"/>
                <w:szCs w:val="20"/>
              </w:rPr>
              <w:t>3221</w:t>
            </w:r>
          </w:p>
        </w:tc>
        <w:tc>
          <w:tcPr>
            <w:tcW w:w="8457" w:type="dxa"/>
            <w:tcBorders>
              <w:top w:val="nil"/>
              <w:left w:val="nil"/>
              <w:bottom w:val="nil"/>
              <w:right w:val="nil"/>
            </w:tcBorders>
            <w:shd w:val="clear" w:color="auto" w:fill="auto"/>
            <w:vAlign w:val="bottom"/>
            <w:hideMark/>
          </w:tcPr>
          <w:p w14:paraId="660D8999" w14:textId="77777777" w:rsidR="00BE6461" w:rsidRPr="00BE6461" w:rsidRDefault="00BE6461" w:rsidP="00BE6461">
            <w:pPr>
              <w:rPr>
                <w:sz w:val="20"/>
                <w:szCs w:val="20"/>
              </w:rPr>
            </w:pPr>
            <w:r w:rsidRPr="00BE6461">
              <w:rPr>
                <w:sz w:val="20"/>
                <w:szCs w:val="20"/>
              </w:rPr>
              <w:t xml:space="preserve">Uredski materijal i ostali materijalni rashodi                                                      </w:t>
            </w:r>
          </w:p>
        </w:tc>
        <w:tc>
          <w:tcPr>
            <w:tcW w:w="1503" w:type="dxa"/>
            <w:tcBorders>
              <w:top w:val="nil"/>
              <w:left w:val="nil"/>
              <w:bottom w:val="nil"/>
              <w:right w:val="nil"/>
            </w:tcBorders>
            <w:shd w:val="clear" w:color="auto" w:fill="auto"/>
            <w:noWrap/>
            <w:vAlign w:val="bottom"/>
            <w:hideMark/>
          </w:tcPr>
          <w:p w14:paraId="30649A6F"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E8564BA" w14:textId="77777777" w:rsidR="00BE6461" w:rsidRPr="00BE6461" w:rsidRDefault="00BE6461" w:rsidP="00BE6461">
            <w:pPr>
              <w:jc w:val="right"/>
              <w:rPr>
                <w:sz w:val="20"/>
                <w:szCs w:val="20"/>
              </w:rPr>
            </w:pPr>
            <w:r w:rsidRPr="00BE6461">
              <w:rPr>
                <w:sz w:val="20"/>
                <w:szCs w:val="20"/>
              </w:rPr>
              <w:t>43.873,91</w:t>
            </w:r>
          </w:p>
        </w:tc>
        <w:tc>
          <w:tcPr>
            <w:tcW w:w="1100" w:type="dxa"/>
            <w:tcBorders>
              <w:top w:val="nil"/>
              <w:left w:val="nil"/>
              <w:bottom w:val="nil"/>
              <w:right w:val="nil"/>
            </w:tcBorders>
            <w:shd w:val="clear" w:color="auto" w:fill="auto"/>
            <w:noWrap/>
            <w:vAlign w:val="bottom"/>
            <w:hideMark/>
          </w:tcPr>
          <w:p w14:paraId="7E75E339" w14:textId="77777777" w:rsidR="00BE6461" w:rsidRPr="00BE6461" w:rsidRDefault="00BE6461" w:rsidP="00BE6461">
            <w:pPr>
              <w:jc w:val="right"/>
              <w:rPr>
                <w:sz w:val="20"/>
                <w:szCs w:val="20"/>
              </w:rPr>
            </w:pPr>
          </w:p>
        </w:tc>
      </w:tr>
      <w:tr w:rsidR="00BE6461" w:rsidRPr="00BE6461" w14:paraId="622FA537" w14:textId="77777777" w:rsidTr="00BE6461">
        <w:trPr>
          <w:trHeight w:val="300"/>
        </w:trPr>
        <w:tc>
          <w:tcPr>
            <w:tcW w:w="1703" w:type="dxa"/>
            <w:tcBorders>
              <w:top w:val="nil"/>
              <w:left w:val="nil"/>
              <w:bottom w:val="nil"/>
              <w:right w:val="nil"/>
            </w:tcBorders>
            <w:shd w:val="clear" w:color="auto" w:fill="auto"/>
            <w:noWrap/>
            <w:vAlign w:val="bottom"/>
            <w:hideMark/>
          </w:tcPr>
          <w:p w14:paraId="51E7B8F2" w14:textId="77777777" w:rsidR="00BE6461" w:rsidRPr="00BE6461" w:rsidRDefault="00BE6461" w:rsidP="00BE6461">
            <w:pPr>
              <w:rPr>
                <w:sz w:val="20"/>
                <w:szCs w:val="20"/>
              </w:rPr>
            </w:pPr>
            <w:r w:rsidRPr="00BE6461">
              <w:rPr>
                <w:sz w:val="20"/>
                <w:szCs w:val="20"/>
              </w:rPr>
              <w:t>3222</w:t>
            </w:r>
          </w:p>
        </w:tc>
        <w:tc>
          <w:tcPr>
            <w:tcW w:w="8457" w:type="dxa"/>
            <w:tcBorders>
              <w:top w:val="nil"/>
              <w:left w:val="nil"/>
              <w:bottom w:val="nil"/>
              <w:right w:val="nil"/>
            </w:tcBorders>
            <w:shd w:val="clear" w:color="auto" w:fill="auto"/>
            <w:vAlign w:val="bottom"/>
            <w:hideMark/>
          </w:tcPr>
          <w:p w14:paraId="41AF045D" w14:textId="77777777" w:rsidR="00BE6461" w:rsidRPr="00BE6461" w:rsidRDefault="00BE6461" w:rsidP="00BE6461">
            <w:pPr>
              <w:rPr>
                <w:sz w:val="20"/>
                <w:szCs w:val="20"/>
              </w:rPr>
            </w:pPr>
            <w:r w:rsidRPr="00BE6461">
              <w:rPr>
                <w:sz w:val="20"/>
                <w:szCs w:val="20"/>
              </w:rPr>
              <w:t xml:space="preserve">Materijal i sirovine                                                                                </w:t>
            </w:r>
          </w:p>
        </w:tc>
        <w:tc>
          <w:tcPr>
            <w:tcW w:w="1503" w:type="dxa"/>
            <w:tcBorders>
              <w:top w:val="nil"/>
              <w:left w:val="nil"/>
              <w:bottom w:val="nil"/>
              <w:right w:val="nil"/>
            </w:tcBorders>
            <w:shd w:val="clear" w:color="auto" w:fill="auto"/>
            <w:noWrap/>
            <w:vAlign w:val="bottom"/>
            <w:hideMark/>
          </w:tcPr>
          <w:p w14:paraId="72474590"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344A717" w14:textId="77777777" w:rsidR="00BE6461" w:rsidRPr="00BE6461" w:rsidRDefault="00BE6461" w:rsidP="00BE6461">
            <w:pPr>
              <w:jc w:val="right"/>
              <w:rPr>
                <w:sz w:val="20"/>
                <w:szCs w:val="20"/>
              </w:rPr>
            </w:pPr>
            <w:r w:rsidRPr="00BE6461">
              <w:rPr>
                <w:sz w:val="20"/>
                <w:szCs w:val="20"/>
              </w:rPr>
              <w:t>3.373,48</w:t>
            </w:r>
          </w:p>
        </w:tc>
        <w:tc>
          <w:tcPr>
            <w:tcW w:w="1100" w:type="dxa"/>
            <w:tcBorders>
              <w:top w:val="nil"/>
              <w:left w:val="nil"/>
              <w:bottom w:val="nil"/>
              <w:right w:val="nil"/>
            </w:tcBorders>
            <w:shd w:val="clear" w:color="auto" w:fill="auto"/>
            <w:noWrap/>
            <w:vAlign w:val="bottom"/>
            <w:hideMark/>
          </w:tcPr>
          <w:p w14:paraId="6BCAE7E8" w14:textId="77777777" w:rsidR="00BE6461" w:rsidRPr="00BE6461" w:rsidRDefault="00BE6461" w:rsidP="00BE6461">
            <w:pPr>
              <w:jc w:val="right"/>
              <w:rPr>
                <w:sz w:val="20"/>
                <w:szCs w:val="20"/>
              </w:rPr>
            </w:pPr>
          </w:p>
        </w:tc>
      </w:tr>
      <w:tr w:rsidR="00BE6461" w:rsidRPr="00BE6461" w14:paraId="1D7405E6" w14:textId="77777777" w:rsidTr="00BE6461">
        <w:trPr>
          <w:trHeight w:val="300"/>
        </w:trPr>
        <w:tc>
          <w:tcPr>
            <w:tcW w:w="1703" w:type="dxa"/>
            <w:tcBorders>
              <w:top w:val="nil"/>
              <w:left w:val="nil"/>
              <w:bottom w:val="nil"/>
              <w:right w:val="nil"/>
            </w:tcBorders>
            <w:shd w:val="clear" w:color="auto" w:fill="auto"/>
            <w:noWrap/>
            <w:vAlign w:val="bottom"/>
            <w:hideMark/>
          </w:tcPr>
          <w:p w14:paraId="58E22B96" w14:textId="77777777" w:rsidR="00BE6461" w:rsidRPr="00BE6461" w:rsidRDefault="00BE6461" w:rsidP="00BE6461">
            <w:pPr>
              <w:rPr>
                <w:sz w:val="20"/>
                <w:szCs w:val="20"/>
              </w:rPr>
            </w:pPr>
            <w:r w:rsidRPr="00BE6461">
              <w:rPr>
                <w:sz w:val="20"/>
                <w:szCs w:val="20"/>
              </w:rPr>
              <w:t>3223</w:t>
            </w:r>
          </w:p>
        </w:tc>
        <w:tc>
          <w:tcPr>
            <w:tcW w:w="8457" w:type="dxa"/>
            <w:tcBorders>
              <w:top w:val="nil"/>
              <w:left w:val="nil"/>
              <w:bottom w:val="nil"/>
              <w:right w:val="nil"/>
            </w:tcBorders>
            <w:shd w:val="clear" w:color="auto" w:fill="auto"/>
            <w:vAlign w:val="bottom"/>
            <w:hideMark/>
          </w:tcPr>
          <w:p w14:paraId="77AEF5F3" w14:textId="77777777" w:rsidR="00BE6461" w:rsidRPr="00BE6461" w:rsidRDefault="00BE6461" w:rsidP="00BE6461">
            <w:pPr>
              <w:rPr>
                <w:sz w:val="20"/>
                <w:szCs w:val="20"/>
              </w:rPr>
            </w:pPr>
            <w:r w:rsidRPr="00BE6461">
              <w:rPr>
                <w:sz w:val="20"/>
                <w:szCs w:val="20"/>
              </w:rPr>
              <w:t xml:space="preserve">Energija                                                                                            </w:t>
            </w:r>
          </w:p>
        </w:tc>
        <w:tc>
          <w:tcPr>
            <w:tcW w:w="1503" w:type="dxa"/>
            <w:tcBorders>
              <w:top w:val="nil"/>
              <w:left w:val="nil"/>
              <w:bottom w:val="nil"/>
              <w:right w:val="nil"/>
            </w:tcBorders>
            <w:shd w:val="clear" w:color="auto" w:fill="auto"/>
            <w:noWrap/>
            <w:vAlign w:val="bottom"/>
            <w:hideMark/>
          </w:tcPr>
          <w:p w14:paraId="0E1E710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0E2D5DC" w14:textId="77777777" w:rsidR="00BE6461" w:rsidRPr="00BE6461" w:rsidRDefault="00BE6461" w:rsidP="00BE6461">
            <w:pPr>
              <w:jc w:val="right"/>
              <w:rPr>
                <w:sz w:val="20"/>
                <w:szCs w:val="20"/>
              </w:rPr>
            </w:pPr>
            <w:r w:rsidRPr="00BE6461">
              <w:rPr>
                <w:sz w:val="20"/>
                <w:szCs w:val="20"/>
              </w:rPr>
              <w:t>171.914,06</w:t>
            </w:r>
          </w:p>
        </w:tc>
        <w:tc>
          <w:tcPr>
            <w:tcW w:w="1100" w:type="dxa"/>
            <w:tcBorders>
              <w:top w:val="nil"/>
              <w:left w:val="nil"/>
              <w:bottom w:val="nil"/>
              <w:right w:val="nil"/>
            </w:tcBorders>
            <w:shd w:val="clear" w:color="auto" w:fill="auto"/>
            <w:noWrap/>
            <w:vAlign w:val="bottom"/>
            <w:hideMark/>
          </w:tcPr>
          <w:p w14:paraId="59333B3A" w14:textId="77777777" w:rsidR="00BE6461" w:rsidRPr="00BE6461" w:rsidRDefault="00BE6461" w:rsidP="00BE6461">
            <w:pPr>
              <w:jc w:val="right"/>
              <w:rPr>
                <w:sz w:val="20"/>
                <w:szCs w:val="20"/>
              </w:rPr>
            </w:pPr>
          </w:p>
        </w:tc>
      </w:tr>
      <w:tr w:rsidR="00BE6461" w:rsidRPr="00BE6461" w14:paraId="39AB5103" w14:textId="77777777" w:rsidTr="00BE6461">
        <w:trPr>
          <w:trHeight w:val="300"/>
        </w:trPr>
        <w:tc>
          <w:tcPr>
            <w:tcW w:w="1703" w:type="dxa"/>
            <w:tcBorders>
              <w:top w:val="nil"/>
              <w:left w:val="nil"/>
              <w:bottom w:val="nil"/>
              <w:right w:val="nil"/>
            </w:tcBorders>
            <w:shd w:val="clear" w:color="auto" w:fill="auto"/>
            <w:noWrap/>
            <w:vAlign w:val="bottom"/>
            <w:hideMark/>
          </w:tcPr>
          <w:p w14:paraId="07131CA1" w14:textId="77777777" w:rsidR="00BE6461" w:rsidRPr="00BE6461" w:rsidRDefault="00BE6461" w:rsidP="00BE6461">
            <w:pPr>
              <w:rPr>
                <w:sz w:val="20"/>
                <w:szCs w:val="20"/>
              </w:rPr>
            </w:pPr>
            <w:r w:rsidRPr="00BE6461">
              <w:rPr>
                <w:sz w:val="20"/>
                <w:szCs w:val="20"/>
              </w:rPr>
              <w:t>3224</w:t>
            </w:r>
          </w:p>
        </w:tc>
        <w:tc>
          <w:tcPr>
            <w:tcW w:w="8457" w:type="dxa"/>
            <w:tcBorders>
              <w:top w:val="nil"/>
              <w:left w:val="nil"/>
              <w:bottom w:val="nil"/>
              <w:right w:val="nil"/>
            </w:tcBorders>
            <w:shd w:val="clear" w:color="auto" w:fill="auto"/>
            <w:vAlign w:val="bottom"/>
            <w:hideMark/>
          </w:tcPr>
          <w:p w14:paraId="033DF853" w14:textId="77777777" w:rsidR="00BE6461" w:rsidRPr="00BE6461" w:rsidRDefault="00BE6461" w:rsidP="00BE6461">
            <w:pPr>
              <w:rPr>
                <w:sz w:val="20"/>
                <w:szCs w:val="20"/>
              </w:rPr>
            </w:pPr>
            <w:r w:rsidRPr="00BE6461">
              <w:rPr>
                <w:sz w:val="20"/>
                <w:szCs w:val="20"/>
              </w:rPr>
              <w:t xml:space="preserve">Materijal i dijelovi za tekuće i investicijsko održavanje                                           </w:t>
            </w:r>
          </w:p>
        </w:tc>
        <w:tc>
          <w:tcPr>
            <w:tcW w:w="1503" w:type="dxa"/>
            <w:tcBorders>
              <w:top w:val="nil"/>
              <w:left w:val="nil"/>
              <w:bottom w:val="nil"/>
              <w:right w:val="nil"/>
            </w:tcBorders>
            <w:shd w:val="clear" w:color="auto" w:fill="auto"/>
            <w:noWrap/>
            <w:vAlign w:val="bottom"/>
            <w:hideMark/>
          </w:tcPr>
          <w:p w14:paraId="7B6C459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3B6AFF7" w14:textId="77777777" w:rsidR="00BE6461" w:rsidRPr="00BE6461" w:rsidRDefault="00BE6461" w:rsidP="00BE6461">
            <w:pPr>
              <w:jc w:val="right"/>
              <w:rPr>
                <w:sz w:val="20"/>
                <w:szCs w:val="20"/>
              </w:rPr>
            </w:pPr>
            <w:r w:rsidRPr="00BE6461">
              <w:rPr>
                <w:sz w:val="20"/>
                <w:szCs w:val="20"/>
              </w:rPr>
              <w:t>11.931,80</w:t>
            </w:r>
          </w:p>
        </w:tc>
        <w:tc>
          <w:tcPr>
            <w:tcW w:w="1100" w:type="dxa"/>
            <w:tcBorders>
              <w:top w:val="nil"/>
              <w:left w:val="nil"/>
              <w:bottom w:val="nil"/>
              <w:right w:val="nil"/>
            </w:tcBorders>
            <w:shd w:val="clear" w:color="auto" w:fill="auto"/>
            <w:noWrap/>
            <w:vAlign w:val="bottom"/>
            <w:hideMark/>
          </w:tcPr>
          <w:p w14:paraId="128955C0" w14:textId="77777777" w:rsidR="00BE6461" w:rsidRPr="00BE6461" w:rsidRDefault="00BE6461" w:rsidP="00BE6461">
            <w:pPr>
              <w:jc w:val="right"/>
              <w:rPr>
                <w:sz w:val="20"/>
                <w:szCs w:val="20"/>
              </w:rPr>
            </w:pPr>
          </w:p>
        </w:tc>
      </w:tr>
      <w:tr w:rsidR="00BE6461" w:rsidRPr="00BE6461" w14:paraId="02A04552" w14:textId="77777777" w:rsidTr="00BE6461">
        <w:trPr>
          <w:trHeight w:val="300"/>
        </w:trPr>
        <w:tc>
          <w:tcPr>
            <w:tcW w:w="1703" w:type="dxa"/>
            <w:tcBorders>
              <w:top w:val="nil"/>
              <w:left w:val="nil"/>
              <w:bottom w:val="nil"/>
              <w:right w:val="nil"/>
            </w:tcBorders>
            <w:shd w:val="clear" w:color="auto" w:fill="auto"/>
            <w:noWrap/>
            <w:vAlign w:val="bottom"/>
            <w:hideMark/>
          </w:tcPr>
          <w:p w14:paraId="7C4FA4A5" w14:textId="77777777" w:rsidR="00BE6461" w:rsidRPr="00BE6461" w:rsidRDefault="00BE6461" w:rsidP="00BE6461">
            <w:pPr>
              <w:rPr>
                <w:sz w:val="20"/>
                <w:szCs w:val="20"/>
              </w:rPr>
            </w:pPr>
            <w:r w:rsidRPr="00BE6461">
              <w:rPr>
                <w:sz w:val="20"/>
                <w:szCs w:val="20"/>
              </w:rPr>
              <w:t>3225</w:t>
            </w:r>
          </w:p>
        </w:tc>
        <w:tc>
          <w:tcPr>
            <w:tcW w:w="8457" w:type="dxa"/>
            <w:tcBorders>
              <w:top w:val="nil"/>
              <w:left w:val="nil"/>
              <w:bottom w:val="nil"/>
              <w:right w:val="nil"/>
            </w:tcBorders>
            <w:shd w:val="clear" w:color="auto" w:fill="auto"/>
            <w:vAlign w:val="bottom"/>
            <w:hideMark/>
          </w:tcPr>
          <w:p w14:paraId="166C55DD" w14:textId="77777777" w:rsidR="00BE6461" w:rsidRPr="00BE6461" w:rsidRDefault="00BE6461" w:rsidP="00BE6461">
            <w:pPr>
              <w:rPr>
                <w:sz w:val="20"/>
                <w:szCs w:val="20"/>
              </w:rPr>
            </w:pPr>
            <w:r w:rsidRPr="00BE6461">
              <w:rPr>
                <w:sz w:val="20"/>
                <w:szCs w:val="20"/>
              </w:rPr>
              <w:t xml:space="preserve">Sitni inventar i auto gume                                                                          </w:t>
            </w:r>
          </w:p>
        </w:tc>
        <w:tc>
          <w:tcPr>
            <w:tcW w:w="1503" w:type="dxa"/>
            <w:tcBorders>
              <w:top w:val="nil"/>
              <w:left w:val="nil"/>
              <w:bottom w:val="nil"/>
              <w:right w:val="nil"/>
            </w:tcBorders>
            <w:shd w:val="clear" w:color="auto" w:fill="auto"/>
            <w:noWrap/>
            <w:vAlign w:val="bottom"/>
            <w:hideMark/>
          </w:tcPr>
          <w:p w14:paraId="5526C5F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B849367" w14:textId="77777777" w:rsidR="00BE6461" w:rsidRPr="00BE6461" w:rsidRDefault="00BE6461" w:rsidP="00BE6461">
            <w:pPr>
              <w:jc w:val="right"/>
              <w:rPr>
                <w:sz w:val="20"/>
                <w:szCs w:val="20"/>
              </w:rPr>
            </w:pPr>
            <w:r w:rsidRPr="00BE6461">
              <w:rPr>
                <w:sz w:val="20"/>
                <w:szCs w:val="20"/>
              </w:rPr>
              <w:t>5.741,15</w:t>
            </w:r>
          </w:p>
        </w:tc>
        <w:tc>
          <w:tcPr>
            <w:tcW w:w="1100" w:type="dxa"/>
            <w:tcBorders>
              <w:top w:val="nil"/>
              <w:left w:val="nil"/>
              <w:bottom w:val="nil"/>
              <w:right w:val="nil"/>
            </w:tcBorders>
            <w:shd w:val="clear" w:color="auto" w:fill="auto"/>
            <w:noWrap/>
            <w:vAlign w:val="bottom"/>
            <w:hideMark/>
          </w:tcPr>
          <w:p w14:paraId="3817C2FD" w14:textId="77777777" w:rsidR="00BE6461" w:rsidRPr="00BE6461" w:rsidRDefault="00BE6461" w:rsidP="00BE6461">
            <w:pPr>
              <w:jc w:val="right"/>
              <w:rPr>
                <w:sz w:val="20"/>
                <w:szCs w:val="20"/>
              </w:rPr>
            </w:pPr>
          </w:p>
        </w:tc>
      </w:tr>
      <w:tr w:rsidR="00BE6461" w:rsidRPr="00BE6461" w14:paraId="38190DFF" w14:textId="77777777" w:rsidTr="00BE6461">
        <w:trPr>
          <w:trHeight w:val="300"/>
        </w:trPr>
        <w:tc>
          <w:tcPr>
            <w:tcW w:w="1703" w:type="dxa"/>
            <w:tcBorders>
              <w:top w:val="nil"/>
              <w:left w:val="nil"/>
              <w:bottom w:val="nil"/>
              <w:right w:val="nil"/>
            </w:tcBorders>
            <w:shd w:val="clear" w:color="auto" w:fill="auto"/>
            <w:noWrap/>
            <w:vAlign w:val="bottom"/>
            <w:hideMark/>
          </w:tcPr>
          <w:p w14:paraId="5990135C" w14:textId="77777777" w:rsidR="00BE6461" w:rsidRPr="00BE6461" w:rsidRDefault="00BE6461" w:rsidP="00BE6461">
            <w:pPr>
              <w:rPr>
                <w:sz w:val="20"/>
                <w:szCs w:val="20"/>
              </w:rPr>
            </w:pPr>
            <w:r w:rsidRPr="00BE6461">
              <w:rPr>
                <w:sz w:val="20"/>
                <w:szCs w:val="20"/>
              </w:rPr>
              <w:t>3227</w:t>
            </w:r>
          </w:p>
        </w:tc>
        <w:tc>
          <w:tcPr>
            <w:tcW w:w="8457" w:type="dxa"/>
            <w:tcBorders>
              <w:top w:val="nil"/>
              <w:left w:val="nil"/>
              <w:bottom w:val="nil"/>
              <w:right w:val="nil"/>
            </w:tcBorders>
            <w:shd w:val="clear" w:color="auto" w:fill="auto"/>
            <w:vAlign w:val="bottom"/>
            <w:hideMark/>
          </w:tcPr>
          <w:p w14:paraId="07438F96" w14:textId="77777777" w:rsidR="00BE6461" w:rsidRPr="00BE6461" w:rsidRDefault="00BE6461" w:rsidP="00BE6461">
            <w:pPr>
              <w:rPr>
                <w:sz w:val="20"/>
                <w:szCs w:val="20"/>
              </w:rPr>
            </w:pPr>
            <w:r w:rsidRPr="00BE6461">
              <w:rPr>
                <w:sz w:val="20"/>
                <w:szCs w:val="20"/>
              </w:rPr>
              <w:t xml:space="preserve">Službena, radna i zaštitna odjeća i obuća                                                           </w:t>
            </w:r>
          </w:p>
        </w:tc>
        <w:tc>
          <w:tcPr>
            <w:tcW w:w="1503" w:type="dxa"/>
            <w:tcBorders>
              <w:top w:val="nil"/>
              <w:left w:val="nil"/>
              <w:bottom w:val="nil"/>
              <w:right w:val="nil"/>
            </w:tcBorders>
            <w:shd w:val="clear" w:color="auto" w:fill="auto"/>
            <w:noWrap/>
            <w:vAlign w:val="bottom"/>
            <w:hideMark/>
          </w:tcPr>
          <w:p w14:paraId="45E82BD5"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6E66903" w14:textId="77777777" w:rsidR="00BE6461" w:rsidRPr="00BE6461" w:rsidRDefault="00BE6461" w:rsidP="00BE6461">
            <w:pPr>
              <w:jc w:val="right"/>
              <w:rPr>
                <w:sz w:val="20"/>
                <w:szCs w:val="20"/>
              </w:rPr>
            </w:pPr>
            <w:r w:rsidRPr="00BE6461">
              <w:rPr>
                <w:sz w:val="20"/>
                <w:szCs w:val="20"/>
              </w:rPr>
              <w:t>4.191,78</w:t>
            </w:r>
          </w:p>
        </w:tc>
        <w:tc>
          <w:tcPr>
            <w:tcW w:w="1100" w:type="dxa"/>
            <w:tcBorders>
              <w:top w:val="nil"/>
              <w:left w:val="nil"/>
              <w:bottom w:val="nil"/>
              <w:right w:val="nil"/>
            </w:tcBorders>
            <w:shd w:val="clear" w:color="auto" w:fill="auto"/>
            <w:noWrap/>
            <w:vAlign w:val="bottom"/>
            <w:hideMark/>
          </w:tcPr>
          <w:p w14:paraId="005781BE" w14:textId="77777777" w:rsidR="00BE6461" w:rsidRPr="00BE6461" w:rsidRDefault="00BE6461" w:rsidP="00BE6461">
            <w:pPr>
              <w:jc w:val="right"/>
              <w:rPr>
                <w:sz w:val="20"/>
                <w:szCs w:val="20"/>
              </w:rPr>
            </w:pPr>
          </w:p>
        </w:tc>
      </w:tr>
      <w:tr w:rsidR="00BE6461" w:rsidRPr="00BE6461" w14:paraId="3EFB85DC" w14:textId="77777777" w:rsidTr="00BE6461">
        <w:trPr>
          <w:trHeight w:val="300"/>
        </w:trPr>
        <w:tc>
          <w:tcPr>
            <w:tcW w:w="1703" w:type="dxa"/>
            <w:tcBorders>
              <w:top w:val="nil"/>
              <w:left w:val="nil"/>
              <w:bottom w:val="nil"/>
              <w:right w:val="nil"/>
            </w:tcBorders>
            <w:shd w:val="clear" w:color="auto" w:fill="auto"/>
            <w:noWrap/>
            <w:vAlign w:val="bottom"/>
            <w:hideMark/>
          </w:tcPr>
          <w:p w14:paraId="343ABD6A"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4C816233"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1AA11E70" w14:textId="77777777" w:rsidR="00BE6461" w:rsidRPr="00BE6461" w:rsidRDefault="00BE6461" w:rsidP="00BE6461">
            <w:pPr>
              <w:jc w:val="right"/>
              <w:rPr>
                <w:b/>
                <w:bCs/>
                <w:sz w:val="20"/>
                <w:szCs w:val="20"/>
              </w:rPr>
            </w:pPr>
            <w:r w:rsidRPr="00BE6461">
              <w:rPr>
                <w:b/>
                <w:bCs/>
                <w:sz w:val="20"/>
                <w:szCs w:val="20"/>
              </w:rPr>
              <w:t>134.862,92</w:t>
            </w:r>
          </w:p>
        </w:tc>
        <w:tc>
          <w:tcPr>
            <w:tcW w:w="1500" w:type="dxa"/>
            <w:tcBorders>
              <w:top w:val="nil"/>
              <w:left w:val="nil"/>
              <w:bottom w:val="nil"/>
              <w:right w:val="nil"/>
            </w:tcBorders>
            <w:shd w:val="clear" w:color="auto" w:fill="auto"/>
            <w:noWrap/>
            <w:vAlign w:val="bottom"/>
            <w:hideMark/>
          </w:tcPr>
          <w:p w14:paraId="32197559" w14:textId="77777777" w:rsidR="00BE6461" w:rsidRPr="00BE6461" w:rsidRDefault="00BE6461" w:rsidP="00BE6461">
            <w:pPr>
              <w:jc w:val="right"/>
              <w:rPr>
                <w:b/>
                <w:bCs/>
                <w:sz w:val="20"/>
                <w:szCs w:val="20"/>
              </w:rPr>
            </w:pPr>
            <w:r w:rsidRPr="00BE6461">
              <w:rPr>
                <w:b/>
                <w:bCs/>
                <w:sz w:val="20"/>
                <w:szCs w:val="20"/>
              </w:rPr>
              <w:t>126.482,94</w:t>
            </w:r>
          </w:p>
        </w:tc>
        <w:tc>
          <w:tcPr>
            <w:tcW w:w="1100" w:type="dxa"/>
            <w:tcBorders>
              <w:top w:val="nil"/>
              <w:left w:val="nil"/>
              <w:bottom w:val="nil"/>
              <w:right w:val="nil"/>
            </w:tcBorders>
            <w:shd w:val="clear" w:color="auto" w:fill="auto"/>
            <w:noWrap/>
            <w:vAlign w:val="bottom"/>
            <w:hideMark/>
          </w:tcPr>
          <w:p w14:paraId="15B795D3" w14:textId="77777777" w:rsidR="00BE6461" w:rsidRPr="00BE6461" w:rsidRDefault="00BE6461" w:rsidP="00BE6461">
            <w:pPr>
              <w:jc w:val="right"/>
              <w:rPr>
                <w:b/>
                <w:bCs/>
                <w:sz w:val="20"/>
                <w:szCs w:val="20"/>
              </w:rPr>
            </w:pPr>
            <w:r w:rsidRPr="00BE6461">
              <w:rPr>
                <w:b/>
                <w:bCs/>
                <w:sz w:val="20"/>
                <w:szCs w:val="20"/>
              </w:rPr>
              <w:t>93,79</w:t>
            </w:r>
          </w:p>
        </w:tc>
      </w:tr>
      <w:tr w:rsidR="00BE6461" w:rsidRPr="00BE6461" w14:paraId="6E54BD14" w14:textId="77777777" w:rsidTr="00BE6461">
        <w:trPr>
          <w:trHeight w:val="300"/>
        </w:trPr>
        <w:tc>
          <w:tcPr>
            <w:tcW w:w="1703" w:type="dxa"/>
            <w:tcBorders>
              <w:top w:val="nil"/>
              <w:left w:val="nil"/>
              <w:bottom w:val="nil"/>
              <w:right w:val="nil"/>
            </w:tcBorders>
            <w:shd w:val="clear" w:color="auto" w:fill="auto"/>
            <w:noWrap/>
            <w:vAlign w:val="bottom"/>
            <w:hideMark/>
          </w:tcPr>
          <w:p w14:paraId="524B2A54" w14:textId="77777777" w:rsidR="00BE6461" w:rsidRPr="00BE6461" w:rsidRDefault="00BE6461" w:rsidP="00BE6461">
            <w:pPr>
              <w:rPr>
                <w:sz w:val="20"/>
                <w:szCs w:val="20"/>
              </w:rPr>
            </w:pPr>
            <w:r w:rsidRPr="00BE6461">
              <w:rPr>
                <w:sz w:val="20"/>
                <w:szCs w:val="20"/>
              </w:rPr>
              <w:t>3231</w:t>
            </w:r>
          </w:p>
        </w:tc>
        <w:tc>
          <w:tcPr>
            <w:tcW w:w="8457" w:type="dxa"/>
            <w:tcBorders>
              <w:top w:val="nil"/>
              <w:left w:val="nil"/>
              <w:bottom w:val="nil"/>
              <w:right w:val="nil"/>
            </w:tcBorders>
            <w:shd w:val="clear" w:color="auto" w:fill="auto"/>
            <w:vAlign w:val="bottom"/>
            <w:hideMark/>
          </w:tcPr>
          <w:p w14:paraId="28A3B774" w14:textId="77777777" w:rsidR="00BE6461" w:rsidRPr="00BE6461" w:rsidRDefault="00BE6461" w:rsidP="00BE6461">
            <w:pPr>
              <w:rPr>
                <w:sz w:val="20"/>
                <w:szCs w:val="20"/>
              </w:rPr>
            </w:pPr>
            <w:r w:rsidRPr="00BE6461">
              <w:rPr>
                <w:sz w:val="20"/>
                <w:szCs w:val="20"/>
              </w:rPr>
              <w:t xml:space="preserve">Usluge telefona, pošte i prijevoza                                                                  </w:t>
            </w:r>
          </w:p>
        </w:tc>
        <w:tc>
          <w:tcPr>
            <w:tcW w:w="1503" w:type="dxa"/>
            <w:tcBorders>
              <w:top w:val="nil"/>
              <w:left w:val="nil"/>
              <w:bottom w:val="nil"/>
              <w:right w:val="nil"/>
            </w:tcBorders>
            <w:shd w:val="clear" w:color="auto" w:fill="auto"/>
            <w:noWrap/>
            <w:vAlign w:val="bottom"/>
            <w:hideMark/>
          </w:tcPr>
          <w:p w14:paraId="2BC195F0"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CA1E5E3" w14:textId="77777777" w:rsidR="00BE6461" w:rsidRPr="00BE6461" w:rsidRDefault="00BE6461" w:rsidP="00BE6461">
            <w:pPr>
              <w:jc w:val="right"/>
              <w:rPr>
                <w:sz w:val="20"/>
                <w:szCs w:val="20"/>
              </w:rPr>
            </w:pPr>
            <w:r w:rsidRPr="00BE6461">
              <w:rPr>
                <w:sz w:val="20"/>
                <w:szCs w:val="20"/>
              </w:rPr>
              <w:t>33.798,43</w:t>
            </w:r>
          </w:p>
        </w:tc>
        <w:tc>
          <w:tcPr>
            <w:tcW w:w="1100" w:type="dxa"/>
            <w:tcBorders>
              <w:top w:val="nil"/>
              <w:left w:val="nil"/>
              <w:bottom w:val="nil"/>
              <w:right w:val="nil"/>
            </w:tcBorders>
            <w:shd w:val="clear" w:color="auto" w:fill="auto"/>
            <w:noWrap/>
            <w:vAlign w:val="bottom"/>
            <w:hideMark/>
          </w:tcPr>
          <w:p w14:paraId="29FD1D2B" w14:textId="77777777" w:rsidR="00BE6461" w:rsidRPr="00BE6461" w:rsidRDefault="00BE6461" w:rsidP="00BE6461">
            <w:pPr>
              <w:jc w:val="right"/>
              <w:rPr>
                <w:sz w:val="20"/>
                <w:szCs w:val="20"/>
              </w:rPr>
            </w:pPr>
          </w:p>
        </w:tc>
      </w:tr>
      <w:tr w:rsidR="00BE6461" w:rsidRPr="00BE6461" w14:paraId="54012651" w14:textId="77777777" w:rsidTr="00BE6461">
        <w:trPr>
          <w:trHeight w:val="300"/>
        </w:trPr>
        <w:tc>
          <w:tcPr>
            <w:tcW w:w="1703" w:type="dxa"/>
            <w:tcBorders>
              <w:top w:val="nil"/>
              <w:left w:val="nil"/>
              <w:bottom w:val="nil"/>
              <w:right w:val="nil"/>
            </w:tcBorders>
            <w:shd w:val="clear" w:color="auto" w:fill="auto"/>
            <w:noWrap/>
            <w:vAlign w:val="bottom"/>
            <w:hideMark/>
          </w:tcPr>
          <w:p w14:paraId="43E6ACE4" w14:textId="77777777" w:rsidR="00BE6461" w:rsidRPr="00BE6461" w:rsidRDefault="00BE6461" w:rsidP="00BE6461">
            <w:pPr>
              <w:rPr>
                <w:sz w:val="20"/>
                <w:szCs w:val="20"/>
              </w:rPr>
            </w:pPr>
            <w:r w:rsidRPr="00BE6461">
              <w:rPr>
                <w:sz w:val="20"/>
                <w:szCs w:val="20"/>
              </w:rPr>
              <w:t>3232</w:t>
            </w:r>
          </w:p>
        </w:tc>
        <w:tc>
          <w:tcPr>
            <w:tcW w:w="8457" w:type="dxa"/>
            <w:tcBorders>
              <w:top w:val="nil"/>
              <w:left w:val="nil"/>
              <w:bottom w:val="nil"/>
              <w:right w:val="nil"/>
            </w:tcBorders>
            <w:shd w:val="clear" w:color="auto" w:fill="auto"/>
            <w:vAlign w:val="bottom"/>
            <w:hideMark/>
          </w:tcPr>
          <w:p w14:paraId="03836DCA" w14:textId="77777777" w:rsidR="00BE6461" w:rsidRPr="00BE6461" w:rsidRDefault="00BE6461" w:rsidP="00BE6461">
            <w:pPr>
              <w:rPr>
                <w:sz w:val="20"/>
                <w:szCs w:val="20"/>
              </w:rPr>
            </w:pPr>
            <w:r w:rsidRPr="00BE6461">
              <w:rPr>
                <w:sz w:val="20"/>
                <w:szCs w:val="20"/>
              </w:rPr>
              <w:t xml:space="preserve">Usluge tekućeg i investicijskog održavanja                                                          </w:t>
            </w:r>
          </w:p>
        </w:tc>
        <w:tc>
          <w:tcPr>
            <w:tcW w:w="1503" w:type="dxa"/>
            <w:tcBorders>
              <w:top w:val="nil"/>
              <w:left w:val="nil"/>
              <w:bottom w:val="nil"/>
              <w:right w:val="nil"/>
            </w:tcBorders>
            <w:shd w:val="clear" w:color="auto" w:fill="auto"/>
            <w:noWrap/>
            <w:vAlign w:val="bottom"/>
            <w:hideMark/>
          </w:tcPr>
          <w:p w14:paraId="64179262"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75795AF" w14:textId="77777777" w:rsidR="00BE6461" w:rsidRPr="00BE6461" w:rsidRDefault="00BE6461" w:rsidP="00BE6461">
            <w:pPr>
              <w:jc w:val="right"/>
              <w:rPr>
                <w:sz w:val="20"/>
                <w:szCs w:val="20"/>
              </w:rPr>
            </w:pPr>
            <w:r w:rsidRPr="00BE6461">
              <w:rPr>
                <w:sz w:val="20"/>
                <w:szCs w:val="20"/>
              </w:rPr>
              <w:t>7.323,00</w:t>
            </w:r>
          </w:p>
        </w:tc>
        <w:tc>
          <w:tcPr>
            <w:tcW w:w="1100" w:type="dxa"/>
            <w:tcBorders>
              <w:top w:val="nil"/>
              <w:left w:val="nil"/>
              <w:bottom w:val="nil"/>
              <w:right w:val="nil"/>
            </w:tcBorders>
            <w:shd w:val="clear" w:color="auto" w:fill="auto"/>
            <w:noWrap/>
            <w:vAlign w:val="bottom"/>
            <w:hideMark/>
          </w:tcPr>
          <w:p w14:paraId="761663D7" w14:textId="77777777" w:rsidR="00BE6461" w:rsidRPr="00BE6461" w:rsidRDefault="00BE6461" w:rsidP="00BE6461">
            <w:pPr>
              <w:jc w:val="right"/>
              <w:rPr>
                <w:sz w:val="20"/>
                <w:szCs w:val="20"/>
              </w:rPr>
            </w:pPr>
          </w:p>
        </w:tc>
      </w:tr>
      <w:tr w:rsidR="00BE6461" w:rsidRPr="00BE6461" w14:paraId="75180754" w14:textId="77777777" w:rsidTr="00BE6461">
        <w:trPr>
          <w:trHeight w:val="300"/>
        </w:trPr>
        <w:tc>
          <w:tcPr>
            <w:tcW w:w="1703" w:type="dxa"/>
            <w:tcBorders>
              <w:top w:val="nil"/>
              <w:left w:val="nil"/>
              <w:bottom w:val="nil"/>
              <w:right w:val="nil"/>
            </w:tcBorders>
            <w:shd w:val="clear" w:color="auto" w:fill="auto"/>
            <w:noWrap/>
            <w:vAlign w:val="bottom"/>
            <w:hideMark/>
          </w:tcPr>
          <w:p w14:paraId="4B27CAF7" w14:textId="77777777" w:rsidR="00BE6461" w:rsidRPr="00BE6461" w:rsidRDefault="00BE6461" w:rsidP="00BE6461">
            <w:pPr>
              <w:rPr>
                <w:sz w:val="20"/>
                <w:szCs w:val="20"/>
              </w:rPr>
            </w:pPr>
            <w:r w:rsidRPr="00BE6461">
              <w:rPr>
                <w:sz w:val="20"/>
                <w:szCs w:val="20"/>
              </w:rPr>
              <w:t>3233</w:t>
            </w:r>
          </w:p>
        </w:tc>
        <w:tc>
          <w:tcPr>
            <w:tcW w:w="8457" w:type="dxa"/>
            <w:tcBorders>
              <w:top w:val="nil"/>
              <w:left w:val="nil"/>
              <w:bottom w:val="nil"/>
              <w:right w:val="nil"/>
            </w:tcBorders>
            <w:shd w:val="clear" w:color="auto" w:fill="auto"/>
            <w:vAlign w:val="bottom"/>
            <w:hideMark/>
          </w:tcPr>
          <w:p w14:paraId="50A241E4" w14:textId="77777777" w:rsidR="00BE6461" w:rsidRPr="00BE6461" w:rsidRDefault="00BE6461" w:rsidP="00BE6461">
            <w:pPr>
              <w:rPr>
                <w:sz w:val="20"/>
                <w:szCs w:val="20"/>
              </w:rPr>
            </w:pPr>
            <w:r w:rsidRPr="00BE6461">
              <w:rPr>
                <w:sz w:val="20"/>
                <w:szCs w:val="20"/>
              </w:rPr>
              <w:t xml:space="preserve">Usluge promidžbe i informiranja                                                                     </w:t>
            </w:r>
          </w:p>
        </w:tc>
        <w:tc>
          <w:tcPr>
            <w:tcW w:w="1503" w:type="dxa"/>
            <w:tcBorders>
              <w:top w:val="nil"/>
              <w:left w:val="nil"/>
              <w:bottom w:val="nil"/>
              <w:right w:val="nil"/>
            </w:tcBorders>
            <w:shd w:val="clear" w:color="auto" w:fill="auto"/>
            <w:noWrap/>
            <w:vAlign w:val="bottom"/>
            <w:hideMark/>
          </w:tcPr>
          <w:p w14:paraId="7BC6B1B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09C131F"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4E963FBD" w14:textId="77777777" w:rsidR="00BE6461" w:rsidRPr="00BE6461" w:rsidRDefault="00BE6461" w:rsidP="00BE6461">
            <w:pPr>
              <w:jc w:val="right"/>
              <w:rPr>
                <w:sz w:val="20"/>
                <w:szCs w:val="20"/>
              </w:rPr>
            </w:pPr>
          </w:p>
        </w:tc>
      </w:tr>
      <w:tr w:rsidR="00BE6461" w:rsidRPr="00BE6461" w14:paraId="540F9247" w14:textId="77777777" w:rsidTr="00BE6461">
        <w:trPr>
          <w:trHeight w:val="300"/>
        </w:trPr>
        <w:tc>
          <w:tcPr>
            <w:tcW w:w="1703" w:type="dxa"/>
            <w:tcBorders>
              <w:top w:val="nil"/>
              <w:left w:val="nil"/>
              <w:bottom w:val="nil"/>
              <w:right w:val="nil"/>
            </w:tcBorders>
            <w:shd w:val="clear" w:color="auto" w:fill="auto"/>
            <w:noWrap/>
            <w:vAlign w:val="bottom"/>
            <w:hideMark/>
          </w:tcPr>
          <w:p w14:paraId="35DE2145" w14:textId="77777777" w:rsidR="00BE6461" w:rsidRPr="00BE6461" w:rsidRDefault="00BE6461" w:rsidP="00BE6461">
            <w:pPr>
              <w:rPr>
                <w:sz w:val="20"/>
                <w:szCs w:val="20"/>
              </w:rPr>
            </w:pPr>
            <w:r w:rsidRPr="00BE6461">
              <w:rPr>
                <w:sz w:val="20"/>
                <w:szCs w:val="20"/>
              </w:rPr>
              <w:t>3234</w:t>
            </w:r>
          </w:p>
        </w:tc>
        <w:tc>
          <w:tcPr>
            <w:tcW w:w="8457" w:type="dxa"/>
            <w:tcBorders>
              <w:top w:val="nil"/>
              <w:left w:val="nil"/>
              <w:bottom w:val="nil"/>
              <w:right w:val="nil"/>
            </w:tcBorders>
            <w:shd w:val="clear" w:color="auto" w:fill="auto"/>
            <w:vAlign w:val="bottom"/>
            <w:hideMark/>
          </w:tcPr>
          <w:p w14:paraId="25AF225E" w14:textId="77777777" w:rsidR="00BE6461" w:rsidRPr="00BE6461" w:rsidRDefault="00BE6461" w:rsidP="00BE6461">
            <w:pPr>
              <w:rPr>
                <w:sz w:val="20"/>
                <w:szCs w:val="20"/>
              </w:rPr>
            </w:pPr>
            <w:r w:rsidRPr="00BE6461">
              <w:rPr>
                <w:sz w:val="20"/>
                <w:szCs w:val="20"/>
              </w:rPr>
              <w:t xml:space="preserve">Komunalne usluge                                                                                    </w:t>
            </w:r>
          </w:p>
        </w:tc>
        <w:tc>
          <w:tcPr>
            <w:tcW w:w="1503" w:type="dxa"/>
            <w:tcBorders>
              <w:top w:val="nil"/>
              <w:left w:val="nil"/>
              <w:bottom w:val="nil"/>
              <w:right w:val="nil"/>
            </w:tcBorders>
            <w:shd w:val="clear" w:color="auto" w:fill="auto"/>
            <w:noWrap/>
            <w:vAlign w:val="bottom"/>
            <w:hideMark/>
          </w:tcPr>
          <w:p w14:paraId="4AC642DE"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3002CDE" w14:textId="77777777" w:rsidR="00BE6461" w:rsidRPr="00BE6461" w:rsidRDefault="00BE6461" w:rsidP="00BE6461">
            <w:pPr>
              <w:jc w:val="right"/>
              <w:rPr>
                <w:sz w:val="20"/>
                <w:szCs w:val="20"/>
              </w:rPr>
            </w:pPr>
            <w:r w:rsidRPr="00BE6461">
              <w:rPr>
                <w:sz w:val="20"/>
                <w:szCs w:val="20"/>
              </w:rPr>
              <w:t>35.777,72</w:t>
            </w:r>
          </w:p>
        </w:tc>
        <w:tc>
          <w:tcPr>
            <w:tcW w:w="1100" w:type="dxa"/>
            <w:tcBorders>
              <w:top w:val="nil"/>
              <w:left w:val="nil"/>
              <w:bottom w:val="nil"/>
              <w:right w:val="nil"/>
            </w:tcBorders>
            <w:shd w:val="clear" w:color="auto" w:fill="auto"/>
            <w:noWrap/>
            <w:vAlign w:val="bottom"/>
            <w:hideMark/>
          </w:tcPr>
          <w:p w14:paraId="28C621E8" w14:textId="77777777" w:rsidR="00BE6461" w:rsidRPr="00BE6461" w:rsidRDefault="00BE6461" w:rsidP="00BE6461">
            <w:pPr>
              <w:jc w:val="right"/>
              <w:rPr>
                <w:sz w:val="20"/>
                <w:szCs w:val="20"/>
              </w:rPr>
            </w:pPr>
          </w:p>
        </w:tc>
      </w:tr>
      <w:tr w:rsidR="00BE6461" w:rsidRPr="00BE6461" w14:paraId="223EDBFE" w14:textId="77777777" w:rsidTr="00BE6461">
        <w:trPr>
          <w:trHeight w:val="300"/>
        </w:trPr>
        <w:tc>
          <w:tcPr>
            <w:tcW w:w="1703" w:type="dxa"/>
            <w:tcBorders>
              <w:top w:val="nil"/>
              <w:left w:val="nil"/>
              <w:bottom w:val="nil"/>
              <w:right w:val="nil"/>
            </w:tcBorders>
            <w:shd w:val="clear" w:color="auto" w:fill="auto"/>
            <w:noWrap/>
            <w:vAlign w:val="bottom"/>
            <w:hideMark/>
          </w:tcPr>
          <w:p w14:paraId="746B9531" w14:textId="77777777" w:rsidR="00BE6461" w:rsidRPr="00BE6461" w:rsidRDefault="00BE6461" w:rsidP="00BE6461">
            <w:pPr>
              <w:rPr>
                <w:sz w:val="20"/>
                <w:szCs w:val="20"/>
              </w:rPr>
            </w:pPr>
            <w:r w:rsidRPr="00BE6461">
              <w:rPr>
                <w:sz w:val="20"/>
                <w:szCs w:val="20"/>
              </w:rPr>
              <w:t>3235</w:t>
            </w:r>
          </w:p>
        </w:tc>
        <w:tc>
          <w:tcPr>
            <w:tcW w:w="8457" w:type="dxa"/>
            <w:tcBorders>
              <w:top w:val="nil"/>
              <w:left w:val="nil"/>
              <w:bottom w:val="nil"/>
              <w:right w:val="nil"/>
            </w:tcBorders>
            <w:shd w:val="clear" w:color="auto" w:fill="auto"/>
            <w:vAlign w:val="bottom"/>
            <w:hideMark/>
          </w:tcPr>
          <w:p w14:paraId="5E476C1D" w14:textId="77777777" w:rsidR="00BE6461" w:rsidRPr="00BE6461" w:rsidRDefault="00BE6461" w:rsidP="00BE6461">
            <w:pPr>
              <w:rPr>
                <w:sz w:val="20"/>
                <w:szCs w:val="20"/>
              </w:rPr>
            </w:pPr>
            <w:r w:rsidRPr="00BE6461">
              <w:rPr>
                <w:sz w:val="20"/>
                <w:szCs w:val="20"/>
              </w:rPr>
              <w:t xml:space="preserve">Zakupnine i najamnine                                                                               </w:t>
            </w:r>
          </w:p>
        </w:tc>
        <w:tc>
          <w:tcPr>
            <w:tcW w:w="1503" w:type="dxa"/>
            <w:tcBorders>
              <w:top w:val="nil"/>
              <w:left w:val="nil"/>
              <w:bottom w:val="nil"/>
              <w:right w:val="nil"/>
            </w:tcBorders>
            <w:shd w:val="clear" w:color="auto" w:fill="auto"/>
            <w:noWrap/>
            <w:vAlign w:val="bottom"/>
            <w:hideMark/>
          </w:tcPr>
          <w:p w14:paraId="750B835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5BB0656" w14:textId="77777777" w:rsidR="00BE6461" w:rsidRPr="00BE6461" w:rsidRDefault="00BE6461" w:rsidP="00BE6461">
            <w:pPr>
              <w:jc w:val="right"/>
              <w:rPr>
                <w:sz w:val="20"/>
                <w:szCs w:val="20"/>
              </w:rPr>
            </w:pPr>
            <w:r w:rsidRPr="00BE6461">
              <w:rPr>
                <w:sz w:val="20"/>
                <w:szCs w:val="20"/>
              </w:rPr>
              <w:t>3.793,75</w:t>
            </w:r>
          </w:p>
        </w:tc>
        <w:tc>
          <w:tcPr>
            <w:tcW w:w="1100" w:type="dxa"/>
            <w:tcBorders>
              <w:top w:val="nil"/>
              <w:left w:val="nil"/>
              <w:bottom w:val="nil"/>
              <w:right w:val="nil"/>
            </w:tcBorders>
            <w:shd w:val="clear" w:color="auto" w:fill="auto"/>
            <w:noWrap/>
            <w:vAlign w:val="bottom"/>
            <w:hideMark/>
          </w:tcPr>
          <w:p w14:paraId="02EEE7CA" w14:textId="77777777" w:rsidR="00BE6461" w:rsidRPr="00BE6461" w:rsidRDefault="00BE6461" w:rsidP="00BE6461">
            <w:pPr>
              <w:jc w:val="right"/>
              <w:rPr>
                <w:sz w:val="20"/>
                <w:szCs w:val="20"/>
              </w:rPr>
            </w:pPr>
          </w:p>
        </w:tc>
      </w:tr>
      <w:tr w:rsidR="00BE6461" w:rsidRPr="00BE6461" w14:paraId="45C85EBD" w14:textId="77777777" w:rsidTr="00BE6461">
        <w:trPr>
          <w:trHeight w:val="300"/>
        </w:trPr>
        <w:tc>
          <w:tcPr>
            <w:tcW w:w="1703" w:type="dxa"/>
            <w:tcBorders>
              <w:top w:val="nil"/>
              <w:left w:val="nil"/>
              <w:bottom w:val="nil"/>
              <w:right w:val="nil"/>
            </w:tcBorders>
            <w:shd w:val="clear" w:color="auto" w:fill="auto"/>
            <w:noWrap/>
            <w:vAlign w:val="bottom"/>
            <w:hideMark/>
          </w:tcPr>
          <w:p w14:paraId="608A6E2C" w14:textId="77777777" w:rsidR="00BE6461" w:rsidRPr="00BE6461" w:rsidRDefault="00BE6461" w:rsidP="00BE6461">
            <w:pPr>
              <w:rPr>
                <w:sz w:val="20"/>
                <w:szCs w:val="20"/>
              </w:rPr>
            </w:pPr>
            <w:r w:rsidRPr="00BE6461">
              <w:rPr>
                <w:sz w:val="20"/>
                <w:szCs w:val="20"/>
              </w:rPr>
              <w:t>3236</w:t>
            </w:r>
          </w:p>
        </w:tc>
        <w:tc>
          <w:tcPr>
            <w:tcW w:w="8457" w:type="dxa"/>
            <w:tcBorders>
              <w:top w:val="nil"/>
              <w:left w:val="nil"/>
              <w:bottom w:val="nil"/>
              <w:right w:val="nil"/>
            </w:tcBorders>
            <w:shd w:val="clear" w:color="auto" w:fill="auto"/>
            <w:vAlign w:val="bottom"/>
            <w:hideMark/>
          </w:tcPr>
          <w:p w14:paraId="39B18918" w14:textId="77777777" w:rsidR="00BE6461" w:rsidRPr="00BE6461" w:rsidRDefault="00BE6461" w:rsidP="00BE6461">
            <w:pPr>
              <w:rPr>
                <w:sz w:val="20"/>
                <w:szCs w:val="20"/>
              </w:rPr>
            </w:pPr>
            <w:r w:rsidRPr="00BE6461">
              <w:rPr>
                <w:sz w:val="20"/>
                <w:szCs w:val="20"/>
              </w:rPr>
              <w:t xml:space="preserve">Zdravstvene i veterinarske usluge                                                                   </w:t>
            </w:r>
          </w:p>
        </w:tc>
        <w:tc>
          <w:tcPr>
            <w:tcW w:w="1503" w:type="dxa"/>
            <w:tcBorders>
              <w:top w:val="nil"/>
              <w:left w:val="nil"/>
              <w:bottom w:val="nil"/>
              <w:right w:val="nil"/>
            </w:tcBorders>
            <w:shd w:val="clear" w:color="auto" w:fill="auto"/>
            <w:noWrap/>
            <w:vAlign w:val="bottom"/>
            <w:hideMark/>
          </w:tcPr>
          <w:p w14:paraId="6AE521E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3527FFE" w14:textId="77777777" w:rsidR="00BE6461" w:rsidRPr="00BE6461" w:rsidRDefault="00BE6461" w:rsidP="00BE6461">
            <w:pPr>
              <w:jc w:val="right"/>
              <w:rPr>
                <w:sz w:val="20"/>
                <w:szCs w:val="20"/>
              </w:rPr>
            </w:pPr>
            <w:r w:rsidRPr="00BE6461">
              <w:rPr>
                <w:sz w:val="20"/>
                <w:szCs w:val="20"/>
              </w:rPr>
              <w:t>17.641,25</w:t>
            </w:r>
          </w:p>
        </w:tc>
        <w:tc>
          <w:tcPr>
            <w:tcW w:w="1100" w:type="dxa"/>
            <w:tcBorders>
              <w:top w:val="nil"/>
              <w:left w:val="nil"/>
              <w:bottom w:val="nil"/>
              <w:right w:val="nil"/>
            </w:tcBorders>
            <w:shd w:val="clear" w:color="auto" w:fill="auto"/>
            <w:noWrap/>
            <w:vAlign w:val="bottom"/>
            <w:hideMark/>
          </w:tcPr>
          <w:p w14:paraId="3F0534D3" w14:textId="77777777" w:rsidR="00BE6461" w:rsidRPr="00BE6461" w:rsidRDefault="00BE6461" w:rsidP="00BE6461">
            <w:pPr>
              <w:jc w:val="right"/>
              <w:rPr>
                <w:sz w:val="20"/>
                <w:szCs w:val="20"/>
              </w:rPr>
            </w:pPr>
          </w:p>
        </w:tc>
      </w:tr>
      <w:tr w:rsidR="00BE6461" w:rsidRPr="00BE6461" w14:paraId="05FBC8F8" w14:textId="77777777" w:rsidTr="00BE6461">
        <w:trPr>
          <w:trHeight w:val="300"/>
        </w:trPr>
        <w:tc>
          <w:tcPr>
            <w:tcW w:w="1703" w:type="dxa"/>
            <w:tcBorders>
              <w:top w:val="nil"/>
              <w:left w:val="nil"/>
              <w:bottom w:val="nil"/>
              <w:right w:val="nil"/>
            </w:tcBorders>
            <w:shd w:val="clear" w:color="auto" w:fill="auto"/>
            <w:noWrap/>
            <w:vAlign w:val="bottom"/>
            <w:hideMark/>
          </w:tcPr>
          <w:p w14:paraId="32E75B91"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70B09A85"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4224E025"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BB7C0CA" w14:textId="77777777" w:rsidR="00BE6461" w:rsidRPr="00BE6461" w:rsidRDefault="00BE6461" w:rsidP="00BE6461">
            <w:pPr>
              <w:jc w:val="right"/>
              <w:rPr>
                <w:sz w:val="20"/>
                <w:szCs w:val="20"/>
              </w:rPr>
            </w:pPr>
            <w:r w:rsidRPr="00BE6461">
              <w:rPr>
                <w:sz w:val="20"/>
                <w:szCs w:val="20"/>
              </w:rPr>
              <w:t>5.659,17</w:t>
            </w:r>
          </w:p>
        </w:tc>
        <w:tc>
          <w:tcPr>
            <w:tcW w:w="1100" w:type="dxa"/>
            <w:tcBorders>
              <w:top w:val="nil"/>
              <w:left w:val="nil"/>
              <w:bottom w:val="nil"/>
              <w:right w:val="nil"/>
            </w:tcBorders>
            <w:shd w:val="clear" w:color="auto" w:fill="auto"/>
            <w:noWrap/>
            <w:vAlign w:val="bottom"/>
            <w:hideMark/>
          </w:tcPr>
          <w:p w14:paraId="736BB496" w14:textId="77777777" w:rsidR="00BE6461" w:rsidRPr="00BE6461" w:rsidRDefault="00BE6461" w:rsidP="00BE6461">
            <w:pPr>
              <w:jc w:val="right"/>
              <w:rPr>
                <w:sz w:val="20"/>
                <w:szCs w:val="20"/>
              </w:rPr>
            </w:pPr>
          </w:p>
        </w:tc>
      </w:tr>
      <w:tr w:rsidR="00BE6461" w:rsidRPr="00BE6461" w14:paraId="4BBAFDBE" w14:textId="77777777" w:rsidTr="00BE6461">
        <w:trPr>
          <w:trHeight w:val="300"/>
        </w:trPr>
        <w:tc>
          <w:tcPr>
            <w:tcW w:w="1703" w:type="dxa"/>
            <w:tcBorders>
              <w:top w:val="nil"/>
              <w:left w:val="nil"/>
              <w:bottom w:val="nil"/>
              <w:right w:val="nil"/>
            </w:tcBorders>
            <w:shd w:val="clear" w:color="auto" w:fill="auto"/>
            <w:noWrap/>
            <w:vAlign w:val="bottom"/>
            <w:hideMark/>
          </w:tcPr>
          <w:p w14:paraId="275989EB" w14:textId="77777777" w:rsidR="00BE6461" w:rsidRPr="00BE6461" w:rsidRDefault="00BE6461" w:rsidP="00BE6461">
            <w:pPr>
              <w:rPr>
                <w:sz w:val="20"/>
                <w:szCs w:val="20"/>
              </w:rPr>
            </w:pPr>
            <w:r w:rsidRPr="00BE6461">
              <w:rPr>
                <w:sz w:val="20"/>
                <w:szCs w:val="20"/>
              </w:rPr>
              <w:t>3238</w:t>
            </w:r>
          </w:p>
        </w:tc>
        <w:tc>
          <w:tcPr>
            <w:tcW w:w="8457" w:type="dxa"/>
            <w:tcBorders>
              <w:top w:val="nil"/>
              <w:left w:val="nil"/>
              <w:bottom w:val="nil"/>
              <w:right w:val="nil"/>
            </w:tcBorders>
            <w:shd w:val="clear" w:color="auto" w:fill="auto"/>
            <w:vAlign w:val="bottom"/>
            <w:hideMark/>
          </w:tcPr>
          <w:p w14:paraId="310CBC36" w14:textId="77777777" w:rsidR="00BE6461" w:rsidRPr="00BE6461" w:rsidRDefault="00BE6461" w:rsidP="00BE6461">
            <w:pPr>
              <w:rPr>
                <w:sz w:val="20"/>
                <w:szCs w:val="20"/>
              </w:rPr>
            </w:pPr>
            <w:r w:rsidRPr="00BE6461">
              <w:rPr>
                <w:sz w:val="20"/>
                <w:szCs w:val="20"/>
              </w:rPr>
              <w:t xml:space="preserve">Računalne usluge                                                                                    </w:t>
            </w:r>
          </w:p>
        </w:tc>
        <w:tc>
          <w:tcPr>
            <w:tcW w:w="1503" w:type="dxa"/>
            <w:tcBorders>
              <w:top w:val="nil"/>
              <w:left w:val="nil"/>
              <w:bottom w:val="nil"/>
              <w:right w:val="nil"/>
            </w:tcBorders>
            <w:shd w:val="clear" w:color="auto" w:fill="auto"/>
            <w:noWrap/>
            <w:vAlign w:val="bottom"/>
            <w:hideMark/>
          </w:tcPr>
          <w:p w14:paraId="509D342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9E71336" w14:textId="77777777" w:rsidR="00BE6461" w:rsidRPr="00BE6461" w:rsidRDefault="00BE6461" w:rsidP="00BE6461">
            <w:pPr>
              <w:jc w:val="right"/>
              <w:rPr>
                <w:sz w:val="20"/>
                <w:szCs w:val="20"/>
              </w:rPr>
            </w:pPr>
            <w:r w:rsidRPr="00BE6461">
              <w:rPr>
                <w:sz w:val="20"/>
                <w:szCs w:val="20"/>
              </w:rPr>
              <w:t>21.926,70</w:t>
            </w:r>
          </w:p>
        </w:tc>
        <w:tc>
          <w:tcPr>
            <w:tcW w:w="1100" w:type="dxa"/>
            <w:tcBorders>
              <w:top w:val="nil"/>
              <w:left w:val="nil"/>
              <w:bottom w:val="nil"/>
              <w:right w:val="nil"/>
            </w:tcBorders>
            <w:shd w:val="clear" w:color="auto" w:fill="auto"/>
            <w:noWrap/>
            <w:vAlign w:val="bottom"/>
            <w:hideMark/>
          </w:tcPr>
          <w:p w14:paraId="70D8E44B" w14:textId="77777777" w:rsidR="00BE6461" w:rsidRPr="00BE6461" w:rsidRDefault="00BE6461" w:rsidP="00BE6461">
            <w:pPr>
              <w:jc w:val="right"/>
              <w:rPr>
                <w:sz w:val="20"/>
                <w:szCs w:val="20"/>
              </w:rPr>
            </w:pPr>
          </w:p>
        </w:tc>
      </w:tr>
      <w:tr w:rsidR="00BE6461" w:rsidRPr="00BE6461" w14:paraId="51B2C3DA" w14:textId="77777777" w:rsidTr="00BE6461">
        <w:trPr>
          <w:trHeight w:val="300"/>
        </w:trPr>
        <w:tc>
          <w:tcPr>
            <w:tcW w:w="1703" w:type="dxa"/>
            <w:tcBorders>
              <w:top w:val="nil"/>
              <w:left w:val="nil"/>
              <w:bottom w:val="nil"/>
              <w:right w:val="nil"/>
            </w:tcBorders>
            <w:shd w:val="clear" w:color="auto" w:fill="auto"/>
            <w:noWrap/>
            <w:vAlign w:val="bottom"/>
            <w:hideMark/>
          </w:tcPr>
          <w:p w14:paraId="5FA53C76" w14:textId="77777777" w:rsidR="00BE6461" w:rsidRPr="00BE6461" w:rsidRDefault="00BE6461" w:rsidP="00BE6461">
            <w:pPr>
              <w:rPr>
                <w:sz w:val="20"/>
                <w:szCs w:val="20"/>
              </w:rPr>
            </w:pPr>
            <w:r w:rsidRPr="00BE6461">
              <w:rPr>
                <w:sz w:val="20"/>
                <w:szCs w:val="20"/>
              </w:rPr>
              <w:t>3239</w:t>
            </w:r>
          </w:p>
        </w:tc>
        <w:tc>
          <w:tcPr>
            <w:tcW w:w="8457" w:type="dxa"/>
            <w:tcBorders>
              <w:top w:val="nil"/>
              <w:left w:val="nil"/>
              <w:bottom w:val="nil"/>
              <w:right w:val="nil"/>
            </w:tcBorders>
            <w:shd w:val="clear" w:color="auto" w:fill="auto"/>
            <w:vAlign w:val="bottom"/>
            <w:hideMark/>
          </w:tcPr>
          <w:p w14:paraId="610D5DEC" w14:textId="77777777" w:rsidR="00BE6461" w:rsidRPr="00BE6461" w:rsidRDefault="00BE6461" w:rsidP="00BE6461">
            <w:pPr>
              <w:rPr>
                <w:sz w:val="20"/>
                <w:szCs w:val="20"/>
              </w:rPr>
            </w:pPr>
            <w:r w:rsidRPr="00BE6461">
              <w:rPr>
                <w:sz w:val="20"/>
                <w:szCs w:val="20"/>
              </w:rPr>
              <w:t xml:space="preserve">Ostale usluge                                                                                       </w:t>
            </w:r>
          </w:p>
        </w:tc>
        <w:tc>
          <w:tcPr>
            <w:tcW w:w="1503" w:type="dxa"/>
            <w:tcBorders>
              <w:top w:val="nil"/>
              <w:left w:val="nil"/>
              <w:bottom w:val="nil"/>
              <w:right w:val="nil"/>
            </w:tcBorders>
            <w:shd w:val="clear" w:color="auto" w:fill="auto"/>
            <w:noWrap/>
            <w:vAlign w:val="bottom"/>
            <w:hideMark/>
          </w:tcPr>
          <w:p w14:paraId="58D9058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8B5908B" w14:textId="77777777" w:rsidR="00BE6461" w:rsidRPr="00BE6461" w:rsidRDefault="00BE6461" w:rsidP="00BE6461">
            <w:pPr>
              <w:jc w:val="right"/>
              <w:rPr>
                <w:sz w:val="20"/>
                <w:szCs w:val="20"/>
              </w:rPr>
            </w:pPr>
            <w:r w:rsidRPr="00BE6461">
              <w:rPr>
                <w:sz w:val="20"/>
                <w:szCs w:val="20"/>
              </w:rPr>
              <w:t>562,92</w:t>
            </w:r>
          </w:p>
        </w:tc>
        <w:tc>
          <w:tcPr>
            <w:tcW w:w="1100" w:type="dxa"/>
            <w:tcBorders>
              <w:top w:val="nil"/>
              <w:left w:val="nil"/>
              <w:bottom w:val="nil"/>
              <w:right w:val="nil"/>
            </w:tcBorders>
            <w:shd w:val="clear" w:color="auto" w:fill="auto"/>
            <w:noWrap/>
            <w:vAlign w:val="bottom"/>
            <w:hideMark/>
          </w:tcPr>
          <w:p w14:paraId="0876D414" w14:textId="77777777" w:rsidR="00BE6461" w:rsidRPr="00BE6461" w:rsidRDefault="00BE6461" w:rsidP="00BE6461">
            <w:pPr>
              <w:jc w:val="right"/>
              <w:rPr>
                <w:sz w:val="20"/>
                <w:szCs w:val="20"/>
              </w:rPr>
            </w:pPr>
          </w:p>
        </w:tc>
      </w:tr>
      <w:tr w:rsidR="00BE6461" w:rsidRPr="00BE6461" w14:paraId="56A69BD4" w14:textId="77777777" w:rsidTr="00BE6461">
        <w:trPr>
          <w:trHeight w:val="300"/>
        </w:trPr>
        <w:tc>
          <w:tcPr>
            <w:tcW w:w="1703" w:type="dxa"/>
            <w:tcBorders>
              <w:top w:val="nil"/>
              <w:left w:val="nil"/>
              <w:bottom w:val="nil"/>
              <w:right w:val="nil"/>
            </w:tcBorders>
            <w:shd w:val="clear" w:color="auto" w:fill="auto"/>
            <w:noWrap/>
            <w:vAlign w:val="bottom"/>
            <w:hideMark/>
          </w:tcPr>
          <w:p w14:paraId="52107210"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5BF4B0EB"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553410CB" w14:textId="77777777" w:rsidR="00BE6461" w:rsidRPr="00BE6461" w:rsidRDefault="00BE6461" w:rsidP="00BE6461">
            <w:pPr>
              <w:jc w:val="right"/>
              <w:rPr>
                <w:b/>
                <w:bCs/>
                <w:sz w:val="20"/>
                <w:szCs w:val="20"/>
              </w:rPr>
            </w:pPr>
            <w:r w:rsidRPr="00BE6461">
              <w:rPr>
                <w:b/>
                <w:bCs/>
                <w:sz w:val="20"/>
                <w:szCs w:val="20"/>
              </w:rPr>
              <w:t>6.225,00</w:t>
            </w:r>
          </w:p>
        </w:tc>
        <w:tc>
          <w:tcPr>
            <w:tcW w:w="1500" w:type="dxa"/>
            <w:tcBorders>
              <w:top w:val="nil"/>
              <w:left w:val="nil"/>
              <w:bottom w:val="nil"/>
              <w:right w:val="nil"/>
            </w:tcBorders>
            <w:shd w:val="clear" w:color="auto" w:fill="auto"/>
            <w:noWrap/>
            <w:vAlign w:val="bottom"/>
            <w:hideMark/>
          </w:tcPr>
          <w:p w14:paraId="49752B64" w14:textId="77777777" w:rsidR="00BE6461" w:rsidRPr="00BE6461" w:rsidRDefault="00BE6461" w:rsidP="00BE6461">
            <w:pPr>
              <w:jc w:val="right"/>
              <w:rPr>
                <w:b/>
                <w:bCs/>
                <w:sz w:val="20"/>
                <w:szCs w:val="20"/>
              </w:rPr>
            </w:pPr>
            <w:r w:rsidRPr="00BE6461">
              <w:rPr>
                <w:b/>
                <w:bCs/>
                <w:sz w:val="20"/>
                <w:szCs w:val="20"/>
              </w:rPr>
              <w:t>5.959,65</w:t>
            </w:r>
          </w:p>
        </w:tc>
        <w:tc>
          <w:tcPr>
            <w:tcW w:w="1100" w:type="dxa"/>
            <w:tcBorders>
              <w:top w:val="nil"/>
              <w:left w:val="nil"/>
              <w:bottom w:val="nil"/>
              <w:right w:val="nil"/>
            </w:tcBorders>
            <w:shd w:val="clear" w:color="auto" w:fill="auto"/>
            <w:noWrap/>
            <w:vAlign w:val="bottom"/>
            <w:hideMark/>
          </w:tcPr>
          <w:p w14:paraId="2F0E6788" w14:textId="77777777" w:rsidR="00BE6461" w:rsidRPr="00BE6461" w:rsidRDefault="00BE6461" w:rsidP="00BE6461">
            <w:pPr>
              <w:jc w:val="right"/>
              <w:rPr>
                <w:b/>
                <w:bCs/>
                <w:sz w:val="20"/>
                <w:szCs w:val="20"/>
              </w:rPr>
            </w:pPr>
            <w:r w:rsidRPr="00BE6461">
              <w:rPr>
                <w:b/>
                <w:bCs/>
                <w:sz w:val="20"/>
                <w:szCs w:val="20"/>
              </w:rPr>
              <w:t>95,74</w:t>
            </w:r>
          </w:p>
        </w:tc>
      </w:tr>
      <w:tr w:rsidR="00BE6461" w:rsidRPr="00BE6461" w14:paraId="47A31EEE" w14:textId="77777777" w:rsidTr="00BE6461">
        <w:trPr>
          <w:trHeight w:val="300"/>
        </w:trPr>
        <w:tc>
          <w:tcPr>
            <w:tcW w:w="1703" w:type="dxa"/>
            <w:tcBorders>
              <w:top w:val="nil"/>
              <w:left w:val="nil"/>
              <w:bottom w:val="nil"/>
              <w:right w:val="nil"/>
            </w:tcBorders>
            <w:shd w:val="clear" w:color="auto" w:fill="auto"/>
            <w:noWrap/>
            <w:vAlign w:val="bottom"/>
            <w:hideMark/>
          </w:tcPr>
          <w:p w14:paraId="50B50289" w14:textId="77777777" w:rsidR="00BE6461" w:rsidRPr="00BE6461" w:rsidRDefault="00BE6461" w:rsidP="00BE6461">
            <w:pPr>
              <w:rPr>
                <w:sz w:val="20"/>
                <w:szCs w:val="20"/>
              </w:rPr>
            </w:pPr>
            <w:r w:rsidRPr="00BE6461">
              <w:rPr>
                <w:sz w:val="20"/>
                <w:szCs w:val="20"/>
              </w:rPr>
              <w:t>3292</w:t>
            </w:r>
          </w:p>
        </w:tc>
        <w:tc>
          <w:tcPr>
            <w:tcW w:w="8457" w:type="dxa"/>
            <w:tcBorders>
              <w:top w:val="nil"/>
              <w:left w:val="nil"/>
              <w:bottom w:val="nil"/>
              <w:right w:val="nil"/>
            </w:tcBorders>
            <w:shd w:val="clear" w:color="auto" w:fill="auto"/>
            <w:vAlign w:val="bottom"/>
            <w:hideMark/>
          </w:tcPr>
          <w:p w14:paraId="4B2F1889" w14:textId="77777777" w:rsidR="00BE6461" w:rsidRPr="00BE6461" w:rsidRDefault="00BE6461" w:rsidP="00BE6461">
            <w:pPr>
              <w:rPr>
                <w:sz w:val="20"/>
                <w:szCs w:val="20"/>
              </w:rPr>
            </w:pPr>
            <w:r w:rsidRPr="00BE6461">
              <w:rPr>
                <w:sz w:val="20"/>
                <w:szCs w:val="20"/>
              </w:rPr>
              <w:t xml:space="preserve">Premije osiguranja                                                                                  </w:t>
            </w:r>
          </w:p>
        </w:tc>
        <w:tc>
          <w:tcPr>
            <w:tcW w:w="1503" w:type="dxa"/>
            <w:tcBorders>
              <w:top w:val="nil"/>
              <w:left w:val="nil"/>
              <w:bottom w:val="nil"/>
              <w:right w:val="nil"/>
            </w:tcBorders>
            <w:shd w:val="clear" w:color="auto" w:fill="auto"/>
            <w:noWrap/>
            <w:vAlign w:val="bottom"/>
            <w:hideMark/>
          </w:tcPr>
          <w:p w14:paraId="68CD26A5"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15070D8" w14:textId="77777777" w:rsidR="00BE6461" w:rsidRPr="00BE6461" w:rsidRDefault="00BE6461" w:rsidP="00BE6461">
            <w:pPr>
              <w:jc w:val="right"/>
              <w:rPr>
                <w:sz w:val="20"/>
                <w:szCs w:val="20"/>
              </w:rPr>
            </w:pPr>
            <w:r w:rsidRPr="00BE6461">
              <w:rPr>
                <w:sz w:val="20"/>
                <w:szCs w:val="20"/>
              </w:rPr>
              <w:t>1.225,00</w:t>
            </w:r>
          </w:p>
        </w:tc>
        <w:tc>
          <w:tcPr>
            <w:tcW w:w="1100" w:type="dxa"/>
            <w:tcBorders>
              <w:top w:val="nil"/>
              <w:left w:val="nil"/>
              <w:bottom w:val="nil"/>
              <w:right w:val="nil"/>
            </w:tcBorders>
            <w:shd w:val="clear" w:color="auto" w:fill="auto"/>
            <w:noWrap/>
            <w:vAlign w:val="bottom"/>
            <w:hideMark/>
          </w:tcPr>
          <w:p w14:paraId="2605CD56" w14:textId="77777777" w:rsidR="00BE6461" w:rsidRPr="00BE6461" w:rsidRDefault="00BE6461" w:rsidP="00BE6461">
            <w:pPr>
              <w:jc w:val="right"/>
              <w:rPr>
                <w:sz w:val="20"/>
                <w:szCs w:val="20"/>
              </w:rPr>
            </w:pPr>
          </w:p>
        </w:tc>
      </w:tr>
      <w:tr w:rsidR="00BE6461" w:rsidRPr="00BE6461" w14:paraId="0B917093" w14:textId="77777777" w:rsidTr="00BE6461">
        <w:trPr>
          <w:trHeight w:val="300"/>
        </w:trPr>
        <w:tc>
          <w:tcPr>
            <w:tcW w:w="1703" w:type="dxa"/>
            <w:tcBorders>
              <w:top w:val="nil"/>
              <w:left w:val="nil"/>
              <w:bottom w:val="nil"/>
              <w:right w:val="nil"/>
            </w:tcBorders>
            <w:shd w:val="clear" w:color="auto" w:fill="auto"/>
            <w:noWrap/>
            <w:vAlign w:val="bottom"/>
            <w:hideMark/>
          </w:tcPr>
          <w:p w14:paraId="57E65D43" w14:textId="77777777" w:rsidR="00BE6461" w:rsidRPr="00BE6461" w:rsidRDefault="00BE6461" w:rsidP="00BE6461">
            <w:pPr>
              <w:rPr>
                <w:sz w:val="20"/>
                <w:szCs w:val="20"/>
              </w:rPr>
            </w:pPr>
            <w:r w:rsidRPr="00BE6461">
              <w:rPr>
                <w:sz w:val="20"/>
                <w:szCs w:val="20"/>
              </w:rPr>
              <w:t>3293</w:t>
            </w:r>
          </w:p>
        </w:tc>
        <w:tc>
          <w:tcPr>
            <w:tcW w:w="8457" w:type="dxa"/>
            <w:tcBorders>
              <w:top w:val="nil"/>
              <w:left w:val="nil"/>
              <w:bottom w:val="nil"/>
              <w:right w:val="nil"/>
            </w:tcBorders>
            <w:shd w:val="clear" w:color="auto" w:fill="auto"/>
            <w:vAlign w:val="bottom"/>
            <w:hideMark/>
          </w:tcPr>
          <w:p w14:paraId="3B94B426" w14:textId="77777777" w:rsidR="00BE6461" w:rsidRPr="00BE6461" w:rsidRDefault="00BE6461" w:rsidP="00BE6461">
            <w:pPr>
              <w:rPr>
                <w:sz w:val="20"/>
                <w:szCs w:val="20"/>
              </w:rPr>
            </w:pPr>
            <w:r w:rsidRPr="00BE6461">
              <w:rPr>
                <w:sz w:val="20"/>
                <w:szCs w:val="20"/>
              </w:rPr>
              <w:t xml:space="preserve">Reprezentacija                                                                                      </w:t>
            </w:r>
          </w:p>
        </w:tc>
        <w:tc>
          <w:tcPr>
            <w:tcW w:w="1503" w:type="dxa"/>
            <w:tcBorders>
              <w:top w:val="nil"/>
              <w:left w:val="nil"/>
              <w:bottom w:val="nil"/>
              <w:right w:val="nil"/>
            </w:tcBorders>
            <w:shd w:val="clear" w:color="auto" w:fill="auto"/>
            <w:noWrap/>
            <w:vAlign w:val="bottom"/>
            <w:hideMark/>
          </w:tcPr>
          <w:p w14:paraId="52CFE35B"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C51F3D3"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3F03B05B" w14:textId="77777777" w:rsidR="00BE6461" w:rsidRPr="00BE6461" w:rsidRDefault="00BE6461" w:rsidP="00BE6461">
            <w:pPr>
              <w:jc w:val="right"/>
              <w:rPr>
                <w:sz w:val="20"/>
                <w:szCs w:val="20"/>
              </w:rPr>
            </w:pPr>
          </w:p>
        </w:tc>
      </w:tr>
      <w:tr w:rsidR="00BE6461" w:rsidRPr="00BE6461" w14:paraId="5FF85259" w14:textId="77777777" w:rsidTr="00BE6461">
        <w:trPr>
          <w:trHeight w:val="300"/>
        </w:trPr>
        <w:tc>
          <w:tcPr>
            <w:tcW w:w="1703" w:type="dxa"/>
            <w:tcBorders>
              <w:top w:val="nil"/>
              <w:left w:val="nil"/>
              <w:bottom w:val="nil"/>
              <w:right w:val="nil"/>
            </w:tcBorders>
            <w:shd w:val="clear" w:color="auto" w:fill="auto"/>
            <w:noWrap/>
            <w:vAlign w:val="bottom"/>
            <w:hideMark/>
          </w:tcPr>
          <w:p w14:paraId="65985EE3" w14:textId="77777777" w:rsidR="00BE6461" w:rsidRPr="00BE6461" w:rsidRDefault="00BE6461" w:rsidP="00BE6461">
            <w:pPr>
              <w:rPr>
                <w:sz w:val="20"/>
                <w:szCs w:val="20"/>
              </w:rPr>
            </w:pPr>
            <w:r w:rsidRPr="00BE6461">
              <w:rPr>
                <w:sz w:val="20"/>
                <w:szCs w:val="20"/>
              </w:rPr>
              <w:t>3295</w:t>
            </w:r>
          </w:p>
        </w:tc>
        <w:tc>
          <w:tcPr>
            <w:tcW w:w="8457" w:type="dxa"/>
            <w:tcBorders>
              <w:top w:val="nil"/>
              <w:left w:val="nil"/>
              <w:bottom w:val="nil"/>
              <w:right w:val="nil"/>
            </w:tcBorders>
            <w:shd w:val="clear" w:color="auto" w:fill="auto"/>
            <w:vAlign w:val="bottom"/>
            <w:hideMark/>
          </w:tcPr>
          <w:p w14:paraId="217D201B" w14:textId="77777777" w:rsidR="00BE6461" w:rsidRPr="00BE6461" w:rsidRDefault="00BE6461" w:rsidP="00BE6461">
            <w:pPr>
              <w:rPr>
                <w:sz w:val="20"/>
                <w:szCs w:val="20"/>
              </w:rPr>
            </w:pPr>
            <w:r w:rsidRPr="00BE6461">
              <w:rPr>
                <w:sz w:val="20"/>
                <w:szCs w:val="20"/>
              </w:rPr>
              <w:t xml:space="preserve">Pristojbe i naknade                                                                                 </w:t>
            </w:r>
          </w:p>
        </w:tc>
        <w:tc>
          <w:tcPr>
            <w:tcW w:w="1503" w:type="dxa"/>
            <w:tcBorders>
              <w:top w:val="nil"/>
              <w:left w:val="nil"/>
              <w:bottom w:val="nil"/>
              <w:right w:val="nil"/>
            </w:tcBorders>
            <w:shd w:val="clear" w:color="auto" w:fill="auto"/>
            <w:noWrap/>
            <w:vAlign w:val="bottom"/>
            <w:hideMark/>
          </w:tcPr>
          <w:p w14:paraId="5845660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967F98D" w14:textId="77777777" w:rsidR="00BE6461" w:rsidRPr="00BE6461" w:rsidRDefault="00BE6461" w:rsidP="00BE6461">
            <w:pPr>
              <w:jc w:val="right"/>
              <w:rPr>
                <w:sz w:val="20"/>
                <w:szCs w:val="20"/>
              </w:rPr>
            </w:pPr>
            <w:r w:rsidRPr="00BE6461">
              <w:rPr>
                <w:sz w:val="20"/>
                <w:szCs w:val="20"/>
              </w:rPr>
              <w:t>560,00</w:t>
            </w:r>
          </w:p>
        </w:tc>
        <w:tc>
          <w:tcPr>
            <w:tcW w:w="1100" w:type="dxa"/>
            <w:tcBorders>
              <w:top w:val="nil"/>
              <w:left w:val="nil"/>
              <w:bottom w:val="nil"/>
              <w:right w:val="nil"/>
            </w:tcBorders>
            <w:shd w:val="clear" w:color="auto" w:fill="auto"/>
            <w:noWrap/>
            <w:vAlign w:val="bottom"/>
            <w:hideMark/>
          </w:tcPr>
          <w:p w14:paraId="24DD7C5A" w14:textId="77777777" w:rsidR="00BE6461" w:rsidRPr="00BE6461" w:rsidRDefault="00BE6461" w:rsidP="00BE6461">
            <w:pPr>
              <w:jc w:val="right"/>
              <w:rPr>
                <w:sz w:val="20"/>
                <w:szCs w:val="20"/>
              </w:rPr>
            </w:pPr>
          </w:p>
        </w:tc>
      </w:tr>
      <w:tr w:rsidR="00BE6461" w:rsidRPr="00BE6461" w14:paraId="5ECED643" w14:textId="77777777" w:rsidTr="00BE6461">
        <w:trPr>
          <w:trHeight w:val="300"/>
        </w:trPr>
        <w:tc>
          <w:tcPr>
            <w:tcW w:w="1703" w:type="dxa"/>
            <w:tcBorders>
              <w:top w:val="nil"/>
              <w:left w:val="nil"/>
              <w:bottom w:val="nil"/>
              <w:right w:val="nil"/>
            </w:tcBorders>
            <w:shd w:val="clear" w:color="auto" w:fill="auto"/>
            <w:noWrap/>
            <w:vAlign w:val="bottom"/>
            <w:hideMark/>
          </w:tcPr>
          <w:p w14:paraId="547C0F60" w14:textId="77777777" w:rsidR="00BE6461" w:rsidRPr="00BE6461" w:rsidRDefault="00BE6461" w:rsidP="00BE6461">
            <w:pPr>
              <w:rPr>
                <w:sz w:val="20"/>
                <w:szCs w:val="20"/>
              </w:rPr>
            </w:pPr>
            <w:r w:rsidRPr="00BE6461">
              <w:rPr>
                <w:sz w:val="20"/>
                <w:szCs w:val="20"/>
              </w:rPr>
              <w:t>3299</w:t>
            </w:r>
          </w:p>
        </w:tc>
        <w:tc>
          <w:tcPr>
            <w:tcW w:w="8457" w:type="dxa"/>
            <w:tcBorders>
              <w:top w:val="nil"/>
              <w:left w:val="nil"/>
              <w:bottom w:val="nil"/>
              <w:right w:val="nil"/>
            </w:tcBorders>
            <w:shd w:val="clear" w:color="auto" w:fill="auto"/>
            <w:vAlign w:val="bottom"/>
            <w:hideMark/>
          </w:tcPr>
          <w:p w14:paraId="3666B70F" w14:textId="77777777" w:rsidR="00BE6461" w:rsidRPr="00BE6461" w:rsidRDefault="00BE6461" w:rsidP="00BE6461">
            <w:pPr>
              <w:rPr>
                <w:sz w:val="20"/>
                <w:szCs w:val="20"/>
              </w:rPr>
            </w:pPr>
            <w:r w:rsidRPr="00BE6461">
              <w:rPr>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1D89847B"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FAC27D8" w14:textId="77777777" w:rsidR="00BE6461" w:rsidRPr="00BE6461" w:rsidRDefault="00BE6461" w:rsidP="00BE6461">
            <w:pPr>
              <w:jc w:val="right"/>
              <w:rPr>
                <w:sz w:val="20"/>
                <w:szCs w:val="20"/>
              </w:rPr>
            </w:pPr>
            <w:r w:rsidRPr="00BE6461">
              <w:rPr>
                <w:sz w:val="20"/>
                <w:szCs w:val="20"/>
              </w:rPr>
              <w:t>4.174,65</w:t>
            </w:r>
          </w:p>
        </w:tc>
        <w:tc>
          <w:tcPr>
            <w:tcW w:w="1100" w:type="dxa"/>
            <w:tcBorders>
              <w:top w:val="nil"/>
              <w:left w:val="nil"/>
              <w:bottom w:val="nil"/>
              <w:right w:val="nil"/>
            </w:tcBorders>
            <w:shd w:val="clear" w:color="auto" w:fill="auto"/>
            <w:noWrap/>
            <w:vAlign w:val="bottom"/>
            <w:hideMark/>
          </w:tcPr>
          <w:p w14:paraId="4A81560C" w14:textId="77777777" w:rsidR="00BE6461" w:rsidRPr="00BE6461" w:rsidRDefault="00BE6461" w:rsidP="00BE6461">
            <w:pPr>
              <w:jc w:val="right"/>
              <w:rPr>
                <w:sz w:val="20"/>
                <w:szCs w:val="20"/>
              </w:rPr>
            </w:pPr>
          </w:p>
        </w:tc>
      </w:tr>
      <w:tr w:rsidR="00BE6461" w:rsidRPr="00BE6461" w14:paraId="4CDC247F" w14:textId="77777777" w:rsidTr="00BE6461">
        <w:trPr>
          <w:trHeight w:val="300"/>
        </w:trPr>
        <w:tc>
          <w:tcPr>
            <w:tcW w:w="1703" w:type="dxa"/>
            <w:tcBorders>
              <w:top w:val="nil"/>
              <w:left w:val="nil"/>
              <w:bottom w:val="nil"/>
              <w:right w:val="nil"/>
            </w:tcBorders>
            <w:shd w:val="clear" w:color="auto" w:fill="auto"/>
            <w:noWrap/>
            <w:vAlign w:val="bottom"/>
            <w:hideMark/>
          </w:tcPr>
          <w:p w14:paraId="3FFEA241" w14:textId="77777777" w:rsidR="00BE6461" w:rsidRPr="00BE6461" w:rsidRDefault="00BE6461" w:rsidP="00BE6461">
            <w:pPr>
              <w:rPr>
                <w:b/>
                <w:bCs/>
                <w:sz w:val="20"/>
                <w:szCs w:val="20"/>
              </w:rPr>
            </w:pPr>
            <w:r w:rsidRPr="00BE6461">
              <w:rPr>
                <w:b/>
                <w:bCs/>
                <w:sz w:val="20"/>
                <w:szCs w:val="20"/>
              </w:rPr>
              <w:t>343</w:t>
            </w:r>
          </w:p>
        </w:tc>
        <w:tc>
          <w:tcPr>
            <w:tcW w:w="8457" w:type="dxa"/>
            <w:tcBorders>
              <w:top w:val="nil"/>
              <w:left w:val="nil"/>
              <w:bottom w:val="nil"/>
              <w:right w:val="nil"/>
            </w:tcBorders>
            <w:shd w:val="clear" w:color="auto" w:fill="auto"/>
            <w:vAlign w:val="bottom"/>
            <w:hideMark/>
          </w:tcPr>
          <w:p w14:paraId="26A37041" w14:textId="77777777" w:rsidR="00BE6461" w:rsidRPr="00BE6461" w:rsidRDefault="00BE6461" w:rsidP="00BE6461">
            <w:pPr>
              <w:rPr>
                <w:b/>
                <w:bCs/>
                <w:sz w:val="20"/>
                <w:szCs w:val="20"/>
              </w:rPr>
            </w:pPr>
            <w:r w:rsidRPr="00BE6461">
              <w:rPr>
                <w:b/>
                <w:bCs/>
                <w:sz w:val="20"/>
                <w:szCs w:val="20"/>
              </w:rPr>
              <w:t xml:space="preserve">Ostali financijski rashodi                                                                          </w:t>
            </w:r>
          </w:p>
        </w:tc>
        <w:tc>
          <w:tcPr>
            <w:tcW w:w="1503" w:type="dxa"/>
            <w:tcBorders>
              <w:top w:val="nil"/>
              <w:left w:val="nil"/>
              <w:bottom w:val="nil"/>
              <w:right w:val="nil"/>
            </w:tcBorders>
            <w:shd w:val="clear" w:color="auto" w:fill="auto"/>
            <w:noWrap/>
            <w:vAlign w:val="bottom"/>
            <w:hideMark/>
          </w:tcPr>
          <w:p w14:paraId="671642E1" w14:textId="77777777" w:rsidR="00BE6461" w:rsidRPr="00BE6461" w:rsidRDefault="00BE6461" w:rsidP="00BE6461">
            <w:pPr>
              <w:jc w:val="right"/>
              <w:rPr>
                <w:b/>
                <w:bCs/>
                <w:sz w:val="20"/>
                <w:szCs w:val="20"/>
              </w:rPr>
            </w:pPr>
            <w:r w:rsidRPr="00BE6461">
              <w:rPr>
                <w:b/>
                <w:bCs/>
                <w:sz w:val="20"/>
                <w:szCs w:val="20"/>
              </w:rPr>
              <w:t>0,00</w:t>
            </w:r>
          </w:p>
        </w:tc>
        <w:tc>
          <w:tcPr>
            <w:tcW w:w="1500" w:type="dxa"/>
            <w:tcBorders>
              <w:top w:val="nil"/>
              <w:left w:val="nil"/>
              <w:bottom w:val="nil"/>
              <w:right w:val="nil"/>
            </w:tcBorders>
            <w:shd w:val="clear" w:color="auto" w:fill="auto"/>
            <w:noWrap/>
            <w:vAlign w:val="bottom"/>
            <w:hideMark/>
          </w:tcPr>
          <w:p w14:paraId="5C10A6B3" w14:textId="77777777" w:rsidR="00BE6461" w:rsidRPr="00BE6461" w:rsidRDefault="00BE6461" w:rsidP="00BE6461">
            <w:pPr>
              <w:jc w:val="right"/>
              <w:rPr>
                <w:b/>
                <w:bCs/>
                <w:sz w:val="20"/>
                <w:szCs w:val="20"/>
              </w:rPr>
            </w:pPr>
            <w:r w:rsidRPr="00BE6461">
              <w:rPr>
                <w:b/>
                <w:bCs/>
                <w:sz w:val="20"/>
                <w:szCs w:val="20"/>
              </w:rPr>
              <w:t>0,85</w:t>
            </w:r>
          </w:p>
        </w:tc>
        <w:tc>
          <w:tcPr>
            <w:tcW w:w="1100" w:type="dxa"/>
            <w:tcBorders>
              <w:top w:val="nil"/>
              <w:left w:val="nil"/>
              <w:bottom w:val="nil"/>
              <w:right w:val="nil"/>
            </w:tcBorders>
            <w:shd w:val="clear" w:color="auto" w:fill="auto"/>
            <w:noWrap/>
            <w:vAlign w:val="bottom"/>
            <w:hideMark/>
          </w:tcPr>
          <w:p w14:paraId="05D80FA0" w14:textId="77777777" w:rsidR="00BE6461" w:rsidRPr="00BE6461" w:rsidRDefault="00BE6461" w:rsidP="00BE6461">
            <w:pPr>
              <w:jc w:val="center"/>
              <w:rPr>
                <w:b/>
                <w:bCs/>
                <w:sz w:val="20"/>
                <w:szCs w:val="20"/>
              </w:rPr>
            </w:pPr>
            <w:r w:rsidRPr="00BE6461">
              <w:rPr>
                <w:b/>
                <w:bCs/>
                <w:sz w:val="20"/>
                <w:szCs w:val="20"/>
              </w:rPr>
              <w:t>#DIV/0!</w:t>
            </w:r>
          </w:p>
        </w:tc>
      </w:tr>
      <w:tr w:rsidR="00BE6461" w:rsidRPr="00BE6461" w14:paraId="30085F51" w14:textId="77777777" w:rsidTr="00BE6461">
        <w:trPr>
          <w:trHeight w:val="300"/>
        </w:trPr>
        <w:tc>
          <w:tcPr>
            <w:tcW w:w="1703" w:type="dxa"/>
            <w:tcBorders>
              <w:top w:val="nil"/>
              <w:left w:val="nil"/>
              <w:bottom w:val="nil"/>
              <w:right w:val="nil"/>
            </w:tcBorders>
            <w:shd w:val="clear" w:color="auto" w:fill="auto"/>
            <w:noWrap/>
            <w:vAlign w:val="bottom"/>
            <w:hideMark/>
          </w:tcPr>
          <w:p w14:paraId="3470FEE5" w14:textId="77777777" w:rsidR="00BE6461" w:rsidRPr="00BE6461" w:rsidRDefault="00BE6461" w:rsidP="00BE6461">
            <w:pPr>
              <w:rPr>
                <w:sz w:val="20"/>
                <w:szCs w:val="20"/>
              </w:rPr>
            </w:pPr>
            <w:r w:rsidRPr="00BE6461">
              <w:rPr>
                <w:sz w:val="20"/>
                <w:szCs w:val="20"/>
              </w:rPr>
              <w:t>3433</w:t>
            </w:r>
          </w:p>
        </w:tc>
        <w:tc>
          <w:tcPr>
            <w:tcW w:w="8457" w:type="dxa"/>
            <w:tcBorders>
              <w:top w:val="nil"/>
              <w:left w:val="nil"/>
              <w:bottom w:val="nil"/>
              <w:right w:val="nil"/>
            </w:tcBorders>
            <w:shd w:val="clear" w:color="auto" w:fill="auto"/>
            <w:vAlign w:val="bottom"/>
            <w:hideMark/>
          </w:tcPr>
          <w:p w14:paraId="6DEF5A1A" w14:textId="77777777" w:rsidR="00BE6461" w:rsidRPr="00BE6461" w:rsidRDefault="00BE6461" w:rsidP="00BE6461">
            <w:pPr>
              <w:rPr>
                <w:sz w:val="20"/>
                <w:szCs w:val="20"/>
              </w:rPr>
            </w:pPr>
            <w:r w:rsidRPr="00BE6461">
              <w:rPr>
                <w:sz w:val="20"/>
                <w:szCs w:val="20"/>
              </w:rPr>
              <w:t xml:space="preserve">Zatezne kamate                                                                                      </w:t>
            </w:r>
          </w:p>
        </w:tc>
        <w:tc>
          <w:tcPr>
            <w:tcW w:w="1503" w:type="dxa"/>
            <w:tcBorders>
              <w:top w:val="nil"/>
              <w:left w:val="nil"/>
              <w:bottom w:val="nil"/>
              <w:right w:val="nil"/>
            </w:tcBorders>
            <w:shd w:val="clear" w:color="auto" w:fill="auto"/>
            <w:noWrap/>
            <w:vAlign w:val="bottom"/>
            <w:hideMark/>
          </w:tcPr>
          <w:p w14:paraId="1260792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A14A19D" w14:textId="77777777" w:rsidR="00BE6461" w:rsidRPr="00BE6461" w:rsidRDefault="00BE6461" w:rsidP="00BE6461">
            <w:pPr>
              <w:jc w:val="right"/>
              <w:rPr>
                <w:sz w:val="20"/>
                <w:szCs w:val="20"/>
              </w:rPr>
            </w:pPr>
            <w:r w:rsidRPr="00BE6461">
              <w:rPr>
                <w:sz w:val="20"/>
                <w:szCs w:val="20"/>
              </w:rPr>
              <w:t>0,85</w:t>
            </w:r>
          </w:p>
        </w:tc>
        <w:tc>
          <w:tcPr>
            <w:tcW w:w="1100" w:type="dxa"/>
            <w:tcBorders>
              <w:top w:val="nil"/>
              <w:left w:val="nil"/>
              <w:bottom w:val="nil"/>
              <w:right w:val="nil"/>
            </w:tcBorders>
            <w:shd w:val="clear" w:color="auto" w:fill="auto"/>
            <w:noWrap/>
            <w:vAlign w:val="bottom"/>
            <w:hideMark/>
          </w:tcPr>
          <w:p w14:paraId="2488D2B6" w14:textId="77777777" w:rsidR="00BE6461" w:rsidRPr="00BE6461" w:rsidRDefault="00BE6461" w:rsidP="00BE6461">
            <w:pPr>
              <w:jc w:val="right"/>
              <w:rPr>
                <w:sz w:val="20"/>
                <w:szCs w:val="20"/>
              </w:rPr>
            </w:pPr>
          </w:p>
        </w:tc>
      </w:tr>
      <w:tr w:rsidR="00BE6461" w:rsidRPr="00BE6461" w14:paraId="13C89BDA"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C3D800A" w14:textId="77777777" w:rsidR="00BE6461" w:rsidRPr="00BE6461" w:rsidRDefault="00BE6461" w:rsidP="00BE6461">
            <w:pPr>
              <w:rPr>
                <w:b/>
                <w:bCs/>
                <w:color w:val="333333"/>
                <w:sz w:val="20"/>
                <w:szCs w:val="20"/>
              </w:rPr>
            </w:pPr>
            <w:r w:rsidRPr="00BE6461">
              <w:rPr>
                <w:b/>
                <w:bCs/>
                <w:color w:val="333333"/>
                <w:sz w:val="20"/>
                <w:szCs w:val="20"/>
              </w:rPr>
              <w:t>Izvor 5. POMOĆI</w:t>
            </w:r>
          </w:p>
        </w:tc>
        <w:tc>
          <w:tcPr>
            <w:tcW w:w="1503" w:type="dxa"/>
            <w:tcBorders>
              <w:top w:val="nil"/>
              <w:left w:val="nil"/>
              <w:bottom w:val="nil"/>
              <w:right w:val="nil"/>
            </w:tcBorders>
            <w:shd w:val="clear" w:color="auto" w:fill="auto"/>
            <w:noWrap/>
            <w:vAlign w:val="bottom"/>
            <w:hideMark/>
          </w:tcPr>
          <w:p w14:paraId="6E65E2C3" w14:textId="77777777" w:rsidR="00BE6461" w:rsidRPr="00BE6461" w:rsidRDefault="00BE6461" w:rsidP="00BE6461">
            <w:pPr>
              <w:jc w:val="right"/>
              <w:rPr>
                <w:b/>
                <w:bCs/>
                <w:color w:val="333333"/>
                <w:sz w:val="20"/>
                <w:szCs w:val="20"/>
              </w:rPr>
            </w:pPr>
            <w:r w:rsidRPr="00BE6461">
              <w:rPr>
                <w:b/>
                <w:bCs/>
                <w:color w:val="333333"/>
                <w:sz w:val="20"/>
                <w:szCs w:val="20"/>
              </w:rPr>
              <w:t>35.820,00</w:t>
            </w:r>
          </w:p>
        </w:tc>
        <w:tc>
          <w:tcPr>
            <w:tcW w:w="1500" w:type="dxa"/>
            <w:tcBorders>
              <w:top w:val="nil"/>
              <w:left w:val="nil"/>
              <w:bottom w:val="nil"/>
              <w:right w:val="nil"/>
            </w:tcBorders>
            <w:shd w:val="clear" w:color="auto" w:fill="auto"/>
            <w:noWrap/>
            <w:vAlign w:val="bottom"/>
            <w:hideMark/>
          </w:tcPr>
          <w:p w14:paraId="55B93897" w14:textId="77777777" w:rsidR="00BE6461" w:rsidRPr="00BE6461" w:rsidRDefault="00BE6461" w:rsidP="00BE6461">
            <w:pPr>
              <w:jc w:val="right"/>
              <w:rPr>
                <w:b/>
                <w:bCs/>
                <w:color w:val="333333"/>
                <w:sz w:val="20"/>
                <w:szCs w:val="20"/>
              </w:rPr>
            </w:pPr>
            <w:r w:rsidRPr="00BE6461">
              <w:rPr>
                <w:b/>
                <w:bCs/>
                <w:color w:val="333333"/>
                <w:sz w:val="20"/>
                <w:szCs w:val="20"/>
              </w:rPr>
              <w:t>22.413,47</w:t>
            </w:r>
          </w:p>
        </w:tc>
        <w:tc>
          <w:tcPr>
            <w:tcW w:w="1100" w:type="dxa"/>
            <w:tcBorders>
              <w:top w:val="nil"/>
              <w:left w:val="nil"/>
              <w:bottom w:val="nil"/>
              <w:right w:val="nil"/>
            </w:tcBorders>
            <w:shd w:val="clear" w:color="auto" w:fill="auto"/>
            <w:noWrap/>
            <w:vAlign w:val="bottom"/>
            <w:hideMark/>
          </w:tcPr>
          <w:p w14:paraId="3DBCEC78" w14:textId="77777777" w:rsidR="00BE6461" w:rsidRPr="00BE6461" w:rsidRDefault="00BE6461" w:rsidP="00BE6461">
            <w:pPr>
              <w:jc w:val="right"/>
              <w:rPr>
                <w:b/>
                <w:bCs/>
                <w:color w:val="333333"/>
                <w:sz w:val="20"/>
                <w:szCs w:val="20"/>
              </w:rPr>
            </w:pPr>
            <w:r w:rsidRPr="00BE6461">
              <w:rPr>
                <w:b/>
                <w:bCs/>
                <w:color w:val="333333"/>
                <w:sz w:val="20"/>
                <w:szCs w:val="20"/>
              </w:rPr>
              <w:t>62,57</w:t>
            </w:r>
          </w:p>
        </w:tc>
      </w:tr>
      <w:tr w:rsidR="00BE6461" w:rsidRPr="00BE6461" w14:paraId="50D350A2"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20FAF06" w14:textId="77777777" w:rsidR="00BE6461" w:rsidRPr="00BE6461" w:rsidRDefault="00BE6461" w:rsidP="00BE6461">
            <w:pPr>
              <w:rPr>
                <w:b/>
                <w:bCs/>
                <w:color w:val="333333"/>
                <w:sz w:val="20"/>
                <w:szCs w:val="20"/>
              </w:rPr>
            </w:pPr>
            <w:r w:rsidRPr="00BE6461">
              <w:rPr>
                <w:b/>
                <w:bCs/>
                <w:color w:val="333333"/>
                <w:sz w:val="20"/>
                <w:szCs w:val="20"/>
              </w:rPr>
              <w:t>Izvor 5.2. POMOĆI - PRORAČUNSKI KORISNICI (GRAD)</w:t>
            </w:r>
          </w:p>
        </w:tc>
        <w:tc>
          <w:tcPr>
            <w:tcW w:w="1503" w:type="dxa"/>
            <w:tcBorders>
              <w:top w:val="nil"/>
              <w:left w:val="nil"/>
              <w:bottom w:val="nil"/>
              <w:right w:val="nil"/>
            </w:tcBorders>
            <w:shd w:val="clear" w:color="auto" w:fill="auto"/>
            <w:noWrap/>
            <w:vAlign w:val="bottom"/>
            <w:hideMark/>
          </w:tcPr>
          <w:p w14:paraId="7EBA2ED3" w14:textId="77777777" w:rsidR="00BE6461" w:rsidRPr="00BE6461" w:rsidRDefault="00BE6461" w:rsidP="00BE6461">
            <w:pPr>
              <w:jc w:val="right"/>
              <w:rPr>
                <w:b/>
                <w:bCs/>
                <w:color w:val="333333"/>
                <w:sz w:val="20"/>
                <w:szCs w:val="20"/>
              </w:rPr>
            </w:pPr>
            <w:r w:rsidRPr="00BE6461">
              <w:rPr>
                <w:b/>
                <w:bCs/>
                <w:color w:val="333333"/>
                <w:sz w:val="20"/>
                <w:szCs w:val="20"/>
              </w:rPr>
              <w:t>35.820,00</w:t>
            </w:r>
          </w:p>
        </w:tc>
        <w:tc>
          <w:tcPr>
            <w:tcW w:w="1500" w:type="dxa"/>
            <w:tcBorders>
              <w:top w:val="nil"/>
              <w:left w:val="nil"/>
              <w:bottom w:val="nil"/>
              <w:right w:val="nil"/>
            </w:tcBorders>
            <w:shd w:val="clear" w:color="auto" w:fill="auto"/>
            <w:noWrap/>
            <w:vAlign w:val="bottom"/>
            <w:hideMark/>
          </w:tcPr>
          <w:p w14:paraId="47A356F4" w14:textId="77777777" w:rsidR="00BE6461" w:rsidRPr="00BE6461" w:rsidRDefault="00BE6461" w:rsidP="00BE6461">
            <w:pPr>
              <w:jc w:val="right"/>
              <w:rPr>
                <w:b/>
                <w:bCs/>
                <w:color w:val="333333"/>
                <w:sz w:val="20"/>
                <w:szCs w:val="20"/>
              </w:rPr>
            </w:pPr>
            <w:r w:rsidRPr="00BE6461">
              <w:rPr>
                <w:b/>
                <w:bCs/>
                <w:color w:val="333333"/>
                <w:sz w:val="20"/>
                <w:szCs w:val="20"/>
              </w:rPr>
              <w:t>22.413,47</w:t>
            </w:r>
          </w:p>
        </w:tc>
        <w:tc>
          <w:tcPr>
            <w:tcW w:w="1100" w:type="dxa"/>
            <w:tcBorders>
              <w:top w:val="nil"/>
              <w:left w:val="nil"/>
              <w:bottom w:val="nil"/>
              <w:right w:val="nil"/>
            </w:tcBorders>
            <w:shd w:val="clear" w:color="auto" w:fill="auto"/>
            <w:noWrap/>
            <w:vAlign w:val="bottom"/>
            <w:hideMark/>
          </w:tcPr>
          <w:p w14:paraId="604BA3AF" w14:textId="77777777" w:rsidR="00BE6461" w:rsidRPr="00BE6461" w:rsidRDefault="00BE6461" w:rsidP="00BE6461">
            <w:pPr>
              <w:jc w:val="right"/>
              <w:rPr>
                <w:b/>
                <w:bCs/>
                <w:color w:val="333333"/>
                <w:sz w:val="20"/>
                <w:szCs w:val="20"/>
              </w:rPr>
            </w:pPr>
            <w:r w:rsidRPr="00BE6461">
              <w:rPr>
                <w:b/>
                <w:bCs/>
                <w:color w:val="333333"/>
                <w:sz w:val="20"/>
                <w:szCs w:val="20"/>
              </w:rPr>
              <w:t>62,57</w:t>
            </w:r>
          </w:p>
        </w:tc>
      </w:tr>
      <w:tr w:rsidR="00BE6461" w:rsidRPr="00BE6461" w14:paraId="45B7B96B" w14:textId="77777777" w:rsidTr="00BE6461">
        <w:trPr>
          <w:trHeight w:val="300"/>
        </w:trPr>
        <w:tc>
          <w:tcPr>
            <w:tcW w:w="1703" w:type="dxa"/>
            <w:tcBorders>
              <w:top w:val="nil"/>
              <w:left w:val="nil"/>
              <w:bottom w:val="nil"/>
              <w:right w:val="nil"/>
            </w:tcBorders>
            <w:shd w:val="clear" w:color="auto" w:fill="auto"/>
            <w:noWrap/>
            <w:vAlign w:val="bottom"/>
            <w:hideMark/>
          </w:tcPr>
          <w:p w14:paraId="55C92B72"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21949107"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5B8C8080" w14:textId="77777777" w:rsidR="00BE6461" w:rsidRPr="00BE6461" w:rsidRDefault="00BE6461" w:rsidP="00BE6461">
            <w:pPr>
              <w:jc w:val="right"/>
              <w:rPr>
                <w:b/>
                <w:bCs/>
                <w:sz w:val="20"/>
                <w:szCs w:val="20"/>
              </w:rPr>
            </w:pPr>
            <w:r w:rsidRPr="00BE6461">
              <w:rPr>
                <w:b/>
                <w:bCs/>
                <w:sz w:val="20"/>
                <w:szCs w:val="20"/>
              </w:rPr>
              <w:t>35.820,00</w:t>
            </w:r>
          </w:p>
        </w:tc>
        <w:tc>
          <w:tcPr>
            <w:tcW w:w="1500" w:type="dxa"/>
            <w:tcBorders>
              <w:top w:val="nil"/>
              <w:left w:val="nil"/>
              <w:bottom w:val="nil"/>
              <w:right w:val="nil"/>
            </w:tcBorders>
            <w:shd w:val="clear" w:color="auto" w:fill="auto"/>
            <w:noWrap/>
            <w:vAlign w:val="bottom"/>
            <w:hideMark/>
          </w:tcPr>
          <w:p w14:paraId="382A88DD" w14:textId="77777777" w:rsidR="00BE6461" w:rsidRPr="00BE6461" w:rsidRDefault="00BE6461" w:rsidP="00BE6461">
            <w:pPr>
              <w:jc w:val="right"/>
              <w:rPr>
                <w:b/>
                <w:bCs/>
                <w:sz w:val="20"/>
                <w:szCs w:val="20"/>
              </w:rPr>
            </w:pPr>
            <w:r w:rsidRPr="00BE6461">
              <w:rPr>
                <w:b/>
                <w:bCs/>
                <w:sz w:val="20"/>
                <w:szCs w:val="20"/>
              </w:rPr>
              <w:t>20.547,15</w:t>
            </w:r>
          </w:p>
        </w:tc>
        <w:tc>
          <w:tcPr>
            <w:tcW w:w="1100" w:type="dxa"/>
            <w:tcBorders>
              <w:top w:val="nil"/>
              <w:left w:val="nil"/>
              <w:bottom w:val="nil"/>
              <w:right w:val="nil"/>
            </w:tcBorders>
            <w:shd w:val="clear" w:color="auto" w:fill="auto"/>
            <w:noWrap/>
            <w:vAlign w:val="bottom"/>
            <w:hideMark/>
          </w:tcPr>
          <w:p w14:paraId="52D1625F" w14:textId="77777777" w:rsidR="00BE6461" w:rsidRPr="00BE6461" w:rsidRDefault="00BE6461" w:rsidP="00BE6461">
            <w:pPr>
              <w:jc w:val="right"/>
              <w:rPr>
                <w:b/>
                <w:bCs/>
                <w:sz w:val="20"/>
                <w:szCs w:val="20"/>
              </w:rPr>
            </w:pPr>
            <w:r w:rsidRPr="00BE6461">
              <w:rPr>
                <w:b/>
                <w:bCs/>
                <w:sz w:val="20"/>
                <w:szCs w:val="20"/>
              </w:rPr>
              <w:t>57,36</w:t>
            </w:r>
          </w:p>
        </w:tc>
      </w:tr>
      <w:tr w:rsidR="00BE6461" w:rsidRPr="00BE6461" w14:paraId="3D9D33B9" w14:textId="77777777" w:rsidTr="00BE6461">
        <w:trPr>
          <w:trHeight w:val="300"/>
        </w:trPr>
        <w:tc>
          <w:tcPr>
            <w:tcW w:w="1703" w:type="dxa"/>
            <w:tcBorders>
              <w:top w:val="nil"/>
              <w:left w:val="nil"/>
              <w:bottom w:val="nil"/>
              <w:right w:val="nil"/>
            </w:tcBorders>
            <w:shd w:val="clear" w:color="auto" w:fill="auto"/>
            <w:noWrap/>
            <w:vAlign w:val="bottom"/>
            <w:hideMark/>
          </w:tcPr>
          <w:p w14:paraId="34510EB8" w14:textId="77777777" w:rsidR="00BE6461" w:rsidRPr="00BE6461" w:rsidRDefault="00BE6461" w:rsidP="00BE6461">
            <w:pPr>
              <w:rPr>
                <w:sz w:val="20"/>
                <w:szCs w:val="20"/>
              </w:rPr>
            </w:pPr>
            <w:r w:rsidRPr="00BE6461">
              <w:rPr>
                <w:sz w:val="20"/>
                <w:szCs w:val="20"/>
              </w:rPr>
              <w:t>3221</w:t>
            </w:r>
          </w:p>
        </w:tc>
        <w:tc>
          <w:tcPr>
            <w:tcW w:w="8457" w:type="dxa"/>
            <w:tcBorders>
              <w:top w:val="nil"/>
              <w:left w:val="nil"/>
              <w:bottom w:val="nil"/>
              <w:right w:val="nil"/>
            </w:tcBorders>
            <w:shd w:val="clear" w:color="auto" w:fill="auto"/>
            <w:vAlign w:val="bottom"/>
            <w:hideMark/>
          </w:tcPr>
          <w:p w14:paraId="24AE824F" w14:textId="77777777" w:rsidR="00BE6461" w:rsidRPr="00BE6461" w:rsidRDefault="00BE6461" w:rsidP="00BE6461">
            <w:pPr>
              <w:rPr>
                <w:sz w:val="20"/>
                <w:szCs w:val="20"/>
              </w:rPr>
            </w:pPr>
            <w:r w:rsidRPr="00BE6461">
              <w:rPr>
                <w:sz w:val="20"/>
                <w:szCs w:val="20"/>
              </w:rPr>
              <w:t xml:space="preserve">Uredski materijal i ostali materijalni rashodi                                                      </w:t>
            </w:r>
          </w:p>
        </w:tc>
        <w:tc>
          <w:tcPr>
            <w:tcW w:w="1503" w:type="dxa"/>
            <w:tcBorders>
              <w:top w:val="nil"/>
              <w:left w:val="nil"/>
              <w:bottom w:val="nil"/>
              <w:right w:val="nil"/>
            </w:tcBorders>
            <w:shd w:val="clear" w:color="auto" w:fill="auto"/>
            <w:noWrap/>
            <w:vAlign w:val="bottom"/>
            <w:hideMark/>
          </w:tcPr>
          <w:p w14:paraId="55C9E5E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D8549D3" w14:textId="77777777" w:rsidR="00BE6461" w:rsidRPr="00BE6461" w:rsidRDefault="00BE6461" w:rsidP="00BE6461">
            <w:pPr>
              <w:jc w:val="right"/>
              <w:rPr>
                <w:sz w:val="20"/>
                <w:szCs w:val="20"/>
              </w:rPr>
            </w:pPr>
            <w:r w:rsidRPr="00BE6461">
              <w:rPr>
                <w:sz w:val="20"/>
                <w:szCs w:val="20"/>
              </w:rPr>
              <w:t>17.963,25</w:t>
            </w:r>
          </w:p>
        </w:tc>
        <w:tc>
          <w:tcPr>
            <w:tcW w:w="1100" w:type="dxa"/>
            <w:tcBorders>
              <w:top w:val="nil"/>
              <w:left w:val="nil"/>
              <w:bottom w:val="nil"/>
              <w:right w:val="nil"/>
            </w:tcBorders>
            <w:shd w:val="clear" w:color="auto" w:fill="auto"/>
            <w:noWrap/>
            <w:vAlign w:val="bottom"/>
            <w:hideMark/>
          </w:tcPr>
          <w:p w14:paraId="3D6DF001" w14:textId="77777777" w:rsidR="00BE6461" w:rsidRPr="00BE6461" w:rsidRDefault="00BE6461" w:rsidP="00BE6461">
            <w:pPr>
              <w:jc w:val="right"/>
              <w:rPr>
                <w:sz w:val="20"/>
                <w:szCs w:val="20"/>
              </w:rPr>
            </w:pPr>
          </w:p>
        </w:tc>
      </w:tr>
      <w:tr w:rsidR="00BE6461" w:rsidRPr="00BE6461" w14:paraId="6970AE79" w14:textId="77777777" w:rsidTr="00BE6461">
        <w:trPr>
          <w:trHeight w:val="300"/>
        </w:trPr>
        <w:tc>
          <w:tcPr>
            <w:tcW w:w="1703" w:type="dxa"/>
            <w:tcBorders>
              <w:top w:val="nil"/>
              <w:left w:val="nil"/>
              <w:bottom w:val="nil"/>
              <w:right w:val="nil"/>
            </w:tcBorders>
            <w:shd w:val="clear" w:color="auto" w:fill="auto"/>
            <w:noWrap/>
            <w:vAlign w:val="bottom"/>
            <w:hideMark/>
          </w:tcPr>
          <w:p w14:paraId="52D6267C" w14:textId="77777777" w:rsidR="00BE6461" w:rsidRPr="00BE6461" w:rsidRDefault="00BE6461" w:rsidP="00BE6461">
            <w:pPr>
              <w:rPr>
                <w:sz w:val="20"/>
                <w:szCs w:val="20"/>
              </w:rPr>
            </w:pPr>
            <w:r w:rsidRPr="00BE6461">
              <w:rPr>
                <w:sz w:val="20"/>
                <w:szCs w:val="20"/>
              </w:rPr>
              <w:lastRenderedPageBreak/>
              <w:t>3225</w:t>
            </w:r>
          </w:p>
        </w:tc>
        <w:tc>
          <w:tcPr>
            <w:tcW w:w="8457" w:type="dxa"/>
            <w:tcBorders>
              <w:top w:val="nil"/>
              <w:left w:val="nil"/>
              <w:bottom w:val="nil"/>
              <w:right w:val="nil"/>
            </w:tcBorders>
            <w:shd w:val="clear" w:color="auto" w:fill="auto"/>
            <w:vAlign w:val="bottom"/>
            <w:hideMark/>
          </w:tcPr>
          <w:p w14:paraId="7C8F3A8F" w14:textId="77777777" w:rsidR="00BE6461" w:rsidRPr="00BE6461" w:rsidRDefault="00BE6461" w:rsidP="00BE6461">
            <w:pPr>
              <w:rPr>
                <w:sz w:val="20"/>
                <w:szCs w:val="20"/>
              </w:rPr>
            </w:pPr>
            <w:r w:rsidRPr="00BE6461">
              <w:rPr>
                <w:sz w:val="20"/>
                <w:szCs w:val="20"/>
              </w:rPr>
              <w:t xml:space="preserve">Sitni inventar i auto gume                                                                          </w:t>
            </w:r>
          </w:p>
        </w:tc>
        <w:tc>
          <w:tcPr>
            <w:tcW w:w="1503" w:type="dxa"/>
            <w:tcBorders>
              <w:top w:val="nil"/>
              <w:left w:val="nil"/>
              <w:bottom w:val="nil"/>
              <w:right w:val="nil"/>
            </w:tcBorders>
            <w:shd w:val="clear" w:color="auto" w:fill="auto"/>
            <w:noWrap/>
            <w:vAlign w:val="bottom"/>
            <w:hideMark/>
          </w:tcPr>
          <w:p w14:paraId="1DC6862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4151F91" w14:textId="77777777" w:rsidR="00BE6461" w:rsidRPr="00BE6461" w:rsidRDefault="00BE6461" w:rsidP="00BE6461">
            <w:pPr>
              <w:jc w:val="right"/>
              <w:rPr>
                <w:sz w:val="20"/>
                <w:szCs w:val="20"/>
              </w:rPr>
            </w:pPr>
            <w:r w:rsidRPr="00BE6461">
              <w:rPr>
                <w:sz w:val="20"/>
                <w:szCs w:val="20"/>
              </w:rPr>
              <w:t>2.583,90</w:t>
            </w:r>
          </w:p>
        </w:tc>
        <w:tc>
          <w:tcPr>
            <w:tcW w:w="1100" w:type="dxa"/>
            <w:tcBorders>
              <w:top w:val="nil"/>
              <w:left w:val="nil"/>
              <w:bottom w:val="nil"/>
              <w:right w:val="nil"/>
            </w:tcBorders>
            <w:shd w:val="clear" w:color="auto" w:fill="auto"/>
            <w:noWrap/>
            <w:vAlign w:val="bottom"/>
            <w:hideMark/>
          </w:tcPr>
          <w:p w14:paraId="1968ED9F" w14:textId="77777777" w:rsidR="00BE6461" w:rsidRPr="00BE6461" w:rsidRDefault="00BE6461" w:rsidP="00BE6461">
            <w:pPr>
              <w:jc w:val="right"/>
              <w:rPr>
                <w:sz w:val="20"/>
                <w:szCs w:val="20"/>
              </w:rPr>
            </w:pPr>
          </w:p>
        </w:tc>
      </w:tr>
      <w:tr w:rsidR="00BE6461" w:rsidRPr="00BE6461" w14:paraId="2F1BDB8D" w14:textId="77777777" w:rsidTr="00BE6461">
        <w:trPr>
          <w:trHeight w:val="300"/>
        </w:trPr>
        <w:tc>
          <w:tcPr>
            <w:tcW w:w="1703" w:type="dxa"/>
            <w:tcBorders>
              <w:top w:val="nil"/>
              <w:left w:val="nil"/>
              <w:bottom w:val="nil"/>
              <w:right w:val="nil"/>
            </w:tcBorders>
            <w:shd w:val="clear" w:color="auto" w:fill="auto"/>
            <w:noWrap/>
            <w:vAlign w:val="bottom"/>
            <w:hideMark/>
          </w:tcPr>
          <w:p w14:paraId="22E23D43"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5C54FCFE"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437A8B51" w14:textId="77777777" w:rsidR="00BE6461" w:rsidRPr="00BE6461" w:rsidRDefault="00BE6461" w:rsidP="00BE6461">
            <w:pPr>
              <w:jc w:val="right"/>
              <w:rPr>
                <w:b/>
                <w:bCs/>
                <w:sz w:val="20"/>
                <w:szCs w:val="20"/>
              </w:rPr>
            </w:pPr>
            <w:r w:rsidRPr="00BE6461">
              <w:rPr>
                <w:b/>
                <w:bCs/>
                <w:sz w:val="20"/>
                <w:szCs w:val="20"/>
              </w:rPr>
              <w:t>0,00</w:t>
            </w:r>
          </w:p>
        </w:tc>
        <w:tc>
          <w:tcPr>
            <w:tcW w:w="1500" w:type="dxa"/>
            <w:tcBorders>
              <w:top w:val="nil"/>
              <w:left w:val="nil"/>
              <w:bottom w:val="nil"/>
              <w:right w:val="nil"/>
            </w:tcBorders>
            <w:shd w:val="clear" w:color="auto" w:fill="auto"/>
            <w:noWrap/>
            <w:vAlign w:val="bottom"/>
            <w:hideMark/>
          </w:tcPr>
          <w:p w14:paraId="4F3F839B" w14:textId="77777777" w:rsidR="00BE6461" w:rsidRPr="00BE6461" w:rsidRDefault="00BE6461" w:rsidP="00BE6461">
            <w:pPr>
              <w:jc w:val="right"/>
              <w:rPr>
                <w:b/>
                <w:bCs/>
                <w:sz w:val="20"/>
                <w:szCs w:val="20"/>
              </w:rPr>
            </w:pPr>
            <w:r w:rsidRPr="00BE6461">
              <w:rPr>
                <w:b/>
                <w:bCs/>
                <w:sz w:val="20"/>
                <w:szCs w:val="20"/>
              </w:rPr>
              <w:t>1.866,32</w:t>
            </w:r>
          </w:p>
        </w:tc>
        <w:tc>
          <w:tcPr>
            <w:tcW w:w="1100" w:type="dxa"/>
            <w:tcBorders>
              <w:top w:val="nil"/>
              <w:left w:val="nil"/>
              <w:bottom w:val="nil"/>
              <w:right w:val="nil"/>
            </w:tcBorders>
            <w:shd w:val="clear" w:color="auto" w:fill="auto"/>
            <w:noWrap/>
            <w:vAlign w:val="bottom"/>
            <w:hideMark/>
          </w:tcPr>
          <w:p w14:paraId="52A8C1B3"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19054361" w14:textId="77777777" w:rsidTr="00BE6461">
        <w:trPr>
          <w:trHeight w:val="300"/>
        </w:trPr>
        <w:tc>
          <w:tcPr>
            <w:tcW w:w="1703" w:type="dxa"/>
            <w:tcBorders>
              <w:top w:val="nil"/>
              <w:left w:val="nil"/>
              <w:bottom w:val="nil"/>
              <w:right w:val="nil"/>
            </w:tcBorders>
            <w:shd w:val="clear" w:color="auto" w:fill="auto"/>
            <w:noWrap/>
            <w:vAlign w:val="bottom"/>
            <w:hideMark/>
          </w:tcPr>
          <w:p w14:paraId="5AC27CCC"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723A905F"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4BC18CC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B42FA06" w14:textId="77777777" w:rsidR="00BE6461" w:rsidRPr="00BE6461" w:rsidRDefault="00BE6461" w:rsidP="00BE6461">
            <w:pPr>
              <w:jc w:val="right"/>
              <w:rPr>
                <w:sz w:val="20"/>
                <w:szCs w:val="20"/>
              </w:rPr>
            </w:pPr>
            <w:r w:rsidRPr="00BE6461">
              <w:rPr>
                <w:sz w:val="20"/>
                <w:szCs w:val="20"/>
              </w:rPr>
              <w:t>1.866,32</w:t>
            </w:r>
          </w:p>
        </w:tc>
        <w:tc>
          <w:tcPr>
            <w:tcW w:w="1100" w:type="dxa"/>
            <w:tcBorders>
              <w:top w:val="nil"/>
              <w:left w:val="nil"/>
              <w:bottom w:val="nil"/>
              <w:right w:val="nil"/>
            </w:tcBorders>
            <w:shd w:val="clear" w:color="auto" w:fill="auto"/>
            <w:noWrap/>
            <w:vAlign w:val="bottom"/>
            <w:hideMark/>
          </w:tcPr>
          <w:p w14:paraId="337E8D73" w14:textId="77777777" w:rsidR="00BE6461" w:rsidRPr="00BE6461" w:rsidRDefault="00BE6461" w:rsidP="00BE6461">
            <w:pPr>
              <w:jc w:val="right"/>
              <w:rPr>
                <w:sz w:val="20"/>
                <w:szCs w:val="20"/>
              </w:rPr>
            </w:pPr>
          </w:p>
        </w:tc>
      </w:tr>
      <w:tr w:rsidR="00BE6461" w:rsidRPr="00BE6461" w14:paraId="1271CEB6"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79F6A877" w14:textId="77777777" w:rsidR="00BE6461" w:rsidRPr="00BE6461" w:rsidRDefault="00BE6461" w:rsidP="00BE6461">
            <w:pPr>
              <w:rPr>
                <w:b/>
                <w:bCs/>
                <w:sz w:val="20"/>
                <w:szCs w:val="20"/>
              </w:rPr>
            </w:pPr>
            <w:r w:rsidRPr="00BE6461">
              <w:rPr>
                <w:b/>
                <w:bCs/>
                <w:sz w:val="20"/>
                <w:szCs w:val="20"/>
              </w:rPr>
              <w:t>A100013</w:t>
            </w:r>
          </w:p>
        </w:tc>
        <w:tc>
          <w:tcPr>
            <w:tcW w:w="8457" w:type="dxa"/>
            <w:tcBorders>
              <w:top w:val="single" w:sz="4" w:space="0" w:color="auto"/>
              <w:left w:val="nil"/>
              <w:bottom w:val="single" w:sz="4" w:space="0" w:color="auto"/>
              <w:right w:val="nil"/>
            </w:tcBorders>
            <w:shd w:val="clear" w:color="auto" w:fill="auto"/>
            <w:vAlign w:val="bottom"/>
            <w:hideMark/>
          </w:tcPr>
          <w:p w14:paraId="06A9E155" w14:textId="77777777" w:rsidR="00BE6461" w:rsidRPr="00BE6461" w:rsidRDefault="00BE6461" w:rsidP="00BE6461">
            <w:pPr>
              <w:rPr>
                <w:b/>
                <w:bCs/>
                <w:sz w:val="20"/>
                <w:szCs w:val="20"/>
              </w:rPr>
            </w:pPr>
            <w:r w:rsidRPr="00BE6461">
              <w:rPr>
                <w:b/>
                <w:bCs/>
                <w:sz w:val="20"/>
                <w:szCs w:val="20"/>
              </w:rPr>
              <w:t>Aktivnost: OSTALE AKTIVNOSTI</w:t>
            </w:r>
          </w:p>
        </w:tc>
        <w:tc>
          <w:tcPr>
            <w:tcW w:w="1503" w:type="dxa"/>
            <w:tcBorders>
              <w:top w:val="single" w:sz="4" w:space="0" w:color="auto"/>
              <w:left w:val="nil"/>
              <w:bottom w:val="single" w:sz="4" w:space="0" w:color="auto"/>
              <w:right w:val="nil"/>
            </w:tcBorders>
            <w:shd w:val="clear" w:color="auto" w:fill="auto"/>
            <w:noWrap/>
            <w:vAlign w:val="bottom"/>
            <w:hideMark/>
          </w:tcPr>
          <w:p w14:paraId="3E363659" w14:textId="77777777" w:rsidR="00BE6461" w:rsidRPr="00BE6461" w:rsidRDefault="00BE6461" w:rsidP="00BE6461">
            <w:pPr>
              <w:jc w:val="right"/>
              <w:rPr>
                <w:b/>
                <w:bCs/>
                <w:sz w:val="20"/>
                <w:szCs w:val="20"/>
              </w:rPr>
            </w:pPr>
            <w:r w:rsidRPr="00BE6461">
              <w:rPr>
                <w:b/>
                <w:bCs/>
                <w:sz w:val="20"/>
                <w:szCs w:val="20"/>
              </w:rPr>
              <w:t>12.000,00</w:t>
            </w:r>
          </w:p>
        </w:tc>
        <w:tc>
          <w:tcPr>
            <w:tcW w:w="1500" w:type="dxa"/>
            <w:tcBorders>
              <w:top w:val="single" w:sz="4" w:space="0" w:color="auto"/>
              <w:left w:val="nil"/>
              <w:bottom w:val="single" w:sz="4" w:space="0" w:color="auto"/>
              <w:right w:val="nil"/>
            </w:tcBorders>
            <w:shd w:val="clear" w:color="auto" w:fill="auto"/>
            <w:noWrap/>
            <w:vAlign w:val="bottom"/>
            <w:hideMark/>
          </w:tcPr>
          <w:p w14:paraId="40CFBE36" w14:textId="77777777" w:rsidR="00BE6461" w:rsidRPr="00BE6461" w:rsidRDefault="00BE6461" w:rsidP="00BE6461">
            <w:pPr>
              <w:jc w:val="right"/>
              <w:rPr>
                <w:b/>
                <w:bCs/>
                <w:sz w:val="20"/>
                <w:szCs w:val="20"/>
              </w:rPr>
            </w:pPr>
            <w:r w:rsidRPr="00BE6461">
              <w:rPr>
                <w:b/>
                <w:bCs/>
                <w:sz w:val="20"/>
                <w:szCs w:val="20"/>
              </w:rPr>
              <w:t>9.540,00</w:t>
            </w:r>
          </w:p>
        </w:tc>
        <w:tc>
          <w:tcPr>
            <w:tcW w:w="1100" w:type="dxa"/>
            <w:tcBorders>
              <w:top w:val="single" w:sz="4" w:space="0" w:color="auto"/>
              <w:left w:val="nil"/>
              <w:bottom w:val="single" w:sz="4" w:space="0" w:color="auto"/>
              <w:right w:val="nil"/>
            </w:tcBorders>
            <w:shd w:val="clear" w:color="auto" w:fill="auto"/>
            <w:noWrap/>
            <w:vAlign w:val="bottom"/>
            <w:hideMark/>
          </w:tcPr>
          <w:p w14:paraId="7CC0FB33" w14:textId="77777777" w:rsidR="00BE6461" w:rsidRPr="00BE6461" w:rsidRDefault="00BE6461" w:rsidP="00BE6461">
            <w:pPr>
              <w:jc w:val="right"/>
              <w:rPr>
                <w:b/>
                <w:bCs/>
                <w:sz w:val="20"/>
                <w:szCs w:val="20"/>
              </w:rPr>
            </w:pPr>
            <w:r w:rsidRPr="00BE6461">
              <w:rPr>
                <w:b/>
                <w:bCs/>
                <w:sz w:val="20"/>
                <w:szCs w:val="20"/>
              </w:rPr>
              <w:t>79,50</w:t>
            </w:r>
          </w:p>
        </w:tc>
      </w:tr>
      <w:tr w:rsidR="00BE6461" w:rsidRPr="00BE6461" w14:paraId="7990CA64"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313E745"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1D9C2307" w14:textId="77777777" w:rsidR="00BE6461" w:rsidRPr="00BE6461" w:rsidRDefault="00BE6461" w:rsidP="00BE6461">
            <w:pPr>
              <w:jc w:val="right"/>
              <w:rPr>
                <w:b/>
                <w:bCs/>
                <w:color w:val="333333"/>
                <w:sz w:val="20"/>
                <w:szCs w:val="20"/>
              </w:rPr>
            </w:pPr>
            <w:r w:rsidRPr="00BE6461">
              <w:rPr>
                <w:b/>
                <w:bCs/>
                <w:color w:val="333333"/>
                <w:sz w:val="20"/>
                <w:szCs w:val="20"/>
              </w:rPr>
              <w:t>12.000,00</w:t>
            </w:r>
          </w:p>
        </w:tc>
        <w:tc>
          <w:tcPr>
            <w:tcW w:w="1500" w:type="dxa"/>
            <w:tcBorders>
              <w:top w:val="nil"/>
              <w:left w:val="nil"/>
              <w:bottom w:val="nil"/>
              <w:right w:val="nil"/>
            </w:tcBorders>
            <w:shd w:val="clear" w:color="auto" w:fill="auto"/>
            <w:noWrap/>
            <w:vAlign w:val="bottom"/>
            <w:hideMark/>
          </w:tcPr>
          <w:p w14:paraId="09F878AC" w14:textId="77777777" w:rsidR="00BE6461" w:rsidRPr="00BE6461" w:rsidRDefault="00BE6461" w:rsidP="00BE6461">
            <w:pPr>
              <w:jc w:val="right"/>
              <w:rPr>
                <w:b/>
                <w:bCs/>
                <w:color w:val="333333"/>
                <w:sz w:val="20"/>
                <w:szCs w:val="20"/>
              </w:rPr>
            </w:pPr>
            <w:r w:rsidRPr="00BE6461">
              <w:rPr>
                <w:b/>
                <w:bCs/>
                <w:color w:val="333333"/>
                <w:sz w:val="20"/>
                <w:szCs w:val="20"/>
              </w:rPr>
              <w:t>8.140,00</w:t>
            </w:r>
          </w:p>
        </w:tc>
        <w:tc>
          <w:tcPr>
            <w:tcW w:w="1100" w:type="dxa"/>
            <w:tcBorders>
              <w:top w:val="nil"/>
              <w:left w:val="nil"/>
              <w:bottom w:val="nil"/>
              <w:right w:val="nil"/>
            </w:tcBorders>
            <w:shd w:val="clear" w:color="auto" w:fill="auto"/>
            <w:noWrap/>
            <w:vAlign w:val="bottom"/>
            <w:hideMark/>
          </w:tcPr>
          <w:p w14:paraId="1C3A09A5" w14:textId="77777777" w:rsidR="00BE6461" w:rsidRPr="00BE6461" w:rsidRDefault="00BE6461" w:rsidP="00BE6461">
            <w:pPr>
              <w:jc w:val="right"/>
              <w:rPr>
                <w:b/>
                <w:bCs/>
                <w:color w:val="333333"/>
                <w:sz w:val="20"/>
                <w:szCs w:val="20"/>
              </w:rPr>
            </w:pPr>
            <w:r w:rsidRPr="00BE6461">
              <w:rPr>
                <w:b/>
                <w:bCs/>
                <w:color w:val="333333"/>
                <w:sz w:val="20"/>
                <w:szCs w:val="20"/>
              </w:rPr>
              <w:t>67,83</w:t>
            </w:r>
          </w:p>
        </w:tc>
      </w:tr>
      <w:tr w:rsidR="00BE6461" w:rsidRPr="00BE6461" w14:paraId="217DF89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2B15B29"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2902FF0D" w14:textId="77777777" w:rsidR="00BE6461" w:rsidRPr="00BE6461" w:rsidRDefault="00BE6461" w:rsidP="00BE6461">
            <w:pPr>
              <w:jc w:val="right"/>
              <w:rPr>
                <w:b/>
                <w:bCs/>
                <w:color w:val="333333"/>
                <w:sz w:val="20"/>
                <w:szCs w:val="20"/>
              </w:rPr>
            </w:pPr>
            <w:r w:rsidRPr="00BE6461">
              <w:rPr>
                <w:b/>
                <w:bCs/>
                <w:color w:val="333333"/>
                <w:sz w:val="20"/>
                <w:szCs w:val="20"/>
              </w:rPr>
              <w:t>12.000,00</w:t>
            </w:r>
          </w:p>
        </w:tc>
        <w:tc>
          <w:tcPr>
            <w:tcW w:w="1500" w:type="dxa"/>
            <w:tcBorders>
              <w:top w:val="nil"/>
              <w:left w:val="nil"/>
              <w:bottom w:val="nil"/>
              <w:right w:val="nil"/>
            </w:tcBorders>
            <w:shd w:val="clear" w:color="auto" w:fill="auto"/>
            <w:noWrap/>
            <w:vAlign w:val="bottom"/>
            <w:hideMark/>
          </w:tcPr>
          <w:p w14:paraId="72FF5050" w14:textId="77777777" w:rsidR="00BE6461" w:rsidRPr="00BE6461" w:rsidRDefault="00BE6461" w:rsidP="00BE6461">
            <w:pPr>
              <w:jc w:val="right"/>
              <w:rPr>
                <w:b/>
                <w:bCs/>
                <w:color w:val="333333"/>
                <w:sz w:val="20"/>
                <w:szCs w:val="20"/>
              </w:rPr>
            </w:pPr>
            <w:r w:rsidRPr="00BE6461">
              <w:rPr>
                <w:b/>
                <w:bCs/>
                <w:color w:val="333333"/>
                <w:sz w:val="20"/>
                <w:szCs w:val="20"/>
              </w:rPr>
              <w:t>8.140,00</w:t>
            </w:r>
          </w:p>
        </w:tc>
        <w:tc>
          <w:tcPr>
            <w:tcW w:w="1100" w:type="dxa"/>
            <w:tcBorders>
              <w:top w:val="nil"/>
              <w:left w:val="nil"/>
              <w:bottom w:val="nil"/>
              <w:right w:val="nil"/>
            </w:tcBorders>
            <w:shd w:val="clear" w:color="auto" w:fill="auto"/>
            <w:noWrap/>
            <w:vAlign w:val="bottom"/>
            <w:hideMark/>
          </w:tcPr>
          <w:p w14:paraId="47B90EEA" w14:textId="77777777" w:rsidR="00BE6461" w:rsidRPr="00BE6461" w:rsidRDefault="00BE6461" w:rsidP="00BE6461">
            <w:pPr>
              <w:jc w:val="right"/>
              <w:rPr>
                <w:b/>
                <w:bCs/>
                <w:color w:val="333333"/>
                <w:sz w:val="20"/>
                <w:szCs w:val="20"/>
              </w:rPr>
            </w:pPr>
            <w:r w:rsidRPr="00BE6461">
              <w:rPr>
                <w:b/>
                <w:bCs/>
                <w:color w:val="333333"/>
                <w:sz w:val="20"/>
                <w:szCs w:val="20"/>
              </w:rPr>
              <w:t>67,83</w:t>
            </w:r>
          </w:p>
        </w:tc>
      </w:tr>
      <w:tr w:rsidR="00BE6461" w:rsidRPr="00BE6461" w14:paraId="4EF02CA6" w14:textId="77777777" w:rsidTr="00BE6461">
        <w:trPr>
          <w:trHeight w:val="300"/>
        </w:trPr>
        <w:tc>
          <w:tcPr>
            <w:tcW w:w="1703" w:type="dxa"/>
            <w:tcBorders>
              <w:top w:val="nil"/>
              <w:left w:val="nil"/>
              <w:bottom w:val="nil"/>
              <w:right w:val="nil"/>
            </w:tcBorders>
            <w:shd w:val="clear" w:color="auto" w:fill="auto"/>
            <w:noWrap/>
            <w:vAlign w:val="bottom"/>
            <w:hideMark/>
          </w:tcPr>
          <w:p w14:paraId="78B724BA"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2508EC48"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625D519B" w14:textId="77777777" w:rsidR="00BE6461" w:rsidRPr="00BE6461" w:rsidRDefault="00BE6461" w:rsidP="00BE6461">
            <w:pPr>
              <w:jc w:val="right"/>
              <w:rPr>
                <w:b/>
                <w:bCs/>
                <w:sz w:val="20"/>
                <w:szCs w:val="20"/>
              </w:rPr>
            </w:pPr>
            <w:r w:rsidRPr="00BE6461">
              <w:rPr>
                <w:b/>
                <w:bCs/>
                <w:sz w:val="20"/>
                <w:szCs w:val="20"/>
              </w:rPr>
              <w:t>12.000,00</w:t>
            </w:r>
          </w:p>
        </w:tc>
        <w:tc>
          <w:tcPr>
            <w:tcW w:w="1500" w:type="dxa"/>
            <w:tcBorders>
              <w:top w:val="nil"/>
              <w:left w:val="nil"/>
              <w:bottom w:val="nil"/>
              <w:right w:val="nil"/>
            </w:tcBorders>
            <w:shd w:val="clear" w:color="auto" w:fill="auto"/>
            <w:noWrap/>
            <w:vAlign w:val="bottom"/>
            <w:hideMark/>
          </w:tcPr>
          <w:p w14:paraId="3110A424" w14:textId="77777777" w:rsidR="00BE6461" w:rsidRPr="00BE6461" w:rsidRDefault="00BE6461" w:rsidP="00BE6461">
            <w:pPr>
              <w:jc w:val="right"/>
              <w:rPr>
                <w:b/>
                <w:bCs/>
                <w:sz w:val="20"/>
                <w:szCs w:val="20"/>
              </w:rPr>
            </w:pPr>
            <w:r w:rsidRPr="00BE6461">
              <w:rPr>
                <w:b/>
                <w:bCs/>
                <w:sz w:val="20"/>
                <w:szCs w:val="20"/>
              </w:rPr>
              <w:t>8.140,00</w:t>
            </w:r>
          </w:p>
        </w:tc>
        <w:tc>
          <w:tcPr>
            <w:tcW w:w="1100" w:type="dxa"/>
            <w:tcBorders>
              <w:top w:val="nil"/>
              <w:left w:val="nil"/>
              <w:bottom w:val="nil"/>
              <w:right w:val="nil"/>
            </w:tcBorders>
            <w:shd w:val="clear" w:color="auto" w:fill="auto"/>
            <w:noWrap/>
            <w:vAlign w:val="bottom"/>
            <w:hideMark/>
          </w:tcPr>
          <w:p w14:paraId="6675C414" w14:textId="77777777" w:rsidR="00BE6461" w:rsidRPr="00BE6461" w:rsidRDefault="00BE6461" w:rsidP="00BE6461">
            <w:pPr>
              <w:jc w:val="right"/>
              <w:rPr>
                <w:b/>
                <w:bCs/>
                <w:sz w:val="20"/>
                <w:szCs w:val="20"/>
              </w:rPr>
            </w:pPr>
            <w:r w:rsidRPr="00BE6461">
              <w:rPr>
                <w:b/>
                <w:bCs/>
                <w:sz w:val="20"/>
                <w:szCs w:val="20"/>
              </w:rPr>
              <w:t>67,83</w:t>
            </w:r>
          </w:p>
        </w:tc>
      </w:tr>
      <w:tr w:rsidR="00BE6461" w:rsidRPr="00BE6461" w14:paraId="2EA9E151" w14:textId="77777777" w:rsidTr="00BE6461">
        <w:trPr>
          <w:trHeight w:val="300"/>
        </w:trPr>
        <w:tc>
          <w:tcPr>
            <w:tcW w:w="1703" w:type="dxa"/>
            <w:tcBorders>
              <w:top w:val="nil"/>
              <w:left w:val="nil"/>
              <w:bottom w:val="nil"/>
              <w:right w:val="nil"/>
            </w:tcBorders>
            <w:shd w:val="clear" w:color="auto" w:fill="auto"/>
            <w:noWrap/>
            <w:vAlign w:val="bottom"/>
            <w:hideMark/>
          </w:tcPr>
          <w:p w14:paraId="6EEDC008" w14:textId="77777777" w:rsidR="00BE6461" w:rsidRPr="00BE6461" w:rsidRDefault="00BE6461" w:rsidP="00BE6461">
            <w:pPr>
              <w:rPr>
                <w:sz w:val="20"/>
                <w:szCs w:val="20"/>
              </w:rPr>
            </w:pPr>
            <w:r w:rsidRPr="00BE6461">
              <w:rPr>
                <w:sz w:val="20"/>
                <w:szCs w:val="20"/>
              </w:rPr>
              <w:t>3299</w:t>
            </w:r>
          </w:p>
        </w:tc>
        <w:tc>
          <w:tcPr>
            <w:tcW w:w="8457" w:type="dxa"/>
            <w:tcBorders>
              <w:top w:val="nil"/>
              <w:left w:val="nil"/>
              <w:bottom w:val="nil"/>
              <w:right w:val="nil"/>
            </w:tcBorders>
            <w:shd w:val="clear" w:color="auto" w:fill="auto"/>
            <w:vAlign w:val="bottom"/>
            <w:hideMark/>
          </w:tcPr>
          <w:p w14:paraId="31ECEA0B" w14:textId="77777777" w:rsidR="00BE6461" w:rsidRPr="00BE6461" w:rsidRDefault="00BE6461" w:rsidP="00BE6461">
            <w:pPr>
              <w:rPr>
                <w:sz w:val="20"/>
                <w:szCs w:val="20"/>
              </w:rPr>
            </w:pPr>
            <w:r w:rsidRPr="00BE6461">
              <w:rPr>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68DB7AA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6FCCCD4" w14:textId="77777777" w:rsidR="00BE6461" w:rsidRPr="00BE6461" w:rsidRDefault="00BE6461" w:rsidP="00BE6461">
            <w:pPr>
              <w:jc w:val="right"/>
              <w:rPr>
                <w:sz w:val="20"/>
                <w:szCs w:val="20"/>
              </w:rPr>
            </w:pPr>
            <w:r w:rsidRPr="00BE6461">
              <w:rPr>
                <w:sz w:val="20"/>
                <w:szCs w:val="20"/>
              </w:rPr>
              <w:t>8.140,00</w:t>
            </w:r>
          </w:p>
        </w:tc>
        <w:tc>
          <w:tcPr>
            <w:tcW w:w="1100" w:type="dxa"/>
            <w:tcBorders>
              <w:top w:val="nil"/>
              <w:left w:val="nil"/>
              <w:bottom w:val="nil"/>
              <w:right w:val="nil"/>
            </w:tcBorders>
            <w:shd w:val="clear" w:color="auto" w:fill="auto"/>
            <w:noWrap/>
            <w:vAlign w:val="bottom"/>
            <w:hideMark/>
          </w:tcPr>
          <w:p w14:paraId="6B4AC664" w14:textId="77777777" w:rsidR="00BE6461" w:rsidRPr="00BE6461" w:rsidRDefault="00BE6461" w:rsidP="00BE6461">
            <w:pPr>
              <w:jc w:val="right"/>
              <w:rPr>
                <w:sz w:val="20"/>
                <w:szCs w:val="20"/>
              </w:rPr>
            </w:pPr>
          </w:p>
        </w:tc>
      </w:tr>
      <w:tr w:rsidR="00BE6461" w:rsidRPr="00BE6461" w14:paraId="0033CF6C"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635A4FC" w14:textId="77777777" w:rsidR="00BE6461" w:rsidRPr="00BE6461" w:rsidRDefault="00BE6461" w:rsidP="00BE6461">
            <w:pPr>
              <w:rPr>
                <w:b/>
                <w:bCs/>
                <w:color w:val="333333"/>
                <w:sz w:val="20"/>
                <w:szCs w:val="20"/>
              </w:rPr>
            </w:pPr>
            <w:r w:rsidRPr="00BE6461">
              <w:rPr>
                <w:b/>
                <w:bCs/>
                <w:color w:val="333333"/>
                <w:sz w:val="20"/>
                <w:szCs w:val="20"/>
              </w:rPr>
              <w:t>Izvor 5. POMOĆI</w:t>
            </w:r>
          </w:p>
        </w:tc>
        <w:tc>
          <w:tcPr>
            <w:tcW w:w="1503" w:type="dxa"/>
            <w:tcBorders>
              <w:top w:val="nil"/>
              <w:left w:val="nil"/>
              <w:bottom w:val="nil"/>
              <w:right w:val="nil"/>
            </w:tcBorders>
            <w:shd w:val="clear" w:color="auto" w:fill="auto"/>
            <w:noWrap/>
            <w:vAlign w:val="bottom"/>
            <w:hideMark/>
          </w:tcPr>
          <w:p w14:paraId="1307391B"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500" w:type="dxa"/>
            <w:tcBorders>
              <w:top w:val="nil"/>
              <w:left w:val="nil"/>
              <w:bottom w:val="nil"/>
              <w:right w:val="nil"/>
            </w:tcBorders>
            <w:shd w:val="clear" w:color="auto" w:fill="auto"/>
            <w:noWrap/>
            <w:vAlign w:val="bottom"/>
            <w:hideMark/>
          </w:tcPr>
          <w:p w14:paraId="17268752" w14:textId="77777777" w:rsidR="00BE6461" w:rsidRPr="00BE6461" w:rsidRDefault="00BE6461" w:rsidP="00BE6461">
            <w:pPr>
              <w:jc w:val="right"/>
              <w:rPr>
                <w:b/>
                <w:bCs/>
                <w:color w:val="333333"/>
                <w:sz w:val="20"/>
                <w:szCs w:val="20"/>
              </w:rPr>
            </w:pPr>
            <w:r w:rsidRPr="00BE6461">
              <w:rPr>
                <w:b/>
                <w:bCs/>
                <w:color w:val="333333"/>
                <w:sz w:val="20"/>
                <w:szCs w:val="20"/>
              </w:rPr>
              <w:t>1.400,00</w:t>
            </w:r>
          </w:p>
        </w:tc>
        <w:tc>
          <w:tcPr>
            <w:tcW w:w="1100" w:type="dxa"/>
            <w:tcBorders>
              <w:top w:val="nil"/>
              <w:left w:val="nil"/>
              <w:bottom w:val="nil"/>
              <w:right w:val="nil"/>
            </w:tcBorders>
            <w:shd w:val="clear" w:color="auto" w:fill="auto"/>
            <w:noWrap/>
            <w:vAlign w:val="bottom"/>
            <w:hideMark/>
          </w:tcPr>
          <w:p w14:paraId="3C220558"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21D73BF2"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EA91C87" w14:textId="77777777" w:rsidR="00BE6461" w:rsidRPr="00BE6461" w:rsidRDefault="00BE6461" w:rsidP="00BE6461">
            <w:pPr>
              <w:rPr>
                <w:b/>
                <w:bCs/>
                <w:color w:val="333333"/>
                <w:sz w:val="20"/>
                <w:szCs w:val="20"/>
              </w:rPr>
            </w:pPr>
            <w:r w:rsidRPr="00BE6461">
              <w:rPr>
                <w:b/>
                <w:bCs/>
                <w:color w:val="333333"/>
                <w:sz w:val="20"/>
                <w:szCs w:val="20"/>
              </w:rPr>
              <w:t>Izvor 5.2. POMOĆI - PRORAČUNSKI KORISNICI (GRAD)</w:t>
            </w:r>
          </w:p>
        </w:tc>
        <w:tc>
          <w:tcPr>
            <w:tcW w:w="1503" w:type="dxa"/>
            <w:tcBorders>
              <w:top w:val="nil"/>
              <w:left w:val="nil"/>
              <w:bottom w:val="nil"/>
              <w:right w:val="nil"/>
            </w:tcBorders>
            <w:shd w:val="clear" w:color="auto" w:fill="auto"/>
            <w:noWrap/>
            <w:vAlign w:val="bottom"/>
            <w:hideMark/>
          </w:tcPr>
          <w:p w14:paraId="18B84D06"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500" w:type="dxa"/>
            <w:tcBorders>
              <w:top w:val="nil"/>
              <w:left w:val="nil"/>
              <w:bottom w:val="nil"/>
              <w:right w:val="nil"/>
            </w:tcBorders>
            <w:shd w:val="clear" w:color="auto" w:fill="auto"/>
            <w:noWrap/>
            <w:vAlign w:val="bottom"/>
            <w:hideMark/>
          </w:tcPr>
          <w:p w14:paraId="716FA935" w14:textId="77777777" w:rsidR="00BE6461" w:rsidRPr="00BE6461" w:rsidRDefault="00BE6461" w:rsidP="00BE6461">
            <w:pPr>
              <w:jc w:val="right"/>
              <w:rPr>
                <w:b/>
                <w:bCs/>
                <w:color w:val="333333"/>
                <w:sz w:val="20"/>
                <w:szCs w:val="20"/>
              </w:rPr>
            </w:pPr>
            <w:r w:rsidRPr="00BE6461">
              <w:rPr>
                <w:b/>
                <w:bCs/>
                <w:color w:val="333333"/>
                <w:sz w:val="20"/>
                <w:szCs w:val="20"/>
              </w:rPr>
              <w:t>1.400,00</w:t>
            </w:r>
          </w:p>
        </w:tc>
        <w:tc>
          <w:tcPr>
            <w:tcW w:w="1100" w:type="dxa"/>
            <w:tcBorders>
              <w:top w:val="nil"/>
              <w:left w:val="nil"/>
              <w:bottom w:val="nil"/>
              <w:right w:val="nil"/>
            </w:tcBorders>
            <w:shd w:val="clear" w:color="auto" w:fill="auto"/>
            <w:noWrap/>
            <w:vAlign w:val="bottom"/>
            <w:hideMark/>
          </w:tcPr>
          <w:p w14:paraId="63BB41C6"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5DAAB161" w14:textId="77777777" w:rsidTr="00BE6461">
        <w:trPr>
          <w:trHeight w:val="300"/>
        </w:trPr>
        <w:tc>
          <w:tcPr>
            <w:tcW w:w="1703" w:type="dxa"/>
            <w:tcBorders>
              <w:top w:val="nil"/>
              <w:left w:val="nil"/>
              <w:bottom w:val="nil"/>
              <w:right w:val="nil"/>
            </w:tcBorders>
            <w:shd w:val="clear" w:color="auto" w:fill="auto"/>
            <w:noWrap/>
            <w:vAlign w:val="bottom"/>
            <w:hideMark/>
          </w:tcPr>
          <w:p w14:paraId="592385C9"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42D045D0"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4B131594" w14:textId="77777777" w:rsidR="00BE6461" w:rsidRPr="00BE6461" w:rsidRDefault="00BE6461" w:rsidP="00BE6461">
            <w:pPr>
              <w:jc w:val="right"/>
              <w:rPr>
                <w:b/>
                <w:bCs/>
                <w:sz w:val="20"/>
                <w:szCs w:val="20"/>
              </w:rPr>
            </w:pPr>
            <w:r w:rsidRPr="00BE6461">
              <w:rPr>
                <w:b/>
                <w:bCs/>
                <w:sz w:val="20"/>
                <w:szCs w:val="20"/>
              </w:rPr>
              <w:t>0,00</w:t>
            </w:r>
          </w:p>
        </w:tc>
        <w:tc>
          <w:tcPr>
            <w:tcW w:w="1500" w:type="dxa"/>
            <w:tcBorders>
              <w:top w:val="nil"/>
              <w:left w:val="nil"/>
              <w:bottom w:val="nil"/>
              <w:right w:val="nil"/>
            </w:tcBorders>
            <w:shd w:val="clear" w:color="auto" w:fill="auto"/>
            <w:noWrap/>
            <w:vAlign w:val="bottom"/>
            <w:hideMark/>
          </w:tcPr>
          <w:p w14:paraId="362FA083" w14:textId="77777777" w:rsidR="00BE6461" w:rsidRPr="00BE6461" w:rsidRDefault="00BE6461" w:rsidP="00BE6461">
            <w:pPr>
              <w:jc w:val="right"/>
              <w:rPr>
                <w:b/>
                <w:bCs/>
                <w:sz w:val="20"/>
                <w:szCs w:val="20"/>
              </w:rPr>
            </w:pPr>
            <w:r w:rsidRPr="00BE6461">
              <w:rPr>
                <w:b/>
                <w:bCs/>
                <w:sz w:val="20"/>
                <w:szCs w:val="20"/>
              </w:rPr>
              <w:t>1.400,00</w:t>
            </w:r>
          </w:p>
        </w:tc>
        <w:tc>
          <w:tcPr>
            <w:tcW w:w="1100" w:type="dxa"/>
            <w:tcBorders>
              <w:top w:val="nil"/>
              <w:left w:val="nil"/>
              <w:bottom w:val="nil"/>
              <w:right w:val="nil"/>
            </w:tcBorders>
            <w:shd w:val="clear" w:color="auto" w:fill="auto"/>
            <w:noWrap/>
            <w:vAlign w:val="bottom"/>
            <w:hideMark/>
          </w:tcPr>
          <w:p w14:paraId="5C2DA1F2"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574AB3AF" w14:textId="77777777" w:rsidTr="00BE6461">
        <w:trPr>
          <w:trHeight w:val="300"/>
        </w:trPr>
        <w:tc>
          <w:tcPr>
            <w:tcW w:w="1703" w:type="dxa"/>
            <w:tcBorders>
              <w:top w:val="nil"/>
              <w:left w:val="nil"/>
              <w:bottom w:val="nil"/>
              <w:right w:val="nil"/>
            </w:tcBorders>
            <w:shd w:val="clear" w:color="auto" w:fill="auto"/>
            <w:noWrap/>
            <w:vAlign w:val="bottom"/>
            <w:hideMark/>
          </w:tcPr>
          <w:p w14:paraId="7863C8BA" w14:textId="77777777" w:rsidR="00BE6461" w:rsidRPr="00BE6461" w:rsidRDefault="00BE6461" w:rsidP="00BE6461">
            <w:pPr>
              <w:rPr>
                <w:sz w:val="20"/>
                <w:szCs w:val="20"/>
              </w:rPr>
            </w:pPr>
            <w:r w:rsidRPr="00BE6461">
              <w:rPr>
                <w:sz w:val="20"/>
                <w:szCs w:val="20"/>
              </w:rPr>
              <w:t>3299</w:t>
            </w:r>
          </w:p>
        </w:tc>
        <w:tc>
          <w:tcPr>
            <w:tcW w:w="8457" w:type="dxa"/>
            <w:tcBorders>
              <w:top w:val="nil"/>
              <w:left w:val="nil"/>
              <w:bottom w:val="nil"/>
              <w:right w:val="nil"/>
            </w:tcBorders>
            <w:shd w:val="clear" w:color="auto" w:fill="auto"/>
            <w:vAlign w:val="bottom"/>
            <w:hideMark/>
          </w:tcPr>
          <w:p w14:paraId="27187664" w14:textId="77777777" w:rsidR="00BE6461" w:rsidRPr="00BE6461" w:rsidRDefault="00BE6461" w:rsidP="00BE6461">
            <w:pPr>
              <w:rPr>
                <w:sz w:val="20"/>
                <w:szCs w:val="20"/>
              </w:rPr>
            </w:pPr>
            <w:r w:rsidRPr="00BE6461">
              <w:rPr>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7082A6A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F413E92" w14:textId="77777777" w:rsidR="00BE6461" w:rsidRPr="00BE6461" w:rsidRDefault="00BE6461" w:rsidP="00BE6461">
            <w:pPr>
              <w:jc w:val="right"/>
              <w:rPr>
                <w:sz w:val="20"/>
                <w:szCs w:val="20"/>
              </w:rPr>
            </w:pPr>
            <w:r w:rsidRPr="00BE6461">
              <w:rPr>
                <w:sz w:val="20"/>
                <w:szCs w:val="20"/>
              </w:rPr>
              <w:t>1.400,00</w:t>
            </w:r>
          </w:p>
        </w:tc>
        <w:tc>
          <w:tcPr>
            <w:tcW w:w="1100" w:type="dxa"/>
            <w:tcBorders>
              <w:top w:val="nil"/>
              <w:left w:val="nil"/>
              <w:bottom w:val="nil"/>
              <w:right w:val="nil"/>
            </w:tcBorders>
            <w:shd w:val="clear" w:color="auto" w:fill="auto"/>
            <w:noWrap/>
            <w:vAlign w:val="bottom"/>
            <w:hideMark/>
          </w:tcPr>
          <w:p w14:paraId="650A4D77" w14:textId="77777777" w:rsidR="00BE6461" w:rsidRPr="00BE6461" w:rsidRDefault="00BE6461" w:rsidP="00BE6461">
            <w:pPr>
              <w:jc w:val="right"/>
              <w:rPr>
                <w:sz w:val="20"/>
                <w:szCs w:val="20"/>
              </w:rPr>
            </w:pPr>
          </w:p>
        </w:tc>
      </w:tr>
      <w:tr w:rsidR="00BE6461" w:rsidRPr="00BE6461" w14:paraId="0B4E3629"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67DC182A" w14:textId="77777777" w:rsidR="00BE6461" w:rsidRPr="00BE6461" w:rsidRDefault="00BE6461" w:rsidP="00BE6461">
            <w:pPr>
              <w:rPr>
                <w:b/>
                <w:bCs/>
                <w:sz w:val="20"/>
                <w:szCs w:val="20"/>
              </w:rPr>
            </w:pPr>
            <w:r w:rsidRPr="00BE6461">
              <w:rPr>
                <w:b/>
                <w:bCs/>
                <w:sz w:val="20"/>
                <w:szCs w:val="20"/>
              </w:rPr>
              <w:t>A100088</w:t>
            </w:r>
          </w:p>
        </w:tc>
        <w:tc>
          <w:tcPr>
            <w:tcW w:w="8457" w:type="dxa"/>
            <w:tcBorders>
              <w:top w:val="single" w:sz="4" w:space="0" w:color="auto"/>
              <w:left w:val="nil"/>
              <w:bottom w:val="single" w:sz="4" w:space="0" w:color="auto"/>
              <w:right w:val="nil"/>
            </w:tcBorders>
            <w:shd w:val="clear" w:color="auto" w:fill="auto"/>
            <w:vAlign w:val="bottom"/>
            <w:hideMark/>
          </w:tcPr>
          <w:p w14:paraId="0197EA10" w14:textId="77777777" w:rsidR="00BE6461" w:rsidRPr="00BE6461" w:rsidRDefault="00BE6461" w:rsidP="00BE6461">
            <w:pPr>
              <w:rPr>
                <w:b/>
                <w:bCs/>
                <w:sz w:val="20"/>
                <w:szCs w:val="20"/>
              </w:rPr>
            </w:pPr>
            <w:r w:rsidRPr="00BE6461">
              <w:rPr>
                <w:b/>
                <w:bCs/>
                <w:sz w:val="20"/>
                <w:szCs w:val="20"/>
              </w:rPr>
              <w:t>Aktivnost: RAD S DJECOM U GRUPAMA</w:t>
            </w:r>
          </w:p>
        </w:tc>
        <w:tc>
          <w:tcPr>
            <w:tcW w:w="1503" w:type="dxa"/>
            <w:tcBorders>
              <w:top w:val="single" w:sz="4" w:space="0" w:color="auto"/>
              <w:left w:val="nil"/>
              <w:bottom w:val="single" w:sz="4" w:space="0" w:color="auto"/>
              <w:right w:val="nil"/>
            </w:tcBorders>
            <w:shd w:val="clear" w:color="auto" w:fill="auto"/>
            <w:noWrap/>
            <w:vAlign w:val="bottom"/>
            <w:hideMark/>
          </w:tcPr>
          <w:p w14:paraId="3BFB2362" w14:textId="77777777" w:rsidR="00BE6461" w:rsidRPr="00BE6461" w:rsidRDefault="00BE6461" w:rsidP="00BE6461">
            <w:pPr>
              <w:jc w:val="right"/>
              <w:rPr>
                <w:b/>
                <w:bCs/>
                <w:sz w:val="20"/>
                <w:szCs w:val="20"/>
              </w:rPr>
            </w:pPr>
            <w:r w:rsidRPr="00BE6461">
              <w:rPr>
                <w:b/>
                <w:bCs/>
                <w:sz w:val="20"/>
                <w:szCs w:val="20"/>
              </w:rPr>
              <w:t>33.000,00</w:t>
            </w:r>
          </w:p>
        </w:tc>
        <w:tc>
          <w:tcPr>
            <w:tcW w:w="1500" w:type="dxa"/>
            <w:tcBorders>
              <w:top w:val="single" w:sz="4" w:space="0" w:color="auto"/>
              <w:left w:val="nil"/>
              <w:bottom w:val="single" w:sz="4" w:space="0" w:color="auto"/>
              <w:right w:val="nil"/>
            </w:tcBorders>
            <w:shd w:val="clear" w:color="auto" w:fill="auto"/>
            <w:noWrap/>
            <w:vAlign w:val="bottom"/>
            <w:hideMark/>
          </w:tcPr>
          <w:p w14:paraId="2C892997" w14:textId="77777777" w:rsidR="00BE6461" w:rsidRPr="00BE6461" w:rsidRDefault="00BE6461" w:rsidP="00BE6461">
            <w:pPr>
              <w:jc w:val="right"/>
              <w:rPr>
                <w:b/>
                <w:bCs/>
                <w:sz w:val="20"/>
                <w:szCs w:val="20"/>
              </w:rPr>
            </w:pPr>
            <w:r w:rsidRPr="00BE6461">
              <w:rPr>
                <w:b/>
                <w:bCs/>
                <w:sz w:val="20"/>
                <w:szCs w:val="20"/>
              </w:rPr>
              <w:t>27.121,81</w:t>
            </w:r>
          </w:p>
        </w:tc>
        <w:tc>
          <w:tcPr>
            <w:tcW w:w="1100" w:type="dxa"/>
            <w:tcBorders>
              <w:top w:val="single" w:sz="4" w:space="0" w:color="auto"/>
              <w:left w:val="nil"/>
              <w:bottom w:val="single" w:sz="4" w:space="0" w:color="auto"/>
              <w:right w:val="nil"/>
            </w:tcBorders>
            <w:shd w:val="clear" w:color="auto" w:fill="auto"/>
            <w:noWrap/>
            <w:vAlign w:val="bottom"/>
            <w:hideMark/>
          </w:tcPr>
          <w:p w14:paraId="250D53A2" w14:textId="77777777" w:rsidR="00BE6461" w:rsidRPr="00BE6461" w:rsidRDefault="00BE6461" w:rsidP="00BE6461">
            <w:pPr>
              <w:jc w:val="right"/>
              <w:rPr>
                <w:b/>
                <w:bCs/>
                <w:sz w:val="20"/>
                <w:szCs w:val="20"/>
              </w:rPr>
            </w:pPr>
            <w:r w:rsidRPr="00BE6461">
              <w:rPr>
                <w:b/>
                <w:bCs/>
                <w:sz w:val="20"/>
                <w:szCs w:val="20"/>
              </w:rPr>
              <w:t>82,19</w:t>
            </w:r>
          </w:p>
        </w:tc>
      </w:tr>
      <w:tr w:rsidR="00BE6461" w:rsidRPr="00BE6461" w14:paraId="4F4F27C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280813C"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26EAB96F" w14:textId="77777777" w:rsidR="00BE6461" w:rsidRPr="00BE6461" w:rsidRDefault="00BE6461" w:rsidP="00BE6461">
            <w:pPr>
              <w:jc w:val="right"/>
              <w:rPr>
                <w:b/>
                <w:bCs/>
                <w:color w:val="333333"/>
                <w:sz w:val="20"/>
                <w:szCs w:val="20"/>
              </w:rPr>
            </w:pPr>
            <w:r w:rsidRPr="00BE6461">
              <w:rPr>
                <w:b/>
                <w:bCs/>
                <w:color w:val="333333"/>
                <w:sz w:val="20"/>
                <w:szCs w:val="20"/>
              </w:rPr>
              <w:t>33.000,00</w:t>
            </w:r>
          </w:p>
        </w:tc>
        <w:tc>
          <w:tcPr>
            <w:tcW w:w="1500" w:type="dxa"/>
            <w:tcBorders>
              <w:top w:val="nil"/>
              <w:left w:val="nil"/>
              <w:bottom w:val="nil"/>
              <w:right w:val="nil"/>
            </w:tcBorders>
            <w:shd w:val="clear" w:color="auto" w:fill="auto"/>
            <w:noWrap/>
            <w:vAlign w:val="bottom"/>
            <w:hideMark/>
          </w:tcPr>
          <w:p w14:paraId="15D89A9D" w14:textId="77777777" w:rsidR="00BE6461" w:rsidRPr="00BE6461" w:rsidRDefault="00BE6461" w:rsidP="00BE6461">
            <w:pPr>
              <w:jc w:val="right"/>
              <w:rPr>
                <w:b/>
                <w:bCs/>
                <w:color w:val="333333"/>
                <w:sz w:val="20"/>
                <w:szCs w:val="20"/>
              </w:rPr>
            </w:pPr>
            <w:r w:rsidRPr="00BE6461">
              <w:rPr>
                <w:b/>
                <w:bCs/>
                <w:color w:val="333333"/>
                <w:sz w:val="20"/>
                <w:szCs w:val="20"/>
              </w:rPr>
              <w:t>27.121,81</w:t>
            </w:r>
          </w:p>
        </w:tc>
        <w:tc>
          <w:tcPr>
            <w:tcW w:w="1100" w:type="dxa"/>
            <w:tcBorders>
              <w:top w:val="nil"/>
              <w:left w:val="nil"/>
              <w:bottom w:val="nil"/>
              <w:right w:val="nil"/>
            </w:tcBorders>
            <w:shd w:val="clear" w:color="auto" w:fill="auto"/>
            <w:noWrap/>
            <w:vAlign w:val="bottom"/>
            <w:hideMark/>
          </w:tcPr>
          <w:p w14:paraId="31B030DC" w14:textId="77777777" w:rsidR="00BE6461" w:rsidRPr="00BE6461" w:rsidRDefault="00BE6461" w:rsidP="00BE6461">
            <w:pPr>
              <w:jc w:val="right"/>
              <w:rPr>
                <w:b/>
                <w:bCs/>
                <w:color w:val="333333"/>
                <w:sz w:val="20"/>
                <w:szCs w:val="20"/>
              </w:rPr>
            </w:pPr>
            <w:r w:rsidRPr="00BE6461">
              <w:rPr>
                <w:b/>
                <w:bCs/>
                <w:color w:val="333333"/>
                <w:sz w:val="20"/>
                <w:szCs w:val="20"/>
              </w:rPr>
              <w:t>82,19</w:t>
            </w:r>
          </w:p>
        </w:tc>
      </w:tr>
      <w:tr w:rsidR="00BE6461" w:rsidRPr="00BE6461" w14:paraId="10F45A00"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AB53464" w14:textId="77777777" w:rsidR="00BE6461" w:rsidRPr="00BE6461" w:rsidRDefault="00BE6461" w:rsidP="00BE6461">
            <w:pPr>
              <w:rPr>
                <w:b/>
                <w:bCs/>
                <w:color w:val="333333"/>
                <w:sz w:val="20"/>
                <w:szCs w:val="20"/>
              </w:rPr>
            </w:pPr>
            <w:r w:rsidRPr="00BE6461">
              <w:rPr>
                <w:b/>
                <w:bCs/>
                <w:color w:val="333333"/>
                <w:sz w:val="20"/>
                <w:szCs w:val="20"/>
              </w:rPr>
              <w:t>Izvor 4.7. PRIHODI POSEBNE NAMJENE - PRORAČUNSKI KORISNICI</w:t>
            </w:r>
          </w:p>
        </w:tc>
        <w:tc>
          <w:tcPr>
            <w:tcW w:w="1503" w:type="dxa"/>
            <w:tcBorders>
              <w:top w:val="nil"/>
              <w:left w:val="nil"/>
              <w:bottom w:val="nil"/>
              <w:right w:val="nil"/>
            </w:tcBorders>
            <w:shd w:val="clear" w:color="auto" w:fill="auto"/>
            <w:noWrap/>
            <w:vAlign w:val="bottom"/>
            <w:hideMark/>
          </w:tcPr>
          <w:p w14:paraId="04A79DEC" w14:textId="77777777" w:rsidR="00BE6461" w:rsidRPr="00BE6461" w:rsidRDefault="00BE6461" w:rsidP="00BE6461">
            <w:pPr>
              <w:jc w:val="right"/>
              <w:rPr>
                <w:b/>
                <w:bCs/>
                <w:color w:val="333333"/>
                <w:sz w:val="20"/>
                <w:szCs w:val="20"/>
              </w:rPr>
            </w:pPr>
            <w:r w:rsidRPr="00BE6461">
              <w:rPr>
                <w:b/>
                <w:bCs/>
                <w:color w:val="333333"/>
                <w:sz w:val="20"/>
                <w:szCs w:val="20"/>
              </w:rPr>
              <w:t>33.000,00</w:t>
            </w:r>
          </w:p>
        </w:tc>
        <w:tc>
          <w:tcPr>
            <w:tcW w:w="1500" w:type="dxa"/>
            <w:tcBorders>
              <w:top w:val="nil"/>
              <w:left w:val="nil"/>
              <w:bottom w:val="nil"/>
              <w:right w:val="nil"/>
            </w:tcBorders>
            <w:shd w:val="clear" w:color="auto" w:fill="auto"/>
            <w:noWrap/>
            <w:vAlign w:val="bottom"/>
            <w:hideMark/>
          </w:tcPr>
          <w:p w14:paraId="2D62260D" w14:textId="77777777" w:rsidR="00BE6461" w:rsidRPr="00BE6461" w:rsidRDefault="00BE6461" w:rsidP="00BE6461">
            <w:pPr>
              <w:jc w:val="right"/>
              <w:rPr>
                <w:b/>
                <w:bCs/>
                <w:color w:val="333333"/>
                <w:sz w:val="20"/>
                <w:szCs w:val="20"/>
              </w:rPr>
            </w:pPr>
            <w:r w:rsidRPr="00BE6461">
              <w:rPr>
                <w:b/>
                <w:bCs/>
                <w:color w:val="333333"/>
                <w:sz w:val="20"/>
                <w:szCs w:val="20"/>
              </w:rPr>
              <w:t>27.121,81</w:t>
            </w:r>
          </w:p>
        </w:tc>
        <w:tc>
          <w:tcPr>
            <w:tcW w:w="1100" w:type="dxa"/>
            <w:tcBorders>
              <w:top w:val="nil"/>
              <w:left w:val="nil"/>
              <w:bottom w:val="nil"/>
              <w:right w:val="nil"/>
            </w:tcBorders>
            <w:shd w:val="clear" w:color="auto" w:fill="auto"/>
            <w:noWrap/>
            <w:vAlign w:val="bottom"/>
            <w:hideMark/>
          </w:tcPr>
          <w:p w14:paraId="295A86DB" w14:textId="77777777" w:rsidR="00BE6461" w:rsidRPr="00BE6461" w:rsidRDefault="00BE6461" w:rsidP="00BE6461">
            <w:pPr>
              <w:jc w:val="right"/>
              <w:rPr>
                <w:b/>
                <w:bCs/>
                <w:color w:val="333333"/>
                <w:sz w:val="20"/>
                <w:szCs w:val="20"/>
              </w:rPr>
            </w:pPr>
            <w:r w:rsidRPr="00BE6461">
              <w:rPr>
                <w:b/>
                <w:bCs/>
                <w:color w:val="333333"/>
                <w:sz w:val="20"/>
                <w:szCs w:val="20"/>
              </w:rPr>
              <w:t>82,19</w:t>
            </w:r>
          </w:p>
        </w:tc>
      </w:tr>
      <w:tr w:rsidR="00BE6461" w:rsidRPr="00BE6461" w14:paraId="6EF6A497" w14:textId="77777777" w:rsidTr="00BE6461">
        <w:trPr>
          <w:trHeight w:val="300"/>
        </w:trPr>
        <w:tc>
          <w:tcPr>
            <w:tcW w:w="1703" w:type="dxa"/>
            <w:tcBorders>
              <w:top w:val="nil"/>
              <w:left w:val="nil"/>
              <w:bottom w:val="nil"/>
              <w:right w:val="nil"/>
            </w:tcBorders>
            <w:shd w:val="clear" w:color="auto" w:fill="auto"/>
            <w:noWrap/>
            <w:vAlign w:val="bottom"/>
            <w:hideMark/>
          </w:tcPr>
          <w:p w14:paraId="092D6EB2"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2EFC5B16"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223F2C37" w14:textId="77777777" w:rsidR="00BE6461" w:rsidRPr="00BE6461" w:rsidRDefault="00BE6461" w:rsidP="00BE6461">
            <w:pPr>
              <w:jc w:val="right"/>
              <w:rPr>
                <w:b/>
                <w:bCs/>
                <w:sz w:val="20"/>
                <w:szCs w:val="20"/>
              </w:rPr>
            </w:pPr>
            <w:r w:rsidRPr="00BE6461">
              <w:rPr>
                <w:b/>
                <w:bCs/>
                <w:sz w:val="20"/>
                <w:szCs w:val="20"/>
              </w:rPr>
              <w:t>33.000,00</w:t>
            </w:r>
          </w:p>
        </w:tc>
        <w:tc>
          <w:tcPr>
            <w:tcW w:w="1500" w:type="dxa"/>
            <w:tcBorders>
              <w:top w:val="nil"/>
              <w:left w:val="nil"/>
              <w:bottom w:val="nil"/>
              <w:right w:val="nil"/>
            </w:tcBorders>
            <w:shd w:val="clear" w:color="auto" w:fill="auto"/>
            <w:noWrap/>
            <w:vAlign w:val="bottom"/>
            <w:hideMark/>
          </w:tcPr>
          <w:p w14:paraId="6C900FEC" w14:textId="77777777" w:rsidR="00BE6461" w:rsidRPr="00BE6461" w:rsidRDefault="00BE6461" w:rsidP="00BE6461">
            <w:pPr>
              <w:jc w:val="right"/>
              <w:rPr>
                <w:b/>
                <w:bCs/>
                <w:sz w:val="20"/>
                <w:szCs w:val="20"/>
              </w:rPr>
            </w:pPr>
            <w:r w:rsidRPr="00BE6461">
              <w:rPr>
                <w:b/>
                <w:bCs/>
                <w:sz w:val="20"/>
                <w:szCs w:val="20"/>
              </w:rPr>
              <w:t>27.121,81</w:t>
            </w:r>
          </w:p>
        </w:tc>
        <w:tc>
          <w:tcPr>
            <w:tcW w:w="1100" w:type="dxa"/>
            <w:tcBorders>
              <w:top w:val="nil"/>
              <w:left w:val="nil"/>
              <w:bottom w:val="nil"/>
              <w:right w:val="nil"/>
            </w:tcBorders>
            <w:shd w:val="clear" w:color="auto" w:fill="auto"/>
            <w:noWrap/>
            <w:vAlign w:val="bottom"/>
            <w:hideMark/>
          </w:tcPr>
          <w:p w14:paraId="6DBFB7AF" w14:textId="77777777" w:rsidR="00BE6461" w:rsidRPr="00BE6461" w:rsidRDefault="00BE6461" w:rsidP="00BE6461">
            <w:pPr>
              <w:jc w:val="right"/>
              <w:rPr>
                <w:b/>
                <w:bCs/>
                <w:sz w:val="20"/>
                <w:szCs w:val="20"/>
              </w:rPr>
            </w:pPr>
            <w:r w:rsidRPr="00BE6461">
              <w:rPr>
                <w:b/>
                <w:bCs/>
                <w:sz w:val="20"/>
                <w:szCs w:val="20"/>
              </w:rPr>
              <w:t>82,19</w:t>
            </w:r>
          </w:p>
        </w:tc>
      </w:tr>
      <w:tr w:rsidR="00BE6461" w:rsidRPr="00BE6461" w14:paraId="69B45897" w14:textId="77777777" w:rsidTr="00BE6461">
        <w:trPr>
          <w:trHeight w:val="300"/>
        </w:trPr>
        <w:tc>
          <w:tcPr>
            <w:tcW w:w="1703" w:type="dxa"/>
            <w:tcBorders>
              <w:top w:val="nil"/>
              <w:left w:val="nil"/>
              <w:bottom w:val="nil"/>
              <w:right w:val="nil"/>
            </w:tcBorders>
            <w:shd w:val="clear" w:color="auto" w:fill="auto"/>
            <w:noWrap/>
            <w:vAlign w:val="bottom"/>
            <w:hideMark/>
          </w:tcPr>
          <w:p w14:paraId="071523FA" w14:textId="77777777" w:rsidR="00BE6461" w:rsidRPr="00BE6461" w:rsidRDefault="00BE6461" w:rsidP="00BE6461">
            <w:pPr>
              <w:rPr>
                <w:sz w:val="20"/>
                <w:szCs w:val="20"/>
              </w:rPr>
            </w:pPr>
            <w:r w:rsidRPr="00BE6461">
              <w:rPr>
                <w:sz w:val="20"/>
                <w:szCs w:val="20"/>
              </w:rPr>
              <w:t>3221</w:t>
            </w:r>
          </w:p>
        </w:tc>
        <w:tc>
          <w:tcPr>
            <w:tcW w:w="8457" w:type="dxa"/>
            <w:tcBorders>
              <w:top w:val="nil"/>
              <w:left w:val="nil"/>
              <w:bottom w:val="nil"/>
              <w:right w:val="nil"/>
            </w:tcBorders>
            <w:shd w:val="clear" w:color="auto" w:fill="auto"/>
            <w:vAlign w:val="bottom"/>
            <w:hideMark/>
          </w:tcPr>
          <w:p w14:paraId="5111EFAE" w14:textId="77777777" w:rsidR="00BE6461" w:rsidRPr="00BE6461" w:rsidRDefault="00BE6461" w:rsidP="00BE6461">
            <w:pPr>
              <w:rPr>
                <w:sz w:val="20"/>
                <w:szCs w:val="20"/>
              </w:rPr>
            </w:pPr>
            <w:r w:rsidRPr="00BE6461">
              <w:rPr>
                <w:sz w:val="20"/>
                <w:szCs w:val="20"/>
              </w:rPr>
              <w:t xml:space="preserve">Uredski materijal i ostali materijalni rashodi                                                      </w:t>
            </w:r>
          </w:p>
        </w:tc>
        <w:tc>
          <w:tcPr>
            <w:tcW w:w="1503" w:type="dxa"/>
            <w:tcBorders>
              <w:top w:val="nil"/>
              <w:left w:val="nil"/>
              <w:bottom w:val="nil"/>
              <w:right w:val="nil"/>
            </w:tcBorders>
            <w:shd w:val="clear" w:color="auto" w:fill="auto"/>
            <w:noWrap/>
            <w:vAlign w:val="bottom"/>
            <w:hideMark/>
          </w:tcPr>
          <w:p w14:paraId="3824D97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8B6F88D" w14:textId="77777777" w:rsidR="00BE6461" w:rsidRPr="00BE6461" w:rsidRDefault="00BE6461" w:rsidP="00BE6461">
            <w:pPr>
              <w:jc w:val="right"/>
              <w:rPr>
                <w:sz w:val="20"/>
                <w:szCs w:val="20"/>
              </w:rPr>
            </w:pPr>
            <w:r w:rsidRPr="00BE6461">
              <w:rPr>
                <w:sz w:val="20"/>
                <w:szCs w:val="20"/>
              </w:rPr>
              <w:t>27.121,81</w:t>
            </w:r>
          </w:p>
        </w:tc>
        <w:tc>
          <w:tcPr>
            <w:tcW w:w="1100" w:type="dxa"/>
            <w:tcBorders>
              <w:top w:val="nil"/>
              <w:left w:val="nil"/>
              <w:bottom w:val="nil"/>
              <w:right w:val="nil"/>
            </w:tcBorders>
            <w:shd w:val="clear" w:color="auto" w:fill="auto"/>
            <w:noWrap/>
            <w:vAlign w:val="bottom"/>
            <w:hideMark/>
          </w:tcPr>
          <w:p w14:paraId="1E6A2905" w14:textId="77777777" w:rsidR="00BE6461" w:rsidRPr="00BE6461" w:rsidRDefault="00BE6461" w:rsidP="00BE6461">
            <w:pPr>
              <w:jc w:val="right"/>
              <w:rPr>
                <w:sz w:val="20"/>
                <w:szCs w:val="20"/>
              </w:rPr>
            </w:pPr>
          </w:p>
        </w:tc>
      </w:tr>
      <w:tr w:rsidR="00BE6461" w:rsidRPr="00BE6461" w14:paraId="15769831"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46B78667" w14:textId="77777777" w:rsidR="00BE6461" w:rsidRPr="00BE6461" w:rsidRDefault="00BE6461" w:rsidP="00BE6461">
            <w:pPr>
              <w:rPr>
                <w:b/>
                <w:bCs/>
                <w:sz w:val="20"/>
                <w:szCs w:val="20"/>
              </w:rPr>
            </w:pPr>
            <w:r w:rsidRPr="00BE6461">
              <w:rPr>
                <w:b/>
                <w:bCs/>
                <w:sz w:val="20"/>
                <w:szCs w:val="20"/>
              </w:rPr>
              <w:t>A100089</w:t>
            </w:r>
          </w:p>
        </w:tc>
        <w:tc>
          <w:tcPr>
            <w:tcW w:w="8457" w:type="dxa"/>
            <w:tcBorders>
              <w:top w:val="single" w:sz="4" w:space="0" w:color="auto"/>
              <w:left w:val="nil"/>
              <w:bottom w:val="single" w:sz="4" w:space="0" w:color="auto"/>
              <w:right w:val="nil"/>
            </w:tcBorders>
            <w:shd w:val="clear" w:color="auto" w:fill="auto"/>
            <w:vAlign w:val="bottom"/>
            <w:hideMark/>
          </w:tcPr>
          <w:p w14:paraId="09ABE654" w14:textId="77777777" w:rsidR="00BE6461" w:rsidRPr="00BE6461" w:rsidRDefault="00BE6461" w:rsidP="00BE6461">
            <w:pPr>
              <w:rPr>
                <w:b/>
                <w:bCs/>
                <w:sz w:val="20"/>
                <w:szCs w:val="20"/>
              </w:rPr>
            </w:pPr>
            <w:r w:rsidRPr="00BE6461">
              <w:rPr>
                <w:b/>
                <w:bCs/>
                <w:sz w:val="20"/>
                <w:szCs w:val="20"/>
              </w:rPr>
              <w:t>Aktivnost: PREHRANA DJECE</w:t>
            </w:r>
          </w:p>
        </w:tc>
        <w:tc>
          <w:tcPr>
            <w:tcW w:w="1503" w:type="dxa"/>
            <w:tcBorders>
              <w:top w:val="single" w:sz="4" w:space="0" w:color="auto"/>
              <w:left w:val="nil"/>
              <w:bottom w:val="single" w:sz="4" w:space="0" w:color="auto"/>
              <w:right w:val="nil"/>
            </w:tcBorders>
            <w:shd w:val="clear" w:color="auto" w:fill="auto"/>
            <w:noWrap/>
            <w:vAlign w:val="bottom"/>
            <w:hideMark/>
          </w:tcPr>
          <w:p w14:paraId="22AFCDE1" w14:textId="77777777" w:rsidR="00BE6461" w:rsidRPr="00BE6461" w:rsidRDefault="00BE6461" w:rsidP="00BE6461">
            <w:pPr>
              <w:jc w:val="right"/>
              <w:rPr>
                <w:b/>
                <w:bCs/>
                <w:sz w:val="20"/>
                <w:szCs w:val="20"/>
              </w:rPr>
            </w:pPr>
            <w:r w:rsidRPr="00BE6461">
              <w:rPr>
                <w:b/>
                <w:bCs/>
                <w:sz w:val="20"/>
                <w:szCs w:val="20"/>
              </w:rPr>
              <w:t>324.000,00</w:t>
            </w:r>
          </w:p>
        </w:tc>
        <w:tc>
          <w:tcPr>
            <w:tcW w:w="1500" w:type="dxa"/>
            <w:tcBorders>
              <w:top w:val="single" w:sz="4" w:space="0" w:color="auto"/>
              <w:left w:val="nil"/>
              <w:bottom w:val="single" w:sz="4" w:space="0" w:color="auto"/>
              <w:right w:val="nil"/>
            </w:tcBorders>
            <w:shd w:val="clear" w:color="auto" w:fill="auto"/>
            <w:noWrap/>
            <w:vAlign w:val="bottom"/>
            <w:hideMark/>
          </w:tcPr>
          <w:p w14:paraId="4D79EE67" w14:textId="77777777" w:rsidR="00BE6461" w:rsidRPr="00BE6461" w:rsidRDefault="00BE6461" w:rsidP="00BE6461">
            <w:pPr>
              <w:jc w:val="right"/>
              <w:rPr>
                <w:b/>
                <w:bCs/>
                <w:sz w:val="20"/>
                <w:szCs w:val="20"/>
              </w:rPr>
            </w:pPr>
            <w:r w:rsidRPr="00BE6461">
              <w:rPr>
                <w:b/>
                <w:bCs/>
                <w:sz w:val="20"/>
                <w:szCs w:val="20"/>
              </w:rPr>
              <w:t>335.476,54</w:t>
            </w:r>
          </w:p>
        </w:tc>
        <w:tc>
          <w:tcPr>
            <w:tcW w:w="1100" w:type="dxa"/>
            <w:tcBorders>
              <w:top w:val="single" w:sz="4" w:space="0" w:color="auto"/>
              <w:left w:val="nil"/>
              <w:bottom w:val="single" w:sz="4" w:space="0" w:color="auto"/>
              <w:right w:val="nil"/>
            </w:tcBorders>
            <w:shd w:val="clear" w:color="auto" w:fill="auto"/>
            <w:noWrap/>
            <w:vAlign w:val="bottom"/>
            <w:hideMark/>
          </w:tcPr>
          <w:p w14:paraId="59BBD210" w14:textId="77777777" w:rsidR="00BE6461" w:rsidRPr="00BE6461" w:rsidRDefault="00BE6461" w:rsidP="00BE6461">
            <w:pPr>
              <w:jc w:val="right"/>
              <w:rPr>
                <w:b/>
                <w:bCs/>
                <w:sz w:val="20"/>
                <w:szCs w:val="20"/>
              </w:rPr>
            </w:pPr>
            <w:r w:rsidRPr="00BE6461">
              <w:rPr>
                <w:b/>
                <w:bCs/>
                <w:sz w:val="20"/>
                <w:szCs w:val="20"/>
              </w:rPr>
              <w:t>103,54</w:t>
            </w:r>
          </w:p>
        </w:tc>
      </w:tr>
      <w:tr w:rsidR="00BE6461" w:rsidRPr="00BE6461" w14:paraId="20A334C2"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1B94441" w14:textId="77777777" w:rsidR="00BE6461" w:rsidRPr="00BE6461" w:rsidRDefault="00BE6461" w:rsidP="00BE6461">
            <w:pPr>
              <w:rPr>
                <w:b/>
                <w:bCs/>
                <w:color w:val="333333"/>
                <w:sz w:val="20"/>
                <w:szCs w:val="20"/>
              </w:rPr>
            </w:pPr>
            <w:r w:rsidRPr="00BE6461">
              <w:rPr>
                <w:b/>
                <w:bCs/>
                <w:color w:val="333333"/>
                <w:sz w:val="20"/>
                <w:szCs w:val="20"/>
              </w:rPr>
              <w:t>Izvor 3. VLASTITI PRIHODI</w:t>
            </w:r>
          </w:p>
        </w:tc>
        <w:tc>
          <w:tcPr>
            <w:tcW w:w="1503" w:type="dxa"/>
            <w:tcBorders>
              <w:top w:val="nil"/>
              <w:left w:val="nil"/>
              <w:bottom w:val="nil"/>
              <w:right w:val="nil"/>
            </w:tcBorders>
            <w:shd w:val="clear" w:color="auto" w:fill="auto"/>
            <w:noWrap/>
            <w:vAlign w:val="bottom"/>
            <w:hideMark/>
          </w:tcPr>
          <w:p w14:paraId="3B7C2AC9" w14:textId="77777777" w:rsidR="00BE6461" w:rsidRPr="00BE6461" w:rsidRDefault="00BE6461" w:rsidP="00BE6461">
            <w:pPr>
              <w:jc w:val="right"/>
              <w:rPr>
                <w:b/>
                <w:bCs/>
                <w:color w:val="333333"/>
                <w:sz w:val="20"/>
                <w:szCs w:val="20"/>
              </w:rPr>
            </w:pPr>
            <w:r w:rsidRPr="00BE6461">
              <w:rPr>
                <w:b/>
                <w:bCs/>
                <w:color w:val="333333"/>
                <w:sz w:val="20"/>
                <w:szCs w:val="20"/>
              </w:rPr>
              <w:t>23.000,00</w:t>
            </w:r>
          </w:p>
        </w:tc>
        <w:tc>
          <w:tcPr>
            <w:tcW w:w="1500" w:type="dxa"/>
            <w:tcBorders>
              <w:top w:val="nil"/>
              <w:left w:val="nil"/>
              <w:bottom w:val="nil"/>
              <w:right w:val="nil"/>
            </w:tcBorders>
            <w:shd w:val="clear" w:color="auto" w:fill="auto"/>
            <w:noWrap/>
            <w:vAlign w:val="bottom"/>
            <w:hideMark/>
          </w:tcPr>
          <w:p w14:paraId="25822B34" w14:textId="77777777" w:rsidR="00BE6461" w:rsidRPr="00BE6461" w:rsidRDefault="00BE6461" w:rsidP="00BE6461">
            <w:pPr>
              <w:jc w:val="right"/>
              <w:rPr>
                <w:b/>
                <w:bCs/>
                <w:color w:val="333333"/>
                <w:sz w:val="20"/>
                <w:szCs w:val="20"/>
              </w:rPr>
            </w:pPr>
            <w:r w:rsidRPr="00BE6461">
              <w:rPr>
                <w:b/>
                <w:bCs/>
                <w:color w:val="333333"/>
                <w:sz w:val="20"/>
                <w:szCs w:val="20"/>
              </w:rPr>
              <w:t>24.546,00</w:t>
            </w:r>
          </w:p>
        </w:tc>
        <w:tc>
          <w:tcPr>
            <w:tcW w:w="1100" w:type="dxa"/>
            <w:tcBorders>
              <w:top w:val="nil"/>
              <w:left w:val="nil"/>
              <w:bottom w:val="nil"/>
              <w:right w:val="nil"/>
            </w:tcBorders>
            <w:shd w:val="clear" w:color="auto" w:fill="auto"/>
            <w:noWrap/>
            <w:vAlign w:val="bottom"/>
            <w:hideMark/>
          </w:tcPr>
          <w:p w14:paraId="0DC02DA1" w14:textId="77777777" w:rsidR="00BE6461" w:rsidRPr="00BE6461" w:rsidRDefault="00BE6461" w:rsidP="00BE6461">
            <w:pPr>
              <w:jc w:val="right"/>
              <w:rPr>
                <w:b/>
                <w:bCs/>
                <w:color w:val="333333"/>
                <w:sz w:val="20"/>
                <w:szCs w:val="20"/>
              </w:rPr>
            </w:pPr>
            <w:r w:rsidRPr="00BE6461">
              <w:rPr>
                <w:b/>
                <w:bCs/>
                <w:color w:val="333333"/>
                <w:sz w:val="20"/>
                <w:szCs w:val="20"/>
              </w:rPr>
              <w:t>106,72</w:t>
            </w:r>
          </w:p>
        </w:tc>
      </w:tr>
      <w:tr w:rsidR="00BE6461" w:rsidRPr="00BE6461" w14:paraId="19DF2805"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02BC3F4" w14:textId="77777777" w:rsidR="00BE6461" w:rsidRPr="00BE6461" w:rsidRDefault="00BE6461" w:rsidP="00BE6461">
            <w:pPr>
              <w:rPr>
                <w:b/>
                <w:bCs/>
                <w:color w:val="333333"/>
                <w:sz w:val="20"/>
                <w:szCs w:val="20"/>
              </w:rPr>
            </w:pPr>
            <w:r w:rsidRPr="00BE6461">
              <w:rPr>
                <w:b/>
                <w:bCs/>
                <w:color w:val="333333"/>
                <w:sz w:val="20"/>
                <w:szCs w:val="20"/>
              </w:rPr>
              <w:t>Izvor 3.2. VLASTITI PRIHODI - PRORAČUNSKI KORISNICI</w:t>
            </w:r>
          </w:p>
        </w:tc>
        <w:tc>
          <w:tcPr>
            <w:tcW w:w="1503" w:type="dxa"/>
            <w:tcBorders>
              <w:top w:val="nil"/>
              <w:left w:val="nil"/>
              <w:bottom w:val="nil"/>
              <w:right w:val="nil"/>
            </w:tcBorders>
            <w:shd w:val="clear" w:color="auto" w:fill="auto"/>
            <w:noWrap/>
            <w:vAlign w:val="bottom"/>
            <w:hideMark/>
          </w:tcPr>
          <w:p w14:paraId="1A093A70" w14:textId="77777777" w:rsidR="00BE6461" w:rsidRPr="00BE6461" w:rsidRDefault="00BE6461" w:rsidP="00BE6461">
            <w:pPr>
              <w:jc w:val="right"/>
              <w:rPr>
                <w:b/>
                <w:bCs/>
                <w:color w:val="333333"/>
                <w:sz w:val="20"/>
                <w:szCs w:val="20"/>
              </w:rPr>
            </w:pPr>
            <w:r w:rsidRPr="00BE6461">
              <w:rPr>
                <w:b/>
                <w:bCs/>
                <w:color w:val="333333"/>
                <w:sz w:val="20"/>
                <w:szCs w:val="20"/>
              </w:rPr>
              <w:t>23.000,00</w:t>
            </w:r>
          </w:p>
        </w:tc>
        <w:tc>
          <w:tcPr>
            <w:tcW w:w="1500" w:type="dxa"/>
            <w:tcBorders>
              <w:top w:val="nil"/>
              <w:left w:val="nil"/>
              <w:bottom w:val="nil"/>
              <w:right w:val="nil"/>
            </w:tcBorders>
            <w:shd w:val="clear" w:color="auto" w:fill="auto"/>
            <w:noWrap/>
            <w:vAlign w:val="bottom"/>
            <w:hideMark/>
          </w:tcPr>
          <w:p w14:paraId="6F13A982" w14:textId="77777777" w:rsidR="00BE6461" w:rsidRPr="00BE6461" w:rsidRDefault="00BE6461" w:rsidP="00BE6461">
            <w:pPr>
              <w:jc w:val="right"/>
              <w:rPr>
                <w:b/>
                <w:bCs/>
                <w:color w:val="333333"/>
                <w:sz w:val="20"/>
                <w:szCs w:val="20"/>
              </w:rPr>
            </w:pPr>
            <w:r w:rsidRPr="00BE6461">
              <w:rPr>
                <w:b/>
                <w:bCs/>
                <w:color w:val="333333"/>
                <w:sz w:val="20"/>
                <w:szCs w:val="20"/>
              </w:rPr>
              <w:t>24.546,00</w:t>
            </w:r>
          </w:p>
        </w:tc>
        <w:tc>
          <w:tcPr>
            <w:tcW w:w="1100" w:type="dxa"/>
            <w:tcBorders>
              <w:top w:val="nil"/>
              <w:left w:val="nil"/>
              <w:bottom w:val="nil"/>
              <w:right w:val="nil"/>
            </w:tcBorders>
            <w:shd w:val="clear" w:color="auto" w:fill="auto"/>
            <w:noWrap/>
            <w:vAlign w:val="bottom"/>
            <w:hideMark/>
          </w:tcPr>
          <w:p w14:paraId="605AE3B9" w14:textId="77777777" w:rsidR="00BE6461" w:rsidRPr="00BE6461" w:rsidRDefault="00BE6461" w:rsidP="00BE6461">
            <w:pPr>
              <w:jc w:val="right"/>
              <w:rPr>
                <w:b/>
                <w:bCs/>
                <w:color w:val="333333"/>
                <w:sz w:val="20"/>
                <w:szCs w:val="20"/>
              </w:rPr>
            </w:pPr>
            <w:r w:rsidRPr="00BE6461">
              <w:rPr>
                <w:b/>
                <w:bCs/>
                <w:color w:val="333333"/>
                <w:sz w:val="20"/>
                <w:szCs w:val="20"/>
              </w:rPr>
              <w:t>106,72</w:t>
            </w:r>
          </w:p>
        </w:tc>
      </w:tr>
      <w:tr w:rsidR="00BE6461" w:rsidRPr="00BE6461" w14:paraId="036D0134" w14:textId="77777777" w:rsidTr="00BE6461">
        <w:trPr>
          <w:trHeight w:val="300"/>
        </w:trPr>
        <w:tc>
          <w:tcPr>
            <w:tcW w:w="1703" w:type="dxa"/>
            <w:tcBorders>
              <w:top w:val="nil"/>
              <w:left w:val="nil"/>
              <w:bottom w:val="nil"/>
              <w:right w:val="nil"/>
            </w:tcBorders>
            <w:shd w:val="clear" w:color="auto" w:fill="auto"/>
            <w:noWrap/>
            <w:vAlign w:val="bottom"/>
            <w:hideMark/>
          </w:tcPr>
          <w:p w14:paraId="210F0C4E"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5957C08F"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16831EF2" w14:textId="77777777" w:rsidR="00BE6461" w:rsidRPr="00BE6461" w:rsidRDefault="00BE6461" w:rsidP="00BE6461">
            <w:pPr>
              <w:jc w:val="right"/>
              <w:rPr>
                <w:b/>
                <w:bCs/>
                <w:sz w:val="20"/>
                <w:szCs w:val="20"/>
              </w:rPr>
            </w:pPr>
            <w:r w:rsidRPr="00BE6461">
              <w:rPr>
                <w:b/>
                <w:bCs/>
                <w:sz w:val="20"/>
                <w:szCs w:val="20"/>
              </w:rPr>
              <w:t>23.000,00</w:t>
            </w:r>
          </w:p>
        </w:tc>
        <w:tc>
          <w:tcPr>
            <w:tcW w:w="1500" w:type="dxa"/>
            <w:tcBorders>
              <w:top w:val="nil"/>
              <w:left w:val="nil"/>
              <w:bottom w:val="nil"/>
              <w:right w:val="nil"/>
            </w:tcBorders>
            <w:shd w:val="clear" w:color="auto" w:fill="auto"/>
            <w:noWrap/>
            <w:vAlign w:val="bottom"/>
            <w:hideMark/>
          </w:tcPr>
          <w:p w14:paraId="3F46DA18" w14:textId="77777777" w:rsidR="00BE6461" w:rsidRPr="00BE6461" w:rsidRDefault="00BE6461" w:rsidP="00BE6461">
            <w:pPr>
              <w:jc w:val="right"/>
              <w:rPr>
                <w:b/>
                <w:bCs/>
                <w:sz w:val="20"/>
                <w:szCs w:val="20"/>
              </w:rPr>
            </w:pPr>
            <w:r w:rsidRPr="00BE6461">
              <w:rPr>
                <w:b/>
                <w:bCs/>
                <w:sz w:val="20"/>
                <w:szCs w:val="20"/>
              </w:rPr>
              <w:t>24.546,00</w:t>
            </w:r>
          </w:p>
        </w:tc>
        <w:tc>
          <w:tcPr>
            <w:tcW w:w="1100" w:type="dxa"/>
            <w:tcBorders>
              <w:top w:val="nil"/>
              <w:left w:val="nil"/>
              <w:bottom w:val="nil"/>
              <w:right w:val="nil"/>
            </w:tcBorders>
            <w:shd w:val="clear" w:color="auto" w:fill="auto"/>
            <w:noWrap/>
            <w:vAlign w:val="bottom"/>
            <w:hideMark/>
          </w:tcPr>
          <w:p w14:paraId="1C299CB1" w14:textId="77777777" w:rsidR="00BE6461" w:rsidRPr="00BE6461" w:rsidRDefault="00BE6461" w:rsidP="00BE6461">
            <w:pPr>
              <w:jc w:val="right"/>
              <w:rPr>
                <w:b/>
                <w:bCs/>
                <w:sz w:val="20"/>
                <w:szCs w:val="20"/>
              </w:rPr>
            </w:pPr>
            <w:r w:rsidRPr="00BE6461">
              <w:rPr>
                <w:b/>
                <w:bCs/>
                <w:sz w:val="20"/>
                <w:szCs w:val="20"/>
              </w:rPr>
              <w:t>106,72</w:t>
            </w:r>
          </w:p>
        </w:tc>
      </w:tr>
      <w:tr w:rsidR="00BE6461" w:rsidRPr="00BE6461" w14:paraId="6834E135" w14:textId="77777777" w:rsidTr="00BE6461">
        <w:trPr>
          <w:trHeight w:val="300"/>
        </w:trPr>
        <w:tc>
          <w:tcPr>
            <w:tcW w:w="1703" w:type="dxa"/>
            <w:tcBorders>
              <w:top w:val="nil"/>
              <w:left w:val="nil"/>
              <w:bottom w:val="nil"/>
              <w:right w:val="nil"/>
            </w:tcBorders>
            <w:shd w:val="clear" w:color="auto" w:fill="auto"/>
            <w:noWrap/>
            <w:vAlign w:val="bottom"/>
            <w:hideMark/>
          </w:tcPr>
          <w:p w14:paraId="07D3E5A3" w14:textId="77777777" w:rsidR="00BE6461" w:rsidRPr="00BE6461" w:rsidRDefault="00BE6461" w:rsidP="00BE6461">
            <w:pPr>
              <w:rPr>
                <w:sz w:val="20"/>
                <w:szCs w:val="20"/>
              </w:rPr>
            </w:pPr>
            <w:r w:rsidRPr="00BE6461">
              <w:rPr>
                <w:sz w:val="20"/>
                <w:szCs w:val="20"/>
              </w:rPr>
              <w:t>3222</w:t>
            </w:r>
          </w:p>
        </w:tc>
        <w:tc>
          <w:tcPr>
            <w:tcW w:w="8457" w:type="dxa"/>
            <w:tcBorders>
              <w:top w:val="nil"/>
              <w:left w:val="nil"/>
              <w:bottom w:val="nil"/>
              <w:right w:val="nil"/>
            </w:tcBorders>
            <w:shd w:val="clear" w:color="auto" w:fill="auto"/>
            <w:vAlign w:val="bottom"/>
            <w:hideMark/>
          </w:tcPr>
          <w:p w14:paraId="671D451A" w14:textId="77777777" w:rsidR="00BE6461" w:rsidRPr="00BE6461" w:rsidRDefault="00BE6461" w:rsidP="00BE6461">
            <w:pPr>
              <w:rPr>
                <w:sz w:val="20"/>
                <w:szCs w:val="20"/>
              </w:rPr>
            </w:pPr>
            <w:r w:rsidRPr="00BE6461">
              <w:rPr>
                <w:sz w:val="20"/>
                <w:szCs w:val="20"/>
              </w:rPr>
              <w:t xml:space="preserve">Materijal i sirovine                                                                                </w:t>
            </w:r>
          </w:p>
        </w:tc>
        <w:tc>
          <w:tcPr>
            <w:tcW w:w="1503" w:type="dxa"/>
            <w:tcBorders>
              <w:top w:val="nil"/>
              <w:left w:val="nil"/>
              <w:bottom w:val="nil"/>
              <w:right w:val="nil"/>
            </w:tcBorders>
            <w:shd w:val="clear" w:color="auto" w:fill="auto"/>
            <w:noWrap/>
            <w:vAlign w:val="bottom"/>
            <w:hideMark/>
          </w:tcPr>
          <w:p w14:paraId="68F0DAB2"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B02E036" w14:textId="77777777" w:rsidR="00BE6461" w:rsidRPr="00BE6461" w:rsidRDefault="00BE6461" w:rsidP="00BE6461">
            <w:pPr>
              <w:jc w:val="right"/>
              <w:rPr>
                <w:sz w:val="20"/>
                <w:szCs w:val="20"/>
              </w:rPr>
            </w:pPr>
            <w:r w:rsidRPr="00BE6461">
              <w:rPr>
                <w:sz w:val="20"/>
                <w:szCs w:val="20"/>
              </w:rPr>
              <w:t>24.546,00</w:t>
            </w:r>
          </w:p>
        </w:tc>
        <w:tc>
          <w:tcPr>
            <w:tcW w:w="1100" w:type="dxa"/>
            <w:tcBorders>
              <w:top w:val="nil"/>
              <w:left w:val="nil"/>
              <w:bottom w:val="nil"/>
              <w:right w:val="nil"/>
            </w:tcBorders>
            <w:shd w:val="clear" w:color="auto" w:fill="auto"/>
            <w:noWrap/>
            <w:vAlign w:val="bottom"/>
            <w:hideMark/>
          </w:tcPr>
          <w:p w14:paraId="386079FE" w14:textId="77777777" w:rsidR="00BE6461" w:rsidRPr="00BE6461" w:rsidRDefault="00BE6461" w:rsidP="00BE6461">
            <w:pPr>
              <w:jc w:val="right"/>
              <w:rPr>
                <w:sz w:val="20"/>
                <w:szCs w:val="20"/>
              </w:rPr>
            </w:pPr>
          </w:p>
        </w:tc>
      </w:tr>
      <w:tr w:rsidR="00BE6461" w:rsidRPr="00BE6461" w14:paraId="180D203C"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FB0A996"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4766B895" w14:textId="77777777" w:rsidR="00BE6461" w:rsidRPr="00BE6461" w:rsidRDefault="00BE6461" w:rsidP="00BE6461">
            <w:pPr>
              <w:jc w:val="right"/>
              <w:rPr>
                <w:b/>
                <w:bCs/>
                <w:color w:val="333333"/>
                <w:sz w:val="20"/>
                <w:szCs w:val="20"/>
              </w:rPr>
            </w:pPr>
            <w:r w:rsidRPr="00BE6461">
              <w:rPr>
                <w:b/>
                <w:bCs/>
                <w:color w:val="333333"/>
                <w:sz w:val="20"/>
                <w:szCs w:val="20"/>
              </w:rPr>
              <w:t>301.000,00</w:t>
            </w:r>
          </w:p>
        </w:tc>
        <w:tc>
          <w:tcPr>
            <w:tcW w:w="1500" w:type="dxa"/>
            <w:tcBorders>
              <w:top w:val="nil"/>
              <w:left w:val="nil"/>
              <w:bottom w:val="nil"/>
              <w:right w:val="nil"/>
            </w:tcBorders>
            <w:shd w:val="clear" w:color="auto" w:fill="auto"/>
            <w:noWrap/>
            <w:vAlign w:val="bottom"/>
            <w:hideMark/>
          </w:tcPr>
          <w:p w14:paraId="4AC404D8" w14:textId="77777777" w:rsidR="00BE6461" w:rsidRPr="00BE6461" w:rsidRDefault="00BE6461" w:rsidP="00BE6461">
            <w:pPr>
              <w:jc w:val="right"/>
              <w:rPr>
                <w:b/>
                <w:bCs/>
                <w:color w:val="333333"/>
                <w:sz w:val="20"/>
                <w:szCs w:val="20"/>
              </w:rPr>
            </w:pPr>
            <w:r w:rsidRPr="00BE6461">
              <w:rPr>
                <w:b/>
                <w:bCs/>
                <w:color w:val="333333"/>
                <w:sz w:val="20"/>
                <w:szCs w:val="20"/>
              </w:rPr>
              <w:t>310.930,54</w:t>
            </w:r>
          </w:p>
        </w:tc>
        <w:tc>
          <w:tcPr>
            <w:tcW w:w="1100" w:type="dxa"/>
            <w:tcBorders>
              <w:top w:val="nil"/>
              <w:left w:val="nil"/>
              <w:bottom w:val="nil"/>
              <w:right w:val="nil"/>
            </w:tcBorders>
            <w:shd w:val="clear" w:color="auto" w:fill="auto"/>
            <w:noWrap/>
            <w:vAlign w:val="bottom"/>
            <w:hideMark/>
          </w:tcPr>
          <w:p w14:paraId="5CFAAEB4" w14:textId="77777777" w:rsidR="00BE6461" w:rsidRPr="00BE6461" w:rsidRDefault="00BE6461" w:rsidP="00BE6461">
            <w:pPr>
              <w:jc w:val="right"/>
              <w:rPr>
                <w:b/>
                <w:bCs/>
                <w:color w:val="333333"/>
                <w:sz w:val="20"/>
                <w:szCs w:val="20"/>
              </w:rPr>
            </w:pPr>
            <w:r w:rsidRPr="00BE6461">
              <w:rPr>
                <w:b/>
                <w:bCs/>
                <w:color w:val="333333"/>
                <w:sz w:val="20"/>
                <w:szCs w:val="20"/>
              </w:rPr>
              <w:t>103,30</w:t>
            </w:r>
          </w:p>
        </w:tc>
      </w:tr>
      <w:tr w:rsidR="00BE6461" w:rsidRPr="00BE6461" w14:paraId="47F110E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A9A6667" w14:textId="77777777" w:rsidR="00BE6461" w:rsidRPr="00BE6461" w:rsidRDefault="00BE6461" w:rsidP="00BE6461">
            <w:pPr>
              <w:rPr>
                <w:b/>
                <w:bCs/>
                <w:color w:val="333333"/>
                <w:sz w:val="20"/>
                <w:szCs w:val="20"/>
              </w:rPr>
            </w:pPr>
            <w:r w:rsidRPr="00BE6461">
              <w:rPr>
                <w:b/>
                <w:bCs/>
                <w:color w:val="333333"/>
                <w:sz w:val="20"/>
                <w:szCs w:val="20"/>
              </w:rPr>
              <w:t>Izvor 4.7. PRIHODI POSEBNE NAMJENE - PRORAČUNSKI KORISNICI</w:t>
            </w:r>
          </w:p>
        </w:tc>
        <w:tc>
          <w:tcPr>
            <w:tcW w:w="1503" w:type="dxa"/>
            <w:tcBorders>
              <w:top w:val="nil"/>
              <w:left w:val="nil"/>
              <w:bottom w:val="nil"/>
              <w:right w:val="nil"/>
            </w:tcBorders>
            <w:shd w:val="clear" w:color="auto" w:fill="auto"/>
            <w:noWrap/>
            <w:vAlign w:val="bottom"/>
            <w:hideMark/>
          </w:tcPr>
          <w:p w14:paraId="205757A2" w14:textId="77777777" w:rsidR="00BE6461" w:rsidRPr="00BE6461" w:rsidRDefault="00BE6461" w:rsidP="00BE6461">
            <w:pPr>
              <w:jc w:val="right"/>
              <w:rPr>
                <w:b/>
                <w:bCs/>
                <w:color w:val="333333"/>
                <w:sz w:val="20"/>
                <w:szCs w:val="20"/>
              </w:rPr>
            </w:pPr>
            <w:r w:rsidRPr="00BE6461">
              <w:rPr>
                <w:b/>
                <w:bCs/>
                <w:color w:val="333333"/>
                <w:sz w:val="20"/>
                <w:szCs w:val="20"/>
              </w:rPr>
              <w:t>301.000,00</w:t>
            </w:r>
          </w:p>
        </w:tc>
        <w:tc>
          <w:tcPr>
            <w:tcW w:w="1500" w:type="dxa"/>
            <w:tcBorders>
              <w:top w:val="nil"/>
              <w:left w:val="nil"/>
              <w:bottom w:val="nil"/>
              <w:right w:val="nil"/>
            </w:tcBorders>
            <w:shd w:val="clear" w:color="auto" w:fill="auto"/>
            <w:noWrap/>
            <w:vAlign w:val="bottom"/>
            <w:hideMark/>
          </w:tcPr>
          <w:p w14:paraId="51C9B000" w14:textId="77777777" w:rsidR="00BE6461" w:rsidRPr="00BE6461" w:rsidRDefault="00BE6461" w:rsidP="00BE6461">
            <w:pPr>
              <w:jc w:val="right"/>
              <w:rPr>
                <w:b/>
                <w:bCs/>
                <w:color w:val="333333"/>
                <w:sz w:val="20"/>
                <w:szCs w:val="20"/>
              </w:rPr>
            </w:pPr>
            <w:r w:rsidRPr="00BE6461">
              <w:rPr>
                <w:b/>
                <w:bCs/>
                <w:color w:val="333333"/>
                <w:sz w:val="20"/>
                <w:szCs w:val="20"/>
              </w:rPr>
              <w:t>310.930,54</w:t>
            </w:r>
          </w:p>
        </w:tc>
        <w:tc>
          <w:tcPr>
            <w:tcW w:w="1100" w:type="dxa"/>
            <w:tcBorders>
              <w:top w:val="nil"/>
              <w:left w:val="nil"/>
              <w:bottom w:val="nil"/>
              <w:right w:val="nil"/>
            </w:tcBorders>
            <w:shd w:val="clear" w:color="auto" w:fill="auto"/>
            <w:noWrap/>
            <w:vAlign w:val="bottom"/>
            <w:hideMark/>
          </w:tcPr>
          <w:p w14:paraId="4171DB26" w14:textId="77777777" w:rsidR="00BE6461" w:rsidRPr="00BE6461" w:rsidRDefault="00BE6461" w:rsidP="00BE6461">
            <w:pPr>
              <w:jc w:val="right"/>
              <w:rPr>
                <w:b/>
                <w:bCs/>
                <w:color w:val="333333"/>
                <w:sz w:val="20"/>
                <w:szCs w:val="20"/>
              </w:rPr>
            </w:pPr>
            <w:r w:rsidRPr="00BE6461">
              <w:rPr>
                <w:b/>
                <w:bCs/>
                <w:color w:val="333333"/>
                <w:sz w:val="20"/>
                <w:szCs w:val="20"/>
              </w:rPr>
              <w:t>103,30</w:t>
            </w:r>
          </w:p>
        </w:tc>
      </w:tr>
      <w:tr w:rsidR="00BE6461" w:rsidRPr="00BE6461" w14:paraId="47C0F210" w14:textId="77777777" w:rsidTr="00BE6461">
        <w:trPr>
          <w:trHeight w:val="300"/>
        </w:trPr>
        <w:tc>
          <w:tcPr>
            <w:tcW w:w="1703" w:type="dxa"/>
            <w:tcBorders>
              <w:top w:val="nil"/>
              <w:left w:val="nil"/>
              <w:bottom w:val="nil"/>
              <w:right w:val="nil"/>
            </w:tcBorders>
            <w:shd w:val="clear" w:color="auto" w:fill="auto"/>
            <w:noWrap/>
            <w:vAlign w:val="bottom"/>
            <w:hideMark/>
          </w:tcPr>
          <w:p w14:paraId="06224E6E"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6D2783A3"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1FF1EE77" w14:textId="77777777" w:rsidR="00BE6461" w:rsidRPr="00BE6461" w:rsidRDefault="00BE6461" w:rsidP="00BE6461">
            <w:pPr>
              <w:jc w:val="right"/>
              <w:rPr>
                <w:b/>
                <w:bCs/>
                <w:sz w:val="20"/>
                <w:szCs w:val="20"/>
              </w:rPr>
            </w:pPr>
            <w:r w:rsidRPr="00BE6461">
              <w:rPr>
                <w:b/>
                <w:bCs/>
                <w:sz w:val="20"/>
                <w:szCs w:val="20"/>
              </w:rPr>
              <w:t>301.000,00</w:t>
            </w:r>
          </w:p>
        </w:tc>
        <w:tc>
          <w:tcPr>
            <w:tcW w:w="1500" w:type="dxa"/>
            <w:tcBorders>
              <w:top w:val="nil"/>
              <w:left w:val="nil"/>
              <w:bottom w:val="nil"/>
              <w:right w:val="nil"/>
            </w:tcBorders>
            <w:shd w:val="clear" w:color="auto" w:fill="auto"/>
            <w:noWrap/>
            <w:vAlign w:val="bottom"/>
            <w:hideMark/>
          </w:tcPr>
          <w:p w14:paraId="1F561496" w14:textId="77777777" w:rsidR="00BE6461" w:rsidRPr="00BE6461" w:rsidRDefault="00BE6461" w:rsidP="00BE6461">
            <w:pPr>
              <w:jc w:val="right"/>
              <w:rPr>
                <w:b/>
                <w:bCs/>
                <w:sz w:val="20"/>
                <w:szCs w:val="20"/>
              </w:rPr>
            </w:pPr>
            <w:r w:rsidRPr="00BE6461">
              <w:rPr>
                <w:b/>
                <w:bCs/>
                <w:sz w:val="20"/>
                <w:szCs w:val="20"/>
              </w:rPr>
              <w:t>310.930,54</w:t>
            </w:r>
          </w:p>
        </w:tc>
        <w:tc>
          <w:tcPr>
            <w:tcW w:w="1100" w:type="dxa"/>
            <w:tcBorders>
              <w:top w:val="nil"/>
              <w:left w:val="nil"/>
              <w:bottom w:val="nil"/>
              <w:right w:val="nil"/>
            </w:tcBorders>
            <w:shd w:val="clear" w:color="auto" w:fill="auto"/>
            <w:noWrap/>
            <w:vAlign w:val="bottom"/>
            <w:hideMark/>
          </w:tcPr>
          <w:p w14:paraId="446091AA" w14:textId="77777777" w:rsidR="00BE6461" w:rsidRPr="00BE6461" w:rsidRDefault="00BE6461" w:rsidP="00BE6461">
            <w:pPr>
              <w:jc w:val="right"/>
              <w:rPr>
                <w:b/>
                <w:bCs/>
                <w:sz w:val="20"/>
                <w:szCs w:val="20"/>
              </w:rPr>
            </w:pPr>
            <w:r w:rsidRPr="00BE6461">
              <w:rPr>
                <w:b/>
                <w:bCs/>
                <w:sz w:val="20"/>
                <w:szCs w:val="20"/>
              </w:rPr>
              <w:t>103,30</w:t>
            </w:r>
          </w:p>
        </w:tc>
      </w:tr>
      <w:tr w:rsidR="00BE6461" w:rsidRPr="00BE6461" w14:paraId="73EBC938" w14:textId="77777777" w:rsidTr="00BE6461">
        <w:trPr>
          <w:trHeight w:val="300"/>
        </w:trPr>
        <w:tc>
          <w:tcPr>
            <w:tcW w:w="1703" w:type="dxa"/>
            <w:tcBorders>
              <w:top w:val="nil"/>
              <w:left w:val="nil"/>
              <w:bottom w:val="nil"/>
              <w:right w:val="nil"/>
            </w:tcBorders>
            <w:shd w:val="clear" w:color="auto" w:fill="auto"/>
            <w:noWrap/>
            <w:vAlign w:val="bottom"/>
            <w:hideMark/>
          </w:tcPr>
          <w:p w14:paraId="50131858" w14:textId="77777777" w:rsidR="00BE6461" w:rsidRPr="00BE6461" w:rsidRDefault="00BE6461" w:rsidP="00BE6461">
            <w:pPr>
              <w:rPr>
                <w:sz w:val="20"/>
                <w:szCs w:val="20"/>
              </w:rPr>
            </w:pPr>
            <w:r w:rsidRPr="00BE6461">
              <w:rPr>
                <w:sz w:val="20"/>
                <w:szCs w:val="20"/>
              </w:rPr>
              <w:t>3222</w:t>
            </w:r>
          </w:p>
        </w:tc>
        <w:tc>
          <w:tcPr>
            <w:tcW w:w="8457" w:type="dxa"/>
            <w:tcBorders>
              <w:top w:val="nil"/>
              <w:left w:val="nil"/>
              <w:bottom w:val="nil"/>
              <w:right w:val="nil"/>
            </w:tcBorders>
            <w:shd w:val="clear" w:color="auto" w:fill="auto"/>
            <w:vAlign w:val="bottom"/>
            <w:hideMark/>
          </w:tcPr>
          <w:p w14:paraId="0799BB38" w14:textId="77777777" w:rsidR="00BE6461" w:rsidRPr="00BE6461" w:rsidRDefault="00BE6461" w:rsidP="00BE6461">
            <w:pPr>
              <w:rPr>
                <w:sz w:val="20"/>
                <w:szCs w:val="20"/>
              </w:rPr>
            </w:pPr>
            <w:r w:rsidRPr="00BE6461">
              <w:rPr>
                <w:sz w:val="20"/>
                <w:szCs w:val="20"/>
              </w:rPr>
              <w:t xml:space="preserve">Materijal i sirovine                                                                                </w:t>
            </w:r>
          </w:p>
        </w:tc>
        <w:tc>
          <w:tcPr>
            <w:tcW w:w="1503" w:type="dxa"/>
            <w:tcBorders>
              <w:top w:val="nil"/>
              <w:left w:val="nil"/>
              <w:bottom w:val="nil"/>
              <w:right w:val="nil"/>
            </w:tcBorders>
            <w:shd w:val="clear" w:color="auto" w:fill="auto"/>
            <w:noWrap/>
            <w:vAlign w:val="bottom"/>
            <w:hideMark/>
          </w:tcPr>
          <w:p w14:paraId="2FAFFF4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DE02507" w14:textId="77777777" w:rsidR="00BE6461" w:rsidRPr="00BE6461" w:rsidRDefault="00BE6461" w:rsidP="00BE6461">
            <w:pPr>
              <w:jc w:val="right"/>
              <w:rPr>
                <w:sz w:val="20"/>
                <w:szCs w:val="20"/>
              </w:rPr>
            </w:pPr>
            <w:r w:rsidRPr="00BE6461">
              <w:rPr>
                <w:sz w:val="20"/>
                <w:szCs w:val="20"/>
              </w:rPr>
              <w:t>310.930,54</w:t>
            </w:r>
          </w:p>
        </w:tc>
        <w:tc>
          <w:tcPr>
            <w:tcW w:w="1100" w:type="dxa"/>
            <w:tcBorders>
              <w:top w:val="nil"/>
              <w:left w:val="nil"/>
              <w:bottom w:val="nil"/>
              <w:right w:val="nil"/>
            </w:tcBorders>
            <w:shd w:val="clear" w:color="auto" w:fill="auto"/>
            <w:noWrap/>
            <w:vAlign w:val="bottom"/>
            <w:hideMark/>
          </w:tcPr>
          <w:p w14:paraId="6AF92ACC" w14:textId="77777777" w:rsidR="00BE6461" w:rsidRPr="00BE6461" w:rsidRDefault="00BE6461" w:rsidP="00BE6461">
            <w:pPr>
              <w:jc w:val="right"/>
              <w:rPr>
                <w:sz w:val="20"/>
                <w:szCs w:val="20"/>
              </w:rPr>
            </w:pPr>
          </w:p>
        </w:tc>
      </w:tr>
      <w:tr w:rsidR="00BE6461" w:rsidRPr="00BE6461" w14:paraId="4EF3C779"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379365F3" w14:textId="77777777" w:rsidR="00BE6461" w:rsidRPr="00BE6461" w:rsidRDefault="00BE6461" w:rsidP="00BE6461">
            <w:pPr>
              <w:rPr>
                <w:b/>
                <w:bCs/>
                <w:sz w:val="20"/>
                <w:szCs w:val="20"/>
              </w:rPr>
            </w:pPr>
            <w:r w:rsidRPr="00BE6461">
              <w:rPr>
                <w:b/>
                <w:bCs/>
                <w:sz w:val="20"/>
                <w:szCs w:val="20"/>
              </w:rPr>
              <w:t>A100090</w:t>
            </w:r>
          </w:p>
        </w:tc>
        <w:tc>
          <w:tcPr>
            <w:tcW w:w="8457" w:type="dxa"/>
            <w:tcBorders>
              <w:top w:val="single" w:sz="4" w:space="0" w:color="auto"/>
              <w:left w:val="nil"/>
              <w:bottom w:val="single" w:sz="4" w:space="0" w:color="auto"/>
              <w:right w:val="nil"/>
            </w:tcBorders>
            <w:shd w:val="clear" w:color="auto" w:fill="auto"/>
            <w:vAlign w:val="bottom"/>
            <w:hideMark/>
          </w:tcPr>
          <w:p w14:paraId="2CBAF7D1" w14:textId="77777777" w:rsidR="00BE6461" w:rsidRPr="00BE6461" w:rsidRDefault="00BE6461" w:rsidP="00BE6461">
            <w:pPr>
              <w:rPr>
                <w:b/>
                <w:bCs/>
                <w:sz w:val="20"/>
                <w:szCs w:val="20"/>
              </w:rPr>
            </w:pPr>
            <w:r w:rsidRPr="00BE6461">
              <w:rPr>
                <w:b/>
                <w:bCs/>
                <w:sz w:val="20"/>
                <w:szCs w:val="20"/>
              </w:rPr>
              <w:t>Aktivnost: IZLETI I TEMATSKI VEZANA PUTOVANJA DJECE</w:t>
            </w:r>
          </w:p>
        </w:tc>
        <w:tc>
          <w:tcPr>
            <w:tcW w:w="1503" w:type="dxa"/>
            <w:tcBorders>
              <w:top w:val="single" w:sz="4" w:space="0" w:color="auto"/>
              <w:left w:val="nil"/>
              <w:bottom w:val="single" w:sz="4" w:space="0" w:color="auto"/>
              <w:right w:val="nil"/>
            </w:tcBorders>
            <w:shd w:val="clear" w:color="auto" w:fill="auto"/>
            <w:noWrap/>
            <w:vAlign w:val="bottom"/>
            <w:hideMark/>
          </w:tcPr>
          <w:p w14:paraId="1BC1CCEB" w14:textId="77777777" w:rsidR="00BE6461" w:rsidRPr="00BE6461" w:rsidRDefault="00BE6461" w:rsidP="00BE6461">
            <w:pPr>
              <w:jc w:val="right"/>
              <w:rPr>
                <w:b/>
                <w:bCs/>
                <w:sz w:val="20"/>
                <w:szCs w:val="20"/>
              </w:rPr>
            </w:pPr>
            <w:r w:rsidRPr="00BE6461">
              <w:rPr>
                <w:b/>
                <w:bCs/>
                <w:sz w:val="20"/>
                <w:szCs w:val="20"/>
              </w:rPr>
              <w:t>38.244,56</w:t>
            </w:r>
          </w:p>
        </w:tc>
        <w:tc>
          <w:tcPr>
            <w:tcW w:w="1500" w:type="dxa"/>
            <w:tcBorders>
              <w:top w:val="single" w:sz="4" w:space="0" w:color="auto"/>
              <w:left w:val="nil"/>
              <w:bottom w:val="single" w:sz="4" w:space="0" w:color="auto"/>
              <w:right w:val="nil"/>
            </w:tcBorders>
            <w:shd w:val="clear" w:color="auto" w:fill="auto"/>
            <w:noWrap/>
            <w:vAlign w:val="bottom"/>
            <w:hideMark/>
          </w:tcPr>
          <w:p w14:paraId="74DF0B7D" w14:textId="77777777" w:rsidR="00BE6461" w:rsidRPr="00BE6461" w:rsidRDefault="00BE6461" w:rsidP="00BE6461">
            <w:pPr>
              <w:jc w:val="right"/>
              <w:rPr>
                <w:b/>
                <w:bCs/>
                <w:sz w:val="20"/>
                <w:szCs w:val="20"/>
              </w:rPr>
            </w:pPr>
            <w:r w:rsidRPr="00BE6461">
              <w:rPr>
                <w:b/>
                <w:bCs/>
                <w:sz w:val="20"/>
                <w:szCs w:val="20"/>
              </w:rPr>
              <w:t>37.644,56</w:t>
            </w:r>
          </w:p>
        </w:tc>
        <w:tc>
          <w:tcPr>
            <w:tcW w:w="1100" w:type="dxa"/>
            <w:tcBorders>
              <w:top w:val="single" w:sz="4" w:space="0" w:color="auto"/>
              <w:left w:val="nil"/>
              <w:bottom w:val="single" w:sz="4" w:space="0" w:color="auto"/>
              <w:right w:val="nil"/>
            </w:tcBorders>
            <w:shd w:val="clear" w:color="auto" w:fill="auto"/>
            <w:noWrap/>
            <w:vAlign w:val="bottom"/>
            <w:hideMark/>
          </w:tcPr>
          <w:p w14:paraId="2BC8BC7D" w14:textId="77777777" w:rsidR="00BE6461" w:rsidRPr="00BE6461" w:rsidRDefault="00BE6461" w:rsidP="00BE6461">
            <w:pPr>
              <w:jc w:val="right"/>
              <w:rPr>
                <w:b/>
                <w:bCs/>
                <w:sz w:val="20"/>
                <w:szCs w:val="20"/>
              </w:rPr>
            </w:pPr>
            <w:r w:rsidRPr="00BE6461">
              <w:rPr>
                <w:b/>
                <w:bCs/>
                <w:sz w:val="20"/>
                <w:szCs w:val="20"/>
              </w:rPr>
              <w:t>98,43</w:t>
            </w:r>
          </w:p>
        </w:tc>
      </w:tr>
      <w:tr w:rsidR="00BE6461" w:rsidRPr="00BE6461" w14:paraId="0CEB0AD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9385268"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00BE5DBD" w14:textId="77777777" w:rsidR="00BE6461" w:rsidRPr="00BE6461" w:rsidRDefault="00BE6461" w:rsidP="00BE6461">
            <w:pPr>
              <w:jc w:val="right"/>
              <w:rPr>
                <w:b/>
                <w:bCs/>
                <w:color w:val="333333"/>
                <w:sz w:val="20"/>
                <w:szCs w:val="20"/>
              </w:rPr>
            </w:pPr>
            <w:r w:rsidRPr="00BE6461">
              <w:rPr>
                <w:b/>
                <w:bCs/>
                <w:color w:val="333333"/>
                <w:sz w:val="20"/>
                <w:szCs w:val="20"/>
              </w:rPr>
              <w:t>38.244,56</w:t>
            </w:r>
          </w:p>
        </w:tc>
        <w:tc>
          <w:tcPr>
            <w:tcW w:w="1500" w:type="dxa"/>
            <w:tcBorders>
              <w:top w:val="nil"/>
              <w:left w:val="nil"/>
              <w:bottom w:val="nil"/>
              <w:right w:val="nil"/>
            </w:tcBorders>
            <w:shd w:val="clear" w:color="auto" w:fill="auto"/>
            <w:noWrap/>
            <w:vAlign w:val="bottom"/>
            <w:hideMark/>
          </w:tcPr>
          <w:p w14:paraId="221EDC2D" w14:textId="77777777" w:rsidR="00BE6461" w:rsidRPr="00BE6461" w:rsidRDefault="00BE6461" w:rsidP="00BE6461">
            <w:pPr>
              <w:jc w:val="right"/>
              <w:rPr>
                <w:b/>
                <w:bCs/>
                <w:color w:val="333333"/>
                <w:sz w:val="20"/>
                <w:szCs w:val="20"/>
              </w:rPr>
            </w:pPr>
            <w:r w:rsidRPr="00BE6461">
              <w:rPr>
                <w:b/>
                <w:bCs/>
                <w:color w:val="333333"/>
                <w:sz w:val="20"/>
                <w:szCs w:val="20"/>
              </w:rPr>
              <w:t>37.644,56</w:t>
            </w:r>
          </w:p>
        </w:tc>
        <w:tc>
          <w:tcPr>
            <w:tcW w:w="1100" w:type="dxa"/>
            <w:tcBorders>
              <w:top w:val="nil"/>
              <w:left w:val="nil"/>
              <w:bottom w:val="nil"/>
              <w:right w:val="nil"/>
            </w:tcBorders>
            <w:shd w:val="clear" w:color="auto" w:fill="auto"/>
            <w:noWrap/>
            <w:vAlign w:val="bottom"/>
            <w:hideMark/>
          </w:tcPr>
          <w:p w14:paraId="14F16CE3" w14:textId="77777777" w:rsidR="00BE6461" w:rsidRPr="00BE6461" w:rsidRDefault="00BE6461" w:rsidP="00BE6461">
            <w:pPr>
              <w:jc w:val="right"/>
              <w:rPr>
                <w:b/>
                <w:bCs/>
                <w:color w:val="333333"/>
                <w:sz w:val="20"/>
                <w:szCs w:val="20"/>
              </w:rPr>
            </w:pPr>
            <w:r w:rsidRPr="00BE6461">
              <w:rPr>
                <w:b/>
                <w:bCs/>
                <w:color w:val="333333"/>
                <w:sz w:val="20"/>
                <w:szCs w:val="20"/>
              </w:rPr>
              <w:t>98,43</w:t>
            </w:r>
          </w:p>
        </w:tc>
      </w:tr>
      <w:tr w:rsidR="00BE6461" w:rsidRPr="00BE6461" w14:paraId="42DA2F1A"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00B5EB7" w14:textId="77777777" w:rsidR="00BE6461" w:rsidRPr="00BE6461" w:rsidRDefault="00BE6461" w:rsidP="00BE6461">
            <w:pPr>
              <w:rPr>
                <w:b/>
                <w:bCs/>
                <w:color w:val="333333"/>
                <w:sz w:val="20"/>
                <w:szCs w:val="20"/>
              </w:rPr>
            </w:pPr>
            <w:r w:rsidRPr="00BE6461">
              <w:rPr>
                <w:b/>
                <w:bCs/>
                <w:color w:val="333333"/>
                <w:sz w:val="20"/>
                <w:szCs w:val="20"/>
              </w:rPr>
              <w:t>Izvor 4.7. PRIHODI POSEBNE NAMJENE - PRORAČUNSKI KORISNICI</w:t>
            </w:r>
          </w:p>
        </w:tc>
        <w:tc>
          <w:tcPr>
            <w:tcW w:w="1503" w:type="dxa"/>
            <w:tcBorders>
              <w:top w:val="nil"/>
              <w:left w:val="nil"/>
              <w:bottom w:val="nil"/>
              <w:right w:val="nil"/>
            </w:tcBorders>
            <w:shd w:val="clear" w:color="auto" w:fill="auto"/>
            <w:noWrap/>
            <w:vAlign w:val="bottom"/>
            <w:hideMark/>
          </w:tcPr>
          <w:p w14:paraId="3F3D5FB2" w14:textId="77777777" w:rsidR="00BE6461" w:rsidRPr="00BE6461" w:rsidRDefault="00BE6461" w:rsidP="00BE6461">
            <w:pPr>
              <w:jc w:val="right"/>
              <w:rPr>
                <w:b/>
                <w:bCs/>
                <w:color w:val="333333"/>
                <w:sz w:val="20"/>
                <w:szCs w:val="20"/>
              </w:rPr>
            </w:pPr>
            <w:r w:rsidRPr="00BE6461">
              <w:rPr>
                <w:b/>
                <w:bCs/>
                <w:color w:val="333333"/>
                <w:sz w:val="20"/>
                <w:szCs w:val="20"/>
              </w:rPr>
              <w:t>38.244,56</w:t>
            </w:r>
          </w:p>
        </w:tc>
        <w:tc>
          <w:tcPr>
            <w:tcW w:w="1500" w:type="dxa"/>
            <w:tcBorders>
              <w:top w:val="nil"/>
              <w:left w:val="nil"/>
              <w:bottom w:val="nil"/>
              <w:right w:val="nil"/>
            </w:tcBorders>
            <w:shd w:val="clear" w:color="auto" w:fill="auto"/>
            <w:noWrap/>
            <w:vAlign w:val="bottom"/>
            <w:hideMark/>
          </w:tcPr>
          <w:p w14:paraId="308CFD41" w14:textId="77777777" w:rsidR="00BE6461" w:rsidRPr="00BE6461" w:rsidRDefault="00BE6461" w:rsidP="00BE6461">
            <w:pPr>
              <w:jc w:val="right"/>
              <w:rPr>
                <w:b/>
                <w:bCs/>
                <w:color w:val="333333"/>
                <w:sz w:val="20"/>
                <w:szCs w:val="20"/>
              </w:rPr>
            </w:pPr>
            <w:r w:rsidRPr="00BE6461">
              <w:rPr>
                <w:b/>
                <w:bCs/>
                <w:color w:val="333333"/>
                <w:sz w:val="20"/>
                <w:szCs w:val="20"/>
              </w:rPr>
              <w:t>37.644,56</w:t>
            </w:r>
          </w:p>
        </w:tc>
        <w:tc>
          <w:tcPr>
            <w:tcW w:w="1100" w:type="dxa"/>
            <w:tcBorders>
              <w:top w:val="nil"/>
              <w:left w:val="nil"/>
              <w:bottom w:val="nil"/>
              <w:right w:val="nil"/>
            </w:tcBorders>
            <w:shd w:val="clear" w:color="auto" w:fill="auto"/>
            <w:noWrap/>
            <w:vAlign w:val="bottom"/>
            <w:hideMark/>
          </w:tcPr>
          <w:p w14:paraId="2BDC70A5" w14:textId="77777777" w:rsidR="00BE6461" w:rsidRPr="00BE6461" w:rsidRDefault="00BE6461" w:rsidP="00BE6461">
            <w:pPr>
              <w:jc w:val="right"/>
              <w:rPr>
                <w:b/>
                <w:bCs/>
                <w:color w:val="333333"/>
                <w:sz w:val="20"/>
                <w:szCs w:val="20"/>
              </w:rPr>
            </w:pPr>
            <w:r w:rsidRPr="00BE6461">
              <w:rPr>
                <w:b/>
                <w:bCs/>
                <w:color w:val="333333"/>
                <w:sz w:val="20"/>
                <w:szCs w:val="20"/>
              </w:rPr>
              <w:t>98,43</w:t>
            </w:r>
          </w:p>
        </w:tc>
      </w:tr>
      <w:tr w:rsidR="00BE6461" w:rsidRPr="00BE6461" w14:paraId="6EBEFC4B" w14:textId="77777777" w:rsidTr="00BE6461">
        <w:trPr>
          <w:trHeight w:val="300"/>
        </w:trPr>
        <w:tc>
          <w:tcPr>
            <w:tcW w:w="1703" w:type="dxa"/>
            <w:tcBorders>
              <w:top w:val="nil"/>
              <w:left w:val="nil"/>
              <w:bottom w:val="nil"/>
              <w:right w:val="nil"/>
            </w:tcBorders>
            <w:shd w:val="clear" w:color="auto" w:fill="auto"/>
            <w:noWrap/>
            <w:vAlign w:val="bottom"/>
            <w:hideMark/>
          </w:tcPr>
          <w:p w14:paraId="474DC506"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0D8C4316"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58F6568B" w14:textId="77777777" w:rsidR="00BE6461" w:rsidRPr="00BE6461" w:rsidRDefault="00BE6461" w:rsidP="00BE6461">
            <w:pPr>
              <w:jc w:val="right"/>
              <w:rPr>
                <w:b/>
                <w:bCs/>
                <w:sz w:val="20"/>
                <w:szCs w:val="20"/>
              </w:rPr>
            </w:pPr>
            <w:r w:rsidRPr="00BE6461">
              <w:rPr>
                <w:b/>
                <w:bCs/>
                <w:sz w:val="20"/>
                <w:szCs w:val="20"/>
              </w:rPr>
              <w:t>38.244,56</w:t>
            </w:r>
          </w:p>
        </w:tc>
        <w:tc>
          <w:tcPr>
            <w:tcW w:w="1500" w:type="dxa"/>
            <w:tcBorders>
              <w:top w:val="nil"/>
              <w:left w:val="nil"/>
              <w:bottom w:val="nil"/>
              <w:right w:val="nil"/>
            </w:tcBorders>
            <w:shd w:val="clear" w:color="auto" w:fill="auto"/>
            <w:noWrap/>
            <w:vAlign w:val="bottom"/>
            <w:hideMark/>
          </w:tcPr>
          <w:p w14:paraId="7D62EB22" w14:textId="77777777" w:rsidR="00BE6461" w:rsidRPr="00BE6461" w:rsidRDefault="00BE6461" w:rsidP="00BE6461">
            <w:pPr>
              <w:jc w:val="right"/>
              <w:rPr>
                <w:b/>
                <w:bCs/>
                <w:sz w:val="20"/>
                <w:szCs w:val="20"/>
              </w:rPr>
            </w:pPr>
            <w:r w:rsidRPr="00BE6461">
              <w:rPr>
                <w:b/>
                <w:bCs/>
                <w:sz w:val="20"/>
                <w:szCs w:val="20"/>
              </w:rPr>
              <w:t>37.644,56</w:t>
            </w:r>
          </w:p>
        </w:tc>
        <w:tc>
          <w:tcPr>
            <w:tcW w:w="1100" w:type="dxa"/>
            <w:tcBorders>
              <w:top w:val="nil"/>
              <w:left w:val="nil"/>
              <w:bottom w:val="nil"/>
              <w:right w:val="nil"/>
            </w:tcBorders>
            <w:shd w:val="clear" w:color="auto" w:fill="auto"/>
            <w:noWrap/>
            <w:vAlign w:val="bottom"/>
            <w:hideMark/>
          </w:tcPr>
          <w:p w14:paraId="56E372FB" w14:textId="77777777" w:rsidR="00BE6461" w:rsidRPr="00BE6461" w:rsidRDefault="00BE6461" w:rsidP="00BE6461">
            <w:pPr>
              <w:jc w:val="right"/>
              <w:rPr>
                <w:b/>
                <w:bCs/>
                <w:sz w:val="20"/>
                <w:szCs w:val="20"/>
              </w:rPr>
            </w:pPr>
            <w:r w:rsidRPr="00BE6461">
              <w:rPr>
                <w:b/>
                <w:bCs/>
                <w:sz w:val="20"/>
                <w:szCs w:val="20"/>
              </w:rPr>
              <w:t>98,43</w:t>
            </w:r>
          </w:p>
        </w:tc>
      </w:tr>
      <w:tr w:rsidR="00BE6461" w:rsidRPr="00BE6461" w14:paraId="522CC8CB" w14:textId="77777777" w:rsidTr="00BE6461">
        <w:trPr>
          <w:trHeight w:val="300"/>
        </w:trPr>
        <w:tc>
          <w:tcPr>
            <w:tcW w:w="1703" w:type="dxa"/>
            <w:tcBorders>
              <w:top w:val="nil"/>
              <w:left w:val="nil"/>
              <w:bottom w:val="nil"/>
              <w:right w:val="nil"/>
            </w:tcBorders>
            <w:shd w:val="clear" w:color="auto" w:fill="auto"/>
            <w:noWrap/>
            <w:vAlign w:val="bottom"/>
            <w:hideMark/>
          </w:tcPr>
          <w:p w14:paraId="2FE1C5C7" w14:textId="77777777" w:rsidR="00BE6461" w:rsidRPr="00BE6461" w:rsidRDefault="00BE6461" w:rsidP="00BE6461">
            <w:pPr>
              <w:rPr>
                <w:sz w:val="20"/>
                <w:szCs w:val="20"/>
              </w:rPr>
            </w:pPr>
            <w:r w:rsidRPr="00BE6461">
              <w:rPr>
                <w:sz w:val="20"/>
                <w:szCs w:val="20"/>
              </w:rPr>
              <w:lastRenderedPageBreak/>
              <w:t>3237</w:t>
            </w:r>
          </w:p>
        </w:tc>
        <w:tc>
          <w:tcPr>
            <w:tcW w:w="8457" w:type="dxa"/>
            <w:tcBorders>
              <w:top w:val="nil"/>
              <w:left w:val="nil"/>
              <w:bottom w:val="nil"/>
              <w:right w:val="nil"/>
            </w:tcBorders>
            <w:shd w:val="clear" w:color="auto" w:fill="auto"/>
            <w:vAlign w:val="bottom"/>
            <w:hideMark/>
          </w:tcPr>
          <w:p w14:paraId="036D38F1"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102E1A45"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3B27CB1" w14:textId="77777777" w:rsidR="00BE6461" w:rsidRPr="00BE6461" w:rsidRDefault="00BE6461" w:rsidP="00BE6461">
            <w:pPr>
              <w:jc w:val="right"/>
              <w:rPr>
                <w:sz w:val="20"/>
                <w:szCs w:val="20"/>
              </w:rPr>
            </w:pPr>
            <w:r w:rsidRPr="00BE6461">
              <w:rPr>
                <w:sz w:val="20"/>
                <w:szCs w:val="20"/>
              </w:rPr>
              <w:t>37.644,56</w:t>
            </w:r>
          </w:p>
        </w:tc>
        <w:tc>
          <w:tcPr>
            <w:tcW w:w="1100" w:type="dxa"/>
            <w:tcBorders>
              <w:top w:val="nil"/>
              <w:left w:val="nil"/>
              <w:bottom w:val="nil"/>
              <w:right w:val="nil"/>
            </w:tcBorders>
            <w:shd w:val="clear" w:color="auto" w:fill="auto"/>
            <w:noWrap/>
            <w:vAlign w:val="bottom"/>
            <w:hideMark/>
          </w:tcPr>
          <w:p w14:paraId="016671EA" w14:textId="77777777" w:rsidR="00BE6461" w:rsidRPr="00BE6461" w:rsidRDefault="00BE6461" w:rsidP="00BE6461">
            <w:pPr>
              <w:jc w:val="right"/>
              <w:rPr>
                <w:sz w:val="20"/>
                <w:szCs w:val="20"/>
              </w:rPr>
            </w:pPr>
          </w:p>
        </w:tc>
      </w:tr>
      <w:tr w:rsidR="00BE6461" w:rsidRPr="00BE6461" w14:paraId="728DE2E4"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1B1FE2B9" w14:textId="77777777" w:rsidR="00BE6461" w:rsidRPr="00BE6461" w:rsidRDefault="00BE6461" w:rsidP="00BE6461">
            <w:pPr>
              <w:rPr>
                <w:b/>
                <w:bCs/>
                <w:sz w:val="20"/>
                <w:szCs w:val="20"/>
              </w:rPr>
            </w:pPr>
            <w:r w:rsidRPr="00BE6461">
              <w:rPr>
                <w:b/>
                <w:bCs/>
                <w:sz w:val="20"/>
                <w:szCs w:val="20"/>
              </w:rPr>
              <w:t>K100003</w:t>
            </w:r>
          </w:p>
        </w:tc>
        <w:tc>
          <w:tcPr>
            <w:tcW w:w="8457" w:type="dxa"/>
            <w:tcBorders>
              <w:top w:val="single" w:sz="4" w:space="0" w:color="auto"/>
              <w:left w:val="nil"/>
              <w:bottom w:val="single" w:sz="4" w:space="0" w:color="auto"/>
              <w:right w:val="nil"/>
            </w:tcBorders>
            <w:shd w:val="clear" w:color="auto" w:fill="auto"/>
            <w:vAlign w:val="bottom"/>
            <w:hideMark/>
          </w:tcPr>
          <w:p w14:paraId="3149A362" w14:textId="77777777" w:rsidR="00BE6461" w:rsidRPr="00BE6461" w:rsidRDefault="00BE6461" w:rsidP="00BE6461">
            <w:pPr>
              <w:rPr>
                <w:b/>
                <w:bCs/>
                <w:sz w:val="20"/>
                <w:szCs w:val="20"/>
              </w:rPr>
            </w:pPr>
            <w:r w:rsidRPr="00BE6461">
              <w:rPr>
                <w:b/>
                <w:bCs/>
                <w:sz w:val="20"/>
                <w:szCs w:val="20"/>
              </w:rPr>
              <w:t>Kapitalni projekt: NABAVA NEFINANCIJSKE IMOVINE - DV</w:t>
            </w:r>
          </w:p>
        </w:tc>
        <w:tc>
          <w:tcPr>
            <w:tcW w:w="1503" w:type="dxa"/>
            <w:tcBorders>
              <w:top w:val="single" w:sz="4" w:space="0" w:color="auto"/>
              <w:left w:val="nil"/>
              <w:bottom w:val="single" w:sz="4" w:space="0" w:color="auto"/>
              <w:right w:val="nil"/>
            </w:tcBorders>
            <w:shd w:val="clear" w:color="auto" w:fill="auto"/>
            <w:noWrap/>
            <w:vAlign w:val="bottom"/>
            <w:hideMark/>
          </w:tcPr>
          <w:p w14:paraId="710DA7B6" w14:textId="77777777" w:rsidR="00BE6461" w:rsidRPr="00BE6461" w:rsidRDefault="00BE6461" w:rsidP="00BE6461">
            <w:pPr>
              <w:jc w:val="right"/>
              <w:rPr>
                <w:b/>
                <w:bCs/>
                <w:sz w:val="20"/>
                <w:szCs w:val="20"/>
              </w:rPr>
            </w:pPr>
            <w:r w:rsidRPr="00BE6461">
              <w:rPr>
                <w:b/>
                <w:bCs/>
                <w:sz w:val="20"/>
                <w:szCs w:val="20"/>
              </w:rPr>
              <w:t>65.649,00</w:t>
            </w:r>
          </w:p>
        </w:tc>
        <w:tc>
          <w:tcPr>
            <w:tcW w:w="1500" w:type="dxa"/>
            <w:tcBorders>
              <w:top w:val="single" w:sz="4" w:space="0" w:color="auto"/>
              <w:left w:val="nil"/>
              <w:bottom w:val="single" w:sz="4" w:space="0" w:color="auto"/>
              <w:right w:val="nil"/>
            </w:tcBorders>
            <w:shd w:val="clear" w:color="auto" w:fill="auto"/>
            <w:noWrap/>
            <w:vAlign w:val="bottom"/>
            <w:hideMark/>
          </w:tcPr>
          <w:p w14:paraId="33E7EB67" w14:textId="77777777" w:rsidR="00BE6461" w:rsidRPr="00BE6461" w:rsidRDefault="00BE6461" w:rsidP="00BE6461">
            <w:pPr>
              <w:jc w:val="right"/>
              <w:rPr>
                <w:b/>
                <w:bCs/>
                <w:sz w:val="20"/>
                <w:szCs w:val="20"/>
              </w:rPr>
            </w:pPr>
            <w:r w:rsidRPr="00BE6461">
              <w:rPr>
                <w:b/>
                <w:bCs/>
                <w:sz w:val="20"/>
                <w:szCs w:val="20"/>
              </w:rPr>
              <w:t>76.015,25</w:t>
            </w:r>
          </w:p>
        </w:tc>
        <w:tc>
          <w:tcPr>
            <w:tcW w:w="1100" w:type="dxa"/>
            <w:tcBorders>
              <w:top w:val="single" w:sz="4" w:space="0" w:color="auto"/>
              <w:left w:val="nil"/>
              <w:bottom w:val="single" w:sz="4" w:space="0" w:color="auto"/>
              <w:right w:val="nil"/>
            </w:tcBorders>
            <w:shd w:val="clear" w:color="auto" w:fill="auto"/>
            <w:noWrap/>
            <w:vAlign w:val="bottom"/>
            <w:hideMark/>
          </w:tcPr>
          <w:p w14:paraId="633E92AD" w14:textId="77777777" w:rsidR="00BE6461" w:rsidRPr="00BE6461" w:rsidRDefault="00BE6461" w:rsidP="00BE6461">
            <w:pPr>
              <w:jc w:val="right"/>
              <w:rPr>
                <w:b/>
                <w:bCs/>
                <w:sz w:val="20"/>
                <w:szCs w:val="20"/>
              </w:rPr>
            </w:pPr>
            <w:r w:rsidRPr="00BE6461">
              <w:rPr>
                <w:b/>
                <w:bCs/>
                <w:sz w:val="20"/>
                <w:szCs w:val="20"/>
              </w:rPr>
              <w:t>115,79</w:t>
            </w:r>
          </w:p>
        </w:tc>
      </w:tr>
      <w:tr w:rsidR="00BE6461" w:rsidRPr="00BE6461" w14:paraId="53E53A69"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846422F"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4A65DA91" w14:textId="77777777" w:rsidR="00BE6461" w:rsidRPr="00BE6461" w:rsidRDefault="00BE6461" w:rsidP="00BE6461">
            <w:pPr>
              <w:jc w:val="right"/>
              <w:rPr>
                <w:b/>
                <w:bCs/>
                <w:color w:val="333333"/>
                <w:sz w:val="20"/>
                <w:szCs w:val="20"/>
              </w:rPr>
            </w:pPr>
            <w:r w:rsidRPr="00BE6461">
              <w:rPr>
                <w:b/>
                <w:bCs/>
                <w:color w:val="333333"/>
                <w:sz w:val="20"/>
                <w:szCs w:val="20"/>
              </w:rPr>
              <w:t>65.649,00</w:t>
            </w:r>
          </w:p>
        </w:tc>
        <w:tc>
          <w:tcPr>
            <w:tcW w:w="1500" w:type="dxa"/>
            <w:tcBorders>
              <w:top w:val="nil"/>
              <w:left w:val="nil"/>
              <w:bottom w:val="nil"/>
              <w:right w:val="nil"/>
            </w:tcBorders>
            <w:shd w:val="clear" w:color="auto" w:fill="auto"/>
            <w:noWrap/>
            <w:vAlign w:val="bottom"/>
            <w:hideMark/>
          </w:tcPr>
          <w:p w14:paraId="407ED02E" w14:textId="77777777" w:rsidR="00BE6461" w:rsidRPr="00BE6461" w:rsidRDefault="00BE6461" w:rsidP="00BE6461">
            <w:pPr>
              <w:jc w:val="right"/>
              <w:rPr>
                <w:b/>
                <w:bCs/>
                <w:color w:val="333333"/>
                <w:sz w:val="20"/>
                <w:szCs w:val="20"/>
              </w:rPr>
            </w:pPr>
            <w:r w:rsidRPr="00BE6461">
              <w:rPr>
                <w:b/>
                <w:bCs/>
                <w:color w:val="333333"/>
                <w:sz w:val="20"/>
                <w:szCs w:val="20"/>
              </w:rPr>
              <w:t>67.528,72</w:t>
            </w:r>
          </w:p>
        </w:tc>
        <w:tc>
          <w:tcPr>
            <w:tcW w:w="1100" w:type="dxa"/>
            <w:tcBorders>
              <w:top w:val="nil"/>
              <w:left w:val="nil"/>
              <w:bottom w:val="nil"/>
              <w:right w:val="nil"/>
            </w:tcBorders>
            <w:shd w:val="clear" w:color="auto" w:fill="auto"/>
            <w:noWrap/>
            <w:vAlign w:val="bottom"/>
            <w:hideMark/>
          </w:tcPr>
          <w:p w14:paraId="5C0556F1" w14:textId="77777777" w:rsidR="00BE6461" w:rsidRPr="00BE6461" w:rsidRDefault="00BE6461" w:rsidP="00BE6461">
            <w:pPr>
              <w:jc w:val="right"/>
              <w:rPr>
                <w:b/>
                <w:bCs/>
                <w:color w:val="333333"/>
                <w:sz w:val="20"/>
                <w:szCs w:val="20"/>
              </w:rPr>
            </w:pPr>
            <w:r w:rsidRPr="00BE6461">
              <w:rPr>
                <w:b/>
                <w:bCs/>
                <w:color w:val="333333"/>
                <w:sz w:val="20"/>
                <w:szCs w:val="20"/>
              </w:rPr>
              <w:t>102,86</w:t>
            </w:r>
          </w:p>
        </w:tc>
      </w:tr>
      <w:tr w:rsidR="00BE6461" w:rsidRPr="00BE6461" w14:paraId="7C7F5550"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BFEA656" w14:textId="77777777" w:rsidR="00BE6461" w:rsidRPr="00BE6461" w:rsidRDefault="00BE6461" w:rsidP="00BE6461">
            <w:pPr>
              <w:rPr>
                <w:b/>
                <w:bCs/>
                <w:color w:val="333333"/>
                <w:sz w:val="20"/>
                <w:szCs w:val="20"/>
              </w:rPr>
            </w:pPr>
            <w:r w:rsidRPr="00BE6461">
              <w:rPr>
                <w:b/>
                <w:bCs/>
                <w:color w:val="333333"/>
                <w:sz w:val="20"/>
                <w:szCs w:val="20"/>
              </w:rPr>
              <w:t>Izvor 4.7. PRIHODI POSEBNE NAMJENE - PRORAČUNSKI KORISNICI</w:t>
            </w:r>
          </w:p>
        </w:tc>
        <w:tc>
          <w:tcPr>
            <w:tcW w:w="1503" w:type="dxa"/>
            <w:tcBorders>
              <w:top w:val="nil"/>
              <w:left w:val="nil"/>
              <w:bottom w:val="nil"/>
              <w:right w:val="nil"/>
            </w:tcBorders>
            <w:shd w:val="clear" w:color="auto" w:fill="auto"/>
            <w:noWrap/>
            <w:vAlign w:val="bottom"/>
            <w:hideMark/>
          </w:tcPr>
          <w:p w14:paraId="13400311" w14:textId="77777777" w:rsidR="00BE6461" w:rsidRPr="00BE6461" w:rsidRDefault="00BE6461" w:rsidP="00BE6461">
            <w:pPr>
              <w:jc w:val="right"/>
              <w:rPr>
                <w:b/>
                <w:bCs/>
                <w:color w:val="333333"/>
                <w:sz w:val="20"/>
                <w:szCs w:val="20"/>
              </w:rPr>
            </w:pPr>
            <w:r w:rsidRPr="00BE6461">
              <w:rPr>
                <w:b/>
                <w:bCs/>
                <w:color w:val="333333"/>
                <w:sz w:val="20"/>
                <w:szCs w:val="20"/>
              </w:rPr>
              <w:t>65.649,00</w:t>
            </w:r>
          </w:p>
        </w:tc>
        <w:tc>
          <w:tcPr>
            <w:tcW w:w="1500" w:type="dxa"/>
            <w:tcBorders>
              <w:top w:val="nil"/>
              <w:left w:val="nil"/>
              <w:bottom w:val="nil"/>
              <w:right w:val="nil"/>
            </w:tcBorders>
            <w:shd w:val="clear" w:color="auto" w:fill="auto"/>
            <w:noWrap/>
            <w:vAlign w:val="bottom"/>
            <w:hideMark/>
          </w:tcPr>
          <w:p w14:paraId="19C26424" w14:textId="77777777" w:rsidR="00BE6461" w:rsidRPr="00BE6461" w:rsidRDefault="00BE6461" w:rsidP="00BE6461">
            <w:pPr>
              <w:jc w:val="right"/>
              <w:rPr>
                <w:b/>
                <w:bCs/>
                <w:color w:val="333333"/>
                <w:sz w:val="20"/>
                <w:szCs w:val="20"/>
              </w:rPr>
            </w:pPr>
            <w:r w:rsidRPr="00BE6461">
              <w:rPr>
                <w:b/>
                <w:bCs/>
                <w:color w:val="333333"/>
                <w:sz w:val="20"/>
                <w:szCs w:val="20"/>
              </w:rPr>
              <w:t>67.528,72</w:t>
            </w:r>
          </w:p>
        </w:tc>
        <w:tc>
          <w:tcPr>
            <w:tcW w:w="1100" w:type="dxa"/>
            <w:tcBorders>
              <w:top w:val="nil"/>
              <w:left w:val="nil"/>
              <w:bottom w:val="nil"/>
              <w:right w:val="nil"/>
            </w:tcBorders>
            <w:shd w:val="clear" w:color="auto" w:fill="auto"/>
            <w:noWrap/>
            <w:vAlign w:val="bottom"/>
            <w:hideMark/>
          </w:tcPr>
          <w:p w14:paraId="51887F0F" w14:textId="77777777" w:rsidR="00BE6461" w:rsidRPr="00BE6461" w:rsidRDefault="00BE6461" w:rsidP="00BE6461">
            <w:pPr>
              <w:jc w:val="right"/>
              <w:rPr>
                <w:b/>
                <w:bCs/>
                <w:color w:val="333333"/>
                <w:sz w:val="20"/>
                <w:szCs w:val="20"/>
              </w:rPr>
            </w:pPr>
            <w:r w:rsidRPr="00BE6461">
              <w:rPr>
                <w:b/>
                <w:bCs/>
                <w:color w:val="333333"/>
                <w:sz w:val="20"/>
                <w:szCs w:val="20"/>
              </w:rPr>
              <w:t>102,86</w:t>
            </w:r>
          </w:p>
        </w:tc>
      </w:tr>
      <w:tr w:rsidR="00BE6461" w:rsidRPr="00BE6461" w14:paraId="14C0BF10" w14:textId="77777777" w:rsidTr="00BE6461">
        <w:trPr>
          <w:trHeight w:val="300"/>
        </w:trPr>
        <w:tc>
          <w:tcPr>
            <w:tcW w:w="1703" w:type="dxa"/>
            <w:tcBorders>
              <w:top w:val="nil"/>
              <w:left w:val="nil"/>
              <w:bottom w:val="nil"/>
              <w:right w:val="nil"/>
            </w:tcBorders>
            <w:shd w:val="clear" w:color="auto" w:fill="auto"/>
            <w:noWrap/>
            <w:vAlign w:val="bottom"/>
            <w:hideMark/>
          </w:tcPr>
          <w:p w14:paraId="3BF8C95C" w14:textId="77777777" w:rsidR="00BE6461" w:rsidRPr="00BE6461" w:rsidRDefault="00BE6461" w:rsidP="00BE6461">
            <w:pPr>
              <w:rPr>
                <w:b/>
                <w:bCs/>
                <w:sz w:val="20"/>
                <w:szCs w:val="20"/>
              </w:rPr>
            </w:pPr>
            <w:r w:rsidRPr="00BE6461">
              <w:rPr>
                <w:b/>
                <w:bCs/>
                <w:sz w:val="20"/>
                <w:szCs w:val="20"/>
              </w:rPr>
              <w:t>422</w:t>
            </w:r>
          </w:p>
        </w:tc>
        <w:tc>
          <w:tcPr>
            <w:tcW w:w="8457" w:type="dxa"/>
            <w:tcBorders>
              <w:top w:val="nil"/>
              <w:left w:val="nil"/>
              <w:bottom w:val="nil"/>
              <w:right w:val="nil"/>
            </w:tcBorders>
            <w:shd w:val="clear" w:color="auto" w:fill="auto"/>
            <w:vAlign w:val="bottom"/>
            <w:hideMark/>
          </w:tcPr>
          <w:p w14:paraId="5251AC75" w14:textId="77777777" w:rsidR="00BE6461" w:rsidRPr="00BE6461" w:rsidRDefault="00BE6461" w:rsidP="00BE6461">
            <w:pPr>
              <w:rPr>
                <w:b/>
                <w:bCs/>
                <w:sz w:val="20"/>
                <w:szCs w:val="20"/>
              </w:rPr>
            </w:pPr>
            <w:r w:rsidRPr="00BE6461">
              <w:rPr>
                <w:b/>
                <w:bCs/>
                <w:sz w:val="20"/>
                <w:szCs w:val="20"/>
              </w:rPr>
              <w:t xml:space="preserve">Postrojenja i oprema                                                                                </w:t>
            </w:r>
          </w:p>
        </w:tc>
        <w:tc>
          <w:tcPr>
            <w:tcW w:w="1503" w:type="dxa"/>
            <w:tcBorders>
              <w:top w:val="nil"/>
              <w:left w:val="nil"/>
              <w:bottom w:val="nil"/>
              <w:right w:val="nil"/>
            </w:tcBorders>
            <w:shd w:val="clear" w:color="auto" w:fill="auto"/>
            <w:noWrap/>
            <w:vAlign w:val="bottom"/>
            <w:hideMark/>
          </w:tcPr>
          <w:p w14:paraId="2251DCC6" w14:textId="77777777" w:rsidR="00BE6461" w:rsidRPr="00BE6461" w:rsidRDefault="00BE6461" w:rsidP="00BE6461">
            <w:pPr>
              <w:jc w:val="right"/>
              <w:rPr>
                <w:b/>
                <w:bCs/>
                <w:sz w:val="20"/>
                <w:szCs w:val="20"/>
              </w:rPr>
            </w:pPr>
            <w:r w:rsidRPr="00BE6461">
              <w:rPr>
                <w:b/>
                <w:bCs/>
                <w:sz w:val="20"/>
                <w:szCs w:val="20"/>
              </w:rPr>
              <w:t>64.849,00</w:t>
            </w:r>
          </w:p>
        </w:tc>
        <w:tc>
          <w:tcPr>
            <w:tcW w:w="1500" w:type="dxa"/>
            <w:tcBorders>
              <w:top w:val="nil"/>
              <w:left w:val="nil"/>
              <w:bottom w:val="nil"/>
              <w:right w:val="nil"/>
            </w:tcBorders>
            <w:shd w:val="clear" w:color="auto" w:fill="auto"/>
            <w:noWrap/>
            <w:vAlign w:val="bottom"/>
            <w:hideMark/>
          </w:tcPr>
          <w:p w14:paraId="398F4A5B" w14:textId="77777777" w:rsidR="00BE6461" w:rsidRPr="00BE6461" w:rsidRDefault="00BE6461" w:rsidP="00BE6461">
            <w:pPr>
              <w:jc w:val="right"/>
              <w:rPr>
                <w:b/>
                <w:bCs/>
                <w:sz w:val="20"/>
                <w:szCs w:val="20"/>
              </w:rPr>
            </w:pPr>
            <w:r w:rsidRPr="00BE6461">
              <w:rPr>
                <w:b/>
                <w:bCs/>
                <w:sz w:val="20"/>
                <w:szCs w:val="20"/>
              </w:rPr>
              <w:t>67.528,72</w:t>
            </w:r>
          </w:p>
        </w:tc>
        <w:tc>
          <w:tcPr>
            <w:tcW w:w="1100" w:type="dxa"/>
            <w:tcBorders>
              <w:top w:val="nil"/>
              <w:left w:val="nil"/>
              <w:bottom w:val="nil"/>
              <w:right w:val="nil"/>
            </w:tcBorders>
            <w:shd w:val="clear" w:color="auto" w:fill="auto"/>
            <w:noWrap/>
            <w:vAlign w:val="bottom"/>
            <w:hideMark/>
          </w:tcPr>
          <w:p w14:paraId="49246843" w14:textId="77777777" w:rsidR="00BE6461" w:rsidRPr="00BE6461" w:rsidRDefault="00BE6461" w:rsidP="00BE6461">
            <w:pPr>
              <w:jc w:val="right"/>
              <w:rPr>
                <w:b/>
                <w:bCs/>
                <w:sz w:val="20"/>
                <w:szCs w:val="20"/>
              </w:rPr>
            </w:pPr>
            <w:r w:rsidRPr="00BE6461">
              <w:rPr>
                <w:b/>
                <w:bCs/>
                <w:sz w:val="20"/>
                <w:szCs w:val="20"/>
              </w:rPr>
              <w:t>104,13</w:t>
            </w:r>
          </w:p>
        </w:tc>
      </w:tr>
      <w:tr w:rsidR="00BE6461" w:rsidRPr="00BE6461" w14:paraId="02DC5FAA" w14:textId="77777777" w:rsidTr="00BE6461">
        <w:trPr>
          <w:trHeight w:val="300"/>
        </w:trPr>
        <w:tc>
          <w:tcPr>
            <w:tcW w:w="1703" w:type="dxa"/>
            <w:tcBorders>
              <w:top w:val="nil"/>
              <w:left w:val="nil"/>
              <w:bottom w:val="nil"/>
              <w:right w:val="nil"/>
            </w:tcBorders>
            <w:shd w:val="clear" w:color="auto" w:fill="auto"/>
            <w:noWrap/>
            <w:vAlign w:val="bottom"/>
            <w:hideMark/>
          </w:tcPr>
          <w:p w14:paraId="416E91CB" w14:textId="77777777" w:rsidR="00BE6461" w:rsidRPr="00BE6461" w:rsidRDefault="00BE6461" w:rsidP="00BE6461">
            <w:pPr>
              <w:rPr>
                <w:sz w:val="20"/>
                <w:szCs w:val="20"/>
              </w:rPr>
            </w:pPr>
            <w:r w:rsidRPr="00BE6461">
              <w:rPr>
                <w:sz w:val="20"/>
                <w:szCs w:val="20"/>
              </w:rPr>
              <w:t>4221</w:t>
            </w:r>
          </w:p>
        </w:tc>
        <w:tc>
          <w:tcPr>
            <w:tcW w:w="8457" w:type="dxa"/>
            <w:tcBorders>
              <w:top w:val="nil"/>
              <w:left w:val="nil"/>
              <w:bottom w:val="nil"/>
              <w:right w:val="nil"/>
            </w:tcBorders>
            <w:shd w:val="clear" w:color="auto" w:fill="auto"/>
            <w:vAlign w:val="bottom"/>
            <w:hideMark/>
          </w:tcPr>
          <w:p w14:paraId="49DBEF70" w14:textId="77777777" w:rsidR="00BE6461" w:rsidRPr="00BE6461" w:rsidRDefault="00BE6461" w:rsidP="00BE6461">
            <w:pPr>
              <w:rPr>
                <w:sz w:val="20"/>
                <w:szCs w:val="20"/>
              </w:rPr>
            </w:pPr>
            <w:r w:rsidRPr="00BE6461">
              <w:rPr>
                <w:sz w:val="20"/>
                <w:szCs w:val="20"/>
              </w:rPr>
              <w:t xml:space="preserve">Uredska oprema i namještaj                                                                          </w:t>
            </w:r>
          </w:p>
        </w:tc>
        <w:tc>
          <w:tcPr>
            <w:tcW w:w="1503" w:type="dxa"/>
            <w:tcBorders>
              <w:top w:val="nil"/>
              <w:left w:val="nil"/>
              <w:bottom w:val="nil"/>
              <w:right w:val="nil"/>
            </w:tcBorders>
            <w:shd w:val="clear" w:color="auto" w:fill="auto"/>
            <w:noWrap/>
            <w:vAlign w:val="bottom"/>
            <w:hideMark/>
          </w:tcPr>
          <w:p w14:paraId="157D7B99"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9FB633E" w14:textId="77777777" w:rsidR="00BE6461" w:rsidRPr="00BE6461" w:rsidRDefault="00BE6461" w:rsidP="00BE6461">
            <w:pPr>
              <w:jc w:val="right"/>
              <w:rPr>
                <w:sz w:val="20"/>
                <w:szCs w:val="20"/>
              </w:rPr>
            </w:pPr>
            <w:r w:rsidRPr="00BE6461">
              <w:rPr>
                <w:sz w:val="20"/>
                <w:szCs w:val="20"/>
              </w:rPr>
              <w:t>44.871,19</w:t>
            </w:r>
          </w:p>
        </w:tc>
        <w:tc>
          <w:tcPr>
            <w:tcW w:w="1100" w:type="dxa"/>
            <w:tcBorders>
              <w:top w:val="nil"/>
              <w:left w:val="nil"/>
              <w:bottom w:val="nil"/>
              <w:right w:val="nil"/>
            </w:tcBorders>
            <w:shd w:val="clear" w:color="auto" w:fill="auto"/>
            <w:noWrap/>
            <w:vAlign w:val="bottom"/>
            <w:hideMark/>
          </w:tcPr>
          <w:p w14:paraId="0C1B0004" w14:textId="77777777" w:rsidR="00BE6461" w:rsidRPr="00BE6461" w:rsidRDefault="00BE6461" w:rsidP="00BE6461">
            <w:pPr>
              <w:jc w:val="right"/>
              <w:rPr>
                <w:sz w:val="20"/>
                <w:szCs w:val="20"/>
              </w:rPr>
            </w:pPr>
          </w:p>
        </w:tc>
      </w:tr>
      <w:tr w:rsidR="00BE6461" w:rsidRPr="00BE6461" w14:paraId="268C2A3E" w14:textId="77777777" w:rsidTr="00BE6461">
        <w:trPr>
          <w:trHeight w:val="300"/>
        </w:trPr>
        <w:tc>
          <w:tcPr>
            <w:tcW w:w="1703" w:type="dxa"/>
            <w:tcBorders>
              <w:top w:val="nil"/>
              <w:left w:val="nil"/>
              <w:bottom w:val="nil"/>
              <w:right w:val="nil"/>
            </w:tcBorders>
            <w:shd w:val="clear" w:color="auto" w:fill="auto"/>
            <w:noWrap/>
            <w:vAlign w:val="bottom"/>
            <w:hideMark/>
          </w:tcPr>
          <w:p w14:paraId="5B4EB7CD" w14:textId="77777777" w:rsidR="00BE6461" w:rsidRPr="00BE6461" w:rsidRDefault="00BE6461" w:rsidP="00BE6461">
            <w:pPr>
              <w:rPr>
                <w:sz w:val="20"/>
                <w:szCs w:val="20"/>
              </w:rPr>
            </w:pPr>
            <w:r w:rsidRPr="00BE6461">
              <w:rPr>
                <w:sz w:val="20"/>
                <w:szCs w:val="20"/>
              </w:rPr>
              <w:t>4227</w:t>
            </w:r>
          </w:p>
        </w:tc>
        <w:tc>
          <w:tcPr>
            <w:tcW w:w="8457" w:type="dxa"/>
            <w:tcBorders>
              <w:top w:val="nil"/>
              <w:left w:val="nil"/>
              <w:bottom w:val="nil"/>
              <w:right w:val="nil"/>
            </w:tcBorders>
            <w:shd w:val="clear" w:color="auto" w:fill="auto"/>
            <w:vAlign w:val="bottom"/>
            <w:hideMark/>
          </w:tcPr>
          <w:p w14:paraId="75EE1268" w14:textId="77777777" w:rsidR="00BE6461" w:rsidRPr="00BE6461" w:rsidRDefault="00BE6461" w:rsidP="00BE6461">
            <w:pPr>
              <w:rPr>
                <w:sz w:val="20"/>
                <w:szCs w:val="20"/>
              </w:rPr>
            </w:pPr>
            <w:r w:rsidRPr="00BE6461">
              <w:rPr>
                <w:sz w:val="20"/>
                <w:szCs w:val="20"/>
              </w:rPr>
              <w:t xml:space="preserve">Uređaji, strojevi i oprema za ostale namjene                                                        </w:t>
            </w:r>
          </w:p>
        </w:tc>
        <w:tc>
          <w:tcPr>
            <w:tcW w:w="1503" w:type="dxa"/>
            <w:tcBorders>
              <w:top w:val="nil"/>
              <w:left w:val="nil"/>
              <w:bottom w:val="nil"/>
              <w:right w:val="nil"/>
            </w:tcBorders>
            <w:shd w:val="clear" w:color="auto" w:fill="auto"/>
            <w:noWrap/>
            <w:vAlign w:val="bottom"/>
            <w:hideMark/>
          </w:tcPr>
          <w:p w14:paraId="494515F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A67A99F" w14:textId="77777777" w:rsidR="00BE6461" w:rsidRPr="00BE6461" w:rsidRDefault="00BE6461" w:rsidP="00BE6461">
            <w:pPr>
              <w:jc w:val="right"/>
              <w:rPr>
                <w:sz w:val="20"/>
                <w:szCs w:val="20"/>
              </w:rPr>
            </w:pPr>
            <w:r w:rsidRPr="00BE6461">
              <w:rPr>
                <w:sz w:val="20"/>
                <w:szCs w:val="20"/>
              </w:rPr>
              <w:t>22.657,53</w:t>
            </w:r>
          </w:p>
        </w:tc>
        <w:tc>
          <w:tcPr>
            <w:tcW w:w="1100" w:type="dxa"/>
            <w:tcBorders>
              <w:top w:val="nil"/>
              <w:left w:val="nil"/>
              <w:bottom w:val="nil"/>
              <w:right w:val="nil"/>
            </w:tcBorders>
            <w:shd w:val="clear" w:color="auto" w:fill="auto"/>
            <w:noWrap/>
            <w:vAlign w:val="bottom"/>
            <w:hideMark/>
          </w:tcPr>
          <w:p w14:paraId="75E32841" w14:textId="77777777" w:rsidR="00BE6461" w:rsidRPr="00BE6461" w:rsidRDefault="00BE6461" w:rsidP="00BE6461">
            <w:pPr>
              <w:jc w:val="right"/>
              <w:rPr>
                <w:sz w:val="20"/>
                <w:szCs w:val="20"/>
              </w:rPr>
            </w:pPr>
          </w:p>
        </w:tc>
      </w:tr>
      <w:tr w:rsidR="00BE6461" w:rsidRPr="00BE6461" w14:paraId="1466B3BA" w14:textId="77777777" w:rsidTr="00BE6461">
        <w:trPr>
          <w:trHeight w:val="300"/>
        </w:trPr>
        <w:tc>
          <w:tcPr>
            <w:tcW w:w="1703" w:type="dxa"/>
            <w:tcBorders>
              <w:top w:val="nil"/>
              <w:left w:val="nil"/>
              <w:bottom w:val="nil"/>
              <w:right w:val="nil"/>
            </w:tcBorders>
            <w:shd w:val="clear" w:color="auto" w:fill="auto"/>
            <w:noWrap/>
            <w:vAlign w:val="bottom"/>
            <w:hideMark/>
          </w:tcPr>
          <w:p w14:paraId="6A3D6443" w14:textId="77777777" w:rsidR="00BE6461" w:rsidRPr="00BE6461" w:rsidRDefault="00BE6461" w:rsidP="00BE6461">
            <w:pPr>
              <w:rPr>
                <w:b/>
                <w:bCs/>
                <w:sz w:val="20"/>
                <w:szCs w:val="20"/>
              </w:rPr>
            </w:pPr>
            <w:r w:rsidRPr="00BE6461">
              <w:rPr>
                <w:b/>
                <w:bCs/>
                <w:sz w:val="20"/>
                <w:szCs w:val="20"/>
              </w:rPr>
              <w:t>424</w:t>
            </w:r>
          </w:p>
        </w:tc>
        <w:tc>
          <w:tcPr>
            <w:tcW w:w="8457" w:type="dxa"/>
            <w:tcBorders>
              <w:top w:val="nil"/>
              <w:left w:val="nil"/>
              <w:bottom w:val="nil"/>
              <w:right w:val="nil"/>
            </w:tcBorders>
            <w:shd w:val="clear" w:color="auto" w:fill="auto"/>
            <w:vAlign w:val="bottom"/>
            <w:hideMark/>
          </w:tcPr>
          <w:p w14:paraId="503C5314" w14:textId="77777777" w:rsidR="00BE6461" w:rsidRPr="00BE6461" w:rsidRDefault="00BE6461" w:rsidP="00BE6461">
            <w:pPr>
              <w:rPr>
                <w:b/>
                <w:bCs/>
                <w:sz w:val="20"/>
                <w:szCs w:val="20"/>
              </w:rPr>
            </w:pPr>
            <w:r w:rsidRPr="00BE6461">
              <w:rPr>
                <w:b/>
                <w:bCs/>
                <w:sz w:val="20"/>
                <w:szCs w:val="20"/>
              </w:rPr>
              <w:t>Knjige, umjetnička djela i ostale izložbene vrijednosti</w:t>
            </w:r>
          </w:p>
        </w:tc>
        <w:tc>
          <w:tcPr>
            <w:tcW w:w="1503" w:type="dxa"/>
            <w:tcBorders>
              <w:top w:val="nil"/>
              <w:left w:val="nil"/>
              <w:bottom w:val="nil"/>
              <w:right w:val="nil"/>
            </w:tcBorders>
            <w:shd w:val="clear" w:color="auto" w:fill="auto"/>
            <w:noWrap/>
            <w:vAlign w:val="bottom"/>
            <w:hideMark/>
          </w:tcPr>
          <w:p w14:paraId="354BFFF5" w14:textId="77777777" w:rsidR="00BE6461" w:rsidRPr="00BE6461" w:rsidRDefault="00BE6461" w:rsidP="00BE6461">
            <w:pPr>
              <w:jc w:val="right"/>
              <w:rPr>
                <w:b/>
                <w:bCs/>
                <w:sz w:val="20"/>
                <w:szCs w:val="20"/>
              </w:rPr>
            </w:pPr>
            <w:r w:rsidRPr="00BE6461">
              <w:rPr>
                <w:b/>
                <w:bCs/>
                <w:sz w:val="20"/>
                <w:szCs w:val="20"/>
              </w:rPr>
              <w:t>800,00</w:t>
            </w:r>
          </w:p>
        </w:tc>
        <w:tc>
          <w:tcPr>
            <w:tcW w:w="1500" w:type="dxa"/>
            <w:tcBorders>
              <w:top w:val="nil"/>
              <w:left w:val="nil"/>
              <w:bottom w:val="nil"/>
              <w:right w:val="nil"/>
            </w:tcBorders>
            <w:shd w:val="clear" w:color="auto" w:fill="auto"/>
            <w:noWrap/>
            <w:vAlign w:val="bottom"/>
            <w:hideMark/>
          </w:tcPr>
          <w:p w14:paraId="3FA71DBD"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092CBD4C"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24FBD0FC" w14:textId="77777777" w:rsidTr="00BE6461">
        <w:trPr>
          <w:trHeight w:val="300"/>
        </w:trPr>
        <w:tc>
          <w:tcPr>
            <w:tcW w:w="1703" w:type="dxa"/>
            <w:tcBorders>
              <w:top w:val="nil"/>
              <w:left w:val="nil"/>
              <w:bottom w:val="nil"/>
              <w:right w:val="nil"/>
            </w:tcBorders>
            <w:shd w:val="clear" w:color="auto" w:fill="auto"/>
            <w:noWrap/>
            <w:vAlign w:val="bottom"/>
            <w:hideMark/>
          </w:tcPr>
          <w:p w14:paraId="43099301" w14:textId="77777777" w:rsidR="00BE6461" w:rsidRPr="00BE6461" w:rsidRDefault="00BE6461" w:rsidP="00BE6461">
            <w:pPr>
              <w:rPr>
                <w:sz w:val="20"/>
                <w:szCs w:val="20"/>
              </w:rPr>
            </w:pPr>
            <w:r w:rsidRPr="00BE6461">
              <w:rPr>
                <w:sz w:val="20"/>
                <w:szCs w:val="20"/>
              </w:rPr>
              <w:t>4241</w:t>
            </w:r>
          </w:p>
        </w:tc>
        <w:tc>
          <w:tcPr>
            <w:tcW w:w="8457" w:type="dxa"/>
            <w:tcBorders>
              <w:top w:val="nil"/>
              <w:left w:val="nil"/>
              <w:bottom w:val="nil"/>
              <w:right w:val="nil"/>
            </w:tcBorders>
            <w:shd w:val="clear" w:color="auto" w:fill="auto"/>
            <w:vAlign w:val="bottom"/>
            <w:hideMark/>
          </w:tcPr>
          <w:p w14:paraId="61595C30" w14:textId="77777777" w:rsidR="00BE6461" w:rsidRPr="00BE6461" w:rsidRDefault="00BE6461" w:rsidP="00BE6461">
            <w:pPr>
              <w:rPr>
                <w:sz w:val="20"/>
                <w:szCs w:val="20"/>
              </w:rPr>
            </w:pPr>
            <w:r w:rsidRPr="00BE6461">
              <w:rPr>
                <w:sz w:val="20"/>
                <w:szCs w:val="20"/>
              </w:rPr>
              <w:t xml:space="preserve">Knjige                                                                                              </w:t>
            </w:r>
          </w:p>
        </w:tc>
        <w:tc>
          <w:tcPr>
            <w:tcW w:w="1503" w:type="dxa"/>
            <w:tcBorders>
              <w:top w:val="nil"/>
              <w:left w:val="nil"/>
              <w:bottom w:val="nil"/>
              <w:right w:val="nil"/>
            </w:tcBorders>
            <w:shd w:val="clear" w:color="auto" w:fill="auto"/>
            <w:noWrap/>
            <w:vAlign w:val="bottom"/>
            <w:hideMark/>
          </w:tcPr>
          <w:p w14:paraId="3C327A9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7952AC5"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3096D1CF" w14:textId="77777777" w:rsidR="00BE6461" w:rsidRPr="00BE6461" w:rsidRDefault="00BE6461" w:rsidP="00BE6461">
            <w:pPr>
              <w:jc w:val="right"/>
              <w:rPr>
                <w:sz w:val="20"/>
                <w:szCs w:val="20"/>
              </w:rPr>
            </w:pPr>
          </w:p>
        </w:tc>
      </w:tr>
      <w:tr w:rsidR="00BE6461" w:rsidRPr="00BE6461" w14:paraId="55BEDBFA"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B8D24C4" w14:textId="77777777" w:rsidR="00BE6461" w:rsidRPr="00BE6461" w:rsidRDefault="00BE6461" w:rsidP="00BE6461">
            <w:pPr>
              <w:rPr>
                <w:b/>
                <w:bCs/>
                <w:color w:val="333333"/>
                <w:sz w:val="20"/>
                <w:szCs w:val="20"/>
              </w:rPr>
            </w:pPr>
            <w:r w:rsidRPr="00BE6461">
              <w:rPr>
                <w:b/>
                <w:bCs/>
                <w:color w:val="333333"/>
                <w:sz w:val="20"/>
                <w:szCs w:val="20"/>
              </w:rPr>
              <w:t>Izvor 5. POMOĆI</w:t>
            </w:r>
          </w:p>
        </w:tc>
        <w:tc>
          <w:tcPr>
            <w:tcW w:w="1503" w:type="dxa"/>
            <w:tcBorders>
              <w:top w:val="nil"/>
              <w:left w:val="nil"/>
              <w:bottom w:val="nil"/>
              <w:right w:val="nil"/>
            </w:tcBorders>
            <w:shd w:val="clear" w:color="auto" w:fill="auto"/>
            <w:noWrap/>
            <w:vAlign w:val="bottom"/>
            <w:hideMark/>
          </w:tcPr>
          <w:p w14:paraId="20C86F83"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500" w:type="dxa"/>
            <w:tcBorders>
              <w:top w:val="nil"/>
              <w:left w:val="nil"/>
              <w:bottom w:val="nil"/>
              <w:right w:val="nil"/>
            </w:tcBorders>
            <w:shd w:val="clear" w:color="auto" w:fill="auto"/>
            <w:noWrap/>
            <w:vAlign w:val="bottom"/>
            <w:hideMark/>
          </w:tcPr>
          <w:p w14:paraId="446AB541" w14:textId="77777777" w:rsidR="00BE6461" w:rsidRPr="00BE6461" w:rsidRDefault="00BE6461" w:rsidP="00BE6461">
            <w:pPr>
              <w:jc w:val="right"/>
              <w:rPr>
                <w:b/>
                <w:bCs/>
                <w:color w:val="333333"/>
                <w:sz w:val="20"/>
                <w:szCs w:val="20"/>
              </w:rPr>
            </w:pPr>
            <w:r w:rsidRPr="00BE6461">
              <w:rPr>
                <w:b/>
                <w:bCs/>
                <w:color w:val="333333"/>
                <w:sz w:val="20"/>
                <w:szCs w:val="20"/>
              </w:rPr>
              <w:t>8.486,53</w:t>
            </w:r>
          </w:p>
        </w:tc>
        <w:tc>
          <w:tcPr>
            <w:tcW w:w="1100" w:type="dxa"/>
            <w:tcBorders>
              <w:top w:val="nil"/>
              <w:left w:val="nil"/>
              <w:bottom w:val="nil"/>
              <w:right w:val="nil"/>
            </w:tcBorders>
            <w:shd w:val="clear" w:color="auto" w:fill="auto"/>
            <w:noWrap/>
            <w:vAlign w:val="bottom"/>
            <w:hideMark/>
          </w:tcPr>
          <w:p w14:paraId="4CB84F16"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3CD41844"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609EF9F" w14:textId="77777777" w:rsidR="00BE6461" w:rsidRPr="00BE6461" w:rsidRDefault="00BE6461" w:rsidP="00BE6461">
            <w:pPr>
              <w:rPr>
                <w:b/>
                <w:bCs/>
                <w:color w:val="333333"/>
                <w:sz w:val="20"/>
                <w:szCs w:val="20"/>
              </w:rPr>
            </w:pPr>
            <w:r w:rsidRPr="00BE6461">
              <w:rPr>
                <w:b/>
                <w:bCs/>
                <w:color w:val="333333"/>
                <w:sz w:val="20"/>
                <w:szCs w:val="20"/>
              </w:rPr>
              <w:t>Izvor 5.2. POMOĆI - PRORAČUNSKI KORISNICI (GRAD)</w:t>
            </w:r>
          </w:p>
        </w:tc>
        <w:tc>
          <w:tcPr>
            <w:tcW w:w="1503" w:type="dxa"/>
            <w:tcBorders>
              <w:top w:val="nil"/>
              <w:left w:val="nil"/>
              <w:bottom w:val="nil"/>
              <w:right w:val="nil"/>
            </w:tcBorders>
            <w:shd w:val="clear" w:color="auto" w:fill="auto"/>
            <w:noWrap/>
            <w:vAlign w:val="bottom"/>
            <w:hideMark/>
          </w:tcPr>
          <w:p w14:paraId="163A6C86"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500" w:type="dxa"/>
            <w:tcBorders>
              <w:top w:val="nil"/>
              <w:left w:val="nil"/>
              <w:bottom w:val="nil"/>
              <w:right w:val="nil"/>
            </w:tcBorders>
            <w:shd w:val="clear" w:color="auto" w:fill="auto"/>
            <w:noWrap/>
            <w:vAlign w:val="bottom"/>
            <w:hideMark/>
          </w:tcPr>
          <w:p w14:paraId="5A620846" w14:textId="77777777" w:rsidR="00BE6461" w:rsidRPr="00BE6461" w:rsidRDefault="00BE6461" w:rsidP="00BE6461">
            <w:pPr>
              <w:jc w:val="right"/>
              <w:rPr>
                <w:b/>
                <w:bCs/>
                <w:color w:val="333333"/>
                <w:sz w:val="20"/>
                <w:szCs w:val="20"/>
              </w:rPr>
            </w:pPr>
            <w:r w:rsidRPr="00BE6461">
              <w:rPr>
                <w:b/>
                <w:bCs/>
                <w:color w:val="333333"/>
                <w:sz w:val="20"/>
                <w:szCs w:val="20"/>
              </w:rPr>
              <w:t>8.486,53</w:t>
            </w:r>
          </w:p>
        </w:tc>
        <w:tc>
          <w:tcPr>
            <w:tcW w:w="1100" w:type="dxa"/>
            <w:tcBorders>
              <w:top w:val="nil"/>
              <w:left w:val="nil"/>
              <w:bottom w:val="nil"/>
              <w:right w:val="nil"/>
            </w:tcBorders>
            <w:shd w:val="clear" w:color="auto" w:fill="auto"/>
            <w:noWrap/>
            <w:vAlign w:val="bottom"/>
            <w:hideMark/>
          </w:tcPr>
          <w:p w14:paraId="7DE45D16"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7F0E8075" w14:textId="77777777" w:rsidTr="00BE6461">
        <w:trPr>
          <w:trHeight w:val="300"/>
        </w:trPr>
        <w:tc>
          <w:tcPr>
            <w:tcW w:w="1703" w:type="dxa"/>
            <w:tcBorders>
              <w:top w:val="nil"/>
              <w:left w:val="nil"/>
              <w:bottom w:val="nil"/>
              <w:right w:val="nil"/>
            </w:tcBorders>
            <w:shd w:val="clear" w:color="auto" w:fill="auto"/>
            <w:noWrap/>
            <w:vAlign w:val="bottom"/>
            <w:hideMark/>
          </w:tcPr>
          <w:p w14:paraId="2FB3CB89" w14:textId="77777777" w:rsidR="00BE6461" w:rsidRPr="00BE6461" w:rsidRDefault="00BE6461" w:rsidP="00BE6461">
            <w:pPr>
              <w:rPr>
                <w:b/>
                <w:bCs/>
                <w:sz w:val="20"/>
                <w:szCs w:val="20"/>
              </w:rPr>
            </w:pPr>
            <w:r w:rsidRPr="00BE6461">
              <w:rPr>
                <w:b/>
                <w:bCs/>
                <w:sz w:val="20"/>
                <w:szCs w:val="20"/>
              </w:rPr>
              <w:t>422</w:t>
            </w:r>
          </w:p>
        </w:tc>
        <w:tc>
          <w:tcPr>
            <w:tcW w:w="8457" w:type="dxa"/>
            <w:tcBorders>
              <w:top w:val="nil"/>
              <w:left w:val="nil"/>
              <w:bottom w:val="nil"/>
              <w:right w:val="nil"/>
            </w:tcBorders>
            <w:shd w:val="clear" w:color="auto" w:fill="auto"/>
            <w:vAlign w:val="bottom"/>
            <w:hideMark/>
          </w:tcPr>
          <w:p w14:paraId="1F9410A7" w14:textId="77777777" w:rsidR="00BE6461" w:rsidRPr="00BE6461" w:rsidRDefault="00BE6461" w:rsidP="00BE6461">
            <w:pPr>
              <w:rPr>
                <w:b/>
                <w:bCs/>
                <w:sz w:val="20"/>
                <w:szCs w:val="20"/>
              </w:rPr>
            </w:pPr>
            <w:r w:rsidRPr="00BE6461">
              <w:rPr>
                <w:b/>
                <w:bCs/>
                <w:sz w:val="20"/>
                <w:szCs w:val="20"/>
              </w:rPr>
              <w:t xml:space="preserve">Postrojenja i oprema                                                                                </w:t>
            </w:r>
          </w:p>
        </w:tc>
        <w:tc>
          <w:tcPr>
            <w:tcW w:w="1503" w:type="dxa"/>
            <w:tcBorders>
              <w:top w:val="nil"/>
              <w:left w:val="nil"/>
              <w:bottom w:val="nil"/>
              <w:right w:val="nil"/>
            </w:tcBorders>
            <w:shd w:val="clear" w:color="auto" w:fill="auto"/>
            <w:noWrap/>
            <w:vAlign w:val="bottom"/>
            <w:hideMark/>
          </w:tcPr>
          <w:p w14:paraId="0E4F8DE5" w14:textId="77777777" w:rsidR="00BE6461" w:rsidRPr="00BE6461" w:rsidRDefault="00BE6461" w:rsidP="00BE6461">
            <w:pPr>
              <w:jc w:val="right"/>
              <w:rPr>
                <w:b/>
                <w:bCs/>
                <w:sz w:val="20"/>
                <w:szCs w:val="20"/>
              </w:rPr>
            </w:pPr>
            <w:r w:rsidRPr="00BE6461">
              <w:rPr>
                <w:b/>
                <w:bCs/>
                <w:sz w:val="20"/>
                <w:szCs w:val="20"/>
              </w:rPr>
              <w:t>0,00</w:t>
            </w:r>
          </w:p>
        </w:tc>
        <w:tc>
          <w:tcPr>
            <w:tcW w:w="1500" w:type="dxa"/>
            <w:tcBorders>
              <w:top w:val="nil"/>
              <w:left w:val="nil"/>
              <w:bottom w:val="nil"/>
              <w:right w:val="nil"/>
            </w:tcBorders>
            <w:shd w:val="clear" w:color="auto" w:fill="auto"/>
            <w:noWrap/>
            <w:vAlign w:val="bottom"/>
            <w:hideMark/>
          </w:tcPr>
          <w:p w14:paraId="1D0338A6" w14:textId="77777777" w:rsidR="00BE6461" w:rsidRPr="00BE6461" w:rsidRDefault="00BE6461" w:rsidP="00BE6461">
            <w:pPr>
              <w:jc w:val="right"/>
              <w:rPr>
                <w:b/>
                <w:bCs/>
                <w:sz w:val="20"/>
                <w:szCs w:val="20"/>
              </w:rPr>
            </w:pPr>
            <w:r w:rsidRPr="00BE6461">
              <w:rPr>
                <w:b/>
                <w:bCs/>
                <w:sz w:val="20"/>
                <w:szCs w:val="20"/>
              </w:rPr>
              <w:t>8.486,53</w:t>
            </w:r>
          </w:p>
        </w:tc>
        <w:tc>
          <w:tcPr>
            <w:tcW w:w="1100" w:type="dxa"/>
            <w:tcBorders>
              <w:top w:val="nil"/>
              <w:left w:val="nil"/>
              <w:bottom w:val="nil"/>
              <w:right w:val="nil"/>
            </w:tcBorders>
            <w:shd w:val="clear" w:color="auto" w:fill="auto"/>
            <w:noWrap/>
            <w:vAlign w:val="bottom"/>
            <w:hideMark/>
          </w:tcPr>
          <w:p w14:paraId="1FA10376"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34E367C1" w14:textId="77777777" w:rsidTr="00BE6461">
        <w:trPr>
          <w:trHeight w:val="300"/>
        </w:trPr>
        <w:tc>
          <w:tcPr>
            <w:tcW w:w="1703" w:type="dxa"/>
            <w:tcBorders>
              <w:top w:val="nil"/>
              <w:left w:val="nil"/>
              <w:bottom w:val="nil"/>
              <w:right w:val="nil"/>
            </w:tcBorders>
            <w:shd w:val="clear" w:color="auto" w:fill="auto"/>
            <w:noWrap/>
            <w:vAlign w:val="bottom"/>
            <w:hideMark/>
          </w:tcPr>
          <w:p w14:paraId="6A630A5A" w14:textId="77777777" w:rsidR="00BE6461" w:rsidRPr="00BE6461" w:rsidRDefault="00BE6461" w:rsidP="00BE6461">
            <w:pPr>
              <w:rPr>
                <w:sz w:val="20"/>
                <w:szCs w:val="20"/>
              </w:rPr>
            </w:pPr>
            <w:r w:rsidRPr="00BE6461">
              <w:rPr>
                <w:sz w:val="20"/>
                <w:szCs w:val="20"/>
              </w:rPr>
              <w:t>4227</w:t>
            </w:r>
          </w:p>
        </w:tc>
        <w:tc>
          <w:tcPr>
            <w:tcW w:w="8457" w:type="dxa"/>
            <w:tcBorders>
              <w:top w:val="nil"/>
              <w:left w:val="nil"/>
              <w:bottom w:val="nil"/>
              <w:right w:val="nil"/>
            </w:tcBorders>
            <w:shd w:val="clear" w:color="auto" w:fill="auto"/>
            <w:vAlign w:val="bottom"/>
            <w:hideMark/>
          </w:tcPr>
          <w:p w14:paraId="749116A7" w14:textId="77777777" w:rsidR="00BE6461" w:rsidRPr="00BE6461" w:rsidRDefault="00BE6461" w:rsidP="00BE6461">
            <w:pPr>
              <w:rPr>
                <w:sz w:val="20"/>
                <w:szCs w:val="20"/>
              </w:rPr>
            </w:pPr>
            <w:r w:rsidRPr="00BE6461">
              <w:rPr>
                <w:sz w:val="20"/>
                <w:szCs w:val="20"/>
              </w:rPr>
              <w:t xml:space="preserve">Uređaji, strojevi i oprema za ostale namjene                                                        </w:t>
            </w:r>
          </w:p>
        </w:tc>
        <w:tc>
          <w:tcPr>
            <w:tcW w:w="1503" w:type="dxa"/>
            <w:tcBorders>
              <w:top w:val="nil"/>
              <w:left w:val="nil"/>
              <w:bottom w:val="nil"/>
              <w:right w:val="nil"/>
            </w:tcBorders>
            <w:shd w:val="clear" w:color="auto" w:fill="auto"/>
            <w:noWrap/>
            <w:vAlign w:val="bottom"/>
            <w:hideMark/>
          </w:tcPr>
          <w:p w14:paraId="7D1EFD7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8EE1D7D" w14:textId="77777777" w:rsidR="00BE6461" w:rsidRPr="00BE6461" w:rsidRDefault="00BE6461" w:rsidP="00BE6461">
            <w:pPr>
              <w:jc w:val="right"/>
              <w:rPr>
                <w:sz w:val="20"/>
                <w:szCs w:val="20"/>
              </w:rPr>
            </w:pPr>
            <w:r w:rsidRPr="00BE6461">
              <w:rPr>
                <w:sz w:val="20"/>
                <w:szCs w:val="20"/>
              </w:rPr>
              <w:t>8.486,53</w:t>
            </w:r>
          </w:p>
        </w:tc>
        <w:tc>
          <w:tcPr>
            <w:tcW w:w="1100" w:type="dxa"/>
            <w:tcBorders>
              <w:top w:val="nil"/>
              <w:left w:val="nil"/>
              <w:bottom w:val="nil"/>
              <w:right w:val="nil"/>
            </w:tcBorders>
            <w:shd w:val="clear" w:color="auto" w:fill="auto"/>
            <w:noWrap/>
            <w:vAlign w:val="bottom"/>
            <w:hideMark/>
          </w:tcPr>
          <w:p w14:paraId="51EE0FDD" w14:textId="77777777" w:rsidR="00BE6461" w:rsidRPr="00BE6461" w:rsidRDefault="00BE6461" w:rsidP="00BE6461">
            <w:pPr>
              <w:jc w:val="right"/>
              <w:rPr>
                <w:sz w:val="20"/>
                <w:szCs w:val="20"/>
              </w:rPr>
            </w:pPr>
          </w:p>
        </w:tc>
      </w:tr>
      <w:tr w:rsidR="00BE6461" w:rsidRPr="00BE6461" w14:paraId="0C5ABEB7" w14:textId="77777777" w:rsidTr="00BE6461">
        <w:trPr>
          <w:trHeight w:val="390"/>
        </w:trPr>
        <w:tc>
          <w:tcPr>
            <w:tcW w:w="10160" w:type="dxa"/>
            <w:gridSpan w:val="2"/>
            <w:tcBorders>
              <w:top w:val="single" w:sz="4" w:space="0" w:color="auto"/>
              <w:left w:val="nil"/>
              <w:bottom w:val="nil"/>
              <w:right w:val="nil"/>
            </w:tcBorders>
            <w:shd w:val="clear" w:color="auto" w:fill="auto"/>
            <w:noWrap/>
            <w:vAlign w:val="bottom"/>
            <w:hideMark/>
          </w:tcPr>
          <w:p w14:paraId="1310221F" w14:textId="77777777" w:rsidR="00BE6461" w:rsidRPr="00BE6461" w:rsidRDefault="00BE6461" w:rsidP="00BE6461">
            <w:pPr>
              <w:rPr>
                <w:b/>
                <w:bCs/>
                <w:sz w:val="20"/>
                <w:szCs w:val="20"/>
              </w:rPr>
            </w:pPr>
            <w:r w:rsidRPr="00BE6461">
              <w:rPr>
                <w:b/>
                <w:bCs/>
                <w:sz w:val="20"/>
                <w:szCs w:val="20"/>
              </w:rPr>
              <w:t>PROR. KORISNIK 38663 TALIJANSKI DJEČJI VRTIĆ MRVICA</w:t>
            </w:r>
          </w:p>
        </w:tc>
        <w:tc>
          <w:tcPr>
            <w:tcW w:w="1503" w:type="dxa"/>
            <w:tcBorders>
              <w:top w:val="single" w:sz="4" w:space="0" w:color="auto"/>
              <w:left w:val="nil"/>
              <w:bottom w:val="nil"/>
              <w:right w:val="nil"/>
            </w:tcBorders>
            <w:shd w:val="clear" w:color="auto" w:fill="auto"/>
            <w:noWrap/>
            <w:vAlign w:val="bottom"/>
            <w:hideMark/>
          </w:tcPr>
          <w:p w14:paraId="6CF9ABEB" w14:textId="77777777" w:rsidR="00BE6461" w:rsidRPr="00BE6461" w:rsidRDefault="00BE6461" w:rsidP="00BE6461">
            <w:pPr>
              <w:jc w:val="right"/>
              <w:rPr>
                <w:b/>
                <w:bCs/>
                <w:sz w:val="20"/>
                <w:szCs w:val="20"/>
              </w:rPr>
            </w:pPr>
            <w:r w:rsidRPr="00BE6461">
              <w:rPr>
                <w:b/>
                <w:bCs/>
                <w:sz w:val="20"/>
                <w:szCs w:val="20"/>
              </w:rPr>
              <w:t>2.624.438,78</w:t>
            </w:r>
          </w:p>
        </w:tc>
        <w:tc>
          <w:tcPr>
            <w:tcW w:w="1500" w:type="dxa"/>
            <w:tcBorders>
              <w:top w:val="single" w:sz="4" w:space="0" w:color="auto"/>
              <w:left w:val="nil"/>
              <w:bottom w:val="nil"/>
              <w:right w:val="nil"/>
            </w:tcBorders>
            <w:shd w:val="clear" w:color="auto" w:fill="auto"/>
            <w:noWrap/>
            <w:vAlign w:val="bottom"/>
            <w:hideMark/>
          </w:tcPr>
          <w:p w14:paraId="41453A1A" w14:textId="77777777" w:rsidR="00BE6461" w:rsidRPr="00BE6461" w:rsidRDefault="00BE6461" w:rsidP="00BE6461">
            <w:pPr>
              <w:jc w:val="right"/>
              <w:rPr>
                <w:b/>
                <w:bCs/>
                <w:sz w:val="20"/>
                <w:szCs w:val="20"/>
              </w:rPr>
            </w:pPr>
            <w:r w:rsidRPr="00BE6461">
              <w:rPr>
                <w:b/>
                <w:bCs/>
                <w:sz w:val="20"/>
                <w:szCs w:val="20"/>
              </w:rPr>
              <w:t>2.695.688,52</w:t>
            </w:r>
          </w:p>
        </w:tc>
        <w:tc>
          <w:tcPr>
            <w:tcW w:w="1100" w:type="dxa"/>
            <w:tcBorders>
              <w:top w:val="single" w:sz="4" w:space="0" w:color="auto"/>
              <w:left w:val="nil"/>
              <w:bottom w:val="nil"/>
              <w:right w:val="nil"/>
            </w:tcBorders>
            <w:shd w:val="clear" w:color="auto" w:fill="auto"/>
            <w:noWrap/>
            <w:vAlign w:val="bottom"/>
            <w:hideMark/>
          </w:tcPr>
          <w:p w14:paraId="17D2C84C" w14:textId="77777777" w:rsidR="00BE6461" w:rsidRPr="00BE6461" w:rsidRDefault="00BE6461" w:rsidP="00BE6461">
            <w:pPr>
              <w:jc w:val="right"/>
              <w:rPr>
                <w:b/>
                <w:bCs/>
                <w:sz w:val="20"/>
                <w:szCs w:val="20"/>
              </w:rPr>
            </w:pPr>
            <w:r w:rsidRPr="00BE6461">
              <w:rPr>
                <w:b/>
                <w:bCs/>
                <w:sz w:val="20"/>
                <w:szCs w:val="20"/>
              </w:rPr>
              <w:t>102,71</w:t>
            </w:r>
          </w:p>
        </w:tc>
      </w:tr>
      <w:tr w:rsidR="00BE6461" w:rsidRPr="00BE6461" w14:paraId="02FD905E" w14:textId="77777777" w:rsidTr="00BE6461">
        <w:trPr>
          <w:trHeight w:val="390"/>
        </w:trPr>
        <w:tc>
          <w:tcPr>
            <w:tcW w:w="1703" w:type="dxa"/>
            <w:tcBorders>
              <w:top w:val="single" w:sz="4" w:space="0" w:color="auto"/>
              <w:left w:val="nil"/>
              <w:bottom w:val="nil"/>
              <w:right w:val="nil"/>
            </w:tcBorders>
            <w:shd w:val="clear" w:color="auto" w:fill="auto"/>
            <w:noWrap/>
            <w:vAlign w:val="bottom"/>
            <w:hideMark/>
          </w:tcPr>
          <w:p w14:paraId="10532150" w14:textId="77777777" w:rsidR="00BE6461" w:rsidRPr="00BE6461" w:rsidRDefault="00BE6461" w:rsidP="00BE6461">
            <w:pPr>
              <w:rPr>
                <w:b/>
                <w:bCs/>
                <w:sz w:val="20"/>
                <w:szCs w:val="20"/>
              </w:rPr>
            </w:pPr>
            <w:r w:rsidRPr="00BE6461">
              <w:rPr>
                <w:b/>
                <w:bCs/>
                <w:sz w:val="20"/>
                <w:szCs w:val="20"/>
              </w:rPr>
              <w:t>1005</w:t>
            </w:r>
          </w:p>
        </w:tc>
        <w:tc>
          <w:tcPr>
            <w:tcW w:w="8457" w:type="dxa"/>
            <w:tcBorders>
              <w:top w:val="single" w:sz="4" w:space="0" w:color="auto"/>
              <w:left w:val="nil"/>
              <w:bottom w:val="nil"/>
              <w:right w:val="nil"/>
            </w:tcBorders>
            <w:shd w:val="clear" w:color="auto" w:fill="auto"/>
            <w:vAlign w:val="bottom"/>
            <w:hideMark/>
          </w:tcPr>
          <w:p w14:paraId="6031C1B1" w14:textId="77777777" w:rsidR="00BE6461" w:rsidRPr="00BE6461" w:rsidRDefault="00BE6461" w:rsidP="00BE6461">
            <w:pPr>
              <w:rPr>
                <w:b/>
                <w:bCs/>
                <w:sz w:val="20"/>
                <w:szCs w:val="20"/>
              </w:rPr>
            </w:pPr>
            <w:r w:rsidRPr="00BE6461">
              <w:rPr>
                <w:b/>
                <w:bCs/>
                <w:sz w:val="20"/>
                <w:szCs w:val="20"/>
              </w:rPr>
              <w:t>Program: DJELATNOST TALIJANSKOG DJEČJEG VRTIĆA MRVICA</w:t>
            </w:r>
          </w:p>
        </w:tc>
        <w:tc>
          <w:tcPr>
            <w:tcW w:w="1503" w:type="dxa"/>
            <w:tcBorders>
              <w:top w:val="single" w:sz="4" w:space="0" w:color="auto"/>
              <w:left w:val="nil"/>
              <w:bottom w:val="nil"/>
              <w:right w:val="nil"/>
            </w:tcBorders>
            <w:shd w:val="clear" w:color="auto" w:fill="auto"/>
            <w:noWrap/>
            <w:vAlign w:val="bottom"/>
            <w:hideMark/>
          </w:tcPr>
          <w:p w14:paraId="6FE09603" w14:textId="77777777" w:rsidR="00BE6461" w:rsidRPr="00BE6461" w:rsidRDefault="00BE6461" w:rsidP="00BE6461">
            <w:pPr>
              <w:jc w:val="right"/>
              <w:rPr>
                <w:b/>
                <w:bCs/>
                <w:sz w:val="20"/>
                <w:szCs w:val="20"/>
              </w:rPr>
            </w:pPr>
            <w:r w:rsidRPr="00BE6461">
              <w:rPr>
                <w:b/>
                <w:bCs/>
                <w:sz w:val="20"/>
                <w:szCs w:val="20"/>
              </w:rPr>
              <w:t>2.624.438,78</w:t>
            </w:r>
          </w:p>
        </w:tc>
        <w:tc>
          <w:tcPr>
            <w:tcW w:w="1500" w:type="dxa"/>
            <w:tcBorders>
              <w:top w:val="single" w:sz="4" w:space="0" w:color="auto"/>
              <w:left w:val="nil"/>
              <w:bottom w:val="nil"/>
              <w:right w:val="nil"/>
            </w:tcBorders>
            <w:shd w:val="clear" w:color="auto" w:fill="auto"/>
            <w:noWrap/>
            <w:vAlign w:val="bottom"/>
            <w:hideMark/>
          </w:tcPr>
          <w:p w14:paraId="15E7F4D1" w14:textId="77777777" w:rsidR="00BE6461" w:rsidRPr="00BE6461" w:rsidRDefault="00BE6461" w:rsidP="00BE6461">
            <w:pPr>
              <w:jc w:val="right"/>
              <w:rPr>
                <w:b/>
                <w:bCs/>
                <w:sz w:val="20"/>
                <w:szCs w:val="20"/>
              </w:rPr>
            </w:pPr>
            <w:r w:rsidRPr="00BE6461">
              <w:rPr>
                <w:b/>
                <w:bCs/>
                <w:sz w:val="20"/>
                <w:szCs w:val="20"/>
              </w:rPr>
              <w:t>2.695.688,52</w:t>
            </w:r>
          </w:p>
        </w:tc>
        <w:tc>
          <w:tcPr>
            <w:tcW w:w="1100" w:type="dxa"/>
            <w:tcBorders>
              <w:top w:val="single" w:sz="4" w:space="0" w:color="auto"/>
              <w:left w:val="nil"/>
              <w:bottom w:val="nil"/>
              <w:right w:val="nil"/>
            </w:tcBorders>
            <w:shd w:val="clear" w:color="auto" w:fill="auto"/>
            <w:noWrap/>
            <w:vAlign w:val="bottom"/>
            <w:hideMark/>
          </w:tcPr>
          <w:p w14:paraId="7EA7B5FC" w14:textId="77777777" w:rsidR="00BE6461" w:rsidRPr="00BE6461" w:rsidRDefault="00BE6461" w:rsidP="00BE6461">
            <w:pPr>
              <w:jc w:val="right"/>
              <w:rPr>
                <w:b/>
                <w:bCs/>
                <w:sz w:val="20"/>
                <w:szCs w:val="20"/>
              </w:rPr>
            </w:pPr>
            <w:r w:rsidRPr="00BE6461">
              <w:rPr>
                <w:b/>
                <w:bCs/>
                <w:sz w:val="20"/>
                <w:szCs w:val="20"/>
              </w:rPr>
              <w:t>102,71</w:t>
            </w:r>
          </w:p>
        </w:tc>
      </w:tr>
      <w:tr w:rsidR="00BE6461" w:rsidRPr="00BE6461" w14:paraId="75120AFF"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54981786" w14:textId="77777777" w:rsidR="00BE6461" w:rsidRPr="00BE6461" w:rsidRDefault="00BE6461" w:rsidP="00BE6461">
            <w:pPr>
              <w:rPr>
                <w:b/>
                <w:bCs/>
                <w:sz w:val="20"/>
                <w:szCs w:val="20"/>
              </w:rPr>
            </w:pPr>
            <w:r w:rsidRPr="00BE6461">
              <w:rPr>
                <w:b/>
                <w:bCs/>
                <w:sz w:val="20"/>
                <w:szCs w:val="20"/>
              </w:rPr>
              <w:t>A100014</w:t>
            </w:r>
          </w:p>
        </w:tc>
        <w:tc>
          <w:tcPr>
            <w:tcW w:w="8457" w:type="dxa"/>
            <w:tcBorders>
              <w:top w:val="single" w:sz="4" w:space="0" w:color="auto"/>
              <w:left w:val="nil"/>
              <w:bottom w:val="single" w:sz="4" w:space="0" w:color="auto"/>
              <w:right w:val="nil"/>
            </w:tcBorders>
            <w:shd w:val="clear" w:color="auto" w:fill="auto"/>
            <w:vAlign w:val="bottom"/>
            <w:hideMark/>
          </w:tcPr>
          <w:p w14:paraId="69CB646B" w14:textId="77777777" w:rsidR="00BE6461" w:rsidRPr="00BE6461" w:rsidRDefault="00BE6461" w:rsidP="00BE6461">
            <w:pPr>
              <w:rPr>
                <w:b/>
                <w:bCs/>
                <w:sz w:val="20"/>
                <w:szCs w:val="20"/>
              </w:rPr>
            </w:pPr>
            <w:r w:rsidRPr="00BE6461">
              <w:rPr>
                <w:b/>
                <w:bCs/>
                <w:sz w:val="20"/>
                <w:szCs w:val="20"/>
              </w:rPr>
              <w:t>Aktivnost: RASHODI ZA ZAPOSLENE</w:t>
            </w:r>
          </w:p>
        </w:tc>
        <w:tc>
          <w:tcPr>
            <w:tcW w:w="1503" w:type="dxa"/>
            <w:tcBorders>
              <w:top w:val="single" w:sz="4" w:space="0" w:color="auto"/>
              <w:left w:val="nil"/>
              <w:bottom w:val="single" w:sz="4" w:space="0" w:color="auto"/>
              <w:right w:val="nil"/>
            </w:tcBorders>
            <w:shd w:val="clear" w:color="auto" w:fill="auto"/>
            <w:noWrap/>
            <w:vAlign w:val="bottom"/>
            <w:hideMark/>
          </w:tcPr>
          <w:p w14:paraId="3AD84D90" w14:textId="77777777" w:rsidR="00BE6461" w:rsidRPr="00BE6461" w:rsidRDefault="00BE6461" w:rsidP="00BE6461">
            <w:pPr>
              <w:jc w:val="right"/>
              <w:rPr>
                <w:b/>
                <w:bCs/>
                <w:sz w:val="20"/>
                <w:szCs w:val="20"/>
              </w:rPr>
            </w:pPr>
            <w:r w:rsidRPr="00BE6461">
              <w:rPr>
                <w:b/>
                <w:bCs/>
                <w:sz w:val="20"/>
                <w:szCs w:val="20"/>
              </w:rPr>
              <w:t>1.932.901,43</w:t>
            </w:r>
          </w:p>
        </w:tc>
        <w:tc>
          <w:tcPr>
            <w:tcW w:w="1500" w:type="dxa"/>
            <w:tcBorders>
              <w:top w:val="single" w:sz="4" w:space="0" w:color="auto"/>
              <w:left w:val="nil"/>
              <w:bottom w:val="single" w:sz="4" w:space="0" w:color="auto"/>
              <w:right w:val="nil"/>
            </w:tcBorders>
            <w:shd w:val="clear" w:color="auto" w:fill="auto"/>
            <w:noWrap/>
            <w:vAlign w:val="bottom"/>
            <w:hideMark/>
          </w:tcPr>
          <w:p w14:paraId="17246E59" w14:textId="77777777" w:rsidR="00BE6461" w:rsidRPr="00BE6461" w:rsidRDefault="00BE6461" w:rsidP="00BE6461">
            <w:pPr>
              <w:jc w:val="right"/>
              <w:rPr>
                <w:b/>
                <w:bCs/>
                <w:sz w:val="20"/>
                <w:szCs w:val="20"/>
              </w:rPr>
            </w:pPr>
            <w:r w:rsidRPr="00BE6461">
              <w:rPr>
                <w:b/>
                <w:bCs/>
                <w:sz w:val="20"/>
                <w:szCs w:val="20"/>
              </w:rPr>
              <w:t>1.930.254,48</w:t>
            </w:r>
          </w:p>
        </w:tc>
        <w:tc>
          <w:tcPr>
            <w:tcW w:w="1100" w:type="dxa"/>
            <w:tcBorders>
              <w:top w:val="single" w:sz="4" w:space="0" w:color="auto"/>
              <w:left w:val="nil"/>
              <w:bottom w:val="single" w:sz="4" w:space="0" w:color="auto"/>
              <w:right w:val="nil"/>
            </w:tcBorders>
            <w:shd w:val="clear" w:color="auto" w:fill="auto"/>
            <w:noWrap/>
            <w:vAlign w:val="bottom"/>
            <w:hideMark/>
          </w:tcPr>
          <w:p w14:paraId="6BAA086C" w14:textId="77777777" w:rsidR="00BE6461" w:rsidRPr="00BE6461" w:rsidRDefault="00BE6461" w:rsidP="00BE6461">
            <w:pPr>
              <w:jc w:val="right"/>
              <w:rPr>
                <w:b/>
                <w:bCs/>
                <w:sz w:val="20"/>
                <w:szCs w:val="20"/>
              </w:rPr>
            </w:pPr>
            <w:r w:rsidRPr="00BE6461">
              <w:rPr>
                <w:b/>
                <w:bCs/>
                <w:sz w:val="20"/>
                <w:szCs w:val="20"/>
              </w:rPr>
              <w:t>99,86</w:t>
            </w:r>
          </w:p>
        </w:tc>
      </w:tr>
      <w:tr w:rsidR="00BE6461" w:rsidRPr="00BE6461" w14:paraId="7E0FACC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03CCAE7"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4740D9E8" w14:textId="77777777" w:rsidR="00BE6461" w:rsidRPr="00BE6461" w:rsidRDefault="00BE6461" w:rsidP="00BE6461">
            <w:pPr>
              <w:jc w:val="right"/>
              <w:rPr>
                <w:b/>
                <w:bCs/>
                <w:color w:val="333333"/>
                <w:sz w:val="20"/>
                <w:szCs w:val="20"/>
              </w:rPr>
            </w:pPr>
            <w:r w:rsidRPr="00BE6461">
              <w:rPr>
                <w:b/>
                <w:bCs/>
                <w:color w:val="333333"/>
                <w:sz w:val="20"/>
                <w:szCs w:val="20"/>
              </w:rPr>
              <w:t>1.711.881,78</w:t>
            </w:r>
          </w:p>
        </w:tc>
        <w:tc>
          <w:tcPr>
            <w:tcW w:w="1500" w:type="dxa"/>
            <w:tcBorders>
              <w:top w:val="nil"/>
              <w:left w:val="nil"/>
              <w:bottom w:val="nil"/>
              <w:right w:val="nil"/>
            </w:tcBorders>
            <w:shd w:val="clear" w:color="auto" w:fill="auto"/>
            <w:noWrap/>
            <w:vAlign w:val="bottom"/>
            <w:hideMark/>
          </w:tcPr>
          <w:p w14:paraId="1DF478E4" w14:textId="77777777" w:rsidR="00BE6461" w:rsidRPr="00BE6461" w:rsidRDefault="00BE6461" w:rsidP="00BE6461">
            <w:pPr>
              <w:jc w:val="right"/>
              <w:rPr>
                <w:b/>
                <w:bCs/>
                <w:color w:val="333333"/>
                <w:sz w:val="20"/>
                <w:szCs w:val="20"/>
              </w:rPr>
            </w:pPr>
            <w:r w:rsidRPr="00BE6461">
              <w:rPr>
                <w:b/>
                <w:bCs/>
                <w:color w:val="333333"/>
                <w:sz w:val="20"/>
                <w:szCs w:val="20"/>
              </w:rPr>
              <w:t>1.624.039,20</w:t>
            </w:r>
          </w:p>
        </w:tc>
        <w:tc>
          <w:tcPr>
            <w:tcW w:w="1100" w:type="dxa"/>
            <w:tcBorders>
              <w:top w:val="nil"/>
              <w:left w:val="nil"/>
              <w:bottom w:val="nil"/>
              <w:right w:val="nil"/>
            </w:tcBorders>
            <w:shd w:val="clear" w:color="auto" w:fill="auto"/>
            <w:noWrap/>
            <w:vAlign w:val="bottom"/>
            <w:hideMark/>
          </w:tcPr>
          <w:p w14:paraId="46CE93FA" w14:textId="77777777" w:rsidR="00BE6461" w:rsidRPr="00BE6461" w:rsidRDefault="00BE6461" w:rsidP="00BE6461">
            <w:pPr>
              <w:jc w:val="right"/>
              <w:rPr>
                <w:b/>
                <w:bCs/>
                <w:color w:val="333333"/>
                <w:sz w:val="20"/>
                <w:szCs w:val="20"/>
              </w:rPr>
            </w:pPr>
            <w:r w:rsidRPr="00BE6461">
              <w:rPr>
                <w:b/>
                <w:bCs/>
                <w:color w:val="333333"/>
                <w:sz w:val="20"/>
                <w:szCs w:val="20"/>
              </w:rPr>
              <w:t>94,87</w:t>
            </w:r>
          </w:p>
        </w:tc>
      </w:tr>
      <w:tr w:rsidR="00BE6461" w:rsidRPr="00BE6461" w14:paraId="5C07833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A64D2D2"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48F88B7E" w14:textId="77777777" w:rsidR="00BE6461" w:rsidRPr="00BE6461" w:rsidRDefault="00BE6461" w:rsidP="00BE6461">
            <w:pPr>
              <w:jc w:val="right"/>
              <w:rPr>
                <w:b/>
                <w:bCs/>
                <w:color w:val="333333"/>
                <w:sz w:val="20"/>
                <w:szCs w:val="20"/>
              </w:rPr>
            </w:pPr>
            <w:r w:rsidRPr="00BE6461">
              <w:rPr>
                <w:b/>
                <w:bCs/>
                <w:color w:val="333333"/>
                <w:sz w:val="20"/>
                <w:szCs w:val="20"/>
              </w:rPr>
              <w:t>1.711.881,78</w:t>
            </w:r>
          </w:p>
        </w:tc>
        <w:tc>
          <w:tcPr>
            <w:tcW w:w="1500" w:type="dxa"/>
            <w:tcBorders>
              <w:top w:val="nil"/>
              <w:left w:val="nil"/>
              <w:bottom w:val="nil"/>
              <w:right w:val="nil"/>
            </w:tcBorders>
            <w:shd w:val="clear" w:color="auto" w:fill="auto"/>
            <w:noWrap/>
            <w:vAlign w:val="bottom"/>
            <w:hideMark/>
          </w:tcPr>
          <w:p w14:paraId="020C4C60" w14:textId="77777777" w:rsidR="00BE6461" w:rsidRPr="00BE6461" w:rsidRDefault="00BE6461" w:rsidP="00BE6461">
            <w:pPr>
              <w:jc w:val="right"/>
              <w:rPr>
                <w:b/>
                <w:bCs/>
                <w:color w:val="333333"/>
                <w:sz w:val="20"/>
                <w:szCs w:val="20"/>
              </w:rPr>
            </w:pPr>
            <w:r w:rsidRPr="00BE6461">
              <w:rPr>
                <w:b/>
                <w:bCs/>
                <w:color w:val="333333"/>
                <w:sz w:val="20"/>
                <w:szCs w:val="20"/>
              </w:rPr>
              <w:t>1.624.039,20</w:t>
            </w:r>
          </w:p>
        </w:tc>
        <w:tc>
          <w:tcPr>
            <w:tcW w:w="1100" w:type="dxa"/>
            <w:tcBorders>
              <w:top w:val="nil"/>
              <w:left w:val="nil"/>
              <w:bottom w:val="nil"/>
              <w:right w:val="nil"/>
            </w:tcBorders>
            <w:shd w:val="clear" w:color="auto" w:fill="auto"/>
            <w:noWrap/>
            <w:vAlign w:val="bottom"/>
            <w:hideMark/>
          </w:tcPr>
          <w:p w14:paraId="2CDAAC0F" w14:textId="77777777" w:rsidR="00BE6461" w:rsidRPr="00BE6461" w:rsidRDefault="00BE6461" w:rsidP="00BE6461">
            <w:pPr>
              <w:jc w:val="right"/>
              <w:rPr>
                <w:b/>
                <w:bCs/>
                <w:color w:val="333333"/>
                <w:sz w:val="20"/>
                <w:szCs w:val="20"/>
              </w:rPr>
            </w:pPr>
            <w:r w:rsidRPr="00BE6461">
              <w:rPr>
                <w:b/>
                <w:bCs/>
                <w:color w:val="333333"/>
                <w:sz w:val="20"/>
                <w:szCs w:val="20"/>
              </w:rPr>
              <w:t>94,87</w:t>
            </w:r>
          </w:p>
        </w:tc>
      </w:tr>
      <w:tr w:rsidR="00BE6461" w:rsidRPr="00BE6461" w14:paraId="4D681386" w14:textId="77777777" w:rsidTr="00BE6461">
        <w:trPr>
          <w:trHeight w:val="300"/>
        </w:trPr>
        <w:tc>
          <w:tcPr>
            <w:tcW w:w="1703" w:type="dxa"/>
            <w:tcBorders>
              <w:top w:val="nil"/>
              <w:left w:val="nil"/>
              <w:bottom w:val="nil"/>
              <w:right w:val="nil"/>
            </w:tcBorders>
            <w:shd w:val="clear" w:color="auto" w:fill="auto"/>
            <w:noWrap/>
            <w:vAlign w:val="bottom"/>
            <w:hideMark/>
          </w:tcPr>
          <w:p w14:paraId="27425FBA" w14:textId="77777777" w:rsidR="00BE6461" w:rsidRPr="00BE6461" w:rsidRDefault="00BE6461" w:rsidP="00BE6461">
            <w:pPr>
              <w:rPr>
                <w:b/>
                <w:bCs/>
                <w:sz w:val="20"/>
                <w:szCs w:val="20"/>
              </w:rPr>
            </w:pPr>
            <w:r w:rsidRPr="00BE6461">
              <w:rPr>
                <w:b/>
                <w:bCs/>
                <w:sz w:val="20"/>
                <w:szCs w:val="20"/>
              </w:rPr>
              <w:t>311</w:t>
            </w:r>
          </w:p>
        </w:tc>
        <w:tc>
          <w:tcPr>
            <w:tcW w:w="8457" w:type="dxa"/>
            <w:tcBorders>
              <w:top w:val="nil"/>
              <w:left w:val="nil"/>
              <w:bottom w:val="nil"/>
              <w:right w:val="nil"/>
            </w:tcBorders>
            <w:shd w:val="clear" w:color="auto" w:fill="auto"/>
            <w:vAlign w:val="bottom"/>
            <w:hideMark/>
          </w:tcPr>
          <w:p w14:paraId="385F2EA0" w14:textId="77777777" w:rsidR="00BE6461" w:rsidRPr="00BE6461" w:rsidRDefault="00BE6461" w:rsidP="00BE6461">
            <w:pPr>
              <w:rPr>
                <w:b/>
                <w:bCs/>
                <w:sz w:val="20"/>
                <w:szCs w:val="20"/>
              </w:rPr>
            </w:pPr>
            <w:r w:rsidRPr="00BE6461">
              <w:rPr>
                <w:b/>
                <w:bCs/>
                <w:sz w:val="20"/>
                <w:szCs w:val="20"/>
              </w:rPr>
              <w:t xml:space="preserve">Plaće (Bruto)                                                                                       </w:t>
            </w:r>
          </w:p>
        </w:tc>
        <w:tc>
          <w:tcPr>
            <w:tcW w:w="1503" w:type="dxa"/>
            <w:tcBorders>
              <w:top w:val="nil"/>
              <w:left w:val="nil"/>
              <w:bottom w:val="nil"/>
              <w:right w:val="nil"/>
            </w:tcBorders>
            <w:shd w:val="clear" w:color="auto" w:fill="auto"/>
            <w:noWrap/>
            <w:vAlign w:val="bottom"/>
            <w:hideMark/>
          </w:tcPr>
          <w:p w14:paraId="368C719D" w14:textId="77777777" w:rsidR="00BE6461" w:rsidRPr="00BE6461" w:rsidRDefault="00BE6461" w:rsidP="00BE6461">
            <w:pPr>
              <w:jc w:val="right"/>
              <w:rPr>
                <w:b/>
                <w:bCs/>
                <w:sz w:val="20"/>
                <w:szCs w:val="20"/>
              </w:rPr>
            </w:pPr>
            <w:r w:rsidRPr="00BE6461">
              <w:rPr>
                <w:b/>
                <w:bCs/>
                <w:sz w:val="20"/>
                <w:szCs w:val="20"/>
              </w:rPr>
              <w:t>1.357.089,70</w:t>
            </w:r>
          </w:p>
        </w:tc>
        <w:tc>
          <w:tcPr>
            <w:tcW w:w="1500" w:type="dxa"/>
            <w:tcBorders>
              <w:top w:val="nil"/>
              <w:left w:val="nil"/>
              <w:bottom w:val="nil"/>
              <w:right w:val="nil"/>
            </w:tcBorders>
            <w:shd w:val="clear" w:color="auto" w:fill="auto"/>
            <w:noWrap/>
            <w:vAlign w:val="bottom"/>
            <w:hideMark/>
          </w:tcPr>
          <w:p w14:paraId="44EF646F" w14:textId="77777777" w:rsidR="00BE6461" w:rsidRPr="00BE6461" w:rsidRDefault="00BE6461" w:rsidP="00BE6461">
            <w:pPr>
              <w:jc w:val="right"/>
              <w:rPr>
                <w:b/>
                <w:bCs/>
                <w:sz w:val="20"/>
                <w:szCs w:val="20"/>
              </w:rPr>
            </w:pPr>
            <w:r w:rsidRPr="00BE6461">
              <w:rPr>
                <w:b/>
                <w:bCs/>
                <w:sz w:val="20"/>
                <w:szCs w:val="20"/>
              </w:rPr>
              <w:t>1.305.970,63</w:t>
            </w:r>
          </w:p>
        </w:tc>
        <w:tc>
          <w:tcPr>
            <w:tcW w:w="1100" w:type="dxa"/>
            <w:tcBorders>
              <w:top w:val="nil"/>
              <w:left w:val="nil"/>
              <w:bottom w:val="nil"/>
              <w:right w:val="nil"/>
            </w:tcBorders>
            <w:shd w:val="clear" w:color="auto" w:fill="auto"/>
            <w:noWrap/>
            <w:vAlign w:val="bottom"/>
            <w:hideMark/>
          </w:tcPr>
          <w:p w14:paraId="2EECCC58" w14:textId="77777777" w:rsidR="00BE6461" w:rsidRPr="00BE6461" w:rsidRDefault="00BE6461" w:rsidP="00BE6461">
            <w:pPr>
              <w:jc w:val="right"/>
              <w:rPr>
                <w:b/>
                <w:bCs/>
                <w:sz w:val="20"/>
                <w:szCs w:val="20"/>
              </w:rPr>
            </w:pPr>
            <w:r w:rsidRPr="00BE6461">
              <w:rPr>
                <w:b/>
                <w:bCs/>
                <w:sz w:val="20"/>
                <w:szCs w:val="20"/>
              </w:rPr>
              <w:t>96,23</w:t>
            </w:r>
          </w:p>
        </w:tc>
      </w:tr>
      <w:tr w:rsidR="00BE6461" w:rsidRPr="00BE6461" w14:paraId="227DA3B8" w14:textId="77777777" w:rsidTr="00BE6461">
        <w:trPr>
          <w:trHeight w:val="300"/>
        </w:trPr>
        <w:tc>
          <w:tcPr>
            <w:tcW w:w="1703" w:type="dxa"/>
            <w:tcBorders>
              <w:top w:val="nil"/>
              <w:left w:val="nil"/>
              <w:bottom w:val="nil"/>
              <w:right w:val="nil"/>
            </w:tcBorders>
            <w:shd w:val="clear" w:color="auto" w:fill="auto"/>
            <w:noWrap/>
            <w:vAlign w:val="bottom"/>
            <w:hideMark/>
          </w:tcPr>
          <w:p w14:paraId="2CC1E76E" w14:textId="77777777" w:rsidR="00BE6461" w:rsidRPr="00BE6461" w:rsidRDefault="00BE6461" w:rsidP="00BE6461">
            <w:pPr>
              <w:rPr>
                <w:sz w:val="20"/>
                <w:szCs w:val="20"/>
              </w:rPr>
            </w:pPr>
            <w:r w:rsidRPr="00BE6461">
              <w:rPr>
                <w:sz w:val="20"/>
                <w:szCs w:val="20"/>
              </w:rPr>
              <w:t>3111</w:t>
            </w:r>
          </w:p>
        </w:tc>
        <w:tc>
          <w:tcPr>
            <w:tcW w:w="8457" w:type="dxa"/>
            <w:tcBorders>
              <w:top w:val="nil"/>
              <w:left w:val="nil"/>
              <w:bottom w:val="nil"/>
              <w:right w:val="nil"/>
            </w:tcBorders>
            <w:shd w:val="clear" w:color="auto" w:fill="auto"/>
            <w:vAlign w:val="bottom"/>
            <w:hideMark/>
          </w:tcPr>
          <w:p w14:paraId="25D82215" w14:textId="77777777" w:rsidR="00BE6461" w:rsidRPr="00BE6461" w:rsidRDefault="00BE6461" w:rsidP="00BE6461">
            <w:pPr>
              <w:rPr>
                <w:sz w:val="20"/>
                <w:szCs w:val="20"/>
              </w:rPr>
            </w:pPr>
            <w:r w:rsidRPr="00BE6461">
              <w:rPr>
                <w:sz w:val="20"/>
                <w:szCs w:val="20"/>
              </w:rPr>
              <w:t xml:space="preserve">Plaće za redovan rad                                                                                </w:t>
            </w:r>
          </w:p>
        </w:tc>
        <w:tc>
          <w:tcPr>
            <w:tcW w:w="1503" w:type="dxa"/>
            <w:tcBorders>
              <w:top w:val="nil"/>
              <w:left w:val="nil"/>
              <w:bottom w:val="nil"/>
              <w:right w:val="nil"/>
            </w:tcBorders>
            <w:shd w:val="clear" w:color="auto" w:fill="auto"/>
            <w:noWrap/>
            <w:vAlign w:val="bottom"/>
            <w:hideMark/>
          </w:tcPr>
          <w:p w14:paraId="6FA03F2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1A42FA8" w14:textId="77777777" w:rsidR="00BE6461" w:rsidRPr="00BE6461" w:rsidRDefault="00BE6461" w:rsidP="00BE6461">
            <w:pPr>
              <w:jc w:val="right"/>
              <w:rPr>
                <w:sz w:val="20"/>
                <w:szCs w:val="20"/>
              </w:rPr>
            </w:pPr>
            <w:r w:rsidRPr="00BE6461">
              <w:rPr>
                <w:sz w:val="20"/>
                <w:szCs w:val="20"/>
              </w:rPr>
              <w:t>1.305.970,63</w:t>
            </w:r>
          </w:p>
        </w:tc>
        <w:tc>
          <w:tcPr>
            <w:tcW w:w="1100" w:type="dxa"/>
            <w:tcBorders>
              <w:top w:val="nil"/>
              <w:left w:val="nil"/>
              <w:bottom w:val="nil"/>
              <w:right w:val="nil"/>
            </w:tcBorders>
            <w:shd w:val="clear" w:color="auto" w:fill="auto"/>
            <w:noWrap/>
            <w:vAlign w:val="bottom"/>
            <w:hideMark/>
          </w:tcPr>
          <w:p w14:paraId="42C5348B" w14:textId="77777777" w:rsidR="00BE6461" w:rsidRPr="00BE6461" w:rsidRDefault="00BE6461" w:rsidP="00BE6461">
            <w:pPr>
              <w:jc w:val="right"/>
              <w:rPr>
                <w:sz w:val="20"/>
                <w:szCs w:val="20"/>
              </w:rPr>
            </w:pPr>
          </w:p>
        </w:tc>
      </w:tr>
      <w:tr w:rsidR="00BE6461" w:rsidRPr="00BE6461" w14:paraId="2A78567B" w14:textId="77777777" w:rsidTr="00BE6461">
        <w:trPr>
          <w:trHeight w:val="300"/>
        </w:trPr>
        <w:tc>
          <w:tcPr>
            <w:tcW w:w="1703" w:type="dxa"/>
            <w:tcBorders>
              <w:top w:val="nil"/>
              <w:left w:val="nil"/>
              <w:bottom w:val="nil"/>
              <w:right w:val="nil"/>
            </w:tcBorders>
            <w:shd w:val="clear" w:color="auto" w:fill="auto"/>
            <w:noWrap/>
            <w:vAlign w:val="bottom"/>
            <w:hideMark/>
          </w:tcPr>
          <w:p w14:paraId="48FEA0E9" w14:textId="77777777" w:rsidR="00BE6461" w:rsidRPr="00BE6461" w:rsidRDefault="00BE6461" w:rsidP="00BE6461">
            <w:pPr>
              <w:rPr>
                <w:b/>
                <w:bCs/>
                <w:sz w:val="20"/>
                <w:szCs w:val="20"/>
              </w:rPr>
            </w:pPr>
            <w:r w:rsidRPr="00BE6461">
              <w:rPr>
                <w:b/>
                <w:bCs/>
                <w:sz w:val="20"/>
                <w:szCs w:val="20"/>
              </w:rPr>
              <w:t>312</w:t>
            </w:r>
          </w:p>
        </w:tc>
        <w:tc>
          <w:tcPr>
            <w:tcW w:w="8457" w:type="dxa"/>
            <w:tcBorders>
              <w:top w:val="nil"/>
              <w:left w:val="nil"/>
              <w:bottom w:val="nil"/>
              <w:right w:val="nil"/>
            </w:tcBorders>
            <w:shd w:val="clear" w:color="auto" w:fill="auto"/>
            <w:vAlign w:val="bottom"/>
            <w:hideMark/>
          </w:tcPr>
          <w:p w14:paraId="6B6FE707" w14:textId="77777777" w:rsidR="00BE6461" w:rsidRPr="00BE6461" w:rsidRDefault="00BE6461" w:rsidP="00BE6461">
            <w:pPr>
              <w:rPr>
                <w:b/>
                <w:bCs/>
                <w:sz w:val="20"/>
                <w:szCs w:val="20"/>
              </w:rPr>
            </w:pPr>
            <w:r w:rsidRPr="00BE6461">
              <w:rPr>
                <w:b/>
                <w:bCs/>
                <w:sz w:val="20"/>
                <w:szCs w:val="20"/>
              </w:rPr>
              <w:t xml:space="preserve">Ostali rashodi za zaposlene                                                                         </w:t>
            </w:r>
          </w:p>
        </w:tc>
        <w:tc>
          <w:tcPr>
            <w:tcW w:w="1503" w:type="dxa"/>
            <w:tcBorders>
              <w:top w:val="nil"/>
              <w:left w:val="nil"/>
              <w:bottom w:val="nil"/>
              <w:right w:val="nil"/>
            </w:tcBorders>
            <w:shd w:val="clear" w:color="auto" w:fill="auto"/>
            <w:noWrap/>
            <w:vAlign w:val="bottom"/>
            <w:hideMark/>
          </w:tcPr>
          <w:p w14:paraId="3EFEF652" w14:textId="77777777" w:rsidR="00BE6461" w:rsidRPr="00BE6461" w:rsidRDefault="00BE6461" w:rsidP="00BE6461">
            <w:pPr>
              <w:jc w:val="right"/>
              <w:rPr>
                <w:b/>
                <w:bCs/>
                <w:sz w:val="20"/>
                <w:szCs w:val="20"/>
              </w:rPr>
            </w:pPr>
            <w:r w:rsidRPr="00BE6461">
              <w:rPr>
                <w:b/>
                <w:bCs/>
                <w:sz w:val="20"/>
                <w:szCs w:val="20"/>
              </w:rPr>
              <w:t>130.872,28</w:t>
            </w:r>
          </w:p>
        </w:tc>
        <w:tc>
          <w:tcPr>
            <w:tcW w:w="1500" w:type="dxa"/>
            <w:tcBorders>
              <w:top w:val="nil"/>
              <w:left w:val="nil"/>
              <w:bottom w:val="nil"/>
              <w:right w:val="nil"/>
            </w:tcBorders>
            <w:shd w:val="clear" w:color="auto" w:fill="auto"/>
            <w:noWrap/>
            <w:vAlign w:val="bottom"/>
            <w:hideMark/>
          </w:tcPr>
          <w:p w14:paraId="563C8E84" w14:textId="77777777" w:rsidR="00BE6461" w:rsidRPr="00BE6461" w:rsidRDefault="00BE6461" w:rsidP="00BE6461">
            <w:pPr>
              <w:jc w:val="right"/>
              <w:rPr>
                <w:b/>
                <w:bCs/>
                <w:sz w:val="20"/>
                <w:szCs w:val="20"/>
              </w:rPr>
            </w:pPr>
            <w:r w:rsidRPr="00BE6461">
              <w:rPr>
                <w:b/>
                <w:bCs/>
                <w:sz w:val="20"/>
                <w:szCs w:val="20"/>
              </w:rPr>
              <w:t>118.872,28</w:t>
            </w:r>
          </w:p>
        </w:tc>
        <w:tc>
          <w:tcPr>
            <w:tcW w:w="1100" w:type="dxa"/>
            <w:tcBorders>
              <w:top w:val="nil"/>
              <w:left w:val="nil"/>
              <w:bottom w:val="nil"/>
              <w:right w:val="nil"/>
            </w:tcBorders>
            <w:shd w:val="clear" w:color="auto" w:fill="auto"/>
            <w:noWrap/>
            <w:vAlign w:val="bottom"/>
            <w:hideMark/>
          </w:tcPr>
          <w:p w14:paraId="6C3438EA" w14:textId="77777777" w:rsidR="00BE6461" w:rsidRPr="00BE6461" w:rsidRDefault="00BE6461" w:rsidP="00BE6461">
            <w:pPr>
              <w:jc w:val="right"/>
              <w:rPr>
                <w:b/>
                <w:bCs/>
                <w:sz w:val="20"/>
                <w:szCs w:val="20"/>
              </w:rPr>
            </w:pPr>
            <w:r w:rsidRPr="00BE6461">
              <w:rPr>
                <w:b/>
                <w:bCs/>
                <w:sz w:val="20"/>
                <w:szCs w:val="20"/>
              </w:rPr>
              <w:t>90,83</w:t>
            </w:r>
          </w:p>
        </w:tc>
      </w:tr>
      <w:tr w:rsidR="00BE6461" w:rsidRPr="00BE6461" w14:paraId="5C8834B3" w14:textId="77777777" w:rsidTr="00BE6461">
        <w:trPr>
          <w:trHeight w:val="300"/>
        </w:trPr>
        <w:tc>
          <w:tcPr>
            <w:tcW w:w="1703" w:type="dxa"/>
            <w:tcBorders>
              <w:top w:val="nil"/>
              <w:left w:val="nil"/>
              <w:bottom w:val="nil"/>
              <w:right w:val="nil"/>
            </w:tcBorders>
            <w:shd w:val="clear" w:color="auto" w:fill="auto"/>
            <w:noWrap/>
            <w:vAlign w:val="bottom"/>
            <w:hideMark/>
          </w:tcPr>
          <w:p w14:paraId="659A6EB2" w14:textId="77777777" w:rsidR="00BE6461" w:rsidRPr="00BE6461" w:rsidRDefault="00BE6461" w:rsidP="00BE6461">
            <w:pPr>
              <w:rPr>
                <w:sz w:val="20"/>
                <w:szCs w:val="20"/>
              </w:rPr>
            </w:pPr>
            <w:r w:rsidRPr="00BE6461">
              <w:rPr>
                <w:sz w:val="20"/>
                <w:szCs w:val="20"/>
              </w:rPr>
              <w:t>3121</w:t>
            </w:r>
          </w:p>
        </w:tc>
        <w:tc>
          <w:tcPr>
            <w:tcW w:w="8457" w:type="dxa"/>
            <w:tcBorders>
              <w:top w:val="nil"/>
              <w:left w:val="nil"/>
              <w:bottom w:val="nil"/>
              <w:right w:val="nil"/>
            </w:tcBorders>
            <w:shd w:val="clear" w:color="auto" w:fill="auto"/>
            <w:vAlign w:val="bottom"/>
            <w:hideMark/>
          </w:tcPr>
          <w:p w14:paraId="70957D79" w14:textId="77777777" w:rsidR="00BE6461" w:rsidRPr="00BE6461" w:rsidRDefault="00BE6461" w:rsidP="00BE6461">
            <w:pPr>
              <w:rPr>
                <w:sz w:val="20"/>
                <w:szCs w:val="20"/>
              </w:rPr>
            </w:pPr>
            <w:r w:rsidRPr="00BE6461">
              <w:rPr>
                <w:sz w:val="20"/>
                <w:szCs w:val="20"/>
              </w:rPr>
              <w:t xml:space="preserve">Ostali rashodi za zaposlene                                                                         </w:t>
            </w:r>
          </w:p>
        </w:tc>
        <w:tc>
          <w:tcPr>
            <w:tcW w:w="1503" w:type="dxa"/>
            <w:tcBorders>
              <w:top w:val="nil"/>
              <w:left w:val="nil"/>
              <w:bottom w:val="nil"/>
              <w:right w:val="nil"/>
            </w:tcBorders>
            <w:shd w:val="clear" w:color="auto" w:fill="auto"/>
            <w:noWrap/>
            <w:vAlign w:val="bottom"/>
            <w:hideMark/>
          </w:tcPr>
          <w:p w14:paraId="31FB90DB"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AF0EBD1" w14:textId="77777777" w:rsidR="00BE6461" w:rsidRPr="00BE6461" w:rsidRDefault="00BE6461" w:rsidP="00BE6461">
            <w:pPr>
              <w:jc w:val="right"/>
              <w:rPr>
                <w:sz w:val="20"/>
                <w:szCs w:val="20"/>
              </w:rPr>
            </w:pPr>
            <w:r w:rsidRPr="00BE6461">
              <w:rPr>
                <w:sz w:val="20"/>
                <w:szCs w:val="20"/>
              </w:rPr>
              <w:t>118.872,28</w:t>
            </w:r>
          </w:p>
        </w:tc>
        <w:tc>
          <w:tcPr>
            <w:tcW w:w="1100" w:type="dxa"/>
            <w:tcBorders>
              <w:top w:val="nil"/>
              <w:left w:val="nil"/>
              <w:bottom w:val="nil"/>
              <w:right w:val="nil"/>
            </w:tcBorders>
            <w:shd w:val="clear" w:color="auto" w:fill="auto"/>
            <w:noWrap/>
            <w:vAlign w:val="bottom"/>
            <w:hideMark/>
          </w:tcPr>
          <w:p w14:paraId="279364A1" w14:textId="77777777" w:rsidR="00BE6461" w:rsidRPr="00BE6461" w:rsidRDefault="00BE6461" w:rsidP="00BE6461">
            <w:pPr>
              <w:jc w:val="right"/>
              <w:rPr>
                <w:sz w:val="20"/>
                <w:szCs w:val="20"/>
              </w:rPr>
            </w:pPr>
          </w:p>
        </w:tc>
      </w:tr>
      <w:tr w:rsidR="00BE6461" w:rsidRPr="00BE6461" w14:paraId="2BFE89E7" w14:textId="77777777" w:rsidTr="00BE6461">
        <w:trPr>
          <w:trHeight w:val="300"/>
        </w:trPr>
        <w:tc>
          <w:tcPr>
            <w:tcW w:w="1703" w:type="dxa"/>
            <w:tcBorders>
              <w:top w:val="nil"/>
              <w:left w:val="nil"/>
              <w:bottom w:val="nil"/>
              <w:right w:val="nil"/>
            </w:tcBorders>
            <w:shd w:val="clear" w:color="auto" w:fill="auto"/>
            <w:noWrap/>
            <w:vAlign w:val="bottom"/>
            <w:hideMark/>
          </w:tcPr>
          <w:p w14:paraId="705AAA6A" w14:textId="77777777" w:rsidR="00BE6461" w:rsidRPr="00BE6461" w:rsidRDefault="00BE6461" w:rsidP="00BE6461">
            <w:pPr>
              <w:rPr>
                <w:b/>
                <w:bCs/>
                <w:sz w:val="20"/>
                <w:szCs w:val="20"/>
              </w:rPr>
            </w:pPr>
            <w:r w:rsidRPr="00BE6461">
              <w:rPr>
                <w:b/>
                <w:bCs/>
                <w:sz w:val="20"/>
                <w:szCs w:val="20"/>
              </w:rPr>
              <w:t>313</w:t>
            </w:r>
          </w:p>
        </w:tc>
        <w:tc>
          <w:tcPr>
            <w:tcW w:w="8457" w:type="dxa"/>
            <w:tcBorders>
              <w:top w:val="nil"/>
              <w:left w:val="nil"/>
              <w:bottom w:val="nil"/>
              <w:right w:val="nil"/>
            </w:tcBorders>
            <w:shd w:val="clear" w:color="auto" w:fill="auto"/>
            <w:vAlign w:val="bottom"/>
            <w:hideMark/>
          </w:tcPr>
          <w:p w14:paraId="61489A38" w14:textId="77777777" w:rsidR="00BE6461" w:rsidRPr="00BE6461" w:rsidRDefault="00BE6461" w:rsidP="00BE6461">
            <w:pPr>
              <w:rPr>
                <w:b/>
                <w:bCs/>
                <w:sz w:val="20"/>
                <w:szCs w:val="20"/>
              </w:rPr>
            </w:pPr>
            <w:r w:rsidRPr="00BE6461">
              <w:rPr>
                <w:b/>
                <w:bCs/>
                <w:sz w:val="20"/>
                <w:szCs w:val="20"/>
              </w:rPr>
              <w:t xml:space="preserve">Doprinosi na plaće                                                                                  </w:t>
            </w:r>
          </w:p>
        </w:tc>
        <w:tc>
          <w:tcPr>
            <w:tcW w:w="1503" w:type="dxa"/>
            <w:tcBorders>
              <w:top w:val="nil"/>
              <w:left w:val="nil"/>
              <w:bottom w:val="nil"/>
              <w:right w:val="nil"/>
            </w:tcBorders>
            <w:shd w:val="clear" w:color="auto" w:fill="auto"/>
            <w:noWrap/>
            <w:vAlign w:val="bottom"/>
            <w:hideMark/>
          </w:tcPr>
          <w:p w14:paraId="39513DF8" w14:textId="77777777" w:rsidR="00BE6461" w:rsidRPr="00BE6461" w:rsidRDefault="00BE6461" w:rsidP="00BE6461">
            <w:pPr>
              <w:jc w:val="right"/>
              <w:rPr>
                <w:b/>
                <w:bCs/>
                <w:sz w:val="20"/>
                <w:szCs w:val="20"/>
              </w:rPr>
            </w:pPr>
            <w:r w:rsidRPr="00BE6461">
              <w:rPr>
                <w:b/>
                <w:bCs/>
                <w:sz w:val="20"/>
                <w:szCs w:val="20"/>
              </w:rPr>
              <w:t>223.919,80</w:t>
            </w:r>
          </w:p>
        </w:tc>
        <w:tc>
          <w:tcPr>
            <w:tcW w:w="1500" w:type="dxa"/>
            <w:tcBorders>
              <w:top w:val="nil"/>
              <w:left w:val="nil"/>
              <w:bottom w:val="nil"/>
              <w:right w:val="nil"/>
            </w:tcBorders>
            <w:shd w:val="clear" w:color="auto" w:fill="auto"/>
            <w:noWrap/>
            <w:vAlign w:val="bottom"/>
            <w:hideMark/>
          </w:tcPr>
          <w:p w14:paraId="7CC334F2" w14:textId="77777777" w:rsidR="00BE6461" w:rsidRPr="00BE6461" w:rsidRDefault="00BE6461" w:rsidP="00BE6461">
            <w:pPr>
              <w:jc w:val="right"/>
              <w:rPr>
                <w:b/>
                <w:bCs/>
                <w:sz w:val="20"/>
                <w:szCs w:val="20"/>
              </w:rPr>
            </w:pPr>
            <w:r w:rsidRPr="00BE6461">
              <w:rPr>
                <w:b/>
                <w:bCs/>
                <w:sz w:val="20"/>
                <w:szCs w:val="20"/>
              </w:rPr>
              <w:t>199.196,29</w:t>
            </w:r>
          </w:p>
        </w:tc>
        <w:tc>
          <w:tcPr>
            <w:tcW w:w="1100" w:type="dxa"/>
            <w:tcBorders>
              <w:top w:val="nil"/>
              <w:left w:val="nil"/>
              <w:bottom w:val="nil"/>
              <w:right w:val="nil"/>
            </w:tcBorders>
            <w:shd w:val="clear" w:color="auto" w:fill="auto"/>
            <w:noWrap/>
            <w:vAlign w:val="bottom"/>
            <w:hideMark/>
          </w:tcPr>
          <w:p w14:paraId="67D330A8" w14:textId="77777777" w:rsidR="00BE6461" w:rsidRPr="00BE6461" w:rsidRDefault="00BE6461" w:rsidP="00BE6461">
            <w:pPr>
              <w:jc w:val="right"/>
              <w:rPr>
                <w:b/>
                <w:bCs/>
                <w:sz w:val="20"/>
                <w:szCs w:val="20"/>
              </w:rPr>
            </w:pPr>
            <w:r w:rsidRPr="00BE6461">
              <w:rPr>
                <w:b/>
                <w:bCs/>
                <w:sz w:val="20"/>
                <w:szCs w:val="20"/>
              </w:rPr>
              <w:t>88,96</w:t>
            </w:r>
          </w:p>
        </w:tc>
      </w:tr>
      <w:tr w:rsidR="00BE6461" w:rsidRPr="00BE6461" w14:paraId="4CB37B41" w14:textId="77777777" w:rsidTr="00BE6461">
        <w:trPr>
          <w:trHeight w:val="300"/>
        </w:trPr>
        <w:tc>
          <w:tcPr>
            <w:tcW w:w="1703" w:type="dxa"/>
            <w:tcBorders>
              <w:top w:val="nil"/>
              <w:left w:val="nil"/>
              <w:bottom w:val="nil"/>
              <w:right w:val="nil"/>
            </w:tcBorders>
            <w:shd w:val="clear" w:color="auto" w:fill="auto"/>
            <w:noWrap/>
            <w:vAlign w:val="bottom"/>
            <w:hideMark/>
          </w:tcPr>
          <w:p w14:paraId="5EFD39D5" w14:textId="77777777" w:rsidR="00BE6461" w:rsidRPr="00BE6461" w:rsidRDefault="00BE6461" w:rsidP="00BE6461">
            <w:pPr>
              <w:rPr>
                <w:sz w:val="20"/>
                <w:szCs w:val="20"/>
              </w:rPr>
            </w:pPr>
            <w:r w:rsidRPr="00BE6461">
              <w:rPr>
                <w:sz w:val="20"/>
                <w:szCs w:val="20"/>
              </w:rPr>
              <w:t>3132</w:t>
            </w:r>
          </w:p>
        </w:tc>
        <w:tc>
          <w:tcPr>
            <w:tcW w:w="8457" w:type="dxa"/>
            <w:tcBorders>
              <w:top w:val="nil"/>
              <w:left w:val="nil"/>
              <w:bottom w:val="nil"/>
              <w:right w:val="nil"/>
            </w:tcBorders>
            <w:shd w:val="clear" w:color="auto" w:fill="auto"/>
            <w:vAlign w:val="bottom"/>
            <w:hideMark/>
          </w:tcPr>
          <w:p w14:paraId="33A09531" w14:textId="77777777" w:rsidR="00BE6461" w:rsidRPr="00BE6461" w:rsidRDefault="00BE6461" w:rsidP="00BE6461">
            <w:pPr>
              <w:rPr>
                <w:sz w:val="20"/>
                <w:szCs w:val="20"/>
              </w:rPr>
            </w:pPr>
            <w:r w:rsidRPr="00BE6461">
              <w:rPr>
                <w:sz w:val="20"/>
                <w:szCs w:val="20"/>
              </w:rPr>
              <w:t xml:space="preserve">Doprinosi za obvezno zdravstveno osiguranje                                                         </w:t>
            </w:r>
          </w:p>
        </w:tc>
        <w:tc>
          <w:tcPr>
            <w:tcW w:w="1503" w:type="dxa"/>
            <w:tcBorders>
              <w:top w:val="nil"/>
              <w:left w:val="nil"/>
              <w:bottom w:val="nil"/>
              <w:right w:val="nil"/>
            </w:tcBorders>
            <w:shd w:val="clear" w:color="auto" w:fill="auto"/>
            <w:noWrap/>
            <w:vAlign w:val="bottom"/>
            <w:hideMark/>
          </w:tcPr>
          <w:p w14:paraId="3288597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3DCC37B" w14:textId="77777777" w:rsidR="00BE6461" w:rsidRPr="00BE6461" w:rsidRDefault="00BE6461" w:rsidP="00BE6461">
            <w:pPr>
              <w:jc w:val="right"/>
              <w:rPr>
                <w:sz w:val="20"/>
                <w:szCs w:val="20"/>
              </w:rPr>
            </w:pPr>
            <w:r w:rsidRPr="00BE6461">
              <w:rPr>
                <w:sz w:val="20"/>
                <w:szCs w:val="20"/>
              </w:rPr>
              <w:t>199.196,29</w:t>
            </w:r>
          </w:p>
        </w:tc>
        <w:tc>
          <w:tcPr>
            <w:tcW w:w="1100" w:type="dxa"/>
            <w:tcBorders>
              <w:top w:val="nil"/>
              <w:left w:val="nil"/>
              <w:bottom w:val="nil"/>
              <w:right w:val="nil"/>
            </w:tcBorders>
            <w:shd w:val="clear" w:color="auto" w:fill="auto"/>
            <w:noWrap/>
            <w:vAlign w:val="bottom"/>
            <w:hideMark/>
          </w:tcPr>
          <w:p w14:paraId="374427B1" w14:textId="77777777" w:rsidR="00BE6461" w:rsidRPr="00BE6461" w:rsidRDefault="00BE6461" w:rsidP="00BE6461">
            <w:pPr>
              <w:jc w:val="right"/>
              <w:rPr>
                <w:sz w:val="20"/>
                <w:szCs w:val="20"/>
              </w:rPr>
            </w:pPr>
          </w:p>
        </w:tc>
      </w:tr>
      <w:tr w:rsidR="00BE6461" w:rsidRPr="00BE6461" w14:paraId="7B8ACD2A"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C8C512B" w14:textId="77777777" w:rsidR="00BE6461" w:rsidRPr="00BE6461" w:rsidRDefault="00BE6461" w:rsidP="00BE6461">
            <w:pPr>
              <w:rPr>
                <w:b/>
                <w:bCs/>
                <w:color w:val="333333"/>
                <w:sz w:val="20"/>
                <w:szCs w:val="20"/>
              </w:rPr>
            </w:pPr>
            <w:r w:rsidRPr="00BE6461">
              <w:rPr>
                <w:b/>
                <w:bCs/>
                <w:color w:val="333333"/>
                <w:sz w:val="20"/>
                <w:szCs w:val="20"/>
              </w:rPr>
              <w:t>Izvor 5. POMOĆI</w:t>
            </w:r>
          </w:p>
        </w:tc>
        <w:tc>
          <w:tcPr>
            <w:tcW w:w="1503" w:type="dxa"/>
            <w:tcBorders>
              <w:top w:val="nil"/>
              <w:left w:val="nil"/>
              <w:bottom w:val="nil"/>
              <w:right w:val="nil"/>
            </w:tcBorders>
            <w:shd w:val="clear" w:color="auto" w:fill="auto"/>
            <w:noWrap/>
            <w:vAlign w:val="bottom"/>
            <w:hideMark/>
          </w:tcPr>
          <w:p w14:paraId="4E12AF51" w14:textId="77777777" w:rsidR="00BE6461" w:rsidRPr="00BE6461" w:rsidRDefault="00BE6461" w:rsidP="00BE6461">
            <w:pPr>
              <w:jc w:val="right"/>
              <w:rPr>
                <w:b/>
                <w:bCs/>
                <w:color w:val="333333"/>
                <w:sz w:val="20"/>
                <w:szCs w:val="20"/>
              </w:rPr>
            </w:pPr>
            <w:r w:rsidRPr="00BE6461">
              <w:rPr>
                <w:b/>
                <w:bCs/>
                <w:color w:val="333333"/>
                <w:sz w:val="20"/>
                <w:szCs w:val="20"/>
              </w:rPr>
              <w:t>220.000,00</w:t>
            </w:r>
          </w:p>
        </w:tc>
        <w:tc>
          <w:tcPr>
            <w:tcW w:w="1500" w:type="dxa"/>
            <w:tcBorders>
              <w:top w:val="nil"/>
              <w:left w:val="nil"/>
              <w:bottom w:val="nil"/>
              <w:right w:val="nil"/>
            </w:tcBorders>
            <w:shd w:val="clear" w:color="auto" w:fill="auto"/>
            <w:noWrap/>
            <w:vAlign w:val="bottom"/>
            <w:hideMark/>
          </w:tcPr>
          <w:p w14:paraId="3DDCA851" w14:textId="77777777" w:rsidR="00BE6461" w:rsidRPr="00BE6461" w:rsidRDefault="00BE6461" w:rsidP="00BE6461">
            <w:pPr>
              <w:jc w:val="right"/>
              <w:rPr>
                <w:b/>
                <w:bCs/>
                <w:color w:val="333333"/>
                <w:sz w:val="20"/>
                <w:szCs w:val="20"/>
              </w:rPr>
            </w:pPr>
            <w:r w:rsidRPr="00BE6461">
              <w:rPr>
                <w:b/>
                <w:bCs/>
                <w:color w:val="333333"/>
                <w:sz w:val="20"/>
                <w:szCs w:val="20"/>
              </w:rPr>
              <w:t>306.215,28</w:t>
            </w:r>
          </w:p>
        </w:tc>
        <w:tc>
          <w:tcPr>
            <w:tcW w:w="1100" w:type="dxa"/>
            <w:tcBorders>
              <w:top w:val="nil"/>
              <w:left w:val="nil"/>
              <w:bottom w:val="nil"/>
              <w:right w:val="nil"/>
            </w:tcBorders>
            <w:shd w:val="clear" w:color="auto" w:fill="auto"/>
            <w:noWrap/>
            <w:vAlign w:val="bottom"/>
            <w:hideMark/>
          </w:tcPr>
          <w:p w14:paraId="553208DC" w14:textId="77777777" w:rsidR="00BE6461" w:rsidRPr="00BE6461" w:rsidRDefault="00BE6461" w:rsidP="00BE6461">
            <w:pPr>
              <w:jc w:val="right"/>
              <w:rPr>
                <w:b/>
                <w:bCs/>
                <w:color w:val="333333"/>
                <w:sz w:val="20"/>
                <w:szCs w:val="20"/>
              </w:rPr>
            </w:pPr>
            <w:r w:rsidRPr="00BE6461">
              <w:rPr>
                <w:b/>
                <w:bCs/>
                <w:color w:val="333333"/>
                <w:sz w:val="20"/>
                <w:szCs w:val="20"/>
              </w:rPr>
              <w:t>139,19</w:t>
            </w:r>
          </w:p>
        </w:tc>
      </w:tr>
      <w:tr w:rsidR="00BE6461" w:rsidRPr="00BE6461" w14:paraId="2581238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6EDBE05" w14:textId="77777777" w:rsidR="00BE6461" w:rsidRPr="00BE6461" w:rsidRDefault="00BE6461" w:rsidP="00BE6461">
            <w:pPr>
              <w:rPr>
                <w:b/>
                <w:bCs/>
                <w:color w:val="333333"/>
                <w:sz w:val="20"/>
                <w:szCs w:val="20"/>
              </w:rPr>
            </w:pPr>
            <w:r w:rsidRPr="00BE6461">
              <w:rPr>
                <w:b/>
                <w:bCs/>
                <w:color w:val="333333"/>
                <w:sz w:val="20"/>
                <w:szCs w:val="20"/>
              </w:rPr>
              <w:t>Izvor 5.2. POMOĆI - PRORAČUNSKI KORISNICI (GRAD)</w:t>
            </w:r>
          </w:p>
        </w:tc>
        <w:tc>
          <w:tcPr>
            <w:tcW w:w="1503" w:type="dxa"/>
            <w:tcBorders>
              <w:top w:val="nil"/>
              <w:left w:val="nil"/>
              <w:bottom w:val="nil"/>
              <w:right w:val="nil"/>
            </w:tcBorders>
            <w:shd w:val="clear" w:color="auto" w:fill="auto"/>
            <w:noWrap/>
            <w:vAlign w:val="bottom"/>
            <w:hideMark/>
          </w:tcPr>
          <w:p w14:paraId="399F7FBD" w14:textId="77777777" w:rsidR="00BE6461" w:rsidRPr="00BE6461" w:rsidRDefault="00BE6461" w:rsidP="00BE6461">
            <w:pPr>
              <w:jc w:val="right"/>
              <w:rPr>
                <w:b/>
                <w:bCs/>
                <w:color w:val="333333"/>
                <w:sz w:val="20"/>
                <w:szCs w:val="20"/>
              </w:rPr>
            </w:pPr>
            <w:r w:rsidRPr="00BE6461">
              <w:rPr>
                <w:b/>
                <w:bCs/>
                <w:color w:val="333333"/>
                <w:sz w:val="20"/>
                <w:szCs w:val="20"/>
              </w:rPr>
              <w:t>220.000,00</w:t>
            </w:r>
          </w:p>
        </w:tc>
        <w:tc>
          <w:tcPr>
            <w:tcW w:w="1500" w:type="dxa"/>
            <w:tcBorders>
              <w:top w:val="nil"/>
              <w:left w:val="nil"/>
              <w:bottom w:val="nil"/>
              <w:right w:val="nil"/>
            </w:tcBorders>
            <w:shd w:val="clear" w:color="auto" w:fill="auto"/>
            <w:noWrap/>
            <w:vAlign w:val="bottom"/>
            <w:hideMark/>
          </w:tcPr>
          <w:p w14:paraId="36F438CC" w14:textId="77777777" w:rsidR="00BE6461" w:rsidRPr="00BE6461" w:rsidRDefault="00BE6461" w:rsidP="00BE6461">
            <w:pPr>
              <w:jc w:val="right"/>
              <w:rPr>
                <w:b/>
                <w:bCs/>
                <w:color w:val="333333"/>
                <w:sz w:val="20"/>
                <w:szCs w:val="20"/>
              </w:rPr>
            </w:pPr>
            <w:r w:rsidRPr="00BE6461">
              <w:rPr>
                <w:b/>
                <w:bCs/>
                <w:color w:val="333333"/>
                <w:sz w:val="20"/>
                <w:szCs w:val="20"/>
              </w:rPr>
              <w:t>306.215,28</w:t>
            </w:r>
          </w:p>
        </w:tc>
        <w:tc>
          <w:tcPr>
            <w:tcW w:w="1100" w:type="dxa"/>
            <w:tcBorders>
              <w:top w:val="nil"/>
              <w:left w:val="nil"/>
              <w:bottom w:val="nil"/>
              <w:right w:val="nil"/>
            </w:tcBorders>
            <w:shd w:val="clear" w:color="auto" w:fill="auto"/>
            <w:noWrap/>
            <w:vAlign w:val="bottom"/>
            <w:hideMark/>
          </w:tcPr>
          <w:p w14:paraId="5233BA5B" w14:textId="77777777" w:rsidR="00BE6461" w:rsidRPr="00BE6461" w:rsidRDefault="00BE6461" w:rsidP="00BE6461">
            <w:pPr>
              <w:jc w:val="right"/>
              <w:rPr>
                <w:b/>
                <w:bCs/>
                <w:color w:val="333333"/>
                <w:sz w:val="20"/>
                <w:szCs w:val="20"/>
              </w:rPr>
            </w:pPr>
            <w:r w:rsidRPr="00BE6461">
              <w:rPr>
                <w:b/>
                <w:bCs/>
                <w:color w:val="333333"/>
                <w:sz w:val="20"/>
                <w:szCs w:val="20"/>
              </w:rPr>
              <w:t>139,19</w:t>
            </w:r>
          </w:p>
        </w:tc>
      </w:tr>
      <w:tr w:rsidR="00BE6461" w:rsidRPr="00BE6461" w14:paraId="6E5686EC" w14:textId="77777777" w:rsidTr="00BE6461">
        <w:trPr>
          <w:trHeight w:val="300"/>
        </w:trPr>
        <w:tc>
          <w:tcPr>
            <w:tcW w:w="1703" w:type="dxa"/>
            <w:tcBorders>
              <w:top w:val="nil"/>
              <w:left w:val="nil"/>
              <w:bottom w:val="nil"/>
              <w:right w:val="nil"/>
            </w:tcBorders>
            <w:shd w:val="clear" w:color="auto" w:fill="auto"/>
            <w:noWrap/>
            <w:vAlign w:val="bottom"/>
            <w:hideMark/>
          </w:tcPr>
          <w:p w14:paraId="663BDBA9" w14:textId="77777777" w:rsidR="00BE6461" w:rsidRPr="00BE6461" w:rsidRDefault="00BE6461" w:rsidP="00BE6461">
            <w:pPr>
              <w:rPr>
                <w:b/>
                <w:bCs/>
                <w:sz w:val="20"/>
                <w:szCs w:val="20"/>
              </w:rPr>
            </w:pPr>
            <w:r w:rsidRPr="00BE6461">
              <w:rPr>
                <w:b/>
                <w:bCs/>
                <w:sz w:val="20"/>
                <w:szCs w:val="20"/>
              </w:rPr>
              <w:t>311</w:t>
            </w:r>
          </w:p>
        </w:tc>
        <w:tc>
          <w:tcPr>
            <w:tcW w:w="8457" w:type="dxa"/>
            <w:tcBorders>
              <w:top w:val="nil"/>
              <w:left w:val="nil"/>
              <w:bottom w:val="nil"/>
              <w:right w:val="nil"/>
            </w:tcBorders>
            <w:shd w:val="clear" w:color="auto" w:fill="auto"/>
            <w:vAlign w:val="bottom"/>
            <w:hideMark/>
          </w:tcPr>
          <w:p w14:paraId="2166CD65" w14:textId="77777777" w:rsidR="00BE6461" w:rsidRPr="00BE6461" w:rsidRDefault="00BE6461" w:rsidP="00BE6461">
            <w:pPr>
              <w:rPr>
                <w:b/>
                <w:bCs/>
                <w:sz w:val="20"/>
                <w:szCs w:val="20"/>
              </w:rPr>
            </w:pPr>
            <w:r w:rsidRPr="00BE6461">
              <w:rPr>
                <w:b/>
                <w:bCs/>
                <w:sz w:val="20"/>
                <w:szCs w:val="20"/>
              </w:rPr>
              <w:t xml:space="preserve">Plaće (Bruto)                                                                                       </w:t>
            </w:r>
          </w:p>
        </w:tc>
        <w:tc>
          <w:tcPr>
            <w:tcW w:w="1503" w:type="dxa"/>
            <w:tcBorders>
              <w:top w:val="nil"/>
              <w:left w:val="nil"/>
              <w:bottom w:val="nil"/>
              <w:right w:val="nil"/>
            </w:tcBorders>
            <w:shd w:val="clear" w:color="auto" w:fill="auto"/>
            <w:noWrap/>
            <w:vAlign w:val="bottom"/>
            <w:hideMark/>
          </w:tcPr>
          <w:p w14:paraId="7FE25DD9" w14:textId="77777777" w:rsidR="00BE6461" w:rsidRPr="00BE6461" w:rsidRDefault="00BE6461" w:rsidP="00BE6461">
            <w:pPr>
              <w:jc w:val="right"/>
              <w:rPr>
                <w:b/>
                <w:bCs/>
                <w:sz w:val="20"/>
                <w:szCs w:val="20"/>
              </w:rPr>
            </w:pPr>
            <w:r w:rsidRPr="00BE6461">
              <w:rPr>
                <w:b/>
                <w:bCs/>
                <w:sz w:val="20"/>
                <w:szCs w:val="20"/>
              </w:rPr>
              <w:t>188.841,20</w:t>
            </w:r>
          </w:p>
        </w:tc>
        <w:tc>
          <w:tcPr>
            <w:tcW w:w="1500" w:type="dxa"/>
            <w:tcBorders>
              <w:top w:val="nil"/>
              <w:left w:val="nil"/>
              <w:bottom w:val="nil"/>
              <w:right w:val="nil"/>
            </w:tcBorders>
            <w:shd w:val="clear" w:color="auto" w:fill="auto"/>
            <w:noWrap/>
            <w:vAlign w:val="bottom"/>
            <w:hideMark/>
          </w:tcPr>
          <w:p w14:paraId="2A375CF2" w14:textId="77777777" w:rsidR="00BE6461" w:rsidRPr="00BE6461" w:rsidRDefault="00BE6461" w:rsidP="00BE6461">
            <w:pPr>
              <w:jc w:val="right"/>
              <w:rPr>
                <w:b/>
                <w:bCs/>
                <w:sz w:val="20"/>
                <w:szCs w:val="20"/>
              </w:rPr>
            </w:pPr>
            <w:r w:rsidRPr="00BE6461">
              <w:rPr>
                <w:b/>
                <w:bCs/>
                <w:sz w:val="20"/>
                <w:szCs w:val="20"/>
              </w:rPr>
              <w:t>262.845,80</w:t>
            </w:r>
          </w:p>
        </w:tc>
        <w:tc>
          <w:tcPr>
            <w:tcW w:w="1100" w:type="dxa"/>
            <w:tcBorders>
              <w:top w:val="nil"/>
              <w:left w:val="nil"/>
              <w:bottom w:val="nil"/>
              <w:right w:val="nil"/>
            </w:tcBorders>
            <w:shd w:val="clear" w:color="auto" w:fill="auto"/>
            <w:noWrap/>
            <w:vAlign w:val="bottom"/>
            <w:hideMark/>
          </w:tcPr>
          <w:p w14:paraId="28F5875B" w14:textId="77777777" w:rsidR="00BE6461" w:rsidRPr="00BE6461" w:rsidRDefault="00BE6461" w:rsidP="00BE6461">
            <w:pPr>
              <w:jc w:val="right"/>
              <w:rPr>
                <w:b/>
                <w:bCs/>
                <w:sz w:val="20"/>
                <w:szCs w:val="20"/>
              </w:rPr>
            </w:pPr>
            <w:r w:rsidRPr="00BE6461">
              <w:rPr>
                <w:b/>
                <w:bCs/>
                <w:sz w:val="20"/>
                <w:szCs w:val="20"/>
              </w:rPr>
              <w:t>139,19</w:t>
            </w:r>
          </w:p>
        </w:tc>
      </w:tr>
      <w:tr w:rsidR="00BE6461" w:rsidRPr="00BE6461" w14:paraId="69C24311" w14:textId="77777777" w:rsidTr="00BE6461">
        <w:trPr>
          <w:trHeight w:val="300"/>
        </w:trPr>
        <w:tc>
          <w:tcPr>
            <w:tcW w:w="1703" w:type="dxa"/>
            <w:tcBorders>
              <w:top w:val="nil"/>
              <w:left w:val="nil"/>
              <w:bottom w:val="nil"/>
              <w:right w:val="nil"/>
            </w:tcBorders>
            <w:shd w:val="clear" w:color="auto" w:fill="auto"/>
            <w:noWrap/>
            <w:vAlign w:val="bottom"/>
            <w:hideMark/>
          </w:tcPr>
          <w:p w14:paraId="0882F5E9" w14:textId="77777777" w:rsidR="00BE6461" w:rsidRPr="00BE6461" w:rsidRDefault="00BE6461" w:rsidP="00BE6461">
            <w:pPr>
              <w:rPr>
                <w:sz w:val="20"/>
                <w:szCs w:val="20"/>
              </w:rPr>
            </w:pPr>
            <w:r w:rsidRPr="00BE6461">
              <w:rPr>
                <w:sz w:val="20"/>
                <w:szCs w:val="20"/>
              </w:rPr>
              <w:t>3111</w:t>
            </w:r>
          </w:p>
        </w:tc>
        <w:tc>
          <w:tcPr>
            <w:tcW w:w="8457" w:type="dxa"/>
            <w:tcBorders>
              <w:top w:val="nil"/>
              <w:left w:val="nil"/>
              <w:bottom w:val="nil"/>
              <w:right w:val="nil"/>
            </w:tcBorders>
            <w:shd w:val="clear" w:color="auto" w:fill="auto"/>
            <w:vAlign w:val="bottom"/>
            <w:hideMark/>
          </w:tcPr>
          <w:p w14:paraId="2320ADF5" w14:textId="77777777" w:rsidR="00BE6461" w:rsidRPr="00BE6461" w:rsidRDefault="00BE6461" w:rsidP="00BE6461">
            <w:pPr>
              <w:rPr>
                <w:sz w:val="20"/>
                <w:szCs w:val="20"/>
              </w:rPr>
            </w:pPr>
            <w:r w:rsidRPr="00BE6461">
              <w:rPr>
                <w:sz w:val="20"/>
                <w:szCs w:val="20"/>
              </w:rPr>
              <w:t xml:space="preserve">Plaće za redovan rad                                                                                </w:t>
            </w:r>
          </w:p>
        </w:tc>
        <w:tc>
          <w:tcPr>
            <w:tcW w:w="1503" w:type="dxa"/>
            <w:tcBorders>
              <w:top w:val="nil"/>
              <w:left w:val="nil"/>
              <w:bottom w:val="nil"/>
              <w:right w:val="nil"/>
            </w:tcBorders>
            <w:shd w:val="clear" w:color="auto" w:fill="auto"/>
            <w:noWrap/>
            <w:vAlign w:val="bottom"/>
            <w:hideMark/>
          </w:tcPr>
          <w:p w14:paraId="37BE605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D824591" w14:textId="77777777" w:rsidR="00BE6461" w:rsidRPr="00BE6461" w:rsidRDefault="00BE6461" w:rsidP="00BE6461">
            <w:pPr>
              <w:jc w:val="right"/>
              <w:rPr>
                <w:sz w:val="20"/>
                <w:szCs w:val="20"/>
              </w:rPr>
            </w:pPr>
            <w:r w:rsidRPr="00BE6461">
              <w:rPr>
                <w:sz w:val="20"/>
                <w:szCs w:val="20"/>
              </w:rPr>
              <w:t>262.845,80</w:t>
            </w:r>
          </w:p>
        </w:tc>
        <w:tc>
          <w:tcPr>
            <w:tcW w:w="1100" w:type="dxa"/>
            <w:tcBorders>
              <w:top w:val="nil"/>
              <w:left w:val="nil"/>
              <w:bottom w:val="nil"/>
              <w:right w:val="nil"/>
            </w:tcBorders>
            <w:shd w:val="clear" w:color="auto" w:fill="auto"/>
            <w:noWrap/>
            <w:vAlign w:val="bottom"/>
            <w:hideMark/>
          </w:tcPr>
          <w:p w14:paraId="29B3975B" w14:textId="77777777" w:rsidR="00BE6461" w:rsidRPr="00BE6461" w:rsidRDefault="00BE6461" w:rsidP="00BE6461">
            <w:pPr>
              <w:jc w:val="right"/>
              <w:rPr>
                <w:sz w:val="20"/>
                <w:szCs w:val="20"/>
              </w:rPr>
            </w:pPr>
          </w:p>
        </w:tc>
      </w:tr>
      <w:tr w:rsidR="00BE6461" w:rsidRPr="00BE6461" w14:paraId="312DD2C5" w14:textId="77777777" w:rsidTr="00BE6461">
        <w:trPr>
          <w:trHeight w:val="300"/>
        </w:trPr>
        <w:tc>
          <w:tcPr>
            <w:tcW w:w="1703" w:type="dxa"/>
            <w:tcBorders>
              <w:top w:val="nil"/>
              <w:left w:val="nil"/>
              <w:bottom w:val="nil"/>
              <w:right w:val="nil"/>
            </w:tcBorders>
            <w:shd w:val="clear" w:color="auto" w:fill="auto"/>
            <w:noWrap/>
            <w:vAlign w:val="bottom"/>
            <w:hideMark/>
          </w:tcPr>
          <w:p w14:paraId="5C93C82D" w14:textId="77777777" w:rsidR="00BE6461" w:rsidRPr="00BE6461" w:rsidRDefault="00BE6461" w:rsidP="00BE6461">
            <w:pPr>
              <w:rPr>
                <w:b/>
                <w:bCs/>
                <w:sz w:val="20"/>
                <w:szCs w:val="20"/>
              </w:rPr>
            </w:pPr>
            <w:r w:rsidRPr="00BE6461">
              <w:rPr>
                <w:b/>
                <w:bCs/>
                <w:sz w:val="20"/>
                <w:szCs w:val="20"/>
              </w:rPr>
              <w:t>313</w:t>
            </w:r>
          </w:p>
        </w:tc>
        <w:tc>
          <w:tcPr>
            <w:tcW w:w="8457" w:type="dxa"/>
            <w:tcBorders>
              <w:top w:val="nil"/>
              <w:left w:val="nil"/>
              <w:bottom w:val="nil"/>
              <w:right w:val="nil"/>
            </w:tcBorders>
            <w:shd w:val="clear" w:color="auto" w:fill="auto"/>
            <w:vAlign w:val="bottom"/>
            <w:hideMark/>
          </w:tcPr>
          <w:p w14:paraId="2C7360DB" w14:textId="77777777" w:rsidR="00BE6461" w:rsidRPr="00BE6461" w:rsidRDefault="00BE6461" w:rsidP="00BE6461">
            <w:pPr>
              <w:rPr>
                <w:b/>
                <w:bCs/>
                <w:sz w:val="20"/>
                <w:szCs w:val="20"/>
              </w:rPr>
            </w:pPr>
            <w:r w:rsidRPr="00BE6461">
              <w:rPr>
                <w:b/>
                <w:bCs/>
                <w:sz w:val="20"/>
                <w:szCs w:val="20"/>
              </w:rPr>
              <w:t xml:space="preserve">Doprinosi na plaće                                                                                  </w:t>
            </w:r>
          </w:p>
        </w:tc>
        <w:tc>
          <w:tcPr>
            <w:tcW w:w="1503" w:type="dxa"/>
            <w:tcBorders>
              <w:top w:val="nil"/>
              <w:left w:val="nil"/>
              <w:bottom w:val="nil"/>
              <w:right w:val="nil"/>
            </w:tcBorders>
            <w:shd w:val="clear" w:color="auto" w:fill="auto"/>
            <w:noWrap/>
            <w:vAlign w:val="bottom"/>
            <w:hideMark/>
          </w:tcPr>
          <w:p w14:paraId="61578AB9" w14:textId="77777777" w:rsidR="00BE6461" w:rsidRPr="00BE6461" w:rsidRDefault="00BE6461" w:rsidP="00BE6461">
            <w:pPr>
              <w:jc w:val="right"/>
              <w:rPr>
                <w:b/>
                <w:bCs/>
                <w:sz w:val="20"/>
                <w:szCs w:val="20"/>
              </w:rPr>
            </w:pPr>
            <w:r w:rsidRPr="00BE6461">
              <w:rPr>
                <w:b/>
                <w:bCs/>
                <w:sz w:val="20"/>
                <w:szCs w:val="20"/>
              </w:rPr>
              <w:t>31.158,80</w:t>
            </w:r>
          </w:p>
        </w:tc>
        <w:tc>
          <w:tcPr>
            <w:tcW w:w="1500" w:type="dxa"/>
            <w:tcBorders>
              <w:top w:val="nil"/>
              <w:left w:val="nil"/>
              <w:bottom w:val="nil"/>
              <w:right w:val="nil"/>
            </w:tcBorders>
            <w:shd w:val="clear" w:color="auto" w:fill="auto"/>
            <w:noWrap/>
            <w:vAlign w:val="bottom"/>
            <w:hideMark/>
          </w:tcPr>
          <w:p w14:paraId="7671BAE3" w14:textId="77777777" w:rsidR="00BE6461" w:rsidRPr="00BE6461" w:rsidRDefault="00BE6461" w:rsidP="00BE6461">
            <w:pPr>
              <w:jc w:val="right"/>
              <w:rPr>
                <w:b/>
                <w:bCs/>
                <w:sz w:val="20"/>
                <w:szCs w:val="20"/>
              </w:rPr>
            </w:pPr>
            <w:r w:rsidRPr="00BE6461">
              <w:rPr>
                <w:b/>
                <w:bCs/>
                <w:sz w:val="20"/>
                <w:szCs w:val="20"/>
              </w:rPr>
              <w:t>43.369,48</w:t>
            </w:r>
          </w:p>
        </w:tc>
        <w:tc>
          <w:tcPr>
            <w:tcW w:w="1100" w:type="dxa"/>
            <w:tcBorders>
              <w:top w:val="nil"/>
              <w:left w:val="nil"/>
              <w:bottom w:val="nil"/>
              <w:right w:val="nil"/>
            </w:tcBorders>
            <w:shd w:val="clear" w:color="auto" w:fill="auto"/>
            <w:noWrap/>
            <w:vAlign w:val="bottom"/>
            <w:hideMark/>
          </w:tcPr>
          <w:p w14:paraId="041B94F3" w14:textId="77777777" w:rsidR="00BE6461" w:rsidRPr="00BE6461" w:rsidRDefault="00BE6461" w:rsidP="00BE6461">
            <w:pPr>
              <w:jc w:val="right"/>
              <w:rPr>
                <w:b/>
                <w:bCs/>
                <w:sz w:val="20"/>
                <w:szCs w:val="20"/>
              </w:rPr>
            </w:pPr>
            <w:r w:rsidRPr="00BE6461">
              <w:rPr>
                <w:b/>
                <w:bCs/>
                <w:sz w:val="20"/>
                <w:szCs w:val="20"/>
              </w:rPr>
              <w:t>139,19</w:t>
            </w:r>
          </w:p>
        </w:tc>
      </w:tr>
      <w:tr w:rsidR="00BE6461" w:rsidRPr="00BE6461" w14:paraId="2DC9C534" w14:textId="77777777" w:rsidTr="00BE6461">
        <w:trPr>
          <w:trHeight w:val="300"/>
        </w:trPr>
        <w:tc>
          <w:tcPr>
            <w:tcW w:w="1703" w:type="dxa"/>
            <w:tcBorders>
              <w:top w:val="nil"/>
              <w:left w:val="nil"/>
              <w:bottom w:val="nil"/>
              <w:right w:val="nil"/>
            </w:tcBorders>
            <w:shd w:val="clear" w:color="auto" w:fill="auto"/>
            <w:noWrap/>
            <w:vAlign w:val="bottom"/>
            <w:hideMark/>
          </w:tcPr>
          <w:p w14:paraId="45FB94A6" w14:textId="77777777" w:rsidR="00BE6461" w:rsidRPr="00BE6461" w:rsidRDefault="00BE6461" w:rsidP="00BE6461">
            <w:pPr>
              <w:rPr>
                <w:sz w:val="20"/>
                <w:szCs w:val="20"/>
              </w:rPr>
            </w:pPr>
            <w:r w:rsidRPr="00BE6461">
              <w:rPr>
                <w:sz w:val="20"/>
                <w:szCs w:val="20"/>
              </w:rPr>
              <w:lastRenderedPageBreak/>
              <w:t>3132</w:t>
            </w:r>
          </w:p>
        </w:tc>
        <w:tc>
          <w:tcPr>
            <w:tcW w:w="8457" w:type="dxa"/>
            <w:tcBorders>
              <w:top w:val="nil"/>
              <w:left w:val="nil"/>
              <w:bottom w:val="nil"/>
              <w:right w:val="nil"/>
            </w:tcBorders>
            <w:shd w:val="clear" w:color="auto" w:fill="auto"/>
            <w:vAlign w:val="bottom"/>
            <w:hideMark/>
          </w:tcPr>
          <w:p w14:paraId="5F829046" w14:textId="77777777" w:rsidR="00BE6461" w:rsidRPr="00BE6461" w:rsidRDefault="00BE6461" w:rsidP="00BE6461">
            <w:pPr>
              <w:rPr>
                <w:sz w:val="20"/>
                <w:szCs w:val="20"/>
              </w:rPr>
            </w:pPr>
            <w:r w:rsidRPr="00BE6461">
              <w:rPr>
                <w:sz w:val="20"/>
                <w:szCs w:val="20"/>
              </w:rPr>
              <w:t xml:space="preserve">Doprinosi za obvezno zdravstveno osiguranje                                                         </w:t>
            </w:r>
          </w:p>
        </w:tc>
        <w:tc>
          <w:tcPr>
            <w:tcW w:w="1503" w:type="dxa"/>
            <w:tcBorders>
              <w:top w:val="nil"/>
              <w:left w:val="nil"/>
              <w:bottom w:val="nil"/>
              <w:right w:val="nil"/>
            </w:tcBorders>
            <w:shd w:val="clear" w:color="auto" w:fill="auto"/>
            <w:noWrap/>
            <w:vAlign w:val="bottom"/>
            <w:hideMark/>
          </w:tcPr>
          <w:p w14:paraId="2EE5C3D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F960277" w14:textId="77777777" w:rsidR="00BE6461" w:rsidRPr="00BE6461" w:rsidRDefault="00BE6461" w:rsidP="00BE6461">
            <w:pPr>
              <w:jc w:val="right"/>
              <w:rPr>
                <w:sz w:val="20"/>
                <w:szCs w:val="20"/>
              </w:rPr>
            </w:pPr>
            <w:r w:rsidRPr="00BE6461">
              <w:rPr>
                <w:sz w:val="20"/>
                <w:szCs w:val="20"/>
              </w:rPr>
              <w:t>43.369,48</w:t>
            </w:r>
          </w:p>
        </w:tc>
        <w:tc>
          <w:tcPr>
            <w:tcW w:w="1100" w:type="dxa"/>
            <w:tcBorders>
              <w:top w:val="nil"/>
              <w:left w:val="nil"/>
              <w:bottom w:val="nil"/>
              <w:right w:val="nil"/>
            </w:tcBorders>
            <w:shd w:val="clear" w:color="auto" w:fill="auto"/>
            <w:noWrap/>
            <w:vAlign w:val="bottom"/>
            <w:hideMark/>
          </w:tcPr>
          <w:p w14:paraId="78E96B64" w14:textId="77777777" w:rsidR="00BE6461" w:rsidRPr="00BE6461" w:rsidRDefault="00BE6461" w:rsidP="00BE6461">
            <w:pPr>
              <w:jc w:val="right"/>
              <w:rPr>
                <w:sz w:val="20"/>
                <w:szCs w:val="20"/>
              </w:rPr>
            </w:pPr>
          </w:p>
        </w:tc>
      </w:tr>
      <w:tr w:rsidR="00BE6461" w:rsidRPr="00BE6461" w14:paraId="7C7B0728"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09F28B2" w14:textId="77777777" w:rsidR="00BE6461" w:rsidRPr="00BE6461" w:rsidRDefault="00BE6461" w:rsidP="00BE6461">
            <w:pPr>
              <w:rPr>
                <w:b/>
                <w:bCs/>
                <w:color w:val="333333"/>
                <w:sz w:val="20"/>
                <w:szCs w:val="20"/>
              </w:rPr>
            </w:pPr>
            <w:r w:rsidRPr="00BE6461">
              <w:rPr>
                <w:b/>
                <w:bCs/>
                <w:color w:val="333333"/>
                <w:sz w:val="20"/>
                <w:szCs w:val="20"/>
              </w:rPr>
              <w:t>Izvor 6. DONACIJE</w:t>
            </w:r>
          </w:p>
        </w:tc>
        <w:tc>
          <w:tcPr>
            <w:tcW w:w="1503" w:type="dxa"/>
            <w:tcBorders>
              <w:top w:val="nil"/>
              <w:left w:val="nil"/>
              <w:bottom w:val="nil"/>
              <w:right w:val="nil"/>
            </w:tcBorders>
            <w:shd w:val="clear" w:color="auto" w:fill="auto"/>
            <w:noWrap/>
            <w:vAlign w:val="bottom"/>
            <w:hideMark/>
          </w:tcPr>
          <w:p w14:paraId="64E8EF1B" w14:textId="77777777" w:rsidR="00BE6461" w:rsidRPr="00BE6461" w:rsidRDefault="00BE6461" w:rsidP="00BE6461">
            <w:pPr>
              <w:jc w:val="right"/>
              <w:rPr>
                <w:b/>
                <w:bCs/>
                <w:color w:val="333333"/>
                <w:sz w:val="20"/>
                <w:szCs w:val="20"/>
              </w:rPr>
            </w:pPr>
            <w:r w:rsidRPr="00BE6461">
              <w:rPr>
                <w:b/>
                <w:bCs/>
                <w:color w:val="333333"/>
                <w:sz w:val="20"/>
                <w:szCs w:val="20"/>
              </w:rPr>
              <w:t>1.019,65</w:t>
            </w:r>
          </w:p>
        </w:tc>
        <w:tc>
          <w:tcPr>
            <w:tcW w:w="1500" w:type="dxa"/>
            <w:tcBorders>
              <w:top w:val="nil"/>
              <w:left w:val="nil"/>
              <w:bottom w:val="nil"/>
              <w:right w:val="nil"/>
            </w:tcBorders>
            <w:shd w:val="clear" w:color="auto" w:fill="auto"/>
            <w:noWrap/>
            <w:vAlign w:val="bottom"/>
            <w:hideMark/>
          </w:tcPr>
          <w:p w14:paraId="5729D2B9"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100" w:type="dxa"/>
            <w:tcBorders>
              <w:top w:val="nil"/>
              <w:left w:val="nil"/>
              <w:bottom w:val="nil"/>
              <w:right w:val="nil"/>
            </w:tcBorders>
            <w:shd w:val="clear" w:color="auto" w:fill="auto"/>
            <w:noWrap/>
            <w:vAlign w:val="bottom"/>
            <w:hideMark/>
          </w:tcPr>
          <w:p w14:paraId="7A85DCF8"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5C93C5D5"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6CE8D7C" w14:textId="77777777" w:rsidR="00BE6461" w:rsidRPr="00BE6461" w:rsidRDefault="00BE6461" w:rsidP="00BE6461">
            <w:pPr>
              <w:rPr>
                <w:b/>
                <w:bCs/>
                <w:color w:val="333333"/>
                <w:sz w:val="20"/>
                <w:szCs w:val="20"/>
              </w:rPr>
            </w:pPr>
            <w:r w:rsidRPr="00BE6461">
              <w:rPr>
                <w:b/>
                <w:bCs/>
                <w:color w:val="333333"/>
                <w:sz w:val="20"/>
                <w:szCs w:val="20"/>
              </w:rPr>
              <w:t>Izvor 6.2. DONACIJE - PRORAČUNSKI KORISNICI (GRAD)</w:t>
            </w:r>
          </w:p>
        </w:tc>
        <w:tc>
          <w:tcPr>
            <w:tcW w:w="1503" w:type="dxa"/>
            <w:tcBorders>
              <w:top w:val="nil"/>
              <w:left w:val="nil"/>
              <w:bottom w:val="nil"/>
              <w:right w:val="nil"/>
            </w:tcBorders>
            <w:shd w:val="clear" w:color="auto" w:fill="auto"/>
            <w:noWrap/>
            <w:vAlign w:val="bottom"/>
            <w:hideMark/>
          </w:tcPr>
          <w:p w14:paraId="0D167C95" w14:textId="77777777" w:rsidR="00BE6461" w:rsidRPr="00BE6461" w:rsidRDefault="00BE6461" w:rsidP="00BE6461">
            <w:pPr>
              <w:jc w:val="right"/>
              <w:rPr>
                <w:b/>
                <w:bCs/>
                <w:color w:val="333333"/>
                <w:sz w:val="20"/>
                <w:szCs w:val="20"/>
              </w:rPr>
            </w:pPr>
            <w:r w:rsidRPr="00BE6461">
              <w:rPr>
                <w:b/>
                <w:bCs/>
                <w:color w:val="333333"/>
                <w:sz w:val="20"/>
                <w:szCs w:val="20"/>
              </w:rPr>
              <w:t>1.019,65</w:t>
            </w:r>
          </w:p>
        </w:tc>
        <w:tc>
          <w:tcPr>
            <w:tcW w:w="1500" w:type="dxa"/>
            <w:tcBorders>
              <w:top w:val="nil"/>
              <w:left w:val="nil"/>
              <w:bottom w:val="nil"/>
              <w:right w:val="nil"/>
            </w:tcBorders>
            <w:shd w:val="clear" w:color="auto" w:fill="auto"/>
            <w:noWrap/>
            <w:vAlign w:val="bottom"/>
            <w:hideMark/>
          </w:tcPr>
          <w:p w14:paraId="32B60BE3"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100" w:type="dxa"/>
            <w:tcBorders>
              <w:top w:val="nil"/>
              <w:left w:val="nil"/>
              <w:bottom w:val="nil"/>
              <w:right w:val="nil"/>
            </w:tcBorders>
            <w:shd w:val="clear" w:color="auto" w:fill="auto"/>
            <w:noWrap/>
            <w:vAlign w:val="bottom"/>
            <w:hideMark/>
          </w:tcPr>
          <w:p w14:paraId="0CF2E04E"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3B9A6BBB" w14:textId="77777777" w:rsidTr="00BE6461">
        <w:trPr>
          <w:trHeight w:val="300"/>
        </w:trPr>
        <w:tc>
          <w:tcPr>
            <w:tcW w:w="1703" w:type="dxa"/>
            <w:tcBorders>
              <w:top w:val="nil"/>
              <w:left w:val="nil"/>
              <w:bottom w:val="nil"/>
              <w:right w:val="nil"/>
            </w:tcBorders>
            <w:shd w:val="clear" w:color="auto" w:fill="auto"/>
            <w:noWrap/>
            <w:vAlign w:val="bottom"/>
            <w:hideMark/>
          </w:tcPr>
          <w:p w14:paraId="2C1970BE" w14:textId="77777777" w:rsidR="00BE6461" w:rsidRPr="00BE6461" w:rsidRDefault="00BE6461" w:rsidP="00BE6461">
            <w:pPr>
              <w:rPr>
                <w:b/>
                <w:bCs/>
                <w:sz w:val="20"/>
                <w:szCs w:val="20"/>
              </w:rPr>
            </w:pPr>
            <w:r w:rsidRPr="00BE6461">
              <w:rPr>
                <w:b/>
                <w:bCs/>
                <w:sz w:val="20"/>
                <w:szCs w:val="20"/>
              </w:rPr>
              <w:t>311</w:t>
            </w:r>
          </w:p>
        </w:tc>
        <w:tc>
          <w:tcPr>
            <w:tcW w:w="8457" w:type="dxa"/>
            <w:tcBorders>
              <w:top w:val="nil"/>
              <w:left w:val="nil"/>
              <w:bottom w:val="nil"/>
              <w:right w:val="nil"/>
            </w:tcBorders>
            <w:shd w:val="clear" w:color="auto" w:fill="auto"/>
            <w:vAlign w:val="bottom"/>
            <w:hideMark/>
          </w:tcPr>
          <w:p w14:paraId="6707063B" w14:textId="77777777" w:rsidR="00BE6461" w:rsidRPr="00BE6461" w:rsidRDefault="00BE6461" w:rsidP="00BE6461">
            <w:pPr>
              <w:rPr>
                <w:b/>
                <w:bCs/>
                <w:sz w:val="20"/>
                <w:szCs w:val="20"/>
              </w:rPr>
            </w:pPr>
            <w:r w:rsidRPr="00BE6461">
              <w:rPr>
                <w:b/>
                <w:bCs/>
                <w:sz w:val="20"/>
                <w:szCs w:val="20"/>
              </w:rPr>
              <w:t xml:space="preserve">Plaće (Bruto)                                                                                       </w:t>
            </w:r>
          </w:p>
        </w:tc>
        <w:tc>
          <w:tcPr>
            <w:tcW w:w="1503" w:type="dxa"/>
            <w:tcBorders>
              <w:top w:val="nil"/>
              <w:left w:val="nil"/>
              <w:bottom w:val="nil"/>
              <w:right w:val="nil"/>
            </w:tcBorders>
            <w:shd w:val="clear" w:color="auto" w:fill="auto"/>
            <w:noWrap/>
            <w:vAlign w:val="bottom"/>
            <w:hideMark/>
          </w:tcPr>
          <w:p w14:paraId="13870424" w14:textId="77777777" w:rsidR="00BE6461" w:rsidRPr="00BE6461" w:rsidRDefault="00BE6461" w:rsidP="00BE6461">
            <w:pPr>
              <w:jc w:val="right"/>
              <w:rPr>
                <w:b/>
                <w:bCs/>
                <w:sz w:val="20"/>
                <w:szCs w:val="20"/>
              </w:rPr>
            </w:pPr>
            <w:r w:rsidRPr="00BE6461">
              <w:rPr>
                <w:b/>
                <w:bCs/>
                <w:sz w:val="20"/>
                <w:szCs w:val="20"/>
              </w:rPr>
              <w:t>875,24</w:t>
            </w:r>
          </w:p>
        </w:tc>
        <w:tc>
          <w:tcPr>
            <w:tcW w:w="1500" w:type="dxa"/>
            <w:tcBorders>
              <w:top w:val="nil"/>
              <w:left w:val="nil"/>
              <w:bottom w:val="nil"/>
              <w:right w:val="nil"/>
            </w:tcBorders>
            <w:shd w:val="clear" w:color="auto" w:fill="auto"/>
            <w:noWrap/>
            <w:vAlign w:val="bottom"/>
            <w:hideMark/>
          </w:tcPr>
          <w:p w14:paraId="3DB69279"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201E0B0B"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5879E3C2" w14:textId="77777777" w:rsidTr="00BE6461">
        <w:trPr>
          <w:trHeight w:val="300"/>
        </w:trPr>
        <w:tc>
          <w:tcPr>
            <w:tcW w:w="1703" w:type="dxa"/>
            <w:tcBorders>
              <w:top w:val="nil"/>
              <w:left w:val="nil"/>
              <w:bottom w:val="nil"/>
              <w:right w:val="nil"/>
            </w:tcBorders>
            <w:shd w:val="clear" w:color="auto" w:fill="auto"/>
            <w:noWrap/>
            <w:vAlign w:val="bottom"/>
            <w:hideMark/>
          </w:tcPr>
          <w:p w14:paraId="2E23AA65" w14:textId="77777777" w:rsidR="00BE6461" w:rsidRPr="00BE6461" w:rsidRDefault="00BE6461" w:rsidP="00BE6461">
            <w:pPr>
              <w:rPr>
                <w:sz w:val="20"/>
                <w:szCs w:val="20"/>
              </w:rPr>
            </w:pPr>
            <w:r w:rsidRPr="00BE6461">
              <w:rPr>
                <w:sz w:val="20"/>
                <w:szCs w:val="20"/>
              </w:rPr>
              <w:t>3111</w:t>
            </w:r>
          </w:p>
        </w:tc>
        <w:tc>
          <w:tcPr>
            <w:tcW w:w="8457" w:type="dxa"/>
            <w:tcBorders>
              <w:top w:val="nil"/>
              <w:left w:val="nil"/>
              <w:bottom w:val="nil"/>
              <w:right w:val="nil"/>
            </w:tcBorders>
            <w:shd w:val="clear" w:color="auto" w:fill="auto"/>
            <w:vAlign w:val="bottom"/>
            <w:hideMark/>
          </w:tcPr>
          <w:p w14:paraId="294CA6C8" w14:textId="77777777" w:rsidR="00BE6461" w:rsidRPr="00BE6461" w:rsidRDefault="00BE6461" w:rsidP="00BE6461">
            <w:pPr>
              <w:rPr>
                <w:sz w:val="20"/>
                <w:szCs w:val="20"/>
              </w:rPr>
            </w:pPr>
            <w:r w:rsidRPr="00BE6461">
              <w:rPr>
                <w:sz w:val="20"/>
                <w:szCs w:val="20"/>
              </w:rPr>
              <w:t xml:space="preserve">Plaće za redovan rad                                                                                </w:t>
            </w:r>
          </w:p>
        </w:tc>
        <w:tc>
          <w:tcPr>
            <w:tcW w:w="1503" w:type="dxa"/>
            <w:tcBorders>
              <w:top w:val="nil"/>
              <w:left w:val="nil"/>
              <w:bottom w:val="nil"/>
              <w:right w:val="nil"/>
            </w:tcBorders>
            <w:shd w:val="clear" w:color="auto" w:fill="auto"/>
            <w:noWrap/>
            <w:vAlign w:val="bottom"/>
            <w:hideMark/>
          </w:tcPr>
          <w:p w14:paraId="7CA70212"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E076E51"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6E1FE3FA" w14:textId="77777777" w:rsidR="00BE6461" w:rsidRPr="00BE6461" w:rsidRDefault="00BE6461" w:rsidP="00BE6461">
            <w:pPr>
              <w:jc w:val="right"/>
              <w:rPr>
                <w:sz w:val="20"/>
                <w:szCs w:val="20"/>
              </w:rPr>
            </w:pPr>
          </w:p>
        </w:tc>
      </w:tr>
      <w:tr w:rsidR="00BE6461" w:rsidRPr="00BE6461" w14:paraId="08624FC9" w14:textId="77777777" w:rsidTr="00BE6461">
        <w:trPr>
          <w:trHeight w:val="300"/>
        </w:trPr>
        <w:tc>
          <w:tcPr>
            <w:tcW w:w="1703" w:type="dxa"/>
            <w:tcBorders>
              <w:top w:val="nil"/>
              <w:left w:val="nil"/>
              <w:bottom w:val="nil"/>
              <w:right w:val="nil"/>
            </w:tcBorders>
            <w:shd w:val="clear" w:color="auto" w:fill="auto"/>
            <w:noWrap/>
            <w:vAlign w:val="bottom"/>
            <w:hideMark/>
          </w:tcPr>
          <w:p w14:paraId="57235FB8" w14:textId="77777777" w:rsidR="00BE6461" w:rsidRPr="00BE6461" w:rsidRDefault="00BE6461" w:rsidP="00BE6461">
            <w:pPr>
              <w:rPr>
                <w:b/>
                <w:bCs/>
                <w:sz w:val="20"/>
                <w:szCs w:val="20"/>
              </w:rPr>
            </w:pPr>
            <w:r w:rsidRPr="00BE6461">
              <w:rPr>
                <w:b/>
                <w:bCs/>
                <w:sz w:val="20"/>
                <w:szCs w:val="20"/>
              </w:rPr>
              <w:t>313</w:t>
            </w:r>
          </w:p>
        </w:tc>
        <w:tc>
          <w:tcPr>
            <w:tcW w:w="8457" w:type="dxa"/>
            <w:tcBorders>
              <w:top w:val="nil"/>
              <w:left w:val="nil"/>
              <w:bottom w:val="nil"/>
              <w:right w:val="nil"/>
            </w:tcBorders>
            <w:shd w:val="clear" w:color="auto" w:fill="auto"/>
            <w:vAlign w:val="bottom"/>
            <w:hideMark/>
          </w:tcPr>
          <w:p w14:paraId="031BF24F" w14:textId="77777777" w:rsidR="00BE6461" w:rsidRPr="00BE6461" w:rsidRDefault="00BE6461" w:rsidP="00BE6461">
            <w:pPr>
              <w:rPr>
                <w:b/>
                <w:bCs/>
                <w:sz w:val="20"/>
                <w:szCs w:val="20"/>
              </w:rPr>
            </w:pPr>
            <w:r w:rsidRPr="00BE6461">
              <w:rPr>
                <w:b/>
                <w:bCs/>
                <w:sz w:val="20"/>
                <w:szCs w:val="20"/>
              </w:rPr>
              <w:t xml:space="preserve">Doprinosi na plaće                                                                                  </w:t>
            </w:r>
          </w:p>
        </w:tc>
        <w:tc>
          <w:tcPr>
            <w:tcW w:w="1503" w:type="dxa"/>
            <w:tcBorders>
              <w:top w:val="nil"/>
              <w:left w:val="nil"/>
              <w:bottom w:val="nil"/>
              <w:right w:val="nil"/>
            </w:tcBorders>
            <w:shd w:val="clear" w:color="auto" w:fill="auto"/>
            <w:noWrap/>
            <w:vAlign w:val="bottom"/>
            <w:hideMark/>
          </w:tcPr>
          <w:p w14:paraId="622B79B8" w14:textId="77777777" w:rsidR="00BE6461" w:rsidRPr="00BE6461" w:rsidRDefault="00BE6461" w:rsidP="00BE6461">
            <w:pPr>
              <w:jc w:val="right"/>
              <w:rPr>
                <w:b/>
                <w:bCs/>
                <w:sz w:val="20"/>
                <w:szCs w:val="20"/>
              </w:rPr>
            </w:pPr>
            <w:r w:rsidRPr="00BE6461">
              <w:rPr>
                <w:b/>
                <w:bCs/>
                <w:sz w:val="20"/>
                <w:szCs w:val="20"/>
              </w:rPr>
              <w:t>144,41</w:t>
            </w:r>
          </w:p>
        </w:tc>
        <w:tc>
          <w:tcPr>
            <w:tcW w:w="1500" w:type="dxa"/>
            <w:tcBorders>
              <w:top w:val="nil"/>
              <w:left w:val="nil"/>
              <w:bottom w:val="nil"/>
              <w:right w:val="nil"/>
            </w:tcBorders>
            <w:shd w:val="clear" w:color="auto" w:fill="auto"/>
            <w:noWrap/>
            <w:vAlign w:val="bottom"/>
            <w:hideMark/>
          </w:tcPr>
          <w:p w14:paraId="38E96A74"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6DA5B01E"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2701EE05" w14:textId="77777777" w:rsidTr="00BE6461">
        <w:trPr>
          <w:trHeight w:val="300"/>
        </w:trPr>
        <w:tc>
          <w:tcPr>
            <w:tcW w:w="1703" w:type="dxa"/>
            <w:tcBorders>
              <w:top w:val="nil"/>
              <w:left w:val="nil"/>
              <w:bottom w:val="nil"/>
              <w:right w:val="nil"/>
            </w:tcBorders>
            <w:shd w:val="clear" w:color="auto" w:fill="auto"/>
            <w:noWrap/>
            <w:vAlign w:val="bottom"/>
            <w:hideMark/>
          </w:tcPr>
          <w:p w14:paraId="3E9B8040" w14:textId="77777777" w:rsidR="00BE6461" w:rsidRPr="00BE6461" w:rsidRDefault="00BE6461" w:rsidP="00BE6461">
            <w:pPr>
              <w:rPr>
                <w:sz w:val="20"/>
                <w:szCs w:val="20"/>
              </w:rPr>
            </w:pPr>
            <w:r w:rsidRPr="00BE6461">
              <w:rPr>
                <w:sz w:val="20"/>
                <w:szCs w:val="20"/>
              </w:rPr>
              <w:t>3132</w:t>
            </w:r>
          </w:p>
        </w:tc>
        <w:tc>
          <w:tcPr>
            <w:tcW w:w="8457" w:type="dxa"/>
            <w:tcBorders>
              <w:top w:val="nil"/>
              <w:left w:val="nil"/>
              <w:bottom w:val="nil"/>
              <w:right w:val="nil"/>
            </w:tcBorders>
            <w:shd w:val="clear" w:color="auto" w:fill="auto"/>
            <w:vAlign w:val="bottom"/>
            <w:hideMark/>
          </w:tcPr>
          <w:p w14:paraId="6E93F3DC" w14:textId="77777777" w:rsidR="00BE6461" w:rsidRPr="00BE6461" w:rsidRDefault="00BE6461" w:rsidP="00BE6461">
            <w:pPr>
              <w:rPr>
                <w:sz w:val="20"/>
                <w:szCs w:val="20"/>
              </w:rPr>
            </w:pPr>
            <w:r w:rsidRPr="00BE6461">
              <w:rPr>
                <w:sz w:val="20"/>
                <w:szCs w:val="20"/>
              </w:rPr>
              <w:t xml:space="preserve">Doprinosi za obvezno zdravstveno osiguranje                                                         </w:t>
            </w:r>
          </w:p>
        </w:tc>
        <w:tc>
          <w:tcPr>
            <w:tcW w:w="1503" w:type="dxa"/>
            <w:tcBorders>
              <w:top w:val="nil"/>
              <w:left w:val="nil"/>
              <w:bottom w:val="nil"/>
              <w:right w:val="nil"/>
            </w:tcBorders>
            <w:shd w:val="clear" w:color="auto" w:fill="auto"/>
            <w:noWrap/>
            <w:vAlign w:val="bottom"/>
            <w:hideMark/>
          </w:tcPr>
          <w:p w14:paraId="3CFF2C3E"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45120F7"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576A606C" w14:textId="77777777" w:rsidR="00BE6461" w:rsidRPr="00BE6461" w:rsidRDefault="00BE6461" w:rsidP="00BE6461">
            <w:pPr>
              <w:jc w:val="right"/>
              <w:rPr>
                <w:sz w:val="20"/>
                <w:szCs w:val="20"/>
              </w:rPr>
            </w:pPr>
          </w:p>
        </w:tc>
      </w:tr>
      <w:tr w:rsidR="00BE6461" w:rsidRPr="00BE6461" w14:paraId="7E9DA52A"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1015070B" w14:textId="77777777" w:rsidR="00BE6461" w:rsidRPr="00BE6461" w:rsidRDefault="00BE6461" w:rsidP="00BE6461">
            <w:pPr>
              <w:rPr>
                <w:b/>
                <w:bCs/>
                <w:sz w:val="20"/>
                <w:szCs w:val="20"/>
              </w:rPr>
            </w:pPr>
            <w:r w:rsidRPr="00BE6461">
              <w:rPr>
                <w:b/>
                <w:bCs/>
                <w:sz w:val="20"/>
                <w:szCs w:val="20"/>
              </w:rPr>
              <w:t>A100015</w:t>
            </w:r>
          </w:p>
        </w:tc>
        <w:tc>
          <w:tcPr>
            <w:tcW w:w="8457" w:type="dxa"/>
            <w:tcBorders>
              <w:top w:val="single" w:sz="4" w:space="0" w:color="auto"/>
              <w:left w:val="nil"/>
              <w:bottom w:val="single" w:sz="4" w:space="0" w:color="auto"/>
              <w:right w:val="nil"/>
            </w:tcBorders>
            <w:shd w:val="clear" w:color="auto" w:fill="auto"/>
            <w:vAlign w:val="bottom"/>
            <w:hideMark/>
          </w:tcPr>
          <w:p w14:paraId="11BBE094" w14:textId="77777777" w:rsidR="00BE6461" w:rsidRPr="00BE6461" w:rsidRDefault="00BE6461" w:rsidP="00BE6461">
            <w:pPr>
              <w:rPr>
                <w:b/>
                <w:bCs/>
                <w:sz w:val="20"/>
                <w:szCs w:val="20"/>
              </w:rPr>
            </w:pPr>
            <w:r w:rsidRPr="00BE6461">
              <w:rPr>
                <w:b/>
                <w:bCs/>
                <w:sz w:val="20"/>
                <w:szCs w:val="20"/>
              </w:rPr>
              <w:t>Aktivnost: MATERIJALNI RASHODI</w:t>
            </w:r>
          </w:p>
        </w:tc>
        <w:tc>
          <w:tcPr>
            <w:tcW w:w="1503" w:type="dxa"/>
            <w:tcBorders>
              <w:top w:val="single" w:sz="4" w:space="0" w:color="auto"/>
              <w:left w:val="nil"/>
              <w:bottom w:val="single" w:sz="4" w:space="0" w:color="auto"/>
              <w:right w:val="nil"/>
            </w:tcBorders>
            <w:shd w:val="clear" w:color="auto" w:fill="auto"/>
            <w:noWrap/>
            <w:vAlign w:val="bottom"/>
            <w:hideMark/>
          </w:tcPr>
          <w:p w14:paraId="6FA34E5A" w14:textId="77777777" w:rsidR="00BE6461" w:rsidRPr="00BE6461" w:rsidRDefault="00BE6461" w:rsidP="00BE6461">
            <w:pPr>
              <w:jc w:val="right"/>
              <w:rPr>
                <w:b/>
                <w:bCs/>
                <w:sz w:val="20"/>
                <w:szCs w:val="20"/>
              </w:rPr>
            </w:pPr>
            <w:r w:rsidRPr="00BE6461">
              <w:rPr>
                <w:b/>
                <w:bCs/>
                <w:sz w:val="20"/>
                <w:szCs w:val="20"/>
              </w:rPr>
              <w:t>488.519,67</w:t>
            </w:r>
          </w:p>
        </w:tc>
        <w:tc>
          <w:tcPr>
            <w:tcW w:w="1500" w:type="dxa"/>
            <w:tcBorders>
              <w:top w:val="single" w:sz="4" w:space="0" w:color="auto"/>
              <w:left w:val="nil"/>
              <w:bottom w:val="single" w:sz="4" w:space="0" w:color="auto"/>
              <w:right w:val="nil"/>
            </w:tcBorders>
            <w:shd w:val="clear" w:color="auto" w:fill="auto"/>
            <w:noWrap/>
            <w:vAlign w:val="bottom"/>
            <w:hideMark/>
          </w:tcPr>
          <w:p w14:paraId="6701C290" w14:textId="77777777" w:rsidR="00BE6461" w:rsidRPr="00BE6461" w:rsidRDefault="00BE6461" w:rsidP="00BE6461">
            <w:pPr>
              <w:jc w:val="right"/>
              <w:rPr>
                <w:b/>
                <w:bCs/>
                <w:sz w:val="20"/>
                <w:szCs w:val="20"/>
              </w:rPr>
            </w:pPr>
            <w:r w:rsidRPr="00BE6461">
              <w:rPr>
                <w:b/>
                <w:bCs/>
                <w:sz w:val="20"/>
                <w:szCs w:val="20"/>
              </w:rPr>
              <w:t>490.750,90</w:t>
            </w:r>
          </w:p>
        </w:tc>
        <w:tc>
          <w:tcPr>
            <w:tcW w:w="1100" w:type="dxa"/>
            <w:tcBorders>
              <w:top w:val="single" w:sz="4" w:space="0" w:color="auto"/>
              <w:left w:val="nil"/>
              <w:bottom w:val="single" w:sz="4" w:space="0" w:color="auto"/>
              <w:right w:val="nil"/>
            </w:tcBorders>
            <w:shd w:val="clear" w:color="auto" w:fill="auto"/>
            <w:noWrap/>
            <w:vAlign w:val="bottom"/>
            <w:hideMark/>
          </w:tcPr>
          <w:p w14:paraId="4991EF7F" w14:textId="77777777" w:rsidR="00BE6461" w:rsidRPr="00BE6461" w:rsidRDefault="00BE6461" w:rsidP="00BE6461">
            <w:pPr>
              <w:jc w:val="right"/>
              <w:rPr>
                <w:b/>
                <w:bCs/>
                <w:sz w:val="20"/>
                <w:szCs w:val="20"/>
              </w:rPr>
            </w:pPr>
            <w:r w:rsidRPr="00BE6461">
              <w:rPr>
                <w:b/>
                <w:bCs/>
                <w:sz w:val="20"/>
                <w:szCs w:val="20"/>
              </w:rPr>
              <w:t>100,46</w:t>
            </w:r>
          </w:p>
        </w:tc>
      </w:tr>
      <w:tr w:rsidR="00BE6461" w:rsidRPr="00BE6461" w14:paraId="3AEC7F8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0D627C9"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32C0F04F" w14:textId="77777777" w:rsidR="00BE6461" w:rsidRPr="00BE6461" w:rsidRDefault="00BE6461" w:rsidP="00BE6461">
            <w:pPr>
              <w:jc w:val="right"/>
              <w:rPr>
                <w:b/>
                <w:bCs/>
                <w:color w:val="333333"/>
                <w:sz w:val="20"/>
                <w:szCs w:val="20"/>
              </w:rPr>
            </w:pPr>
            <w:r w:rsidRPr="00BE6461">
              <w:rPr>
                <w:b/>
                <w:bCs/>
                <w:color w:val="333333"/>
                <w:sz w:val="20"/>
                <w:szCs w:val="20"/>
              </w:rPr>
              <w:t>157.256,00</w:t>
            </w:r>
          </w:p>
        </w:tc>
        <w:tc>
          <w:tcPr>
            <w:tcW w:w="1500" w:type="dxa"/>
            <w:tcBorders>
              <w:top w:val="nil"/>
              <w:left w:val="nil"/>
              <w:bottom w:val="nil"/>
              <w:right w:val="nil"/>
            </w:tcBorders>
            <w:shd w:val="clear" w:color="auto" w:fill="auto"/>
            <w:noWrap/>
            <w:vAlign w:val="bottom"/>
            <w:hideMark/>
          </w:tcPr>
          <w:p w14:paraId="2ECFD993" w14:textId="77777777" w:rsidR="00BE6461" w:rsidRPr="00BE6461" w:rsidRDefault="00BE6461" w:rsidP="00BE6461">
            <w:pPr>
              <w:jc w:val="right"/>
              <w:rPr>
                <w:b/>
                <w:bCs/>
                <w:color w:val="333333"/>
                <w:sz w:val="20"/>
                <w:szCs w:val="20"/>
              </w:rPr>
            </w:pPr>
            <w:r w:rsidRPr="00BE6461">
              <w:rPr>
                <w:b/>
                <w:bCs/>
                <w:color w:val="333333"/>
                <w:sz w:val="20"/>
                <w:szCs w:val="20"/>
              </w:rPr>
              <w:t>156.727,88</w:t>
            </w:r>
          </w:p>
        </w:tc>
        <w:tc>
          <w:tcPr>
            <w:tcW w:w="1100" w:type="dxa"/>
            <w:tcBorders>
              <w:top w:val="nil"/>
              <w:left w:val="nil"/>
              <w:bottom w:val="nil"/>
              <w:right w:val="nil"/>
            </w:tcBorders>
            <w:shd w:val="clear" w:color="auto" w:fill="auto"/>
            <w:noWrap/>
            <w:vAlign w:val="bottom"/>
            <w:hideMark/>
          </w:tcPr>
          <w:p w14:paraId="76DA9755" w14:textId="77777777" w:rsidR="00BE6461" w:rsidRPr="00BE6461" w:rsidRDefault="00BE6461" w:rsidP="00BE6461">
            <w:pPr>
              <w:jc w:val="right"/>
              <w:rPr>
                <w:b/>
                <w:bCs/>
                <w:color w:val="333333"/>
                <w:sz w:val="20"/>
                <w:szCs w:val="20"/>
              </w:rPr>
            </w:pPr>
            <w:r w:rsidRPr="00BE6461">
              <w:rPr>
                <w:b/>
                <w:bCs/>
                <w:color w:val="333333"/>
                <w:sz w:val="20"/>
                <w:szCs w:val="20"/>
              </w:rPr>
              <w:t>99,66</w:t>
            </w:r>
          </w:p>
        </w:tc>
      </w:tr>
      <w:tr w:rsidR="00BE6461" w:rsidRPr="00BE6461" w14:paraId="41D80045"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DE5C9B2"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13776F1C" w14:textId="77777777" w:rsidR="00BE6461" w:rsidRPr="00BE6461" w:rsidRDefault="00BE6461" w:rsidP="00BE6461">
            <w:pPr>
              <w:jc w:val="right"/>
              <w:rPr>
                <w:b/>
                <w:bCs/>
                <w:color w:val="333333"/>
                <w:sz w:val="20"/>
                <w:szCs w:val="20"/>
              </w:rPr>
            </w:pPr>
            <w:r w:rsidRPr="00BE6461">
              <w:rPr>
                <w:b/>
                <w:bCs/>
                <w:color w:val="333333"/>
                <w:sz w:val="20"/>
                <w:szCs w:val="20"/>
              </w:rPr>
              <w:t>157.256,00</w:t>
            </w:r>
          </w:p>
        </w:tc>
        <w:tc>
          <w:tcPr>
            <w:tcW w:w="1500" w:type="dxa"/>
            <w:tcBorders>
              <w:top w:val="nil"/>
              <w:left w:val="nil"/>
              <w:bottom w:val="nil"/>
              <w:right w:val="nil"/>
            </w:tcBorders>
            <w:shd w:val="clear" w:color="auto" w:fill="auto"/>
            <w:noWrap/>
            <w:vAlign w:val="bottom"/>
            <w:hideMark/>
          </w:tcPr>
          <w:p w14:paraId="67EE368C" w14:textId="77777777" w:rsidR="00BE6461" w:rsidRPr="00BE6461" w:rsidRDefault="00BE6461" w:rsidP="00BE6461">
            <w:pPr>
              <w:jc w:val="right"/>
              <w:rPr>
                <w:b/>
                <w:bCs/>
                <w:color w:val="333333"/>
                <w:sz w:val="20"/>
                <w:szCs w:val="20"/>
              </w:rPr>
            </w:pPr>
            <w:r w:rsidRPr="00BE6461">
              <w:rPr>
                <w:b/>
                <w:bCs/>
                <w:color w:val="333333"/>
                <w:sz w:val="20"/>
                <w:szCs w:val="20"/>
              </w:rPr>
              <w:t>156.727,88</w:t>
            </w:r>
          </w:p>
        </w:tc>
        <w:tc>
          <w:tcPr>
            <w:tcW w:w="1100" w:type="dxa"/>
            <w:tcBorders>
              <w:top w:val="nil"/>
              <w:left w:val="nil"/>
              <w:bottom w:val="nil"/>
              <w:right w:val="nil"/>
            </w:tcBorders>
            <w:shd w:val="clear" w:color="auto" w:fill="auto"/>
            <w:noWrap/>
            <w:vAlign w:val="bottom"/>
            <w:hideMark/>
          </w:tcPr>
          <w:p w14:paraId="38AF8D99" w14:textId="77777777" w:rsidR="00BE6461" w:rsidRPr="00BE6461" w:rsidRDefault="00BE6461" w:rsidP="00BE6461">
            <w:pPr>
              <w:jc w:val="right"/>
              <w:rPr>
                <w:b/>
                <w:bCs/>
                <w:color w:val="333333"/>
                <w:sz w:val="20"/>
                <w:szCs w:val="20"/>
              </w:rPr>
            </w:pPr>
            <w:r w:rsidRPr="00BE6461">
              <w:rPr>
                <w:b/>
                <w:bCs/>
                <w:color w:val="333333"/>
                <w:sz w:val="20"/>
                <w:szCs w:val="20"/>
              </w:rPr>
              <w:t>99,66</w:t>
            </w:r>
          </w:p>
        </w:tc>
      </w:tr>
      <w:tr w:rsidR="00BE6461" w:rsidRPr="00BE6461" w14:paraId="6C35527B" w14:textId="77777777" w:rsidTr="00BE6461">
        <w:trPr>
          <w:trHeight w:val="300"/>
        </w:trPr>
        <w:tc>
          <w:tcPr>
            <w:tcW w:w="1703" w:type="dxa"/>
            <w:tcBorders>
              <w:top w:val="nil"/>
              <w:left w:val="nil"/>
              <w:bottom w:val="nil"/>
              <w:right w:val="nil"/>
            </w:tcBorders>
            <w:shd w:val="clear" w:color="auto" w:fill="auto"/>
            <w:noWrap/>
            <w:vAlign w:val="bottom"/>
            <w:hideMark/>
          </w:tcPr>
          <w:p w14:paraId="168F412B" w14:textId="77777777" w:rsidR="00BE6461" w:rsidRPr="00BE6461" w:rsidRDefault="00BE6461" w:rsidP="00BE6461">
            <w:pPr>
              <w:rPr>
                <w:b/>
                <w:bCs/>
                <w:sz w:val="20"/>
                <w:szCs w:val="20"/>
              </w:rPr>
            </w:pPr>
            <w:r w:rsidRPr="00BE6461">
              <w:rPr>
                <w:b/>
                <w:bCs/>
                <w:sz w:val="20"/>
                <w:szCs w:val="20"/>
              </w:rPr>
              <w:t>321</w:t>
            </w:r>
          </w:p>
        </w:tc>
        <w:tc>
          <w:tcPr>
            <w:tcW w:w="8457" w:type="dxa"/>
            <w:tcBorders>
              <w:top w:val="nil"/>
              <w:left w:val="nil"/>
              <w:bottom w:val="nil"/>
              <w:right w:val="nil"/>
            </w:tcBorders>
            <w:shd w:val="clear" w:color="auto" w:fill="auto"/>
            <w:vAlign w:val="bottom"/>
            <w:hideMark/>
          </w:tcPr>
          <w:p w14:paraId="10C3C9E5" w14:textId="77777777" w:rsidR="00BE6461" w:rsidRPr="00BE6461" w:rsidRDefault="00BE6461" w:rsidP="00BE6461">
            <w:pPr>
              <w:rPr>
                <w:b/>
                <w:bCs/>
                <w:sz w:val="20"/>
                <w:szCs w:val="20"/>
              </w:rPr>
            </w:pPr>
            <w:r w:rsidRPr="00BE6461">
              <w:rPr>
                <w:b/>
                <w:bCs/>
                <w:sz w:val="20"/>
                <w:szCs w:val="20"/>
              </w:rPr>
              <w:t xml:space="preserve">Naknade troškova zaposlenima                                                                        </w:t>
            </w:r>
          </w:p>
        </w:tc>
        <w:tc>
          <w:tcPr>
            <w:tcW w:w="1503" w:type="dxa"/>
            <w:tcBorders>
              <w:top w:val="nil"/>
              <w:left w:val="nil"/>
              <w:bottom w:val="nil"/>
              <w:right w:val="nil"/>
            </w:tcBorders>
            <w:shd w:val="clear" w:color="auto" w:fill="auto"/>
            <w:noWrap/>
            <w:vAlign w:val="bottom"/>
            <w:hideMark/>
          </w:tcPr>
          <w:p w14:paraId="4224FD4E" w14:textId="77777777" w:rsidR="00BE6461" w:rsidRPr="00BE6461" w:rsidRDefault="00BE6461" w:rsidP="00BE6461">
            <w:pPr>
              <w:jc w:val="right"/>
              <w:rPr>
                <w:b/>
                <w:bCs/>
                <w:sz w:val="20"/>
                <w:szCs w:val="20"/>
              </w:rPr>
            </w:pPr>
            <w:r w:rsidRPr="00BE6461">
              <w:rPr>
                <w:b/>
                <w:bCs/>
                <w:sz w:val="20"/>
                <w:szCs w:val="20"/>
              </w:rPr>
              <w:t>128.500,00</w:t>
            </w:r>
          </w:p>
        </w:tc>
        <w:tc>
          <w:tcPr>
            <w:tcW w:w="1500" w:type="dxa"/>
            <w:tcBorders>
              <w:top w:val="nil"/>
              <w:left w:val="nil"/>
              <w:bottom w:val="nil"/>
              <w:right w:val="nil"/>
            </w:tcBorders>
            <w:shd w:val="clear" w:color="auto" w:fill="auto"/>
            <w:noWrap/>
            <w:vAlign w:val="bottom"/>
            <w:hideMark/>
          </w:tcPr>
          <w:p w14:paraId="20166C22" w14:textId="77777777" w:rsidR="00BE6461" w:rsidRPr="00BE6461" w:rsidRDefault="00BE6461" w:rsidP="00BE6461">
            <w:pPr>
              <w:jc w:val="right"/>
              <w:rPr>
                <w:b/>
                <w:bCs/>
                <w:sz w:val="20"/>
                <w:szCs w:val="20"/>
              </w:rPr>
            </w:pPr>
            <w:r w:rsidRPr="00BE6461">
              <w:rPr>
                <w:b/>
                <w:bCs/>
                <w:sz w:val="20"/>
                <w:szCs w:val="20"/>
              </w:rPr>
              <w:t>128.790,00</w:t>
            </w:r>
          </w:p>
        </w:tc>
        <w:tc>
          <w:tcPr>
            <w:tcW w:w="1100" w:type="dxa"/>
            <w:tcBorders>
              <w:top w:val="nil"/>
              <w:left w:val="nil"/>
              <w:bottom w:val="nil"/>
              <w:right w:val="nil"/>
            </w:tcBorders>
            <w:shd w:val="clear" w:color="auto" w:fill="auto"/>
            <w:noWrap/>
            <w:vAlign w:val="bottom"/>
            <w:hideMark/>
          </w:tcPr>
          <w:p w14:paraId="173F232E" w14:textId="77777777" w:rsidR="00BE6461" w:rsidRPr="00BE6461" w:rsidRDefault="00BE6461" w:rsidP="00BE6461">
            <w:pPr>
              <w:jc w:val="right"/>
              <w:rPr>
                <w:b/>
                <w:bCs/>
                <w:sz w:val="20"/>
                <w:szCs w:val="20"/>
              </w:rPr>
            </w:pPr>
            <w:r w:rsidRPr="00BE6461">
              <w:rPr>
                <w:b/>
                <w:bCs/>
                <w:sz w:val="20"/>
                <w:szCs w:val="20"/>
              </w:rPr>
              <w:t>100,23</w:t>
            </w:r>
          </w:p>
        </w:tc>
      </w:tr>
      <w:tr w:rsidR="00BE6461" w:rsidRPr="00BE6461" w14:paraId="26217978" w14:textId="77777777" w:rsidTr="00BE6461">
        <w:trPr>
          <w:trHeight w:val="300"/>
        </w:trPr>
        <w:tc>
          <w:tcPr>
            <w:tcW w:w="1703" w:type="dxa"/>
            <w:tcBorders>
              <w:top w:val="nil"/>
              <w:left w:val="nil"/>
              <w:bottom w:val="nil"/>
              <w:right w:val="nil"/>
            </w:tcBorders>
            <w:shd w:val="clear" w:color="auto" w:fill="auto"/>
            <w:noWrap/>
            <w:vAlign w:val="bottom"/>
            <w:hideMark/>
          </w:tcPr>
          <w:p w14:paraId="54AA306B" w14:textId="77777777" w:rsidR="00BE6461" w:rsidRPr="00BE6461" w:rsidRDefault="00BE6461" w:rsidP="00BE6461">
            <w:pPr>
              <w:rPr>
                <w:sz w:val="20"/>
                <w:szCs w:val="20"/>
              </w:rPr>
            </w:pPr>
            <w:r w:rsidRPr="00BE6461">
              <w:rPr>
                <w:sz w:val="20"/>
                <w:szCs w:val="20"/>
              </w:rPr>
              <w:t>3212</w:t>
            </w:r>
          </w:p>
        </w:tc>
        <w:tc>
          <w:tcPr>
            <w:tcW w:w="8457" w:type="dxa"/>
            <w:tcBorders>
              <w:top w:val="nil"/>
              <w:left w:val="nil"/>
              <w:bottom w:val="nil"/>
              <w:right w:val="nil"/>
            </w:tcBorders>
            <w:shd w:val="clear" w:color="auto" w:fill="auto"/>
            <w:vAlign w:val="bottom"/>
            <w:hideMark/>
          </w:tcPr>
          <w:p w14:paraId="20105CE7" w14:textId="77777777" w:rsidR="00BE6461" w:rsidRPr="00BE6461" w:rsidRDefault="00BE6461" w:rsidP="00BE6461">
            <w:pPr>
              <w:rPr>
                <w:sz w:val="20"/>
                <w:szCs w:val="20"/>
              </w:rPr>
            </w:pPr>
            <w:r w:rsidRPr="00BE6461">
              <w:rPr>
                <w:sz w:val="20"/>
                <w:szCs w:val="20"/>
              </w:rPr>
              <w:t xml:space="preserve">Naknade za prijevoz, za rad na terenu i odvojeni život                                              </w:t>
            </w:r>
          </w:p>
        </w:tc>
        <w:tc>
          <w:tcPr>
            <w:tcW w:w="1503" w:type="dxa"/>
            <w:tcBorders>
              <w:top w:val="nil"/>
              <w:left w:val="nil"/>
              <w:bottom w:val="nil"/>
              <w:right w:val="nil"/>
            </w:tcBorders>
            <w:shd w:val="clear" w:color="auto" w:fill="auto"/>
            <w:noWrap/>
            <w:vAlign w:val="bottom"/>
            <w:hideMark/>
          </w:tcPr>
          <w:p w14:paraId="2EC8D03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8E81CE6" w14:textId="77777777" w:rsidR="00BE6461" w:rsidRPr="00BE6461" w:rsidRDefault="00BE6461" w:rsidP="00BE6461">
            <w:pPr>
              <w:jc w:val="right"/>
              <w:rPr>
                <w:sz w:val="20"/>
                <w:szCs w:val="20"/>
              </w:rPr>
            </w:pPr>
            <w:r w:rsidRPr="00BE6461">
              <w:rPr>
                <w:sz w:val="20"/>
                <w:szCs w:val="20"/>
              </w:rPr>
              <w:t>128.790,00</w:t>
            </w:r>
          </w:p>
        </w:tc>
        <w:tc>
          <w:tcPr>
            <w:tcW w:w="1100" w:type="dxa"/>
            <w:tcBorders>
              <w:top w:val="nil"/>
              <w:left w:val="nil"/>
              <w:bottom w:val="nil"/>
              <w:right w:val="nil"/>
            </w:tcBorders>
            <w:shd w:val="clear" w:color="auto" w:fill="auto"/>
            <w:noWrap/>
            <w:vAlign w:val="bottom"/>
            <w:hideMark/>
          </w:tcPr>
          <w:p w14:paraId="2BA9A4BC" w14:textId="77777777" w:rsidR="00BE6461" w:rsidRPr="00BE6461" w:rsidRDefault="00BE6461" w:rsidP="00BE6461">
            <w:pPr>
              <w:jc w:val="right"/>
              <w:rPr>
                <w:sz w:val="20"/>
                <w:szCs w:val="20"/>
              </w:rPr>
            </w:pPr>
          </w:p>
        </w:tc>
      </w:tr>
      <w:tr w:rsidR="00BE6461" w:rsidRPr="00BE6461" w14:paraId="7CC1FC69" w14:textId="77777777" w:rsidTr="00BE6461">
        <w:trPr>
          <w:trHeight w:val="300"/>
        </w:trPr>
        <w:tc>
          <w:tcPr>
            <w:tcW w:w="1703" w:type="dxa"/>
            <w:tcBorders>
              <w:top w:val="nil"/>
              <w:left w:val="nil"/>
              <w:bottom w:val="nil"/>
              <w:right w:val="nil"/>
            </w:tcBorders>
            <w:shd w:val="clear" w:color="auto" w:fill="auto"/>
            <w:noWrap/>
            <w:vAlign w:val="bottom"/>
            <w:hideMark/>
          </w:tcPr>
          <w:p w14:paraId="6D3DBAC5"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74331106"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6620FDF3" w14:textId="77777777" w:rsidR="00BE6461" w:rsidRPr="00BE6461" w:rsidRDefault="00BE6461" w:rsidP="00BE6461">
            <w:pPr>
              <w:jc w:val="right"/>
              <w:rPr>
                <w:b/>
                <w:bCs/>
                <w:sz w:val="20"/>
                <w:szCs w:val="20"/>
              </w:rPr>
            </w:pPr>
            <w:r w:rsidRPr="00BE6461">
              <w:rPr>
                <w:b/>
                <w:bCs/>
                <w:sz w:val="20"/>
                <w:szCs w:val="20"/>
              </w:rPr>
              <w:t>20.216,00</w:t>
            </w:r>
          </w:p>
        </w:tc>
        <w:tc>
          <w:tcPr>
            <w:tcW w:w="1500" w:type="dxa"/>
            <w:tcBorders>
              <w:top w:val="nil"/>
              <w:left w:val="nil"/>
              <w:bottom w:val="nil"/>
              <w:right w:val="nil"/>
            </w:tcBorders>
            <w:shd w:val="clear" w:color="auto" w:fill="auto"/>
            <w:noWrap/>
            <w:vAlign w:val="bottom"/>
            <w:hideMark/>
          </w:tcPr>
          <w:p w14:paraId="1ABB4D57" w14:textId="77777777" w:rsidR="00BE6461" w:rsidRPr="00BE6461" w:rsidRDefault="00BE6461" w:rsidP="00BE6461">
            <w:pPr>
              <w:jc w:val="right"/>
              <w:rPr>
                <w:b/>
                <w:bCs/>
                <w:sz w:val="20"/>
                <w:szCs w:val="20"/>
              </w:rPr>
            </w:pPr>
            <w:r w:rsidRPr="00BE6461">
              <w:rPr>
                <w:b/>
                <w:bCs/>
                <w:sz w:val="20"/>
                <w:szCs w:val="20"/>
              </w:rPr>
              <w:t>20.216,00</w:t>
            </w:r>
          </w:p>
        </w:tc>
        <w:tc>
          <w:tcPr>
            <w:tcW w:w="1100" w:type="dxa"/>
            <w:tcBorders>
              <w:top w:val="nil"/>
              <w:left w:val="nil"/>
              <w:bottom w:val="nil"/>
              <w:right w:val="nil"/>
            </w:tcBorders>
            <w:shd w:val="clear" w:color="auto" w:fill="auto"/>
            <w:noWrap/>
            <w:vAlign w:val="bottom"/>
            <w:hideMark/>
          </w:tcPr>
          <w:p w14:paraId="1E92B1F6"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768FFFF7" w14:textId="77777777" w:rsidTr="00BE6461">
        <w:trPr>
          <w:trHeight w:val="300"/>
        </w:trPr>
        <w:tc>
          <w:tcPr>
            <w:tcW w:w="1703" w:type="dxa"/>
            <w:tcBorders>
              <w:top w:val="nil"/>
              <w:left w:val="nil"/>
              <w:bottom w:val="nil"/>
              <w:right w:val="nil"/>
            </w:tcBorders>
            <w:shd w:val="clear" w:color="auto" w:fill="auto"/>
            <w:noWrap/>
            <w:vAlign w:val="bottom"/>
            <w:hideMark/>
          </w:tcPr>
          <w:p w14:paraId="38FD4460" w14:textId="77777777" w:rsidR="00BE6461" w:rsidRPr="00BE6461" w:rsidRDefault="00BE6461" w:rsidP="00BE6461">
            <w:pPr>
              <w:rPr>
                <w:sz w:val="20"/>
                <w:szCs w:val="20"/>
              </w:rPr>
            </w:pPr>
            <w:r w:rsidRPr="00BE6461">
              <w:rPr>
                <w:sz w:val="20"/>
                <w:szCs w:val="20"/>
              </w:rPr>
              <w:t>3236</w:t>
            </w:r>
          </w:p>
        </w:tc>
        <w:tc>
          <w:tcPr>
            <w:tcW w:w="8457" w:type="dxa"/>
            <w:tcBorders>
              <w:top w:val="nil"/>
              <w:left w:val="nil"/>
              <w:bottom w:val="nil"/>
              <w:right w:val="nil"/>
            </w:tcBorders>
            <w:shd w:val="clear" w:color="auto" w:fill="auto"/>
            <w:vAlign w:val="bottom"/>
            <w:hideMark/>
          </w:tcPr>
          <w:p w14:paraId="6734F702" w14:textId="77777777" w:rsidR="00BE6461" w:rsidRPr="00BE6461" w:rsidRDefault="00BE6461" w:rsidP="00BE6461">
            <w:pPr>
              <w:rPr>
                <w:sz w:val="20"/>
                <w:szCs w:val="20"/>
              </w:rPr>
            </w:pPr>
            <w:r w:rsidRPr="00BE6461">
              <w:rPr>
                <w:sz w:val="20"/>
                <w:szCs w:val="20"/>
              </w:rPr>
              <w:t xml:space="preserve">Zdravstvene i veterinarske usluge                                                                   </w:t>
            </w:r>
          </w:p>
        </w:tc>
        <w:tc>
          <w:tcPr>
            <w:tcW w:w="1503" w:type="dxa"/>
            <w:tcBorders>
              <w:top w:val="nil"/>
              <w:left w:val="nil"/>
              <w:bottom w:val="nil"/>
              <w:right w:val="nil"/>
            </w:tcBorders>
            <w:shd w:val="clear" w:color="auto" w:fill="auto"/>
            <w:noWrap/>
            <w:vAlign w:val="bottom"/>
            <w:hideMark/>
          </w:tcPr>
          <w:p w14:paraId="75F4E349"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EC0665F" w14:textId="77777777" w:rsidR="00BE6461" w:rsidRPr="00BE6461" w:rsidRDefault="00BE6461" w:rsidP="00BE6461">
            <w:pPr>
              <w:jc w:val="right"/>
              <w:rPr>
                <w:sz w:val="20"/>
                <w:szCs w:val="20"/>
              </w:rPr>
            </w:pPr>
            <w:r w:rsidRPr="00BE6461">
              <w:rPr>
                <w:sz w:val="20"/>
                <w:szCs w:val="20"/>
              </w:rPr>
              <w:t>20.216,00</w:t>
            </w:r>
          </w:p>
        </w:tc>
        <w:tc>
          <w:tcPr>
            <w:tcW w:w="1100" w:type="dxa"/>
            <w:tcBorders>
              <w:top w:val="nil"/>
              <w:left w:val="nil"/>
              <w:bottom w:val="nil"/>
              <w:right w:val="nil"/>
            </w:tcBorders>
            <w:shd w:val="clear" w:color="auto" w:fill="auto"/>
            <w:noWrap/>
            <w:vAlign w:val="bottom"/>
            <w:hideMark/>
          </w:tcPr>
          <w:p w14:paraId="46243848" w14:textId="77777777" w:rsidR="00BE6461" w:rsidRPr="00BE6461" w:rsidRDefault="00BE6461" w:rsidP="00BE6461">
            <w:pPr>
              <w:jc w:val="right"/>
              <w:rPr>
                <w:sz w:val="20"/>
                <w:szCs w:val="20"/>
              </w:rPr>
            </w:pPr>
          </w:p>
        </w:tc>
      </w:tr>
      <w:tr w:rsidR="00BE6461" w:rsidRPr="00BE6461" w14:paraId="5E0C5393" w14:textId="77777777" w:rsidTr="00BE6461">
        <w:trPr>
          <w:trHeight w:val="300"/>
        </w:trPr>
        <w:tc>
          <w:tcPr>
            <w:tcW w:w="1703" w:type="dxa"/>
            <w:tcBorders>
              <w:top w:val="nil"/>
              <w:left w:val="nil"/>
              <w:bottom w:val="nil"/>
              <w:right w:val="nil"/>
            </w:tcBorders>
            <w:shd w:val="clear" w:color="auto" w:fill="auto"/>
            <w:noWrap/>
            <w:vAlign w:val="bottom"/>
            <w:hideMark/>
          </w:tcPr>
          <w:p w14:paraId="0D5B9075"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0CC1975F"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79D8DA32" w14:textId="77777777" w:rsidR="00BE6461" w:rsidRPr="00BE6461" w:rsidRDefault="00BE6461" w:rsidP="00BE6461">
            <w:pPr>
              <w:jc w:val="right"/>
              <w:rPr>
                <w:b/>
                <w:bCs/>
                <w:sz w:val="20"/>
                <w:szCs w:val="20"/>
              </w:rPr>
            </w:pPr>
            <w:r w:rsidRPr="00BE6461">
              <w:rPr>
                <w:b/>
                <w:bCs/>
                <w:sz w:val="20"/>
                <w:szCs w:val="20"/>
              </w:rPr>
              <w:t>8.540,00</w:t>
            </w:r>
          </w:p>
        </w:tc>
        <w:tc>
          <w:tcPr>
            <w:tcW w:w="1500" w:type="dxa"/>
            <w:tcBorders>
              <w:top w:val="nil"/>
              <w:left w:val="nil"/>
              <w:bottom w:val="nil"/>
              <w:right w:val="nil"/>
            </w:tcBorders>
            <w:shd w:val="clear" w:color="auto" w:fill="auto"/>
            <w:noWrap/>
            <w:vAlign w:val="bottom"/>
            <w:hideMark/>
          </w:tcPr>
          <w:p w14:paraId="0F37A355" w14:textId="77777777" w:rsidR="00BE6461" w:rsidRPr="00BE6461" w:rsidRDefault="00BE6461" w:rsidP="00BE6461">
            <w:pPr>
              <w:jc w:val="right"/>
              <w:rPr>
                <w:b/>
                <w:bCs/>
                <w:sz w:val="20"/>
                <w:szCs w:val="20"/>
              </w:rPr>
            </w:pPr>
            <w:r w:rsidRPr="00BE6461">
              <w:rPr>
                <w:b/>
                <w:bCs/>
                <w:sz w:val="20"/>
                <w:szCs w:val="20"/>
              </w:rPr>
              <w:t>7.721,88</w:t>
            </w:r>
          </w:p>
        </w:tc>
        <w:tc>
          <w:tcPr>
            <w:tcW w:w="1100" w:type="dxa"/>
            <w:tcBorders>
              <w:top w:val="nil"/>
              <w:left w:val="nil"/>
              <w:bottom w:val="nil"/>
              <w:right w:val="nil"/>
            </w:tcBorders>
            <w:shd w:val="clear" w:color="auto" w:fill="auto"/>
            <w:noWrap/>
            <w:vAlign w:val="bottom"/>
            <w:hideMark/>
          </w:tcPr>
          <w:p w14:paraId="6481AE65" w14:textId="77777777" w:rsidR="00BE6461" w:rsidRPr="00BE6461" w:rsidRDefault="00BE6461" w:rsidP="00BE6461">
            <w:pPr>
              <w:jc w:val="right"/>
              <w:rPr>
                <w:b/>
                <w:bCs/>
                <w:sz w:val="20"/>
                <w:szCs w:val="20"/>
              </w:rPr>
            </w:pPr>
            <w:r w:rsidRPr="00BE6461">
              <w:rPr>
                <w:b/>
                <w:bCs/>
                <w:sz w:val="20"/>
                <w:szCs w:val="20"/>
              </w:rPr>
              <w:t>90,42</w:t>
            </w:r>
          </w:p>
        </w:tc>
      </w:tr>
      <w:tr w:rsidR="00BE6461" w:rsidRPr="00BE6461" w14:paraId="6D3147DA" w14:textId="77777777" w:rsidTr="00BE6461">
        <w:trPr>
          <w:trHeight w:val="300"/>
        </w:trPr>
        <w:tc>
          <w:tcPr>
            <w:tcW w:w="1703" w:type="dxa"/>
            <w:tcBorders>
              <w:top w:val="nil"/>
              <w:left w:val="nil"/>
              <w:bottom w:val="nil"/>
              <w:right w:val="nil"/>
            </w:tcBorders>
            <w:shd w:val="clear" w:color="auto" w:fill="auto"/>
            <w:noWrap/>
            <w:vAlign w:val="bottom"/>
            <w:hideMark/>
          </w:tcPr>
          <w:p w14:paraId="19EF040C" w14:textId="77777777" w:rsidR="00BE6461" w:rsidRPr="00BE6461" w:rsidRDefault="00BE6461" w:rsidP="00BE6461">
            <w:pPr>
              <w:rPr>
                <w:sz w:val="20"/>
                <w:szCs w:val="20"/>
              </w:rPr>
            </w:pPr>
            <w:r w:rsidRPr="00BE6461">
              <w:rPr>
                <w:sz w:val="20"/>
                <w:szCs w:val="20"/>
              </w:rPr>
              <w:t>3292</w:t>
            </w:r>
          </w:p>
        </w:tc>
        <w:tc>
          <w:tcPr>
            <w:tcW w:w="8457" w:type="dxa"/>
            <w:tcBorders>
              <w:top w:val="nil"/>
              <w:left w:val="nil"/>
              <w:bottom w:val="nil"/>
              <w:right w:val="nil"/>
            </w:tcBorders>
            <w:shd w:val="clear" w:color="auto" w:fill="auto"/>
            <w:vAlign w:val="bottom"/>
            <w:hideMark/>
          </w:tcPr>
          <w:p w14:paraId="017B0B71" w14:textId="77777777" w:rsidR="00BE6461" w:rsidRPr="00BE6461" w:rsidRDefault="00BE6461" w:rsidP="00BE6461">
            <w:pPr>
              <w:rPr>
                <w:sz w:val="20"/>
                <w:szCs w:val="20"/>
              </w:rPr>
            </w:pPr>
            <w:r w:rsidRPr="00BE6461">
              <w:rPr>
                <w:sz w:val="20"/>
                <w:szCs w:val="20"/>
              </w:rPr>
              <w:t xml:space="preserve">Premije osiguranja                                                                                  </w:t>
            </w:r>
          </w:p>
        </w:tc>
        <w:tc>
          <w:tcPr>
            <w:tcW w:w="1503" w:type="dxa"/>
            <w:tcBorders>
              <w:top w:val="nil"/>
              <w:left w:val="nil"/>
              <w:bottom w:val="nil"/>
              <w:right w:val="nil"/>
            </w:tcBorders>
            <w:shd w:val="clear" w:color="auto" w:fill="auto"/>
            <w:noWrap/>
            <w:vAlign w:val="bottom"/>
            <w:hideMark/>
          </w:tcPr>
          <w:p w14:paraId="6872A1A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0B14976" w14:textId="77777777" w:rsidR="00BE6461" w:rsidRPr="00BE6461" w:rsidRDefault="00BE6461" w:rsidP="00BE6461">
            <w:pPr>
              <w:jc w:val="right"/>
              <w:rPr>
                <w:sz w:val="20"/>
                <w:szCs w:val="20"/>
              </w:rPr>
            </w:pPr>
            <w:r w:rsidRPr="00BE6461">
              <w:rPr>
                <w:sz w:val="20"/>
                <w:szCs w:val="20"/>
              </w:rPr>
              <w:t>7.721,88</w:t>
            </w:r>
          </w:p>
        </w:tc>
        <w:tc>
          <w:tcPr>
            <w:tcW w:w="1100" w:type="dxa"/>
            <w:tcBorders>
              <w:top w:val="nil"/>
              <w:left w:val="nil"/>
              <w:bottom w:val="nil"/>
              <w:right w:val="nil"/>
            </w:tcBorders>
            <w:shd w:val="clear" w:color="auto" w:fill="auto"/>
            <w:noWrap/>
            <w:vAlign w:val="bottom"/>
            <w:hideMark/>
          </w:tcPr>
          <w:p w14:paraId="7C5BEA1D" w14:textId="77777777" w:rsidR="00BE6461" w:rsidRPr="00BE6461" w:rsidRDefault="00BE6461" w:rsidP="00BE6461">
            <w:pPr>
              <w:jc w:val="right"/>
              <w:rPr>
                <w:sz w:val="20"/>
                <w:szCs w:val="20"/>
              </w:rPr>
            </w:pPr>
          </w:p>
        </w:tc>
      </w:tr>
      <w:tr w:rsidR="00BE6461" w:rsidRPr="00BE6461" w14:paraId="21690D2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69E7700"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5847F7C4" w14:textId="77777777" w:rsidR="00BE6461" w:rsidRPr="00BE6461" w:rsidRDefault="00BE6461" w:rsidP="00BE6461">
            <w:pPr>
              <w:jc w:val="right"/>
              <w:rPr>
                <w:b/>
                <w:bCs/>
                <w:color w:val="333333"/>
                <w:sz w:val="20"/>
                <w:szCs w:val="20"/>
              </w:rPr>
            </w:pPr>
            <w:r w:rsidRPr="00BE6461">
              <w:rPr>
                <w:b/>
                <w:bCs/>
                <w:color w:val="333333"/>
                <w:sz w:val="20"/>
                <w:szCs w:val="20"/>
              </w:rPr>
              <w:t>286.983,42</w:t>
            </w:r>
          </w:p>
        </w:tc>
        <w:tc>
          <w:tcPr>
            <w:tcW w:w="1500" w:type="dxa"/>
            <w:tcBorders>
              <w:top w:val="nil"/>
              <w:left w:val="nil"/>
              <w:bottom w:val="nil"/>
              <w:right w:val="nil"/>
            </w:tcBorders>
            <w:shd w:val="clear" w:color="auto" w:fill="auto"/>
            <w:noWrap/>
            <w:vAlign w:val="bottom"/>
            <w:hideMark/>
          </w:tcPr>
          <w:p w14:paraId="5BF8FFF4" w14:textId="77777777" w:rsidR="00BE6461" w:rsidRPr="00BE6461" w:rsidRDefault="00BE6461" w:rsidP="00BE6461">
            <w:pPr>
              <w:jc w:val="right"/>
              <w:rPr>
                <w:b/>
                <w:bCs/>
                <w:color w:val="333333"/>
                <w:sz w:val="20"/>
                <w:szCs w:val="20"/>
              </w:rPr>
            </w:pPr>
            <w:r w:rsidRPr="00BE6461">
              <w:rPr>
                <w:b/>
                <w:bCs/>
                <w:color w:val="333333"/>
                <w:sz w:val="20"/>
                <w:szCs w:val="20"/>
              </w:rPr>
              <w:t>302.903,37</w:t>
            </w:r>
          </w:p>
        </w:tc>
        <w:tc>
          <w:tcPr>
            <w:tcW w:w="1100" w:type="dxa"/>
            <w:tcBorders>
              <w:top w:val="nil"/>
              <w:left w:val="nil"/>
              <w:bottom w:val="nil"/>
              <w:right w:val="nil"/>
            </w:tcBorders>
            <w:shd w:val="clear" w:color="auto" w:fill="auto"/>
            <w:noWrap/>
            <w:vAlign w:val="bottom"/>
            <w:hideMark/>
          </w:tcPr>
          <w:p w14:paraId="7A80271A" w14:textId="77777777" w:rsidR="00BE6461" w:rsidRPr="00BE6461" w:rsidRDefault="00BE6461" w:rsidP="00BE6461">
            <w:pPr>
              <w:jc w:val="right"/>
              <w:rPr>
                <w:b/>
                <w:bCs/>
                <w:color w:val="333333"/>
                <w:sz w:val="20"/>
                <w:szCs w:val="20"/>
              </w:rPr>
            </w:pPr>
            <w:r w:rsidRPr="00BE6461">
              <w:rPr>
                <w:b/>
                <w:bCs/>
                <w:color w:val="333333"/>
                <w:sz w:val="20"/>
                <w:szCs w:val="20"/>
              </w:rPr>
              <w:t>105,55</w:t>
            </w:r>
          </w:p>
        </w:tc>
      </w:tr>
      <w:tr w:rsidR="00BE6461" w:rsidRPr="00BE6461" w14:paraId="1FE7FE15"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629680E" w14:textId="77777777" w:rsidR="00BE6461" w:rsidRPr="00BE6461" w:rsidRDefault="00BE6461" w:rsidP="00BE6461">
            <w:pPr>
              <w:rPr>
                <w:b/>
                <w:bCs/>
                <w:color w:val="333333"/>
                <w:sz w:val="20"/>
                <w:szCs w:val="20"/>
              </w:rPr>
            </w:pPr>
            <w:r w:rsidRPr="00BE6461">
              <w:rPr>
                <w:b/>
                <w:bCs/>
                <w:color w:val="333333"/>
                <w:sz w:val="20"/>
                <w:szCs w:val="20"/>
              </w:rPr>
              <w:t>Izvor 4.7. PRIHODI POSEBNE NAMJENE - PRORAČUNSKI KORISNICI</w:t>
            </w:r>
          </w:p>
        </w:tc>
        <w:tc>
          <w:tcPr>
            <w:tcW w:w="1503" w:type="dxa"/>
            <w:tcBorders>
              <w:top w:val="nil"/>
              <w:left w:val="nil"/>
              <w:bottom w:val="nil"/>
              <w:right w:val="nil"/>
            </w:tcBorders>
            <w:shd w:val="clear" w:color="auto" w:fill="auto"/>
            <w:noWrap/>
            <w:vAlign w:val="bottom"/>
            <w:hideMark/>
          </w:tcPr>
          <w:p w14:paraId="0D89BC5A" w14:textId="77777777" w:rsidR="00BE6461" w:rsidRPr="00BE6461" w:rsidRDefault="00BE6461" w:rsidP="00BE6461">
            <w:pPr>
              <w:jc w:val="right"/>
              <w:rPr>
                <w:b/>
                <w:bCs/>
                <w:color w:val="333333"/>
                <w:sz w:val="20"/>
                <w:szCs w:val="20"/>
              </w:rPr>
            </w:pPr>
            <w:r w:rsidRPr="00BE6461">
              <w:rPr>
                <w:b/>
                <w:bCs/>
                <w:color w:val="333333"/>
                <w:sz w:val="20"/>
                <w:szCs w:val="20"/>
              </w:rPr>
              <w:t>286.983,42</w:t>
            </w:r>
          </w:p>
        </w:tc>
        <w:tc>
          <w:tcPr>
            <w:tcW w:w="1500" w:type="dxa"/>
            <w:tcBorders>
              <w:top w:val="nil"/>
              <w:left w:val="nil"/>
              <w:bottom w:val="nil"/>
              <w:right w:val="nil"/>
            </w:tcBorders>
            <w:shd w:val="clear" w:color="auto" w:fill="auto"/>
            <w:noWrap/>
            <w:vAlign w:val="bottom"/>
            <w:hideMark/>
          </w:tcPr>
          <w:p w14:paraId="780B854F" w14:textId="77777777" w:rsidR="00BE6461" w:rsidRPr="00BE6461" w:rsidRDefault="00BE6461" w:rsidP="00BE6461">
            <w:pPr>
              <w:jc w:val="right"/>
              <w:rPr>
                <w:b/>
                <w:bCs/>
                <w:color w:val="333333"/>
                <w:sz w:val="20"/>
                <w:szCs w:val="20"/>
              </w:rPr>
            </w:pPr>
            <w:r w:rsidRPr="00BE6461">
              <w:rPr>
                <w:b/>
                <w:bCs/>
                <w:color w:val="333333"/>
                <w:sz w:val="20"/>
                <w:szCs w:val="20"/>
              </w:rPr>
              <w:t>302.903,37</w:t>
            </w:r>
          </w:p>
        </w:tc>
        <w:tc>
          <w:tcPr>
            <w:tcW w:w="1100" w:type="dxa"/>
            <w:tcBorders>
              <w:top w:val="nil"/>
              <w:left w:val="nil"/>
              <w:bottom w:val="nil"/>
              <w:right w:val="nil"/>
            </w:tcBorders>
            <w:shd w:val="clear" w:color="auto" w:fill="auto"/>
            <w:noWrap/>
            <w:vAlign w:val="bottom"/>
            <w:hideMark/>
          </w:tcPr>
          <w:p w14:paraId="6D0625E0" w14:textId="77777777" w:rsidR="00BE6461" w:rsidRPr="00BE6461" w:rsidRDefault="00BE6461" w:rsidP="00BE6461">
            <w:pPr>
              <w:jc w:val="right"/>
              <w:rPr>
                <w:b/>
                <w:bCs/>
                <w:color w:val="333333"/>
                <w:sz w:val="20"/>
                <w:szCs w:val="20"/>
              </w:rPr>
            </w:pPr>
            <w:r w:rsidRPr="00BE6461">
              <w:rPr>
                <w:b/>
                <w:bCs/>
                <w:color w:val="333333"/>
                <w:sz w:val="20"/>
                <w:szCs w:val="20"/>
              </w:rPr>
              <w:t>105,55</w:t>
            </w:r>
          </w:p>
        </w:tc>
      </w:tr>
      <w:tr w:rsidR="00BE6461" w:rsidRPr="00BE6461" w14:paraId="0200C26B" w14:textId="77777777" w:rsidTr="00BE6461">
        <w:trPr>
          <w:trHeight w:val="300"/>
        </w:trPr>
        <w:tc>
          <w:tcPr>
            <w:tcW w:w="1703" w:type="dxa"/>
            <w:tcBorders>
              <w:top w:val="nil"/>
              <w:left w:val="nil"/>
              <w:bottom w:val="nil"/>
              <w:right w:val="nil"/>
            </w:tcBorders>
            <w:shd w:val="clear" w:color="auto" w:fill="auto"/>
            <w:noWrap/>
            <w:vAlign w:val="bottom"/>
            <w:hideMark/>
          </w:tcPr>
          <w:p w14:paraId="220B4146" w14:textId="77777777" w:rsidR="00BE6461" w:rsidRPr="00BE6461" w:rsidRDefault="00BE6461" w:rsidP="00BE6461">
            <w:pPr>
              <w:rPr>
                <w:b/>
                <w:bCs/>
                <w:sz w:val="20"/>
                <w:szCs w:val="20"/>
              </w:rPr>
            </w:pPr>
            <w:r w:rsidRPr="00BE6461">
              <w:rPr>
                <w:b/>
                <w:bCs/>
                <w:sz w:val="20"/>
                <w:szCs w:val="20"/>
              </w:rPr>
              <w:t>321</w:t>
            </w:r>
          </w:p>
        </w:tc>
        <w:tc>
          <w:tcPr>
            <w:tcW w:w="8457" w:type="dxa"/>
            <w:tcBorders>
              <w:top w:val="nil"/>
              <w:left w:val="nil"/>
              <w:bottom w:val="nil"/>
              <w:right w:val="nil"/>
            </w:tcBorders>
            <w:shd w:val="clear" w:color="auto" w:fill="auto"/>
            <w:vAlign w:val="bottom"/>
            <w:hideMark/>
          </w:tcPr>
          <w:p w14:paraId="24D3E583" w14:textId="77777777" w:rsidR="00BE6461" w:rsidRPr="00BE6461" w:rsidRDefault="00BE6461" w:rsidP="00BE6461">
            <w:pPr>
              <w:rPr>
                <w:b/>
                <w:bCs/>
                <w:sz w:val="20"/>
                <w:szCs w:val="20"/>
              </w:rPr>
            </w:pPr>
            <w:r w:rsidRPr="00BE6461">
              <w:rPr>
                <w:b/>
                <w:bCs/>
                <w:sz w:val="20"/>
                <w:szCs w:val="20"/>
              </w:rPr>
              <w:t xml:space="preserve">Naknade troškova zaposlenima                                                                        </w:t>
            </w:r>
          </w:p>
        </w:tc>
        <w:tc>
          <w:tcPr>
            <w:tcW w:w="1503" w:type="dxa"/>
            <w:tcBorders>
              <w:top w:val="nil"/>
              <w:left w:val="nil"/>
              <w:bottom w:val="nil"/>
              <w:right w:val="nil"/>
            </w:tcBorders>
            <w:shd w:val="clear" w:color="auto" w:fill="auto"/>
            <w:noWrap/>
            <w:vAlign w:val="bottom"/>
            <w:hideMark/>
          </w:tcPr>
          <w:p w14:paraId="70188636" w14:textId="77777777" w:rsidR="00BE6461" w:rsidRPr="00BE6461" w:rsidRDefault="00BE6461" w:rsidP="00BE6461">
            <w:pPr>
              <w:jc w:val="right"/>
              <w:rPr>
                <w:b/>
                <w:bCs/>
                <w:sz w:val="20"/>
                <w:szCs w:val="20"/>
              </w:rPr>
            </w:pPr>
            <w:r w:rsidRPr="00BE6461">
              <w:rPr>
                <w:b/>
                <w:bCs/>
                <w:sz w:val="20"/>
                <w:szCs w:val="20"/>
              </w:rPr>
              <w:t>8.503,00</w:t>
            </w:r>
          </w:p>
        </w:tc>
        <w:tc>
          <w:tcPr>
            <w:tcW w:w="1500" w:type="dxa"/>
            <w:tcBorders>
              <w:top w:val="nil"/>
              <w:left w:val="nil"/>
              <w:bottom w:val="nil"/>
              <w:right w:val="nil"/>
            </w:tcBorders>
            <w:shd w:val="clear" w:color="auto" w:fill="auto"/>
            <w:noWrap/>
            <w:vAlign w:val="bottom"/>
            <w:hideMark/>
          </w:tcPr>
          <w:p w14:paraId="77E1CB96" w14:textId="77777777" w:rsidR="00BE6461" w:rsidRPr="00BE6461" w:rsidRDefault="00BE6461" w:rsidP="00BE6461">
            <w:pPr>
              <w:jc w:val="right"/>
              <w:rPr>
                <w:b/>
                <w:bCs/>
                <w:sz w:val="20"/>
                <w:szCs w:val="20"/>
              </w:rPr>
            </w:pPr>
            <w:r w:rsidRPr="00BE6461">
              <w:rPr>
                <w:b/>
                <w:bCs/>
                <w:sz w:val="20"/>
                <w:szCs w:val="20"/>
              </w:rPr>
              <w:t>4.178,22</w:t>
            </w:r>
          </w:p>
        </w:tc>
        <w:tc>
          <w:tcPr>
            <w:tcW w:w="1100" w:type="dxa"/>
            <w:tcBorders>
              <w:top w:val="nil"/>
              <w:left w:val="nil"/>
              <w:bottom w:val="nil"/>
              <w:right w:val="nil"/>
            </w:tcBorders>
            <w:shd w:val="clear" w:color="auto" w:fill="auto"/>
            <w:noWrap/>
            <w:vAlign w:val="bottom"/>
            <w:hideMark/>
          </w:tcPr>
          <w:p w14:paraId="2C4C3101" w14:textId="77777777" w:rsidR="00BE6461" w:rsidRPr="00BE6461" w:rsidRDefault="00BE6461" w:rsidP="00BE6461">
            <w:pPr>
              <w:jc w:val="right"/>
              <w:rPr>
                <w:b/>
                <w:bCs/>
                <w:sz w:val="20"/>
                <w:szCs w:val="20"/>
              </w:rPr>
            </w:pPr>
            <w:r w:rsidRPr="00BE6461">
              <w:rPr>
                <w:b/>
                <w:bCs/>
                <w:sz w:val="20"/>
                <w:szCs w:val="20"/>
              </w:rPr>
              <w:t>49,14</w:t>
            </w:r>
          </w:p>
        </w:tc>
      </w:tr>
      <w:tr w:rsidR="00BE6461" w:rsidRPr="00BE6461" w14:paraId="497D6A68" w14:textId="77777777" w:rsidTr="00BE6461">
        <w:trPr>
          <w:trHeight w:val="300"/>
        </w:trPr>
        <w:tc>
          <w:tcPr>
            <w:tcW w:w="1703" w:type="dxa"/>
            <w:tcBorders>
              <w:top w:val="nil"/>
              <w:left w:val="nil"/>
              <w:bottom w:val="nil"/>
              <w:right w:val="nil"/>
            </w:tcBorders>
            <w:shd w:val="clear" w:color="auto" w:fill="auto"/>
            <w:noWrap/>
            <w:vAlign w:val="bottom"/>
            <w:hideMark/>
          </w:tcPr>
          <w:p w14:paraId="722F282F" w14:textId="77777777" w:rsidR="00BE6461" w:rsidRPr="00BE6461" w:rsidRDefault="00BE6461" w:rsidP="00BE6461">
            <w:pPr>
              <w:rPr>
                <w:sz w:val="20"/>
                <w:szCs w:val="20"/>
              </w:rPr>
            </w:pPr>
            <w:r w:rsidRPr="00BE6461">
              <w:rPr>
                <w:sz w:val="20"/>
                <w:szCs w:val="20"/>
              </w:rPr>
              <w:t>3211</w:t>
            </w:r>
          </w:p>
        </w:tc>
        <w:tc>
          <w:tcPr>
            <w:tcW w:w="8457" w:type="dxa"/>
            <w:tcBorders>
              <w:top w:val="nil"/>
              <w:left w:val="nil"/>
              <w:bottom w:val="nil"/>
              <w:right w:val="nil"/>
            </w:tcBorders>
            <w:shd w:val="clear" w:color="auto" w:fill="auto"/>
            <w:vAlign w:val="bottom"/>
            <w:hideMark/>
          </w:tcPr>
          <w:p w14:paraId="16257E74" w14:textId="77777777" w:rsidR="00BE6461" w:rsidRPr="00BE6461" w:rsidRDefault="00BE6461" w:rsidP="00BE6461">
            <w:pPr>
              <w:rPr>
                <w:sz w:val="20"/>
                <w:szCs w:val="20"/>
              </w:rPr>
            </w:pPr>
            <w:r w:rsidRPr="00BE6461">
              <w:rPr>
                <w:sz w:val="20"/>
                <w:szCs w:val="20"/>
              </w:rPr>
              <w:t xml:space="preserve">Službena putovanja                                                                                  </w:t>
            </w:r>
          </w:p>
        </w:tc>
        <w:tc>
          <w:tcPr>
            <w:tcW w:w="1503" w:type="dxa"/>
            <w:tcBorders>
              <w:top w:val="nil"/>
              <w:left w:val="nil"/>
              <w:bottom w:val="nil"/>
              <w:right w:val="nil"/>
            </w:tcBorders>
            <w:shd w:val="clear" w:color="auto" w:fill="auto"/>
            <w:noWrap/>
            <w:vAlign w:val="bottom"/>
            <w:hideMark/>
          </w:tcPr>
          <w:p w14:paraId="3770D76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F05154F" w14:textId="77777777" w:rsidR="00BE6461" w:rsidRPr="00BE6461" w:rsidRDefault="00BE6461" w:rsidP="00BE6461">
            <w:pPr>
              <w:jc w:val="right"/>
              <w:rPr>
                <w:sz w:val="20"/>
                <w:szCs w:val="20"/>
              </w:rPr>
            </w:pPr>
            <w:r w:rsidRPr="00BE6461">
              <w:rPr>
                <w:sz w:val="20"/>
                <w:szCs w:val="20"/>
              </w:rPr>
              <w:t>3.778,68</w:t>
            </w:r>
          </w:p>
        </w:tc>
        <w:tc>
          <w:tcPr>
            <w:tcW w:w="1100" w:type="dxa"/>
            <w:tcBorders>
              <w:top w:val="nil"/>
              <w:left w:val="nil"/>
              <w:bottom w:val="nil"/>
              <w:right w:val="nil"/>
            </w:tcBorders>
            <w:shd w:val="clear" w:color="auto" w:fill="auto"/>
            <w:noWrap/>
            <w:vAlign w:val="bottom"/>
            <w:hideMark/>
          </w:tcPr>
          <w:p w14:paraId="010F780E" w14:textId="77777777" w:rsidR="00BE6461" w:rsidRPr="00BE6461" w:rsidRDefault="00BE6461" w:rsidP="00BE6461">
            <w:pPr>
              <w:jc w:val="right"/>
              <w:rPr>
                <w:sz w:val="20"/>
                <w:szCs w:val="20"/>
              </w:rPr>
            </w:pPr>
          </w:p>
        </w:tc>
      </w:tr>
      <w:tr w:rsidR="00BE6461" w:rsidRPr="00BE6461" w14:paraId="300A1DD0" w14:textId="77777777" w:rsidTr="00BE6461">
        <w:trPr>
          <w:trHeight w:val="300"/>
        </w:trPr>
        <w:tc>
          <w:tcPr>
            <w:tcW w:w="1703" w:type="dxa"/>
            <w:tcBorders>
              <w:top w:val="nil"/>
              <w:left w:val="nil"/>
              <w:bottom w:val="nil"/>
              <w:right w:val="nil"/>
            </w:tcBorders>
            <w:shd w:val="clear" w:color="auto" w:fill="auto"/>
            <w:noWrap/>
            <w:vAlign w:val="bottom"/>
            <w:hideMark/>
          </w:tcPr>
          <w:p w14:paraId="6B67EFE5" w14:textId="77777777" w:rsidR="00BE6461" w:rsidRPr="00BE6461" w:rsidRDefault="00BE6461" w:rsidP="00BE6461">
            <w:pPr>
              <w:rPr>
                <w:sz w:val="20"/>
                <w:szCs w:val="20"/>
              </w:rPr>
            </w:pPr>
            <w:r w:rsidRPr="00BE6461">
              <w:rPr>
                <w:sz w:val="20"/>
                <w:szCs w:val="20"/>
              </w:rPr>
              <w:t>3213</w:t>
            </w:r>
          </w:p>
        </w:tc>
        <w:tc>
          <w:tcPr>
            <w:tcW w:w="8457" w:type="dxa"/>
            <w:tcBorders>
              <w:top w:val="nil"/>
              <w:left w:val="nil"/>
              <w:bottom w:val="nil"/>
              <w:right w:val="nil"/>
            </w:tcBorders>
            <w:shd w:val="clear" w:color="auto" w:fill="auto"/>
            <w:vAlign w:val="bottom"/>
            <w:hideMark/>
          </w:tcPr>
          <w:p w14:paraId="0D6B20E0" w14:textId="77777777" w:rsidR="00BE6461" w:rsidRPr="00BE6461" w:rsidRDefault="00BE6461" w:rsidP="00BE6461">
            <w:pPr>
              <w:rPr>
                <w:sz w:val="20"/>
                <w:szCs w:val="20"/>
              </w:rPr>
            </w:pPr>
            <w:r w:rsidRPr="00BE6461">
              <w:rPr>
                <w:sz w:val="20"/>
                <w:szCs w:val="20"/>
              </w:rPr>
              <w:t xml:space="preserve">Stručno usavršavanje zaposlenika                                                                    </w:t>
            </w:r>
          </w:p>
        </w:tc>
        <w:tc>
          <w:tcPr>
            <w:tcW w:w="1503" w:type="dxa"/>
            <w:tcBorders>
              <w:top w:val="nil"/>
              <w:left w:val="nil"/>
              <w:bottom w:val="nil"/>
              <w:right w:val="nil"/>
            </w:tcBorders>
            <w:shd w:val="clear" w:color="auto" w:fill="auto"/>
            <w:noWrap/>
            <w:vAlign w:val="bottom"/>
            <w:hideMark/>
          </w:tcPr>
          <w:p w14:paraId="61D8EE7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A404050"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6DF0200A" w14:textId="77777777" w:rsidR="00BE6461" w:rsidRPr="00BE6461" w:rsidRDefault="00BE6461" w:rsidP="00BE6461">
            <w:pPr>
              <w:jc w:val="right"/>
              <w:rPr>
                <w:sz w:val="20"/>
                <w:szCs w:val="20"/>
              </w:rPr>
            </w:pPr>
          </w:p>
        </w:tc>
      </w:tr>
      <w:tr w:rsidR="00BE6461" w:rsidRPr="00BE6461" w14:paraId="2DABBFFA" w14:textId="77777777" w:rsidTr="00BE6461">
        <w:trPr>
          <w:trHeight w:val="300"/>
        </w:trPr>
        <w:tc>
          <w:tcPr>
            <w:tcW w:w="1703" w:type="dxa"/>
            <w:tcBorders>
              <w:top w:val="nil"/>
              <w:left w:val="nil"/>
              <w:bottom w:val="nil"/>
              <w:right w:val="nil"/>
            </w:tcBorders>
            <w:shd w:val="clear" w:color="auto" w:fill="auto"/>
            <w:noWrap/>
            <w:vAlign w:val="bottom"/>
            <w:hideMark/>
          </w:tcPr>
          <w:p w14:paraId="0F2689E9" w14:textId="77777777" w:rsidR="00BE6461" w:rsidRPr="00BE6461" w:rsidRDefault="00BE6461" w:rsidP="00BE6461">
            <w:pPr>
              <w:rPr>
                <w:sz w:val="20"/>
                <w:szCs w:val="20"/>
              </w:rPr>
            </w:pPr>
            <w:r w:rsidRPr="00BE6461">
              <w:rPr>
                <w:sz w:val="20"/>
                <w:szCs w:val="20"/>
              </w:rPr>
              <w:t>3214</w:t>
            </w:r>
          </w:p>
        </w:tc>
        <w:tc>
          <w:tcPr>
            <w:tcW w:w="8457" w:type="dxa"/>
            <w:tcBorders>
              <w:top w:val="nil"/>
              <w:left w:val="nil"/>
              <w:bottom w:val="nil"/>
              <w:right w:val="nil"/>
            </w:tcBorders>
            <w:shd w:val="clear" w:color="auto" w:fill="auto"/>
            <w:vAlign w:val="bottom"/>
            <w:hideMark/>
          </w:tcPr>
          <w:p w14:paraId="54855ED9" w14:textId="77777777" w:rsidR="00BE6461" w:rsidRPr="00BE6461" w:rsidRDefault="00BE6461" w:rsidP="00BE6461">
            <w:pPr>
              <w:rPr>
                <w:sz w:val="20"/>
                <w:szCs w:val="20"/>
              </w:rPr>
            </w:pPr>
            <w:r w:rsidRPr="00BE6461">
              <w:rPr>
                <w:sz w:val="20"/>
                <w:szCs w:val="20"/>
              </w:rPr>
              <w:t xml:space="preserve">Ostale naknade troškova zaposlenima                                                                 </w:t>
            </w:r>
          </w:p>
        </w:tc>
        <w:tc>
          <w:tcPr>
            <w:tcW w:w="1503" w:type="dxa"/>
            <w:tcBorders>
              <w:top w:val="nil"/>
              <w:left w:val="nil"/>
              <w:bottom w:val="nil"/>
              <w:right w:val="nil"/>
            </w:tcBorders>
            <w:shd w:val="clear" w:color="auto" w:fill="auto"/>
            <w:noWrap/>
            <w:vAlign w:val="bottom"/>
            <w:hideMark/>
          </w:tcPr>
          <w:p w14:paraId="1B94954F"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E30AF73" w14:textId="77777777" w:rsidR="00BE6461" w:rsidRPr="00BE6461" w:rsidRDefault="00BE6461" w:rsidP="00BE6461">
            <w:pPr>
              <w:jc w:val="right"/>
              <w:rPr>
                <w:sz w:val="20"/>
                <w:szCs w:val="20"/>
              </w:rPr>
            </w:pPr>
            <w:r w:rsidRPr="00BE6461">
              <w:rPr>
                <w:sz w:val="20"/>
                <w:szCs w:val="20"/>
              </w:rPr>
              <w:t>399,54</w:t>
            </w:r>
          </w:p>
        </w:tc>
        <w:tc>
          <w:tcPr>
            <w:tcW w:w="1100" w:type="dxa"/>
            <w:tcBorders>
              <w:top w:val="nil"/>
              <w:left w:val="nil"/>
              <w:bottom w:val="nil"/>
              <w:right w:val="nil"/>
            </w:tcBorders>
            <w:shd w:val="clear" w:color="auto" w:fill="auto"/>
            <w:noWrap/>
            <w:vAlign w:val="bottom"/>
            <w:hideMark/>
          </w:tcPr>
          <w:p w14:paraId="1CC787A7" w14:textId="77777777" w:rsidR="00BE6461" w:rsidRPr="00BE6461" w:rsidRDefault="00BE6461" w:rsidP="00BE6461">
            <w:pPr>
              <w:jc w:val="right"/>
              <w:rPr>
                <w:sz w:val="20"/>
                <w:szCs w:val="20"/>
              </w:rPr>
            </w:pPr>
          </w:p>
        </w:tc>
      </w:tr>
      <w:tr w:rsidR="00BE6461" w:rsidRPr="00BE6461" w14:paraId="6D688E46" w14:textId="77777777" w:rsidTr="00BE6461">
        <w:trPr>
          <w:trHeight w:val="300"/>
        </w:trPr>
        <w:tc>
          <w:tcPr>
            <w:tcW w:w="1703" w:type="dxa"/>
            <w:tcBorders>
              <w:top w:val="nil"/>
              <w:left w:val="nil"/>
              <w:bottom w:val="nil"/>
              <w:right w:val="nil"/>
            </w:tcBorders>
            <w:shd w:val="clear" w:color="auto" w:fill="auto"/>
            <w:noWrap/>
            <w:vAlign w:val="bottom"/>
            <w:hideMark/>
          </w:tcPr>
          <w:p w14:paraId="30F0970A"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18DF1D79"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427A5F55" w14:textId="77777777" w:rsidR="00BE6461" w:rsidRPr="00BE6461" w:rsidRDefault="00BE6461" w:rsidP="00BE6461">
            <w:pPr>
              <w:jc w:val="right"/>
              <w:rPr>
                <w:b/>
                <w:bCs/>
                <w:sz w:val="20"/>
                <w:szCs w:val="20"/>
              </w:rPr>
            </w:pPr>
            <w:r w:rsidRPr="00BE6461">
              <w:rPr>
                <w:b/>
                <w:bCs/>
                <w:sz w:val="20"/>
                <w:szCs w:val="20"/>
              </w:rPr>
              <w:t>192.467,50</w:t>
            </w:r>
          </w:p>
        </w:tc>
        <w:tc>
          <w:tcPr>
            <w:tcW w:w="1500" w:type="dxa"/>
            <w:tcBorders>
              <w:top w:val="nil"/>
              <w:left w:val="nil"/>
              <w:bottom w:val="nil"/>
              <w:right w:val="nil"/>
            </w:tcBorders>
            <w:shd w:val="clear" w:color="auto" w:fill="auto"/>
            <w:noWrap/>
            <w:vAlign w:val="bottom"/>
            <w:hideMark/>
          </w:tcPr>
          <w:p w14:paraId="6BA81871" w14:textId="77777777" w:rsidR="00BE6461" w:rsidRPr="00BE6461" w:rsidRDefault="00BE6461" w:rsidP="00BE6461">
            <w:pPr>
              <w:jc w:val="right"/>
              <w:rPr>
                <w:b/>
                <w:bCs/>
                <w:sz w:val="20"/>
                <w:szCs w:val="20"/>
              </w:rPr>
            </w:pPr>
            <w:r w:rsidRPr="00BE6461">
              <w:rPr>
                <w:b/>
                <w:bCs/>
                <w:sz w:val="20"/>
                <w:szCs w:val="20"/>
              </w:rPr>
              <w:t>211.706,77</w:t>
            </w:r>
          </w:p>
        </w:tc>
        <w:tc>
          <w:tcPr>
            <w:tcW w:w="1100" w:type="dxa"/>
            <w:tcBorders>
              <w:top w:val="nil"/>
              <w:left w:val="nil"/>
              <w:bottom w:val="nil"/>
              <w:right w:val="nil"/>
            </w:tcBorders>
            <w:shd w:val="clear" w:color="auto" w:fill="auto"/>
            <w:noWrap/>
            <w:vAlign w:val="bottom"/>
            <w:hideMark/>
          </w:tcPr>
          <w:p w14:paraId="2ABE9BB7" w14:textId="77777777" w:rsidR="00BE6461" w:rsidRPr="00BE6461" w:rsidRDefault="00BE6461" w:rsidP="00BE6461">
            <w:pPr>
              <w:jc w:val="right"/>
              <w:rPr>
                <w:b/>
                <w:bCs/>
                <w:sz w:val="20"/>
                <w:szCs w:val="20"/>
              </w:rPr>
            </w:pPr>
            <w:r w:rsidRPr="00BE6461">
              <w:rPr>
                <w:b/>
                <w:bCs/>
                <w:sz w:val="20"/>
                <w:szCs w:val="20"/>
              </w:rPr>
              <w:t>110,00</w:t>
            </w:r>
          </w:p>
        </w:tc>
      </w:tr>
      <w:tr w:rsidR="00BE6461" w:rsidRPr="00BE6461" w14:paraId="6AE48283" w14:textId="77777777" w:rsidTr="00BE6461">
        <w:trPr>
          <w:trHeight w:val="300"/>
        </w:trPr>
        <w:tc>
          <w:tcPr>
            <w:tcW w:w="1703" w:type="dxa"/>
            <w:tcBorders>
              <w:top w:val="nil"/>
              <w:left w:val="nil"/>
              <w:bottom w:val="nil"/>
              <w:right w:val="nil"/>
            </w:tcBorders>
            <w:shd w:val="clear" w:color="auto" w:fill="auto"/>
            <w:noWrap/>
            <w:vAlign w:val="bottom"/>
            <w:hideMark/>
          </w:tcPr>
          <w:p w14:paraId="5F27089E" w14:textId="77777777" w:rsidR="00BE6461" w:rsidRPr="00BE6461" w:rsidRDefault="00BE6461" w:rsidP="00BE6461">
            <w:pPr>
              <w:rPr>
                <w:sz w:val="20"/>
                <w:szCs w:val="20"/>
              </w:rPr>
            </w:pPr>
            <w:r w:rsidRPr="00BE6461">
              <w:rPr>
                <w:sz w:val="20"/>
                <w:szCs w:val="20"/>
              </w:rPr>
              <w:t>3221</w:t>
            </w:r>
          </w:p>
        </w:tc>
        <w:tc>
          <w:tcPr>
            <w:tcW w:w="8457" w:type="dxa"/>
            <w:tcBorders>
              <w:top w:val="nil"/>
              <w:left w:val="nil"/>
              <w:bottom w:val="nil"/>
              <w:right w:val="nil"/>
            </w:tcBorders>
            <w:shd w:val="clear" w:color="auto" w:fill="auto"/>
            <w:vAlign w:val="bottom"/>
            <w:hideMark/>
          </w:tcPr>
          <w:p w14:paraId="77827288" w14:textId="77777777" w:rsidR="00BE6461" w:rsidRPr="00BE6461" w:rsidRDefault="00BE6461" w:rsidP="00BE6461">
            <w:pPr>
              <w:rPr>
                <w:sz w:val="20"/>
                <w:szCs w:val="20"/>
              </w:rPr>
            </w:pPr>
            <w:r w:rsidRPr="00BE6461">
              <w:rPr>
                <w:sz w:val="20"/>
                <w:szCs w:val="20"/>
              </w:rPr>
              <w:t xml:space="preserve">Uredski materijal i ostali materijalni rashodi                                                      </w:t>
            </w:r>
          </w:p>
        </w:tc>
        <w:tc>
          <w:tcPr>
            <w:tcW w:w="1503" w:type="dxa"/>
            <w:tcBorders>
              <w:top w:val="nil"/>
              <w:left w:val="nil"/>
              <w:bottom w:val="nil"/>
              <w:right w:val="nil"/>
            </w:tcBorders>
            <w:shd w:val="clear" w:color="auto" w:fill="auto"/>
            <w:noWrap/>
            <w:vAlign w:val="bottom"/>
            <w:hideMark/>
          </w:tcPr>
          <w:p w14:paraId="6270C32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AFB201C" w14:textId="77777777" w:rsidR="00BE6461" w:rsidRPr="00BE6461" w:rsidRDefault="00BE6461" w:rsidP="00BE6461">
            <w:pPr>
              <w:jc w:val="right"/>
              <w:rPr>
                <w:sz w:val="20"/>
                <w:szCs w:val="20"/>
              </w:rPr>
            </w:pPr>
            <w:r w:rsidRPr="00BE6461">
              <w:rPr>
                <w:sz w:val="20"/>
                <w:szCs w:val="20"/>
              </w:rPr>
              <w:t>55.485,47</w:t>
            </w:r>
          </w:p>
        </w:tc>
        <w:tc>
          <w:tcPr>
            <w:tcW w:w="1100" w:type="dxa"/>
            <w:tcBorders>
              <w:top w:val="nil"/>
              <w:left w:val="nil"/>
              <w:bottom w:val="nil"/>
              <w:right w:val="nil"/>
            </w:tcBorders>
            <w:shd w:val="clear" w:color="auto" w:fill="auto"/>
            <w:noWrap/>
            <w:vAlign w:val="bottom"/>
            <w:hideMark/>
          </w:tcPr>
          <w:p w14:paraId="2F0B9875" w14:textId="77777777" w:rsidR="00BE6461" w:rsidRPr="00BE6461" w:rsidRDefault="00BE6461" w:rsidP="00BE6461">
            <w:pPr>
              <w:jc w:val="right"/>
              <w:rPr>
                <w:sz w:val="20"/>
                <w:szCs w:val="20"/>
              </w:rPr>
            </w:pPr>
          </w:p>
        </w:tc>
      </w:tr>
      <w:tr w:rsidR="00BE6461" w:rsidRPr="00BE6461" w14:paraId="220BBD81" w14:textId="77777777" w:rsidTr="00BE6461">
        <w:trPr>
          <w:trHeight w:val="300"/>
        </w:trPr>
        <w:tc>
          <w:tcPr>
            <w:tcW w:w="1703" w:type="dxa"/>
            <w:tcBorders>
              <w:top w:val="nil"/>
              <w:left w:val="nil"/>
              <w:bottom w:val="nil"/>
              <w:right w:val="nil"/>
            </w:tcBorders>
            <w:shd w:val="clear" w:color="auto" w:fill="auto"/>
            <w:noWrap/>
            <w:vAlign w:val="bottom"/>
            <w:hideMark/>
          </w:tcPr>
          <w:p w14:paraId="5B6FDCC4" w14:textId="77777777" w:rsidR="00BE6461" w:rsidRPr="00BE6461" w:rsidRDefault="00BE6461" w:rsidP="00BE6461">
            <w:pPr>
              <w:rPr>
                <w:sz w:val="20"/>
                <w:szCs w:val="20"/>
              </w:rPr>
            </w:pPr>
            <w:r w:rsidRPr="00BE6461">
              <w:rPr>
                <w:sz w:val="20"/>
                <w:szCs w:val="20"/>
              </w:rPr>
              <w:t>3222</w:t>
            </w:r>
          </w:p>
        </w:tc>
        <w:tc>
          <w:tcPr>
            <w:tcW w:w="8457" w:type="dxa"/>
            <w:tcBorders>
              <w:top w:val="nil"/>
              <w:left w:val="nil"/>
              <w:bottom w:val="nil"/>
              <w:right w:val="nil"/>
            </w:tcBorders>
            <w:shd w:val="clear" w:color="auto" w:fill="auto"/>
            <w:vAlign w:val="bottom"/>
            <w:hideMark/>
          </w:tcPr>
          <w:p w14:paraId="6D752ABC" w14:textId="77777777" w:rsidR="00BE6461" w:rsidRPr="00BE6461" w:rsidRDefault="00BE6461" w:rsidP="00BE6461">
            <w:pPr>
              <w:rPr>
                <w:sz w:val="20"/>
                <w:szCs w:val="20"/>
              </w:rPr>
            </w:pPr>
            <w:r w:rsidRPr="00BE6461">
              <w:rPr>
                <w:sz w:val="20"/>
                <w:szCs w:val="20"/>
              </w:rPr>
              <w:t xml:space="preserve">Materijal i sirovine                                                                                </w:t>
            </w:r>
          </w:p>
        </w:tc>
        <w:tc>
          <w:tcPr>
            <w:tcW w:w="1503" w:type="dxa"/>
            <w:tcBorders>
              <w:top w:val="nil"/>
              <w:left w:val="nil"/>
              <w:bottom w:val="nil"/>
              <w:right w:val="nil"/>
            </w:tcBorders>
            <w:shd w:val="clear" w:color="auto" w:fill="auto"/>
            <w:noWrap/>
            <w:vAlign w:val="bottom"/>
            <w:hideMark/>
          </w:tcPr>
          <w:p w14:paraId="42F55ED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A443159" w14:textId="77777777" w:rsidR="00BE6461" w:rsidRPr="00BE6461" w:rsidRDefault="00BE6461" w:rsidP="00BE6461">
            <w:pPr>
              <w:jc w:val="right"/>
              <w:rPr>
                <w:sz w:val="20"/>
                <w:szCs w:val="20"/>
              </w:rPr>
            </w:pPr>
            <w:r w:rsidRPr="00BE6461">
              <w:rPr>
                <w:sz w:val="20"/>
                <w:szCs w:val="20"/>
              </w:rPr>
              <w:t>625,48</w:t>
            </w:r>
          </w:p>
        </w:tc>
        <w:tc>
          <w:tcPr>
            <w:tcW w:w="1100" w:type="dxa"/>
            <w:tcBorders>
              <w:top w:val="nil"/>
              <w:left w:val="nil"/>
              <w:bottom w:val="nil"/>
              <w:right w:val="nil"/>
            </w:tcBorders>
            <w:shd w:val="clear" w:color="auto" w:fill="auto"/>
            <w:noWrap/>
            <w:vAlign w:val="bottom"/>
            <w:hideMark/>
          </w:tcPr>
          <w:p w14:paraId="05261BF8" w14:textId="77777777" w:rsidR="00BE6461" w:rsidRPr="00BE6461" w:rsidRDefault="00BE6461" w:rsidP="00BE6461">
            <w:pPr>
              <w:jc w:val="right"/>
              <w:rPr>
                <w:sz w:val="20"/>
                <w:szCs w:val="20"/>
              </w:rPr>
            </w:pPr>
          </w:p>
        </w:tc>
      </w:tr>
      <w:tr w:rsidR="00BE6461" w:rsidRPr="00BE6461" w14:paraId="2359256A" w14:textId="77777777" w:rsidTr="00BE6461">
        <w:trPr>
          <w:trHeight w:val="300"/>
        </w:trPr>
        <w:tc>
          <w:tcPr>
            <w:tcW w:w="1703" w:type="dxa"/>
            <w:tcBorders>
              <w:top w:val="nil"/>
              <w:left w:val="nil"/>
              <w:bottom w:val="nil"/>
              <w:right w:val="nil"/>
            </w:tcBorders>
            <w:shd w:val="clear" w:color="auto" w:fill="auto"/>
            <w:noWrap/>
            <w:vAlign w:val="bottom"/>
            <w:hideMark/>
          </w:tcPr>
          <w:p w14:paraId="3771D17C" w14:textId="77777777" w:rsidR="00BE6461" w:rsidRPr="00BE6461" w:rsidRDefault="00BE6461" w:rsidP="00BE6461">
            <w:pPr>
              <w:rPr>
                <w:sz w:val="20"/>
                <w:szCs w:val="20"/>
              </w:rPr>
            </w:pPr>
            <w:r w:rsidRPr="00BE6461">
              <w:rPr>
                <w:sz w:val="20"/>
                <w:szCs w:val="20"/>
              </w:rPr>
              <w:t>3223</w:t>
            </w:r>
          </w:p>
        </w:tc>
        <w:tc>
          <w:tcPr>
            <w:tcW w:w="8457" w:type="dxa"/>
            <w:tcBorders>
              <w:top w:val="nil"/>
              <w:left w:val="nil"/>
              <w:bottom w:val="nil"/>
              <w:right w:val="nil"/>
            </w:tcBorders>
            <w:shd w:val="clear" w:color="auto" w:fill="auto"/>
            <w:vAlign w:val="bottom"/>
            <w:hideMark/>
          </w:tcPr>
          <w:p w14:paraId="247E50CC" w14:textId="77777777" w:rsidR="00BE6461" w:rsidRPr="00BE6461" w:rsidRDefault="00BE6461" w:rsidP="00BE6461">
            <w:pPr>
              <w:rPr>
                <w:sz w:val="20"/>
                <w:szCs w:val="20"/>
              </w:rPr>
            </w:pPr>
            <w:r w:rsidRPr="00BE6461">
              <w:rPr>
                <w:sz w:val="20"/>
                <w:szCs w:val="20"/>
              </w:rPr>
              <w:t xml:space="preserve">Energija                                                                                            </w:t>
            </w:r>
          </w:p>
        </w:tc>
        <w:tc>
          <w:tcPr>
            <w:tcW w:w="1503" w:type="dxa"/>
            <w:tcBorders>
              <w:top w:val="nil"/>
              <w:left w:val="nil"/>
              <w:bottom w:val="nil"/>
              <w:right w:val="nil"/>
            </w:tcBorders>
            <w:shd w:val="clear" w:color="auto" w:fill="auto"/>
            <w:noWrap/>
            <w:vAlign w:val="bottom"/>
            <w:hideMark/>
          </w:tcPr>
          <w:p w14:paraId="1CEE784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389114A" w14:textId="77777777" w:rsidR="00BE6461" w:rsidRPr="00BE6461" w:rsidRDefault="00BE6461" w:rsidP="00BE6461">
            <w:pPr>
              <w:jc w:val="right"/>
              <w:rPr>
                <w:sz w:val="20"/>
                <w:szCs w:val="20"/>
              </w:rPr>
            </w:pPr>
            <w:r w:rsidRPr="00BE6461">
              <w:rPr>
                <w:sz w:val="20"/>
                <w:szCs w:val="20"/>
              </w:rPr>
              <w:t>123.939,58</w:t>
            </w:r>
          </w:p>
        </w:tc>
        <w:tc>
          <w:tcPr>
            <w:tcW w:w="1100" w:type="dxa"/>
            <w:tcBorders>
              <w:top w:val="nil"/>
              <w:left w:val="nil"/>
              <w:bottom w:val="nil"/>
              <w:right w:val="nil"/>
            </w:tcBorders>
            <w:shd w:val="clear" w:color="auto" w:fill="auto"/>
            <w:noWrap/>
            <w:vAlign w:val="bottom"/>
            <w:hideMark/>
          </w:tcPr>
          <w:p w14:paraId="3C690106" w14:textId="77777777" w:rsidR="00BE6461" w:rsidRPr="00BE6461" w:rsidRDefault="00BE6461" w:rsidP="00BE6461">
            <w:pPr>
              <w:jc w:val="right"/>
              <w:rPr>
                <w:sz w:val="20"/>
                <w:szCs w:val="20"/>
              </w:rPr>
            </w:pPr>
          </w:p>
        </w:tc>
      </w:tr>
      <w:tr w:rsidR="00BE6461" w:rsidRPr="00BE6461" w14:paraId="6FC7FF08" w14:textId="77777777" w:rsidTr="00BE6461">
        <w:trPr>
          <w:trHeight w:val="300"/>
        </w:trPr>
        <w:tc>
          <w:tcPr>
            <w:tcW w:w="1703" w:type="dxa"/>
            <w:tcBorders>
              <w:top w:val="nil"/>
              <w:left w:val="nil"/>
              <w:bottom w:val="nil"/>
              <w:right w:val="nil"/>
            </w:tcBorders>
            <w:shd w:val="clear" w:color="auto" w:fill="auto"/>
            <w:noWrap/>
            <w:vAlign w:val="bottom"/>
            <w:hideMark/>
          </w:tcPr>
          <w:p w14:paraId="2DFD0C01" w14:textId="77777777" w:rsidR="00BE6461" w:rsidRPr="00BE6461" w:rsidRDefault="00BE6461" w:rsidP="00BE6461">
            <w:pPr>
              <w:rPr>
                <w:sz w:val="20"/>
                <w:szCs w:val="20"/>
              </w:rPr>
            </w:pPr>
            <w:r w:rsidRPr="00BE6461">
              <w:rPr>
                <w:sz w:val="20"/>
                <w:szCs w:val="20"/>
              </w:rPr>
              <w:t>3224</w:t>
            </w:r>
          </w:p>
        </w:tc>
        <w:tc>
          <w:tcPr>
            <w:tcW w:w="8457" w:type="dxa"/>
            <w:tcBorders>
              <w:top w:val="nil"/>
              <w:left w:val="nil"/>
              <w:bottom w:val="nil"/>
              <w:right w:val="nil"/>
            </w:tcBorders>
            <w:shd w:val="clear" w:color="auto" w:fill="auto"/>
            <w:vAlign w:val="bottom"/>
            <w:hideMark/>
          </w:tcPr>
          <w:p w14:paraId="5FC25A8D" w14:textId="77777777" w:rsidR="00BE6461" w:rsidRPr="00BE6461" w:rsidRDefault="00BE6461" w:rsidP="00BE6461">
            <w:pPr>
              <w:rPr>
                <w:sz w:val="20"/>
                <w:szCs w:val="20"/>
              </w:rPr>
            </w:pPr>
            <w:r w:rsidRPr="00BE6461">
              <w:rPr>
                <w:sz w:val="20"/>
                <w:szCs w:val="20"/>
              </w:rPr>
              <w:t xml:space="preserve">Materijal i dijelovi za tekuće i investicijsko održavanje                                           </w:t>
            </w:r>
          </w:p>
        </w:tc>
        <w:tc>
          <w:tcPr>
            <w:tcW w:w="1503" w:type="dxa"/>
            <w:tcBorders>
              <w:top w:val="nil"/>
              <w:left w:val="nil"/>
              <w:bottom w:val="nil"/>
              <w:right w:val="nil"/>
            </w:tcBorders>
            <w:shd w:val="clear" w:color="auto" w:fill="auto"/>
            <w:noWrap/>
            <w:vAlign w:val="bottom"/>
            <w:hideMark/>
          </w:tcPr>
          <w:p w14:paraId="3E18CB6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8403C1B" w14:textId="77777777" w:rsidR="00BE6461" w:rsidRPr="00BE6461" w:rsidRDefault="00BE6461" w:rsidP="00BE6461">
            <w:pPr>
              <w:jc w:val="right"/>
              <w:rPr>
                <w:sz w:val="20"/>
                <w:szCs w:val="20"/>
              </w:rPr>
            </w:pPr>
            <w:r w:rsidRPr="00BE6461">
              <w:rPr>
                <w:sz w:val="20"/>
                <w:szCs w:val="20"/>
              </w:rPr>
              <w:t>19.706,23</w:t>
            </w:r>
          </w:p>
        </w:tc>
        <w:tc>
          <w:tcPr>
            <w:tcW w:w="1100" w:type="dxa"/>
            <w:tcBorders>
              <w:top w:val="nil"/>
              <w:left w:val="nil"/>
              <w:bottom w:val="nil"/>
              <w:right w:val="nil"/>
            </w:tcBorders>
            <w:shd w:val="clear" w:color="auto" w:fill="auto"/>
            <w:noWrap/>
            <w:vAlign w:val="bottom"/>
            <w:hideMark/>
          </w:tcPr>
          <w:p w14:paraId="334EC428" w14:textId="77777777" w:rsidR="00BE6461" w:rsidRPr="00BE6461" w:rsidRDefault="00BE6461" w:rsidP="00BE6461">
            <w:pPr>
              <w:jc w:val="right"/>
              <w:rPr>
                <w:sz w:val="20"/>
                <w:szCs w:val="20"/>
              </w:rPr>
            </w:pPr>
          </w:p>
        </w:tc>
      </w:tr>
      <w:tr w:rsidR="00BE6461" w:rsidRPr="00BE6461" w14:paraId="2D56D208" w14:textId="77777777" w:rsidTr="00BE6461">
        <w:trPr>
          <w:trHeight w:val="300"/>
        </w:trPr>
        <w:tc>
          <w:tcPr>
            <w:tcW w:w="1703" w:type="dxa"/>
            <w:tcBorders>
              <w:top w:val="nil"/>
              <w:left w:val="nil"/>
              <w:bottom w:val="nil"/>
              <w:right w:val="nil"/>
            </w:tcBorders>
            <w:shd w:val="clear" w:color="auto" w:fill="auto"/>
            <w:noWrap/>
            <w:vAlign w:val="bottom"/>
            <w:hideMark/>
          </w:tcPr>
          <w:p w14:paraId="668FC134" w14:textId="77777777" w:rsidR="00BE6461" w:rsidRPr="00BE6461" w:rsidRDefault="00BE6461" w:rsidP="00BE6461">
            <w:pPr>
              <w:rPr>
                <w:sz w:val="20"/>
                <w:szCs w:val="20"/>
              </w:rPr>
            </w:pPr>
            <w:r w:rsidRPr="00BE6461">
              <w:rPr>
                <w:sz w:val="20"/>
                <w:szCs w:val="20"/>
              </w:rPr>
              <w:t>3225</w:t>
            </w:r>
          </w:p>
        </w:tc>
        <w:tc>
          <w:tcPr>
            <w:tcW w:w="8457" w:type="dxa"/>
            <w:tcBorders>
              <w:top w:val="nil"/>
              <w:left w:val="nil"/>
              <w:bottom w:val="nil"/>
              <w:right w:val="nil"/>
            </w:tcBorders>
            <w:shd w:val="clear" w:color="auto" w:fill="auto"/>
            <w:vAlign w:val="bottom"/>
            <w:hideMark/>
          </w:tcPr>
          <w:p w14:paraId="33F3C5ED" w14:textId="77777777" w:rsidR="00BE6461" w:rsidRPr="00BE6461" w:rsidRDefault="00BE6461" w:rsidP="00BE6461">
            <w:pPr>
              <w:rPr>
                <w:sz w:val="20"/>
                <w:szCs w:val="20"/>
              </w:rPr>
            </w:pPr>
            <w:r w:rsidRPr="00BE6461">
              <w:rPr>
                <w:sz w:val="20"/>
                <w:szCs w:val="20"/>
              </w:rPr>
              <w:t xml:space="preserve">Sitni inventar i auto gume                                                                          </w:t>
            </w:r>
          </w:p>
        </w:tc>
        <w:tc>
          <w:tcPr>
            <w:tcW w:w="1503" w:type="dxa"/>
            <w:tcBorders>
              <w:top w:val="nil"/>
              <w:left w:val="nil"/>
              <w:bottom w:val="nil"/>
              <w:right w:val="nil"/>
            </w:tcBorders>
            <w:shd w:val="clear" w:color="auto" w:fill="auto"/>
            <w:noWrap/>
            <w:vAlign w:val="bottom"/>
            <w:hideMark/>
          </w:tcPr>
          <w:p w14:paraId="29FCED5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72AE193" w14:textId="77777777" w:rsidR="00BE6461" w:rsidRPr="00BE6461" w:rsidRDefault="00BE6461" w:rsidP="00BE6461">
            <w:pPr>
              <w:jc w:val="right"/>
              <w:rPr>
                <w:sz w:val="20"/>
                <w:szCs w:val="20"/>
              </w:rPr>
            </w:pPr>
            <w:r w:rsidRPr="00BE6461">
              <w:rPr>
                <w:sz w:val="20"/>
                <w:szCs w:val="20"/>
              </w:rPr>
              <w:t>6.020,26</w:t>
            </w:r>
          </w:p>
        </w:tc>
        <w:tc>
          <w:tcPr>
            <w:tcW w:w="1100" w:type="dxa"/>
            <w:tcBorders>
              <w:top w:val="nil"/>
              <w:left w:val="nil"/>
              <w:bottom w:val="nil"/>
              <w:right w:val="nil"/>
            </w:tcBorders>
            <w:shd w:val="clear" w:color="auto" w:fill="auto"/>
            <w:noWrap/>
            <w:vAlign w:val="bottom"/>
            <w:hideMark/>
          </w:tcPr>
          <w:p w14:paraId="731CA79B" w14:textId="77777777" w:rsidR="00BE6461" w:rsidRPr="00BE6461" w:rsidRDefault="00BE6461" w:rsidP="00BE6461">
            <w:pPr>
              <w:jc w:val="right"/>
              <w:rPr>
                <w:sz w:val="20"/>
                <w:szCs w:val="20"/>
              </w:rPr>
            </w:pPr>
          </w:p>
        </w:tc>
      </w:tr>
      <w:tr w:rsidR="00BE6461" w:rsidRPr="00BE6461" w14:paraId="22CA5CEF" w14:textId="77777777" w:rsidTr="00BE6461">
        <w:trPr>
          <w:trHeight w:val="300"/>
        </w:trPr>
        <w:tc>
          <w:tcPr>
            <w:tcW w:w="1703" w:type="dxa"/>
            <w:tcBorders>
              <w:top w:val="nil"/>
              <w:left w:val="nil"/>
              <w:bottom w:val="nil"/>
              <w:right w:val="nil"/>
            </w:tcBorders>
            <w:shd w:val="clear" w:color="auto" w:fill="auto"/>
            <w:noWrap/>
            <w:vAlign w:val="bottom"/>
            <w:hideMark/>
          </w:tcPr>
          <w:p w14:paraId="76C445F5" w14:textId="77777777" w:rsidR="00BE6461" w:rsidRPr="00BE6461" w:rsidRDefault="00BE6461" w:rsidP="00BE6461">
            <w:pPr>
              <w:rPr>
                <w:sz w:val="20"/>
                <w:szCs w:val="20"/>
              </w:rPr>
            </w:pPr>
            <w:r w:rsidRPr="00BE6461">
              <w:rPr>
                <w:sz w:val="20"/>
                <w:szCs w:val="20"/>
              </w:rPr>
              <w:t>3227</w:t>
            </w:r>
          </w:p>
        </w:tc>
        <w:tc>
          <w:tcPr>
            <w:tcW w:w="8457" w:type="dxa"/>
            <w:tcBorders>
              <w:top w:val="nil"/>
              <w:left w:val="nil"/>
              <w:bottom w:val="nil"/>
              <w:right w:val="nil"/>
            </w:tcBorders>
            <w:shd w:val="clear" w:color="auto" w:fill="auto"/>
            <w:vAlign w:val="bottom"/>
            <w:hideMark/>
          </w:tcPr>
          <w:p w14:paraId="62BCCC07" w14:textId="77777777" w:rsidR="00BE6461" w:rsidRPr="00BE6461" w:rsidRDefault="00BE6461" w:rsidP="00BE6461">
            <w:pPr>
              <w:rPr>
                <w:sz w:val="20"/>
                <w:szCs w:val="20"/>
              </w:rPr>
            </w:pPr>
            <w:r w:rsidRPr="00BE6461">
              <w:rPr>
                <w:sz w:val="20"/>
                <w:szCs w:val="20"/>
              </w:rPr>
              <w:t xml:space="preserve">Službena, radna i zaštitna odjeća i obuća                                                           </w:t>
            </w:r>
          </w:p>
        </w:tc>
        <w:tc>
          <w:tcPr>
            <w:tcW w:w="1503" w:type="dxa"/>
            <w:tcBorders>
              <w:top w:val="nil"/>
              <w:left w:val="nil"/>
              <w:bottom w:val="nil"/>
              <w:right w:val="nil"/>
            </w:tcBorders>
            <w:shd w:val="clear" w:color="auto" w:fill="auto"/>
            <w:noWrap/>
            <w:vAlign w:val="bottom"/>
            <w:hideMark/>
          </w:tcPr>
          <w:p w14:paraId="7FEC047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C74B7A8" w14:textId="77777777" w:rsidR="00BE6461" w:rsidRPr="00BE6461" w:rsidRDefault="00BE6461" w:rsidP="00BE6461">
            <w:pPr>
              <w:jc w:val="right"/>
              <w:rPr>
                <w:sz w:val="20"/>
                <w:szCs w:val="20"/>
              </w:rPr>
            </w:pPr>
            <w:r w:rsidRPr="00BE6461">
              <w:rPr>
                <w:sz w:val="20"/>
                <w:szCs w:val="20"/>
              </w:rPr>
              <w:t>5.929,75</w:t>
            </w:r>
          </w:p>
        </w:tc>
        <w:tc>
          <w:tcPr>
            <w:tcW w:w="1100" w:type="dxa"/>
            <w:tcBorders>
              <w:top w:val="nil"/>
              <w:left w:val="nil"/>
              <w:bottom w:val="nil"/>
              <w:right w:val="nil"/>
            </w:tcBorders>
            <w:shd w:val="clear" w:color="auto" w:fill="auto"/>
            <w:noWrap/>
            <w:vAlign w:val="bottom"/>
            <w:hideMark/>
          </w:tcPr>
          <w:p w14:paraId="44B65AE8" w14:textId="77777777" w:rsidR="00BE6461" w:rsidRPr="00BE6461" w:rsidRDefault="00BE6461" w:rsidP="00BE6461">
            <w:pPr>
              <w:jc w:val="right"/>
              <w:rPr>
                <w:sz w:val="20"/>
                <w:szCs w:val="20"/>
              </w:rPr>
            </w:pPr>
          </w:p>
        </w:tc>
      </w:tr>
      <w:tr w:rsidR="00BE6461" w:rsidRPr="00BE6461" w14:paraId="7DA565AE" w14:textId="77777777" w:rsidTr="00BE6461">
        <w:trPr>
          <w:trHeight w:val="300"/>
        </w:trPr>
        <w:tc>
          <w:tcPr>
            <w:tcW w:w="1703" w:type="dxa"/>
            <w:tcBorders>
              <w:top w:val="nil"/>
              <w:left w:val="nil"/>
              <w:bottom w:val="nil"/>
              <w:right w:val="nil"/>
            </w:tcBorders>
            <w:shd w:val="clear" w:color="auto" w:fill="auto"/>
            <w:noWrap/>
            <w:vAlign w:val="bottom"/>
            <w:hideMark/>
          </w:tcPr>
          <w:p w14:paraId="485C10D2"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0EFE1385"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443F96E1" w14:textId="77777777" w:rsidR="00BE6461" w:rsidRPr="00BE6461" w:rsidRDefault="00BE6461" w:rsidP="00BE6461">
            <w:pPr>
              <w:jc w:val="right"/>
              <w:rPr>
                <w:b/>
                <w:bCs/>
                <w:sz w:val="20"/>
                <w:szCs w:val="20"/>
              </w:rPr>
            </w:pPr>
            <w:r w:rsidRPr="00BE6461">
              <w:rPr>
                <w:b/>
                <w:bCs/>
                <w:sz w:val="20"/>
                <w:szCs w:val="20"/>
              </w:rPr>
              <w:t>79.012,92</w:t>
            </w:r>
          </w:p>
        </w:tc>
        <w:tc>
          <w:tcPr>
            <w:tcW w:w="1500" w:type="dxa"/>
            <w:tcBorders>
              <w:top w:val="nil"/>
              <w:left w:val="nil"/>
              <w:bottom w:val="nil"/>
              <w:right w:val="nil"/>
            </w:tcBorders>
            <w:shd w:val="clear" w:color="auto" w:fill="auto"/>
            <w:noWrap/>
            <w:vAlign w:val="bottom"/>
            <w:hideMark/>
          </w:tcPr>
          <w:p w14:paraId="568C0D1B" w14:textId="77777777" w:rsidR="00BE6461" w:rsidRPr="00BE6461" w:rsidRDefault="00BE6461" w:rsidP="00BE6461">
            <w:pPr>
              <w:jc w:val="right"/>
              <w:rPr>
                <w:b/>
                <w:bCs/>
                <w:sz w:val="20"/>
                <w:szCs w:val="20"/>
              </w:rPr>
            </w:pPr>
            <w:r w:rsidRPr="00BE6461">
              <w:rPr>
                <w:b/>
                <w:bCs/>
                <w:sz w:val="20"/>
                <w:szCs w:val="20"/>
              </w:rPr>
              <w:t>84.376,30</w:t>
            </w:r>
          </w:p>
        </w:tc>
        <w:tc>
          <w:tcPr>
            <w:tcW w:w="1100" w:type="dxa"/>
            <w:tcBorders>
              <w:top w:val="nil"/>
              <w:left w:val="nil"/>
              <w:bottom w:val="nil"/>
              <w:right w:val="nil"/>
            </w:tcBorders>
            <w:shd w:val="clear" w:color="auto" w:fill="auto"/>
            <w:noWrap/>
            <w:vAlign w:val="bottom"/>
            <w:hideMark/>
          </w:tcPr>
          <w:p w14:paraId="55DF96B4" w14:textId="77777777" w:rsidR="00BE6461" w:rsidRPr="00BE6461" w:rsidRDefault="00BE6461" w:rsidP="00BE6461">
            <w:pPr>
              <w:jc w:val="right"/>
              <w:rPr>
                <w:b/>
                <w:bCs/>
                <w:sz w:val="20"/>
                <w:szCs w:val="20"/>
              </w:rPr>
            </w:pPr>
            <w:r w:rsidRPr="00BE6461">
              <w:rPr>
                <w:b/>
                <w:bCs/>
                <w:sz w:val="20"/>
                <w:szCs w:val="20"/>
              </w:rPr>
              <w:t>106,79</w:t>
            </w:r>
          </w:p>
        </w:tc>
      </w:tr>
      <w:tr w:rsidR="00BE6461" w:rsidRPr="00BE6461" w14:paraId="4260A88B" w14:textId="77777777" w:rsidTr="00BE6461">
        <w:trPr>
          <w:trHeight w:val="300"/>
        </w:trPr>
        <w:tc>
          <w:tcPr>
            <w:tcW w:w="1703" w:type="dxa"/>
            <w:tcBorders>
              <w:top w:val="nil"/>
              <w:left w:val="nil"/>
              <w:bottom w:val="nil"/>
              <w:right w:val="nil"/>
            </w:tcBorders>
            <w:shd w:val="clear" w:color="auto" w:fill="auto"/>
            <w:noWrap/>
            <w:vAlign w:val="bottom"/>
            <w:hideMark/>
          </w:tcPr>
          <w:p w14:paraId="4D3AD2CD" w14:textId="77777777" w:rsidR="00BE6461" w:rsidRPr="00BE6461" w:rsidRDefault="00BE6461" w:rsidP="00BE6461">
            <w:pPr>
              <w:rPr>
                <w:sz w:val="20"/>
                <w:szCs w:val="20"/>
              </w:rPr>
            </w:pPr>
            <w:r w:rsidRPr="00BE6461">
              <w:rPr>
                <w:sz w:val="20"/>
                <w:szCs w:val="20"/>
              </w:rPr>
              <w:lastRenderedPageBreak/>
              <w:t>3231</w:t>
            </w:r>
          </w:p>
        </w:tc>
        <w:tc>
          <w:tcPr>
            <w:tcW w:w="8457" w:type="dxa"/>
            <w:tcBorders>
              <w:top w:val="nil"/>
              <w:left w:val="nil"/>
              <w:bottom w:val="nil"/>
              <w:right w:val="nil"/>
            </w:tcBorders>
            <w:shd w:val="clear" w:color="auto" w:fill="auto"/>
            <w:vAlign w:val="bottom"/>
            <w:hideMark/>
          </w:tcPr>
          <w:p w14:paraId="64B5CF6C" w14:textId="77777777" w:rsidR="00BE6461" w:rsidRPr="00BE6461" w:rsidRDefault="00BE6461" w:rsidP="00BE6461">
            <w:pPr>
              <w:rPr>
                <w:sz w:val="20"/>
                <w:szCs w:val="20"/>
              </w:rPr>
            </w:pPr>
            <w:r w:rsidRPr="00BE6461">
              <w:rPr>
                <w:sz w:val="20"/>
                <w:szCs w:val="20"/>
              </w:rPr>
              <w:t xml:space="preserve">Usluge telefona, pošte i prijevoza                                                                  </w:t>
            </w:r>
          </w:p>
        </w:tc>
        <w:tc>
          <w:tcPr>
            <w:tcW w:w="1503" w:type="dxa"/>
            <w:tcBorders>
              <w:top w:val="nil"/>
              <w:left w:val="nil"/>
              <w:bottom w:val="nil"/>
              <w:right w:val="nil"/>
            </w:tcBorders>
            <w:shd w:val="clear" w:color="auto" w:fill="auto"/>
            <w:noWrap/>
            <w:vAlign w:val="bottom"/>
            <w:hideMark/>
          </w:tcPr>
          <w:p w14:paraId="2DE350FB"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4A6727F" w14:textId="77777777" w:rsidR="00BE6461" w:rsidRPr="00BE6461" w:rsidRDefault="00BE6461" w:rsidP="00BE6461">
            <w:pPr>
              <w:jc w:val="right"/>
              <w:rPr>
                <w:sz w:val="20"/>
                <w:szCs w:val="20"/>
              </w:rPr>
            </w:pPr>
            <w:r w:rsidRPr="00BE6461">
              <w:rPr>
                <w:sz w:val="20"/>
                <w:szCs w:val="20"/>
              </w:rPr>
              <w:t>10.767,94</w:t>
            </w:r>
          </w:p>
        </w:tc>
        <w:tc>
          <w:tcPr>
            <w:tcW w:w="1100" w:type="dxa"/>
            <w:tcBorders>
              <w:top w:val="nil"/>
              <w:left w:val="nil"/>
              <w:bottom w:val="nil"/>
              <w:right w:val="nil"/>
            </w:tcBorders>
            <w:shd w:val="clear" w:color="auto" w:fill="auto"/>
            <w:noWrap/>
            <w:vAlign w:val="bottom"/>
            <w:hideMark/>
          </w:tcPr>
          <w:p w14:paraId="0083264A" w14:textId="77777777" w:rsidR="00BE6461" w:rsidRPr="00BE6461" w:rsidRDefault="00BE6461" w:rsidP="00BE6461">
            <w:pPr>
              <w:jc w:val="right"/>
              <w:rPr>
                <w:sz w:val="20"/>
                <w:szCs w:val="20"/>
              </w:rPr>
            </w:pPr>
          </w:p>
        </w:tc>
      </w:tr>
      <w:tr w:rsidR="00BE6461" w:rsidRPr="00BE6461" w14:paraId="6A7B820C" w14:textId="77777777" w:rsidTr="00BE6461">
        <w:trPr>
          <w:trHeight w:val="300"/>
        </w:trPr>
        <w:tc>
          <w:tcPr>
            <w:tcW w:w="1703" w:type="dxa"/>
            <w:tcBorders>
              <w:top w:val="nil"/>
              <w:left w:val="nil"/>
              <w:bottom w:val="nil"/>
              <w:right w:val="nil"/>
            </w:tcBorders>
            <w:shd w:val="clear" w:color="auto" w:fill="auto"/>
            <w:noWrap/>
            <w:vAlign w:val="bottom"/>
            <w:hideMark/>
          </w:tcPr>
          <w:p w14:paraId="112EB72A" w14:textId="77777777" w:rsidR="00BE6461" w:rsidRPr="00BE6461" w:rsidRDefault="00BE6461" w:rsidP="00BE6461">
            <w:pPr>
              <w:rPr>
                <w:sz w:val="20"/>
                <w:szCs w:val="20"/>
              </w:rPr>
            </w:pPr>
            <w:r w:rsidRPr="00BE6461">
              <w:rPr>
                <w:sz w:val="20"/>
                <w:szCs w:val="20"/>
              </w:rPr>
              <w:t>3232</w:t>
            </w:r>
          </w:p>
        </w:tc>
        <w:tc>
          <w:tcPr>
            <w:tcW w:w="8457" w:type="dxa"/>
            <w:tcBorders>
              <w:top w:val="nil"/>
              <w:left w:val="nil"/>
              <w:bottom w:val="nil"/>
              <w:right w:val="nil"/>
            </w:tcBorders>
            <w:shd w:val="clear" w:color="auto" w:fill="auto"/>
            <w:vAlign w:val="bottom"/>
            <w:hideMark/>
          </w:tcPr>
          <w:p w14:paraId="48357CF5" w14:textId="77777777" w:rsidR="00BE6461" w:rsidRPr="00BE6461" w:rsidRDefault="00BE6461" w:rsidP="00BE6461">
            <w:pPr>
              <w:rPr>
                <w:sz w:val="20"/>
                <w:szCs w:val="20"/>
              </w:rPr>
            </w:pPr>
            <w:r w:rsidRPr="00BE6461">
              <w:rPr>
                <w:sz w:val="20"/>
                <w:szCs w:val="20"/>
              </w:rPr>
              <w:t xml:space="preserve">Usluge tekućeg i investicijskog održavanja                                                          </w:t>
            </w:r>
          </w:p>
        </w:tc>
        <w:tc>
          <w:tcPr>
            <w:tcW w:w="1503" w:type="dxa"/>
            <w:tcBorders>
              <w:top w:val="nil"/>
              <w:left w:val="nil"/>
              <w:bottom w:val="nil"/>
              <w:right w:val="nil"/>
            </w:tcBorders>
            <w:shd w:val="clear" w:color="auto" w:fill="auto"/>
            <w:noWrap/>
            <w:vAlign w:val="bottom"/>
            <w:hideMark/>
          </w:tcPr>
          <w:p w14:paraId="47078D6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7C8B6C9" w14:textId="77777777" w:rsidR="00BE6461" w:rsidRPr="00BE6461" w:rsidRDefault="00BE6461" w:rsidP="00BE6461">
            <w:pPr>
              <w:jc w:val="right"/>
              <w:rPr>
                <w:sz w:val="20"/>
                <w:szCs w:val="20"/>
              </w:rPr>
            </w:pPr>
            <w:r w:rsidRPr="00BE6461">
              <w:rPr>
                <w:sz w:val="20"/>
                <w:szCs w:val="20"/>
              </w:rPr>
              <w:t>5.550,25</w:t>
            </w:r>
          </w:p>
        </w:tc>
        <w:tc>
          <w:tcPr>
            <w:tcW w:w="1100" w:type="dxa"/>
            <w:tcBorders>
              <w:top w:val="nil"/>
              <w:left w:val="nil"/>
              <w:bottom w:val="nil"/>
              <w:right w:val="nil"/>
            </w:tcBorders>
            <w:shd w:val="clear" w:color="auto" w:fill="auto"/>
            <w:noWrap/>
            <w:vAlign w:val="bottom"/>
            <w:hideMark/>
          </w:tcPr>
          <w:p w14:paraId="3A18F4FE" w14:textId="77777777" w:rsidR="00BE6461" w:rsidRPr="00BE6461" w:rsidRDefault="00BE6461" w:rsidP="00BE6461">
            <w:pPr>
              <w:jc w:val="right"/>
              <w:rPr>
                <w:sz w:val="20"/>
                <w:szCs w:val="20"/>
              </w:rPr>
            </w:pPr>
          </w:p>
        </w:tc>
      </w:tr>
      <w:tr w:rsidR="00BE6461" w:rsidRPr="00BE6461" w14:paraId="7E5FA035" w14:textId="77777777" w:rsidTr="00BE6461">
        <w:trPr>
          <w:trHeight w:val="300"/>
        </w:trPr>
        <w:tc>
          <w:tcPr>
            <w:tcW w:w="1703" w:type="dxa"/>
            <w:tcBorders>
              <w:top w:val="nil"/>
              <w:left w:val="nil"/>
              <w:bottom w:val="nil"/>
              <w:right w:val="nil"/>
            </w:tcBorders>
            <w:shd w:val="clear" w:color="auto" w:fill="auto"/>
            <w:noWrap/>
            <w:vAlign w:val="bottom"/>
            <w:hideMark/>
          </w:tcPr>
          <w:p w14:paraId="1F38F508" w14:textId="77777777" w:rsidR="00BE6461" w:rsidRPr="00BE6461" w:rsidRDefault="00BE6461" w:rsidP="00BE6461">
            <w:pPr>
              <w:rPr>
                <w:sz w:val="20"/>
                <w:szCs w:val="20"/>
              </w:rPr>
            </w:pPr>
            <w:r w:rsidRPr="00BE6461">
              <w:rPr>
                <w:sz w:val="20"/>
                <w:szCs w:val="20"/>
              </w:rPr>
              <w:t>3233</w:t>
            </w:r>
          </w:p>
        </w:tc>
        <w:tc>
          <w:tcPr>
            <w:tcW w:w="8457" w:type="dxa"/>
            <w:tcBorders>
              <w:top w:val="nil"/>
              <w:left w:val="nil"/>
              <w:bottom w:val="nil"/>
              <w:right w:val="nil"/>
            </w:tcBorders>
            <w:shd w:val="clear" w:color="auto" w:fill="auto"/>
            <w:vAlign w:val="bottom"/>
            <w:hideMark/>
          </w:tcPr>
          <w:p w14:paraId="671CF23F" w14:textId="77777777" w:rsidR="00BE6461" w:rsidRPr="00BE6461" w:rsidRDefault="00BE6461" w:rsidP="00BE6461">
            <w:pPr>
              <w:rPr>
                <w:sz w:val="20"/>
                <w:szCs w:val="20"/>
              </w:rPr>
            </w:pPr>
            <w:r w:rsidRPr="00BE6461">
              <w:rPr>
                <w:sz w:val="20"/>
                <w:szCs w:val="20"/>
              </w:rPr>
              <w:t xml:space="preserve">Usluge promidžbe i informiranja                                                                     </w:t>
            </w:r>
          </w:p>
        </w:tc>
        <w:tc>
          <w:tcPr>
            <w:tcW w:w="1503" w:type="dxa"/>
            <w:tcBorders>
              <w:top w:val="nil"/>
              <w:left w:val="nil"/>
              <w:bottom w:val="nil"/>
              <w:right w:val="nil"/>
            </w:tcBorders>
            <w:shd w:val="clear" w:color="auto" w:fill="auto"/>
            <w:noWrap/>
            <w:vAlign w:val="bottom"/>
            <w:hideMark/>
          </w:tcPr>
          <w:p w14:paraId="5C863985"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4598CF8"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1A81BDEB" w14:textId="77777777" w:rsidR="00BE6461" w:rsidRPr="00BE6461" w:rsidRDefault="00BE6461" w:rsidP="00BE6461">
            <w:pPr>
              <w:jc w:val="right"/>
              <w:rPr>
                <w:sz w:val="20"/>
                <w:szCs w:val="20"/>
              </w:rPr>
            </w:pPr>
          </w:p>
        </w:tc>
      </w:tr>
      <w:tr w:rsidR="00BE6461" w:rsidRPr="00BE6461" w14:paraId="4206794B" w14:textId="77777777" w:rsidTr="00BE6461">
        <w:trPr>
          <w:trHeight w:val="300"/>
        </w:trPr>
        <w:tc>
          <w:tcPr>
            <w:tcW w:w="1703" w:type="dxa"/>
            <w:tcBorders>
              <w:top w:val="nil"/>
              <w:left w:val="nil"/>
              <w:bottom w:val="nil"/>
              <w:right w:val="nil"/>
            </w:tcBorders>
            <w:shd w:val="clear" w:color="auto" w:fill="auto"/>
            <w:noWrap/>
            <w:vAlign w:val="bottom"/>
            <w:hideMark/>
          </w:tcPr>
          <w:p w14:paraId="3592082B" w14:textId="77777777" w:rsidR="00BE6461" w:rsidRPr="00BE6461" w:rsidRDefault="00BE6461" w:rsidP="00BE6461">
            <w:pPr>
              <w:rPr>
                <w:sz w:val="20"/>
                <w:szCs w:val="20"/>
              </w:rPr>
            </w:pPr>
            <w:r w:rsidRPr="00BE6461">
              <w:rPr>
                <w:sz w:val="20"/>
                <w:szCs w:val="20"/>
              </w:rPr>
              <w:t>3234</w:t>
            </w:r>
          </w:p>
        </w:tc>
        <w:tc>
          <w:tcPr>
            <w:tcW w:w="8457" w:type="dxa"/>
            <w:tcBorders>
              <w:top w:val="nil"/>
              <w:left w:val="nil"/>
              <w:bottom w:val="nil"/>
              <w:right w:val="nil"/>
            </w:tcBorders>
            <w:shd w:val="clear" w:color="auto" w:fill="auto"/>
            <w:vAlign w:val="bottom"/>
            <w:hideMark/>
          </w:tcPr>
          <w:p w14:paraId="3E50174A" w14:textId="77777777" w:rsidR="00BE6461" w:rsidRPr="00BE6461" w:rsidRDefault="00BE6461" w:rsidP="00BE6461">
            <w:pPr>
              <w:rPr>
                <w:sz w:val="20"/>
                <w:szCs w:val="20"/>
              </w:rPr>
            </w:pPr>
            <w:r w:rsidRPr="00BE6461">
              <w:rPr>
                <w:sz w:val="20"/>
                <w:szCs w:val="20"/>
              </w:rPr>
              <w:t xml:space="preserve">Komunalne usluge                                                                                    </w:t>
            </w:r>
          </w:p>
        </w:tc>
        <w:tc>
          <w:tcPr>
            <w:tcW w:w="1503" w:type="dxa"/>
            <w:tcBorders>
              <w:top w:val="nil"/>
              <w:left w:val="nil"/>
              <w:bottom w:val="nil"/>
              <w:right w:val="nil"/>
            </w:tcBorders>
            <w:shd w:val="clear" w:color="auto" w:fill="auto"/>
            <w:noWrap/>
            <w:vAlign w:val="bottom"/>
            <w:hideMark/>
          </w:tcPr>
          <w:p w14:paraId="219A382B"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4698BA2" w14:textId="77777777" w:rsidR="00BE6461" w:rsidRPr="00BE6461" w:rsidRDefault="00BE6461" w:rsidP="00BE6461">
            <w:pPr>
              <w:jc w:val="right"/>
              <w:rPr>
                <w:sz w:val="20"/>
                <w:szCs w:val="20"/>
              </w:rPr>
            </w:pPr>
            <w:r w:rsidRPr="00BE6461">
              <w:rPr>
                <w:sz w:val="20"/>
                <w:szCs w:val="20"/>
              </w:rPr>
              <w:t>25.798,93</w:t>
            </w:r>
          </w:p>
        </w:tc>
        <w:tc>
          <w:tcPr>
            <w:tcW w:w="1100" w:type="dxa"/>
            <w:tcBorders>
              <w:top w:val="nil"/>
              <w:left w:val="nil"/>
              <w:bottom w:val="nil"/>
              <w:right w:val="nil"/>
            </w:tcBorders>
            <w:shd w:val="clear" w:color="auto" w:fill="auto"/>
            <w:noWrap/>
            <w:vAlign w:val="bottom"/>
            <w:hideMark/>
          </w:tcPr>
          <w:p w14:paraId="501EA0AA" w14:textId="77777777" w:rsidR="00BE6461" w:rsidRPr="00BE6461" w:rsidRDefault="00BE6461" w:rsidP="00BE6461">
            <w:pPr>
              <w:jc w:val="right"/>
              <w:rPr>
                <w:sz w:val="20"/>
                <w:szCs w:val="20"/>
              </w:rPr>
            </w:pPr>
          </w:p>
        </w:tc>
      </w:tr>
      <w:tr w:rsidR="00BE6461" w:rsidRPr="00BE6461" w14:paraId="6106ADED" w14:textId="77777777" w:rsidTr="00BE6461">
        <w:trPr>
          <w:trHeight w:val="300"/>
        </w:trPr>
        <w:tc>
          <w:tcPr>
            <w:tcW w:w="1703" w:type="dxa"/>
            <w:tcBorders>
              <w:top w:val="nil"/>
              <w:left w:val="nil"/>
              <w:bottom w:val="nil"/>
              <w:right w:val="nil"/>
            </w:tcBorders>
            <w:shd w:val="clear" w:color="auto" w:fill="auto"/>
            <w:noWrap/>
            <w:vAlign w:val="bottom"/>
            <w:hideMark/>
          </w:tcPr>
          <w:p w14:paraId="0D67FC6E" w14:textId="77777777" w:rsidR="00BE6461" w:rsidRPr="00BE6461" w:rsidRDefault="00BE6461" w:rsidP="00BE6461">
            <w:pPr>
              <w:rPr>
                <w:sz w:val="20"/>
                <w:szCs w:val="20"/>
              </w:rPr>
            </w:pPr>
            <w:r w:rsidRPr="00BE6461">
              <w:rPr>
                <w:sz w:val="20"/>
                <w:szCs w:val="20"/>
              </w:rPr>
              <w:t>3236</w:t>
            </w:r>
          </w:p>
        </w:tc>
        <w:tc>
          <w:tcPr>
            <w:tcW w:w="8457" w:type="dxa"/>
            <w:tcBorders>
              <w:top w:val="nil"/>
              <w:left w:val="nil"/>
              <w:bottom w:val="nil"/>
              <w:right w:val="nil"/>
            </w:tcBorders>
            <w:shd w:val="clear" w:color="auto" w:fill="auto"/>
            <w:vAlign w:val="bottom"/>
            <w:hideMark/>
          </w:tcPr>
          <w:p w14:paraId="694BB4B1" w14:textId="77777777" w:rsidR="00BE6461" w:rsidRPr="00BE6461" w:rsidRDefault="00BE6461" w:rsidP="00BE6461">
            <w:pPr>
              <w:rPr>
                <w:sz w:val="20"/>
                <w:szCs w:val="20"/>
              </w:rPr>
            </w:pPr>
            <w:r w:rsidRPr="00BE6461">
              <w:rPr>
                <w:sz w:val="20"/>
                <w:szCs w:val="20"/>
              </w:rPr>
              <w:t xml:space="preserve">Zdravstvene i veterinarske usluge                                                                   </w:t>
            </w:r>
          </w:p>
        </w:tc>
        <w:tc>
          <w:tcPr>
            <w:tcW w:w="1503" w:type="dxa"/>
            <w:tcBorders>
              <w:top w:val="nil"/>
              <w:left w:val="nil"/>
              <w:bottom w:val="nil"/>
              <w:right w:val="nil"/>
            </w:tcBorders>
            <w:shd w:val="clear" w:color="auto" w:fill="auto"/>
            <w:noWrap/>
            <w:vAlign w:val="bottom"/>
            <w:hideMark/>
          </w:tcPr>
          <w:p w14:paraId="185FD500"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F7B2DA7" w14:textId="77777777" w:rsidR="00BE6461" w:rsidRPr="00BE6461" w:rsidRDefault="00BE6461" w:rsidP="00BE6461">
            <w:pPr>
              <w:jc w:val="right"/>
              <w:rPr>
                <w:sz w:val="20"/>
                <w:szCs w:val="20"/>
              </w:rPr>
            </w:pPr>
            <w:r w:rsidRPr="00BE6461">
              <w:rPr>
                <w:sz w:val="20"/>
                <w:szCs w:val="20"/>
              </w:rPr>
              <w:t>19.431,32</w:t>
            </w:r>
          </w:p>
        </w:tc>
        <w:tc>
          <w:tcPr>
            <w:tcW w:w="1100" w:type="dxa"/>
            <w:tcBorders>
              <w:top w:val="nil"/>
              <w:left w:val="nil"/>
              <w:bottom w:val="nil"/>
              <w:right w:val="nil"/>
            </w:tcBorders>
            <w:shd w:val="clear" w:color="auto" w:fill="auto"/>
            <w:noWrap/>
            <w:vAlign w:val="bottom"/>
            <w:hideMark/>
          </w:tcPr>
          <w:p w14:paraId="2393328A" w14:textId="77777777" w:rsidR="00BE6461" w:rsidRPr="00BE6461" w:rsidRDefault="00BE6461" w:rsidP="00BE6461">
            <w:pPr>
              <w:jc w:val="right"/>
              <w:rPr>
                <w:sz w:val="20"/>
                <w:szCs w:val="20"/>
              </w:rPr>
            </w:pPr>
          </w:p>
        </w:tc>
      </w:tr>
      <w:tr w:rsidR="00BE6461" w:rsidRPr="00BE6461" w14:paraId="0211313A" w14:textId="77777777" w:rsidTr="00BE6461">
        <w:trPr>
          <w:trHeight w:val="300"/>
        </w:trPr>
        <w:tc>
          <w:tcPr>
            <w:tcW w:w="1703" w:type="dxa"/>
            <w:tcBorders>
              <w:top w:val="nil"/>
              <w:left w:val="nil"/>
              <w:bottom w:val="nil"/>
              <w:right w:val="nil"/>
            </w:tcBorders>
            <w:shd w:val="clear" w:color="auto" w:fill="auto"/>
            <w:noWrap/>
            <w:vAlign w:val="bottom"/>
            <w:hideMark/>
          </w:tcPr>
          <w:p w14:paraId="584B361C" w14:textId="77777777" w:rsidR="00BE6461" w:rsidRPr="00BE6461" w:rsidRDefault="00BE6461" w:rsidP="00BE6461">
            <w:pPr>
              <w:rPr>
                <w:sz w:val="20"/>
                <w:szCs w:val="20"/>
              </w:rPr>
            </w:pPr>
            <w:r w:rsidRPr="00BE6461">
              <w:rPr>
                <w:sz w:val="20"/>
                <w:szCs w:val="20"/>
              </w:rPr>
              <w:t>3238</w:t>
            </w:r>
          </w:p>
        </w:tc>
        <w:tc>
          <w:tcPr>
            <w:tcW w:w="8457" w:type="dxa"/>
            <w:tcBorders>
              <w:top w:val="nil"/>
              <w:left w:val="nil"/>
              <w:bottom w:val="nil"/>
              <w:right w:val="nil"/>
            </w:tcBorders>
            <w:shd w:val="clear" w:color="auto" w:fill="auto"/>
            <w:vAlign w:val="bottom"/>
            <w:hideMark/>
          </w:tcPr>
          <w:p w14:paraId="5867C848" w14:textId="77777777" w:rsidR="00BE6461" w:rsidRPr="00BE6461" w:rsidRDefault="00BE6461" w:rsidP="00BE6461">
            <w:pPr>
              <w:rPr>
                <w:sz w:val="20"/>
                <w:szCs w:val="20"/>
              </w:rPr>
            </w:pPr>
            <w:r w:rsidRPr="00BE6461">
              <w:rPr>
                <w:sz w:val="20"/>
                <w:szCs w:val="20"/>
              </w:rPr>
              <w:t xml:space="preserve">Računalne usluge                                                                                    </w:t>
            </w:r>
          </w:p>
        </w:tc>
        <w:tc>
          <w:tcPr>
            <w:tcW w:w="1503" w:type="dxa"/>
            <w:tcBorders>
              <w:top w:val="nil"/>
              <w:left w:val="nil"/>
              <w:bottom w:val="nil"/>
              <w:right w:val="nil"/>
            </w:tcBorders>
            <w:shd w:val="clear" w:color="auto" w:fill="auto"/>
            <w:noWrap/>
            <w:vAlign w:val="bottom"/>
            <w:hideMark/>
          </w:tcPr>
          <w:p w14:paraId="207B528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6195C0F" w14:textId="77777777" w:rsidR="00BE6461" w:rsidRPr="00BE6461" w:rsidRDefault="00BE6461" w:rsidP="00BE6461">
            <w:pPr>
              <w:jc w:val="right"/>
              <w:rPr>
                <w:sz w:val="20"/>
                <w:szCs w:val="20"/>
              </w:rPr>
            </w:pPr>
            <w:r w:rsidRPr="00BE6461">
              <w:rPr>
                <w:sz w:val="20"/>
                <w:szCs w:val="20"/>
              </w:rPr>
              <w:t>21.484,94</w:t>
            </w:r>
          </w:p>
        </w:tc>
        <w:tc>
          <w:tcPr>
            <w:tcW w:w="1100" w:type="dxa"/>
            <w:tcBorders>
              <w:top w:val="nil"/>
              <w:left w:val="nil"/>
              <w:bottom w:val="nil"/>
              <w:right w:val="nil"/>
            </w:tcBorders>
            <w:shd w:val="clear" w:color="auto" w:fill="auto"/>
            <w:noWrap/>
            <w:vAlign w:val="bottom"/>
            <w:hideMark/>
          </w:tcPr>
          <w:p w14:paraId="05ED7795" w14:textId="77777777" w:rsidR="00BE6461" w:rsidRPr="00BE6461" w:rsidRDefault="00BE6461" w:rsidP="00BE6461">
            <w:pPr>
              <w:jc w:val="right"/>
              <w:rPr>
                <w:sz w:val="20"/>
                <w:szCs w:val="20"/>
              </w:rPr>
            </w:pPr>
          </w:p>
        </w:tc>
      </w:tr>
      <w:tr w:rsidR="00BE6461" w:rsidRPr="00BE6461" w14:paraId="5C23EDD6" w14:textId="77777777" w:rsidTr="00BE6461">
        <w:trPr>
          <w:trHeight w:val="300"/>
        </w:trPr>
        <w:tc>
          <w:tcPr>
            <w:tcW w:w="1703" w:type="dxa"/>
            <w:tcBorders>
              <w:top w:val="nil"/>
              <w:left w:val="nil"/>
              <w:bottom w:val="nil"/>
              <w:right w:val="nil"/>
            </w:tcBorders>
            <w:shd w:val="clear" w:color="auto" w:fill="auto"/>
            <w:noWrap/>
            <w:vAlign w:val="bottom"/>
            <w:hideMark/>
          </w:tcPr>
          <w:p w14:paraId="689A23FB" w14:textId="77777777" w:rsidR="00BE6461" w:rsidRPr="00BE6461" w:rsidRDefault="00BE6461" w:rsidP="00BE6461">
            <w:pPr>
              <w:rPr>
                <w:sz w:val="20"/>
                <w:szCs w:val="20"/>
              </w:rPr>
            </w:pPr>
            <w:r w:rsidRPr="00BE6461">
              <w:rPr>
                <w:sz w:val="20"/>
                <w:szCs w:val="20"/>
              </w:rPr>
              <w:t>3239</w:t>
            </w:r>
          </w:p>
        </w:tc>
        <w:tc>
          <w:tcPr>
            <w:tcW w:w="8457" w:type="dxa"/>
            <w:tcBorders>
              <w:top w:val="nil"/>
              <w:left w:val="nil"/>
              <w:bottom w:val="nil"/>
              <w:right w:val="nil"/>
            </w:tcBorders>
            <w:shd w:val="clear" w:color="auto" w:fill="auto"/>
            <w:vAlign w:val="bottom"/>
            <w:hideMark/>
          </w:tcPr>
          <w:p w14:paraId="7C6350F0" w14:textId="77777777" w:rsidR="00BE6461" w:rsidRPr="00BE6461" w:rsidRDefault="00BE6461" w:rsidP="00BE6461">
            <w:pPr>
              <w:rPr>
                <w:sz w:val="20"/>
                <w:szCs w:val="20"/>
              </w:rPr>
            </w:pPr>
            <w:r w:rsidRPr="00BE6461">
              <w:rPr>
                <w:sz w:val="20"/>
                <w:szCs w:val="20"/>
              </w:rPr>
              <w:t xml:space="preserve">Ostale usluge                                                                                       </w:t>
            </w:r>
          </w:p>
        </w:tc>
        <w:tc>
          <w:tcPr>
            <w:tcW w:w="1503" w:type="dxa"/>
            <w:tcBorders>
              <w:top w:val="nil"/>
              <w:left w:val="nil"/>
              <w:bottom w:val="nil"/>
              <w:right w:val="nil"/>
            </w:tcBorders>
            <w:shd w:val="clear" w:color="auto" w:fill="auto"/>
            <w:noWrap/>
            <w:vAlign w:val="bottom"/>
            <w:hideMark/>
          </w:tcPr>
          <w:p w14:paraId="0925089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CC75701" w14:textId="77777777" w:rsidR="00BE6461" w:rsidRPr="00BE6461" w:rsidRDefault="00BE6461" w:rsidP="00BE6461">
            <w:pPr>
              <w:jc w:val="right"/>
              <w:rPr>
                <w:sz w:val="20"/>
                <w:szCs w:val="20"/>
              </w:rPr>
            </w:pPr>
            <w:r w:rsidRPr="00BE6461">
              <w:rPr>
                <w:sz w:val="20"/>
                <w:szCs w:val="20"/>
              </w:rPr>
              <w:t>1.342,92</w:t>
            </w:r>
          </w:p>
        </w:tc>
        <w:tc>
          <w:tcPr>
            <w:tcW w:w="1100" w:type="dxa"/>
            <w:tcBorders>
              <w:top w:val="nil"/>
              <w:left w:val="nil"/>
              <w:bottom w:val="nil"/>
              <w:right w:val="nil"/>
            </w:tcBorders>
            <w:shd w:val="clear" w:color="auto" w:fill="auto"/>
            <w:noWrap/>
            <w:vAlign w:val="bottom"/>
            <w:hideMark/>
          </w:tcPr>
          <w:p w14:paraId="3661AC83" w14:textId="77777777" w:rsidR="00BE6461" w:rsidRPr="00BE6461" w:rsidRDefault="00BE6461" w:rsidP="00BE6461">
            <w:pPr>
              <w:jc w:val="right"/>
              <w:rPr>
                <w:sz w:val="20"/>
                <w:szCs w:val="20"/>
              </w:rPr>
            </w:pPr>
          </w:p>
        </w:tc>
      </w:tr>
      <w:tr w:rsidR="00BE6461" w:rsidRPr="00BE6461" w14:paraId="0E257E5F" w14:textId="77777777" w:rsidTr="00BE6461">
        <w:trPr>
          <w:trHeight w:val="300"/>
        </w:trPr>
        <w:tc>
          <w:tcPr>
            <w:tcW w:w="1703" w:type="dxa"/>
            <w:tcBorders>
              <w:top w:val="nil"/>
              <w:left w:val="nil"/>
              <w:bottom w:val="nil"/>
              <w:right w:val="nil"/>
            </w:tcBorders>
            <w:shd w:val="clear" w:color="auto" w:fill="auto"/>
            <w:noWrap/>
            <w:vAlign w:val="bottom"/>
            <w:hideMark/>
          </w:tcPr>
          <w:p w14:paraId="6968192F"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599B163C"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2DB0E6CC" w14:textId="77777777" w:rsidR="00BE6461" w:rsidRPr="00BE6461" w:rsidRDefault="00BE6461" w:rsidP="00BE6461">
            <w:pPr>
              <w:jc w:val="right"/>
              <w:rPr>
                <w:b/>
                <w:bCs/>
                <w:sz w:val="20"/>
                <w:szCs w:val="20"/>
              </w:rPr>
            </w:pPr>
            <w:r w:rsidRPr="00BE6461">
              <w:rPr>
                <w:b/>
                <w:bCs/>
                <w:sz w:val="20"/>
                <w:szCs w:val="20"/>
              </w:rPr>
              <w:t>6.800,00</w:t>
            </w:r>
          </w:p>
        </w:tc>
        <w:tc>
          <w:tcPr>
            <w:tcW w:w="1500" w:type="dxa"/>
            <w:tcBorders>
              <w:top w:val="nil"/>
              <w:left w:val="nil"/>
              <w:bottom w:val="nil"/>
              <w:right w:val="nil"/>
            </w:tcBorders>
            <w:shd w:val="clear" w:color="auto" w:fill="auto"/>
            <w:noWrap/>
            <w:vAlign w:val="bottom"/>
            <w:hideMark/>
          </w:tcPr>
          <w:p w14:paraId="7692E245" w14:textId="77777777" w:rsidR="00BE6461" w:rsidRPr="00BE6461" w:rsidRDefault="00BE6461" w:rsidP="00BE6461">
            <w:pPr>
              <w:jc w:val="right"/>
              <w:rPr>
                <w:b/>
                <w:bCs/>
                <w:sz w:val="20"/>
                <w:szCs w:val="20"/>
              </w:rPr>
            </w:pPr>
            <w:r w:rsidRPr="00BE6461">
              <w:rPr>
                <w:b/>
                <w:bCs/>
                <w:sz w:val="20"/>
                <w:szCs w:val="20"/>
              </w:rPr>
              <w:t>2.639,13</w:t>
            </w:r>
          </w:p>
        </w:tc>
        <w:tc>
          <w:tcPr>
            <w:tcW w:w="1100" w:type="dxa"/>
            <w:tcBorders>
              <w:top w:val="nil"/>
              <w:left w:val="nil"/>
              <w:bottom w:val="nil"/>
              <w:right w:val="nil"/>
            </w:tcBorders>
            <w:shd w:val="clear" w:color="auto" w:fill="auto"/>
            <w:noWrap/>
            <w:vAlign w:val="bottom"/>
            <w:hideMark/>
          </w:tcPr>
          <w:p w14:paraId="7BFF59D0" w14:textId="77777777" w:rsidR="00BE6461" w:rsidRPr="00BE6461" w:rsidRDefault="00BE6461" w:rsidP="00BE6461">
            <w:pPr>
              <w:jc w:val="right"/>
              <w:rPr>
                <w:b/>
                <w:bCs/>
                <w:sz w:val="20"/>
                <w:szCs w:val="20"/>
              </w:rPr>
            </w:pPr>
            <w:r w:rsidRPr="00BE6461">
              <w:rPr>
                <w:b/>
                <w:bCs/>
                <w:sz w:val="20"/>
                <w:szCs w:val="20"/>
              </w:rPr>
              <w:t>38,81</w:t>
            </w:r>
          </w:p>
        </w:tc>
      </w:tr>
      <w:tr w:rsidR="00BE6461" w:rsidRPr="00BE6461" w14:paraId="01BE195B" w14:textId="77777777" w:rsidTr="00BE6461">
        <w:trPr>
          <w:trHeight w:val="300"/>
        </w:trPr>
        <w:tc>
          <w:tcPr>
            <w:tcW w:w="1703" w:type="dxa"/>
            <w:tcBorders>
              <w:top w:val="nil"/>
              <w:left w:val="nil"/>
              <w:bottom w:val="nil"/>
              <w:right w:val="nil"/>
            </w:tcBorders>
            <w:shd w:val="clear" w:color="auto" w:fill="auto"/>
            <w:noWrap/>
            <w:vAlign w:val="bottom"/>
            <w:hideMark/>
          </w:tcPr>
          <w:p w14:paraId="4F6DB516" w14:textId="77777777" w:rsidR="00BE6461" w:rsidRPr="00BE6461" w:rsidRDefault="00BE6461" w:rsidP="00BE6461">
            <w:pPr>
              <w:rPr>
                <w:sz w:val="20"/>
                <w:szCs w:val="20"/>
              </w:rPr>
            </w:pPr>
            <w:r w:rsidRPr="00BE6461">
              <w:rPr>
                <w:sz w:val="20"/>
                <w:szCs w:val="20"/>
              </w:rPr>
              <w:t>3292</w:t>
            </w:r>
          </w:p>
        </w:tc>
        <w:tc>
          <w:tcPr>
            <w:tcW w:w="8457" w:type="dxa"/>
            <w:tcBorders>
              <w:top w:val="nil"/>
              <w:left w:val="nil"/>
              <w:bottom w:val="nil"/>
              <w:right w:val="nil"/>
            </w:tcBorders>
            <w:shd w:val="clear" w:color="auto" w:fill="auto"/>
            <w:vAlign w:val="bottom"/>
            <w:hideMark/>
          </w:tcPr>
          <w:p w14:paraId="3EC8FE22" w14:textId="77777777" w:rsidR="00BE6461" w:rsidRPr="00BE6461" w:rsidRDefault="00BE6461" w:rsidP="00BE6461">
            <w:pPr>
              <w:rPr>
                <w:sz w:val="20"/>
                <w:szCs w:val="20"/>
              </w:rPr>
            </w:pPr>
            <w:r w:rsidRPr="00BE6461">
              <w:rPr>
                <w:sz w:val="20"/>
                <w:szCs w:val="20"/>
              </w:rPr>
              <w:t xml:space="preserve">Premije osiguranja                                                                                  </w:t>
            </w:r>
          </w:p>
        </w:tc>
        <w:tc>
          <w:tcPr>
            <w:tcW w:w="1503" w:type="dxa"/>
            <w:tcBorders>
              <w:top w:val="nil"/>
              <w:left w:val="nil"/>
              <w:bottom w:val="nil"/>
              <w:right w:val="nil"/>
            </w:tcBorders>
            <w:shd w:val="clear" w:color="auto" w:fill="auto"/>
            <w:noWrap/>
            <w:vAlign w:val="bottom"/>
            <w:hideMark/>
          </w:tcPr>
          <w:p w14:paraId="3FCA42D5"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D72AF1C"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43B494D2" w14:textId="77777777" w:rsidR="00BE6461" w:rsidRPr="00BE6461" w:rsidRDefault="00BE6461" w:rsidP="00BE6461">
            <w:pPr>
              <w:jc w:val="right"/>
              <w:rPr>
                <w:sz w:val="20"/>
                <w:szCs w:val="20"/>
              </w:rPr>
            </w:pPr>
          </w:p>
        </w:tc>
      </w:tr>
      <w:tr w:rsidR="00BE6461" w:rsidRPr="00BE6461" w14:paraId="38CFC690" w14:textId="77777777" w:rsidTr="00BE6461">
        <w:trPr>
          <w:trHeight w:val="300"/>
        </w:trPr>
        <w:tc>
          <w:tcPr>
            <w:tcW w:w="1703" w:type="dxa"/>
            <w:tcBorders>
              <w:top w:val="nil"/>
              <w:left w:val="nil"/>
              <w:bottom w:val="nil"/>
              <w:right w:val="nil"/>
            </w:tcBorders>
            <w:shd w:val="clear" w:color="auto" w:fill="auto"/>
            <w:noWrap/>
            <w:vAlign w:val="bottom"/>
            <w:hideMark/>
          </w:tcPr>
          <w:p w14:paraId="74DF5C19" w14:textId="77777777" w:rsidR="00BE6461" w:rsidRPr="00BE6461" w:rsidRDefault="00BE6461" w:rsidP="00BE6461">
            <w:pPr>
              <w:rPr>
                <w:sz w:val="20"/>
                <w:szCs w:val="20"/>
              </w:rPr>
            </w:pPr>
            <w:r w:rsidRPr="00BE6461">
              <w:rPr>
                <w:sz w:val="20"/>
                <w:szCs w:val="20"/>
              </w:rPr>
              <w:t>3293</w:t>
            </w:r>
          </w:p>
        </w:tc>
        <w:tc>
          <w:tcPr>
            <w:tcW w:w="8457" w:type="dxa"/>
            <w:tcBorders>
              <w:top w:val="nil"/>
              <w:left w:val="nil"/>
              <w:bottom w:val="nil"/>
              <w:right w:val="nil"/>
            </w:tcBorders>
            <w:shd w:val="clear" w:color="auto" w:fill="auto"/>
            <w:vAlign w:val="bottom"/>
            <w:hideMark/>
          </w:tcPr>
          <w:p w14:paraId="37DD1316" w14:textId="77777777" w:rsidR="00BE6461" w:rsidRPr="00BE6461" w:rsidRDefault="00BE6461" w:rsidP="00BE6461">
            <w:pPr>
              <w:rPr>
                <w:sz w:val="20"/>
                <w:szCs w:val="20"/>
              </w:rPr>
            </w:pPr>
            <w:r w:rsidRPr="00BE6461">
              <w:rPr>
                <w:sz w:val="20"/>
                <w:szCs w:val="20"/>
              </w:rPr>
              <w:t xml:space="preserve">Reprezentacija                                                                                      </w:t>
            </w:r>
          </w:p>
        </w:tc>
        <w:tc>
          <w:tcPr>
            <w:tcW w:w="1503" w:type="dxa"/>
            <w:tcBorders>
              <w:top w:val="nil"/>
              <w:left w:val="nil"/>
              <w:bottom w:val="nil"/>
              <w:right w:val="nil"/>
            </w:tcBorders>
            <w:shd w:val="clear" w:color="auto" w:fill="auto"/>
            <w:noWrap/>
            <w:vAlign w:val="bottom"/>
            <w:hideMark/>
          </w:tcPr>
          <w:p w14:paraId="3732020B"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4852BAD"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53E950DB" w14:textId="77777777" w:rsidR="00BE6461" w:rsidRPr="00BE6461" w:rsidRDefault="00BE6461" w:rsidP="00BE6461">
            <w:pPr>
              <w:jc w:val="right"/>
              <w:rPr>
                <w:sz w:val="20"/>
                <w:szCs w:val="20"/>
              </w:rPr>
            </w:pPr>
          </w:p>
        </w:tc>
      </w:tr>
      <w:tr w:rsidR="00BE6461" w:rsidRPr="00BE6461" w14:paraId="47710C38" w14:textId="77777777" w:rsidTr="00BE6461">
        <w:trPr>
          <w:trHeight w:val="300"/>
        </w:trPr>
        <w:tc>
          <w:tcPr>
            <w:tcW w:w="1703" w:type="dxa"/>
            <w:tcBorders>
              <w:top w:val="nil"/>
              <w:left w:val="nil"/>
              <w:bottom w:val="nil"/>
              <w:right w:val="nil"/>
            </w:tcBorders>
            <w:shd w:val="clear" w:color="auto" w:fill="auto"/>
            <w:noWrap/>
            <w:vAlign w:val="bottom"/>
            <w:hideMark/>
          </w:tcPr>
          <w:p w14:paraId="16015676" w14:textId="77777777" w:rsidR="00BE6461" w:rsidRPr="00BE6461" w:rsidRDefault="00BE6461" w:rsidP="00BE6461">
            <w:pPr>
              <w:rPr>
                <w:sz w:val="20"/>
                <w:szCs w:val="20"/>
              </w:rPr>
            </w:pPr>
            <w:r w:rsidRPr="00BE6461">
              <w:rPr>
                <w:sz w:val="20"/>
                <w:szCs w:val="20"/>
              </w:rPr>
              <w:t>3295</w:t>
            </w:r>
          </w:p>
        </w:tc>
        <w:tc>
          <w:tcPr>
            <w:tcW w:w="8457" w:type="dxa"/>
            <w:tcBorders>
              <w:top w:val="nil"/>
              <w:left w:val="nil"/>
              <w:bottom w:val="nil"/>
              <w:right w:val="nil"/>
            </w:tcBorders>
            <w:shd w:val="clear" w:color="auto" w:fill="auto"/>
            <w:vAlign w:val="bottom"/>
            <w:hideMark/>
          </w:tcPr>
          <w:p w14:paraId="4C5E9FAB" w14:textId="77777777" w:rsidR="00BE6461" w:rsidRPr="00BE6461" w:rsidRDefault="00BE6461" w:rsidP="00BE6461">
            <w:pPr>
              <w:rPr>
                <w:sz w:val="20"/>
                <w:szCs w:val="20"/>
              </w:rPr>
            </w:pPr>
            <w:r w:rsidRPr="00BE6461">
              <w:rPr>
                <w:sz w:val="20"/>
                <w:szCs w:val="20"/>
              </w:rPr>
              <w:t xml:space="preserve">Pristojbe i naknade                                                                                 </w:t>
            </w:r>
          </w:p>
        </w:tc>
        <w:tc>
          <w:tcPr>
            <w:tcW w:w="1503" w:type="dxa"/>
            <w:tcBorders>
              <w:top w:val="nil"/>
              <w:left w:val="nil"/>
              <w:bottom w:val="nil"/>
              <w:right w:val="nil"/>
            </w:tcBorders>
            <w:shd w:val="clear" w:color="auto" w:fill="auto"/>
            <w:noWrap/>
            <w:vAlign w:val="bottom"/>
            <w:hideMark/>
          </w:tcPr>
          <w:p w14:paraId="652042C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1AFB0F4"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6C244B7E" w14:textId="77777777" w:rsidR="00BE6461" w:rsidRPr="00BE6461" w:rsidRDefault="00BE6461" w:rsidP="00BE6461">
            <w:pPr>
              <w:jc w:val="right"/>
              <w:rPr>
                <w:sz w:val="20"/>
                <w:szCs w:val="20"/>
              </w:rPr>
            </w:pPr>
          </w:p>
        </w:tc>
      </w:tr>
      <w:tr w:rsidR="00BE6461" w:rsidRPr="00BE6461" w14:paraId="4DE4FBB0" w14:textId="77777777" w:rsidTr="00BE6461">
        <w:trPr>
          <w:trHeight w:val="300"/>
        </w:trPr>
        <w:tc>
          <w:tcPr>
            <w:tcW w:w="1703" w:type="dxa"/>
            <w:tcBorders>
              <w:top w:val="nil"/>
              <w:left w:val="nil"/>
              <w:bottom w:val="nil"/>
              <w:right w:val="nil"/>
            </w:tcBorders>
            <w:shd w:val="clear" w:color="auto" w:fill="auto"/>
            <w:noWrap/>
            <w:vAlign w:val="bottom"/>
            <w:hideMark/>
          </w:tcPr>
          <w:p w14:paraId="56EEAC77" w14:textId="77777777" w:rsidR="00BE6461" w:rsidRPr="00BE6461" w:rsidRDefault="00BE6461" w:rsidP="00BE6461">
            <w:pPr>
              <w:rPr>
                <w:sz w:val="20"/>
                <w:szCs w:val="20"/>
              </w:rPr>
            </w:pPr>
            <w:r w:rsidRPr="00BE6461">
              <w:rPr>
                <w:sz w:val="20"/>
                <w:szCs w:val="20"/>
              </w:rPr>
              <w:t>3299</w:t>
            </w:r>
          </w:p>
        </w:tc>
        <w:tc>
          <w:tcPr>
            <w:tcW w:w="8457" w:type="dxa"/>
            <w:tcBorders>
              <w:top w:val="nil"/>
              <w:left w:val="nil"/>
              <w:bottom w:val="nil"/>
              <w:right w:val="nil"/>
            </w:tcBorders>
            <w:shd w:val="clear" w:color="auto" w:fill="auto"/>
            <w:vAlign w:val="bottom"/>
            <w:hideMark/>
          </w:tcPr>
          <w:p w14:paraId="1D5B2F31" w14:textId="77777777" w:rsidR="00BE6461" w:rsidRPr="00BE6461" w:rsidRDefault="00BE6461" w:rsidP="00BE6461">
            <w:pPr>
              <w:rPr>
                <w:sz w:val="20"/>
                <w:szCs w:val="20"/>
              </w:rPr>
            </w:pPr>
            <w:r w:rsidRPr="00BE6461">
              <w:rPr>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4E2E3C19"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EC467FE" w14:textId="77777777" w:rsidR="00BE6461" w:rsidRPr="00BE6461" w:rsidRDefault="00BE6461" w:rsidP="00BE6461">
            <w:pPr>
              <w:jc w:val="right"/>
              <w:rPr>
                <w:sz w:val="20"/>
                <w:szCs w:val="20"/>
              </w:rPr>
            </w:pPr>
            <w:r w:rsidRPr="00BE6461">
              <w:rPr>
                <w:sz w:val="20"/>
                <w:szCs w:val="20"/>
              </w:rPr>
              <w:t>2.639,13</w:t>
            </w:r>
          </w:p>
        </w:tc>
        <w:tc>
          <w:tcPr>
            <w:tcW w:w="1100" w:type="dxa"/>
            <w:tcBorders>
              <w:top w:val="nil"/>
              <w:left w:val="nil"/>
              <w:bottom w:val="nil"/>
              <w:right w:val="nil"/>
            </w:tcBorders>
            <w:shd w:val="clear" w:color="auto" w:fill="auto"/>
            <w:noWrap/>
            <w:vAlign w:val="bottom"/>
            <w:hideMark/>
          </w:tcPr>
          <w:p w14:paraId="2FD65E1B" w14:textId="77777777" w:rsidR="00BE6461" w:rsidRPr="00BE6461" w:rsidRDefault="00BE6461" w:rsidP="00BE6461">
            <w:pPr>
              <w:jc w:val="right"/>
              <w:rPr>
                <w:sz w:val="20"/>
                <w:szCs w:val="20"/>
              </w:rPr>
            </w:pPr>
          </w:p>
        </w:tc>
      </w:tr>
      <w:tr w:rsidR="00BE6461" w:rsidRPr="00BE6461" w14:paraId="4DA7EA4C" w14:textId="77777777" w:rsidTr="00BE6461">
        <w:trPr>
          <w:trHeight w:val="300"/>
        </w:trPr>
        <w:tc>
          <w:tcPr>
            <w:tcW w:w="1703" w:type="dxa"/>
            <w:tcBorders>
              <w:top w:val="nil"/>
              <w:left w:val="nil"/>
              <w:bottom w:val="nil"/>
              <w:right w:val="nil"/>
            </w:tcBorders>
            <w:shd w:val="clear" w:color="auto" w:fill="auto"/>
            <w:noWrap/>
            <w:vAlign w:val="bottom"/>
            <w:hideMark/>
          </w:tcPr>
          <w:p w14:paraId="64986C85" w14:textId="77777777" w:rsidR="00BE6461" w:rsidRPr="00BE6461" w:rsidRDefault="00BE6461" w:rsidP="00BE6461">
            <w:pPr>
              <w:rPr>
                <w:b/>
                <w:bCs/>
                <w:sz w:val="20"/>
                <w:szCs w:val="20"/>
              </w:rPr>
            </w:pPr>
            <w:r w:rsidRPr="00BE6461">
              <w:rPr>
                <w:b/>
                <w:bCs/>
                <w:sz w:val="20"/>
                <w:szCs w:val="20"/>
              </w:rPr>
              <w:t>343</w:t>
            </w:r>
          </w:p>
        </w:tc>
        <w:tc>
          <w:tcPr>
            <w:tcW w:w="8457" w:type="dxa"/>
            <w:tcBorders>
              <w:top w:val="nil"/>
              <w:left w:val="nil"/>
              <w:bottom w:val="nil"/>
              <w:right w:val="nil"/>
            </w:tcBorders>
            <w:shd w:val="clear" w:color="auto" w:fill="auto"/>
            <w:vAlign w:val="bottom"/>
            <w:hideMark/>
          </w:tcPr>
          <w:p w14:paraId="46882580" w14:textId="77777777" w:rsidR="00BE6461" w:rsidRPr="00BE6461" w:rsidRDefault="00BE6461" w:rsidP="00BE6461">
            <w:pPr>
              <w:rPr>
                <w:b/>
                <w:bCs/>
                <w:sz w:val="20"/>
                <w:szCs w:val="20"/>
              </w:rPr>
            </w:pPr>
            <w:r w:rsidRPr="00BE6461">
              <w:rPr>
                <w:b/>
                <w:bCs/>
                <w:sz w:val="20"/>
                <w:szCs w:val="20"/>
              </w:rPr>
              <w:t xml:space="preserve">Ostali financijski rashodi                                                                          </w:t>
            </w:r>
          </w:p>
        </w:tc>
        <w:tc>
          <w:tcPr>
            <w:tcW w:w="1503" w:type="dxa"/>
            <w:tcBorders>
              <w:top w:val="nil"/>
              <w:left w:val="nil"/>
              <w:bottom w:val="nil"/>
              <w:right w:val="nil"/>
            </w:tcBorders>
            <w:shd w:val="clear" w:color="auto" w:fill="auto"/>
            <w:noWrap/>
            <w:vAlign w:val="bottom"/>
            <w:hideMark/>
          </w:tcPr>
          <w:p w14:paraId="70136AA7" w14:textId="77777777" w:rsidR="00BE6461" w:rsidRPr="00BE6461" w:rsidRDefault="00BE6461" w:rsidP="00BE6461">
            <w:pPr>
              <w:jc w:val="right"/>
              <w:rPr>
                <w:b/>
                <w:bCs/>
                <w:sz w:val="20"/>
                <w:szCs w:val="20"/>
              </w:rPr>
            </w:pPr>
            <w:r w:rsidRPr="00BE6461">
              <w:rPr>
                <w:b/>
                <w:bCs/>
                <w:sz w:val="20"/>
                <w:szCs w:val="20"/>
              </w:rPr>
              <w:t>200,00</w:t>
            </w:r>
          </w:p>
        </w:tc>
        <w:tc>
          <w:tcPr>
            <w:tcW w:w="1500" w:type="dxa"/>
            <w:tcBorders>
              <w:top w:val="nil"/>
              <w:left w:val="nil"/>
              <w:bottom w:val="nil"/>
              <w:right w:val="nil"/>
            </w:tcBorders>
            <w:shd w:val="clear" w:color="auto" w:fill="auto"/>
            <w:noWrap/>
            <w:vAlign w:val="bottom"/>
            <w:hideMark/>
          </w:tcPr>
          <w:p w14:paraId="33EF69A0" w14:textId="77777777" w:rsidR="00BE6461" w:rsidRPr="00BE6461" w:rsidRDefault="00BE6461" w:rsidP="00BE6461">
            <w:pPr>
              <w:jc w:val="right"/>
              <w:rPr>
                <w:b/>
                <w:bCs/>
                <w:sz w:val="20"/>
                <w:szCs w:val="20"/>
              </w:rPr>
            </w:pPr>
            <w:r w:rsidRPr="00BE6461">
              <w:rPr>
                <w:b/>
                <w:bCs/>
                <w:sz w:val="20"/>
                <w:szCs w:val="20"/>
              </w:rPr>
              <w:t>2,95</w:t>
            </w:r>
          </w:p>
        </w:tc>
        <w:tc>
          <w:tcPr>
            <w:tcW w:w="1100" w:type="dxa"/>
            <w:tcBorders>
              <w:top w:val="nil"/>
              <w:left w:val="nil"/>
              <w:bottom w:val="nil"/>
              <w:right w:val="nil"/>
            </w:tcBorders>
            <w:shd w:val="clear" w:color="auto" w:fill="auto"/>
            <w:noWrap/>
            <w:vAlign w:val="bottom"/>
            <w:hideMark/>
          </w:tcPr>
          <w:p w14:paraId="02B3FAC4" w14:textId="77777777" w:rsidR="00BE6461" w:rsidRPr="00BE6461" w:rsidRDefault="00BE6461" w:rsidP="00BE6461">
            <w:pPr>
              <w:jc w:val="right"/>
              <w:rPr>
                <w:b/>
                <w:bCs/>
                <w:sz w:val="20"/>
                <w:szCs w:val="20"/>
              </w:rPr>
            </w:pPr>
            <w:r w:rsidRPr="00BE6461">
              <w:rPr>
                <w:b/>
                <w:bCs/>
                <w:sz w:val="20"/>
                <w:szCs w:val="20"/>
              </w:rPr>
              <w:t>1,48</w:t>
            </w:r>
          </w:p>
        </w:tc>
      </w:tr>
      <w:tr w:rsidR="00BE6461" w:rsidRPr="00BE6461" w14:paraId="23624F1B" w14:textId="77777777" w:rsidTr="00BE6461">
        <w:trPr>
          <w:trHeight w:val="300"/>
        </w:trPr>
        <w:tc>
          <w:tcPr>
            <w:tcW w:w="1703" w:type="dxa"/>
            <w:tcBorders>
              <w:top w:val="nil"/>
              <w:left w:val="nil"/>
              <w:bottom w:val="nil"/>
              <w:right w:val="nil"/>
            </w:tcBorders>
            <w:shd w:val="clear" w:color="auto" w:fill="auto"/>
            <w:noWrap/>
            <w:vAlign w:val="bottom"/>
            <w:hideMark/>
          </w:tcPr>
          <w:p w14:paraId="3DD44F30" w14:textId="77777777" w:rsidR="00BE6461" w:rsidRPr="00BE6461" w:rsidRDefault="00BE6461" w:rsidP="00BE6461">
            <w:pPr>
              <w:rPr>
                <w:sz w:val="20"/>
                <w:szCs w:val="20"/>
              </w:rPr>
            </w:pPr>
            <w:r w:rsidRPr="00BE6461">
              <w:rPr>
                <w:sz w:val="20"/>
                <w:szCs w:val="20"/>
              </w:rPr>
              <w:t>3434</w:t>
            </w:r>
          </w:p>
        </w:tc>
        <w:tc>
          <w:tcPr>
            <w:tcW w:w="8457" w:type="dxa"/>
            <w:tcBorders>
              <w:top w:val="nil"/>
              <w:left w:val="nil"/>
              <w:bottom w:val="nil"/>
              <w:right w:val="nil"/>
            </w:tcBorders>
            <w:shd w:val="clear" w:color="auto" w:fill="auto"/>
            <w:vAlign w:val="bottom"/>
            <w:hideMark/>
          </w:tcPr>
          <w:p w14:paraId="14EEAC4C" w14:textId="77777777" w:rsidR="00BE6461" w:rsidRPr="00BE6461" w:rsidRDefault="00BE6461" w:rsidP="00BE6461">
            <w:pPr>
              <w:rPr>
                <w:sz w:val="20"/>
                <w:szCs w:val="20"/>
              </w:rPr>
            </w:pPr>
            <w:r w:rsidRPr="00BE6461">
              <w:rPr>
                <w:sz w:val="20"/>
                <w:szCs w:val="20"/>
              </w:rPr>
              <w:t xml:space="preserve">Ostali nespomenuti financijski rashodi                                                              </w:t>
            </w:r>
          </w:p>
        </w:tc>
        <w:tc>
          <w:tcPr>
            <w:tcW w:w="1503" w:type="dxa"/>
            <w:tcBorders>
              <w:top w:val="nil"/>
              <w:left w:val="nil"/>
              <w:bottom w:val="nil"/>
              <w:right w:val="nil"/>
            </w:tcBorders>
            <w:shd w:val="clear" w:color="auto" w:fill="auto"/>
            <w:noWrap/>
            <w:vAlign w:val="bottom"/>
            <w:hideMark/>
          </w:tcPr>
          <w:p w14:paraId="23549A8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FB817DB" w14:textId="77777777" w:rsidR="00BE6461" w:rsidRPr="00BE6461" w:rsidRDefault="00BE6461" w:rsidP="00BE6461">
            <w:pPr>
              <w:jc w:val="right"/>
              <w:rPr>
                <w:sz w:val="20"/>
                <w:szCs w:val="20"/>
              </w:rPr>
            </w:pPr>
            <w:r w:rsidRPr="00BE6461">
              <w:rPr>
                <w:sz w:val="20"/>
                <w:szCs w:val="20"/>
              </w:rPr>
              <w:t>2,95</w:t>
            </w:r>
          </w:p>
        </w:tc>
        <w:tc>
          <w:tcPr>
            <w:tcW w:w="1100" w:type="dxa"/>
            <w:tcBorders>
              <w:top w:val="nil"/>
              <w:left w:val="nil"/>
              <w:bottom w:val="nil"/>
              <w:right w:val="nil"/>
            </w:tcBorders>
            <w:shd w:val="clear" w:color="auto" w:fill="auto"/>
            <w:noWrap/>
            <w:vAlign w:val="bottom"/>
            <w:hideMark/>
          </w:tcPr>
          <w:p w14:paraId="54783A52" w14:textId="77777777" w:rsidR="00BE6461" w:rsidRPr="00BE6461" w:rsidRDefault="00BE6461" w:rsidP="00BE6461">
            <w:pPr>
              <w:jc w:val="right"/>
              <w:rPr>
                <w:sz w:val="20"/>
                <w:szCs w:val="20"/>
              </w:rPr>
            </w:pPr>
          </w:p>
        </w:tc>
      </w:tr>
      <w:tr w:rsidR="00BE6461" w:rsidRPr="00BE6461" w14:paraId="3AE8B33F"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D818731" w14:textId="77777777" w:rsidR="00BE6461" w:rsidRPr="00BE6461" w:rsidRDefault="00BE6461" w:rsidP="00BE6461">
            <w:pPr>
              <w:rPr>
                <w:b/>
                <w:bCs/>
                <w:color w:val="333333"/>
                <w:sz w:val="20"/>
                <w:szCs w:val="20"/>
              </w:rPr>
            </w:pPr>
            <w:r w:rsidRPr="00BE6461">
              <w:rPr>
                <w:b/>
                <w:bCs/>
                <w:color w:val="333333"/>
                <w:sz w:val="20"/>
                <w:szCs w:val="20"/>
              </w:rPr>
              <w:t>Izvor 5. POMOĆI</w:t>
            </w:r>
          </w:p>
        </w:tc>
        <w:tc>
          <w:tcPr>
            <w:tcW w:w="1503" w:type="dxa"/>
            <w:tcBorders>
              <w:top w:val="nil"/>
              <w:left w:val="nil"/>
              <w:bottom w:val="nil"/>
              <w:right w:val="nil"/>
            </w:tcBorders>
            <w:shd w:val="clear" w:color="auto" w:fill="auto"/>
            <w:noWrap/>
            <w:vAlign w:val="bottom"/>
            <w:hideMark/>
          </w:tcPr>
          <w:p w14:paraId="3D2C281C" w14:textId="77777777" w:rsidR="00BE6461" w:rsidRPr="00BE6461" w:rsidRDefault="00BE6461" w:rsidP="00BE6461">
            <w:pPr>
              <w:jc w:val="right"/>
              <w:rPr>
                <w:b/>
                <w:bCs/>
                <w:color w:val="333333"/>
                <w:sz w:val="20"/>
                <w:szCs w:val="20"/>
              </w:rPr>
            </w:pPr>
            <w:r w:rsidRPr="00BE6461">
              <w:rPr>
                <w:b/>
                <w:bCs/>
                <w:color w:val="333333"/>
                <w:sz w:val="20"/>
                <w:szCs w:val="20"/>
              </w:rPr>
              <w:t>42.402,75</w:t>
            </w:r>
          </w:p>
        </w:tc>
        <w:tc>
          <w:tcPr>
            <w:tcW w:w="1500" w:type="dxa"/>
            <w:tcBorders>
              <w:top w:val="nil"/>
              <w:left w:val="nil"/>
              <w:bottom w:val="nil"/>
              <w:right w:val="nil"/>
            </w:tcBorders>
            <w:shd w:val="clear" w:color="auto" w:fill="auto"/>
            <w:noWrap/>
            <w:vAlign w:val="bottom"/>
            <w:hideMark/>
          </w:tcPr>
          <w:p w14:paraId="620B94AF" w14:textId="77777777" w:rsidR="00BE6461" w:rsidRPr="00BE6461" w:rsidRDefault="00BE6461" w:rsidP="00BE6461">
            <w:pPr>
              <w:jc w:val="right"/>
              <w:rPr>
                <w:b/>
                <w:bCs/>
                <w:color w:val="333333"/>
                <w:sz w:val="20"/>
                <w:szCs w:val="20"/>
              </w:rPr>
            </w:pPr>
            <w:r w:rsidRPr="00BE6461">
              <w:rPr>
                <w:b/>
                <w:bCs/>
                <w:color w:val="333333"/>
                <w:sz w:val="20"/>
                <w:szCs w:val="20"/>
              </w:rPr>
              <w:t>30.592,15</w:t>
            </w:r>
          </w:p>
        </w:tc>
        <w:tc>
          <w:tcPr>
            <w:tcW w:w="1100" w:type="dxa"/>
            <w:tcBorders>
              <w:top w:val="nil"/>
              <w:left w:val="nil"/>
              <w:bottom w:val="nil"/>
              <w:right w:val="nil"/>
            </w:tcBorders>
            <w:shd w:val="clear" w:color="auto" w:fill="auto"/>
            <w:noWrap/>
            <w:vAlign w:val="bottom"/>
            <w:hideMark/>
          </w:tcPr>
          <w:p w14:paraId="7153E798" w14:textId="77777777" w:rsidR="00BE6461" w:rsidRPr="00BE6461" w:rsidRDefault="00BE6461" w:rsidP="00BE6461">
            <w:pPr>
              <w:jc w:val="right"/>
              <w:rPr>
                <w:b/>
                <w:bCs/>
                <w:color w:val="333333"/>
                <w:sz w:val="20"/>
                <w:szCs w:val="20"/>
              </w:rPr>
            </w:pPr>
            <w:r w:rsidRPr="00BE6461">
              <w:rPr>
                <w:b/>
                <w:bCs/>
                <w:color w:val="333333"/>
                <w:sz w:val="20"/>
                <w:szCs w:val="20"/>
              </w:rPr>
              <w:t>72,15</w:t>
            </w:r>
          </w:p>
        </w:tc>
      </w:tr>
      <w:tr w:rsidR="00BE6461" w:rsidRPr="00BE6461" w14:paraId="24DF01B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C3149A3" w14:textId="77777777" w:rsidR="00BE6461" w:rsidRPr="00BE6461" w:rsidRDefault="00BE6461" w:rsidP="00BE6461">
            <w:pPr>
              <w:rPr>
                <w:b/>
                <w:bCs/>
                <w:color w:val="333333"/>
                <w:sz w:val="20"/>
                <w:szCs w:val="20"/>
              </w:rPr>
            </w:pPr>
            <w:r w:rsidRPr="00BE6461">
              <w:rPr>
                <w:b/>
                <w:bCs/>
                <w:color w:val="333333"/>
                <w:sz w:val="20"/>
                <w:szCs w:val="20"/>
              </w:rPr>
              <w:t>Izvor 5.2. POMOĆI - PRORAČUNSKI KORISNICI (GRAD)</w:t>
            </w:r>
          </w:p>
        </w:tc>
        <w:tc>
          <w:tcPr>
            <w:tcW w:w="1503" w:type="dxa"/>
            <w:tcBorders>
              <w:top w:val="nil"/>
              <w:left w:val="nil"/>
              <w:bottom w:val="nil"/>
              <w:right w:val="nil"/>
            </w:tcBorders>
            <w:shd w:val="clear" w:color="auto" w:fill="auto"/>
            <w:noWrap/>
            <w:vAlign w:val="bottom"/>
            <w:hideMark/>
          </w:tcPr>
          <w:p w14:paraId="59E2AC35" w14:textId="77777777" w:rsidR="00BE6461" w:rsidRPr="00BE6461" w:rsidRDefault="00BE6461" w:rsidP="00BE6461">
            <w:pPr>
              <w:jc w:val="right"/>
              <w:rPr>
                <w:b/>
                <w:bCs/>
                <w:color w:val="333333"/>
                <w:sz w:val="20"/>
                <w:szCs w:val="20"/>
              </w:rPr>
            </w:pPr>
            <w:r w:rsidRPr="00BE6461">
              <w:rPr>
                <w:b/>
                <w:bCs/>
                <w:color w:val="333333"/>
                <w:sz w:val="20"/>
                <w:szCs w:val="20"/>
              </w:rPr>
              <w:t>42.402,75</w:t>
            </w:r>
          </w:p>
        </w:tc>
        <w:tc>
          <w:tcPr>
            <w:tcW w:w="1500" w:type="dxa"/>
            <w:tcBorders>
              <w:top w:val="nil"/>
              <w:left w:val="nil"/>
              <w:bottom w:val="nil"/>
              <w:right w:val="nil"/>
            </w:tcBorders>
            <w:shd w:val="clear" w:color="auto" w:fill="auto"/>
            <w:noWrap/>
            <w:vAlign w:val="bottom"/>
            <w:hideMark/>
          </w:tcPr>
          <w:p w14:paraId="67F55DB8" w14:textId="77777777" w:rsidR="00BE6461" w:rsidRPr="00BE6461" w:rsidRDefault="00BE6461" w:rsidP="00BE6461">
            <w:pPr>
              <w:jc w:val="right"/>
              <w:rPr>
                <w:b/>
                <w:bCs/>
                <w:color w:val="333333"/>
                <w:sz w:val="20"/>
                <w:szCs w:val="20"/>
              </w:rPr>
            </w:pPr>
            <w:r w:rsidRPr="00BE6461">
              <w:rPr>
                <w:b/>
                <w:bCs/>
                <w:color w:val="333333"/>
                <w:sz w:val="20"/>
                <w:szCs w:val="20"/>
              </w:rPr>
              <w:t>30.592,15</w:t>
            </w:r>
          </w:p>
        </w:tc>
        <w:tc>
          <w:tcPr>
            <w:tcW w:w="1100" w:type="dxa"/>
            <w:tcBorders>
              <w:top w:val="nil"/>
              <w:left w:val="nil"/>
              <w:bottom w:val="nil"/>
              <w:right w:val="nil"/>
            </w:tcBorders>
            <w:shd w:val="clear" w:color="auto" w:fill="auto"/>
            <w:noWrap/>
            <w:vAlign w:val="bottom"/>
            <w:hideMark/>
          </w:tcPr>
          <w:p w14:paraId="4B194E55" w14:textId="77777777" w:rsidR="00BE6461" w:rsidRPr="00BE6461" w:rsidRDefault="00BE6461" w:rsidP="00BE6461">
            <w:pPr>
              <w:jc w:val="right"/>
              <w:rPr>
                <w:b/>
                <w:bCs/>
                <w:color w:val="333333"/>
                <w:sz w:val="20"/>
                <w:szCs w:val="20"/>
              </w:rPr>
            </w:pPr>
            <w:r w:rsidRPr="00BE6461">
              <w:rPr>
                <w:b/>
                <w:bCs/>
                <w:color w:val="333333"/>
                <w:sz w:val="20"/>
                <w:szCs w:val="20"/>
              </w:rPr>
              <w:t>72,15</w:t>
            </w:r>
          </w:p>
        </w:tc>
      </w:tr>
      <w:tr w:rsidR="00BE6461" w:rsidRPr="00BE6461" w14:paraId="2037D177" w14:textId="77777777" w:rsidTr="00BE6461">
        <w:trPr>
          <w:trHeight w:val="300"/>
        </w:trPr>
        <w:tc>
          <w:tcPr>
            <w:tcW w:w="1703" w:type="dxa"/>
            <w:tcBorders>
              <w:top w:val="nil"/>
              <w:left w:val="nil"/>
              <w:bottom w:val="nil"/>
              <w:right w:val="nil"/>
            </w:tcBorders>
            <w:shd w:val="clear" w:color="auto" w:fill="auto"/>
            <w:noWrap/>
            <w:vAlign w:val="bottom"/>
            <w:hideMark/>
          </w:tcPr>
          <w:p w14:paraId="1A50FC4F"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2FEC12BB"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0E9753F9" w14:textId="77777777" w:rsidR="00BE6461" w:rsidRPr="00BE6461" w:rsidRDefault="00BE6461" w:rsidP="00BE6461">
            <w:pPr>
              <w:jc w:val="right"/>
              <w:rPr>
                <w:b/>
                <w:bCs/>
                <w:sz w:val="20"/>
                <w:szCs w:val="20"/>
              </w:rPr>
            </w:pPr>
            <w:r w:rsidRPr="00BE6461">
              <w:rPr>
                <w:b/>
                <w:bCs/>
                <w:sz w:val="20"/>
                <w:szCs w:val="20"/>
              </w:rPr>
              <w:t>35.042,75</w:t>
            </w:r>
          </w:p>
        </w:tc>
        <w:tc>
          <w:tcPr>
            <w:tcW w:w="1500" w:type="dxa"/>
            <w:tcBorders>
              <w:top w:val="nil"/>
              <w:left w:val="nil"/>
              <w:bottom w:val="nil"/>
              <w:right w:val="nil"/>
            </w:tcBorders>
            <w:shd w:val="clear" w:color="auto" w:fill="auto"/>
            <w:noWrap/>
            <w:vAlign w:val="bottom"/>
            <w:hideMark/>
          </w:tcPr>
          <w:p w14:paraId="5E7D283C" w14:textId="77777777" w:rsidR="00BE6461" w:rsidRPr="00BE6461" w:rsidRDefault="00BE6461" w:rsidP="00BE6461">
            <w:pPr>
              <w:jc w:val="right"/>
              <w:rPr>
                <w:b/>
                <w:bCs/>
                <w:sz w:val="20"/>
                <w:szCs w:val="20"/>
              </w:rPr>
            </w:pPr>
            <w:r w:rsidRPr="00BE6461">
              <w:rPr>
                <w:b/>
                <w:bCs/>
                <w:sz w:val="20"/>
                <w:szCs w:val="20"/>
              </w:rPr>
              <w:t>23.817,15</w:t>
            </w:r>
          </w:p>
        </w:tc>
        <w:tc>
          <w:tcPr>
            <w:tcW w:w="1100" w:type="dxa"/>
            <w:tcBorders>
              <w:top w:val="nil"/>
              <w:left w:val="nil"/>
              <w:bottom w:val="nil"/>
              <w:right w:val="nil"/>
            </w:tcBorders>
            <w:shd w:val="clear" w:color="auto" w:fill="auto"/>
            <w:noWrap/>
            <w:vAlign w:val="bottom"/>
            <w:hideMark/>
          </w:tcPr>
          <w:p w14:paraId="027D6928" w14:textId="77777777" w:rsidR="00BE6461" w:rsidRPr="00BE6461" w:rsidRDefault="00BE6461" w:rsidP="00BE6461">
            <w:pPr>
              <w:jc w:val="right"/>
              <w:rPr>
                <w:b/>
                <w:bCs/>
                <w:sz w:val="20"/>
                <w:szCs w:val="20"/>
              </w:rPr>
            </w:pPr>
            <w:r w:rsidRPr="00BE6461">
              <w:rPr>
                <w:b/>
                <w:bCs/>
                <w:sz w:val="20"/>
                <w:szCs w:val="20"/>
              </w:rPr>
              <w:t>67,97</w:t>
            </w:r>
          </w:p>
        </w:tc>
      </w:tr>
      <w:tr w:rsidR="00BE6461" w:rsidRPr="00BE6461" w14:paraId="492EAC0E" w14:textId="77777777" w:rsidTr="00BE6461">
        <w:trPr>
          <w:trHeight w:val="300"/>
        </w:trPr>
        <w:tc>
          <w:tcPr>
            <w:tcW w:w="1703" w:type="dxa"/>
            <w:tcBorders>
              <w:top w:val="nil"/>
              <w:left w:val="nil"/>
              <w:bottom w:val="nil"/>
              <w:right w:val="nil"/>
            </w:tcBorders>
            <w:shd w:val="clear" w:color="auto" w:fill="auto"/>
            <w:noWrap/>
            <w:vAlign w:val="bottom"/>
            <w:hideMark/>
          </w:tcPr>
          <w:p w14:paraId="186B82F9" w14:textId="77777777" w:rsidR="00BE6461" w:rsidRPr="00BE6461" w:rsidRDefault="00BE6461" w:rsidP="00BE6461">
            <w:pPr>
              <w:rPr>
                <w:sz w:val="20"/>
                <w:szCs w:val="20"/>
              </w:rPr>
            </w:pPr>
            <w:r w:rsidRPr="00BE6461">
              <w:rPr>
                <w:sz w:val="20"/>
                <w:szCs w:val="20"/>
              </w:rPr>
              <w:t>3221</w:t>
            </w:r>
          </w:p>
        </w:tc>
        <w:tc>
          <w:tcPr>
            <w:tcW w:w="8457" w:type="dxa"/>
            <w:tcBorders>
              <w:top w:val="nil"/>
              <w:left w:val="nil"/>
              <w:bottom w:val="nil"/>
              <w:right w:val="nil"/>
            </w:tcBorders>
            <w:shd w:val="clear" w:color="auto" w:fill="auto"/>
            <w:vAlign w:val="bottom"/>
            <w:hideMark/>
          </w:tcPr>
          <w:p w14:paraId="6F8C5289" w14:textId="77777777" w:rsidR="00BE6461" w:rsidRPr="00BE6461" w:rsidRDefault="00BE6461" w:rsidP="00BE6461">
            <w:pPr>
              <w:rPr>
                <w:sz w:val="20"/>
                <w:szCs w:val="20"/>
              </w:rPr>
            </w:pPr>
            <w:r w:rsidRPr="00BE6461">
              <w:rPr>
                <w:sz w:val="20"/>
                <w:szCs w:val="20"/>
              </w:rPr>
              <w:t xml:space="preserve">Uredski materijal i ostali materijalni rashodi                                                      </w:t>
            </w:r>
          </w:p>
        </w:tc>
        <w:tc>
          <w:tcPr>
            <w:tcW w:w="1503" w:type="dxa"/>
            <w:tcBorders>
              <w:top w:val="nil"/>
              <w:left w:val="nil"/>
              <w:bottom w:val="nil"/>
              <w:right w:val="nil"/>
            </w:tcBorders>
            <w:shd w:val="clear" w:color="auto" w:fill="auto"/>
            <w:noWrap/>
            <w:vAlign w:val="bottom"/>
            <w:hideMark/>
          </w:tcPr>
          <w:p w14:paraId="754747EE"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A9F6088" w14:textId="77777777" w:rsidR="00BE6461" w:rsidRPr="00BE6461" w:rsidRDefault="00BE6461" w:rsidP="00BE6461">
            <w:pPr>
              <w:jc w:val="right"/>
              <w:rPr>
                <w:sz w:val="20"/>
                <w:szCs w:val="20"/>
              </w:rPr>
            </w:pPr>
            <w:r w:rsidRPr="00BE6461">
              <w:rPr>
                <w:sz w:val="20"/>
                <w:szCs w:val="20"/>
              </w:rPr>
              <w:t>13.173,40</w:t>
            </w:r>
          </w:p>
        </w:tc>
        <w:tc>
          <w:tcPr>
            <w:tcW w:w="1100" w:type="dxa"/>
            <w:tcBorders>
              <w:top w:val="nil"/>
              <w:left w:val="nil"/>
              <w:bottom w:val="nil"/>
              <w:right w:val="nil"/>
            </w:tcBorders>
            <w:shd w:val="clear" w:color="auto" w:fill="auto"/>
            <w:noWrap/>
            <w:vAlign w:val="bottom"/>
            <w:hideMark/>
          </w:tcPr>
          <w:p w14:paraId="5F4730F9" w14:textId="77777777" w:rsidR="00BE6461" w:rsidRPr="00BE6461" w:rsidRDefault="00BE6461" w:rsidP="00BE6461">
            <w:pPr>
              <w:jc w:val="right"/>
              <w:rPr>
                <w:sz w:val="20"/>
                <w:szCs w:val="20"/>
              </w:rPr>
            </w:pPr>
          </w:p>
        </w:tc>
      </w:tr>
      <w:tr w:rsidR="00BE6461" w:rsidRPr="00BE6461" w14:paraId="5A6FBE46" w14:textId="77777777" w:rsidTr="00BE6461">
        <w:trPr>
          <w:trHeight w:val="300"/>
        </w:trPr>
        <w:tc>
          <w:tcPr>
            <w:tcW w:w="1703" w:type="dxa"/>
            <w:tcBorders>
              <w:top w:val="nil"/>
              <w:left w:val="nil"/>
              <w:bottom w:val="nil"/>
              <w:right w:val="nil"/>
            </w:tcBorders>
            <w:shd w:val="clear" w:color="auto" w:fill="auto"/>
            <w:noWrap/>
            <w:vAlign w:val="bottom"/>
            <w:hideMark/>
          </w:tcPr>
          <w:p w14:paraId="1E8B68A2" w14:textId="77777777" w:rsidR="00BE6461" w:rsidRPr="00BE6461" w:rsidRDefault="00BE6461" w:rsidP="00BE6461">
            <w:pPr>
              <w:rPr>
                <w:sz w:val="20"/>
                <w:szCs w:val="20"/>
              </w:rPr>
            </w:pPr>
            <w:r w:rsidRPr="00BE6461">
              <w:rPr>
                <w:sz w:val="20"/>
                <w:szCs w:val="20"/>
              </w:rPr>
              <w:t>3225</w:t>
            </w:r>
          </w:p>
        </w:tc>
        <w:tc>
          <w:tcPr>
            <w:tcW w:w="8457" w:type="dxa"/>
            <w:tcBorders>
              <w:top w:val="nil"/>
              <w:left w:val="nil"/>
              <w:bottom w:val="nil"/>
              <w:right w:val="nil"/>
            </w:tcBorders>
            <w:shd w:val="clear" w:color="auto" w:fill="auto"/>
            <w:vAlign w:val="bottom"/>
            <w:hideMark/>
          </w:tcPr>
          <w:p w14:paraId="6539D6A2" w14:textId="77777777" w:rsidR="00BE6461" w:rsidRPr="00BE6461" w:rsidRDefault="00BE6461" w:rsidP="00BE6461">
            <w:pPr>
              <w:rPr>
                <w:sz w:val="20"/>
                <w:szCs w:val="20"/>
              </w:rPr>
            </w:pPr>
            <w:r w:rsidRPr="00BE6461">
              <w:rPr>
                <w:sz w:val="20"/>
                <w:szCs w:val="20"/>
              </w:rPr>
              <w:t xml:space="preserve">Sitni inventar i auto gume                                                                          </w:t>
            </w:r>
          </w:p>
        </w:tc>
        <w:tc>
          <w:tcPr>
            <w:tcW w:w="1503" w:type="dxa"/>
            <w:tcBorders>
              <w:top w:val="nil"/>
              <w:left w:val="nil"/>
              <w:bottom w:val="nil"/>
              <w:right w:val="nil"/>
            </w:tcBorders>
            <w:shd w:val="clear" w:color="auto" w:fill="auto"/>
            <w:noWrap/>
            <w:vAlign w:val="bottom"/>
            <w:hideMark/>
          </w:tcPr>
          <w:p w14:paraId="76EBDF2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1DC3D32" w14:textId="77777777" w:rsidR="00BE6461" w:rsidRPr="00BE6461" w:rsidRDefault="00BE6461" w:rsidP="00BE6461">
            <w:pPr>
              <w:jc w:val="right"/>
              <w:rPr>
                <w:sz w:val="20"/>
                <w:szCs w:val="20"/>
              </w:rPr>
            </w:pPr>
            <w:r w:rsidRPr="00BE6461">
              <w:rPr>
                <w:sz w:val="20"/>
                <w:szCs w:val="20"/>
              </w:rPr>
              <w:t>10.643,75</w:t>
            </w:r>
          </w:p>
        </w:tc>
        <w:tc>
          <w:tcPr>
            <w:tcW w:w="1100" w:type="dxa"/>
            <w:tcBorders>
              <w:top w:val="nil"/>
              <w:left w:val="nil"/>
              <w:bottom w:val="nil"/>
              <w:right w:val="nil"/>
            </w:tcBorders>
            <w:shd w:val="clear" w:color="auto" w:fill="auto"/>
            <w:noWrap/>
            <w:vAlign w:val="bottom"/>
            <w:hideMark/>
          </w:tcPr>
          <w:p w14:paraId="09248E32" w14:textId="77777777" w:rsidR="00BE6461" w:rsidRPr="00BE6461" w:rsidRDefault="00BE6461" w:rsidP="00BE6461">
            <w:pPr>
              <w:jc w:val="right"/>
              <w:rPr>
                <w:sz w:val="20"/>
                <w:szCs w:val="20"/>
              </w:rPr>
            </w:pPr>
          </w:p>
        </w:tc>
      </w:tr>
      <w:tr w:rsidR="00BE6461" w:rsidRPr="00BE6461" w14:paraId="2204F3F5" w14:textId="77777777" w:rsidTr="00BE6461">
        <w:trPr>
          <w:trHeight w:val="300"/>
        </w:trPr>
        <w:tc>
          <w:tcPr>
            <w:tcW w:w="1703" w:type="dxa"/>
            <w:tcBorders>
              <w:top w:val="nil"/>
              <w:left w:val="nil"/>
              <w:bottom w:val="nil"/>
              <w:right w:val="nil"/>
            </w:tcBorders>
            <w:shd w:val="clear" w:color="auto" w:fill="auto"/>
            <w:noWrap/>
            <w:vAlign w:val="bottom"/>
            <w:hideMark/>
          </w:tcPr>
          <w:p w14:paraId="0BE3606B"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2CF6AC4F"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0E3D1876" w14:textId="77777777" w:rsidR="00BE6461" w:rsidRPr="00BE6461" w:rsidRDefault="00BE6461" w:rsidP="00BE6461">
            <w:pPr>
              <w:jc w:val="right"/>
              <w:rPr>
                <w:b/>
                <w:bCs/>
                <w:sz w:val="20"/>
                <w:szCs w:val="20"/>
              </w:rPr>
            </w:pPr>
            <w:r w:rsidRPr="00BE6461">
              <w:rPr>
                <w:b/>
                <w:bCs/>
                <w:sz w:val="20"/>
                <w:szCs w:val="20"/>
              </w:rPr>
              <w:t>7.360,00</w:t>
            </w:r>
          </w:p>
        </w:tc>
        <w:tc>
          <w:tcPr>
            <w:tcW w:w="1500" w:type="dxa"/>
            <w:tcBorders>
              <w:top w:val="nil"/>
              <w:left w:val="nil"/>
              <w:bottom w:val="nil"/>
              <w:right w:val="nil"/>
            </w:tcBorders>
            <w:shd w:val="clear" w:color="auto" w:fill="auto"/>
            <w:noWrap/>
            <w:vAlign w:val="bottom"/>
            <w:hideMark/>
          </w:tcPr>
          <w:p w14:paraId="58E01E76" w14:textId="77777777" w:rsidR="00BE6461" w:rsidRPr="00BE6461" w:rsidRDefault="00BE6461" w:rsidP="00BE6461">
            <w:pPr>
              <w:jc w:val="right"/>
              <w:rPr>
                <w:b/>
                <w:bCs/>
                <w:sz w:val="20"/>
                <w:szCs w:val="20"/>
              </w:rPr>
            </w:pPr>
            <w:r w:rsidRPr="00BE6461">
              <w:rPr>
                <w:b/>
                <w:bCs/>
                <w:sz w:val="20"/>
                <w:szCs w:val="20"/>
              </w:rPr>
              <w:t>6.775,00</w:t>
            </w:r>
          </w:p>
        </w:tc>
        <w:tc>
          <w:tcPr>
            <w:tcW w:w="1100" w:type="dxa"/>
            <w:tcBorders>
              <w:top w:val="nil"/>
              <w:left w:val="nil"/>
              <w:bottom w:val="nil"/>
              <w:right w:val="nil"/>
            </w:tcBorders>
            <w:shd w:val="clear" w:color="auto" w:fill="auto"/>
            <w:noWrap/>
            <w:vAlign w:val="bottom"/>
            <w:hideMark/>
          </w:tcPr>
          <w:p w14:paraId="28FD8C88" w14:textId="77777777" w:rsidR="00BE6461" w:rsidRPr="00BE6461" w:rsidRDefault="00BE6461" w:rsidP="00BE6461">
            <w:pPr>
              <w:jc w:val="right"/>
              <w:rPr>
                <w:b/>
                <w:bCs/>
                <w:sz w:val="20"/>
                <w:szCs w:val="20"/>
              </w:rPr>
            </w:pPr>
            <w:r w:rsidRPr="00BE6461">
              <w:rPr>
                <w:b/>
                <w:bCs/>
                <w:sz w:val="20"/>
                <w:szCs w:val="20"/>
              </w:rPr>
              <w:t>92,05</w:t>
            </w:r>
          </w:p>
        </w:tc>
      </w:tr>
      <w:tr w:rsidR="00BE6461" w:rsidRPr="00BE6461" w14:paraId="64095E8A" w14:textId="77777777" w:rsidTr="00BE6461">
        <w:trPr>
          <w:trHeight w:val="300"/>
        </w:trPr>
        <w:tc>
          <w:tcPr>
            <w:tcW w:w="1703" w:type="dxa"/>
            <w:tcBorders>
              <w:top w:val="nil"/>
              <w:left w:val="nil"/>
              <w:bottom w:val="nil"/>
              <w:right w:val="nil"/>
            </w:tcBorders>
            <w:shd w:val="clear" w:color="auto" w:fill="auto"/>
            <w:noWrap/>
            <w:vAlign w:val="bottom"/>
            <w:hideMark/>
          </w:tcPr>
          <w:p w14:paraId="330FBA79"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7D717DD5"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05F55855"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04A6369" w14:textId="77777777" w:rsidR="00BE6461" w:rsidRPr="00BE6461" w:rsidRDefault="00BE6461" w:rsidP="00BE6461">
            <w:pPr>
              <w:jc w:val="right"/>
              <w:rPr>
                <w:sz w:val="20"/>
                <w:szCs w:val="20"/>
              </w:rPr>
            </w:pPr>
            <w:r w:rsidRPr="00BE6461">
              <w:rPr>
                <w:sz w:val="20"/>
                <w:szCs w:val="20"/>
              </w:rPr>
              <w:t>4.450,00</w:t>
            </w:r>
          </w:p>
        </w:tc>
        <w:tc>
          <w:tcPr>
            <w:tcW w:w="1100" w:type="dxa"/>
            <w:tcBorders>
              <w:top w:val="nil"/>
              <w:left w:val="nil"/>
              <w:bottom w:val="nil"/>
              <w:right w:val="nil"/>
            </w:tcBorders>
            <w:shd w:val="clear" w:color="auto" w:fill="auto"/>
            <w:noWrap/>
            <w:vAlign w:val="bottom"/>
            <w:hideMark/>
          </w:tcPr>
          <w:p w14:paraId="30D48544" w14:textId="77777777" w:rsidR="00BE6461" w:rsidRPr="00BE6461" w:rsidRDefault="00BE6461" w:rsidP="00BE6461">
            <w:pPr>
              <w:jc w:val="right"/>
              <w:rPr>
                <w:sz w:val="20"/>
                <w:szCs w:val="20"/>
              </w:rPr>
            </w:pPr>
          </w:p>
        </w:tc>
      </w:tr>
      <w:tr w:rsidR="00BE6461" w:rsidRPr="00BE6461" w14:paraId="1992EF00" w14:textId="77777777" w:rsidTr="00BE6461">
        <w:trPr>
          <w:trHeight w:val="300"/>
        </w:trPr>
        <w:tc>
          <w:tcPr>
            <w:tcW w:w="1703" w:type="dxa"/>
            <w:tcBorders>
              <w:top w:val="nil"/>
              <w:left w:val="nil"/>
              <w:bottom w:val="nil"/>
              <w:right w:val="nil"/>
            </w:tcBorders>
            <w:shd w:val="clear" w:color="auto" w:fill="auto"/>
            <w:noWrap/>
            <w:vAlign w:val="bottom"/>
            <w:hideMark/>
          </w:tcPr>
          <w:p w14:paraId="567CAFFE" w14:textId="77777777" w:rsidR="00BE6461" w:rsidRPr="00BE6461" w:rsidRDefault="00BE6461" w:rsidP="00BE6461">
            <w:pPr>
              <w:rPr>
                <w:sz w:val="20"/>
                <w:szCs w:val="20"/>
              </w:rPr>
            </w:pPr>
            <w:r w:rsidRPr="00BE6461">
              <w:rPr>
                <w:sz w:val="20"/>
                <w:szCs w:val="20"/>
              </w:rPr>
              <w:t>3239</w:t>
            </w:r>
          </w:p>
        </w:tc>
        <w:tc>
          <w:tcPr>
            <w:tcW w:w="8457" w:type="dxa"/>
            <w:tcBorders>
              <w:top w:val="nil"/>
              <w:left w:val="nil"/>
              <w:bottom w:val="nil"/>
              <w:right w:val="nil"/>
            </w:tcBorders>
            <w:shd w:val="clear" w:color="auto" w:fill="auto"/>
            <w:vAlign w:val="bottom"/>
            <w:hideMark/>
          </w:tcPr>
          <w:p w14:paraId="087897A4" w14:textId="77777777" w:rsidR="00BE6461" w:rsidRPr="00BE6461" w:rsidRDefault="00BE6461" w:rsidP="00BE6461">
            <w:pPr>
              <w:rPr>
                <w:sz w:val="20"/>
                <w:szCs w:val="20"/>
              </w:rPr>
            </w:pPr>
            <w:r w:rsidRPr="00BE6461">
              <w:rPr>
                <w:sz w:val="20"/>
                <w:szCs w:val="20"/>
              </w:rPr>
              <w:t xml:space="preserve">Ostale usluge                                                                                       </w:t>
            </w:r>
          </w:p>
        </w:tc>
        <w:tc>
          <w:tcPr>
            <w:tcW w:w="1503" w:type="dxa"/>
            <w:tcBorders>
              <w:top w:val="nil"/>
              <w:left w:val="nil"/>
              <w:bottom w:val="nil"/>
              <w:right w:val="nil"/>
            </w:tcBorders>
            <w:shd w:val="clear" w:color="auto" w:fill="auto"/>
            <w:noWrap/>
            <w:vAlign w:val="bottom"/>
            <w:hideMark/>
          </w:tcPr>
          <w:p w14:paraId="155E256E"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7CE9EF0" w14:textId="77777777" w:rsidR="00BE6461" w:rsidRPr="00BE6461" w:rsidRDefault="00BE6461" w:rsidP="00BE6461">
            <w:pPr>
              <w:jc w:val="right"/>
              <w:rPr>
                <w:sz w:val="20"/>
                <w:szCs w:val="20"/>
              </w:rPr>
            </w:pPr>
            <w:r w:rsidRPr="00BE6461">
              <w:rPr>
                <w:sz w:val="20"/>
                <w:szCs w:val="20"/>
              </w:rPr>
              <w:t>2.325,00</w:t>
            </w:r>
          </w:p>
        </w:tc>
        <w:tc>
          <w:tcPr>
            <w:tcW w:w="1100" w:type="dxa"/>
            <w:tcBorders>
              <w:top w:val="nil"/>
              <w:left w:val="nil"/>
              <w:bottom w:val="nil"/>
              <w:right w:val="nil"/>
            </w:tcBorders>
            <w:shd w:val="clear" w:color="auto" w:fill="auto"/>
            <w:noWrap/>
            <w:vAlign w:val="bottom"/>
            <w:hideMark/>
          </w:tcPr>
          <w:p w14:paraId="2CB43CF3" w14:textId="77777777" w:rsidR="00BE6461" w:rsidRPr="00BE6461" w:rsidRDefault="00BE6461" w:rsidP="00BE6461">
            <w:pPr>
              <w:jc w:val="right"/>
              <w:rPr>
                <w:sz w:val="20"/>
                <w:szCs w:val="20"/>
              </w:rPr>
            </w:pPr>
          </w:p>
        </w:tc>
      </w:tr>
      <w:tr w:rsidR="00BE6461" w:rsidRPr="00BE6461" w14:paraId="1C2C6422"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4E799BC" w14:textId="77777777" w:rsidR="00BE6461" w:rsidRPr="00BE6461" w:rsidRDefault="00BE6461" w:rsidP="00BE6461">
            <w:pPr>
              <w:rPr>
                <w:b/>
                <w:bCs/>
                <w:color w:val="333333"/>
                <w:sz w:val="20"/>
                <w:szCs w:val="20"/>
              </w:rPr>
            </w:pPr>
            <w:r w:rsidRPr="00BE6461">
              <w:rPr>
                <w:b/>
                <w:bCs/>
                <w:color w:val="333333"/>
                <w:sz w:val="20"/>
                <w:szCs w:val="20"/>
              </w:rPr>
              <w:t>Izvor 6. DONACIJE</w:t>
            </w:r>
          </w:p>
        </w:tc>
        <w:tc>
          <w:tcPr>
            <w:tcW w:w="1503" w:type="dxa"/>
            <w:tcBorders>
              <w:top w:val="nil"/>
              <w:left w:val="nil"/>
              <w:bottom w:val="nil"/>
              <w:right w:val="nil"/>
            </w:tcBorders>
            <w:shd w:val="clear" w:color="auto" w:fill="auto"/>
            <w:noWrap/>
            <w:vAlign w:val="bottom"/>
            <w:hideMark/>
          </w:tcPr>
          <w:p w14:paraId="340186C2" w14:textId="77777777" w:rsidR="00BE6461" w:rsidRPr="00BE6461" w:rsidRDefault="00BE6461" w:rsidP="00BE6461">
            <w:pPr>
              <w:jc w:val="right"/>
              <w:rPr>
                <w:b/>
                <w:bCs/>
                <w:color w:val="333333"/>
                <w:sz w:val="20"/>
                <w:szCs w:val="20"/>
              </w:rPr>
            </w:pPr>
            <w:r w:rsidRPr="00BE6461">
              <w:rPr>
                <w:b/>
                <w:bCs/>
                <w:color w:val="333333"/>
                <w:sz w:val="20"/>
                <w:szCs w:val="20"/>
              </w:rPr>
              <w:t>1.877,50</w:t>
            </w:r>
          </w:p>
        </w:tc>
        <w:tc>
          <w:tcPr>
            <w:tcW w:w="1500" w:type="dxa"/>
            <w:tcBorders>
              <w:top w:val="nil"/>
              <w:left w:val="nil"/>
              <w:bottom w:val="nil"/>
              <w:right w:val="nil"/>
            </w:tcBorders>
            <w:shd w:val="clear" w:color="auto" w:fill="auto"/>
            <w:noWrap/>
            <w:vAlign w:val="bottom"/>
            <w:hideMark/>
          </w:tcPr>
          <w:p w14:paraId="399B8290" w14:textId="77777777" w:rsidR="00BE6461" w:rsidRPr="00BE6461" w:rsidRDefault="00BE6461" w:rsidP="00BE6461">
            <w:pPr>
              <w:jc w:val="right"/>
              <w:rPr>
                <w:b/>
                <w:bCs/>
                <w:color w:val="333333"/>
                <w:sz w:val="20"/>
                <w:szCs w:val="20"/>
              </w:rPr>
            </w:pPr>
            <w:r w:rsidRPr="00BE6461">
              <w:rPr>
                <w:b/>
                <w:bCs/>
                <w:color w:val="333333"/>
                <w:sz w:val="20"/>
                <w:szCs w:val="20"/>
              </w:rPr>
              <w:t>527,50</w:t>
            </w:r>
          </w:p>
        </w:tc>
        <w:tc>
          <w:tcPr>
            <w:tcW w:w="1100" w:type="dxa"/>
            <w:tcBorders>
              <w:top w:val="nil"/>
              <w:left w:val="nil"/>
              <w:bottom w:val="nil"/>
              <w:right w:val="nil"/>
            </w:tcBorders>
            <w:shd w:val="clear" w:color="auto" w:fill="auto"/>
            <w:noWrap/>
            <w:vAlign w:val="bottom"/>
            <w:hideMark/>
          </w:tcPr>
          <w:p w14:paraId="1DECB019" w14:textId="77777777" w:rsidR="00BE6461" w:rsidRPr="00BE6461" w:rsidRDefault="00BE6461" w:rsidP="00BE6461">
            <w:pPr>
              <w:jc w:val="right"/>
              <w:rPr>
                <w:b/>
                <w:bCs/>
                <w:color w:val="333333"/>
                <w:sz w:val="20"/>
                <w:szCs w:val="20"/>
              </w:rPr>
            </w:pPr>
            <w:r w:rsidRPr="00BE6461">
              <w:rPr>
                <w:b/>
                <w:bCs/>
                <w:color w:val="333333"/>
                <w:sz w:val="20"/>
                <w:szCs w:val="20"/>
              </w:rPr>
              <w:t>28,10</w:t>
            </w:r>
          </w:p>
        </w:tc>
      </w:tr>
      <w:tr w:rsidR="00BE6461" w:rsidRPr="00BE6461" w14:paraId="23F6883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E0A36E7" w14:textId="77777777" w:rsidR="00BE6461" w:rsidRPr="00BE6461" w:rsidRDefault="00BE6461" w:rsidP="00BE6461">
            <w:pPr>
              <w:rPr>
                <w:b/>
                <w:bCs/>
                <w:color w:val="333333"/>
                <w:sz w:val="20"/>
                <w:szCs w:val="20"/>
              </w:rPr>
            </w:pPr>
            <w:r w:rsidRPr="00BE6461">
              <w:rPr>
                <w:b/>
                <w:bCs/>
                <w:color w:val="333333"/>
                <w:sz w:val="20"/>
                <w:szCs w:val="20"/>
              </w:rPr>
              <w:t>Izvor 6.2. DONACIJE - PRORAČUNSKI KORISNICI (GRAD)</w:t>
            </w:r>
          </w:p>
        </w:tc>
        <w:tc>
          <w:tcPr>
            <w:tcW w:w="1503" w:type="dxa"/>
            <w:tcBorders>
              <w:top w:val="nil"/>
              <w:left w:val="nil"/>
              <w:bottom w:val="nil"/>
              <w:right w:val="nil"/>
            </w:tcBorders>
            <w:shd w:val="clear" w:color="auto" w:fill="auto"/>
            <w:noWrap/>
            <w:vAlign w:val="bottom"/>
            <w:hideMark/>
          </w:tcPr>
          <w:p w14:paraId="18E931DC" w14:textId="77777777" w:rsidR="00BE6461" w:rsidRPr="00BE6461" w:rsidRDefault="00BE6461" w:rsidP="00BE6461">
            <w:pPr>
              <w:jc w:val="right"/>
              <w:rPr>
                <w:b/>
                <w:bCs/>
                <w:color w:val="333333"/>
                <w:sz w:val="20"/>
                <w:szCs w:val="20"/>
              </w:rPr>
            </w:pPr>
            <w:r w:rsidRPr="00BE6461">
              <w:rPr>
                <w:b/>
                <w:bCs/>
                <w:color w:val="333333"/>
                <w:sz w:val="20"/>
                <w:szCs w:val="20"/>
              </w:rPr>
              <w:t>1.350,00</w:t>
            </w:r>
          </w:p>
        </w:tc>
        <w:tc>
          <w:tcPr>
            <w:tcW w:w="1500" w:type="dxa"/>
            <w:tcBorders>
              <w:top w:val="nil"/>
              <w:left w:val="nil"/>
              <w:bottom w:val="nil"/>
              <w:right w:val="nil"/>
            </w:tcBorders>
            <w:shd w:val="clear" w:color="auto" w:fill="auto"/>
            <w:noWrap/>
            <w:vAlign w:val="bottom"/>
            <w:hideMark/>
          </w:tcPr>
          <w:p w14:paraId="452A74CD"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100" w:type="dxa"/>
            <w:tcBorders>
              <w:top w:val="nil"/>
              <w:left w:val="nil"/>
              <w:bottom w:val="nil"/>
              <w:right w:val="nil"/>
            </w:tcBorders>
            <w:shd w:val="clear" w:color="auto" w:fill="auto"/>
            <w:noWrap/>
            <w:vAlign w:val="bottom"/>
            <w:hideMark/>
          </w:tcPr>
          <w:p w14:paraId="08CFB8F0"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67617646" w14:textId="77777777" w:rsidTr="00BE6461">
        <w:trPr>
          <w:trHeight w:val="300"/>
        </w:trPr>
        <w:tc>
          <w:tcPr>
            <w:tcW w:w="1703" w:type="dxa"/>
            <w:tcBorders>
              <w:top w:val="nil"/>
              <w:left w:val="nil"/>
              <w:bottom w:val="nil"/>
              <w:right w:val="nil"/>
            </w:tcBorders>
            <w:shd w:val="clear" w:color="auto" w:fill="auto"/>
            <w:noWrap/>
            <w:vAlign w:val="bottom"/>
            <w:hideMark/>
          </w:tcPr>
          <w:p w14:paraId="43D43BDC" w14:textId="77777777" w:rsidR="00BE6461" w:rsidRPr="00BE6461" w:rsidRDefault="00BE6461" w:rsidP="00BE6461">
            <w:pPr>
              <w:rPr>
                <w:b/>
                <w:bCs/>
                <w:sz w:val="20"/>
                <w:szCs w:val="20"/>
              </w:rPr>
            </w:pPr>
            <w:r w:rsidRPr="00BE6461">
              <w:rPr>
                <w:b/>
                <w:bCs/>
                <w:sz w:val="20"/>
                <w:szCs w:val="20"/>
              </w:rPr>
              <w:t>321</w:t>
            </w:r>
          </w:p>
        </w:tc>
        <w:tc>
          <w:tcPr>
            <w:tcW w:w="8457" w:type="dxa"/>
            <w:tcBorders>
              <w:top w:val="nil"/>
              <w:left w:val="nil"/>
              <w:bottom w:val="nil"/>
              <w:right w:val="nil"/>
            </w:tcBorders>
            <w:shd w:val="clear" w:color="auto" w:fill="auto"/>
            <w:vAlign w:val="bottom"/>
            <w:hideMark/>
          </w:tcPr>
          <w:p w14:paraId="40094243" w14:textId="77777777" w:rsidR="00BE6461" w:rsidRPr="00BE6461" w:rsidRDefault="00BE6461" w:rsidP="00BE6461">
            <w:pPr>
              <w:rPr>
                <w:b/>
                <w:bCs/>
                <w:sz w:val="20"/>
                <w:szCs w:val="20"/>
              </w:rPr>
            </w:pPr>
            <w:r w:rsidRPr="00BE6461">
              <w:rPr>
                <w:b/>
                <w:bCs/>
                <w:sz w:val="20"/>
                <w:szCs w:val="20"/>
              </w:rPr>
              <w:t xml:space="preserve">Naknade troškova zaposlenima                                                                        </w:t>
            </w:r>
          </w:p>
        </w:tc>
        <w:tc>
          <w:tcPr>
            <w:tcW w:w="1503" w:type="dxa"/>
            <w:tcBorders>
              <w:top w:val="nil"/>
              <w:left w:val="nil"/>
              <w:bottom w:val="nil"/>
              <w:right w:val="nil"/>
            </w:tcBorders>
            <w:shd w:val="clear" w:color="auto" w:fill="auto"/>
            <w:noWrap/>
            <w:vAlign w:val="bottom"/>
            <w:hideMark/>
          </w:tcPr>
          <w:p w14:paraId="3E3FC7ED" w14:textId="77777777" w:rsidR="00BE6461" w:rsidRPr="00BE6461" w:rsidRDefault="00BE6461" w:rsidP="00BE6461">
            <w:pPr>
              <w:jc w:val="right"/>
              <w:rPr>
                <w:b/>
                <w:bCs/>
                <w:sz w:val="20"/>
                <w:szCs w:val="20"/>
              </w:rPr>
            </w:pPr>
            <w:r w:rsidRPr="00BE6461">
              <w:rPr>
                <w:b/>
                <w:bCs/>
                <w:sz w:val="20"/>
                <w:szCs w:val="20"/>
              </w:rPr>
              <w:t>1.350,00</w:t>
            </w:r>
          </w:p>
        </w:tc>
        <w:tc>
          <w:tcPr>
            <w:tcW w:w="1500" w:type="dxa"/>
            <w:tcBorders>
              <w:top w:val="nil"/>
              <w:left w:val="nil"/>
              <w:bottom w:val="nil"/>
              <w:right w:val="nil"/>
            </w:tcBorders>
            <w:shd w:val="clear" w:color="auto" w:fill="auto"/>
            <w:noWrap/>
            <w:vAlign w:val="bottom"/>
            <w:hideMark/>
          </w:tcPr>
          <w:p w14:paraId="2FE5A2CB"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17A31B78"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51B5C7CF" w14:textId="77777777" w:rsidTr="00BE6461">
        <w:trPr>
          <w:trHeight w:val="300"/>
        </w:trPr>
        <w:tc>
          <w:tcPr>
            <w:tcW w:w="1703" w:type="dxa"/>
            <w:tcBorders>
              <w:top w:val="nil"/>
              <w:left w:val="nil"/>
              <w:bottom w:val="nil"/>
              <w:right w:val="nil"/>
            </w:tcBorders>
            <w:shd w:val="clear" w:color="auto" w:fill="auto"/>
            <w:noWrap/>
            <w:vAlign w:val="bottom"/>
            <w:hideMark/>
          </w:tcPr>
          <w:p w14:paraId="210357AA" w14:textId="77777777" w:rsidR="00BE6461" w:rsidRPr="00BE6461" w:rsidRDefault="00BE6461" w:rsidP="00BE6461">
            <w:pPr>
              <w:rPr>
                <w:sz w:val="20"/>
                <w:szCs w:val="20"/>
              </w:rPr>
            </w:pPr>
            <w:r w:rsidRPr="00BE6461">
              <w:rPr>
                <w:sz w:val="20"/>
                <w:szCs w:val="20"/>
              </w:rPr>
              <w:t>3211</w:t>
            </w:r>
          </w:p>
        </w:tc>
        <w:tc>
          <w:tcPr>
            <w:tcW w:w="8457" w:type="dxa"/>
            <w:tcBorders>
              <w:top w:val="nil"/>
              <w:left w:val="nil"/>
              <w:bottom w:val="nil"/>
              <w:right w:val="nil"/>
            </w:tcBorders>
            <w:shd w:val="clear" w:color="auto" w:fill="auto"/>
            <w:vAlign w:val="bottom"/>
            <w:hideMark/>
          </w:tcPr>
          <w:p w14:paraId="1846CE61" w14:textId="77777777" w:rsidR="00BE6461" w:rsidRPr="00BE6461" w:rsidRDefault="00BE6461" w:rsidP="00BE6461">
            <w:pPr>
              <w:rPr>
                <w:sz w:val="20"/>
                <w:szCs w:val="20"/>
              </w:rPr>
            </w:pPr>
            <w:r w:rsidRPr="00BE6461">
              <w:rPr>
                <w:sz w:val="20"/>
                <w:szCs w:val="20"/>
              </w:rPr>
              <w:t xml:space="preserve">Službena putovanja                                                                                  </w:t>
            </w:r>
          </w:p>
        </w:tc>
        <w:tc>
          <w:tcPr>
            <w:tcW w:w="1503" w:type="dxa"/>
            <w:tcBorders>
              <w:top w:val="nil"/>
              <w:left w:val="nil"/>
              <w:bottom w:val="nil"/>
              <w:right w:val="nil"/>
            </w:tcBorders>
            <w:shd w:val="clear" w:color="auto" w:fill="auto"/>
            <w:noWrap/>
            <w:vAlign w:val="bottom"/>
            <w:hideMark/>
          </w:tcPr>
          <w:p w14:paraId="6F682CD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A8DFB05"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03E3B57A" w14:textId="77777777" w:rsidR="00BE6461" w:rsidRPr="00BE6461" w:rsidRDefault="00BE6461" w:rsidP="00BE6461">
            <w:pPr>
              <w:jc w:val="right"/>
              <w:rPr>
                <w:sz w:val="20"/>
                <w:szCs w:val="20"/>
              </w:rPr>
            </w:pPr>
          </w:p>
        </w:tc>
      </w:tr>
      <w:tr w:rsidR="00BE6461" w:rsidRPr="00BE6461" w14:paraId="2AA1F94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5BF3CC5" w14:textId="77777777" w:rsidR="00BE6461" w:rsidRPr="00BE6461" w:rsidRDefault="00BE6461" w:rsidP="00BE6461">
            <w:pPr>
              <w:rPr>
                <w:b/>
                <w:bCs/>
                <w:color w:val="333333"/>
                <w:sz w:val="20"/>
                <w:szCs w:val="20"/>
              </w:rPr>
            </w:pPr>
            <w:r w:rsidRPr="00BE6461">
              <w:rPr>
                <w:b/>
                <w:bCs/>
                <w:color w:val="333333"/>
                <w:sz w:val="20"/>
                <w:szCs w:val="20"/>
              </w:rPr>
              <w:t>Izvor 6.3. DONACIJE - PRORAČUNSKI KORISNICI (DIREKTNO)</w:t>
            </w:r>
          </w:p>
        </w:tc>
        <w:tc>
          <w:tcPr>
            <w:tcW w:w="1503" w:type="dxa"/>
            <w:tcBorders>
              <w:top w:val="nil"/>
              <w:left w:val="nil"/>
              <w:bottom w:val="nil"/>
              <w:right w:val="nil"/>
            </w:tcBorders>
            <w:shd w:val="clear" w:color="auto" w:fill="auto"/>
            <w:noWrap/>
            <w:vAlign w:val="bottom"/>
            <w:hideMark/>
          </w:tcPr>
          <w:p w14:paraId="548B32F9" w14:textId="77777777" w:rsidR="00BE6461" w:rsidRPr="00BE6461" w:rsidRDefault="00BE6461" w:rsidP="00BE6461">
            <w:pPr>
              <w:jc w:val="right"/>
              <w:rPr>
                <w:b/>
                <w:bCs/>
                <w:color w:val="333333"/>
                <w:sz w:val="20"/>
                <w:szCs w:val="20"/>
              </w:rPr>
            </w:pPr>
            <w:r w:rsidRPr="00BE6461">
              <w:rPr>
                <w:b/>
                <w:bCs/>
                <w:color w:val="333333"/>
                <w:sz w:val="20"/>
                <w:szCs w:val="20"/>
              </w:rPr>
              <w:t>527,50</w:t>
            </w:r>
          </w:p>
        </w:tc>
        <w:tc>
          <w:tcPr>
            <w:tcW w:w="1500" w:type="dxa"/>
            <w:tcBorders>
              <w:top w:val="nil"/>
              <w:left w:val="nil"/>
              <w:bottom w:val="nil"/>
              <w:right w:val="nil"/>
            </w:tcBorders>
            <w:shd w:val="clear" w:color="auto" w:fill="auto"/>
            <w:noWrap/>
            <w:vAlign w:val="bottom"/>
            <w:hideMark/>
          </w:tcPr>
          <w:p w14:paraId="7B2F5963" w14:textId="77777777" w:rsidR="00BE6461" w:rsidRPr="00BE6461" w:rsidRDefault="00BE6461" w:rsidP="00BE6461">
            <w:pPr>
              <w:jc w:val="right"/>
              <w:rPr>
                <w:b/>
                <w:bCs/>
                <w:color w:val="333333"/>
                <w:sz w:val="20"/>
                <w:szCs w:val="20"/>
              </w:rPr>
            </w:pPr>
            <w:r w:rsidRPr="00BE6461">
              <w:rPr>
                <w:b/>
                <w:bCs/>
                <w:color w:val="333333"/>
                <w:sz w:val="20"/>
                <w:szCs w:val="20"/>
              </w:rPr>
              <w:t>527,50</w:t>
            </w:r>
          </w:p>
        </w:tc>
        <w:tc>
          <w:tcPr>
            <w:tcW w:w="1100" w:type="dxa"/>
            <w:tcBorders>
              <w:top w:val="nil"/>
              <w:left w:val="nil"/>
              <w:bottom w:val="nil"/>
              <w:right w:val="nil"/>
            </w:tcBorders>
            <w:shd w:val="clear" w:color="auto" w:fill="auto"/>
            <w:noWrap/>
            <w:vAlign w:val="bottom"/>
            <w:hideMark/>
          </w:tcPr>
          <w:p w14:paraId="6285307C"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473172C8" w14:textId="77777777" w:rsidTr="00BE6461">
        <w:trPr>
          <w:trHeight w:val="300"/>
        </w:trPr>
        <w:tc>
          <w:tcPr>
            <w:tcW w:w="1703" w:type="dxa"/>
            <w:tcBorders>
              <w:top w:val="nil"/>
              <w:left w:val="nil"/>
              <w:bottom w:val="nil"/>
              <w:right w:val="nil"/>
            </w:tcBorders>
            <w:shd w:val="clear" w:color="auto" w:fill="auto"/>
            <w:noWrap/>
            <w:vAlign w:val="bottom"/>
            <w:hideMark/>
          </w:tcPr>
          <w:p w14:paraId="22E44E9E"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2BA8BD9F"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037F3569" w14:textId="77777777" w:rsidR="00BE6461" w:rsidRPr="00BE6461" w:rsidRDefault="00BE6461" w:rsidP="00BE6461">
            <w:pPr>
              <w:jc w:val="right"/>
              <w:rPr>
                <w:b/>
                <w:bCs/>
                <w:sz w:val="20"/>
                <w:szCs w:val="20"/>
              </w:rPr>
            </w:pPr>
            <w:r w:rsidRPr="00BE6461">
              <w:rPr>
                <w:b/>
                <w:bCs/>
                <w:sz w:val="20"/>
                <w:szCs w:val="20"/>
              </w:rPr>
              <w:t>527,50</w:t>
            </w:r>
          </w:p>
        </w:tc>
        <w:tc>
          <w:tcPr>
            <w:tcW w:w="1500" w:type="dxa"/>
            <w:tcBorders>
              <w:top w:val="nil"/>
              <w:left w:val="nil"/>
              <w:bottom w:val="nil"/>
              <w:right w:val="nil"/>
            </w:tcBorders>
            <w:shd w:val="clear" w:color="auto" w:fill="auto"/>
            <w:noWrap/>
            <w:vAlign w:val="bottom"/>
            <w:hideMark/>
          </w:tcPr>
          <w:p w14:paraId="4230BCE9" w14:textId="77777777" w:rsidR="00BE6461" w:rsidRPr="00BE6461" w:rsidRDefault="00BE6461" w:rsidP="00BE6461">
            <w:pPr>
              <w:jc w:val="right"/>
              <w:rPr>
                <w:b/>
                <w:bCs/>
                <w:sz w:val="20"/>
                <w:szCs w:val="20"/>
              </w:rPr>
            </w:pPr>
            <w:r w:rsidRPr="00BE6461">
              <w:rPr>
                <w:b/>
                <w:bCs/>
                <w:sz w:val="20"/>
                <w:szCs w:val="20"/>
              </w:rPr>
              <w:t>527,50</w:t>
            </w:r>
          </w:p>
        </w:tc>
        <w:tc>
          <w:tcPr>
            <w:tcW w:w="1100" w:type="dxa"/>
            <w:tcBorders>
              <w:top w:val="nil"/>
              <w:left w:val="nil"/>
              <w:bottom w:val="nil"/>
              <w:right w:val="nil"/>
            </w:tcBorders>
            <w:shd w:val="clear" w:color="auto" w:fill="auto"/>
            <w:noWrap/>
            <w:vAlign w:val="bottom"/>
            <w:hideMark/>
          </w:tcPr>
          <w:p w14:paraId="62CC0039"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677A3744" w14:textId="77777777" w:rsidTr="00BE6461">
        <w:trPr>
          <w:trHeight w:val="300"/>
        </w:trPr>
        <w:tc>
          <w:tcPr>
            <w:tcW w:w="1703" w:type="dxa"/>
            <w:tcBorders>
              <w:top w:val="nil"/>
              <w:left w:val="nil"/>
              <w:bottom w:val="nil"/>
              <w:right w:val="nil"/>
            </w:tcBorders>
            <w:shd w:val="clear" w:color="auto" w:fill="auto"/>
            <w:noWrap/>
            <w:vAlign w:val="bottom"/>
            <w:hideMark/>
          </w:tcPr>
          <w:p w14:paraId="4F0D47F5" w14:textId="77777777" w:rsidR="00BE6461" w:rsidRPr="00BE6461" w:rsidRDefault="00BE6461" w:rsidP="00BE6461">
            <w:pPr>
              <w:rPr>
                <w:sz w:val="20"/>
                <w:szCs w:val="20"/>
              </w:rPr>
            </w:pPr>
            <w:r w:rsidRPr="00BE6461">
              <w:rPr>
                <w:sz w:val="20"/>
                <w:szCs w:val="20"/>
              </w:rPr>
              <w:t>3225</w:t>
            </w:r>
          </w:p>
        </w:tc>
        <w:tc>
          <w:tcPr>
            <w:tcW w:w="8457" w:type="dxa"/>
            <w:tcBorders>
              <w:top w:val="nil"/>
              <w:left w:val="nil"/>
              <w:bottom w:val="nil"/>
              <w:right w:val="nil"/>
            </w:tcBorders>
            <w:shd w:val="clear" w:color="auto" w:fill="auto"/>
            <w:vAlign w:val="bottom"/>
            <w:hideMark/>
          </w:tcPr>
          <w:p w14:paraId="4B8E7205" w14:textId="77777777" w:rsidR="00BE6461" w:rsidRPr="00BE6461" w:rsidRDefault="00BE6461" w:rsidP="00BE6461">
            <w:pPr>
              <w:rPr>
                <w:sz w:val="20"/>
                <w:szCs w:val="20"/>
              </w:rPr>
            </w:pPr>
            <w:r w:rsidRPr="00BE6461">
              <w:rPr>
                <w:sz w:val="20"/>
                <w:szCs w:val="20"/>
              </w:rPr>
              <w:t xml:space="preserve">Sitni inventar i auto gume                                                                          </w:t>
            </w:r>
          </w:p>
        </w:tc>
        <w:tc>
          <w:tcPr>
            <w:tcW w:w="1503" w:type="dxa"/>
            <w:tcBorders>
              <w:top w:val="nil"/>
              <w:left w:val="nil"/>
              <w:bottom w:val="nil"/>
              <w:right w:val="nil"/>
            </w:tcBorders>
            <w:shd w:val="clear" w:color="auto" w:fill="auto"/>
            <w:noWrap/>
            <w:vAlign w:val="bottom"/>
            <w:hideMark/>
          </w:tcPr>
          <w:p w14:paraId="32B918D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1FB911C" w14:textId="77777777" w:rsidR="00BE6461" w:rsidRPr="00BE6461" w:rsidRDefault="00BE6461" w:rsidP="00BE6461">
            <w:pPr>
              <w:jc w:val="right"/>
              <w:rPr>
                <w:sz w:val="20"/>
                <w:szCs w:val="20"/>
              </w:rPr>
            </w:pPr>
            <w:r w:rsidRPr="00BE6461">
              <w:rPr>
                <w:sz w:val="20"/>
                <w:szCs w:val="20"/>
              </w:rPr>
              <w:t>527,50</w:t>
            </w:r>
          </w:p>
        </w:tc>
        <w:tc>
          <w:tcPr>
            <w:tcW w:w="1100" w:type="dxa"/>
            <w:tcBorders>
              <w:top w:val="nil"/>
              <w:left w:val="nil"/>
              <w:bottom w:val="nil"/>
              <w:right w:val="nil"/>
            </w:tcBorders>
            <w:shd w:val="clear" w:color="auto" w:fill="auto"/>
            <w:noWrap/>
            <w:vAlign w:val="bottom"/>
            <w:hideMark/>
          </w:tcPr>
          <w:p w14:paraId="2AFA82D7" w14:textId="77777777" w:rsidR="00BE6461" w:rsidRPr="00BE6461" w:rsidRDefault="00BE6461" w:rsidP="00BE6461">
            <w:pPr>
              <w:jc w:val="right"/>
              <w:rPr>
                <w:sz w:val="20"/>
                <w:szCs w:val="20"/>
              </w:rPr>
            </w:pPr>
          </w:p>
        </w:tc>
      </w:tr>
      <w:tr w:rsidR="00BE6461" w:rsidRPr="00BE6461" w14:paraId="11762487"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56A70F48" w14:textId="77777777" w:rsidR="00BE6461" w:rsidRPr="00BE6461" w:rsidRDefault="00BE6461" w:rsidP="00BE6461">
            <w:pPr>
              <w:rPr>
                <w:b/>
                <w:bCs/>
                <w:sz w:val="20"/>
                <w:szCs w:val="20"/>
              </w:rPr>
            </w:pPr>
            <w:r w:rsidRPr="00BE6461">
              <w:rPr>
                <w:b/>
                <w:bCs/>
                <w:sz w:val="20"/>
                <w:szCs w:val="20"/>
              </w:rPr>
              <w:t>A100016</w:t>
            </w:r>
          </w:p>
        </w:tc>
        <w:tc>
          <w:tcPr>
            <w:tcW w:w="8457" w:type="dxa"/>
            <w:tcBorders>
              <w:top w:val="single" w:sz="4" w:space="0" w:color="auto"/>
              <w:left w:val="nil"/>
              <w:bottom w:val="single" w:sz="4" w:space="0" w:color="auto"/>
              <w:right w:val="nil"/>
            </w:tcBorders>
            <w:shd w:val="clear" w:color="auto" w:fill="auto"/>
            <w:vAlign w:val="bottom"/>
            <w:hideMark/>
          </w:tcPr>
          <w:p w14:paraId="6202265B" w14:textId="77777777" w:rsidR="00BE6461" w:rsidRPr="00BE6461" w:rsidRDefault="00BE6461" w:rsidP="00BE6461">
            <w:pPr>
              <w:rPr>
                <w:b/>
                <w:bCs/>
                <w:sz w:val="20"/>
                <w:szCs w:val="20"/>
              </w:rPr>
            </w:pPr>
            <w:r w:rsidRPr="00BE6461">
              <w:rPr>
                <w:b/>
                <w:bCs/>
                <w:sz w:val="20"/>
                <w:szCs w:val="20"/>
              </w:rPr>
              <w:t>Aktivnost: OSTALE AKTIVNOSTI</w:t>
            </w:r>
          </w:p>
        </w:tc>
        <w:tc>
          <w:tcPr>
            <w:tcW w:w="1503" w:type="dxa"/>
            <w:tcBorders>
              <w:top w:val="single" w:sz="4" w:space="0" w:color="auto"/>
              <w:left w:val="nil"/>
              <w:bottom w:val="single" w:sz="4" w:space="0" w:color="auto"/>
              <w:right w:val="nil"/>
            </w:tcBorders>
            <w:shd w:val="clear" w:color="auto" w:fill="auto"/>
            <w:noWrap/>
            <w:vAlign w:val="bottom"/>
            <w:hideMark/>
          </w:tcPr>
          <w:p w14:paraId="07864BCD" w14:textId="77777777" w:rsidR="00BE6461" w:rsidRPr="00BE6461" w:rsidRDefault="00BE6461" w:rsidP="00BE6461">
            <w:pPr>
              <w:jc w:val="right"/>
              <w:rPr>
                <w:b/>
                <w:bCs/>
                <w:sz w:val="20"/>
                <w:szCs w:val="20"/>
              </w:rPr>
            </w:pPr>
            <w:r w:rsidRPr="00BE6461">
              <w:rPr>
                <w:b/>
                <w:bCs/>
                <w:sz w:val="20"/>
                <w:szCs w:val="20"/>
              </w:rPr>
              <w:t>7.000,00</w:t>
            </w:r>
          </w:p>
        </w:tc>
        <w:tc>
          <w:tcPr>
            <w:tcW w:w="1500" w:type="dxa"/>
            <w:tcBorders>
              <w:top w:val="single" w:sz="4" w:space="0" w:color="auto"/>
              <w:left w:val="nil"/>
              <w:bottom w:val="single" w:sz="4" w:space="0" w:color="auto"/>
              <w:right w:val="nil"/>
            </w:tcBorders>
            <w:shd w:val="clear" w:color="auto" w:fill="auto"/>
            <w:noWrap/>
            <w:vAlign w:val="bottom"/>
            <w:hideMark/>
          </w:tcPr>
          <w:p w14:paraId="4616A9AD" w14:textId="77777777" w:rsidR="00BE6461" w:rsidRPr="00BE6461" w:rsidRDefault="00BE6461" w:rsidP="00BE6461">
            <w:pPr>
              <w:jc w:val="right"/>
              <w:rPr>
                <w:b/>
                <w:bCs/>
                <w:sz w:val="20"/>
                <w:szCs w:val="20"/>
              </w:rPr>
            </w:pPr>
            <w:r w:rsidRPr="00BE6461">
              <w:rPr>
                <w:b/>
                <w:bCs/>
                <w:sz w:val="20"/>
                <w:szCs w:val="20"/>
              </w:rPr>
              <w:t>10.750,18</w:t>
            </w:r>
          </w:p>
        </w:tc>
        <w:tc>
          <w:tcPr>
            <w:tcW w:w="1100" w:type="dxa"/>
            <w:tcBorders>
              <w:top w:val="single" w:sz="4" w:space="0" w:color="auto"/>
              <w:left w:val="nil"/>
              <w:bottom w:val="single" w:sz="4" w:space="0" w:color="auto"/>
              <w:right w:val="nil"/>
            </w:tcBorders>
            <w:shd w:val="clear" w:color="auto" w:fill="auto"/>
            <w:noWrap/>
            <w:vAlign w:val="bottom"/>
            <w:hideMark/>
          </w:tcPr>
          <w:p w14:paraId="6E782025" w14:textId="77777777" w:rsidR="00BE6461" w:rsidRPr="00BE6461" w:rsidRDefault="00BE6461" w:rsidP="00BE6461">
            <w:pPr>
              <w:jc w:val="right"/>
              <w:rPr>
                <w:b/>
                <w:bCs/>
                <w:sz w:val="20"/>
                <w:szCs w:val="20"/>
              </w:rPr>
            </w:pPr>
            <w:r w:rsidRPr="00BE6461">
              <w:rPr>
                <w:b/>
                <w:bCs/>
                <w:sz w:val="20"/>
                <w:szCs w:val="20"/>
              </w:rPr>
              <w:t>153,57</w:t>
            </w:r>
          </w:p>
        </w:tc>
      </w:tr>
      <w:tr w:rsidR="00BE6461" w:rsidRPr="00BE6461" w14:paraId="5D8F8894"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C6416E5" w14:textId="77777777" w:rsidR="00BE6461" w:rsidRPr="00BE6461" w:rsidRDefault="00BE6461" w:rsidP="00BE6461">
            <w:pPr>
              <w:rPr>
                <w:b/>
                <w:bCs/>
                <w:color w:val="333333"/>
                <w:sz w:val="20"/>
                <w:szCs w:val="20"/>
              </w:rPr>
            </w:pPr>
            <w:r w:rsidRPr="00BE6461">
              <w:rPr>
                <w:b/>
                <w:bCs/>
                <w:color w:val="333333"/>
                <w:sz w:val="20"/>
                <w:szCs w:val="20"/>
              </w:rPr>
              <w:lastRenderedPageBreak/>
              <w:t>Izvor 1. OPĆI PRIHODI I PRIMICI</w:t>
            </w:r>
          </w:p>
        </w:tc>
        <w:tc>
          <w:tcPr>
            <w:tcW w:w="1503" w:type="dxa"/>
            <w:tcBorders>
              <w:top w:val="nil"/>
              <w:left w:val="nil"/>
              <w:bottom w:val="nil"/>
              <w:right w:val="nil"/>
            </w:tcBorders>
            <w:shd w:val="clear" w:color="auto" w:fill="auto"/>
            <w:noWrap/>
            <w:vAlign w:val="bottom"/>
            <w:hideMark/>
          </w:tcPr>
          <w:p w14:paraId="26CF56D0" w14:textId="77777777" w:rsidR="00BE6461" w:rsidRPr="00BE6461" w:rsidRDefault="00BE6461" w:rsidP="00BE6461">
            <w:pPr>
              <w:jc w:val="right"/>
              <w:rPr>
                <w:b/>
                <w:bCs/>
                <w:color w:val="333333"/>
                <w:sz w:val="20"/>
                <w:szCs w:val="20"/>
              </w:rPr>
            </w:pPr>
            <w:r w:rsidRPr="00BE6461">
              <w:rPr>
                <w:b/>
                <w:bCs/>
                <w:color w:val="333333"/>
                <w:sz w:val="20"/>
                <w:szCs w:val="20"/>
              </w:rPr>
              <w:t>7.000,00</w:t>
            </w:r>
          </w:p>
        </w:tc>
        <w:tc>
          <w:tcPr>
            <w:tcW w:w="1500" w:type="dxa"/>
            <w:tcBorders>
              <w:top w:val="nil"/>
              <w:left w:val="nil"/>
              <w:bottom w:val="nil"/>
              <w:right w:val="nil"/>
            </w:tcBorders>
            <w:shd w:val="clear" w:color="auto" w:fill="auto"/>
            <w:noWrap/>
            <w:vAlign w:val="bottom"/>
            <w:hideMark/>
          </w:tcPr>
          <w:p w14:paraId="7B423AB5" w14:textId="77777777" w:rsidR="00BE6461" w:rsidRPr="00BE6461" w:rsidRDefault="00BE6461" w:rsidP="00BE6461">
            <w:pPr>
              <w:jc w:val="right"/>
              <w:rPr>
                <w:b/>
                <w:bCs/>
                <w:color w:val="333333"/>
                <w:sz w:val="20"/>
                <w:szCs w:val="20"/>
              </w:rPr>
            </w:pPr>
            <w:r w:rsidRPr="00BE6461">
              <w:rPr>
                <w:b/>
                <w:bCs/>
                <w:color w:val="333333"/>
                <w:sz w:val="20"/>
                <w:szCs w:val="20"/>
              </w:rPr>
              <w:t>6.992,00</w:t>
            </w:r>
          </w:p>
        </w:tc>
        <w:tc>
          <w:tcPr>
            <w:tcW w:w="1100" w:type="dxa"/>
            <w:tcBorders>
              <w:top w:val="nil"/>
              <w:left w:val="nil"/>
              <w:bottom w:val="nil"/>
              <w:right w:val="nil"/>
            </w:tcBorders>
            <w:shd w:val="clear" w:color="auto" w:fill="auto"/>
            <w:noWrap/>
            <w:vAlign w:val="bottom"/>
            <w:hideMark/>
          </w:tcPr>
          <w:p w14:paraId="36D32718" w14:textId="77777777" w:rsidR="00BE6461" w:rsidRPr="00BE6461" w:rsidRDefault="00BE6461" w:rsidP="00BE6461">
            <w:pPr>
              <w:jc w:val="right"/>
              <w:rPr>
                <w:b/>
                <w:bCs/>
                <w:color w:val="333333"/>
                <w:sz w:val="20"/>
                <w:szCs w:val="20"/>
              </w:rPr>
            </w:pPr>
            <w:r w:rsidRPr="00BE6461">
              <w:rPr>
                <w:b/>
                <w:bCs/>
                <w:color w:val="333333"/>
                <w:sz w:val="20"/>
                <w:szCs w:val="20"/>
              </w:rPr>
              <w:t>99,89</w:t>
            </w:r>
          </w:p>
        </w:tc>
      </w:tr>
      <w:tr w:rsidR="00BE6461" w:rsidRPr="00BE6461" w14:paraId="295EA89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6776CD5"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0E9703C5" w14:textId="77777777" w:rsidR="00BE6461" w:rsidRPr="00BE6461" w:rsidRDefault="00BE6461" w:rsidP="00BE6461">
            <w:pPr>
              <w:jc w:val="right"/>
              <w:rPr>
                <w:b/>
                <w:bCs/>
                <w:color w:val="333333"/>
                <w:sz w:val="20"/>
                <w:szCs w:val="20"/>
              </w:rPr>
            </w:pPr>
            <w:r w:rsidRPr="00BE6461">
              <w:rPr>
                <w:b/>
                <w:bCs/>
                <w:color w:val="333333"/>
                <w:sz w:val="20"/>
                <w:szCs w:val="20"/>
              </w:rPr>
              <w:t>7.000,00</w:t>
            </w:r>
          </w:p>
        </w:tc>
        <w:tc>
          <w:tcPr>
            <w:tcW w:w="1500" w:type="dxa"/>
            <w:tcBorders>
              <w:top w:val="nil"/>
              <w:left w:val="nil"/>
              <w:bottom w:val="nil"/>
              <w:right w:val="nil"/>
            </w:tcBorders>
            <w:shd w:val="clear" w:color="auto" w:fill="auto"/>
            <w:noWrap/>
            <w:vAlign w:val="bottom"/>
            <w:hideMark/>
          </w:tcPr>
          <w:p w14:paraId="52784E9E" w14:textId="77777777" w:rsidR="00BE6461" w:rsidRPr="00BE6461" w:rsidRDefault="00BE6461" w:rsidP="00BE6461">
            <w:pPr>
              <w:jc w:val="right"/>
              <w:rPr>
                <w:b/>
                <w:bCs/>
                <w:color w:val="333333"/>
                <w:sz w:val="20"/>
                <w:szCs w:val="20"/>
              </w:rPr>
            </w:pPr>
            <w:r w:rsidRPr="00BE6461">
              <w:rPr>
                <w:b/>
                <w:bCs/>
                <w:color w:val="333333"/>
                <w:sz w:val="20"/>
                <w:szCs w:val="20"/>
              </w:rPr>
              <w:t>6.992,00</w:t>
            </w:r>
          </w:p>
        </w:tc>
        <w:tc>
          <w:tcPr>
            <w:tcW w:w="1100" w:type="dxa"/>
            <w:tcBorders>
              <w:top w:val="nil"/>
              <w:left w:val="nil"/>
              <w:bottom w:val="nil"/>
              <w:right w:val="nil"/>
            </w:tcBorders>
            <w:shd w:val="clear" w:color="auto" w:fill="auto"/>
            <w:noWrap/>
            <w:vAlign w:val="bottom"/>
            <w:hideMark/>
          </w:tcPr>
          <w:p w14:paraId="6C6CEA1F" w14:textId="77777777" w:rsidR="00BE6461" w:rsidRPr="00BE6461" w:rsidRDefault="00BE6461" w:rsidP="00BE6461">
            <w:pPr>
              <w:jc w:val="right"/>
              <w:rPr>
                <w:b/>
                <w:bCs/>
                <w:color w:val="333333"/>
                <w:sz w:val="20"/>
                <w:szCs w:val="20"/>
              </w:rPr>
            </w:pPr>
            <w:r w:rsidRPr="00BE6461">
              <w:rPr>
                <w:b/>
                <w:bCs/>
                <w:color w:val="333333"/>
                <w:sz w:val="20"/>
                <w:szCs w:val="20"/>
              </w:rPr>
              <w:t>99,89</w:t>
            </w:r>
          </w:p>
        </w:tc>
      </w:tr>
      <w:tr w:rsidR="00BE6461" w:rsidRPr="00BE6461" w14:paraId="283F44E4" w14:textId="77777777" w:rsidTr="00BE6461">
        <w:trPr>
          <w:trHeight w:val="300"/>
        </w:trPr>
        <w:tc>
          <w:tcPr>
            <w:tcW w:w="1703" w:type="dxa"/>
            <w:tcBorders>
              <w:top w:val="nil"/>
              <w:left w:val="nil"/>
              <w:bottom w:val="nil"/>
              <w:right w:val="nil"/>
            </w:tcBorders>
            <w:shd w:val="clear" w:color="auto" w:fill="auto"/>
            <w:noWrap/>
            <w:vAlign w:val="bottom"/>
            <w:hideMark/>
          </w:tcPr>
          <w:p w14:paraId="2F76701D"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6DB7D868"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40F5FFBF" w14:textId="77777777" w:rsidR="00BE6461" w:rsidRPr="00BE6461" w:rsidRDefault="00BE6461" w:rsidP="00BE6461">
            <w:pPr>
              <w:jc w:val="right"/>
              <w:rPr>
                <w:b/>
                <w:bCs/>
                <w:sz w:val="20"/>
                <w:szCs w:val="20"/>
              </w:rPr>
            </w:pPr>
            <w:r w:rsidRPr="00BE6461">
              <w:rPr>
                <w:b/>
                <w:bCs/>
                <w:sz w:val="20"/>
                <w:szCs w:val="20"/>
              </w:rPr>
              <w:t>7.000,00</w:t>
            </w:r>
          </w:p>
        </w:tc>
        <w:tc>
          <w:tcPr>
            <w:tcW w:w="1500" w:type="dxa"/>
            <w:tcBorders>
              <w:top w:val="nil"/>
              <w:left w:val="nil"/>
              <w:bottom w:val="nil"/>
              <w:right w:val="nil"/>
            </w:tcBorders>
            <w:shd w:val="clear" w:color="auto" w:fill="auto"/>
            <w:noWrap/>
            <w:vAlign w:val="bottom"/>
            <w:hideMark/>
          </w:tcPr>
          <w:p w14:paraId="386126DE" w14:textId="77777777" w:rsidR="00BE6461" w:rsidRPr="00BE6461" w:rsidRDefault="00BE6461" w:rsidP="00BE6461">
            <w:pPr>
              <w:jc w:val="right"/>
              <w:rPr>
                <w:b/>
                <w:bCs/>
                <w:sz w:val="20"/>
                <w:szCs w:val="20"/>
              </w:rPr>
            </w:pPr>
            <w:r w:rsidRPr="00BE6461">
              <w:rPr>
                <w:b/>
                <w:bCs/>
                <w:sz w:val="20"/>
                <w:szCs w:val="20"/>
              </w:rPr>
              <w:t>6.992,00</w:t>
            </w:r>
          </w:p>
        </w:tc>
        <w:tc>
          <w:tcPr>
            <w:tcW w:w="1100" w:type="dxa"/>
            <w:tcBorders>
              <w:top w:val="nil"/>
              <w:left w:val="nil"/>
              <w:bottom w:val="nil"/>
              <w:right w:val="nil"/>
            </w:tcBorders>
            <w:shd w:val="clear" w:color="auto" w:fill="auto"/>
            <w:noWrap/>
            <w:vAlign w:val="bottom"/>
            <w:hideMark/>
          </w:tcPr>
          <w:p w14:paraId="021CDC62" w14:textId="77777777" w:rsidR="00BE6461" w:rsidRPr="00BE6461" w:rsidRDefault="00BE6461" w:rsidP="00BE6461">
            <w:pPr>
              <w:jc w:val="right"/>
              <w:rPr>
                <w:b/>
                <w:bCs/>
                <w:sz w:val="20"/>
                <w:szCs w:val="20"/>
              </w:rPr>
            </w:pPr>
            <w:r w:rsidRPr="00BE6461">
              <w:rPr>
                <w:b/>
                <w:bCs/>
                <w:sz w:val="20"/>
                <w:szCs w:val="20"/>
              </w:rPr>
              <w:t>99,89</w:t>
            </w:r>
          </w:p>
        </w:tc>
      </w:tr>
      <w:tr w:rsidR="00BE6461" w:rsidRPr="00BE6461" w14:paraId="0DCB7C50" w14:textId="77777777" w:rsidTr="00BE6461">
        <w:trPr>
          <w:trHeight w:val="300"/>
        </w:trPr>
        <w:tc>
          <w:tcPr>
            <w:tcW w:w="1703" w:type="dxa"/>
            <w:tcBorders>
              <w:top w:val="nil"/>
              <w:left w:val="nil"/>
              <w:bottom w:val="nil"/>
              <w:right w:val="nil"/>
            </w:tcBorders>
            <w:shd w:val="clear" w:color="auto" w:fill="auto"/>
            <w:noWrap/>
            <w:vAlign w:val="bottom"/>
            <w:hideMark/>
          </w:tcPr>
          <w:p w14:paraId="1E429588" w14:textId="77777777" w:rsidR="00BE6461" w:rsidRPr="00BE6461" w:rsidRDefault="00BE6461" w:rsidP="00BE6461">
            <w:pPr>
              <w:rPr>
                <w:sz w:val="20"/>
                <w:szCs w:val="20"/>
              </w:rPr>
            </w:pPr>
            <w:r w:rsidRPr="00BE6461">
              <w:rPr>
                <w:sz w:val="20"/>
                <w:szCs w:val="20"/>
              </w:rPr>
              <w:t>3299</w:t>
            </w:r>
          </w:p>
        </w:tc>
        <w:tc>
          <w:tcPr>
            <w:tcW w:w="8457" w:type="dxa"/>
            <w:tcBorders>
              <w:top w:val="nil"/>
              <w:left w:val="nil"/>
              <w:bottom w:val="nil"/>
              <w:right w:val="nil"/>
            </w:tcBorders>
            <w:shd w:val="clear" w:color="auto" w:fill="auto"/>
            <w:vAlign w:val="bottom"/>
            <w:hideMark/>
          </w:tcPr>
          <w:p w14:paraId="7B6F3D72" w14:textId="77777777" w:rsidR="00BE6461" w:rsidRPr="00BE6461" w:rsidRDefault="00BE6461" w:rsidP="00BE6461">
            <w:pPr>
              <w:rPr>
                <w:sz w:val="20"/>
                <w:szCs w:val="20"/>
              </w:rPr>
            </w:pPr>
            <w:r w:rsidRPr="00BE6461">
              <w:rPr>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759543B5"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A537C59" w14:textId="77777777" w:rsidR="00BE6461" w:rsidRPr="00BE6461" w:rsidRDefault="00BE6461" w:rsidP="00BE6461">
            <w:pPr>
              <w:jc w:val="right"/>
              <w:rPr>
                <w:sz w:val="20"/>
                <w:szCs w:val="20"/>
              </w:rPr>
            </w:pPr>
            <w:r w:rsidRPr="00BE6461">
              <w:rPr>
                <w:sz w:val="20"/>
                <w:szCs w:val="20"/>
              </w:rPr>
              <w:t>6.992,00</w:t>
            </w:r>
          </w:p>
        </w:tc>
        <w:tc>
          <w:tcPr>
            <w:tcW w:w="1100" w:type="dxa"/>
            <w:tcBorders>
              <w:top w:val="nil"/>
              <w:left w:val="nil"/>
              <w:bottom w:val="nil"/>
              <w:right w:val="nil"/>
            </w:tcBorders>
            <w:shd w:val="clear" w:color="auto" w:fill="auto"/>
            <w:noWrap/>
            <w:vAlign w:val="bottom"/>
            <w:hideMark/>
          </w:tcPr>
          <w:p w14:paraId="6FD65D70" w14:textId="77777777" w:rsidR="00BE6461" w:rsidRPr="00BE6461" w:rsidRDefault="00BE6461" w:rsidP="00BE6461">
            <w:pPr>
              <w:jc w:val="right"/>
              <w:rPr>
                <w:sz w:val="20"/>
                <w:szCs w:val="20"/>
              </w:rPr>
            </w:pPr>
          </w:p>
        </w:tc>
      </w:tr>
      <w:tr w:rsidR="00BE6461" w:rsidRPr="00BE6461" w14:paraId="4283076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26CCED2"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33472C40"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500" w:type="dxa"/>
            <w:tcBorders>
              <w:top w:val="nil"/>
              <w:left w:val="nil"/>
              <w:bottom w:val="nil"/>
              <w:right w:val="nil"/>
            </w:tcBorders>
            <w:shd w:val="clear" w:color="auto" w:fill="auto"/>
            <w:noWrap/>
            <w:vAlign w:val="bottom"/>
            <w:hideMark/>
          </w:tcPr>
          <w:p w14:paraId="4C79648C" w14:textId="77777777" w:rsidR="00BE6461" w:rsidRPr="00BE6461" w:rsidRDefault="00BE6461" w:rsidP="00BE6461">
            <w:pPr>
              <w:jc w:val="right"/>
              <w:rPr>
                <w:b/>
                <w:bCs/>
                <w:color w:val="333333"/>
                <w:sz w:val="20"/>
                <w:szCs w:val="20"/>
              </w:rPr>
            </w:pPr>
            <w:r w:rsidRPr="00BE6461">
              <w:rPr>
                <w:b/>
                <w:bCs/>
                <w:color w:val="333333"/>
                <w:sz w:val="20"/>
                <w:szCs w:val="20"/>
              </w:rPr>
              <w:t>2.458,18</w:t>
            </w:r>
          </w:p>
        </w:tc>
        <w:tc>
          <w:tcPr>
            <w:tcW w:w="1100" w:type="dxa"/>
            <w:tcBorders>
              <w:top w:val="nil"/>
              <w:left w:val="nil"/>
              <w:bottom w:val="nil"/>
              <w:right w:val="nil"/>
            </w:tcBorders>
            <w:shd w:val="clear" w:color="auto" w:fill="auto"/>
            <w:noWrap/>
            <w:vAlign w:val="bottom"/>
            <w:hideMark/>
          </w:tcPr>
          <w:p w14:paraId="68132BC5"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6615380F"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7BF9DEF" w14:textId="77777777" w:rsidR="00BE6461" w:rsidRPr="00BE6461" w:rsidRDefault="00BE6461" w:rsidP="00BE6461">
            <w:pPr>
              <w:rPr>
                <w:b/>
                <w:bCs/>
                <w:color w:val="333333"/>
                <w:sz w:val="20"/>
                <w:szCs w:val="20"/>
              </w:rPr>
            </w:pPr>
            <w:r w:rsidRPr="00BE6461">
              <w:rPr>
                <w:b/>
                <w:bCs/>
                <w:color w:val="333333"/>
                <w:sz w:val="20"/>
                <w:szCs w:val="20"/>
              </w:rPr>
              <w:t>Izvor 4.7. PRIHODI POSEBNE NAMJENE - PRORAČUNSKI KORISNICI</w:t>
            </w:r>
          </w:p>
        </w:tc>
        <w:tc>
          <w:tcPr>
            <w:tcW w:w="1503" w:type="dxa"/>
            <w:tcBorders>
              <w:top w:val="nil"/>
              <w:left w:val="nil"/>
              <w:bottom w:val="nil"/>
              <w:right w:val="nil"/>
            </w:tcBorders>
            <w:shd w:val="clear" w:color="auto" w:fill="auto"/>
            <w:noWrap/>
            <w:vAlign w:val="bottom"/>
            <w:hideMark/>
          </w:tcPr>
          <w:p w14:paraId="4D1AB769"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500" w:type="dxa"/>
            <w:tcBorders>
              <w:top w:val="nil"/>
              <w:left w:val="nil"/>
              <w:bottom w:val="nil"/>
              <w:right w:val="nil"/>
            </w:tcBorders>
            <w:shd w:val="clear" w:color="auto" w:fill="auto"/>
            <w:noWrap/>
            <w:vAlign w:val="bottom"/>
            <w:hideMark/>
          </w:tcPr>
          <w:p w14:paraId="14FB0BF7" w14:textId="77777777" w:rsidR="00BE6461" w:rsidRPr="00BE6461" w:rsidRDefault="00BE6461" w:rsidP="00BE6461">
            <w:pPr>
              <w:jc w:val="right"/>
              <w:rPr>
                <w:b/>
                <w:bCs/>
                <w:color w:val="333333"/>
                <w:sz w:val="20"/>
                <w:szCs w:val="20"/>
              </w:rPr>
            </w:pPr>
            <w:r w:rsidRPr="00BE6461">
              <w:rPr>
                <w:b/>
                <w:bCs/>
                <w:color w:val="333333"/>
                <w:sz w:val="20"/>
                <w:szCs w:val="20"/>
              </w:rPr>
              <w:t>2.458,18</w:t>
            </w:r>
          </w:p>
        </w:tc>
        <w:tc>
          <w:tcPr>
            <w:tcW w:w="1100" w:type="dxa"/>
            <w:tcBorders>
              <w:top w:val="nil"/>
              <w:left w:val="nil"/>
              <w:bottom w:val="nil"/>
              <w:right w:val="nil"/>
            </w:tcBorders>
            <w:shd w:val="clear" w:color="auto" w:fill="auto"/>
            <w:noWrap/>
            <w:vAlign w:val="bottom"/>
            <w:hideMark/>
          </w:tcPr>
          <w:p w14:paraId="7E06CDE1"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125D7445" w14:textId="77777777" w:rsidTr="00BE6461">
        <w:trPr>
          <w:trHeight w:val="300"/>
        </w:trPr>
        <w:tc>
          <w:tcPr>
            <w:tcW w:w="1703" w:type="dxa"/>
            <w:tcBorders>
              <w:top w:val="nil"/>
              <w:left w:val="nil"/>
              <w:bottom w:val="nil"/>
              <w:right w:val="nil"/>
            </w:tcBorders>
            <w:shd w:val="clear" w:color="auto" w:fill="auto"/>
            <w:noWrap/>
            <w:vAlign w:val="bottom"/>
            <w:hideMark/>
          </w:tcPr>
          <w:p w14:paraId="57147316"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468FF273"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1B550F5B" w14:textId="77777777" w:rsidR="00BE6461" w:rsidRPr="00BE6461" w:rsidRDefault="00BE6461" w:rsidP="00BE6461">
            <w:pPr>
              <w:jc w:val="right"/>
              <w:rPr>
                <w:b/>
                <w:bCs/>
                <w:sz w:val="20"/>
                <w:szCs w:val="20"/>
              </w:rPr>
            </w:pPr>
            <w:r w:rsidRPr="00BE6461">
              <w:rPr>
                <w:b/>
                <w:bCs/>
                <w:sz w:val="20"/>
                <w:szCs w:val="20"/>
              </w:rPr>
              <w:t>0,00</w:t>
            </w:r>
          </w:p>
        </w:tc>
        <w:tc>
          <w:tcPr>
            <w:tcW w:w="1500" w:type="dxa"/>
            <w:tcBorders>
              <w:top w:val="nil"/>
              <w:left w:val="nil"/>
              <w:bottom w:val="nil"/>
              <w:right w:val="nil"/>
            </w:tcBorders>
            <w:shd w:val="clear" w:color="auto" w:fill="auto"/>
            <w:noWrap/>
            <w:vAlign w:val="bottom"/>
            <w:hideMark/>
          </w:tcPr>
          <w:p w14:paraId="293AC6EA" w14:textId="77777777" w:rsidR="00BE6461" w:rsidRPr="00BE6461" w:rsidRDefault="00BE6461" w:rsidP="00BE6461">
            <w:pPr>
              <w:jc w:val="right"/>
              <w:rPr>
                <w:b/>
                <w:bCs/>
                <w:sz w:val="20"/>
                <w:szCs w:val="20"/>
              </w:rPr>
            </w:pPr>
            <w:r w:rsidRPr="00BE6461">
              <w:rPr>
                <w:b/>
                <w:bCs/>
                <w:sz w:val="20"/>
                <w:szCs w:val="20"/>
              </w:rPr>
              <w:t>2.458,18</w:t>
            </w:r>
          </w:p>
        </w:tc>
        <w:tc>
          <w:tcPr>
            <w:tcW w:w="1100" w:type="dxa"/>
            <w:tcBorders>
              <w:top w:val="nil"/>
              <w:left w:val="nil"/>
              <w:bottom w:val="nil"/>
              <w:right w:val="nil"/>
            </w:tcBorders>
            <w:shd w:val="clear" w:color="auto" w:fill="auto"/>
            <w:noWrap/>
            <w:vAlign w:val="bottom"/>
            <w:hideMark/>
          </w:tcPr>
          <w:p w14:paraId="4EEDC2F8"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48FCB0AA" w14:textId="77777777" w:rsidTr="00BE6461">
        <w:trPr>
          <w:trHeight w:val="300"/>
        </w:trPr>
        <w:tc>
          <w:tcPr>
            <w:tcW w:w="1703" w:type="dxa"/>
            <w:tcBorders>
              <w:top w:val="nil"/>
              <w:left w:val="nil"/>
              <w:bottom w:val="nil"/>
              <w:right w:val="nil"/>
            </w:tcBorders>
            <w:shd w:val="clear" w:color="auto" w:fill="auto"/>
            <w:noWrap/>
            <w:vAlign w:val="bottom"/>
            <w:hideMark/>
          </w:tcPr>
          <w:p w14:paraId="26423C2E" w14:textId="77777777" w:rsidR="00BE6461" w:rsidRPr="00BE6461" w:rsidRDefault="00BE6461" w:rsidP="00BE6461">
            <w:pPr>
              <w:rPr>
                <w:sz w:val="20"/>
                <w:szCs w:val="20"/>
              </w:rPr>
            </w:pPr>
            <w:r w:rsidRPr="00BE6461">
              <w:rPr>
                <w:sz w:val="20"/>
                <w:szCs w:val="20"/>
              </w:rPr>
              <w:t>3299</w:t>
            </w:r>
          </w:p>
        </w:tc>
        <w:tc>
          <w:tcPr>
            <w:tcW w:w="8457" w:type="dxa"/>
            <w:tcBorders>
              <w:top w:val="nil"/>
              <w:left w:val="nil"/>
              <w:bottom w:val="nil"/>
              <w:right w:val="nil"/>
            </w:tcBorders>
            <w:shd w:val="clear" w:color="auto" w:fill="auto"/>
            <w:vAlign w:val="bottom"/>
            <w:hideMark/>
          </w:tcPr>
          <w:p w14:paraId="560B84A1" w14:textId="77777777" w:rsidR="00BE6461" w:rsidRPr="00BE6461" w:rsidRDefault="00BE6461" w:rsidP="00BE6461">
            <w:pPr>
              <w:rPr>
                <w:sz w:val="20"/>
                <w:szCs w:val="20"/>
              </w:rPr>
            </w:pPr>
            <w:r w:rsidRPr="00BE6461">
              <w:rPr>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12EBFF1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2A6C139" w14:textId="77777777" w:rsidR="00BE6461" w:rsidRPr="00BE6461" w:rsidRDefault="00BE6461" w:rsidP="00BE6461">
            <w:pPr>
              <w:jc w:val="right"/>
              <w:rPr>
                <w:sz w:val="20"/>
                <w:szCs w:val="20"/>
              </w:rPr>
            </w:pPr>
            <w:r w:rsidRPr="00BE6461">
              <w:rPr>
                <w:sz w:val="20"/>
                <w:szCs w:val="20"/>
              </w:rPr>
              <w:t>2.458,18</w:t>
            </w:r>
          </w:p>
        </w:tc>
        <w:tc>
          <w:tcPr>
            <w:tcW w:w="1100" w:type="dxa"/>
            <w:tcBorders>
              <w:top w:val="nil"/>
              <w:left w:val="nil"/>
              <w:bottom w:val="nil"/>
              <w:right w:val="nil"/>
            </w:tcBorders>
            <w:shd w:val="clear" w:color="auto" w:fill="auto"/>
            <w:noWrap/>
            <w:vAlign w:val="bottom"/>
            <w:hideMark/>
          </w:tcPr>
          <w:p w14:paraId="524F5856" w14:textId="77777777" w:rsidR="00BE6461" w:rsidRPr="00BE6461" w:rsidRDefault="00BE6461" w:rsidP="00BE6461">
            <w:pPr>
              <w:jc w:val="right"/>
              <w:rPr>
                <w:sz w:val="20"/>
                <w:szCs w:val="20"/>
              </w:rPr>
            </w:pPr>
          </w:p>
        </w:tc>
      </w:tr>
      <w:tr w:rsidR="00BE6461" w:rsidRPr="00BE6461" w14:paraId="30E1E040"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11236F0" w14:textId="77777777" w:rsidR="00BE6461" w:rsidRPr="00BE6461" w:rsidRDefault="00BE6461" w:rsidP="00BE6461">
            <w:pPr>
              <w:rPr>
                <w:b/>
                <w:bCs/>
                <w:color w:val="333333"/>
                <w:sz w:val="20"/>
                <w:szCs w:val="20"/>
              </w:rPr>
            </w:pPr>
            <w:r w:rsidRPr="00BE6461">
              <w:rPr>
                <w:b/>
                <w:bCs/>
                <w:color w:val="333333"/>
                <w:sz w:val="20"/>
                <w:szCs w:val="20"/>
              </w:rPr>
              <w:t>Izvor 5. POMOĆI</w:t>
            </w:r>
          </w:p>
        </w:tc>
        <w:tc>
          <w:tcPr>
            <w:tcW w:w="1503" w:type="dxa"/>
            <w:tcBorders>
              <w:top w:val="nil"/>
              <w:left w:val="nil"/>
              <w:bottom w:val="nil"/>
              <w:right w:val="nil"/>
            </w:tcBorders>
            <w:shd w:val="clear" w:color="auto" w:fill="auto"/>
            <w:noWrap/>
            <w:vAlign w:val="bottom"/>
            <w:hideMark/>
          </w:tcPr>
          <w:p w14:paraId="52D24C1C"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500" w:type="dxa"/>
            <w:tcBorders>
              <w:top w:val="nil"/>
              <w:left w:val="nil"/>
              <w:bottom w:val="nil"/>
              <w:right w:val="nil"/>
            </w:tcBorders>
            <w:shd w:val="clear" w:color="auto" w:fill="auto"/>
            <w:noWrap/>
            <w:vAlign w:val="bottom"/>
            <w:hideMark/>
          </w:tcPr>
          <w:p w14:paraId="68BEAD7A" w14:textId="77777777" w:rsidR="00BE6461" w:rsidRPr="00BE6461" w:rsidRDefault="00BE6461" w:rsidP="00BE6461">
            <w:pPr>
              <w:jc w:val="right"/>
              <w:rPr>
                <w:b/>
                <w:bCs/>
                <w:color w:val="333333"/>
                <w:sz w:val="20"/>
                <w:szCs w:val="20"/>
              </w:rPr>
            </w:pPr>
            <w:r w:rsidRPr="00BE6461">
              <w:rPr>
                <w:b/>
                <w:bCs/>
                <w:color w:val="333333"/>
                <w:sz w:val="20"/>
                <w:szCs w:val="20"/>
              </w:rPr>
              <w:t>1.300,00</w:t>
            </w:r>
          </w:p>
        </w:tc>
        <w:tc>
          <w:tcPr>
            <w:tcW w:w="1100" w:type="dxa"/>
            <w:tcBorders>
              <w:top w:val="nil"/>
              <w:left w:val="nil"/>
              <w:bottom w:val="nil"/>
              <w:right w:val="nil"/>
            </w:tcBorders>
            <w:shd w:val="clear" w:color="auto" w:fill="auto"/>
            <w:noWrap/>
            <w:vAlign w:val="bottom"/>
            <w:hideMark/>
          </w:tcPr>
          <w:p w14:paraId="76122351"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38A6E0C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464BA9C" w14:textId="77777777" w:rsidR="00BE6461" w:rsidRPr="00BE6461" w:rsidRDefault="00BE6461" w:rsidP="00BE6461">
            <w:pPr>
              <w:rPr>
                <w:b/>
                <w:bCs/>
                <w:color w:val="333333"/>
                <w:sz w:val="20"/>
                <w:szCs w:val="20"/>
              </w:rPr>
            </w:pPr>
            <w:r w:rsidRPr="00BE6461">
              <w:rPr>
                <w:b/>
                <w:bCs/>
                <w:color w:val="333333"/>
                <w:sz w:val="20"/>
                <w:szCs w:val="20"/>
              </w:rPr>
              <w:t>Izvor 5.2. POMOĆI - PRORAČUNSKI KORISNICI (GRAD)</w:t>
            </w:r>
          </w:p>
        </w:tc>
        <w:tc>
          <w:tcPr>
            <w:tcW w:w="1503" w:type="dxa"/>
            <w:tcBorders>
              <w:top w:val="nil"/>
              <w:left w:val="nil"/>
              <w:bottom w:val="nil"/>
              <w:right w:val="nil"/>
            </w:tcBorders>
            <w:shd w:val="clear" w:color="auto" w:fill="auto"/>
            <w:noWrap/>
            <w:vAlign w:val="bottom"/>
            <w:hideMark/>
          </w:tcPr>
          <w:p w14:paraId="0757D7D4"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500" w:type="dxa"/>
            <w:tcBorders>
              <w:top w:val="nil"/>
              <w:left w:val="nil"/>
              <w:bottom w:val="nil"/>
              <w:right w:val="nil"/>
            </w:tcBorders>
            <w:shd w:val="clear" w:color="auto" w:fill="auto"/>
            <w:noWrap/>
            <w:vAlign w:val="bottom"/>
            <w:hideMark/>
          </w:tcPr>
          <w:p w14:paraId="4FFF9BBC" w14:textId="77777777" w:rsidR="00BE6461" w:rsidRPr="00BE6461" w:rsidRDefault="00BE6461" w:rsidP="00BE6461">
            <w:pPr>
              <w:jc w:val="right"/>
              <w:rPr>
                <w:b/>
                <w:bCs/>
                <w:color w:val="333333"/>
                <w:sz w:val="20"/>
                <w:szCs w:val="20"/>
              </w:rPr>
            </w:pPr>
            <w:r w:rsidRPr="00BE6461">
              <w:rPr>
                <w:b/>
                <w:bCs/>
                <w:color w:val="333333"/>
                <w:sz w:val="20"/>
                <w:szCs w:val="20"/>
              </w:rPr>
              <w:t>1.300,00</w:t>
            </w:r>
          </w:p>
        </w:tc>
        <w:tc>
          <w:tcPr>
            <w:tcW w:w="1100" w:type="dxa"/>
            <w:tcBorders>
              <w:top w:val="nil"/>
              <w:left w:val="nil"/>
              <w:bottom w:val="nil"/>
              <w:right w:val="nil"/>
            </w:tcBorders>
            <w:shd w:val="clear" w:color="auto" w:fill="auto"/>
            <w:noWrap/>
            <w:vAlign w:val="bottom"/>
            <w:hideMark/>
          </w:tcPr>
          <w:p w14:paraId="1C064C39"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663DE4A1" w14:textId="77777777" w:rsidTr="00BE6461">
        <w:trPr>
          <w:trHeight w:val="300"/>
        </w:trPr>
        <w:tc>
          <w:tcPr>
            <w:tcW w:w="1703" w:type="dxa"/>
            <w:tcBorders>
              <w:top w:val="nil"/>
              <w:left w:val="nil"/>
              <w:bottom w:val="nil"/>
              <w:right w:val="nil"/>
            </w:tcBorders>
            <w:shd w:val="clear" w:color="auto" w:fill="auto"/>
            <w:noWrap/>
            <w:vAlign w:val="bottom"/>
            <w:hideMark/>
          </w:tcPr>
          <w:p w14:paraId="750A035D"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1C2FF528"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76DCC86F" w14:textId="77777777" w:rsidR="00BE6461" w:rsidRPr="00BE6461" w:rsidRDefault="00BE6461" w:rsidP="00BE6461">
            <w:pPr>
              <w:jc w:val="right"/>
              <w:rPr>
                <w:b/>
                <w:bCs/>
                <w:sz w:val="20"/>
                <w:szCs w:val="20"/>
              </w:rPr>
            </w:pPr>
            <w:r w:rsidRPr="00BE6461">
              <w:rPr>
                <w:b/>
                <w:bCs/>
                <w:sz w:val="20"/>
                <w:szCs w:val="20"/>
              </w:rPr>
              <w:t>0,00</w:t>
            </w:r>
          </w:p>
        </w:tc>
        <w:tc>
          <w:tcPr>
            <w:tcW w:w="1500" w:type="dxa"/>
            <w:tcBorders>
              <w:top w:val="nil"/>
              <w:left w:val="nil"/>
              <w:bottom w:val="nil"/>
              <w:right w:val="nil"/>
            </w:tcBorders>
            <w:shd w:val="clear" w:color="auto" w:fill="auto"/>
            <w:noWrap/>
            <w:vAlign w:val="bottom"/>
            <w:hideMark/>
          </w:tcPr>
          <w:p w14:paraId="0F02406A" w14:textId="77777777" w:rsidR="00BE6461" w:rsidRPr="00BE6461" w:rsidRDefault="00BE6461" w:rsidP="00BE6461">
            <w:pPr>
              <w:jc w:val="right"/>
              <w:rPr>
                <w:b/>
                <w:bCs/>
                <w:sz w:val="20"/>
                <w:szCs w:val="20"/>
              </w:rPr>
            </w:pPr>
            <w:r w:rsidRPr="00BE6461">
              <w:rPr>
                <w:b/>
                <w:bCs/>
                <w:sz w:val="20"/>
                <w:szCs w:val="20"/>
              </w:rPr>
              <w:t>1.300,00</w:t>
            </w:r>
          </w:p>
        </w:tc>
        <w:tc>
          <w:tcPr>
            <w:tcW w:w="1100" w:type="dxa"/>
            <w:tcBorders>
              <w:top w:val="nil"/>
              <w:left w:val="nil"/>
              <w:bottom w:val="nil"/>
              <w:right w:val="nil"/>
            </w:tcBorders>
            <w:shd w:val="clear" w:color="auto" w:fill="auto"/>
            <w:noWrap/>
            <w:vAlign w:val="bottom"/>
            <w:hideMark/>
          </w:tcPr>
          <w:p w14:paraId="646DE02C"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364F5C9F" w14:textId="77777777" w:rsidTr="00BE6461">
        <w:trPr>
          <w:trHeight w:val="300"/>
        </w:trPr>
        <w:tc>
          <w:tcPr>
            <w:tcW w:w="1703" w:type="dxa"/>
            <w:tcBorders>
              <w:top w:val="nil"/>
              <w:left w:val="nil"/>
              <w:bottom w:val="nil"/>
              <w:right w:val="nil"/>
            </w:tcBorders>
            <w:shd w:val="clear" w:color="auto" w:fill="auto"/>
            <w:noWrap/>
            <w:vAlign w:val="bottom"/>
            <w:hideMark/>
          </w:tcPr>
          <w:p w14:paraId="6F78DCDC" w14:textId="77777777" w:rsidR="00BE6461" w:rsidRPr="00BE6461" w:rsidRDefault="00BE6461" w:rsidP="00BE6461">
            <w:pPr>
              <w:rPr>
                <w:sz w:val="20"/>
                <w:szCs w:val="20"/>
              </w:rPr>
            </w:pPr>
            <w:r w:rsidRPr="00BE6461">
              <w:rPr>
                <w:sz w:val="20"/>
                <w:szCs w:val="20"/>
              </w:rPr>
              <w:t>3299</w:t>
            </w:r>
          </w:p>
        </w:tc>
        <w:tc>
          <w:tcPr>
            <w:tcW w:w="8457" w:type="dxa"/>
            <w:tcBorders>
              <w:top w:val="nil"/>
              <w:left w:val="nil"/>
              <w:bottom w:val="nil"/>
              <w:right w:val="nil"/>
            </w:tcBorders>
            <w:shd w:val="clear" w:color="auto" w:fill="auto"/>
            <w:vAlign w:val="bottom"/>
            <w:hideMark/>
          </w:tcPr>
          <w:p w14:paraId="0ABDE51A" w14:textId="77777777" w:rsidR="00BE6461" w:rsidRPr="00BE6461" w:rsidRDefault="00BE6461" w:rsidP="00BE6461">
            <w:pPr>
              <w:rPr>
                <w:sz w:val="20"/>
                <w:szCs w:val="20"/>
              </w:rPr>
            </w:pPr>
            <w:r w:rsidRPr="00BE6461">
              <w:rPr>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320ACF9E"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3CBAA93" w14:textId="77777777" w:rsidR="00BE6461" w:rsidRPr="00BE6461" w:rsidRDefault="00BE6461" w:rsidP="00BE6461">
            <w:pPr>
              <w:jc w:val="right"/>
              <w:rPr>
                <w:sz w:val="20"/>
                <w:szCs w:val="20"/>
              </w:rPr>
            </w:pPr>
            <w:r w:rsidRPr="00BE6461">
              <w:rPr>
                <w:sz w:val="20"/>
                <w:szCs w:val="20"/>
              </w:rPr>
              <w:t>1.300,00</w:t>
            </w:r>
          </w:p>
        </w:tc>
        <w:tc>
          <w:tcPr>
            <w:tcW w:w="1100" w:type="dxa"/>
            <w:tcBorders>
              <w:top w:val="nil"/>
              <w:left w:val="nil"/>
              <w:bottom w:val="nil"/>
              <w:right w:val="nil"/>
            </w:tcBorders>
            <w:shd w:val="clear" w:color="auto" w:fill="auto"/>
            <w:noWrap/>
            <w:vAlign w:val="bottom"/>
            <w:hideMark/>
          </w:tcPr>
          <w:p w14:paraId="175BC2DD" w14:textId="77777777" w:rsidR="00BE6461" w:rsidRPr="00BE6461" w:rsidRDefault="00BE6461" w:rsidP="00BE6461">
            <w:pPr>
              <w:jc w:val="right"/>
              <w:rPr>
                <w:sz w:val="20"/>
                <w:szCs w:val="20"/>
              </w:rPr>
            </w:pPr>
          </w:p>
        </w:tc>
      </w:tr>
      <w:tr w:rsidR="00BE6461" w:rsidRPr="00BE6461" w14:paraId="54ABC10A"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1DA10C6A" w14:textId="77777777" w:rsidR="00BE6461" w:rsidRPr="00BE6461" w:rsidRDefault="00BE6461" w:rsidP="00BE6461">
            <w:pPr>
              <w:rPr>
                <w:b/>
                <w:bCs/>
                <w:sz w:val="20"/>
                <w:szCs w:val="20"/>
              </w:rPr>
            </w:pPr>
            <w:r w:rsidRPr="00BE6461">
              <w:rPr>
                <w:b/>
                <w:bCs/>
                <w:sz w:val="20"/>
                <w:szCs w:val="20"/>
              </w:rPr>
              <w:t>A100091</w:t>
            </w:r>
          </w:p>
        </w:tc>
        <w:tc>
          <w:tcPr>
            <w:tcW w:w="8457" w:type="dxa"/>
            <w:tcBorders>
              <w:top w:val="single" w:sz="4" w:space="0" w:color="auto"/>
              <w:left w:val="nil"/>
              <w:bottom w:val="single" w:sz="4" w:space="0" w:color="auto"/>
              <w:right w:val="nil"/>
            </w:tcBorders>
            <w:shd w:val="clear" w:color="auto" w:fill="auto"/>
            <w:vAlign w:val="bottom"/>
            <w:hideMark/>
          </w:tcPr>
          <w:p w14:paraId="46661161" w14:textId="77777777" w:rsidR="00BE6461" w:rsidRPr="00BE6461" w:rsidRDefault="00BE6461" w:rsidP="00BE6461">
            <w:pPr>
              <w:rPr>
                <w:b/>
                <w:bCs/>
                <w:sz w:val="20"/>
                <w:szCs w:val="20"/>
              </w:rPr>
            </w:pPr>
            <w:r w:rsidRPr="00BE6461">
              <w:rPr>
                <w:b/>
                <w:bCs/>
                <w:sz w:val="20"/>
                <w:szCs w:val="20"/>
              </w:rPr>
              <w:t>Aktivnost: RAD S DJECOM U GRUPAMA</w:t>
            </w:r>
          </w:p>
        </w:tc>
        <w:tc>
          <w:tcPr>
            <w:tcW w:w="1503" w:type="dxa"/>
            <w:tcBorders>
              <w:top w:val="single" w:sz="4" w:space="0" w:color="auto"/>
              <w:left w:val="nil"/>
              <w:bottom w:val="single" w:sz="4" w:space="0" w:color="auto"/>
              <w:right w:val="nil"/>
            </w:tcBorders>
            <w:shd w:val="clear" w:color="auto" w:fill="auto"/>
            <w:noWrap/>
            <w:vAlign w:val="bottom"/>
            <w:hideMark/>
          </w:tcPr>
          <w:p w14:paraId="54B58C08" w14:textId="77777777" w:rsidR="00BE6461" w:rsidRPr="00BE6461" w:rsidRDefault="00BE6461" w:rsidP="00BE6461">
            <w:pPr>
              <w:jc w:val="right"/>
              <w:rPr>
                <w:b/>
                <w:bCs/>
                <w:sz w:val="20"/>
                <w:szCs w:val="20"/>
              </w:rPr>
            </w:pPr>
            <w:r w:rsidRPr="00BE6461">
              <w:rPr>
                <w:b/>
                <w:bCs/>
                <w:sz w:val="20"/>
                <w:szCs w:val="20"/>
              </w:rPr>
              <w:t>7.767,25</w:t>
            </w:r>
          </w:p>
        </w:tc>
        <w:tc>
          <w:tcPr>
            <w:tcW w:w="1500" w:type="dxa"/>
            <w:tcBorders>
              <w:top w:val="single" w:sz="4" w:space="0" w:color="auto"/>
              <w:left w:val="nil"/>
              <w:bottom w:val="single" w:sz="4" w:space="0" w:color="auto"/>
              <w:right w:val="nil"/>
            </w:tcBorders>
            <w:shd w:val="clear" w:color="auto" w:fill="auto"/>
            <w:noWrap/>
            <w:vAlign w:val="bottom"/>
            <w:hideMark/>
          </w:tcPr>
          <w:p w14:paraId="53C9E7EC" w14:textId="77777777" w:rsidR="00BE6461" w:rsidRPr="00BE6461" w:rsidRDefault="00BE6461" w:rsidP="00BE6461">
            <w:pPr>
              <w:jc w:val="right"/>
              <w:rPr>
                <w:b/>
                <w:bCs/>
                <w:sz w:val="20"/>
                <w:szCs w:val="20"/>
              </w:rPr>
            </w:pPr>
            <w:r w:rsidRPr="00BE6461">
              <w:rPr>
                <w:b/>
                <w:bCs/>
                <w:sz w:val="20"/>
                <w:szCs w:val="20"/>
              </w:rPr>
              <w:t>27.154,93</w:t>
            </w:r>
          </w:p>
        </w:tc>
        <w:tc>
          <w:tcPr>
            <w:tcW w:w="1100" w:type="dxa"/>
            <w:tcBorders>
              <w:top w:val="single" w:sz="4" w:space="0" w:color="auto"/>
              <w:left w:val="nil"/>
              <w:bottom w:val="single" w:sz="4" w:space="0" w:color="auto"/>
              <w:right w:val="nil"/>
            </w:tcBorders>
            <w:shd w:val="clear" w:color="auto" w:fill="auto"/>
            <w:noWrap/>
            <w:vAlign w:val="bottom"/>
            <w:hideMark/>
          </w:tcPr>
          <w:p w14:paraId="03D31A7C" w14:textId="77777777" w:rsidR="00BE6461" w:rsidRPr="00BE6461" w:rsidRDefault="00BE6461" w:rsidP="00BE6461">
            <w:pPr>
              <w:jc w:val="right"/>
              <w:rPr>
                <w:b/>
                <w:bCs/>
                <w:sz w:val="20"/>
                <w:szCs w:val="20"/>
              </w:rPr>
            </w:pPr>
            <w:r w:rsidRPr="00BE6461">
              <w:rPr>
                <w:b/>
                <w:bCs/>
                <w:sz w:val="20"/>
                <w:szCs w:val="20"/>
              </w:rPr>
              <w:t>349,61</w:t>
            </w:r>
          </w:p>
        </w:tc>
      </w:tr>
      <w:tr w:rsidR="00BE6461" w:rsidRPr="00BE6461" w14:paraId="4526C7E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C198D19"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5B46EA92" w14:textId="77777777" w:rsidR="00BE6461" w:rsidRPr="00BE6461" w:rsidRDefault="00BE6461" w:rsidP="00BE6461">
            <w:pPr>
              <w:jc w:val="right"/>
              <w:rPr>
                <w:b/>
                <w:bCs/>
                <w:color w:val="333333"/>
                <w:sz w:val="20"/>
                <w:szCs w:val="20"/>
              </w:rPr>
            </w:pPr>
            <w:r w:rsidRPr="00BE6461">
              <w:rPr>
                <w:b/>
                <w:bCs/>
                <w:color w:val="333333"/>
                <w:sz w:val="20"/>
                <w:szCs w:val="20"/>
              </w:rPr>
              <w:t>4.000,00</w:t>
            </w:r>
          </w:p>
        </w:tc>
        <w:tc>
          <w:tcPr>
            <w:tcW w:w="1500" w:type="dxa"/>
            <w:tcBorders>
              <w:top w:val="nil"/>
              <w:left w:val="nil"/>
              <w:bottom w:val="nil"/>
              <w:right w:val="nil"/>
            </w:tcBorders>
            <w:shd w:val="clear" w:color="auto" w:fill="auto"/>
            <w:noWrap/>
            <w:vAlign w:val="bottom"/>
            <w:hideMark/>
          </w:tcPr>
          <w:p w14:paraId="4AA1D1DC" w14:textId="77777777" w:rsidR="00BE6461" w:rsidRPr="00BE6461" w:rsidRDefault="00BE6461" w:rsidP="00BE6461">
            <w:pPr>
              <w:jc w:val="right"/>
              <w:rPr>
                <w:b/>
                <w:bCs/>
                <w:color w:val="333333"/>
                <w:sz w:val="20"/>
                <w:szCs w:val="20"/>
              </w:rPr>
            </w:pPr>
            <w:r w:rsidRPr="00BE6461">
              <w:rPr>
                <w:b/>
                <w:bCs/>
                <w:color w:val="333333"/>
                <w:sz w:val="20"/>
                <w:szCs w:val="20"/>
              </w:rPr>
              <w:t>597,08</w:t>
            </w:r>
          </w:p>
        </w:tc>
        <w:tc>
          <w:tcPr>
            <w:tcW w:w="1100" w:type="dxa"/>
            <w:tcBorders>
              <w:top w:val="nil"/>
              <w:left w:val="nil"/>
              <w:bottom w:val="nil"/>
              <w:right w:val="nil"/>
            </w:tcBorders>
            <w:shd w:val="clear" w:color="auto" w:fill="auto"/>
            <w:noWrap/>
            <w:vAlign w:val="bottom"/>
            <w:hideMark/>
          </w:tcPr>
          <w:p w14:paraId="3CFCB133" w14:textId="77777777" w:rsidR="00BE6461" w:rsidRPr="00BE6461" w:rsidRDefault="00BE6461" w:rsidP="00BE6461">
            <w:pPr>
              <w:jc w:val="right"/>
              <w:rPr>
                <w:b/>
                <w:bCs/>
                <w:color w:val="333333"/>
                <w:sz w:val="20"/>
                <w:szCs w:val="20"/>
              </w:rPr>
            </w:pPr>
            <w:r w:rsidRPr="00BE6461">
              <w:rPr>
                <w:b/>
                <w:bCs/>
                <w:color w:val="333333"/>
                <w:sz w:val="20"/>
                <w:szCs w:val="20"/>
              </w:rPr>
              <w:t>14,93</w:t>
            </w:r>
          </w:p>
        </w:tc>
      </w:tr>
      <w:tr w:rsidR="00BE6461" w:rsidRPr="00BE6461" w14:paraId="6369A75F"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BD06CC4" w14:textId="77777777" w:rsidR="00BE6461" w:rsidRPr="00BE6461" w:rsidRDefault="00BE6461" w:rsidP="00BE6461">
            <w:pPr>
              <w:rPr>
                <w:b/>
                <w:bCs/>
                <w:color w:val="333333"/>
                <w:sz w:val="20"/>
                <w:szCs w:val="20"/>
              </w:rPr>
            </w:pPr>
            <w:r w:rsidRPr="00BE6461">
              <w:rPr>
                <w:b/>
                <w:bCs/>
                <w:color w:val="333333"/>
                <w:sz w:val="20"/>
                <w:szCs w:val="20"/>
              </w:rPr>
              <w:t>Izvor 4.7. PRIHODI POSEBNE NAMJENE - PRORAČUNSKI KORISNICI</w:t>
            </w:r>
          </w:p>
        </w:tc>
        <w:tc>
          <w:tcPr>
            <w:tcW w:w="1503" w:type="dxa"/>
            <w:tcBorders>
              <w:top w:val="nil"/>
              <w:left w:val="nil"/>
              <w:bottom w:val="nil"/>
              <w:right w:val="nil"/>
            </w:tcBorders>
            <w:shd w:val="clear" w:color="auto" w:fill="auto"/>
            <w:noWrap/>
            <w:vAlign w:val="bottom"/>
            <w:hideMark/>
          </w:tcPr>
          <w:p w14:paraId="05E998B6" w14:textId="77777777" w:rsidR="00BE6461" w:rsidRPr="00BE6461" w:rsidRDefault="00BE6461" w:rsidP="00BE6461">
            <w:pPr>
              <w:jc w:val="right"/>
              <w:rPr>
                <w:b/>
                <w:bCs/>
                <w:color w:val="333333"/>
                <w:sz w:val="20"/>
                <w:szCs w:val="20"/>
              </w:rPr>
            </w:pPr>
            <w:r w:rsidRPr="00BE6461">
              <w:rPr>
                <w:b/>
                <w:bCs/>
                <w:color w:val="333333"/>
                <w:sz w:val="20"/>
                <w:szCs w:val="20"/>
              </w:rPr>
              <w:t>4.000,00</w:t>
            </w:r>
          </w:p>
        </w:tc>
        <w:tc>
          <w:tcPr>
            <w:tcW w:w="1500" w:type="dxa"/>
            <w:tcBorders>
              <w:top w:val="nil"/>
              <w:left w:val="nil"/>
              <w:bottom w:val="nil"/>
              <w:right w:val="nil"/>
            </w:tcBorders>
            <w:shd w:val="clear" w:color="auto" w:fill="auto"/>
            <w:noWrap/>
            <w:vAlign w:val="bottom"/>
            <w:hideMark/>
          </w:tcPr>
          <w:p w14:paraId="6D943B2E" w14:textId="77777777" w:rsidR="00BE6461" w:rsidRPr="00BE6461" w:rsidRDefault="00BE6461" w:rsidP="00BE6461">
            <w:pPr>
              <w:jc w:val="right"/>
              <w:rPr>
                <w:b/>
                <w:bCs/>
                <w:color w:val="333333"/>
                <w:sz w:val="20"/>
                <w:szCs w:val="20"/>
              </w:rPr>
            </w:pPr>
            <w:r w:rsidRPr="00BE6461">
              <w:rPr>
                <w:b/>
                <w:bCs/>
                <w:color w:val="333333"/>
                <w:sz w:val="20"/>
                <w:szCs w:val="20"/>
              </w:rPr>
              <w:t>597,08</w:t>
            </w:r>
          </w:p>
        </w:tc>
        <w:tc>
          <w:tcPr>
            <w:tcW w:w="1100" w:type="dxa"/>
            <w:tcBorders>
              <w:top w:val="nil"/>
              <w:left w:val="nil"/>
              <w:bottom w:val="nil"/>
              <w:right w:val="nil"/>
            </w:tcBorders>
            <w:shd w:val="clear" w:color="auto" w:fill="auto"/>
            <w:noWrap/>
            <w:vAlign w:val="bottom"/>
            <w:hideMark/>
          </w:tcPr>
          <w:p w14:paraId="6AAF5556" w14:textId="77777777" w:rsidR="00BE6461" w:rsidRPr="00BE6461" w:rsidRDefault="00BE6461" w:rsidP="00BE6461">
            <w:pPr>
              <w:jc w:val="right"/>
              <w:rPr>
                <w:b/>
                <w:bCs/>
                <w:color w:val="333333"/>
                <w:sz w:val="20"/>
                <w:szCs w:val="20"/>
              </w:rPr>
            </w:pPr>
            <w:r w:rsidRPr="00BE6461">
              <w:rPr>
                <w:b/>
                <w:bCs/>
                <w:color w:val="333333"/>
                <w:sz w:val="20"/>
                <w:szCs w:val="20"/>
              </w:rPr>
              <w:t>14,93</w:t>
            </w:r>
          </w:p>
        </w:tc>
      </w:tr>
      <w:tr w:rsidR="00BE6461" w:rsidRPr="00BE6461" w14:paraId="2C8A9B73" w14:textId="77777777" w:rsidTr="00BE6461">
        <w:trPr>
          <w:trHeight w:val="300"/>
        </w:trPr>
        <w:tc>
          <w:tcPr>
            <w:tcW w:w="1703" w:type="dxa"/>
            <w:tcBorders>
              <w:top w:val="nil"/>
              <w:left w:val="nil"/>
              <w:bottom w:val="nil"/>
              <w:right w:val="nil"/>
            </w:tcBorders>
            <w:shd w:val="clear" w:color="auto" w:fill="auto"/>
            <w:noWrap/>
            <w:vAlign w:val="bottom"/>
            <w:hideMark/>
          </w:tcPr>
          <w:p w14:paraId="6746CD43"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223D76CE"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2B039328" w14:textId="77777777" w:rsidR="00BE6461" w:rsidRPr="00BE6461" w:rsidRDefault="00BE6461" w:rsidP="00BE6461">
            <w:pPr>
              <w:jc w:val="right"/>
              <w:rPr>
                <w:b/>
                <w:bCs/>
                <w:sz w:val="20"/>
                <w:szCs w:val="20"/>
              </w:rPr>
            </w:pPr>
            <w:r w:rsidRPr="00BE6461">
              <w:rPr>
                <w:b/>
                <w:bCs/>
                <w:sz w:val="20"/>
                <w:szCs w:val="20"/>
              </w:rPr>
              <w:t>4.000,00</w:t>
            </w:r>
          </w:p>
        </w:tc>
        <w:tc>
          <w:tcPr>
            <w:tcW w:w="1500" w:type="dxa"/>
            <w:tcBorders>
              <w:top w:val="nil"/>
              <w:left w:val="nil"/>
              <w:bottom w:val="nil"/>
              <w:right w:val="nil"/>
            </w:tcBorders>
            <w:shd w:val="clear" w:color="auto" w:fill="auto"/>
            <w:noWrap/>
            <w:vAlign w:val="bottom"/>
            <w:hideMark/>
          </w:tcPr>
          <w:p w14:paraId="43312299" w14:textId="77777777" w:rsidR="00BE6461" w:rsidRPr="00BE6461" w:rsidRDefault="00BE6461" w:rsidP="00BE6461">
            <w:pPr>
              <w:jc w:val="right"/>
              <w:rPr>
                <w:b/>
                <w:bCs/>
                <w:sz w:val="20"/>
                <w:szCs w:val="20"/>
              </w:rPr>
            </w:pPr>
            <w:r w:rsidRPr="00BE6461">
              <w:rPr>
                <w:b/>
                <w:bCs/>
                <w:sz w:val="20"/>
                <w:szCs w:val="20"/>
              </w:rPr>
              <w:t>597,08</w:t>
            </w:r>
          </w:p>
        </w:tc>
        <w:tc>
          <w:tcPr>
            <w:tcW w:w="1100" w:type="dxa"/>
            <w:tcBorders>
              <w:top w:val="nil"/>
              <w:left w:val="nil"/>
              <w:bottom w:val="nil"/>
              <w:right w:val="nil"/>
            </w:tcBorders>
            <w:shd w:val="clear" w:color="auto" w:fill="auto"/>
            <w:noWrap/>
            <w:vAlign w:val="bottom"/>
            <w:hideMark/>
          </w:tcPr>
          <w:p w14:paraId="4F0922D8" w14:textId="77777777" w:rsidR="00BE6461" w:rsidRPr="00BE6461" w:rsidRDefault="00BE6461" w:rsidP="00BE6461">
            <w:pPr>
              <w:jc w:val="right"/>
              <w:rPr>
                <w:b/>
                <w:bCs/>
                <w:sz w:val="20"/>
                <w:szCs w:val="20"/>
              </w:rPr>
            </w:pPr>
            <w:r w:rsidRPr="00BE6461">
              <w:rPr>
                <w:b/>
                <w:bCs/>
                <w:sz w:val="20"/>
                <w:szCs w:val="20"/>
              </w:rPr>
              <w:t>14,93</w:t>
            </w:r>
          </w:p>
        </w:tc>
      </w:tr>
      <w:tr w:rsidR="00BE6461" w:rsidRPr="00BE6461" w14:paraId="3B2A14CE" w14:textId="77777777" w:rsidTr="00BE6461">
        <w:trPr>
          <w:trHeight w:val="300"/>
        </w:trPr>
        <w:tc>
          <w:tcPr>
            <w:tcW w:w="1703" w:type="dxa"/>
            <w:tcBorders>
              <w:top w:val="nil"/>
              <w:left w:val="nil"/>
              <w:bottom w:val="nil"/>
              <w:right w:val="nil"/>
            </w:tcBorders>
            <w:shd w:val="clear" w:color="auto" w:fill="auto"/>
            <w:noWrap/>
            <w:vAlign w:val="bottom"/>
            <w:hideMark/>
          </w:tcPr>
          <w:p w14:paraId="5C7A6298" w14:textId="77777777" w:rsidR="00BE6461" w:rsidRPr="00BE6461" w:rsidRDefault="00BE6461" w:rsidP="00BE6461">
            <w:pPr>
              <w:rPr>
                <w:sz w:val="20"/>
                <w:szCs w:val="20"/>
              </w:rPr>
            </w:pPr>
            <w:r w:rsidRPr="00BE6461">
              <w:rPr>
                <w:sz w:val="20"/>
                <w:szCs w:val="20"/>
              </w:rPr>
              <w:t>3221</w:t>
            </w:r>
          </w:p>
        </w:tc>
        <w:tc>
          <w:tcPr>
            <w:tcW w:w="8457" w:type="dxa"/>
            <w:tcBorders>
              <w:top w:val="nil"/>
              <w:left w:val="nil"/>
              <w:bottom w:val="nil"/>
              <w:right w:val="nil"/>
            </w:tcBorders>
            <w:shd w:val="clear" w:color="auto" w:fill="auto"/>
            <w:vAlign w:val="bottom"/>
            <w:hideMark/>
          </w:tcPr>
          <w:p w14:paraId="5E253690" w14:textId="77777777" w:rsidR="00BE6461" w:rsidRPr="00BE6461" w:rsidRDefault="00BE6461" w:rsidP="00BE6461">
            <w:pPr>
              <w:rPr>
                <w:sz w:val="20"/>
                <w:szCs w:val="20"/>
              </w:rPr>
            </w:pPr>
            <w:r w:rsidRPr="00BE6461">
              <w:rPr>
                <w:sz w:val="20"/>
                <w:szCs w:val="20"/>
              </w:rPr>
              <w:t xml:space="preserve">Uredski materijal i ostali materijalni rashodi                                                      </w:t>
            </w:r>
          </w:p>
        </w:tc>
        <w:tc>
          <w:tcPr>
            <w:tcW w:w="1503" w:type="dxa"/>
            <w:tcBorders>
              <w:top w:val="nil"/>
              <w:left w:val="nil"/>
              <w:bottom w:val="nil"/>
              <w:right w:val="nil"/>
            </w:tcBorders>
            <w:shd w:val="clear" w:color="auto" w:fill="auto"/>
            <w:noWrap/>
            <w:vAlign w:val="bottom"/>
            <w:hideMark/>
          </w:tcPr>
          <w:p w14:paraId="54AB07E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05A2D36" w14:textId="77777777" w:rsidR="00BE6461" w:rsidRPr="00BE6461" w:rsidRDefault="00BE6461" w:rsidP="00BE6461">
            <w:pPr>
              <w:jc w:val="right"/>
              <w:rPr>
                <w:sz w:val="20"/>
                <w:szCs w:val="20"/>
              </w:rPr>
            </w:pPr>
            <w:r w:rsidRPr="00BE6461">
              <w:rPr>
                <w:sz w:val="20"/>
                <w:szCs w:val="20"/>
              </w:rPr>
              <w:t>597,08</w:t>
            </w:r>
          </w:p>
        </w:tc>
        <w:tc>
          <w:tcPr>
            <w:tcW w:w="1100" w:type="dxa"/>
            <w:tcBorders>
              <w:top w:val="nil"/>
              <w:left w:val="nil"/>
              <w:bottom w:val="nil"/>
              <w:right w:val="nil"/>
            </w:tcBorders>
            <w:shd w:val="clear" w:color="auto" w:fill="auto"/>
            <w:noWrap/>
            <w:vAlign w:val="bottom"/>
            <w:hideMark/>
          </w:tcPr>
          <w:p w14:paraId="5E854EBA" w14:textId="77777777" w:rsidR="00BE6461" w:rsidRPr="00BE6461" w:rsidRDefault="00BE6461" w:rsidP="00BE6461">
            <w:pPr>
              <w:jc w:val="right"/>
              <w:rPr>
                <w:sz w:val="20"/>
                <w:szCs w:val="20"/>
              </w:rPr>
            </w:pPr>
          </w:p>
        </w:tc>
      </w:tr>
      <w:tr w:rsidR="00BE6461" w:rsidRPr="00BE6461" w14:paraId="05BE267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86CF781" w14:textId="77777777" w:rsidR="00BE6461" w:rsidRPr="00BE6461" w:rsidRDefault="00BE6461" w:rsidP="00BE6461">
            <w:pPr>
              <w:rPr>
                <w:b/>
                <w:bCs/>
                <w:color w:val="333333"/>
                <w:sz w:val="20"/>
                <w:szCs w:val="20"/>
              </w:rPr>
            </w:pPr>
            <w:r w:rsidRPr="00BE6461">
              <w:rPr>
                <w:b/>
                <w:bCs/>
                <w:color w:val="333333"/>
                <w:sz w:val="20"/>
                <w:szCs w:val="20"/>
              </w:rPr>
              <w:t>Izvor 5. POMOĆI</w:t>
            </w:r>
          </w:p>
        </w:tc>
        <w:tc>
          <w:tcPr>
            <w:tcW w:w="1503" w:type="dxa"/>
            <w:tcBorders>
              <w:top w:val="nil"/>
              <w:left w:val="nil"/>
              <w:bottom w:val="nil"/>
              <w:right w:val="nil"/>
            </w:tcBorders>
            <w:shd w:val="clear" w:color="auto" w:fill="auto"/>
            <w:noWrap/>
            <w:vAlign w:val="bottom"/>
            <w:hideMark/>
          </w:tcPr>
          <w:p w14:paraId="675FF371" w14:textId="77777777" w:rsidR="00BE6461" w:rsidRPr="00BE6461" w:rsidRDefault="00BE6461" w:rsidP="00BE6461">
            <w:pPr>
              <w:jc w:val="right"/>
              <w:rPr>
                <w:b/>
                <w:bCs/>
                <w:color w:val="333333"/>
                <w:sz w:val="20"/>
                <w:szCs w:val="20"/>
              </w:rPr>
            </w:pPr>
            <w:r w:rsidRPr="00BE6461">
              <w:rPr>
                <w:b/>
                <w:bCs/>
                <w:color w:val="333333"/>
                <w:sz w:val="20"/>
                <w:szCs w:val="20"/>
              </w:rPr>
              <w:t>3.767,25</w:t>
            </w:r>
          </w:p>
        </w:tc>
        <w:tc>
          <w:tcPr>
            <w:tcW w:w="1500" w:type="dxa"/>
            <w:tcBorders>
              <w:top w:val="nil"/>
              <w:left w:val="nil"/>
              <w:bottom w:val="nil"/>
              <w:right w:val="nil"/>
            </w:tcBorders>
            <w:shd w:val="clear" w:color="auto" w:fill="auto"/>
            <w:noWrap/>
            <w:vAlign w:val="bottom"/>
            <w:hideMark/>
          </w:tcPr>
          <w:p w14:paraId="670B1F3F" w14:textId="77777777" w:rsidR="00BE6461" w:rsidRPr="00BE6461" w:rsidRDefault="00BE6461" w:rsidP="00BE6461">
            <w:pPr>
              <w:jc w:val="right"/>
              <w:rPr>
                <w:b/>
                <w:bCs/>
                <w:color w:val="333333"/>
                <w:sz w:val="20"/>
                <w:szCs w:val="20"/>
              </w:rPr>
            </w:pPr>
            <w:r w:rsidRPr="00BE6461">
              <w:rPr>
                <w:b/>
                <w:bCs/>
                <w:color w:val="333333"/>
                <w:sz w:val="20"/>
                <w:szCs w:val="20"/>
              </w:rPr>
              <w:t>26.557,85</w:t>
            </w:r>
          </w:p>
        </w:tc>
        <w:tc>
          <w:tcPr>
            <w:tcW w:w="1100" w:type="dxa"/>
            <w:tcBorders>
              <w:top w:val="nil"/>
              <w:left w:val="nil"/>
              <w:bottom w:val="nil"/>
              <w:right w:val="nil"/>
            </w:tcBorders>
            <w:shd w:val="clear" w:color="auto" w:fill="auto"/>
            <w:noWrap/>
            <w:vAlign w:val="bottom"/>
            <w:hideMark/>
          </w:tcPr>
          <w:p w14:paraId="30BAB4FD" w14:textId="77777777" w:rsidR="00BE6461" w:rsidRPr="00BE6461" w:rsidRDefault="00BE6461" w:rsidP="00BE6461">
            <w:pPr>
              <w:jc w:val="right"/>
              <w:rPr>
                <w:b/>
                <w:bCs/>
                <w:color w:val="333333"/>
                <w:sz w:val="20"/>
                <w:szCs w:val="20"/>
              </w:rPr>
            </w:pPr>
            <w:r w:rsidRPr="00BE6461">
              <w:rPr>
                <w:b/>
                <w:bCs/>
                <w:color w:val="333333"/>
                <w:sz w:val="20"/>
                <w:szCs w:val="20"/>
              </w:rPr>
              <w:t>704,97</w:t>
            </w:r>
          </w:p>
        </w:tc>
      </w:tr>
      <w:tr w:rsidR="00BE6461" w:rsidRPr="00BE6461" w14:paraId="494D5058"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AD6E49E" w14:textId="77777777" w:rsidR="00BE6461" w:rsidRPr="00BE6461" w:rsidRDefault="00BE6461" w:rsidP="00BE6461">
            <w:pPr>
              <w:rPr>
                <w:b/>
                <w:bCs/>
                <w:color w:val="333333"/>
                <w:sz w:val="20"/>
                <w:szCs w:val="20"/>
              </w:rPr>
            </w:pPr>
            <w:r w:rsidRPr="00BE6461">
              <w:rPr>
                <w:b/>
                <w:bCs/>
                <w:color w:val="333333"/>
                <w:sz w:val="20"/>
                <w:szCs w:val="20"/>
              </w:rPr>
              <w:t>Izvor 5.2. POMOĆI - PRORAČUNSKI KORISNICI (GRAD)</w:t>
            </w:r>
          </w:p>
        </w:tc>
        <w:tc>
          <w:tcPr>
            <w:tcW w:w="1503" w:type="dxa"/>
            <w:tcBorders>
              <w:top w:val="nil"/>
              <w:left w:val="nil"/>
              <w:bottom w:val="nil"/>
              <w:right w:val="nil"/>
            </w:tcBorders>
            <w:shd w:val="clear" w:color="auto" w:fill="auto"/>
            <w:noWrap/>
            <w:vAlign w:val="bottom"/>
            <w:hideMark/>
          </w:tcPr>
          <w:p w14:paraId="510D7A7B" w14:textId="77777777" w:rsidR="00BE6461" w:rsidRPr="00BE6461" w:rsidRDefault="00BE6461" w:rsidP="00BE6461">
            <w:pPr>
              <w:jc w:val="right"/>
              <w:rPr>
                <w:b/>
                <w:bCs/>
                <w:color w:val="333333"/>
                <w:sz w:val="20"/>
                <w:szCs w:val="20"/>
              </w:rPr>
            </w:pPr>
            <w:r w:rsidRPr="00BE6461">
              <w:rPr>
                <w:b/>
                <w:bCs/>
                <w:color w:val="333333"/>
                <w:sz w:val="20"/>
                <w:szCs w:val="20"/>
              </w:rPr>
              <w:t>3.767,25</w:t>
            </w:r>
          </w:p>
        </w:tc>
        <w:tc>
          <w:tcPr>
            <w:tcW w:w="1500" w:type="dxa"/>
            <w:tcBorders>
              <w:top w:val="nil"/>
              <w:left w:val="nil"/>
              <w:bottom w:val="nil"/>
              <w:right w:val="nil"/>
            </w:tcBorders>
            <w:shd w:val="clear" w:color="auto" w:fill="auto"/>
            <w:noWrap/>
            <w:vAlign w:val="bottom"/>
            <w:hideMark/>
          </w:tcPr>
          <w:p w14:paraId="0D20AEE8" w14:textId="77777777" w:rsidR="00BE6461" w:rsidRPr="00BE6461" w:rsidRDefault="00BE6461" w:rsidP="00BE6461">
            <w:pPr>
              <w:jc w:val="right"/>
              <w:rPr>
                <w:b/>
                <w:bCs/>
                <w:color w:val="333333"/>
                <w:sz w:val="20"/>
                <w:szCs w:val="20"/>
              </w:rPr>
            </w:pPr>
            <w:r w:rsidRPr="00BE6461">
              <w:rPr>
                <w:b/>
                <w:bCs/>
                <w:color w:val="333333"/>
                <w:sz w:val="20"/>
                <w:szCs w:val="20"/>
              </w:rPr>
              <w:t>26.557,85</w:t>
            </w:r>
          </w:p>
        </w:tc>
        <w:tc>
          <w:tcPr>
            <w:tcW w:w="1100" w:type="dxa"/>
            <w:tcBorders>
              <w:top w:val="nil"/>
              <w:left w:val="nil"/>
              <w:bottom w:val="nil"/>
              <w:right w:val="nil"/>
            </w:tcBorders>
            <w:shd w:val="clear" w:color="auto" w:fill="auto"/>
            <w:noWrap/>
            <w:vAlign w:val="bottom"/>
            <w:hideMark/>
          </w:tcPr>
          <w:p w14:paraId="39E2B52D" w14:textId="77777777" w:rsidR="00BE6461" w:rsidRPr="00BE6461" w:rsidRDefault="00BE6461" w:rsidP="00BE6461">
            <w:pPr>
              <w:jc w:val="right"/>
              <w:rPr>
                <w:b/>
                <w:bCs/>
                <w:color w:val="333333"/>
                <w:sz w:val="20"/>
                <w:szCs w:val="20"/>
              </w:rPr>
            </w:pPr>
            <w:r w:rsidRPr="00BE6461">
              <w:rPr>
                <w:b/>
                <w:bCs/>
                <w:color w:val="333333"/>
                <w:sz w:val="20"/>
                <w:szCs w:val="20"/>
              </w:rPr>
              <w:t>704,97</w:t>
            </w:r>
          </w:p>
        </w:tc>
      </w:tr>
      <w:tr w:rsidR="00BE6461" w:rsidRPr="00BE6461" w14:paraId="073A0B95" w14:textId="77777777" w:rsidTr="00BE6461">
        <w:trPr>
          <w:trHeight w:val="300"/>
        </w:trPr>
        <w:tc>
          <w:tcPr>
            <w:tcW w:w="1703" w:type="dxa"/>
            <w:tcBorders>
              <w:top w:val="nil"/>
              <w:left w:val="nil"/>
              <w:bottom w:val="nil"/>
              <w:right w:val="nil"/>
            </w:tcBorders>
            <w:shd w:val="clear" w:color="auto" w:fill="auto"/>
            <w:noWrap/>
            <w:vAlign w:val="bottom"/>
            <w:hideMark/>
          </w:tcPr>
          <w:p w14:paraId="3610275F"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24C33477"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6FC0819C" w14:textId="77777777" w:rsidR="00BE6461" w:rsidRPr="00BE6461" w:rsidRDefault="00BE6461" w:rsidP="00BE6461">
            <w:pPr>
              <w:jc w:val="right"/>
              <w:rPr>
                <w:b/>
                <w:bCs/>
                <w:sz w:val="20"/>
                <w:szCs w:val="20"/>
              </w:rPr>
            </w:pPr>
            <w:r w:rsidRPr="00BE6461">
              <w:rPr>
                <w:b/>
                <w:bCs/>
                <w:sz w:val="20"/>
                <w:szCs w:val="20"/>
              </w:rPr>
              <w:t>0,00</w:t>
            </w:r>
          </w:p>
        </w:tc>
        <w:tc>
          <w:tcPr>
            <w:tcW w:w="1500" w:type="dxa"/>
            <w:tcBorders>
              <w:top w:val="nil"/>
              <w:left w:val="nil"/>
              <w:bottom w:val="nil"/>
              <w:right w:val="nil"/>
            </w:tcBorders>
            <w:shd w:val="clear" w:color="auto" w:fill="auto"/>
            <w:noWrap/>
            <w:vAlign w:val="bottom"/>
            <w:hideMark/>
          </w:tcPr>
          <w:p w14:paraId="47392958" w14:textId="77777777" w:rsidR="00BE6461" w:rsidRPr="00BE6461" w:rsidRDefault="00BE6461" w:rsidP="00BE6461">
            <w:pPr>
              <w:jc w:val="right"/>
              <w:rPr>
                <w:b/>
                <w:bCs/>
                <w:sz w:val="20"/>
                <w:szCs w:val="20"/>
              </w:rPr>
            </w:pPr>
            <w:r w:rsidRPr="00BE6461">
              <w:rPr>
                <w:b/>
                <w:bCs/>
                <w:sz w:val="20"/>
                <w:szCs w:val="20"/>
              </w:rPr>
              <w:t>19.023,35</w:t>
            </w:r>
          </w:p>
        </w:tc>
        <w:tc>
          <w:tcPr>
            <w:tcW w:w="1100" w:type="dxa"/>
            <w:tcBorders>
              <w:top w:val="nil"/>
              <w:left w:val="nil"/>
              <w:bottom w:val="nil"/>
              <w:right w:val="nil"/>
            </w:tcBorders>
            <w:shd w:val="clear" w:color="auto" w:fill="auto"/>
            <w:noWrap/>
            <w:vAlign w:val="bottom"/>
            <w:hideMark/>
          </w:tcPr>
          <w:p w14:paraId="76F3EF8E"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5FC1669E" w14:textId="77777777" w:rsidTr="00BE6461">
        <w:trPr>
          <w:trHeight w:val="300"/>
        </w:trPr>
        <w:tc>
          <w:tcPr>
            <w:tcW w:w="1703" w:type="dxa"/>
            <w:tcBorders>
              <w:top w:val="nil"/>
              <w:left w:val="nil"/>
              <w:bottom w:val="nil"/>
              <w:right w:val="nil"/>
            </w:tcBorders>
            <w:shd w:val="clear" w:color="auto" w:fill="auto"/>
            <w:noWrap/>
            <w:vAlign w:val="bottom"/>
            <w:hideMark/>
          </w:tcPr>
          <w:p w14:paraId="58DB034E" w14:textId="77777777" w:rsidR="00BE6461" w:rsidRPr="00BE6461" w:rsidRDefault="00BE6461" w:rsidP="00BE6461">
            <w:pPr>
              <w:rPr>
                <w:sz w:val="20"/>
                <w:szCs w:val="20"/>
              </w:rPr>
            </w:pPr>
            <w:r w:rsidRPr="00BE6461">
              <w:rPr>
                <w:sz w:val="20"/>
                <w:szCs w:val="20"/>
              </w:rPr>
              <w:t>3221</w:t>
            </w:r>
          </w:p>
        </w:tc>
        <w:tc>
          <w:tcPr>
            <w:tcW w:w="8457" w:type="dxa"/>
            <w:tcBorders>
              <w:top w:val="nil"/>
              <w:left w:val="nil"/>
              <w:bottom w:val="nil"/>
              <w:right w:val="nil"/>
            </w:tcBorders>
            <w:shd w:val="clear" w:color="auto" w:fill="auto"/>
            <w:vAlign w:val="bottom"/>
            <w:hideMark/>
          </w:tcPr>
          <w:p w14:paraId="651ABFAB" w14:textId="77777777" w:rsidR="00BE6461" w:rsidRPr="00BE6461" w:rsidRDefault="00BE6461" w:rsidP="00BE6461">
            <w:pPr>
              <w:rPr>
                <w:sz w:val="20"/>
                <w:szCs w:val="20"/>
              </w:rPr>
            </w:pPr>
            <w:r w:rsidRPr="00BE6461">
              <w:rPr>
                <w:sz w:val="20"/>
                <w:szCs w:val="20"/>
              </w:rPr>
              <w:t xml:space="preserve">Uredski materijal i ostali materijalni rashodi                                                      </w:t>
            </w:r>
          </w:p>
        </w:tc>
        <w:tc>
          <w:tcPr>
            <w:tcW w:w="1503" w:type="dxa"/>
            <w:tcBorders>
              <w:top w:val="nil"/>
              <w:left w:val="nil"/>
              <w:bottom w:val="nil"/>
              <w:right w:val="nil"/>
            </w:tcBorders>
            <w:shd w:val="clear" w:color="auto" w:fill="auto"/>
            <w:noWrap/>
            <w:vAlign w:val="bottom"/>
            <w:hideMark/>
          </w:tcPr>
          <w:p w14:paraId="4E37F862"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440ABB4" w14:textId="77777777" w:rsidR="00BE6461" w:rsidRPr="00BE6461" w:rsidRDefault="00BE6461" w:rsidP="00BE6461">
            <w:pPr>
              <w:jc w:val="right"/>
              <w:rPr>
                <w:sz w:val="20"/>
                <w:szCs w:val="20"/>
              </w:rPr>
            </w:pPr>
            <w:r w:rsidRPr="00BE6461">
              <w:rPr>
                <w:sz w:val="20"/>
                <w:szCs w:val="20"/>
              </w:rPr>
              <w:t>19.023,35</w:t>
            </w:r>
          </w:p>
        </w:tc>
        <w:tc>
          <w:tcPr>
            <w:tcW w:w="1100" w:type="dxa"/>
            <w:tcBorders>
              <w:top w:val="nil"/>
              <w:left w:val="nil"/>
              <w:bottom w:val="nil"/>
              <w:right w:val="nil"/>
            </w:tcBorders>
            <w:shd w:val="clear" w:color="auto" w:fill="auto"/>
            <w:noWrap/>
            <w:vAlign w:val="bottom"/>
            <w:hideMark/>
          </w:tcPr>
          <w:p w14:paraId="50080C01" w14:textId="77777777" w:rsidR="00BE6461" w:rsidRPr="00BE6461" w:rsidRDefault="00BE6461" w:rsidP="00BE6461">
            <w:pPr>
              <w:jc w:val="right"/>
              <w:rPr>
                <w:sz w:val="20"/>
                <w:szCs w:val="20"/>
              </w:rPr>
            </w:pPr>
          </w:p>
        </w:tc>
      </w:tr>
      <w:tr w:rsidR="00BE6461" w:rsidRPr="00BE6461" w14:paraId="3A30E88E" w14:textId="77777777" w:rsidTr="00BE6461">
        <w:trPr>
          <w:trHeight w:val="300"/>
        </w:trPr>
        <w:tc>
          <w:tcPr>
            <w:tcW w:w="1703" w:type="dxa"/>
            <w:tcBorders>
              <w:top w:val="nil"/>
              <w:left w:val="nil"/>
              <w:bottom w:val="nil"/>
              <w:right w:val="nil"/>
            </w:tcBorders>
            <w:shd w:val="clear" w:color="auto" w:fill="auto"/>
            <w:noWrap/>
            <w:vAlign w:val="bottom"/>
            <w:hideMark/>
          </w:tcPr>
          <w:p w14:paraId="198A9697"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74BFD480"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7E4834CC" w14:textId="77777777" w:rsidR="00BE6461" w:rsidRPr="00BE6461" w:rsidRDefault="00BE6461" w:rsidP="00BE6461">
            <w:pPr>
              <w:jc w:val="right"/>
              <w:rPr>
                <w:b/>
                <w:bCs/>
                <w:sz w:val="20"/>
                <w:szCs w:val="20"/>
              </w:rPr>
            </w:pPr>
            <w:r w:rsidRPr="00BE6461">
              <w:rPr>
                <w:b/>
                <w:bCs/>
                <w:sz w:val="20"/>
                <w:szCs w:val="20"/>
              </w:rPr>
              <w:t>3.767,25</w:t>
            </w:r>
          </w:p>
        </w:tc>
        <w:tc>
          <w:tcPr>
            <w:tcW w:w="1500" w:type="dxa"/>
            <w:tcBorders>
              <w:top w:val="nil"/>
              <w:left w:val="nil"/>
              <w:bottom w:val="nil"/>
              <w:right w:val="nil"/>
            </w:tcBorders>
            <w:shd w:val="clear" w:color="auto" w:fill="auto"/>
            <w:noWrap/>
            <w:vAlign w:val="bottom"/>
            <w:hideMark/>
          </w:tcPr>
          <w:p w14:paraId="331E7184" w14:textId="77777777" w:rsidR="00BE6461" w:rsidRPr="00BE6461" w:rsidRDefault="00BE6461" w:rsidP="00BE6461">
            <w:pPr>
              <w:jc w:val="right"/>
              <w:rPr>
                <w:b/>
                <w:bCs/>
                <w:sz w:val="20"/>
                <w:szCs w:val="20"/>
              </w:rPr>
            </w:pPr>
            <w:r w:rsidRPr="00BE6461">
              <w:rPr>
                <w:b/>
                <w:bCs/>
                <w:sz w:val="20"/>
                <w:szCs w:val="20"/>
              </w:rPr>
              <w:t>7.534,50</w:t>
            </w:r>
          </w:p>
        </w:tc>
        <w:tc>
          <w:tcPr>
            <w:tcW w:w="1100" w:type="dxa"/>
            <w:tcBorders>
              <w:top w:val="nil"/>
              <w:left w:val="nil"/>
              <w:bottom w:val="nil"/>
              <w:right w:val="nil"/>
            </w:tcBorders>
            <w:shd w:val="clear" w:color="auto" w:fill="auto"/>
            <w:noWrap/>
            <w:vAlign w:val="bottom"/>
            <w:hideMark/>
          </w:tcPr>
          <w:p w14:paraId="31F5B516" w14:textId="77777777" w:rsidR="00BE6461" w:rsidRPr="00BE6461" w:rsidRDefault="00BE6461" w:rsidP="00BE6461">
            <w:pPr>
              <w:jc w:val="right"/>
              <w:rPr>
                <w:b/>
                <w:bCs/>
                <w:sz w:val="20"/>
                <w:szCs w:val="20"/>
              </w:rPr>
            </w:pPr>
            <w:r w:rsidRPr="00BE6461">
              <w:rPr>
                <w:b/>
                <w:bCs/>
                <w:sz w:val="20"/>
                <w:szCs w:val="20"/>
              </w:rPr>
              <w:t>200,00</w:t>
            </w:r>
          </w:p>
        </w:tc>
      </w:tr>
      <w:tr w:rsidR="00BE6461" w:rsidRPr="00BE6461" w14:paraId="124F03A8" w14:textId="77777777" w:rsidTr="00BE6461">
        <w:trPr>
          <w:trHeight w:val="300"/>
        </w:trPr>
        <w:tc>
          <w:tcPr>
            <w:tcW w:w="1703" w:type="dxa"/>
            <w:tcBorders>
              <w:top w:val="nil"/>
              <w:left w:val="nil"/>
              <w:bottom w:val="nil"/>
              <w:right w:val="nil"/>
            </w:tcBorders>
            <w:shd w:val="clear" w:color="auto" w:fill="auto"/>
            <w:noWrap/>
            <w:vAlign w:val="bottom"/>
            <w:hideMark/>
          </w:tcPr>
          <w:p w14:paraId="01566815"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6AE38E98"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36E25A6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4B3DAB2" w14:textId="77777777" w:rsidR="00BE6461" w:rsidRPr="00BE6461" w:rsidRDefault="00BE6461" w:rsidP="00BE6461">
            <w:pPr>
              <w:jc w:val="right"/>
              <w:rPr>
                <w:sz w:val="20"/>
                <w:szCs w:val="20"/>
              </w:rPr>
            </w:pPr>
            <w:r w:rsidRPr="00BE6461">
              <w:rPr>
                <w:sz w:val="20"/>
                <w:szCs w:val="20"/>
              </w:rPr>
              <w:t>7.534,50</w:t>
            </w:r>
          </w:p>
        </w:tc>
        <w:tc>
          <w:tcPr>
            <w:tcW w:w="1100" w:type="dxa"/>
            <w:tcBorders>
              <w:top w:val="nil"/>
              <w:left w:val="nil"/>
              <w:bottom w:val="nil"/>
              <w:right w:val="nil"/>
            </w:tcBorders>
            <w:shd w:val="clear" w:color="auto" w:fill="auto"/>
            <w:noWrap/>
            <w:vAlign w:val="bottom"/>
            <w:hideMark/>
          </w:tcPr>
          <w:p w14:paraId="22D9A300" w14:textId="77777777" w:rsidR="00BE6461" w:rsidRPr="00BE6461" w:rsidRDefault="00BE6461" w:rsidP="00BE6461">
            <w:pPr>
              <w:jc w:val="right"/>
              <w:rPr>
                <w:sz w:val="20"/>
                <w:szCs w:val="20"/>
              </w:rPr>
            </w:pPr>
          </w:p>
        </w:tc>
      </w:tr>
      <w:tr w:rsidR="00BE6461" w:rsidRPr="00BE6461" w14:paraId="2BF59244"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7C4BF089" w14:textId="77777777" w:rsidR="00BE6461" w:rsidRPr="00BE6461" w:rsidRDefault="00BE6461" w:rsidP="00BE6461">
            <w:pPr>
              <w:rPr>
                <w:b/>
                <w:bCs/>
                <w:sz w:val="20"/>
                <w:szCs w:val="20"/>
              </w:rPr>
            </w:pPr>
            <w:r w:rsidRPr="00BE6461">
              <w:rPr>
                <w:b/>
                <w:bCs/>
                <w:sz w:val="20"/>
                <w:szCs w:val="20"/>
              </w:rPr>
              <w:t>A100092</w:t>
            </w:r>
          </w:p>
        </w:tc>
        <w:tc>
          <w:tcPr>
            <w:tcW w:w="8457" w:type="dxa"/>
            <w:tcBorders>
              <w:top w:val="single" w:sz="4" w:space="0" w:color="auto"/>
              <w:left w:val="nil"/>
              <w:bottom w:val="single" w:sz="4" w:space="0" w:color="auto"/>
              <w:right w:val="nil"/>
            </w:tcBorders>
            <w:shd w:val="clear" w:color="auto" w:fill="auto"/>
            <w:vAlign w:val="bottom"/>
            <w:hideMark/>
          </w:tcPr>
          <w:p w14:paraId="0857B3EE" w14:textId="77777777" w:rsidR="00BE6461" w:rsidRPr="00BE6461" w:rsidRDefault="00BE6461" w:rsidP="00BE6461">
            <w:pPr>
              <w:rPr>
                <w:b/>
                <w:bCs/>
                <w:sz w:val="20"/>
                <w:szCs w:val="20"/>
              </w:rPr>
            </w:pPr>
            <w:r w:rsidRPr="00BE6461">
              <w:rPr>
                <w:b/>
                <w:bCs/>
                <w:sz w:val="20"/>
                <w:szCs w:val="20"/>
              </w:rPr>
              <w:t>Aktivnost: PREHRANA DJECE</w:t>
            </w:r>
          </w:p>
        </w:tc>
        <w:tc>
          <w:tcPr>
            <w:tcW w:w="1503" w:type="dxa"/>
            <w:tcBorders>
              <w:top w:val="single" w:sz="4" w:space="0" w:color="auto"/>
              <w:left w:val="nil"/>
              <w:bottom w:val="single" w:sz="4" w:space="0" w:color="auto"/>
              <w:right w:val="nil"/>
            </w:tcBorders>
            <w:shd w:val="clear" w:color="auto" w:fill="auto"/>
            <w:noWrap/>
            <w:vAlign w:val="bottom"/>
            <w:hideMark/>
          </w:tcPr>
          <w:p w14:paraId="279E6430" w14:textId="77777777" w:rsidR="00BE6461" w:rsidRPr="00BE6461" w:rsidRDefault="00BE6461" w:rsidP="00BE6461">
            <w:pPr>
              <w:jc w:val="right"/>
              <w:rPr>
                <w:b/>
                <w:bCs/>
                <w:sz w:val="20"/>
                <w:szCs w:val="20"/>
              </w:rPr>
            </w:pPr>
            <w:r w:rsidRPr="00BE6461">
              <w:rPr>
                <w:b/>
                <w:bCs/>
                <w:sz w:val="20"/>
                <w:szCs w:val="20"/>
              </w:rPr>
              <w:t>148.563,22</w:t>
            </w:r>
          </w:p>
        </w:tc>
        <w:tc>
          <w:tcPr>
            <w:tcW w:w="1500" w:type="dxa"/>
            <w:tcBorders>
              <w:top w:val="single" w:sz="4" w:space="0" w:color="auto"/>
              <w:left w:val="nil"/>
              <w:bottom w:val="single" w:sz="4" w:space="0" w:color="auto"/>
              <w:right w:val="nil"/>
            </w:tcBorders>
            <w:shd w:val="clear" w:color="auto" w:fill="auto"/>
            <w:noWrap/>
            <w:vAlign w:val="bottom"/>
            <w:hideMark/>
          </w:tcPr>
          <w:p w14:paraId="02765E28" w14:textId="77777777" w:rsidR="00BE6461" w:rsidRPr="00BE6461" w:rsidRDefault="00BE6461" w:rsidP="00BE6461">
            <w:pPr>
              <w:jc w:val="right"/>
              <w:rPr>
                <w:b/>
                <w:bCs/>
                <w:sz w:val="20"/>
                <w:szCs w:val="20"/>
              </w:rPr>
            </w:pPr>
            <w:r w:rsidRPr="00BE6461">
              <w:rPr>
                <w:b/>
                <w:bCs/>
                <w:sz w:val="20"/>
                <w:szCs w:val="20"/>
              </w:rPr>
              <w:t>166.068,13</w:t>
            </w:r>
          </w:p>
        </w:tc>
        <w:tc>
          <w:tcPr>
            <w:tcW w:w="1100" w:type="dxa"/>
            <w:tcBorders>
              <w:top w:val="single" w:sz="4" w:space="0" w:color="auto"/>
              <w:left w:val="nil"/>
              <w:bottom w:val="single" w:sz="4" w:space="0" w:color="auto"/>
              <w:right w:val="nil"/>
            </w:tcBorders>
            <w:shd w:val="clear" w:color="auto" w:fill="auto"/>
            <w:noWrap/>
            <w:vAlign w:val="bottom"/>
            <w:hideMark/>
          </w:tcPr>
          <w:p w14:paraId="1206DA68" w14:textId="77777777" w:rsidR="00BE6461" w:rsidRPr="00BE6461" w:rsidRDefault="00BE6461" w:rsidP="00BE6461">
            <w:pPr>
              <w:jc w:val="right"/>
              <w:rPr>
                <w:b/>
                <w:bCs/>
                <w:sz w:val="20"/>
                <w:szCs w:val="20"/>
              </w:rPr>
            </w:pPr>
            <w:r w:rsidRPr="00BE6461">
              <w:rPr>
                <w:b/>
                <w:bCs/>
                <w:sz w:val="20"/>
                <w:szCs w:val="20"/>
              </w:rPr>
              <w:t>111,78</w:t>
            </w:r>
          </w:p>
        </w:tc>
      </w:tr>
      <w:tr w:rsidR="00BE6461" w:rsidRPr="00BE6461" w14:paraId="24840BA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6F8F3F4"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17B3826D" w14:textId="77777777" w:rsidR="00BE6461" w:rsidRPr="00BE6461" w:rsidRDefault="00BE6461" w:rsidP="00BE6461">
            <w:pPr>
              <w:jc w:val="right"/>
              <w:rPr>
                <w:b/>
                <w:bCs/>
                <w:color w:val="333333"/>
                <w:sz w:val="20"/>
                <w:szCs w:val="20"/>
              </w:rPr>
            </w:pPr>
            <w:r w:rsidRPr="00BE6461">
              <w:rPr>
                <w:b/>
                <w:bCs/>
                <w:color w:val="333333"/>
                <w:sz w:val="20"/>
                <w:szCs w:val="20"/>
              </w:rPr>
              <w:t>148.563,22</w:t>
            </w:r>
          </w:p>
        </w:tc>
        <w:tc>
          <w:tcPr>
            <w:tcW w:w="1500" w:type="dxa"/>
            <w:tcBorders>
              <w:top w:val="nil"/>
              <w:left w:val="nil"/>
              <w:bottom w:val="nil"/>
              <w:right w:val="nil"/>
            </w:tcBorders>
            <w:shd w:val="clear" w:color="auto" w:fill="auto"/>
            <w:noWrap/>
            <w:vAlign w:val="bottom"/>
            <w:hideMark/>
          </w:tcPr>
          <w:p w14:paraId="5C9F5E92" w14:textId="77777777" w:rsidR="00BE6461" w:rsidRPr="00BE6461" w:rsidRDefault="00BE6461" w:rsidP="00BE6461">
            <w:pPr>
              <w:jc w:val="right"/>
              <w:rPr>
                <w:b/>
                <w:bCs/>
                <w:color w:val="333333"/>
                <w:sz w:val="20"/>
                <w:szCs w:val="20"/>
              </w:rPr>
            </w:pPr>
            <w:r w:rsidRPr="00BE6461">
              <w:rPr>
                <w:b/>
                <w:bCs/>
                <w:color w:val="333333"/>
                <w:sz w:val="20"/>
                <w:szCs w:val="20"/>
              </w:rPr>
              <w:t>166.068,13</w:t>
            </w:r>
          </w:p>
        </w:tc>
        <w:tc>
          <w:tcPr>
            <w:tcW w:w="1100" w:type="dxa"/>
            <w:tcBorders>
              <w:top w:val="nil"/>
              <w:left w:val="nil"/>
              <w:bottom w:val="nil"/>
              <w:right w:val="nil"/>
            </w:tcBorders>
            <w:shd w:val="clear" w:color="auto" w:fill="auto"/>
            <w:noWrap/>
            <w:vAlign w:val="bottom"/>
            <w:hideMark/>
          </w:tcPr>
          <w:p w14:paraId="68FBF21C" w14:textId="77777777" w:rsidR="00BE6461" w:rsidRPr="00BE6461" w:rsidRDefault="00BE6461" w:rsidP="00BE6461">
            <w:pPr>
              <w:jc w:val="right"/>
              <w:rPr>
                <w:b/>
                <w:bCs/>
                <w:color w:val="333333"/>
                <w:sz w:val="20"/>
                <w:szCs w:val="20"/>
              </w:rPr>
            </w:pPr>
            <w:r w:rsidRPr="00BE6461">
              <w:rPr>
                <w:b/>
                <w:bCs/>
                <w:color w:val="333333"/>
                <w:sz w:val="20"/>
                <w:szCs w:val="20"/>
              </w:rPr>
              <w:t>111,78</w:t>
            </w:r>
          </w:p>
        </w:tc>
      </w:tr>
      <w:tr w:rsidR="00BE6461" w:rsidRPr="00BE6461" w14:paraId="2539458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8C05D62" w14:textId="77777777" w:rsidR="00BE6461" w:rsidRPr="00BE6461" w:rsidRDefault="00BE6461" w:rsidP="00BE6461">
            <w:pPr>
              <w:rPr>
                <w:b/>
                <w:bCs/>
                <w:color w:val="333333"/>
                <w:sz w:val="20"/>
                <w:szCs w:val="20"/>
              </w:rPr>
            </w:pPr>
            <w:r w:rsidRPr="00BE6461">
              <w:rPr>
                <w:b/>
                <w:bCs/>
                <w:color w:val="333333"/>
                <w:sz w:val="20"/>
                <w:szCs w:val="20"/>
              </w:rPr>
              <w:t>Izvor 4.7. PRIHODI POSEBNE NAMJENE - PRORAČUNSKI KORISNICI</w:t>
            </w:r>
          </w:p>
        </w:tc>
        <w:tc>
          <w:tcPr>
            <w:tcW w:w="1503" w:type="dxa"/>
            <w:tcBorders>
              <w:top w:val="nil"/>
              <w:left w:val="nil"/>
              <w:bottom w:val="nil"/>
              <w:right w:val="nil"/>
            </w:tcBorders>
            <w:shd w:val="clear" w:color="auto" w:fill="auto"/>
            <w:noWrap/>
            <w:vAlign w:val="bottom"/>
            <w:hideMark/>
          </w:tcPr>
          <w:p w14:paraId="06CB76A3" w14:textId="77777777" w:rsidR="00BE6461" w:rsidRPr="00BE6461" w:rsidRDefault="00BE6461" w:rsidP="00BE6461">
            <w:pPr>
              <w:jc w:val="right"/>
              <w:rPr>
                <w:b/>
                <w:bCs/>
                <w:color w:val="333333"/>
                <w:sz w:val="20"/>
                <w:szCs w:val="20"/>
              </w:rPr>
            </w:pPr>
            <w:r w:rsidRPr="00BE6461">
              <w:rPr>
                <w:b/>
                <w:bCs/>
                <w:color w:val="333333"/>
                <w:sz w:val="20"/>
                <w:szCs w:val="20"/>
              </w:rPr>
              <w:t>148.563,22</w:t>
            </w:r>
          </w:p>
        </w:tc>
        <w:tc>
          <w:tcPr>
            <w:tcW w:w="1500" w:type="dxa"/>
            <w:tcBorders>
              <w:top w:val="nil"/>
              <w:left w:val="nil"/>
              <w:bottom w:val="nil"/>
              <w:right w:val="nil"/>
            </w:tcBorders>
            <w:shd w:val="clear" w:color="auto" w:fill="auto"/>
            <w:noWrap/>
            <w:vAlign w:val="bottom"/>
            <w:hideMark/>
          </w:tcPr>
          <w:p w14:paraId="4692EC68" w14:textId="77777777" w:rsidR="00BE6461" w:rsidRPr="00BE6461" w:rsidRDefault="00BE6461" w:rsidP="00BE6461">
            <w:pPr>
              <w:jc w:val="right"/>
              <w:rPr>
                <w:b/>
                <w:bCs/>
                <w:color w:val="333333"/>
                <w:sz w:val="20"/>
                <w:szCs w:val="20"/>
              </w:rPr>
            </w:pPr>
            <w:r w:rsidRPr="00BE6461">
              <w:rPr>
                <w:b/>
                <w:bCs/>
                <w:color w:val="333333"/>
                <w:sz w:val="20"/>
                <w:szCs w:val="20"/>
              </w:rPr>
              <w:t>166.068,13</w:t>
            </w:r>
          </w:p>
        </w:tc>
        <w:tc>
          <w:tcPr>
            <w:tcW w:w="1100" w:type="dxa"/>
            <w:tcBorders>
              <w:top w:val="nil"/>
              <w:left w:val="nil"/>
              <w:bottom w:val="nil"/>
              <w:right w:val="nil"/>
            </w:tcBorders>
            <w:shd w:val="clear" w:color="auto" w:fill="auto"/>
            <w:noWrap/>
            <w:vAlign w:val="bottom"/>
            <w:hideMark/>
          </w:tcPr>
          <w:p w14:paraId="0D843D88" w14:textId="77777777" w:rsidR="00BE6461" w:rsidRPr="00BE6461" w:rsidRDefault="00BE6461" w:rsidP="00BE6461">
            <w:pPr>
              <w:jc w:val="right"/>
              <w:rPr>
                <w:b/>
                <w:bCs/>
                <w:color w:val="333333"/>
                <w:sz w:val="20"/>
                <w:szCs w:val="20"/>
              </w:rPr>
            </w:pPr>
            <w:r w:rsidRPr="00BE6461">
              <w:rPr>
                <w:b/>
                <w:bCs/>
                <w:color w:val="333333"/>
                <w:sz w:val="20"/>
                <w:szCs w:val="20"/>
              </w:rPr>
              <w:t>111,78</w:t>
            </w:r>
          </w:p>
        </w:tc>
      </w:tr>
      <w:tr w:rsidR="00BE6461" w:rsidRPr="00BE6461" w14:paraId="19604313" w14:textId="77777777" w:rsidTr="00BE6461">
        <w:trPr>
          <w:trHeight w:val="300"/>
        </w:trPr>
        <w:tc>
          <w:tcPr>
            <w:tcW w:w="1703" w:type="dxa"/>
            <w:tcBorders>
              <w:top w:val="nil"/>
              <w:left w:val="nil"/>
              <w:bottom w:val="nil"/>
              <w:right w:val="nil"/>
            </w:tcBorders>
            <w:shd w:val="clear" w:color="auto" w:fill="auto"/>
            <w:noWrap/>
            <w:vAlign w:val="bottom"/>
            <w:hideMark/>
          </w:tcPr>
          <w:p w14:paraId="212D0B96"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58222E2A"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3251F5B3" w14:textId="77777777" w:rsidR="00BE6461" w:rsidRPr="00BE6461" w:rsidRDefault="00BE6461" w:rsidP="00BE6461">
            <w:pPr>
              <w:jc w:val="right"/>
              <w:rPr>
                <w:b/>
                <w:bCs/>
                <w:sz w:val="20"/>
                <w:szCs w:val="20"/>
              </w:rPr>
            </w:pPr>
            <w:r w:rsidRPr="00BE6461">
              <w:rPr>
                <w:b/>
                <w:bCs/>
                <w:sz w:val="20"/>
                <w:szCs w:val="20"/>
              </w:rPr>
              <w:t>148.563,22</w:t>
            </w:r>
          </w:p>
        </w:tc>
        <w:tc>
          <w:tcPr>
            <w:tcW w:w="1500" w:type="dxa"/>
            <w:tcBorders>
              <w:top w:val="nil"/>
              <w:left w:val="nil"/>
              <w:bottom w:val="nil"/>
              <w:right w:val="nil"/>
            </w:tcBorders>
            <w:shd w:val="clear" w:color="auto" w:fill="auto"/>
            <w:noWrap/>
            <w:vAlign w:val="bottom"/>
            <w:hideMark/>
          </w:tcPr>
          <w:p w14:paraId="0D4B91D9" w14:textId="77777777" w:rsidR="00BE6461" w:rsidRPr="00BE6461" w:rsidRDefault="00BE6461" w:rsidP="00BE6461">
            <w:pPr>
              <w:jc w:val="right"/>
              <w:rPr>
                <w:b/>
                <w:bCs/>
                <w:sz w:val="20"/>
                <w:szCs w:val="20"/>
              </w:rPr>
            </w:pPr>
            <w:r w:rsidRPr="00BE6461">
              <w:rPr>
                <w:b/>
                <w:bCs/>
                <w:sz w:val="20"/>
                <w:szCs w:val="20"/>
              </w:rPr>
              <w:t>166.068,13</w:t>
            </w:r>
          </w:p>
        </w:tc>
        <w:tc>
          <w:tcPr>
            <w:tcW w:w="1100" w:type="dxa"/>
            <w:tcBorders>
              <w:top w:val="nil"/>
              <w:left w:val="nil"/>
              <w:bottom w:val="nil"/>
              <w:right w:val="nil"/>
            </w:tcBorders>
            <w:shd w:val="clear" w:color="auto" w:fill="auto"/>
            <w:noWrap/>
            <w:vAlign w:val="bottom"/>
            <w:hideMark/>
          </w:tcPr>
          <w:p w14:paraId="2726DFB1" w14:textId="77777777" w:rsidR="00BE6461" w:rsidRPr="00BE6461" w:rsidRDefault="00BE6461" w:rsidP="00BE6461">
            <w:pPr>
              <w:jc w:val="right"/>
              <w:rPr>
                <w:b/>
                <w:bCs/>
                <w:sz w:val="20"/>
                <w:szCs w:val="20"/>
              </w:rPr>
            </w:pPr>
            <w:r w:rsidRPr="00BE6461">
              <w:rPr>
                <w:b/>
                <w:bCs/>
                <w:sz w:val="20"/>
                <w:szCs w:val="20"/>
              </w:rPr>
              <w:t>111,78</w:t>
            </w:r>
          </w:p>
        </w:tc>
      </w:tr>
      <w:tr w:rsidR="00BE6461" w:rsidRPr="00BE6461" w14:paraId="61CCB4A7" w14:textId="77777777" w:rsidTr="00BE6461">
        <w:trPr>
          <w:trHeight w:val="300"/>
        </w:trPr>
        <w:tc>
          <w:tcPr>
            <w:tcW w:w="1703" w:type="dxa"/>
            <w:tcBorders>
              <w:top w:val="nil"/>
              <w:left w:val="nil"/>
              <w:bottom w:val="nil"/>
              <w:right w:val="nil"/>
            </w:tcBorders>
            <w:shd w:val="clear" w:color="auto" w:fill="auto"/>
            <w:noWrap/>
            <w:vAlign w:val="bottom"/>
            <w:hideMark/>
          </w:tcPr>
          <w:p w14:paraId="1CF9E51B" w14:textId="77777777" w:rsidR="00BE6461" w:rsidRPr="00BE6461" w:rsidRDefault="00BE6461" w:rsidP="00BE6461">
            <w:pPr>
              <w:rPr>
                <w:sz w:val="20"/>
                <w:szCs w:val="20"/>
              </w:rPr>
            </w:pPr>
            <w:r w:rsidRPr="00BE6461">
              <w:rPr>
                <w:sz w:val="20"/>
                <w:szCs w:val="20"/>
              </w:rPr>
              <w:t>3222</w:t>
            </w:r>
          </w:p>
        </w:tc>
        <w:tc>
          <w:tcPr>
            <w:tcW w:w="8457" w:type="dxa"/>
            <w:tcBorders>
              <w:top w:val="nil"/>
              <w:left w:val="nil"/>
              <w:bottom w:val="nil"/>
              <w:right w:val="nil"/>
            </w:tcBorders>
            <w:shd w:val="clear" w:color="auto" w:fill="auto"/>
            <w:vAlign w:val="bottom"/>
            <w:hideMark/>
          </w:tcPr>
          <w:p w14:paraId="39D6EEF0" w14:textId="77777777" w:rsidR="00BE6461" w:rsidRPr="00BE6461" w:rsidRDefault="00BE6461" w:rsidP="00BE6461">
            <w:pPr>
              <w:rPr>
                <w:sz w:val="20"/>
                <w:szCs w:val="20"/>
              </w:rPr>
            </w:pPr>
            <w:r w:rsidRPr="00BE6461">
              <w:rPr>
                <w:sz w:val="20"/>
                <w:szCs w:val="20"/>
              </w:rPr>
              <w:t xml:space="preserve">Materijal i sirovine                                                                                </w:t>
            </w:r>
          </w:p>
        </w:tc>
        <w:tc>
          <w:tcPr>
            <w:tcW w:w="1503" w:type="dxa"/>
            <w:tcBorders>
              <w:top w:val="nil"/>
              <w:left w:val="nil"/>
              <w:bottom w:val="nil"/>
              <w:right w:val="nil"/>
            </w:tcBorders>
            <w:shd w:val="clear" w:color="auto" w:fill="auto"/>
            <w:noWrap/>
            <w:vAlign w:val="bottom"/>
            <w:hideMark/>
          </w:tcPr>
          <w:p w14:paraId="0599348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180A928" w14:textId="77777777" w:rsidR="00BE6461" w:rsidRPr="00BE6461" w:rsidRDefault="00BE6461" w:rsidP="00BE6461">
            <w:pPr>
              <w:jc w:val="right"/>
              <w:rPr>
                <w:sz w:val="20"/>
                <w:szCs w:val="20"/>
              </w:rPr>
            </w:pPr>
            <w:r w:rsidRPr="00BE6461">
              <w:rPr>
                <w:sz w:val="20"/>
                <w:szCs w:val="20"/>
              </w:rPr>
              <w:t>166.068,13</w:t>
            </w:r>
          </w:p>
        </w:tc>
        <w:tc>
          <w:tcPr>
            <w:tcW w:w="1100" w:type="dxa"/>
            <w:tcBorders>
              <w:top w:val="nil"/>
              <w:left w:val="nil"/>
              <w:bottom w:val="nil"/>
              <w:right w:val="nil"/>
            </w:tcBorders>
            <w:shd w:val="clear" w:color="auto" w:fill="auto"/>
            <w:noWrap/>
            <w:vAlign w:val="bottom"/>
            <w:hideMark/>
          </w:tcPr>
          <w:p w14:paraId="1FE65161" w14:textId="77777777" w:rsidR="00BE6461" w:rsidRPr="00BE6461" w:rsidRDefault="00BE6461" w:rsidP="00BE6461">
            <w:pPr>
              <w:jc w:val="right"/>
              <w:rPr>
                <w:sz w:val="20"/>
                <w:szCs w:val="20"/>
              </w:rPr>
            </w:pPr>
          </w:p>
        </w:tc>
      </w:tr>
      <w:tr w:rsidR="00BE6461" w:rsidRPr="00BE6461" w14:paraId="349FC18A"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053B5046" w14:textId="77777777" w:rsidR="00BE6461" w:rsidRPr="00BE6461" w:rsidRDefault="00BE6461" w:rsidP="00BE6461">
            <w:pPr>
              <w:rPr>
                <w:b/>
                <w:bCs/>
                <w:sz w:val="20"/>
                <w:szCs w:val="20"/>
              </w:rPr>
            </w:pPr>
            <w:r w:rsidRPr="00BE6461">
              <w:rPr>
                <w:b/>
                <w:bCs/>
                <w:sz w:val="20"/>
                <w:szCs w:val="20"/>
              </w:rPr>
              <w:t>A100093</w:t>
            </w:r>
          </w:p>
        </w:tc>
        <w:tc>
          <w:tcPr>
            <w:tcW w:w="8457" w:type="dxa"/>
            <w:tcBorders>
              <w:top w:val="single" w:sz="4" w:space="0" w:color="auto"/>
              <w:left w:val="nil"/>
              <w:bottom w:val="single" w:sz="4" w:space="0" w:color="auto"/>
              <w:right w:val="nil"/>
            </w:tcBorders>
            <w:shd w:val="clear" w:color="auto" w:fill="auto"/>
            <w:vAlign w:val="bottom"/>
            <w:hideMark/>
          </w:tcPr>
          <w:p w14:paraId="4F834C98" w14:textId="77777777" w:rsidR="00BE6461" w:rsidRPr="00BE6461" w:rsidRDefault="00BE6461" w:rsidP="00BE6461">
            <w:pPr>
              <w:rPr>
                <w:b/>
                <w:bCs/>
                <w:sz w:val="20"/>
                <w:szCs w:val="20"/>
              </w:rPr>
            </w:pPr>
            <w:r w:rsidRPr="00BE6461">
              <w:rPr>
                <w:b/>
                <w:bCs/>
                <w:sz w:val="20"/>
                <w:szCs w:val="20"/>
              </w:rPr>
              <w:t>Aktivnost: IZLETI I OSTALE AKTIVNOSTI S DJECOM</w:t>
            </w:r>
          </w:p>
        </w:tc>
        <w:tc>
          <w:tcPr>
            <w:tcW w:w="1503" w:type="dxa"/>
            <w:tcBorders>
              <w:top w:val="single" w:sz="4" w:space="0" w:color="auto"/>
              <w:left w:val="nil"/>
              <w:bottom w:val="single" w:sz="4" w:space="0" w:color="auto"/>
              <w:right w:val="nil"/>
            </w:tcBorders>
            <w:shd w:val="clear" w:color="auto" w:fill="auto"/>
            <w:noWrap/>
            <w:vAlign w:val="bottom"/>
            <w:hideMark/>
          </w:tcPr>
          <w:p w14:paraId="7B1E41C6" w14:textId="77777777" w:rsidR="00BE6461" w:rsidRPr="00BE6461" w:rsidRDefault="00BE6461" w:rsidP="00BE6461">
            <w:pPr>
              <w:jc w:val="right"/>
              <w:rPr>
                <w:b/>
                <w:bCs/>
                <w:sz w:val="20"/>
                <w:szCs w:val="20"/>
              </w:rPr>
            </w:pPr>
            <w:r w:rsidRPr="00BE6461">
              <w:rPr>
                <w:b/>
                <w:bCs/>
                <w:sz w:val="20"/>
                <w:szCs w:val="20"/>
              </w:rPr>
              <w:t>5.800,00</w:t>
            </w:r>
          </w:p>
        </w:tc>
        <w:tc>
          <w:tcPr>
            <w:tcW w:w="1500" w:type="dxa"/>
            <w:tcBorders>
              <w:top w:val="single" w:sz="4" w:space="0" w:color="auto"/>
              <w:left w:val="nil"/>
              <w:bottom w:val="single" w:sz="4" w:space="0" w:color="auto"/>
              <w:right w:val="nil"/>
            </w:tcBorders>
            <w:shd w:val="clear" w:color="auto" w:fill="auto"/>
            <w:noWrap/>
            <w:vAlign w:val="bottom"/>
            <w:hideMark/>
          </w:tcPr>
          <w:p w14:paraId="52CE51F9"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502B9FD6"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4148F40F"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FD09B14"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30DA4733" w14:textId="77777777" w:rsidR="00BE6461" w:rsidRPr="00BE6461" w:rsidRDefault="00BE6461" w:rsidP="00BE6461">
            <w:pPr>
              <w:jc w:val="right"/>
              <w:rPr>
                <w:b/>
                <w:bCs/>
                <w:color w:val="333333"/>
                <w:sz w:val="20"/>
                <w:szCs w:val="20"/>
              </w:rPr>
            </w:pPr>
            <w:r w:rsidRPr="00BE6461">
              <w:rPr>
                <w:b/>
                <w:bCs/>
                <w:color w:val="333333"/>
                <w:sz w:val="20"/>
                <w:szCs w:val="20"/>
              </w:rPr>
              <w:t>5.800,00</w:t>
            </w:r>
          </w:p>
        </w:tc>
        <w:tc>
          <w:tcPr>
            <w:tcW w:w="1500" w:type="dxa"/>
            <w:tcBorders>
              <w:top w:val="nil"/>
              <w:left w:val="nil"/>
              <w:bottom w:val="nil"/>
              <w:right w:val="nil"/>
            </w:tcBorders>
            <w:shd w:val="clear" w:color="auto" w:fill="auto"/>
            <w:noWrap/>
            <w:vAlign w:val="bottom"/>
            <w:hideMark/>
          </w:tcPr>
          <w:p w14:paraId="40EA4FF6"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100" w:type="dxa"/>
            <w:tcBorders>
              <w:top w:val="nil"/>
              <w:left w:val="nil"/>
              <w:bottom w:val="nil"/>
              <w:right w:val="nil"/>
            </w:tcBorders>
            <w:shd w:val="clear" w:color="auto" w:fill="auto"/>
            <w:noWrap/>
            <w:vAlign w:val="bottom"/>
            <w:hideMark/>
          </w:tcPr>
          <w:p w14:paraId="780A6170"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0AD07CB9"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6C7AC5B" w14:textId="77777777" w:rsidR="00BE6461" w:rsidRPr="00BE6461" w:rsidRDefault="00BE6461" w:rsidP="00BE6461">
            <w:pPr>
              <w:rPr>
                <w:b/>
                <w:bCs/>
                <w:color w:val="333333"/>
                <w:sz w:val="20"/>
                <w:szCs w:val="20"/>
              </w:rPr>
            </w:pPr>
            <w:r w:rsidRPr="00BE6461">
              <w:rPr>
                <w:b/>
                <w:bCs/>
                <w:color w:val="333333"/>
                <w:sz w:val="20"/>
                <w:szCs w:val="20"/>
              </w:rPr>
              <w:lastRenderedPageBreak/>
              <w:t>Izvor 4.7. PRIHODI POSEBNE NAMJENE - PRORAČUNSKI KORISNICI</w:t>
            </w:r>
          </w:p>
        </w:tc>
        <w:tc>
          <w:tcPr>
            <w:tcW w:w="1503" w:type="dxa"/>
            <w:tcBorders>
              <w:top w:val="nil"/>
              <w:left w:val="nil"/>
              <w:bottom w:val="nil"/>
              <w:right w:val="nil"/>
            </w:tcBorders>
            <w:shd w:val="clear" w:color="auto" w:fill="auto"/>
            <w:noWrap/>
            <w:vAlign w:val="bottom"/>
            <w:hideMark/>
          </w:tcPr>
          <w:p w14:paraId="552BEEC8" w14:textId="77777777" w:rsidR="00BE6461" w:rsidRPr="00BE6461" w:rsidRDefault="00BE6461" w:rsidP="00BE6461">
            <w:pPr>
              <w:jc w:val="right"/>
              <w:rPr>
                <w:b/>
                <w:bCs/>
                <w:color w:val="333333"/>
                <w:sz w:val="20"/>
                <w:szCs w:val="20"/>
              </w:rPr>
            </w:pPr>
            <w:r w:rsidRPr="00BE6461">
              <w:rPr>
                <w:b/>
                <w:bCs/>
                <w:color w:val="333333"/>
                <w:sz w:val="20"/>
                <w:szCs w:val="20"/>
              </w:rPr>
              <w:t>5.800,00</w:t>
            </w:r>
          </w:p>
        </w:tc>
        <w:tc>
          <w:tcPr>
            <w:tcW w:w="1500" w:type="dxa"/>
            <w:tcBorders>
              <w:top w:val="nil"/>
              <w:left w:val="nil"/>
              <w:bottom w:val="nil"/>
              <w:right w:val="nil"/>
            </w:tcBorders>
            <w:shd w:val="clear" w:color="auto" w:fill="auto"/>
            <w:noWrap/>
            <w:vAlign w:val="bottom"/>
            <w:hideMark/>
          </w:tcPr>
          <w:p w14:paraId="117452B0"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100" w:type="dxa"/>
            <w:tcBorders>
              <w:top w:val="nil"/>
              <w:left w:val="nil"/>
              <w:bottom w:val="nil"/>
              <w:right w:val="nil"/>
            </w:tcBorders>
            <w:shd w:val="clear" w:color="auto" w:fill="auto"/>
            <w:noWrap/>
            <w:vAlign w:val="bottom"/>
            <w:hideMark/>
          </w:tcPr>
          <w:p w14:paraId="3694F039"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0F24E902" w14:textId="77777777" w:rsidTr="00BE6461">
        <w:trPr>
          <w:trHeight w:val="300"/>
        </w:trPr>
        <w:tc>
          <w:tcPr>
            <w:tcW w:w="1703" w:type="dxa"/>
            <w:tcBorders>
              <w:top w:val="nil"/>
              <w:left w:val="nil"/>
              <w:bottom w:val="nil"/>
              <w:right w:val="nil"/>
            </w:tcBorders>
            <w:shd w:val="clear" w:color="auto" w:fill="auto"/>
            <w:noWrap/>
            <w:vAlign w:val="bottom"/>
            <w:hideMark/>
          </w:tcPr>
          <w:p w14:paraId="7B4D79A7"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66410190"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66E5E1ED" w14:textId="77777777" w:rsidR="00BE6461" w:rsidRPr="00BE6461" w:rsidRDefault="00BE6461" w:rsidP="00BE6461">
            <w:pPr>
              <w:jc w:val="right"/>
              <w:rPr>
                <w:b/>
                <w:bCs/>
                <w:sz w:val="20"/>
                <w:szCs w:val="20"/>
              </w:rPr>
            </w:pPr>
            <w:r w:rsidRPr="00BE6461">
              <w:rPr>
                <w:b/>
                <w:bCs/>
                <w:sz w:val="20"/>
                <w:szCs w:val="20"/>
              </w:rPr>
              <w:t>5.800,00</w:t>
            </w:r>
          </w:p>
        </w:tc>
        <w:tc>
          <w:tcPr>
            <w:tcW w:w="1500" w:type="dxa"/>
            <w:tcBorders>
              <w:top w:val="nil"/>
              <w:left w:val="nil"/>
              <w:bottom w:val="nil"/>
              <w:right w:val="nil"/>
            </w:tcBorders>
            <w:shd w:val="clear" w:color="auto" w:fill="auto"/>
            <w:noWrap/>
            <w:vAlign w:val="bottom"/>
            <w:hideMark/>
          </w:tcPr>
          <w:p w14:paraId="1C194187"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0FF39843"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38E17F3F" w14:textId="77777777" w:rsidTr="00BE6461">
        <w:trPr>
          <w:trHeight w:val="300"/>
        </w:trPr>
        <w:tc>
          <w:tcPr>
            <w:tcW w:w="1703" w:type="dxa"/>
            <w:tcBorders>
              <w:top w:val="nil"/>
              <w:left w:val="nil"/>
              <w:bottom w:val="nil"/>
              <w:right w:val="nil"/>
            </w:tcBorders>
            <w:shd w:val="clear" w:color="auto" w:fill="auto"/>
            <w:noWrap/>
            <w:vAlign w:val="bottom"/>
            <w:hideMark/>
          </w:tcPr>
          <w:p w14:paraId="160B9AB7"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563B1FAB"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353ABE0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998393B"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4FD8527E" w14:textId="77777777" w:rsidR="00BE6461" w:rsidRPr="00BE6461" w:rsidRDefault="00BE6461" w:rsidP="00BE6461">
            <w:pPr>
              <w:jc w:val="right"/>
              <w:rPr>
                <w:sz w:val="20"/>
                <w:szCs w:val="20"/>
              </w:rPr>
            </w:pPr>
          </w:p>
        </w:tc>
      </w:tr>
      <w:tr w:rsidR="00BE6461" w:rsidRPr="00BE6461" w14:paraId="1F15D773"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3DDB54B3" w14:textId="77777777" w:rsidR="00BE6461" w:rsidRPr="00BE6461" w:rsidRDefault="00BE6461" w:rsidP="00BE6461">
            <w:pPr>
              <w:rPr>
                <w:b/>
                <w:bCs/>
                <w:sz w:val="20"/>
                <w:szCs w:val="20"/>
              </w:rPr>
            </w:pPr>
            <w:r w:rsidRPr="00BE6461">
              <w:rPr>
                <w:b/>
                <w:bCs/>
                <w:sz w:val="20"/>
                <w:szCs w:val="20"/>
              </w:rPr>
              <w:t>K100004</w:t>
            </w:r>
          </w:p>
        </w:tc>
        <w:tc>
          <w:tcPr>
            <w:tcW w:w="8457" w:type="dxa"/>
            <w:tcBorders>
              <w:top w:val="single" w:sz="4" w:space="0" w:color="auto"/>
              <w:left w:val="nil"/>
              <w:bottom w:val="single" w:sz="4" w:space="0" w:color="auto"/>
              <w:right w:val="nil"/>
            </w:tcBorders>
            <w:shd w:val="clear" w:color="auto" w:fill="auto"/>
            <w:vAlign w:val="bottom"/>
            <w:hideMark/>
          </w:tcPr>
          <w:p w14:paraId="224D3570" w14:textId="77777777" w:rsidR="00BE6461" w:rsidRPr="00BE6461" w:rsidRDefault="00BE6461" w:rsidP="00BE6461">
            <w:pPr>
              <w:rPr>
                <w:b/>
                <w:bCs/>
                <w:sz w:val="20"/>
                <w:szCs w:val="20"/>
              </w:rPr>
            </w:pPr>
            <w:r w:rsidRPr="00BE6461">
              <w:rPr>
                <w:b/>
                <w:bCs/>
                <w:sz w:val="20"/>
                <w:szCs w:val="20"/>
              </w:rPr>
              <w:t>Kapitalni projekt: NABAVA NEFINANCIJSKE IMOVINE - TDV</w:t>
            </w:r>
          </w:p>
        </w:tc>
        <w:tc>
          <w:tcPr>
            <w:tcW w:w="1503" w:type="dxa"/>
            <w:tcBorders>
              <w:top w:val="single" w:sz="4" w:space="0" w:color="auto"/>
              <w:left w:val="nil"/>
              <w:bottom w:val="single" w:sz="4" w:space="0" w:color="auto"/>
              <w:right w:val="nil"/>
            </w:tcBorders>
            <w:shd w:val="clear" w:color="auto" w:fill="auto"/>
            <w:noWrap/>
            <w:vAlign w:val="bottom"/>
            <w:hideMark/>
          </w:tcPr>
          <w:p w14:paraId="0707DE6F" w14:textId="77777777" w:rsidR="00BE6461" w:rsidRPr="00BE6461" w:rsidRDefault="00BE6461" w:rsidP="00BE6461">
            <w:pPr>
              <w:jc w:val="right"/>
              <w:rPr>
                <w:b/>
                <w:bCs/>
                <w:sz w:val="20"/>
                <w:szCs w:val="20"/>
              </w:rPr>
            </w:pPr>
            <w:r w:rsidRPr="00BE6461">
              <w:rPr>
                <w:b/>
                <w:bCs/>
                <w:sz w:val="20"/>
                <w:szCs w:val="20"/>
              </w:rPr>
              <w:t>33.887,21</w:t>
            </w:r>
          </w:p>
        </w:tc>
        <w:tc>
          <w:tcPr>
            <w:tcW w:w="1500" w:type="dxa"/>
            <w:tcBorders>
              <w:top w:val="single" w:sz="4" w:space="0" w:color="auto"/>
              <w:left w:val="nil"/>
              <w:bottom w:val="single" w:sz="4" w:space="0" w:color="auto"/>
              <w:right w:val="nil"/>
            </w:tcBorders>
            <w:shd w:val="clear" w:color="auto" w:fill="auto"/>
            <w:noWrap/>
            <w:vAlign w:val="bottom"/>
            <w:hideMark/>
          </w:tcPr>
          <w:p w14:paraId="53ED0C82" w14:textId="77777777" w:rsidR="00BE6461" w:rsidRPr="00BE6461" w:rsidRDefault="00BE6461" w:rsidP="00BE6461">
            <w:pPr>
              <w:jc w:val="right"/>
              <w:rPr>
                <w:b/>
                <w:bCs/>
                <w:sz w:val="20"/>
                <w:szCs w:val="20"/>
              </w:rPr>
            </w:pPr>
            <w:r w:rsidRPr="00BE6461">
              <w:rPr>
                <w:b/>
                <w:bCs/>
                <w:sz w:val="20"/>
                <w:szCs w:val="20"/>
              </w:rPr>
              <w:t>70.709,90</w:t>
            </w:r>
          </w:p>
        </w:tc>
        <w:tc>
          <w:tcPr>
            <w:tcW w:w="1100" w:type="dxa"/>
            <w:tcBorders>
              <w:top w:val="single" w:sz="4" w:space="0" w:color="auto"/>
              <w:left w:val="nil"/>
              <w:bottom w:val="single" w:sz="4" w:space="0" w:color="auto"/>
              <w:right w:val="nil"/>
            </w:tcBorders>
            <w:shd w:val="clear" w:color="auto" w:fill="auto"/>
            <w:noWrap/>
            <w:vAlign w:val="bottom"/>
            <w:hideMark/>
          </w:tcPr>
          <w:p w14:paraId="4805BC4E" w14:textId="77777777" w:rsidR="00BE6461" w:rsidRPr="00BE6461" w:rsidRDefault="00BE6461" w:rsidP="00BE6461">
            <w:pPr>
              <w:jc w:val="right"/>
              <w:rPr>
                <w:b/>
                <w:bCs/>
                <w:sz w:val="20"/>
                <w:szCs w:val="20"/>
              </w:rPr>
            </w:pPr>
            <w:r w:rsidRPr="00BE6461">
              <w:rPr>
                <w:b/>
                <w:bCs/>
                <w:sz w:val="20"/>
                <w:szCs w:val="20"/>
              </w:rPr>
              <w:t>208,66</w:t>
            </w:r>
          </w:p>
        </w:tc>
      </w:tr>
      <w:tr w:rsidR="00BE6461" w:rsidRPr="00BE6461" w14:paraId="7C3CBA12"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3F72BD3"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5C58F759" w14:textId="77777777" w:rsidR="00BE6461" w:rsidRPr="00BE6461" w:rsidRDefault="00BE6461" w:rsidP="00BE6461">
            <w:pPr>
              <w:jc w:val="right"/>
              <w:rPr>
                <w:b/>
                <w:bCs/>
                <w:color w:val="333333"/>
                <w:sz w:val="20"/>
                <w:szCs w:val="20"/>
              </w:rPr>
            </w:pPr>
            <w:r w:rsidRPr="00BE6461">
              <w:rPr>
                <w:b/>
                <w:bCs/>
                <w:color w:val="333333"/>
                <w:sz w:val="20"/>
                <w:szCs w:val="20"/>
              </w:rPr>
              <w:t>4.000,00</w:t>
            </w:r>
          </w:p>
        </w:tc>
        <w:tc>
          <w:tcPr>
            <w:tcW w:w="1500" w:type="dxa"/>
            <w:tcBorders>
              <w:top w:val="nil"/>
              <w:left w:val="nil"/>
              <w:bottom w:val="nil"/>
              <w:right w:val="nil"/>
            </w:tcBorders>
            <w:shd w:val="clear" w:color="auto" w:fill="auto"/>
            <w:noWrap/>
            <w:vAlign w:val="bottom"/>
            <w:hideMark/>
          </w:tcPr>
          <w:p w14:paraId="5C15E5ED"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100" w:type="dxa"/>
            <w:tcBorders>
              <w:top w:val="nil"/>
              <w:left w:val="nil"/>
              <w:bottom w:val="nil"/>
              <w:right w:val="nil"/>
            </w:tcBorders>
            <w:shd w:val="clear" w:color="auto" w:fill="auto"/>
            <w:noWrap/>
            <w:vAlign w:val="bottom"/>
            <w:hideMark/>
          </w:tcPr>
          <w:p w14:paraId="4F2291B5"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4DA4239F"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0BB4544" w14:textId="77777777" w:rsidR="00BE6461" w:rsidRPr="00BE6461" w:rsidRDefault="00BE6461" w:rsidP="00BE6461">
            <w:pPr>
              <w:rPr>
                <w:b/>
                <w:bCs/>
                <w:color w:val="333333"/>
                <w:sz w:val="20"/>
                <w:szCs w:val="20"/>
              </w:rPr>
            </w:pPr>
            <w:r w:rsidRPr="00BE6461">
              <w:rPr>
                <w:b/>
                <w:bCs/>
                <w:color w:val="333333"/>
                <w:sz w:val="20"/>
                <w:szCs w:val="20"/>
              </w:rPr>
              <w:t>Izvor 4.7. PRIHODI POSEBNE NAMJENE - PRORAČUNSKI KORISNICI</w:t>
            </w:r>
          </w:p>
        </w:tc>
        <w:tc>
          <w:tcPr>
            <w:tcW w:w="1503" w:type="dxa"/>
            <w:tcBorders>
              <w:top w:val="nil"/>
              <w:left w:val="nil"/>
              <w:bottom w:val="nil"/>
              <w:right w:val="nil"/>
            </w:tcBorders>
            <w:shd w:val="clear" w:color="auto" w:fill="auto"/>
            <w:noWrap/>
            <w:vAlign w:val="bottom"/>
            <w:hideMark/>
          </w:tcPr>
          <w:p w14:paraId="6B5D1DF0" w14:textId="77777777" w:rsidR="00BE6461" w:rsidRPr="00BE6461" w:rsidRDefault="00BE6461" w:rsidP="00BE6461">
            <w:pPr>
              <w:jc w:val="right"/>
              <w:rPr>
                <w:b/>
                <w:bCs/>
                <w:color w:val="333333"/>
                <w:sz w:val="20"/>
                <w:szCs w:val="20"/>
              </w:rPr>
            </w:pPr>
            <w:r w:rsidRPr="00BE6461">
              <w:rPr>
                <w:b/>
                <w:bCs/>
                <w:color w:val="333333"/>
                <w:sz w:val="20"/>
                <w:szCs w:val="20"/>
              </w:rPr>
              <w:t>4.000,00</w:t>
            </w:r>
          </w:p>
        </w:tc>
        <w:tc>
          <w:tcPr>
            <w:tcW w:w="1500" w:type="dxa"/>
            <w:tcBorders>
              <w:top w:val="nil"/>
              <w:left w:val="nil"/>
              <w:bottom w:val="nil"/>
              <w:right w:val="nil"/>
            </w:tcBorders>
            <w:shd w:val="clear" w:color="auto" w:fill="auto"/>
            <w:noWrap/>
            <w:vAlign w:val="bottom"/>
            <w:hideMark/>
          </w:tcPr>
          <w:p w14:paraId="6E527107"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100" w:type="dxa"/>
            <w:tcBorders>
              <w:top w:val="nil"/>
              <w:left w:val="nil"/>
              <w:bottom w:val="nil"/>
              <w:right w:val="nil"/>
            </w:tcBorders>
            <w:shd w:val="clear" w:color="auto" w:fill="auto"/>
            <w:noWrap/>
            <w:vAlign w:val="bottom"/>
            <w:hideMark/>
          </w:tcPr>
          <w:p w14:paraId="6BC708A9"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023C3BAC" w14:textId="77777777" w:rsidTr="00BE6461">
        <w:trPr>
          <w:trHeight w:val="300"/>
        </w:trPr>
        <w:tc>
          <w:tcPr>
            <w:tcW w:w="1703" w:type="dxa"/>
            <w:tcBorders>
              <w:top w:val="nil"/>
              <w:left w:val="nil"/>
              <w:bottom w:val="nil"/>
              <w:right w:val="nil"/>
            </w:tcBorders>
            <w:shd w:val="clear" w:color="auto" w:fill="auto"/>
            <w:noWrap/>
            <w:vAlign w:val="bottom"/>
            <w:hideMark/>
          </w:tcPr>
          <w:p w14:paraId="2CF757B7" w14:textId="77777777" w:rsidR="00BE6461" w:rsidRPr="00BE6461" w:rsidRDefault="00BE6461" w:rsidP="00BE6461">
            <w:pPr>
              <w:rPr>
                <w:b/>
                <w:bCs/>
                <w:sz w:val="20"/>
                <w:szCs w:val="20"/>
              </w:rPr>
            </w:pPr>
            <w:r w:rsidRPr="00BE6461">
              <w:rPr>
                <w:b/>
                <w:bCs/>
                <w:sz w:val="20"/>
                <w:szCs w:val="20"/>
              </w:rPr>
              <w:t>422</w:t>
            </w:r>
          </w:p>
        </w:tc>
        <w:tc>
          <w:tcPr>
            <w:tcW w:w="8457" w:type="dxa"/>
            <w:tcBorders>
              <w:top w:val="nil"/>
              <w:left w:val="nil"/>
              <w:bottom w:val="nil"/>
              <w:right w:val="nil"/>
            </w:tcBorders>
            <w:shd w:val="clear" w:color="auto" w:fill="auto"/>
            <w:vAlign w:val="bottom"/>
            <w:hideMark/>
          </w:tcPr>
          <w:p w14:paraId="27ECCFDD" w14:textId="77777777" w:rsidR="00BE6461" w:rsidRPr="00BE6461" w:rsidRDefault="00BE6461" w:rsidP="00BE6461">
            <w:pPr>
              <w:rPr>
                <w:b/>
                <w:bCs/>
                <w:sz w:val="20"/>
                <w:szCs w:val="20"/>
              </w:rPr>
            </w:pPr>
            <w:r w:rsidRPr="00BE6461">
              <w:rPr>
                <w:b/>
                <w:bCs/>
                <w:sz w:val="20"/>
                <w:szCs w:val="20"/>
              </w:rPr>
              <w:t xml:space="preserve">Postrojenja i oprema                                                                                </w:t>
            </w:r>
          </w:p>
        </w:tc>
        <w:tc>
          <w:tcPr>
            <w:tcW w:w="1503" w:type="dxa"/>
            <w:tcBorders>
              <w:top w:val="nil"/>
              <w:left w:val="nil"/>
              <w:bottom w:val="nil"/>
              <w:right w:val="nil"/>
            </w:tcBorders>
            <w:shd w:val="clear" w:color="auto" w:fill="auto"/>
            <w:noWrap/>
            <w:vAlign w:val="bottom"/>
            <w:hideMark/>
          </w:tcPr>
          <w:p w14:paraId="42EF1698" w14:textId="77777777" w:rsidR="00BE6461" w:rsidRPr="00BE6461" w:rsidRDefault="00BE6461" w:rsidP="00BE6461">
            <w:pPr>
              <w:jc w:val="right"/>
              <w:rPr>
                <w:b/>
                <w:bCs/>
                <w:sz w:val="20"/>
                <w:szCs w:val="20"/>
              </w:rPr>
            </w:pPr>
            <w:r w:rsidRPr="00BE6461">
              <w:rPr>
                <w:b/>
                <w:bCs/>
                <w:sz w:val="20"/>
                <w:szCs w:val="20"/>
              </w:rPr>
              <w:t>4.000,00</w:t>
            </w:r>
          </w:p>
        </w:tc>
        <w:tc>
          <w:tcPr>
            <w:tcW w:w="1500" w:type="dxa"/>
            <w:tcBorders>
              <w:top w:val="nil"/>
              <w:left w:val="nil"/>
              <w:bottom w:val="nil"/>
              <w:right w:val="nil"/>
            </w:tcBorders>
            <w:shd w:val="clear" w:color="auto" w:fill="auto"/>
            <w:noWrap/>
            <w:vAlign w:val="bottom"/>
            <w:hideMark/>
          </w:tcPr>
          <w:p w14:paraId="69429FBB"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3BF6B2F5"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4424B74A" w14:textId="77777777" w:rsidTr="00BE6461">
        <w:trPr>
          <w:trHeight w:val="300"/>
        </w:trPr>
        <w:tc>
          <w:tcPr>
            <w:tcW w:w="1703" w:type="dxa"/>
            <w:tcBorders>
              <w:top w:val="nil"/>
              <w:left w:val="nil"/>
              <w:bottom w:val="nil"/>
              <w:right w:val="nil"/>
            </w:tcBorders>
            <w:shd w:val="clear" w:color="auto" w:fill="auto"/>
            <w:noWrap/>
            <w:vAlign w:val="bottom"/>
            <w:hideMark/>
          </w:tcPr>
          <w:p w14:paraId="5BC9E0B7" w14:textId="77777777" w:rsidR="00BE6461" w:rsidRPr="00BE6461" w:rsidRDefault="00BE6461" w:rsidP="00BE6461">
            <w:pPr>
              <w:rPr>
                <w:sz w:val="20"/>
                <w:szCs w:val="20"/>
              </w:rPr>
            </w:pPr>
            <w:r w:rsidRPr="00BE6461">
              <w:rPr>
                <w:sz w:val="20"/>
                <w:szCs w:val="20"/>
              </w:rPr>
              <w:t>4227</w:t>
            </w:r>
          </w:p>
        </w:tc>
        <w:tc>
          <w:tcPr>
            <w:tcW w:w="8457" w:type="dxa"/>
            <w:tcBorders>
              <w:top w:val="nil"/>
              <w:left w:val="nil"/>
              <w:bottom w:val="nil"/>
              <w:right w:val="nil"/>
            </w:tcBorders>
            <w:shd w:val="clear" w:color="auto" w:fill="auto"/>
            <w:vAlign w:val="bottom"/>
            <w:hideMark/>
          </w:tcPr>
          <w:p w14:paraId="6ABEC544" w14:textId="77777777" w:rsidR="00BE6461" w:rsidRPr="00BE6461" w:rsidRDefault="00BE6461" w:rsidP="00BE6461">
            <w:pPr>
              <w:rPr>
                <w:sz w:val="20"/>
                <w:szCs w:val="20"/>
              </w:rPr>
            </w:pPr>
            <w:r w:rsidRPr="00BE6461">
              <w:rPr>
                <w:sz w:val="20"/>
                <w:szCs w:val="20"/>
              </w:rPr>
              <w:t xml:space="preserve">Uređaji, strojevi i oprema za ostale namjene                                                        </w:t>
            </w:r>
          </w:p>
        </w:tc>
        <w:tc>
          <w:tcPr>
            <w:tcW w:w="1503" w:type="dxa"/>
            <w:tcBorders>
              <w:top w:val="nil"/>
              <w:left w:val="nil"/>
              <w:bottom w:val="nil"/>
              <w:right w:val="nil"/>
            </w:tcBorders>
            <w:shd w:val="clear" w:color="auto" w:fill="auto"/>
            <w:noWrap/>
            <w:vAlign w:val="bottom"/>
            <w:hideMark/>
          </w:tcPr>
          <w:p w14:paraId="33A2AB0E"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288FA67"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5BFAEB60" w14:textId="77777777" w:rsidR="00BE6461" w:rsidRPr="00BE6461" w:rsidRDefault="00BE6461" w:rsidP="00BE6461">
            <w:pPr>
              <w:jc w:val="right"/>
              <w:rPr>
                <w:sz w:val="20"/>
                <w:szCs w:val="20"/>
              </w:rPr>
            </w:pPr>
          </w:p>
        </w:tc>
      </w:tr>
      <w:tr w:rsidR="00BE6461" w:rsidRPr="00BE6461" w14:paraId="28DEF54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F987490" w14:textId="77777777" w:rsidR="00BE6461" w:rsidRPr="00BE6461" w:rsidRDefault="00BE6461" w:rsidP="00BE6461">
            <w:pPr>
              <w:rPr>
                <w:b/>
                <w:bCs/>
                <w:color w:val="333333"/>
                <w:sz w:val="20"/>
                <w:szCs w:val="20"/>
              </w:rPr>
            </w:pPr>
            <w:r w:rsidRPr="00BE6461">
              <w:rPr>
                <w:b/>
                <w:bCs/>
                <w:color w:val="333333"/>
                <w:sz w:val="20"/>
                <w:szCs w:val="20"/>
              </w:rPr>
              <w:t>Izvor 6. DONACIJE</w:t>
            </w:r>
          </w:p>
        </w:tc>
        <w:tc>
          <w:tcPr>
            <w:tcW w:w="1503" w:type="dxa"/>
            <w:tcBorders>
              <w:top w:val="nil"/>
              <w:left w:val="nil"/>
              <w:bottom w:val="nil"/>
              <w:right w:val="nil"/>
            </w:tcBorders>
            <w:shd w:val="clear" w:color="auto" w:fill="auto"/>
            <w:noWrap/>
            <w:vAlign w:val="bottom"/>
            <w:hideMark/>
          </w:tcPr>
          <w:p w14:paraId="26BC9A9F" w14:textId="77777777" w:rsidR="00BE6461" w:rsidRPr="00BE6461" w:rsidRDefault="00BE6461" w:rsidP="00BE6461">
            <w:pPr>
              <w:jc w:val="right"/>
              <w:rPr>
                <w:b/>
                <w:bCs/>
                <w:color w:val="333333"/>
                <w:sz w:val="20"/>
                <w:szCs w:val="20"/>
              </w:rPr>
            </w:pPr>
            <w:r w:rsidRPr="00BE6461">
              <w:rPr>
                <w:b/>
                <w:bCs/>
                <w:color w:val="333333"/>
                <w:sz w:val="20"/>
                <w:szCs w:val="20"/>
              </w:rPr>
              <w:t>29.887,21</w:t>
            </w:r>
          </w:p>
        </w:tc>
        <w:tc>
          <w:tcPr>
            <w:tcW w:w="1500" w:type="dxa"/>
            <w:tcBorders>
              <w:top w:val="nil"/>
              <w:left w:val="nil"/>
              <w:bottom w:val="nil"/>
              <w:right w:val="nil"/>
            </w:tcBorders>
            <w:shd w:val="clear" w:color="auto" w:fill="auto"/>
            <w:noWrap/>
            <w:vAlign w:val="bottom"/>
            <w:hideMark/>
          </w:tcPr>
          <w:p w14:paraId="2C84853A" w14:textId="77777777" w:rsidR="00BE6461" w:rsidRPr="00BE6461" w:rsidRDefault="00BE6461" w:rsidP="00BE6461">
            <w:pPr>
              <w:jc w:val="right"/>
              <w:rPr>
                <w:b/>
                <w:bCs/>
                <w:color w:val="333333"/>
                <w:sz w:val="20"/>
                <w:szCs w:val="20"/>
              </w:rPr>
            </w:pPr>
            <w:r w:rsidRPr="00BE6461">
              <w:rPr>
                <w:b/>
                <w:bCs/>
                <w:color w:val="333333"/>
                <w:sz w:val="20"/>
                <w:szCs w:val="20"/>
              </w:rPr>
              <w:t>70.709,90</w:t>
            </w:r>
          </w:p>
        </w:tc>
        <w:tc>
          <w:tcPr>
            <w:tcW w:w="1100" w:type="dxa"/>
            <w:tcBorders>
              <w:top w:val="nil"/>
              <w:left w:val="nil"/>
              <w:bottom w:val="nil"/>
              <w:right w:val="nil"/>
            </w:tcBorders>
            <w:shd w:val="clear" w:color="auto" w:fill="auto"/>
            <w:noWrap/>
            <w:vAlign w:val="bottom"/>
            <w:hideMark/>
          </w:tcPr>
          <w:p w14:paraId="72F7D623" w14:textId="77777777" w:rsidR="00BE6461" w:rsidRPr="00BE6461" w:rsidRDefault="00BE6461" w:rsidP="00BE6461">
            <w:pPr>
              <w:jc w:val="right"/>
              <w:rPr>
                <w:b/>
                <w:bCs/>
                <w:color w:val="333333"/>
                <w:sz w:val="20"/>
                <w:szCs w:val="20"/>
              </w:rPr>
            </w:pPr>
            <w:r w:rsidRPr="00BE6461">
              <w:rPr>
                <w:b/>
                <w:bCs/>
                <w:color w:val="333333"/>
                <w:sz w:val="20"/>
                <w:szCs w:val="20"/>
              </w:rPr>
              <w:t>236,59</w:t>
            </w:r>
          </w:p>
        </w:tc>
      </w:tr>
      <w:tr w:rsidR="00BE6461" w:rsidRPr="00BE6461" w14:paraId="3624DDA0"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C746250" w14:textId="77777777" w:rsidR="00BE6461" w:rsidRPr="00BE6461" w:rsidRDefault="00BE6461" w:rsidP="00BE6461">
            <w:pPr>
              <w:rPr>
                <w:b/>
                <w:bCs/>
                <w:color w:val="333333"/>
                <w:sz w:val="20"/>
                <w:szCs w:val="20"/>
              </w:rPr>
            </w:pPr>
            <w:r w:rsidRPr="00BE6461">
              <w:rPr>
                <w:b/>
                <w:bCs/>
                <w:color w:val="333333"/>
                <w:sz w:val="20"/>
                <w:szCs w:val="20"/>
              </w:rPr>
              <w:t>Izvor 6.3. DONACIJE - PRORAČUNSKI KORISNICI (DIREKTNO)</w:t>
            </w:r>
          </w:p>
        </w:tc>
        <w:tc>
          <w:tcPr>
            <w:tcW w:w="1503" w:type="dxa"/>
            <w:tcBorders>
              <w:top w:val="nil"/>
              <w:left w:val="nil"/>
              <w:bottom w:val="nil"/>
              <w:right w:val="nil"/>
            </w:tcBorders>
            <w:shd w:val="clear" w:color="auto" w:fill="auto"/>
            <w:noWrap/>
            <w:vAlign w:val="bottom"/>
            <w:hideMark/>
          </w:tcPr>
          <w:p w14:paraId="67EC4F68" w14:textId="77777777" w:rsidR="00BE6461" w:rsidRPr="00BE6461" w:rsidRDefault="00BE6461" w:rsidP="00BE6461">
            <w:pPr>
              <w:jc w:val="right"/>
              <w:rPr>
                <w:b/>
                <w:bCs/>
                <w:color w:val="333333"/>
                <w:sz w:val="20"/>
                <w:szCs w:val="20"/>
              </w:rPr>
            </w:pPr>
            <w:r w:rsidRPr="00BE6461">
              <w:rPr>
                <w:b/>
                <w:bCs/>
                <w:color w:val="333333"/>
                <w:sz w:val="20"/>
                <w:szCs w:val="20"/>
              </w:rPr>
              <w:t>29.887,21</w:t>
            </w:r>
          </w:p>
        </w:tc>
        <w:tc>
          <w:tcPr>
            <w:tcW w:w="1500" w:type="dxa"/>
            <w:tcBorders>
              <w:top w:val="nil"/>
              <w:left w:val="nil"/>
              <w:bottom w:val="nil"/>
              <w:right w:val="nil"/>
            </w:tcBorders>
            <w:shd w:val="clear" w:color="auto" w:fill="auto"/>
            <w:noWrap/>
            <w:vAlign w:val="bottom"/>
            <w:hideMark/>
          </w:tcPr>
          <w:p w14:paraId="6FAF3965" w14:textId="77777777" w:rsidR="00BE6461" w:rsidRPr="00BE6461" w:rsidRDefault="00BE6461" w:rsidP="00BE6461">
            <w:pPr>
              <w:jc w:val="right"/>
              <w:rPr>
                <w:b/>
                <w:bCs/>
                <w:color w:val="333333"/>
                <w:sz w:val="20"/>
                <w:szCs w:val="20"/>
              </w:rPr>
            </w:pPr>
            <w:r w:rsidRPr="00BE6461">
              <w:rPr>
                <w:b/>
                <w:bCs/>
                <w:color w:val="333333"/>
                <w:sz w:val="20"/>
                <w:szCs w:val="20"/>
              </w:rPr>
              <w:t>70.709,90</w:t>
            </w:r>
          </w:p>
        </w:tc>
        <w:tc>
          <w:tcPr>
            <w:tcW w:w="1100" w:type="dxa"/>
            <w:tcBorders>
              <w:top w:val="nil"/>
              <w:left w:val="nil"/>
              <w:bottom w:val="nil"/>
              <w:right w:val="nil"/>
            </w:tcBorders>
            <w:shd w:val="clear" w:color="auto" w:fill="auto"/>
            <w:noWrap/>
            <w:vAlign w:val="bottom"/>
            <w:hideMark/>
          </w:tcPr>
          <w:p w14:paraId="3039D81F" w14:textId="77777777" w:rsidR="00BE6461" w:rsidRPr="00BE6461" w:rsidRDefault="00BE6461" w:rsidP="00BE6461">
            <w:pPr>
              <w:jc w:val="right"/>
              <w:rPr>
                <w:b/>
                <w:bCs/>
                <w:color w:val="333333"/>
                <w:sz w:val="20"/>
                <w:szCs w:val="20"/>
              </w:rPr>
            </w:pPr>
            <w:r w:rsidRPr="00BE6461">
              <w:rPr>
                <w:b/>
                <w:bCs/>
                <w:color w:val="333333"/>
                <w:sz w:val="20"/>
                <w:szCs w:val="20"/>
              </w:rPr>
              <w:t>236,59</w:t>
            </w:r>
          </w:p>
        </w:tc>
      </w:tr>
      <w:tr w:rsidR="00BE6461" w:rsidRPr="00BE6461" w14:paraId="1F271546" w14:textId="77777777" w:rsidTr="00BE6461">
        <w:trPr>
          <w:trHeight w:val="300"/>
        </w:trPr>
        <w:tc>
          <w:tcPr>
            <w:tcW w:w="1703" w:type="dxa"/>
            <w:tcBorders>
              <w:top w:val="nil"/>
              <w:left w:val="nil"/>
              <w:bottom w:val="nil"/>
              <w:right w:val="nil"/>
            </w:tcBorders>
            <w:shd w:val="clear" w:color="auto" w:fill="auto"/>
            <w:noWrap/>
            <w:vAlign w:val="bottom"/>
            <w:hideMark/>
          </w:tcPr>
          <w:p w14:paraId="3F571E17" w14:textId="77777777" w:rsidR="00BE6461" w:rsidRPr="00BE6461" w:rsidRDefault="00BE6461" w:rsidP="00BE6461">
            <w:pPr>
              <w:rPr>
                <w:b/>
                <w:bCs/>
                <w:sz w:val="20"/>
                <w:szCs w:val="20"/>
              </w:rPr>
            </w:pPr>
            <w:r w:rsidRPr="00BE6461">
              <w:rPr>
                <w:b/>
                <w:bCs/>
                <w:sz w:val="20"/>
                <w:szCs w:val="20"/>
              </w:rPr>
              <w:t>422</w:t>
            </w:r>
          </w:p>
        </w:tc>
        <w:tc>
          <w:tcPr>
            <w:tcW w:w="8457" w:type="dxa"/>
            <w:tcBorders>
              <w:top w:val="nil"/>
              <w:left w:val="nil"/>
              <w:bottom w:val="nil"/>
              <w:right w:val="nil"/>
            </w:tcBorders>
            <w:shd w:val="clear" w:color="auto" w:fill="auto"/>
            <w:vAlign w:val="bottom"/>
            <w:hideMark/>
          </w:tcPr>
          <w:p w14:paraId="0C2A1F77" w14:textId="77777777" w:rsidR="00BE6461" w:rsidRPr="00BE6461" w:rsidRDefault="00BE6461" w:rsidP="00BE6461">
            <w:pPr>
              <w:rPr>
                <w:b/>
                <w:bCs/>
                <w:sz w:val="20"/>
                <w:szCs w:val="20"/>
              </w:rPr>
            </w:pPr>
            <w:r w:rsidRPr="00BE6461">
              <w:rPr>
                <w:b/>
                <w:bCs/>
                <w:sz w:val="20"/>
                <w:szCs w:val="20"/>
              </w:rPr>
              <w:t xml:space="preserve">Postrojenja i oprema                                                                                </w:t>
            </w:r>
          </w:p>
        </w:tc>
        <w:tc>
          <w:tcPr>
            <w:tcW w:w="1503" w:type="dxa"/>
            <w:tcBorders>
              <w:top w:val="nil"/>
              <w:left w:val="nil"/>
              <w:bottom w:val="nil"/>
              <w:right w:val="nil"/>
            </w:tcBorders>
            <w:shd w:val="clear" w:color="auto" w:fill="auto"/>
            <w:noWrap/>
            <w:vAlign w:val="bottom"/>
            <w:hideMark/>
          </w:tcPr>
          <w:p w14:paraId="4705DA2B" w14:textId="77777777" w:rsidR="00BE6461" w:rsidRPr="00BE6461" w:rsidRDefault="00BE6461" w:rsidP="00BE6461">
            <w:pPr>
              <w:jc w:val="right"/>
              <w:rPr>
                <w:b/>
                <w:bCs/>
                <w:sz w:val="20"/>
                <w:szCs w:val="20"/>
              </w:rPr>
            </w:pPr>
            <w:r w:rsidRPr="00BE6461">
              <w:rPr>
                <w:b/>
                <w:bCs/>
                <w:sz w:val="20"/>
                <w:szCs w:val="20"/>
              </w:rPr>
              <w:t>18.610,85</w:t>
            </w:r>
          </w:p>
        </w:tc>
        <w:tc>
          <w:tcPr>
            <w:tcW w:w="1500" w:type="dxa"/>
            <w:tcBorders>
              <w:top w:val="nil"/>
              <w:left w:val="nil"/>
              <w:bottom w:val="nil"/>
              <w:right w:val="nil"/>
            </w:tcBorders>
            <w:shd w:val="clear" w:color="auto" w:fill="auto"/>
            <w:noWrap/>
            <w:vAlign w:val="bottom"/>
            <w:hideMark/>
          </w:tcPr>
          <w:p w14:paraId="468F7777" w14:textId="77777777" w:rsidR="00BE6461" w:rsidRPr="00BE6461" w:rsidRDefault="00BE6461" w:rsidP="00BE6461">
            <w:pPr>
              <w:jc w:val="right"/>
              <w:rPr>
                <w:b/>
                <w:bCs/>
                <w:sz w:val="20"/>
                <w:szCs w:val="20"/>
              </w:rPr>
            </w:pPr>
            <w:r w:rsidRPr="00BE6461">
              <w:rPr>
                <w:b/>
                <w:bCs/>
                <w:sz w:val="20"/>
                <w:szCs w:val="20"/>
              </w:rPr>
              <w:t>70.709,90</w:t>
            </w:r>
          </w:p>
        </w:tc>
        <w:tc>
          <w:tcPr>
            <w:tcW w:w="1100" w:type="dxa"/>
            <w:tcBorders>
              <w:top w:val="nil"/>
              <w:left w:val="nil"/>
              <w:bottom w:val="nil"/>
              <w:right w:val="nil"/>
            </w:tcBorders>
            <w:shd w:val="clear" w:color="auto" w:fill="auto"/>
            <w:noWrap/>
            <w:vAlign w:val="bottom"/>
            <w:hideMark/>
          </w:tcPr>
          <w:p w14:paraId="08E6F3E4" w14:textId="77777777" w:rsidR="00BE6461" w:rsidRPr="00BE6461" w:rsidRDefault="00BE6461" w:rsidP="00BE6461">
            <w:pPr>
              <w:jc w:val="right"/>
              <w:rPr>
                <w:b/>
                <w:bCs/>
                <w:sz w:val="20"/>
                <w:szCs w:val="20"/>
              </w:rPr>
            </w:pPr>
            <w:r w:rsidRPr="00BE6461">
              <w:rPr>
                <w:b/>
                <w:bCs/>
                <w:sz w:val="20"/>
                <w:szCs w:val="20"/>
              </w:rPr>
              <w:t>379,94</w:t>
            </w:r>
          </w:p>
        </w:tc>
      </w:tr>
      <w:tr w:rsidR="00BE6461" w:rsidRPr="00BE6461" w14:paraId="2B226BCF" w14:textId="77777777" w:rsidTr="00BE6461">
        <w:trPr>
          <w:trHeight w:val="300"/>
        </w:trPr>
        <w:tc>
          <w:tcPr>
            <w:tcW w:w="1703" w:type="dxa"/>
            <w:tcBorders>
              <w:top w:val="nil"/>
              <w:left w:val="nil"/>
              <w:bottom w:val="nil"/>
              <w:right w:val="nil"/>
            </w:tcBorders>
            <w:shd w:val="clear" w:color="auto" w:fill="auto"/>
            <w:noWrap/>
            <w:vAlign w:val="bottom"/>
            <w:hideMark/>
          </w:tcPr>
          <w:p w14:paraId="3967CEAF" w14:textId="77777777" w:rsidR="00BE6461" w:rsidRPr="00BE6461" w:rsidRDefault="00BE6461" w:rsidP="00BE6461">
            <w:pPr>
              <w:rPr>
                <w:sz w:val="20"/>
                <w:szCs w:val="20"/>
              </w:rPr>
            </w:pPr>
            <w:r w:rsidRPr="00BE6461">
              <w:rPr>
                <w:sz w:val="20"/>
                <w:szCs w:val="20"/>
              </w:rPr>
              <w:t>4221</w:t>
            </w:r>
          </w:p>
        </w:tc>
        <w:tc>
          <w:tcPr>
            <w:tcW w:w="8457" w:type="dxa"/>
            <w:tcBorders>
              <w:top w:val="nil"/>
              <w:left w:val="nil"/>
              <w:bottom w:val="nil"/>
              <w:right w:val="nil"/>
            </w:tcBorders>
            <w:shd w:val="clear" w:color="auto" w:fill="auto"/>
            <w:vAlign w:val="bottom"/>
            <w:hideMark/>
          </w:tcPr>
          <w:p w14:paraId="5E70E883" w14:textId="77777777" w:rsidR="00BE6461" w:rsidRPr="00BE6461" w:rsidRDefault="00BE6461" w:rsidP="00BE6461">
            <w:pPr>
              <w:rPr>
                <w:sz w:val="20"/>
                <w:szCs w:val="20"/>
              </w:rPr>
            </w:pPr>
            <w:r w:rsidRPr="00BE6461">
              <w:rPr>
                <w:sz w:val="20"/>
                <w:szCs w:val="20"/>
              </w:rPr>
              <w:t xml:space="preserve">Uredska oprema i namještaj                                                                          </w:t>
            </w:r>
          </w:p>
        </w:tc>
        <w:tc>
          <w:tcPr>
            <w:tcW w:w="1503" w:type="dxa"/>
            <w:tcBorders>
              <w:top w:val="nil"/>
              <w:left w:val="nil"/>
              <w:bottom w:val="nil"/>
              <w:right w:val="nil"/>
            </w:tcBorders>
            <w:shd w:val="clear" w:color="auto" w:fill="auto"/>
            <w:noWrap/>
            <w:vAlign w:val="bottom"/>
            <w:hideMark/>
          </w:tcPr>
          <w:p w14:paraId="2C94DAB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5981C69" w14:textId="77777777" w:rsidR="00BE6461" w:rsidRPr="00BE6461" w:rsidRDefault="00BE6461" w:rsidP="00BE6461">
            <w:pPr>
              <w:jc w:val="right"/>
              <w:rPr>
                <w:sz w:val="20"/>
                <w:szCs w:val="20"/>
              </w:rPr>
            </w:pPr>
            <w:r w:rsidRPr="00BE6461">
              <w:rPr>
                <w:sz w:val="20"/>
                <w:szCs w:val="20"/>
              </w:rPr>
              <w:t>63.609,90</w:t>
            </w:r>
          </w:p>
        </w:tc>
        <w:tc>
          <w:tcPr>
            <w:tcW w:w="1100" w:type="dxa"/>
            <w:tcBorders>
              <w:top w:val="nil"/>
              <w:left w:val="nil"/>
              <w:bottom w:val="nil"/>
              <w:right w:val="nil"/>
            </w:tcBorders>
            <w:shd w:val="clear" w:color="auto" w:fill="auto"/>
            <w:noWrap/>
            <w:vAlign w:val="bottom"/>
            <w:hideMark/>
          </w:tcPr>
          <w:p w14:paraId="1786D83D" w14:textId="77777777" w:rsidR="00BE6461" w:rsidRPr="00BE6461" w:rsidRDefault="00BE6461" w:rsidP="00BE6461">
            <w:pPr>
              <w:jc w:val="right"/>
              <w:rPr>
                <w:sz w:val="20"/>
                <w:szCs w:val="20"/>
              </w:rPr>
            </w:pPr>
          </w:p>
        </w:tc>
      </w:tr>
      <w:tr w:rsidR="00BE6461" w:rsidRPr="00BE6461" w14:paraId="4D0A7964" w14:textId="77777777" w:rsidTr="00BE6461">
        <w:trPr>
          <w:trHeight w:val="300"/>
        </w:trPr>
        <w:tc>
          <w:tcPr>
            <w:tcW w:w="1703" w:type="dxa"/>
            <w:tcBorders>
              <w:top w:val="nil"/>
              <w:left w:val="nil"/>
              <w:bottom w:val="nil"/>
              <w:right w:val="nil"/>
            </w:tcBorders>
            <w:shd w:val="clear" w:color="auto" w:fill="auto"/>
            <w:noWrap/>
            <w:vAlign w:val="bottom"/>
            <w:hideMark/>
          </w:tcPr>
          <w:p w14:paraId="628EC142" w14:textId="77777777" w:rsidR="00BE6461" w:rsidRPr="00BE6461" w:rsidRDefault="00BE6461" w:rsidP="00BE6461">
            <w:pPr>
              <w:rPr>
                <w:sz w:val="20"/>
                <w:szCs w:val="20"/>
              </w:rPr>
            </w:pPr>
            <w:r w:rsidRPr="00BE6461">
              <w:rPr>
                <w:sz w:val="20"/>
                <w:szCs w:val="20"/>
              </w:rPr>
              <w:t>4227</w:t>
            </w:r>
          </w:p>
        </w:tc>
        <w:tc>
          <w:tcPr>
            <w:tcW w:w="8457" w:type="dxa"/>
            <w:tcBorders>
              <w:top w:val="nil"/>
              <w:left w:val="nil"/>
              <w:bottom w:val="nil"/>
              <w:right w:val="nil"/>
            </w:tcBorders>
            <w:shd w:val="clear" w:color="auto" w:fill="auto"/>
            <w:vAlign w:val="bottom"/>
            <w:hideMark/>
          </w:tcPr>
          <w:p w14:paraId="1998F1BF" w14:textId="77777777" w:rsidR="00BE6461" w:rsidRPr="00BE6461" w:rsidRDefault="00BE6461" w:rsidP="00BE6461">
            <w:pPr>
              <w:rPr>
                <w:sz w:val="20"/>
                <w:szCs w:val="20"/>
              </w:rPr>
            </w:pPr>
            <w:r w:rsidRPr="00BE6461">
              <w:rPr>
                <w:sz w:val="20"/>
                <w:szCs w:val="20"/>
              </w:rPr>
              <w:t xml:space="preserve">Uređaji, strojevi i oprema za ostale namjene                                                        </w:t>
            </w:r>
          </w:p>
        </w:tc>
        <w:tc>
          <w:tcPr>
            <w:tcW w:w="1503" w:type="dxa"/>
            <w:tcBorders>
              <w:top w:val="nil"/>
              <w:left w:val="nil"/>
              <w:bottom w:val="nil"/>
              <w:right w:val="nil"/>
            </w:tcBorders>
            <w:shd w:val="clear" w:color="auto" w:fill="auto"/>
            <w:noWrap/>
            <w:vAlign w:val="bottom"/>
            <w:hideMark/>
          </w:tcPr>
          <w:p w14:paraId="1B7EEE0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F7E3A83" w14:textId="77777777" w:rsidR="00BE6461" w:rsidRPr="00BE6461" w:rsidRDefault="00BE6461" w:rsidP="00BE6461">
            <w:pPr>
              <w:jc w:val="right"/>
              <w:rPr>
                <w:sz w:val="20"/>
                <w:szCs w:val="20"/>
              </w:rPr>
            </w:pPr>
            <w:r w:rsidRPr="00BE6461">
              <w:rPr>
                <w:sz w:val="20"/>
                <w:szCs w:val="20"/>
              </w:rPr>
              <w:t>7.100,00</w:t>
            </w:r>
          </w:p>
        </w:tc>
        <w:tc>
          <w:tcPr>
            <w:tcW w:w="1100" w:type="dxa"/>
            <w:tcBorders>
              <w:top w:val="nil"/>
              <w:left w:val="nil"/>
              <w:bottom w:val="nil"/>
              <w:right w:val="nil"/>
            </w:tcBorders>
            <w:shd w:val="clear" w:color="auto" w:fill="auto"/>
            <w:noWrap/>
            <w:vAlign w:val="bottom"/>
            <w:hideMark/>
          </w:tcPr>
          <w:p w14:paraId="5897A7BA" w14:textId="77777777" w:rsidR="00BE6461" w:rsidRPr="00BE6461" w:rsidRDefault="00BE6461" w:rsidP="00BE6461">
            <w:pPr>
              <w:jc w:val="right"/>
              <w:rPr>
                <w:sz w:val="20"/>
                <w:szCs w:val="20"/>
              </w:rPr>
            </w:pPr>
          </w:p>
        </w:tc>
      </w:tr>
      <w:tr w:rsidR="00BE6461" w:rsidRPr="00BE6461" w14:paraId="18AB51C0" w14:textId="77777777" w:rsidTr="00BE6461">
        <w:trPr>
          <w:trHeight w:val="300"/>
        </w:trPr>
        <w:tc>
          <w:tcPr>
            <w:tcW w:w="1703" w:type="dxa"/>
            <w:tcBorders>
              <w:top w:val="nil"/>
              <w:left w:val="nil"/>
              <w:bottom w:val="nil"/>
              <w:right w:val="nil"/>
            </w:tcBorders>
            <w:shd w:val="clear" w:color="auto" w:fill="auto"/>
            <w:noWrap/>
            <w:vAlign w:val="bottom"/>
            <w:hideMark/>
          </w:tcPr>
          <w:p w14:paraId="25DFBD9B" w14:textId="77777777" w:rsidR="00BE6461" w:rsidRPr="00BE6461" w:rsidRDefault="00BE6461" w:rsidP="00BE6461">
            <w:pPr>
              <w:rPr>
                <w:b/>
                <w:bCs/>
                <w:sz w:val="20"/>
                <w:szCs w:val="20"/>
              </w:rPr>
            </w:pPr>
            <w:r w:rsidRPr="00BE6461">
              <w:rPr>
                <w:b/>
                <w:bCs/>
                <w:sz w:val="20"/>
                <w:szCs w:val="20"/>
              </w:rPr>
              <w:t>424</w:t>
            </w:r>
          </w:p>
        </w:tc>
        <w:tc>
          <w:tcPr>
            <w:tcW w:w="8457" w:type="dxa"/>
            <w:tcBorders>
              <w:top w:val="nil"/>
              <w:left w:val="nil"/>
              <w:bottom w:val="nil"/>
              <w:right w:val="nil"/>
            </w:tcBorders>
            <w:shd w:val="clear" w:color="auto" w:fill="auto"/>
            <w:vAlign w:val="bottom"/>
            <w:hideMark/>
          </w:tcPr>
          <w:p w14:paraId="1379B9B4" w14:textId="77777777" w:rsidR="00BE6461" w:rsidRPr="00BE6461" w:rsidRDefault="00BE6461" w:rsidP="00BE6461">
            <w:pPr>
              <w:rPr>
                <w:b/>
                <w:bCs/>
                <w:sz w:val="20"/>
                <w:szCs w:val="20"/>
              </w:rPr>
            </w:pPr>
            <w:r w:rsidRPr="00BE6461">
              <w:rPr>
                <w:b/>
                <w:bCs/>
                <w:sz w:val="20"/>
                <w:szCs w:val="20"/>
              </w:rPr>
              <w:t>Knjige, umjetnička djela i ostale izložbene vrijednosti</w:t>
            </w:r>
          </w:p>
        </w:tc>
        <w:tc>
          <w:tcPr>
            <w:tcW w:w="1503" w:type="dxa"/>
            <w:tcBorders>
              <w:top w:val="nil"/>
              <w:left w:val="nil"/>
              <w:bottom w:val="nil"/>
              <w:right w:val="nil"/>
            </w:tcBorders>
            <w:shd w:val="clear" w:color="auto" w:fill="auto"/>
            <w:noWrap/>
            <w:vAlign w:val="bottom"/>
            <w:hideMark/>
          </w:tcPr>
          <w:p w14:paraId="3FD5F26D" w14:textId="77777777" w:rsidR="00BE6461" w:rsidRPr="00BE6461" w:rsidRDefault="00BE6461" w:rsidP="00BE6461">
            <w:pPr>
              <w:jc w:val="right"/>
              <w:rPr>
                <w:b/>
                <w:bCs/>
                <w:sz w:val="20"/>
                <w:szCs w:val="20"/>
              </w:rPr>
            </w:pPr>
            <w:r w:rsidRPr="00BE6461">
              <w:rPr>
                <w:b/>
                <w:bCs/>
                <w:sz w:val="20"/>
                <w:szCs w:val="20"/>
              </w:rPr>
              <w:t>11.276,36</w:t>
            </w:r>
          </w:p>
        </w:tc>
        <w:tc>
          <w:tcPr>
            <w:tcW w:w="1500" w:type="dxa"/>
            <w:tcBorders>
              <w:top w:val="nil"/>
              <w:left w:val="nil"/>
              <w:bottom w:val="nil"/>
              <w:right w:val="nil"/>
            </w:tcBorders>
            <w:shd w:val="clear" w:color="auto" w:fill="auto"/>
            <w:noWrap/>
            <w:vAlign w:val="bottom"/>
            <w:hideMark/>
          </w:tcPr>
          <w:p w14:paraId="0DC216BE"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69EF3403"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4705AD3C" w14:textId="77777777" w:rsidTr="00BE6461">
        <w:trPr>
          <w:trHeight w:val="300"/>
        </w:trPr>
        <w:tc>
          <w:tcPr>
            <w:tcW w:w="1703" w:type="dxa"/>
            <w:tcBorders>
              <w:top w:val="nil"/>
              <w:left w:val="nil"/>
              <w:bottom w:val="nil"/>
              <w:right w:val="nil"/>
            </w:tcBorders>
            <w:shd w:val="clear" w:color="auto" w:fill="auto"/>
            <w:noWrap/>
            <w:vAlign w:val="bottom"/>
            <w:hideMark/>
          </w:tcPr>
          <w:p w14:paraId="7F6BF37C" w14:textId="77777777" w:rsidR="00BE6461" w:rsidRPr="00BE6461" w:rsidRDefault="00BE6461" w:rsidP="00BE6461">
            <w:pPr>
              <w:rPr>
                <w:sz w:val="20"/>
                <w:szCs w:val="20"/>
              </w:rPr>
            </w:pPr>
            <w:r w:rsidRPr="00BE6461">
              <w:rPr>
                <w:sz w:val="20"/>
                <w:szCs w:val="20"/>
              </w:rPr>
              <w:t>4241</w:t>
            </w:r>
          </w:p>
        </w:tc>
        <w:tc>
          <w:tcPr>
            <w:tcW w:w="8457" w:type="dxa"/>
            <w:tcBorders>
              <w:top w:val="nil"/>
              <w:left w:val="nil"/>
              <w:bottom w:val="nil"/>
              <w:right w:val="nil"/>
            </w:tcBorders>
            <w:shd w:val="clear" w:color="auto" w:fill="auto"/>
            <w:vAlign w:val="bottom"/>
            <w:hideMark/>
          </w:tcPr>
          <w:p w14:paraId="6B68D9D9" w14:textId="77777777" w:rsidR="00BE6461" w:rsidRPr="00BE6461" w:rsidRDefault="00BE6461" w:rsidP="00BE6461">
            <w:pPr>
              <w:rPr>
                <w:sz w:val="20"/>
                <w:szCs w:val="20"/>
              </w:rPr>
            </w:pPr>
            <w:r w:rsidRPr="00BE6461">
              <w:rPr>
                <w:sz w:val="20"/>
                <w:szCs w:val="20"/>
              </w:rPr>
              <w:t xml:space="preserve">Knjige                                                                                              </w:t>
            </w:r>
          </w:p>
        </w:tc>
        <w:tc>
          <w:tcPr>
            <w:tcW w:w="1503" w:type="dxa"/>
            <w:tcBorders>
              <w:top w:val="nil"/>
              <w:left w:val="nil"/>
              <w:bottom w:val="nil"/>
              <w:right w:val="nil"/>
            </w:tcBorders>
            <w:shd w:val="clear" w:color="auto" w:fill="auto"/>
            <w:noWrap/>
            <w:vAlign w:val="bottom"/>
            <w:hideMark/>
          </w:tcPr>
          <w:p w14:paraId="307A592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0BA5E91"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68CACC1F" w14:textId="77777777" w:rsidR="00BE6461" w:rsidRPr="00BE6461" w:rsidRDefault="00BE6461" w:rsidP="00BE6461">
            <w:pPr>
              <w:jc w:val="right"/>
              <w:rPr>
                <w:sz w:val="20"/>
                <w:szCs w:val="20"/>
              </w:rPr>
            </w:pPr>
          </w:p>
        </w:tc>
      </w:tr>
      <w:tr w:rsidR="00BE6461" w:rsidRPr="00BE6461" w14:paraId="31CAE36F" w14:textId="77777777" w:rsidTr="00BE6461">
        <w:trPr>
          <w:trHeight w:val="495"/>
        </w:trPr>
        <w:tc>
          <w:tcPr>
            <w:tcW w:w="10160" w:type="dxa"/>
            <w:gridSpan w:val="2"/>
            <w:tcBorders>
              <w:top w:val="single" w:sz="4" w:space="0" w:color="auto"/>
              <w:left w:val="nil"/>
              <w:bottom w:val="single" w:sz="4" w:space="0" w:color="auto"/>
              <w:right w:val="nil"/>
            </w:tcBorders>
            <w:shd w:val="clear" w:color="auto" w:fill="auto"/>
            <w:noWrap/>
            <w:vAlign w:val="bottom"/>
            <w:hideMark/>
          </w:tcPr>
          <w:p w14:paraId="3FD3A6D2" w14:textId="77777777" w:rsidR="00BE6461" w:rsidRPr="00BE6461" w:rsidRDefault="00BE6461" w:rsidP="00BE6461">
            <w:pPr>
              <w:rPr>
                <w:b/>
                <w:bCs/>
                <w:sz w:val="20"/>
                <w:szCs w:val="20"/>
              </w:rPr>
            </w:pPr>
            <w:r w:rsidRPr="00BE6461">
              <w:rPr>
                <w:b/>
                <w:bCs/>
                <w:sz w:val="20"/>
                <w:szCs w:val="20"/>
              </w:rPr>
              <w:t>GLAVA 00104 PUČKO OTVORENO UČILIŠTE BUJE</w:t>
            </w:r>
          </w:p>
        </w:tc>
        <w:tc>
          <w:tcPr>
            <w:tcW w:w="1503" w:type="dxa"/>
            <w:tcBorders>
              <w:top w:val="single" w:sz="4" w:space="0" w:color="auto"/>
              <w:left w:val="nil"/>
              <w:bottom w:val="single" w:sz="4" w:space="0" w:color="auto"/>
              <w:right w:val="nil"/>
            </w:tcBorders>
            <w:shd w:val="clear" w:color="auto" w:fill="auto"/>
            <w:noWrap/>
            <w:vAlign w:val="bottom"/>
            <w:hideMark/>
          </w:tcPr>
          <w:p w14:paraId="35B39FD4" w14:textId="77777777" w:rsidR="00BE6461" w:rsidRPr="00BE6461" w:rsidRDefault="00BE6461" w:rsidP="00BE6461">
            <w:pPr>
              <w:jc w:val="right"/>
              <w:rPr>
                <w:b/>
                <w:bCs/>
                <w:sz w:val="20"/>
                <w:szCs w:val="20"/>
              </w:rPr>
            </w:pPr>
            <w:r w:rsidRPr="00BE6461">
              <w:rPr>
                <w:b/>
                <w:bCs/>
                <w:sz w:val="20"/>
                <w:szCs w:val="20"/>
              </w:rPr>
              <w:t>1.578.999,12</w:t>
            </w:r>
          </w:p>
        </w:tc>
        <w:tc>
          <w:tcPr>
            <w:tcW w:w="1500" w:type="dxa"/>
            <w:tcBorders>
              <w:top w:val="single" w:sz="4" w:space="0" w:color="auto"/>
              <w:left w:val="nil"/>
              <w:bottom w:val="single" w:sz="4" w:space="0" w:color="auto"/>
              <w:right w:val="nil"/>
            </w:tcBorders>
            <w:shd w:val="clear" w:color="auto" w:fill="auto"/>
            <w:noWrap/>
            <w:vAlign w:val="bottom"/>
            <w:hideMark/>
          </w:tcPr>
          <w:p w14:paraId="4707642D" w14:textId="77777777" w:rsidR="00BE6461" w:rsidRPr="00BE6461" w:rsidRDefault="00BE6461" w:rsidP="00BE6461">
            <w:pPr>
              <w:jc w:val="right"/>
              <w:rPr>
                <w:b/>
                <w:bCs/>
                <w:sz w:val="20"/>
                <w:szCs w:val="20"/>
              </w:rPr>
            </w:pPr>
            <w:r w:rsidRPr="00BE6461">
              <w:rPr>
                <w:b/>
                <w:bCs/>
                <w:sz w:val="20"/>
                <w:szCs w:val="20"/>
              </w:rPr>
              <w:t>1.351.583,18</w:t>
            </w:r>
          </w:p>
        </w:tc>
        <w:tc>
          <w:tcPr>
            <w:tcW w:w="1100" w:type="dxa"/>
            <w:tcBorders>
              <w:top w:val="single" w:sz="4" w:space="0" w:color="auto"/>
              <w:left w:val="nil"/>
              <w:bottom w:val="single" w:sz="4" w:space="0" w:color="auto"/>
              <w:right w:val="nil"/>
            </w:tcBorders>
            <w:shd w:val="clear" w:color="auto" w:fill="auto"/>
            <w:noWrap/>
            <w:vAlign w:val="bottom"/>
            <w:hideMark/>
          </w:tcPr>
          <w:p w14:paraId="019AFC3A" w14:textId="77777777" w:rsidR="00BE6461" w:rsidRPr="00BE6461" w:rsidRDefault="00BE6461" w:rsidP="00BE6461">
            <w:pPr>
              <w:jc w:val="right"/>
              <w:rPr>
                <w:b/>
                <w:bCs/>
                <w:sz w:val="20"/>
                <w:szCs w:val="20"/>
              </w:rPr>
            </w:pPr>
            <w:r w:rsidRPr="00BE6461">
              <w:rPr>
                <w:b/>
                <w:bCs/>
                <w:sz w:val="20"/>
                <w:szCs w:val="20"/>
              </w:rPr>
              <w:t>85,60</w:t>
            </w:r>
          </w:p>
        </w:tc>
      </w:tr>
      <w:tr w:rsidR="00BE6461" w:rsidRPr="00BE6461" w14:paraId="0F429C3F"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F83F32A"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14146F6F" w14:textId="77777777" w:rsidR="00BE6461" w:rsidRPr="00BE6461" w:rsidRDefault="00BE6461" w:rsidP="00BE6461">
            <w:pPr>
              <w:jc w:val="right"/>
              <w:rPr>
                <w:b/>
                <w:bCs/>
                <w:color w:val="333333"/>
                <w:sz w:val="20"/>
                <w:szCs w:val="20"/>
              </w:rPr>
            </w:pPr>
            <w:r w:rsidRPr="00BE6461">
              <w:rPr>
                <w:b/>
                <w:bCs/>
                <w:color w:val="333333"/>
                <w:sz w:val="20"/>
                <w:szCs w:val="20"/>
              </w:rPr>
              <w:t>1.080.000,00</w:t>
            </w:r>
          </w:p>
        </w:tc>
        <w:tc>
          <w:tcPr>
            <w:tcW w:w="1500" w:type="dxa"/>
            <w:tcBorders>
              <w:top w:val="nil"/>
              <w:left w:val="nil"/>
              <w:bottom w:val="nil"/>
              <w:right w:val="nil"/>
            </w:tcBorders>
            <w:shd w:val="clear" w:color="auto" w:fill="auto"/>
            <w:noWrap/>
            <w:vAlign w:val="bottom"/>
            <w:hideMark/>
          </w:tcPr>
          <w:p w14:paraId="6F03B6F5" w14:textId="77777777" w:rsidR="00BE6461" w:rsidRPr="00BE6461" w:rsidRDefault="00BE6461" w:rsidP="00BE6461">
            <w:pPr>
              <w:jc w:val="right"/>
              <w:rPr>
                <w:b/>
                <w:bCs/>
                <w:color w:val="333333"/>
                <w:sz w:val="20"/>
                <w:szCs w:val="20"/>
              </w:rPr>
            </w:pPr>
            <w:r w:rsidRPr="00BE6461">
              <w:rPr>
                <w:b/>
                <w:bCs/>
                <w:color w:val="333333"/>
                <w:sz w:val="20"/>
                <w:szCs w:val="20"/>
              </w:rPr>
              <w:t>929.498,74</w:t>
            </w:r>
          </w:p>
        </w:tc>
        <w:tc>
          <w:tcPr>
            <w:tcW w:w="1100" w:type="dxa"/>
            <w:tcBorders>
              <w:top w:val="nil"/>
              <w:left w:val="nil"/>
              <w:bottom w:val="nil"/>
              <w:right w:val="nil"/>
            </w:tcBorders>
            <w:shd w:val="clear" w:color="auto" w:fill="auto"/>
            <w:noWrap/>
            <w:vAlign w:val="bottom"/>
            <w:hideMark/>
          </w:tcPr>
          <w:p w14:paraId="7C8ED9B3" w14:textId="77777777" w:rsidR="00BE6461" w:rsidRPr="00BE6461" w:rsidRDefault="00BE6461" w:rsidP="00BE6461">
            <w:pPr>
              <w:jc w:val="right"/>
              <w:rPr>
                <w:b/>
                <w:bCs/>
                <w:color w:val="333333"/>
                <w:sz w:val="20"/>
                <w:szCs w:val="20"/>
              </w:rPr>
            </w:pPr>
            <w:r w:rsidRPr="00BE6461">
              <w:rPr>
                <w:b/>
                <w:bCs/>
                <w:color w:val="333333"/>
                <w:sz w:val="20"/>
                <w:szCs w:val="20"/>
              </w:rPr>
              <w:t>86,06</w:t>
            </w:r>
          </w:p>
        </w:tc>
      </w:tr>
      <w:tr w:rsidR="00BE6461" w:rsidRPr="00BE6461" w14:paraId="0B6E0DF8"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970C5E0"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4663E390" w14:textId="77777777" w:rsidR="00BE6461" w:rsidRPr="00BE6461" w:rsidRDefault="00BE6461" w:rsidP="00BE6461">
            <w:pPr>
              <w:jc w:val="right"/>
              <w:rPr>
                <w:b/>
                <w:bCs/>
                <w:color w:val="333333"/>
                <w:sz w:val="20"/>
                <w:szCs w:val="20"/>
              </w:rPr>
            </w:pPr>
            <w:r w:rsidRPr="00BE6461">
              <w:rPr>
                <w:b/>
                <w:bCs/>
                <w:color w:val="333333"/>
                <w:sz w:val="20"/>
                <w:szCs w:val="20"/>
              </w:rPr>
              <w:t>1.080.000,00</w:t>
            </w:r>
          </w:p>
        </w:tc>
        <w:tc>
          <w:tcPr>
            <w:tcW w:w="1500" w:type="dxa"/>
            <w:tcBorders>
              <w:top w:val="nil"/>
              <w:left w:val="nil"/>
              <w:bottom w:val="nil"/>
              <w:right w:val="nil"/>
            </w:tcBorders>
            <w:shd w:val="clear" w:color="auto" w:fill="auto"/>
            <w:noWrap/>
            <w:vAlign w:val="bottom"/>
            <w:hideMark/>
          </w:tcPr>
          <w:p w14:paraId="011DE634" w14:textId="77777777" w:rsidR="00BE6461" w:rsidRPr="00BE6461" w:rsidRDefault="00BE6461" w:rsidP="00BE6461">
            <w:pPr>
              <w:jc w:val="right"/>
              <w:rPr>
                <w:b/>
                <w:bCs/>
                <w:color w:val="333333"/>
                <w:sz w:val="20"/>
                <w:szCs w:val="20"/>
              </w:rPr>
            </w:pPr>
            <w:r w:rsidRPr="00BE6461">
              <w:rPr>
                <w:b/>
                <w:bCs/>
                <w:color w:val="333333"/>
                <w:sz w:val="20"/>
                <w:szCs w:val="20"/>
              </w:rPr>
              <w:t>929.498,74</w:t>
            </w:r>
          </w:p>
        </w:tc>
        <w:tc>
          <w:tcPr>
            <w:tcW w:w="1100" w:type="dxa"/>
            <w:tcBorders>
              <w:top w:val="nil"/>
              <w:left w:val="nil"/>
              <w:bottom w:val="nil"/>
              <w:right w:val="nil"/>
            </w:tcBorders>
            <w:shd w:val="clear" w:color="auto" w:fill="auto"/>
            <w:noWrap/>
            <w:vAlign w:val="bottom"/>
            <w:hideMark/>
          </w:tcPr>
          <w:p w14:paraId="73151907" w14:textId="77777777" w:rsidR="00BE6461" w:rsidRPr="00BE6461" w:rsidRDefault="00BE6461" w:rsidP="00BE6461">
            <w:pPr>
              <w:jc w:val="right"/>
              <w:rPr>
                <w:b/>
                <w:bCs/>
                <w:color w:val="333333"/>
                <w:sz w:val="20"/>
                <w:szCs w:val="20"/>
              </w:rPr>
            </w:pPr>
            <w:r w:rsidRPr="00BE6461">
              <w:rPr>
                <w:b/>
                <w:bCs/>
                <w:color w:val="333333"/>
                <w:sz w:val="20"/>
                <w:szCs w:val="20"/>
              </w:rPr>
              <w:t>86,06</w:t>
            </w:r>
          </w:p>
        </w:tc>
      </w:tr>
      <w:tr w:rsidR="00BE6461" w:rsidRPr="00BE6461" w14:paraId="1BD8DDBA"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81A9BD1" w14:textId="77777777" w:rsidR="00BE6461" w:rsidRPr="00BE6461" w:rsidRDefault="00BE6461" w:rsidP="00BE6461">
            <w:pPr>
              <w:rPr>
                <w:b/>
                <w:bCs/>
                <w:color w:val="333333"/>
                <w:sz w:val="20"/>
                <w:szCs w:val="20"/>
              </w:rPr>
            </w:pPr>
            <w:r w:rsidRPr="00BE6461">
              <w:rPr>
                <w:b/>
                <w:bCs/>
                <w:color w:val="333333"/>
                <w:sz w:val="20"/>
                <w:szCs w:val="20"/>
              </w:rPr>
              <w:t>Izvor 3. VLASTITI PRIHODI</w:t>
            </w:r>
          </w:p>
        </w:tc>
        <w:tc>
          <w:tcPr>
            <w:tcW w:w="1503" w:type="dxa"/>
            <w:tcBorders>
              <w:top w:val="nil"/>
              <w:left w:val="nil"/>
              <w:bottom w:val="nil"/>
              <w:right w:val="nil"/>
            </w:tcBorders>
            <w:shd w:val="clear" w:color="auto" w:fill="auto"/>
            <w:noWrap/>
            <w:vAlign w:val="bottom"/>
            <w:hideMark/>
          </w:tcPr>
          <w:p w14:paraId="4FD867A8" w14:textId="77777777" w:rsidR="00BE6461" w:rsidRPr="00BE6461" w:rsidRDefault="00BE6461" w:rsidP="00BE6461">
            <w:pPr>
              <w:jc w:val="right"/>
              <w:rPr>
                <w:b/>
                <w:bCs/>
                <w:color w:val="333333"/>
                <w:sz w:val="20"/>
                <w:szCs w:val="20"/>
              </w:rPr>
            </w:pPr>
            <w:r w:rsidRPr="00BE6461">
              <w:rPr>
                <w:b/>
                <w:bCs/>
                <w:color w:val="333333"/>
                <w:sz w:val="20"/>
                <w:szCs w:val="20"/>
              </w:rPr>
              <w:t>64.229,12</w:t>
            </w:r>
          </w:p>
        </w:tc>
        <w:tc>
          <w:tcPr>
            <w:tcW w:w="1500" w:type="dxa"/>
            <w:tcBorders>
              <w:top w:val="nil"/>
              <w:left w:val="nil"/>
              <w:bottom w:val="nil"/>
              <w:right w:val="nil"/>
            </w:tcBorders>
            <w:shd w:val="clear" w:color="auto" w:fill="auto"/>
            <w:noWrap/>
            <w:vAlign w:val="bottom"/>
            <w:hideMark/>
          </w:tcPr>
          <w:p w14:paraId="3C0D83DB" w14:textId="77777777" w:rsidR="00BE6461" w:rsidRPr="00BE6461" w:rsidRDefault="00BE6461" w:rsidP="00BE6461">
            <w:pPr>
              <w:jc w:val="right"/>
              <w:rPr>
                <w:b/>
                <w:bCs/>
                <w:color w:val="333333"/>
                <w:sz w:val="20"/>
                <w:szCs w:val="20"/>
              </w:rPr>
            </w:pPr>
            <w:r w:rsidRPr="00BE6461">
              <w:rPr>
                <w:b/>
                <w:bCs/>
                <w:color w:val="333333"/>
                <w:sz w:val="20"/>
                <w:szCs w:val="20"/>
              </w:rPr>
              <w:t>35.482,74</w:t>
            </w:r>
          </w:p>
        </w:tc>
        <w:tc>
          <w:tcPr>
            <w:tcW w:w="1100" w:type="dxa"/>
            <w:tcBorders>
              <w:top w:val="nil"/>
              <w:left w:val="nil"/>
              <w:bottom w:val="nil"/>
              <w:right w:val="nil"/>
            </w:tcBorders>
            <w:shd w:val="clear" w:color="auto" w:fill="auto"/>
            <w:noWrap/>
            <w:vAlign w:val="bottom"/>
            <w:hideMark/>
          </w:tcPr>
          <w:p w14:paraId="6D882AA5" w14:textId="77777777" w:rsidR="00BE6461" w:rsidRPr="00BE6461" w:rsidRDefault="00BE6461" w:rsidP="00BE6461">
            <w:pPr>
              <w:jc w:val="right"/>
              <w:rPr>
                <w:b/>
                <w:bCs/>
                <w:color w:val="333333"/>
                <w:sz w:val="20"/>
                <w:szCs w:val="20"/>
              </w:rPr>
            </w:pPr>
            <w:r w:rsidRPr="00BE6461">
              <w:rPr>
                <w:b/>
                <w:bCs/>
                <w:color w:val="333333"/>
                <w:sz w:val="20"/>
                <w:szCs w:val="20"/>
              </w:rPr>
              <w:t>55,24</w:t>
            </w:r>
          </w:p>
        </w:tc>
      </w:tr>
      <w:tr w:rsidR="00BE6461" w:rsidRPr="00BE6461" w14:paraId="79014A9C"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9BEDDB1" w14:textId="77777777" w:rsidR="00BE6461" w:rsidRPr="00BE6461" w:rsidRDefault="00BE6461" w:rsidP="00BE6461">
            <w:pPr>
              <w:rPr>
                <w:b/>
                <w:bCs/>
                <w:color w:val="333333"/>
                <w:sz w:val="20"/>
                <w:szCs w:val="20"/>
              </w:rPr>
            </w:pPr>
            <w:r w:rsidRPr="00BE6461">
              <w:rPr>
                <w:b/>
                <w:bCs/>
                <w:color w:val="333333"/>
                <w:sz w:val="20"/>
                <w:szCs w:val="20"/>
              </w:rPr>
              <w:t>Izvor 3.2. VLASTITI PRIHODI - PRORAČUNSKI KORISNICI</w:t>
            </w:r>
          </w:p>
        </w:tc>
        <w:tc>
          <w:tcPr>
            <w:tcW w:w="1503" w:type="dxa"/>
            <w:tcBorders>
              <w:top w:val="nil"/>
              <w:left w:val="nil"/>
              <w:bottom w:val="nil"/>
              <w:right w:val="nil"/>
            </w:tcBorders>
            <w:shd w:val="clear" w:color="auto" w:fill="auto"/>
            <w:noWrap/>
            <w:vAlign w:val="bottom"/>
            <w:hideMark/>
          </w:tcPr>
          <w:p w14:paraId="5A4BC72F" w14:textId="77777777" w:rsidR="00BE6461" w:rsidRPr="00BE6461" w:rsidRDefault="00BE6461" w:rsidP="00BE6461">
            <w:pPr>
              <w:jc w:val="right"/>
              <w:rPr>
                <w:b/>
                <w:bCs/>
                <w:color w:val="333333"/>
                <w:sz w:val="20"/>
                <w:szCs w:val="20"/>
              </w:rPr>
            </w:pPr>
            <w:r w:rsidRPr="00BE6461">
              <w:rPr>
                <w:b/>
                <w:bCs/>
                <w:color w:val="333333"/>
                <w:sz w:val="20"/>
                <w:szCs w:val="20"/>
              </w:rPr>
              <w:t>64.229,12</w:t>
            </w:r>
          </w:p>
        </w:tc>
        <w:tc>
          <w:tcPr>
            <w:tcW w:w="1500" w:type="dxa"/>
            <w:tcBorders>
              <w:top w:val="nil"/>
              <w:left w:val="nil"/>
              <w:bottom w:val="nil"/>
              <w:right w:val="nil"/>
            </w:tcBorders>
            <w:shd w:val="clear" w:color="auto" w:fill="auto"/>
            <w:noWrap/>
            <w:vAlign w:val="bottom"/>
            <w:hideMark/>
          </w:tcPr>
          <w:p w14:paraId="282547E4" w14:textId="77777777" w:rsidR="00BE6461" w:rsidRPr="00BE6461" w:rsidRDefault="00BE6461" w:rsidP="00BE6461">
            <w:pPr>
              <w:jc w:val="right"/>
              <w:rPr>
                <w:b/>
                <w:bCs/>
                <w:color w:val="333333"/>
                <w:sz w:val="20"/>
                <w:szCs w:val="20"/>
              </w:rPr>
            </w:pPr>
            <w:r w:rsidRPr="00BE6461">
              <w:rPr>
                <w:b/>
                <w:bCs/>
                <w:color w:val="333333"/>
                <w:sz w:val="20"/>
                <w:szCs w:val="20"/>
              </w:rPr>
              <w:t>35.482,74</w:t>
            </w:r>
          </w:p>
        </w:tc>
        <w:tc>
          <w:tcPr>
            <w:tcW w:w="1100" w:type="dxa"/>
            <w:tcBorders>
              <w:top w:val="nil"/>
              <w:left w:val="nil"/>
              <w:bottom w:val="nil"/>
              <w:right w:val="nil"/>
            </w:tcBorders>
            <w:shd w:val="clear" w:color="auto" w:fill="auto"/>
            <w:noWrap/>
            <w:vAlign w:val="bottom"/>
            <w:hideMark/>
          </w:tcPr>
          <w:p w14:paraId="3943CC4C" w14:textId="77777777" w:rsidR="00BE6461" w:rsidRPr="00BE6461" w:rsidRDefault="00BE6461" w:rsidP="00BE6461">
            <w:pPr>
              <w:jc w:val="right"/>
              <w:rPr>
                <w:b/>
                <w:bCs/>
                <w:color w:val="333333"/>
                <w:sz w:val="20"/>
                <w:szCs w:val="20"/>
              </w:rPr>
            </w:pPr>
            <w:r w:rsidRPr="00BE6461">
              <w:rPr>
                <w:b/>
                <w:bCs/>
                <w:color w:val="333333"/>
                <w:sz w:val="20"/>
                <w:szCs w:val="20"/>
              </w:rPr>
              <w:t>55,24</w:t>
            </w:r>
          </w:p>
        </w:tc>
      </w:tr>
      <w:tr w:rsidR="00BE6461" w:rsidRPr="00BE6461" w14:paraId="615E78FE"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1983C0E"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0844C8D2" w14:textId="77777777" w:rsidR="00BE6461" w:rsidRPr="00BE6461" w:rsidRDefault="00BE6461" w:rsidP="00BE6461">
            <w:pPr>
              <w:jc w:val="right"/>
              <w:rPr>
                <w:b/>
                <w:bCs/>
                <w:color w:val="333333"/>
                <w:sz w:val="20"/>
                <w:szCs w:val="20"/>
              </w:rPr>
            </w:pPr>
            <w:r w:rsidRPr="00BE6461">
              <w:rPr>
                <w:b/>
                <w:bCs/>
                <w:color w:val="333333"/>
                <w:sz w:val="20"/>
                <w:szCs w:val="20"/>
              </w:rPr>
              <w:t>23.146,57</w:t>
            </w:r>
          </w:p>
        </w:tc>
        <w:tc>
          <w:tcPr>
            <w:tcW w:w="1500" w:type="dxa"/>
            <w:tcBorders>
              <w:top w:val="nil"/>
              <w:left w:val="nil"/>
              <w:bottom w:val="nil"/>
              <w:right w:val="nil"/>
            </w:tcBorders>
            <w:shd w:val="clear" w:color="auto" w:fill="auto"/>
            <w:noWrap/>
            <w:vAlign w:val="bottom"/>
            <w:hideMark/>
          </w:tcPr>
          <w:p w14:paraId="51D8CAB3" w14:textId="77777777" w:rsidR="00BE6461" w:rsidRPr="00BE6461" w:rsidRDefault="00BE6461" w:rsidP="00BE6461">
            <w:pPr>
              <w:jc w:val="right"/>
              <w:rPr>
                <w:b/>
                <w:bCs/>
                <w:color w:val="333333"/>
                <w:sz w:val="20"/>
                <w:szCs w:val="20"/>
              </w:rPr>
            </w:pPr>
            <w:r w:rsidRPr="00BE6461">
              <w:rPr>
                <w:b/>
                <w:bCs/>
                <w:color w:val="333333"/>
                <w:sz w:val="20"/>
                <w:szCs w:val="20"/>
              </w:rPr>
              <w:t>6.882,17</w:t>
            </w:r>
          </w:p>
        </w:tc>
        <w:tc>
          <w:tcPr>
            <w:tcW w:w="1100" w:type="dxa"/>
            <w:tcBorders>
              <w:top w:val="nil"/>
              <w:left w:val="nil"/>
              <w:bottom w:val="nil"/>
              <w:right w:val="nil"/>
            </w:tcBorders>
            <w:shd w:val="clear" w:color="auto" w:fill="auto"/>
            <w:noWrap/>
            <w:vAlign w:val="bottom"/>
            <w:hideMark/>
          </w:tcPr>
          <w:p w14:paraId="04E50787" w14:textId="77777777" w:rsidR="00BE6461" w:rsidRPr="00BE6461" w:rsidRDefault="00BE6461" w:rsidP="00BE6461">
            <w:pPr>
              <w:jc w:val="right"/>
              <w:rPr>
                <w:b/>
                <w:bCs/>
                <w:color w:val="333333"/>
                <w:sz w:val="20"/>
                <w:szCs w:val="20"/>
              </w:rPr>
            </w:pPr>
            <w:r w:rsidRPr="00BE6461">
              <w:rPr>
                <w:b/>
                <w:bCs/>
                <w:color w:val="333333"/>
                <w:sz w:val="20"/>
                <w:szCs w:val="20"/>
              </w:rPr>
              <w:t>29,73</w:t>
            </w:r>
          </w:p>
        </w:tc>
      </w:tr>
      <w:tr w:rsidR="00BE6461" w:rsidRPr="00BE6461" w14:paraId="47D233F5"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05495E6" w14:textId="77777777" w:rsidR="00BE6461" w:rsidRPr="00BE6461" w:rsidRDefault="00BE6461" w:rsidP="00BE6461">
            <w:pPr>
              <w:rPr>
                <w:b/>
                <w:bCs/>
                <w:color w:val="333333"/>
                <w:sz w:val="20"/>
                <w:szCs w:val="20"/>
              </w:rPr>
            </w:pPr>
            <w:r w:rsidRPr="00BE6461">
              <w:rPr>
                <w:b/>
                <w:bCs/>
                <w:color w:val="333333"/>
                <w:sz w:val="20"/>
                <w:szCs w:val="20"/>
              </w:rPr>
              <w:t>Izvor 4.7. PRIHODI POSEBNE NAMJENE - PRORAČUNSKI KORISNICI</w:t>
            </w:r>
          </w:p>
        </w:tc>
        <w:tc>
          <w:tcPr>
            <w:tcW w:w="1503" w:type="dxa"/>
            <w:tcBorders>
              <w:top w:val="nil"/>
              <w:left w:val="nil"/>
              <w:bottom w:val="nil"/>
              <w:right w:val="nil"/>
            </w:tcBorders>
            <w:shd w:val="clear" w:color="auto" w:fill="auto"/>
            <w:noWrap/>
            <w:vAlign w:val="bottom"/>
            <w:hideMark/>
          </w:tcPr>
          <w:p w14:paraId="48074211" w14:textId="77777777" w:rsidR="00BE6461" w:rsidRPr="00BE6461" w:rsidRDefault="00BE6461" w:rsidP="00BE6461">
            <w:pPr>
              <w:jc w:val="right"/>
              <w:rPr>
                <w:b/>
                <w:bCs/>
                <w:color w:val="333333"/>
                <w:sz w:val="20"/>
                <w:szCs w:val="20"/>
              </w:rPr>
            </w:pPr>
            <w:r w:rsidRPr="00BE6461">
              <w:rPr>
                <w:b/>
                <w:bCs/>
                <w:color w:val="333333"/>
                <w:sz w:val="20"/>
                <w:szCs w:val="20"/>
              </w:rPr>
              <w:t>23.146,57</w:t>
            </w:r>
          </w:p>
        </w:tc>
        <w:tc>
          <w:tcPr>
            <w:tcW w:w="1500" w:type="dxa"/>
            <w:tcBorders>
              <w:top w:val="nil"/>
              <w:left w:val="nil"/>
              <w:bottom w:val="nil"/>
              <w:right w:val="nil"/>
            </w:tcBorders>
            <w:shd w:val="clear" w:color="auto" w:fill="auto"/>
            <w:noWrap/>
            <w:vAlign w:val="bottom"/>
            <w:hideMark/>
          </w:tcPr>
          <w:p w14:paraId="597E51C7" w14:textId="77777777" w:rsidR="00BE6461" w:rsidRPr="00BE6461" w:rsidRDefault="00BE6461" w:rsidP="00BE6461">
            <w:pPr>
              <w:jc w:val="right"/>
              <w:rPr>
                <w:b/>
                <w:bCs/>
                <w:color w:val="333333"/>
                <w:sz w:val="20"/>
                <w:szCs w:val="20"/>
              </w:rPr>
            </w:pPr>
            <w:r w:rsidRPr="00BE6461">
              <w:rPr>
                <w:b/>
                <w:bCs/>
                <w:color w:val="333333"/>
                <w:sz w:val="20"/>
                <w:szCs w:val="20"/>
              </w:rPr>
              <w:t>6.882,17</w:t>
            </w:r>
          </w:p>
        </w:tc>
        <w:tc>
          <w:tcPr>
            <w:tcW w:w="1100" w:type="dxa"/>
            <w:tcBorders>
              <w:top w:val="nil"/>
              <w:left w:val="nil"/>
              <w:bottom w:val="nil"/>
              <w:right w:val="nil"/>
            </w:tcBorders>
            <w:shd w:val="clear" w:color="auto" w:fill="auto"/>
            <w:noWrap/>
            <w:vAlign w:val="bottom"/>
            <w:hideMark/>
          </w:tcPr>
          <w:p w14:paraId="5E143215" w14:textId="77777777" w:rsidR="00BE6461" w:rsidRPr="00BE6461" w:rsidRDefault="00BE6461" w:rsidP="00BE6461">
            <w:pPr>
              <w:jc w:val="right"/>
              <w:rPr>
                <w:b/>
                <w:bCs/>
                <w:color w:val="333333"/>
                <w:sz w:val="20"/>
                <w:szCs w:val="20"/>
              </w:rPr>
            </w:pPr>
            <w:r w:rsidRPr="00BE6461">
              <w:rPr>
                <w:b/>
                <w:bCs/>
                <w:color w:val="333333"/>
                <w:sz w:val="20"/>
                <w:szCs w:val="20"/>
              </w:rPr>
              <w:t>29,73</w:t>
            </w:r>
          </w:p>
        </w:tc>
      </w:tr>
      <w:tr w:rsidR="00BE6461" w:rsidRPr="00BE6461" w14:paraId="70DD0FFF"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6202028" w14:textId="77777777" w:rsidR="00BE6461" w:rsidRPr="00BE6461" w:rsidRDefault="00BE6461" w:rsidP="00BE6461">
            <w:pPr>
              <w:rPr>
                <w:b/>
                <w:bCs/>
                <w:color w:val="333333"/>
                <w:sz w:val="20"/>
                <w:szCs w:val="20"/>
              </w:rPr>
            </w:pPr>
            <w:r w:rsidRPr="00BE6461">
              <w:rPr>
                <w:b/>
                <w:bCs/>
                <w:color w:val="333333"/>
                <w:sz w:val="20"/>
                <w:szCs w:val="20"/>
              </w:rPr>
              <w:t>Izvor 5. POMOĆI</w:t>
            </w:r>
          </w:p>
        </w:tc>
        <w:tc>
          <w:tcPr>
            <w:tcW w:w="1503" w:type="dxa"/>
            <w:tcBorders>
              <w:top w:val="nil"/>
              <w:left w:val="nil"/>
              <w:bottom w:val="nil"/>
              <w:right w:val="nil"/>
            </w:tcBorders>
            <w:shd w:val="clear" w:color="auto" w:fill="auto"/>
            <w:noWrap/>
            <w:vAlign w:val="bottom"/>
            <w:hideMark/>
          </w:tcPr>
          <w:p w14:paraId="797E9CC8" w14:textId="77777777" w:rsidR="00BE6461" w:rsidRPr="00BE6461" w:rsidRDefault="00BE6461" w:rsidP="00BE6461">
            <w:pPr>
              <w:jc w:val="right"/>
              <w:rPr>
                <w:b/>
                <w:bCs/>
                <w:color w:val="333333"/>
                <w:sz w:val="20"/>
                <w:szCs w:val="20"/>
              </w:rPr>
            </w:pPr>
            <w:r w:rsidRPr="00BE6461">
              <w:rPr>
                <w:b/>
                <w:bCs/>
                <w:color w:val="333333"/>
                <w:sz w:val="20"/>
                <w:szCs w:val="20"/>
              </w:rPr>
              <w:t>186.623,43</w:t>
            </w:r>
          </w:p>
        </w:tc>
        <w:tc>
          <w:tcPr>
            <w:tcW w:w="1500" w:type="dxa"/>
            <w:tcBorders>
              <w:top w:val="nil"/>
              <w:left w:val="nil"/>
              <w:bottom w:val="nil"/>
              <w:right w:val="nil"/>
            </w:tcBorders>
            <w:shd w:val="clear" w:color="auto" w:fill="auto"/>
            <w:noWrap/>
            <w:vAlign w:val="bottom"/>
            <w:hideMark/>
          </w:tcPr>
          <w:p w14:paraId="0951A756" w14:textId="77777777" w:rsidR="00BE6461" w:rsidRPr="00BE6461" w:rsidRDefault="00BE6461" w:rsidP="00BE6461">
            <w:pPr>
              <w:jc w:val="right"/>
              <w:rPr>
                <w:b/>
                <w:bCs/>
                <w:color w:val="333333"/>
                <w:sz w:val="20"/>
                <w:szCs w:val="20"/>
              </w:rPr>
            </w:pPr>
            <w:r w:rsidRPr="00BE6461">
              <w:rPr>
                <w:b/>
                <w:bCs/>
                <w:color w:val="333333"/>
                <w:sz w:val="20"/>
                <w:szCs w:val="20"/>
              </w:rPr>
              <w:t>164.489,53</w:t>
            </w:r>
          </w:p>
        </w:tc>
        <w:tc>
          <w:tcPr>
            <w:tcW w:w="1100" w:type="dxa"/>
            <w:tcBorders>
              <w:top w:val="nil"/>
              <w:left w:val="nil"/>
              <w:bottom w:val="nil"/>
              <w:right w:val="nil"/>
            </w:tcBorders>
            <w:shd w:val="clear" w:color="auto" w:fill="auto"/>
            <w:noWrap/>
            <w:vAlign w:val="bottom"/>
            <w:hideMark/>
          </w:tcPr>
          <w:p w14:paraId="1C8D3954" w14:textId="77777777" w:rsidR="00BE6461" w:rsidRPr="00BE6461" w:rsidRDefault="00BE6461" w:rsidP="00BE6461">
            <w:pPr>
              <w:jc w:val="right"/>
              <w:rPr>
                <w:b/>
                <w:bCs/>
                <w:color w:val="333333"/>
                <w:sz w:val="20"/>
                <w:szCs w:val="20"/>
              </w:rPr>
            </w:pPr>
            <w:r w:rsidRPr="00BE6461">
              <w:rPr>
                <w:b/>
                <w:bCs/>
                <w:color w:val="333333"/>
                <w:sz w:val="20"/>
                <w:szCs w:val="20"/>
              </w:rPr>
              <w:t>88,14</w:t>
            </w:r>
          </w:p>
        </w:tc>
      </w:tr>
      <w:tr w:rsidR="00BE6461" w:rsidRPr="00BE6461" w14:paraId="181A9C0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BBBAA96" w14:textId="77777777" w:rsidR="00BE6461" w:rsidRPr="00BE6461" w:rsidRDefault="00BE6461" w:rsidP="00BE6461">
            <w:pPr>
              <w:rPr>
                <w:b/>
                <w:bCs/>
                <w:color w:val="333333"/>
                <w:sz w:val="20"/>
                <w:szCs w:val="20"/>
              </w:rPr>
            </w:pPr>
            <w:r w:rsidRPr="00BE6461">
              <w:rPr>
                <w:b/>
                <w:bCs/>
                <w:color w:val="333333"/>
                <w:sz w:val="20"/>
                <w:szCs w:val="20"/>
              </w:rPr>
              <w:t>Izvor 5.2. POMOĆI - PRORAČUNSKI KORISNICI (GRAD)</w:t>
            </w:r>
          </w:p>
        </w:tc>
        <w:tc>
          <w:tcPr>
            <w:tcW w:w="1503" w:type="dxa"/>
            <w:tcBorders>
              <w:top w:val="nil"/>
              <w:left w:val="nil"/>
              <w:bottom w:val="nil"/>
              <w:right w:val="nil"/>
            </w:tcBorders>
            <w:shd w:val="clear" w:color="auto" w:fill="auto"/>
            <w:noWrap/>
            <w:vAlign w:val="bottom"/>
            <w:hideMark/>
          </w:tcPr>
          <w:p w14:paraId="198C2D90" w14:textId="77777777" w:rsidR="00BE6461" w:rsidRPr="00BE6461" w:rsidRDefault="00BE6461" w:rsidP="00BE6461">
            <w:pPr>
              <w:jc w:val="right"/>
              <w:rPr>
                <w:b/>
                <w:bCs/>
                <w:color w:val="333333"/>
                <w:sz w:val="20"/>
                <w:szCs w:val="20"/>
              </w:rPr>
            </w:pPr>
            <w:r w:rsidRPr="00BE6461">
              <w:rPr>
                <w:b/>
                <w:bCs/>
                <w:color w:val="333333"/>
                <w:sz w:val="20"/>
                <w:szCs w:val="20"/>
              </w:rPr>
              <w:t>186.623,43</w:t>
            </w:r>
          </w:p>
        </w:tc>
        <w:tc>
          <w:tcPr>
            <w:tcW w:w="1500" w:type="dxa"/>
            <w:tcBorders>
              <w:top w:val="nil"/>
              <w:left w:val="nil"/>
              <w:bottom w:val="nil"/>
              <w:right w:val="nil"/>
            </w:tcBorders>
            <w:shd w:val="clear" w:color="auto" w:fill="auto"/>
            <w:noWrap/>
            <w:vAlign w:val="bottom"/>
            <w:hideMark/>
          </w:tcPr>
          <w:p w14:paraId="31BCA489" w14:textId="77777777" w:rsidR="00BE6461" w:rsidRPr="00BE6461" w:rsidRDefault="00BE6461" w:rsidP="00BE6461">
            <w:pPr>
              <w:jc w:val="right"/>
              <w:rPr>
                <w:b/>
                <w:bCs/>
                <w:color w:val="333333"/>
                <w:sz w:val="20"/>
                <w:szCs w:val="20"/>
              </w:rPr>
            </w:pPr>
            <w:r w:rsidRPr="00BE6461">
              <w:rPr>
                <w:b/>
                <w:bCs/>
                <w:color w:val="333333"/>
                <w:sz w:val="20"/>
                <w:szCs w:val="20"/>
              </w:rPr>
              <w:t>164.489,53</w:t>
            </w:r>
          </w:p>
        </w:tc>
        <w:tc>
          <w:tcPr>
            <w:tcW w:w="1100" w:type="dxa"/>
            <w:tcBorders>
              <w:top w:val="nil"/>
              <w:left w:val="nil"/>
              <w:bottom w:val="nil"/>
              <w:right w:val="nil"/>
            </w:tcBorders>
            <w:shd w:val="clear" w:color="auto" w:fill="auto"/>
            <w:noWrap/>
            <w:vAlign w:val="bottom"/>
            <w:hideMark/>
          </w:tcPr>
          <w:p w14:paraId="2D00F097" w14:textId="77777777" w:rsidR="00BE6461" w:rsidRPr="00BE6461" w:rsidRDefault="00BE6461" w:rsidP="00BE6461">
            <w:pPr>
              <w:jc w:val="right"/>
              <w:rPr>
                <w:b/>
                <w:bCs/>
                <w:color w:val="333333"/>
                <w:sz w:val="20"/>
                <w:szCs w:val="20"/>
              </w:rPr>
            </w:pPr>
            <w:r w:rsidRPr="00BE6461">
              <w:rPr>
                <w:b/>
                <w:bCs/>
                <w:color w:val="333333"/>
                <w:sz w:val="20"/>
                <w:szCs w:val="20"/>
              </w:rPr>
              <w:t>88,14</w:t>
            </w:r>
          </w:p>
        </w:tc>
      </w:tr>
      <w:tr w:rsidR="00BE6461" w:rsidRPr="00BE6461" w14:paraId="0C177A2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FDFD9AF" w14:textId="77777777" w:rsidR="00BE6461" w:rsidRPr="00BE6461" w:rsidRDefault="00BE6461" w:rsidP="00BE6461">
            <w:pPr>
              <w:rPr>
                <w:b/>
                <w:bCs/>
                <w:color w:val="333333"/>
                <w:sz w:val="20"/>
                <w:szCs w:val="20"/>
              </w:rPr>
            </w:pPr>
            <w:r w:rsidRPr="00BE6461">
              <w:rPr>
                <w:b/>
                <w:bCs/>
                <w:color w:val="333333"/>
                <w:sz w:val="20"/>
                <w:szCs w:val="20"/>
              </w:rPr>
              <w:t>Izvor 6. DONACIJE</w:t>
            </w:r>
          </w:p>
        </w:tc>
        <w:tc>
          <w:tcPr>
            <w:tcW w:w="1503" w:type="dxa"/>
            <w:tcBorders>
              <w:top w:val="nil"/>
              <w:left w:val="nil"/>
              <w:bottom w:val="nil"/>
              <w:right w:val="nil"/>
            </w:tcBorders>
            <w:shd w:val="clear" w:color="auto" w:fill="auto"/>
            <w:noWrap/>
            <w:vAlign w:val="bottom"/>
            <w:hideMark/>
          </w:tcPr>
          <w:p w14:paraId="59AEEA0F" w14:textId="77777777" w:rsidR="00BE6461" w:rsidRPr="00BE6461" w:rsidRDefault="00BE6461" w:rsidP="00BE6461">
            <w:pPr>
              <w:jc w:val="right"/>
              <w:rPr>
                <w:b/>
                <w:bCs/>
                <w:color w:val="333333"/>
                <w:sz w:val="20"/>
                <w:szCs w:val="20"/>
              </w:rPr>
            </w:pPr>
            <w:r w:rsidRPr="00BE6461">
              <w:rPr>
                <w:b/>
                <w:bCs/>
                <w:color w:val="333333"/>
                <w:sz w:val="20"/>
                <w:szCs w:val="20"/>
              </w:rPr>
              <w:t>5.000,00</w:t>
            </w:r>
          </w:p>
        </w:tc>
        <w:tc>
          <w:tcPr>
            <w:tcW w:w="1500" w:type="dxa"/>
            <w:tcBorders>
              <w:top w:val="nil"/>
              <w:left w:val="nil"/>
              <w:bottom w:val="nil"/>
              <w:right w:val="nil"/>
            </w:tcBorders>
            <w:shd w:val="clear" w:color="auto" w:fill="auto"/>
            <w:noWrap/>
            <w:vAlign w:val="bottom"/>
            <w:hideMark/>
          </w:tcPr>
          <w:p w14:paraId="26563956" w14:textId="77777777" w:rsidR="00BE6461" w:rsidRPr="00BE6461" w:rsidRDefault="00BE6461" w:rsidP="00BE6461">
            <w:pPr>
              <w:jc w:val="right"/>
              <w:rPr>
                <w:b/>
                <w:bCs/>
                <w:color w:val="333333"/>
                <w:sz w:val="20"/>
                <w:szCs w:val="20"/>
              </w:rPr>
            </w:pPr>
            <w:r w:rsidRPr="00BE6461">
              <w:rPr>
                <w:b/>
                <w:bCs/>
                <w:color w:val="333333"/>
                <w:sz w:val="20"/>
                <w:szCs w:val="20"/>
              </w:rPr>
              <w:t>230,00</w:t>
            </w:r>
          </w:p>
        </w:tc>
        <w:tc>
          <w:tcPr>
            <w:tcW w:w="1100" w:type="dxa"/>
            <w:tcBorders>
              <w:top w:val="nil"/>
              <w:left w:val="nil"/>
              <w:bottom w:val="nil"/>
              <w:right w:val="nil"/>
            </w:tcBorders>
            <w:shd w:val="clear" w:color="auto" w:fill="auto"/>
            <w:noWrap/>
            <w:vAlign w:val="bottom"/>
            <w:hideMark/>
          </w:tcPr>
          <w:p w14:paraId="54E263B2" w14:textId="77777777" w:rsidR="00BE6461" w:rsidRPr="00BE6461" w:rsidRDefault="00BE6461" w:rsidP="00BE6461">
            <w:pPr>
              <w:jc w:val="right"/>
              <w:rPr>
                <w:b/>
                <w:bCs/>
                <w:color w:val="333333"/>
                <w:sz w:val="20"/>
                <w:szCs w:val="20"/>
              </w:rPr>
            </w:pPr>
            <w:r w:rsidRPr="00BE6461">
              <w:rPr>
                <w:b/>
                <w:bCs/>
                <w:color w:val="333333"/>
                <w:sz w:val="20"/>
                <w:szCs w:val="20"/>
              </w:rPr>
              <w:t>4,60</w:t>
            </w:r>
          </w:p>
        </w:tc>
      </w:tr>
      <w:tr w:rsidR="00BE6461" w:rsidRPr="00BE6461" w14:paraId="23FCFE8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BB5355A" w14:textId="77777777" w:rsidR="00BE6461" w:rsidRPr="00BE6461" w:rsidRDefault="00BE6461" w:rsidP="00BE6461">
            <w:pPr>
              <w:rPr>
                <w:b/>
                <w:bCs/>
                <w:color w:val="333333"/>
                <w:sz w:val="20"/>
                <w:szCs w:val="20"/>
              </w:rPr>
            </w:pPr>
            <w:r w:rsidRPr="00BE6461">
              <w:rPr>
                <w:b/>
                <w:bCs/>
                <w:color w:val="333333"/>
                <w:sz w:val="20"/>
                <w:szCs w:val="20"/>
              </w:rPr>
              <w:t>Izvor 6.3. DONACIJE - PRORAČUNSKI KORISNICI (DIREKTNO)</w:t>
            </w:r>
          </w:p>
        </w:tc>
        <w:tc>
          <w:tcPr>
            <w:tcW w:w="1503" w:type="dxa"/>
            <w:tcBorders>
              <w:top w:val="nil"/>
              <w:left w:val="nil"/>
              <w:bottom w:val="nil"/>
              <w:right w:val="nil"/>
            </w:tcBorders>
            <w:shd w:val="clear" w:color="auto" w:fill="auto"/>
            <w:noWrap/>
            <w:vAlign w:val="bottom"/>
            <w:hideMark/>
          </w:tcPr>
          <w:p w14:paraId="71CCB714" w14:textId="77777777" w:rsidR="00BE6461" w:rsidRPr="00BE6461" w:rsidRDefault="00BE6461" w:rsidP="00BE6461">
            <w:pPr>
              <w:jc w:val="right"/>
              <w:rPr>
                <w:b/>
                <w:bCs/>
                <w:color w:val="333333"/>
                <w:sz w:val="20"/>
                <w:szCs w:val="20"/>
              </w:rPr>
            </w:pPr>
            <w:r w:rsidRPr="00BE6461">
              <w:rPr>
                <w:b/>
                <w:bCs/>
                <w:color w:val="333333"/>
                <w:sz w:val="20"/>
                <w:szCs w:val="20"/>
              </w:rPr>
              <w:t>5.000,00</w:t>
            </w:r>
          </w:p>
        </w:tc>
        <w:tc>
          <w:tcPr>
            <w:tcW w:w="1500" w:type="dxa"/>
            <w:tcBorders>
              <w:top w:val="nil"/>
              <w:left w:val="nil"/>
              <w:bottom w:val="nil"/>
              <w:right w:val="nil"/>
            </w:tcBorders>
            <w:shd w:val="clear" w:color="auto" w:fill="auto"/>
            <w:noWrap/>
            <w:vAlign w:val="bottom"/>
            <w:hideMark/>
          </w:tcPr>
          <w:p w14:paraId="55985DFF" w14:textId="77777777" w:rsidR="00BE6461" w:rsidRPr="00BE6461" w:rsidRDefault="00BE6461" w:rsidP="00BE6461">
            <w:pPr>
              <w:jc w:val="right"/>
              <w:rPr>
                <w:b/>
                <w:bCs/>
                <w:color w:val="333333"/>
                <w:sz w:val="20"/>
                <w:szCs w:val="20"/>
              </w:rPr>
            </w:pPr>
            <w:r w:rsidRPr="00BE6461">
              <w:rPr>
                <w:b/>
                <w:bCs/>
                <w:color w:val="333333"/>
                <w:sz w:val="20"/>
                <w:szCs w:val="20"/>
              </w:rPr>
              <w:t>230,00</w:t>
            </w:r>
          </w:p>
        </w:tc>
        <w:tc>
          <w:tcPr>
            <w:tcW w:w="1100" w:type="dxa"/>
            <w:tcBorders>
              <w:top w:val="nil"/>
              <w:left w:val="nil"/>
              <w:bottom w:val="nil"/>
              <w:right w:val="nil"/>
            </w:tcBorders>
            <w:shd w:val="clear" w:color="auto" w:fill="auto"/>
            <w:noWrap/>
            <w:vAlign w:val="bottom"/>
            <w:hideMark/>
          </w:tcPr>
          <w:p w14:paraId="515AD07C" w14:textId="77777777" w:rsidR="00BE6461" w:rsidRPr="00BE6461" w:rsidRDefault="00BE6461" w:rsidP="00BE6461">
            <w:pPr>
              <w:jc w:val="right"/>
              <w:rPr>
                <w:b/>
                <w:bCs/>
                <w:color w:val="333333"/>
                <w:sz w:val="20"/>
                <w:szCs w:val="20"/>
              </w:rPr>
            </w:pPr>
            <w:r w:rsidRPr="00BE6461">
              <w:rPr>
                <w:b/>
                <w:bCs/>
                <w:color w:val="333333"/>
                <w:sz w:val="20"/>
                <w:szCs w:val="20"/>
              </w:rPr>
              <w:t>4,60</w:t>
            </w:r>
          </w:p>
        </w:tc>
      </w:tr>
      <w:tr w:rsidR="00BE6461" w:rsidRPr="00BE6461" w14:paraId="710D529F"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BBCBCC9" w14:textId="77777777" w:rsidR="00BE6461" w:rsidRPr="00BE6461" w:rsidRDefault="00BE6461" w:rsidP="00BE6461">
            <w:pPr>
              <w:rPr>
                <w:b/>
                <w:bCs/>
                <w:color w:val="333333"/>
                <w:sz w:val="20"/>
                <w:szCs w:val="20"/>
              </w:rPr>
            </w:pPr>
            <w:r w:rsidRPr="00BE6461">
              <w:rPr>
                <w:b/>
                <w:bCs/>
                <w:color w:val="333333"/>
                <w:sz w:val="20"/>
                <w:szCs w:val="20"/>
              </w:rPr>
              <w:t>Izvor 7. PRIHODI OD NEFIN.IMOVINE I NADOKNADE ŠTETA OD OSIG.</w:t>
            </w:r>
          </w:p>
        </w:tc>
        <w:tc>
          <w:tcPr>
            <w:tcW w:w="1503" w:type="dxa"/>
            <w:tcBorders>
              <w:top w:val="nil"/>
              <w:left w:val="nil"/>
              <w:bottom w:val="nil"/>
              <w:right w:val="nil"/>
            </w:tcBorders>
            <w:shd w:val="clear" w:color="auto" w:fill="auto"/>
            <w:noWrap/>
            <w:vAlign w:val="bottom"/>
            <w:hideMark/>
          </w:tcPr>
          <w:p w14:paraId="52A332A6" w14:textId="77777777" w:rsidR="00BE6461" w:rsidRPr="00BE6461" w:rsidRDefault="00BE6461" w:rsidP="00BE6461">
            <w:pPr>
              <w:jc w:val="right"/>
              <w:rPr>
                <w:b/>
                <w:bCs/>
                <w:color w:val="333333"/>
                <w:sz w:val="20"/>
                <w:szCs w:val="20"/>
              </w:rPr>
            </w:pPr>
            <w:r w:rsidRPr="00BE6461">
              <w:rPr>
                <w:b/>
                <w:bCs/>
                <w:color w:val="333333"/>
                <w:sz w:val="20"/>
                <w:szCs w:val="20"/>
              </w:rPr>
              <w:t>220.000,00</w:t>
            </w:r>
          </w:p>
        </w:tc>
        <w:tc>
          <w:tcPr>
            <w:tcW w:w="1500" w:type="dxa"/>
            <w:tcBorders>
              <w:top w:val="nil"/>
              <w:left w:val="nil"/>
              <w:bottom w:val="nil"/>
              <w:right w:val="nil"/>
            </w:tcBorders>
            <w:shd w:val="clear" w:color="auto" w:fill="auto"/>
            <w:noWrap/>
            <w:vAlign w:val="bottom"/>
            <w:hideMark/>
          </w:tcPr>
          <w:p w14:paraId="59DAFD05" w14:textId="77777777" w:rsidR="00BE6461" w:rsidRPr="00BE6461" w:rsidRDefault="00BE6461" w:rsidP="00BE6461">
            <w:pPr>
              <w:jc w:val="right"/>
              <w:rPr>
                <w:b/>
                <w:bCs/>
                <w:color w:val="333333"/>
                <w:sz w:val="20"/>
                <w:szCs w:val="20"/>
              </w:rPr>
            </w:pPr>
            <w:r w:rsidRPr="00BE6461">
              <w:rPr>
                <w:b/>
                <w:bCs/>
                <w:color w:val="333333"/>
                <w:sz w:val="20"/>
                <w:szCs w:val="20"/>
              </w:rPr>
              <w:t>215.000,00</w:t>
            </w:r>
          </w:p>
        </w:tc>
        <w:tc>
          <w:tcPr>
            <w:tcW w:w="1100" w:type="dxa"/>
            <w:tcBorders>
              <w:top w:val="nil"/>
              <w:left w:val="nil"/>
              <w:bottom w:val="nil"/>
              <w:right w:val="nil"/>
            </w:tcBorders>
            <w:shd w:val="clear" w:color="auto" w:fill="auto"/>
            <w:noWrap/>
            <w:vAlign w:val="bottom"/>
            <w:hideMark/>
          </w:tcPr>
          <w:p w14:paraId="4129862D" w14:textId="77777777" w:rsidR="00BE6461" w:rsidRPr="00BE6461" w:rsidRDefault="00BE6461" w:rsidP="00BE6461">
            <w:pPr>
              <w:jc w:val="right"/>
              <w:rPr>
                <w:b/>
                <w:bCs/>
                <w:color w:val="333333"/>
                <w:sz w:val="20"/>
                <w:szCs w:val="20"/>
              </w:rPr>
            </w:pPr>
            <w:r w:rsidRPr="00BE6461">
              <w:rPr>
                <w:b/>
                <w:bCs/>
                <w:color w:val="333333"/>
                <w:sz w:val="20"/>
                <w:szCs w:val="20"/>
              </w:rPr>
              <w:t>97,73</w:t>
            </w:r>
          </w:p>
        </w:tc>
      </w:tr>
      <w:tr w:rsidR="00BE6461" w:rsidRPr="00BE6461" w14:paraId="1D2091EA"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7279BA5" w14:textId="77777777" w:rsidR="00BE6461" w:rsidRPr="00BE6461" w:rsidRDefault="00BE6461" w:rsidP="00BE6461">
            <w:pPr>
              <w:rPr>
                <w:b/>
                <w:bCs/>
                <w:color w:val="333333"/>
                <w:sz w:val="20"/>
                <w:szCs w:val="20"/>
              </w:rPr>
            </w:pPr>
            <w:r w:rsidRPr="00BE6461">
              <w:rPr>
                <w:b/>
                <w:bCs/>
                <w:color w:val="333333"/>
                <w:sz w:val="20"/>
                <w:szCs w:val="20"/>
              </w:rPr>
              <w:t>Izvor 7.1. PRIHODI OD NEFIN.IMOVINE I NADOKNADE ŠTETA OD OSIG.</w:t>
            </w:r>
          </w:p>
        </w:tc>
        <w:tc>
          <w:tcPr>
            <w:tcW w:w="1503" w:type="dxa"/>
            <w:tcBorders>
              <w:top w:val="nil"/>
              <w:left w:val="nil"/>
              <w:bottom w:val="nil"/>
              <w:right w:val="nil"/>
            </w:tcBorders>
            <w:shd w:val="clear" w:color="auto" w:fill="auto"/>
            <w:noWrap/>
            <w:vAlign w:val="bottom"/>
            <w:hideMark/>
          </w:tcPr>
          <w:p w14:paraId="358AC26A" w14:textId="77777777" w:rsidR="00BE6461" w:rsidRPr="00BE6461" w:rsidRDefault="00BE6461" w:rsidP="00BE6461">
            <w:pPr>
              <w:jc w:val="right"/>
              <w:rPr>
                <w:b/>
                <w:bCs/>
                <w:color w:val="333333"/>
                <w:sz w:val="20"/>
                <w:szCs w:val="20"/>
              </w:rPr>
            </w:pPr>
            <w:r w:rsidRPr="00BE6461">
              <w:rPr>
                <w:b/>
                <w:bCs/>
                <w:color w:val="333333"/>
                <w:sz w:val="20"/>
                <w:szCs w:val="20"/>
              </w:rPr>
              <w:t>220.000,00</w:t>
            </w:r>
          </w:p>
        </w:tc>
        <w:tc>
          <w:tcPr>
            <w:tcW w:w="1500" w:type="dxa"/>
            <w:tcBorders>
              <w:top w:val="nil"/>
              <w:left w:val="nil"/>
              <w:bottom w:val="nil"/>
              <w:right w:val="nil"/>
            </w:tcBorders>
            <w:shd w:val="clear" w:color="auto" w:fill="auto"/>
            <w:noWrap/>
            <w:vAlign w:val="bottom"/>
            <w:hideMark/>
          </w:tcPr>
          <w:p w14:paraId="27511C33" w14:textId="77777777" w:rsidR="00BE6461" w:rsidRPr="00BE6461" w:rsidRDefault="00BE6461" w:rsidP="00BE6461">
            <w:pPr>
              <w:jc w:val="right"/>
              <w:rPr>
                <w:b/>
                <w:bCs/>
                <w:color w:val="333333"/>
                <w:sz w:val="20"/>
                <w:szCs w:val="20"/>
              </w:rPr>
            </w:pPr>
            <w:r w:rsidRPr="00BE6461">
              <w:rPr>
                <w:b/>
                <w:bCs/>
                <w:color w:val="333333"/>
                <w:sz w:val="20"/>
                <w:szCs w:val="20"/>
              </w:rPr>
              <w:t>215.000,00</w:t>
            </w:r>
          </w:p>
        </w:tc>
        <w:tc>
          <w:tcPr>
            <w:tcW w:w="1100" w:type="dxa"/>
            <w:tcBorders>
              <w:top w:val="nil"/>
              <w:left w:val="nil"/>
              <w:bottom w:val="nil"/>
              <w:right w:val="nil"/>
            </w:tcBorders>
            <w:shd w:val="clear" w:color="auto" w:fill="auto"/>
            <w:noWrap/>
            <w:vAlign w:val="bottom"/>
            <w:hideMark/>
          </w:tcPr>
          <w:p w14:paraId="6DB39323" w14:textId="77777777" w:rsidR="00BE6461" w:rsidRPr="00BE6461" w:rsidRDefault="00BE6461" w:rsidP="00BE6461">
            <w:pPr>
              <w:jc w:val="right"/>
              <w:rPr>
                <w:b/>
                <w:bCs/>
                <w:color w:val="333333"/>
                <w:sz w:val="20"/>
                <w:szCs w:val="20"/>
              </w:rPr>
            </w:pPr>
            <w:r w:rsidRPr="00BE6461">
              <w:rPr>
                <w:b/>
                <w:bCs/>
                <w:color w:val="333333"/>
                <w:sz w:val="20"/>
                <w:szCs w:val="20"/>
              </w:rPr>
              <w:t>97,73</w:t>
            </w:r>
          </w:p>
        </w:tc>
      </w:tr>
      <w:tr w:rsidR="00BE6461" w:rsidRPr="00BE6461" w14:paraId="3C805B8B" w14:textId="77777777" w:rsidTr="00BE6461">
        <w:trPr>
          <w:trHeight w:val="390"/>
        </w:trPr>
        <w:tc>
          <w:tcPr>
            <w:tcW w:w="10160" w:type="dxa"/>
            <w:gridSpan w:val="2"/>
            <w:tcBorders>
              <w:top w:val="single" w:sz="4" w:space="0" w:color="auto"/>
              <w:left w:val="nil"/>
              <w:bottom w:val="nil"/>
              <w:right w:val="nil"/>
            </w:tcBorders>
            <w:shd w:val="clear" w:color="auto" w:fill="auto"/>
            <w:noWrap/>
            <w:vAlign w:val="bottom"/>
            <w:hideMark/>
          </w:tcPr>
          <w:p w14:paraId="058A7C94" w14:textId="77777777" w:rsidR="00BE6461" w:rsidRPr="00BE6461" w:rsidRDefault="00BE6461" w:rsidP="00BE6461">
            <w:pPr>
              <w:rPr>
                <w:b/>
                <w:bCs/>
                <w:sz w:val="20"/>
                <w:szCs w:val="20"/>
              </w:rPr>
            </w:pPr>
            <w:r w:rsidRPr="00BE6461">
              <w:rPr>
                <w:b/>
                <w:bCs/>
                <w:sz w:val="20"/>
                <w:szCs w:val="20"/>
              </w:rPr>
              <w:t>PROR. KORISNIK 48200 PUČKO OTVORENO UČILIŠTE BUJE - UNIVERSITA` POPOLARE APERTA DI BUIE</w:t>
            </w:r>
          </w:p>
        </w:tc>
        <w:tc>
          <w:tcPr>
            <w:tcW w:w="1503" w:type="dxa"/>
            <w:tcBorders>
              <w:top w:val="single" w:sz="4" w:space="0" w:color="auto"/>
              <w:left w:val="nil"/>
              <w:bottom w:val="nil"/>
              <w:right w:val="nil"/>
            </w:tcBorders>
            <w:shd w:val="clear" w:color="auto" w:fill="auto"/>
            <w:noWrap/>
            <w:vAlign w:val="bottom"/>
            <w:hideMark/>
          </w:tcPr>
          <w:p w14:paraId="2CD9E094" w14:textId="77777777" w:rsidR="00BE6461" w:rsidRPr="00BE6461" w:rsidRDefault="00BE6461" w:rsidP="00BE6461">
            <w:pPr>
              <w:jc w:val="right"/>
              <w:rPr>
                <w:b/>
                <w:bCs/>
                <w:sz w:val="20"/>
                <w:szCs w:val="20"/>
              </w:rPr>
            </w:pPr>
            <w:r w:rsidRPr="00BE6461">
              <w:rPr>
                <w:b/>
                <w:bCs/>
                <w:sz w:val="20"/>
                <w:szCs w:val="20"/>
              </w:rPr>
              <w:t>1.578.999,12</w:t>
            </w:r>
          </w:p>
        </w:tc>
        <w:tc>
          <w:tcPr>
            <w:tcW w:w="1500" w:type="dxa"/>
            <w:tcBorders>
              <w:top w:val="single" w:sz="4" w:space="0" w:color="auto"/>
              <w:left w:val="nil"/>
              <w:bottom w:val="nil"/>
              <w:right w:val="nil"/>
            </w:tcBorders>
            <w:shd w:val="clear" w:color="auto" w:fill="auto"/>
            <w:noWrap/>
            <w:vAlign w:val="bottom"/>
            <w:hideMark/>
          </w:tcPr>
          <w:p w14:paraId="3D896B0D" w14:textId="77777777" w:rsidR="00BE6461" w:rsidRPr="00BE6461" w:rsidRDefault="00BE6461" w:rsidP="00BE6461">
            <w:pPr>
              <w:jc w:val="right"/>
              <w:rPr>
                <w:b/>
                <w:bCs/>
                <w:sz w:val="20"/>
                <w:szCs w:val="20"/>
              </w:rPr>
            </w:pPr>
            <w:r w:rsidRPr="00BE6461">
              <w:rPr>
                <w:b/>
                <w:bCs/>
                <w:sz w:val="20"/>
                <w:szCs w:val="20"/>
              </w:rPr>
              <w:t>1.351.583,18</w:t>
            </w:r>
          </w:p>
        </w:tc>
        <w:tc>
          <w:tcPr>
            <w:tcW w:w="1100" w:type="dxa"/>
            <w:tcBorders>
              <w:top w:val="single" w:sz="4" w:space="0" w:color="auto"/>
              <w:left w:val="nil"/>
              <w:bottom w:val="nil"/>
              <w:right w:val="nil"/>
            </w:tcBorders>
            <w:shd w:val="clear" w:color="auto" w:fill="auto"/>
            <w:noWrap/>
            <w:vAlign w:val="bottom"/>
            <w:hideMark/>
          </w:tcPr>
          <w:p w14:paraId="5BDCB108" w14:textId="77777777" w:rsidR="00BE6461" w:rsidRPr="00BE6461" w:rsidRDefault="00BE6461" w:rsidP="00BE6461">
            <w:pPr>
              <w:jc w:val="right"/>
              <w:rPr>
                <w:b/>
                <w:bCs/>
                <w:sz w:val="20"/>
                <w:szCs w:val="20"/>
              </w:rPr>
            </w:pPr>
            <w:r w:rsidRPr="00BE6461">
              <w:rPr>
                <w:b/>
                <w:bCs/>
                <w:sz w:val="20"/>
                <w:szCs w:val="20"/>
              </w:rPr>
              <w:t>85,60</w:t>
            </w:r>
          </w:p>
        </w:tc>
      </w:tr>
      <w:tr w:rsidR="00BE6461" w:rsidRPr="00BE6461" w14:paraId="3B73FF9B" w14:textId="77777777" w:rsidTr="00BE6461">
        <w:trPr>
          <w:trHeight w:val="390"/>
        </w:trPr>
        <w:tc>
          <w:tcPr>
            <w:tcW w:w="1703" w:type="dxa"/>
            <w:tcBorders>
              <w:top w:val="single" w:sz="4" w:space="0" w:color="auto"/>
              <w:left w:val="nil"/>
              <w:bottom w:val="nil"/>
              <w:right w:val="nil"/>
            </w:tcBorders>
            <w:shd w:val="clear" w:color="auto" w:fill="auto"/>
            <w:noWrap/>
            <w:vAlign w:val="bottom"/>
            <w:hideMark/>
          </w:tcPr>
          <w:p w14:paraId="2344C2F5" w14:textId="77777777" w:rsidR="00BE6461" w:rsidRPr="00BE6461" w:rsidRDefault="00BE6461" w:rsidP="00BE6461">
            <w:pPr>
              <w:rPr>
                <w:b/>
                <w:bCs/>
                <w:sz w:val="20"/>
                <w:szCs w:val="20"/>
              </w:rPr>
            </w:pPr>
            <w:r w:rsidRPr="00BE6461">
              <w:rPr>
                <w:b/>
                <w:bCs/>
                <w:sz w:val="20"/>
                <w:szCs w:val="20"/>
              </w:rPr>
              <w:lastRenderedPageBreak/>
              <w:t>1012</w:t>
            </w:r>
          </w:p>
        </w:tc>
        <w:tc>
          <w:tcPr>
            <w:tcW w:w="8457" w:type="dxa"/>
            <w:tcBorders>
              <w:top w:val="single" w:sz="4" w:space="0" w:color="auto"/>
              <w:left w:val="nil"/>
              <w:bottom w:val="nil"/>
              <w:right w:val="nil"/>
            </w:tcBorders>
            <w:shd w:val="clear" w:color="auto" w:fill="auto"/>
            <w:vAlign w:val="bottom"/>
            <w:hideMark/>
          </w:tcPr>
          <w:p w14:paraId="1FF7F438" w14:textId="77777777" w:rsidR="00BE6461" w:rsidRPr="00BE6461" w:rsidRDefault="00BE6461" w:rsidP="00BE6461">
            <w:pPr>
              <w:rPr>
                <w:b/>
                <w:bCs/>
                <w:sz w:val="20"/>
                <w:szCs w:val="20"/>
              </w:rPr>
            </w:pPr>
            <w:r w:rsidRPr="00BE6461">
              <w:rPr>
                <w:b/>
                <w:bCs/>
                <w:sz w:val="20"/>
                <w:szCs w:val="20"/>
              </w:rPr>
              <w:t>Program: DJELATNOST PUČKOG OTVORENOG UČILIŠTA BUJE</w:t>
            </w:r>
          </w:p>
        </w:tc>
        <w:tc>
          <w:tcPr>
            <w:tcW w:w="1503" w:type="dxa"/>
            <w:tcBorders>
              <w:top w:val="single" w:sz="4" w:space="0" w:color="auto"/>
              <w:left w:val="nil"/>
              <w:bottom w:val="nil"/>
              <w:right w:val="nil"/>
            </w:tcBorders>
            <w:shd w:val="clear" w:color="auto" w:fill="auto"/>
            <w:noWrap/>
            <w:vAlign w:val="bottom"/>
            <w:hideMark/>
          </w:tcPr>
          <w:p w14:paraId="0660B933" w14:textId="77777777" w:rsidR="00BE6461" w:rsidRPr="00BE6461" w:rsidRDefault="00BE6461" w:rsidP="00BE6461">
            <w:pPr>
              <w:jc w:val="right"/>
              <w:rPr>
                <w:b/>
                <w:bCs/>
                <w:sz w:val="20"/>
                <w:szCs w:val="20"/>
              </w:rPr>
            </w:pPr>
            <w:r w:rsidRPr="00BE6461">
              <w:rPr>
                <w:b/>
                <w:bCs/>
                <w:sz w:val="20"/>
                <w:szCs w:val="20"/>
              </w:rPr>
              <w:t>1.578.999,12</w:t>
            </w:r>
          </w:p>
        </w:tc>
        <w:tc>
          <w:tcPr>
            <w:tcW w:w="1500" w:type="dxa"/>
            <w:tcBorders>
              <w:top w:val="single" w:sz="4" w:space="0" w:color="auto"/>
              <w:left w:val="nil"/>
              <w:bottom w:val="nil"/>
              <w:right w:val="nil"/>
            </w:tcBorders>
            <w:shd w:val="clear" w:color="auto" w:fill="auto"/>
            <w:noWrap/>
            <w:vAlign w:val="bottom"/>
            <w:hideMark/>
          </w:tcPr>
          <w:p w14:paraId="47AD9D7D" w14:textId="77777777" w:rsidR="00BE6461" w:rsidRPr="00BE6461" w:rsidRDefault="00BE6461" w:rsidP="00BE6461">
            <w:pPr>
              <w:jc w:val="right"/>
              <w:rPr>
                <w:b/>
                <w:bCs/>
                <w:sz w:val="20"/>
                <w:szCs w:val="20"/>
              </w:rPr>
            </w:pPr>
            <w:r w:rsidRPr="00BE6461">
              <w:rPr>
                <w:b/>
                <w:bCs/>
                <w:sz w:val="20"/>
                <w:szCs w:val="20"/>
              </w:rPr>
              <w:t>1.351.583,18</w:t>
            </w:r>
          </w:p>
        </w:tc>
        <w:tc>
          <w:tcPr>
            <w:tcW w:w="1100" w:type="dxa"/>
            <w:tcBorders>
              <w:top w:val="single" w:sz="4" w:space="0" w:color="auto"/>
              <w:left w:val="nil"/>
              <w:bottom w:val="nil"/>
              <w:right w:val="nil"/>
            </w:tcBorders>
            <w:shd w:val="clear" w:color="auto" w:fill="auto"/>
            <w:noWrap/>
            <w:vAlign w:val="bottom"/>
            <w:hideMark/>
          </w:tcPr>
          <w:p w14:paraId="6A7F9495" w14:textId="77777777" w:rsidR="00BE6461" w:rsidRPr="00BE6461" w:rsidRDefault="00BE6461" w:rsidP="00BE6461">
            <w:pPr>
              <w:jc w:val="right"/>
              <w:rPr>
                <w:b/>
                <w:bCs/>
                <w:sz w:val="20"/>
                <w:szCs w:val="20"/>
              </w:rPr>
            </w:pPr>
            <w:r w:rsidRPr="00BE6461">
              <w:rPr>
                <w:b/>
                <w:bCs/>
                <w:sz w:val="20"/>
                <w:szCs w:val="20"/>
              </w:rPr>
              <w:t>85,60</w:t>
            </w:r>
          </w:p>
        </w:tc>
      </w:tr>
      <w:tr w:rsidR="00BE6461" w:rsidRPr="00BE6461" w14:paraId="08A9D587"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6C21B13A" w14:textId="77777777" w:rsidR="00BE6461" w:rsidRPr="00BE6461" w:rsidRDefault="00BE6461" w:rsidP="00BE6461">
            <w:pPr>
              <w:rPr>
                <w:b/>
                <w:bCs/>
                <w:sz w:val="20"/>
                <w:szCs w:val="20"/>
              </w:rPr>
            </w:pPr>
            <w:r w:rsidRPr="00BE6461">
              <w:rPr>
                <w:b/>
                <w:bCs/>
                <w:sz w:val="20"/>
                <w:szCs w:val="20"/>
              </w:rPr>
              <w:t>A100063</w:t>
            </w:r>
          </w:p>
        </w:tc>
        <w:tc>
          <w:tcPr>
            <w:tcW w:w="8457" w:type="dxa"/>
            <w:tcBorders>
              <w:top w:val="single" w:sz="4" w:space="0" w:color="auto"/>
              <w:left w:val="nil"/>
              <w:bottom w:val="single" w:sz="4" w:space="0" w:color="auto"/>
              <w:right w:val="nil"/>
            </w:tcBorders>
            <w:shd w:val="clear" w:color="auto" w:fill="auto"/>
            <w:vAlign w:val="bottom"/>
            <w:hideMark/>
          </w:tcPr>
          <w:p w14:paraId="6398E8B1" w14:textId="77777777" w:rsidR="00BE6461" w:rsidRPr="00BE6461" w:rsidRDefault="00BE6461" w:rsidP="00BE6461">
            <w:pPr>
              <w:rPr>
                <w:b/>
                <w:bCs/>
                <w:sz w:val="20"/>
                <w:szCs w:val="20"/>
              </w:rPr>
            </w:pPr>
            <w:r w:rsidRPr="00BE6461">
              <w:rPr>
                <w:b/>
                <w:bCs/>
                <w:sz w:val="20"/>
                <w:szCs w:val="20"/>
              </w:rPr>
              <w:t>Aktivnost: RASHODI ZA ZAPOSLENE</w:t>
            </w:r>
          </w:p>
        </w:tc>
        <w:tc>
          <w:tcPr>
            <w:tcW w:w="1503" w:type="dxa"/>
            <w:tcBorders>
              <w:top w:val="single" w:sz="4" w:space="0" w:color="auto"/>
              <w:left w:val="nil"/>
              <w:bottom w:val="single" w:sz="4" w:space="0" w:color="auto"/>
              <w:right w:val="nil"/>
            </w:tcBorders>
            <w:shd w:val="clear" w:color="auto" w:fill="auto"/>
            <w:noWrap/>
            <w:vAlign w:val="bottom"/>
            <w:hideMark/>
          </w:tcPr>
          <w:p w14:paraId="7C23BA6B" w14:textId="77777777" w:rsidR="00BE6461" w:rsidRPr="00BE6461" w:rsidRDefault="00BE6461" w:rsidP="00BE6461">
            <w:pPr>
              <w:jc w:val="right"/>
              <w:rPr>
                <w:b/>
                <w:bCs/>
                <w:sz w:val="20"/>
                <w:szCs w:val="20"/>
              </w:rPr>
            </w:pPr>
            <w:r w:rsidRPr="00BE6461">
              <w:rPr>
                <w:b/>
                <w:bCs/>
                <w:sz w:val="20"/>
                <w:szCs w:val="20"/>
              </w:rPr>
              <w:t>720.345,00</w:t>
            </w:r>
          </w:p>
        </w:tc>
        <w:tc>
          <w:tcPr>
            <w:tcW w:w="1500" w:type="dxa"/>
            <w:tcBorders>
              <w:top w:val="single" w:sz="4" w:space="0" w:color="auto"/>
              <w:left w:val="nil"/>
              <w:bottom w:val="single" w:sz="4" w:space="0" w:color="auto"/>
              <w:right w:val="nil"/>
            </w:tcBorders>
            <w:shd w:val="clear" w:color="auto" w:fill="auto"/>
            <w:noWrap/>
            <w:vAlign w:val="bottom"/>
            <w:hideMark/>
          </w:tcPr>
          <w:p w14:paraId="01B39F33" w14:textId="77777777" w:rsidR="00BE6461" w:rsidRPr="00BE6461" w:rsidRDefault="00BE6461" w:rsidP="00BE6461">
            <w:pPr>
              <w:jc w:val="right"/>
              <w:rPr>
                <w:b/>
                <w:bCs/>
                <w:sz w:val="20"/>
                <w:szCs w:val="20"/>
              </w:rPr>
            </w:pPr>
            <w:r w:rsidRPr="00BE6461">
              <w:rPr>
                <w:b/>
                <w:bCs/>
                <w:sz w:val="20"/>
                <w:szCs w:val="20"/>
              </w:rPr>
              <w:t>657.488,12</w:t>
            </w:r>
          </w:p>
        </w:tc>
        <w:tc>
          <w:tcPr>
            <w:tcW w:w="1100" w:type="dxa"/>
            <w:tcBorders>
              <w:top w:val="single" w:sz="4" w:space="0" w:color="auto"/>
              <w:left w:val="nil"/>
              <w:bottom w:val="single" w:sz="4" w:space="0" w:color="auto"/>
              <w:right w:val="nil"/>
            </w:tcBorders>
            <w:shd w:val="clear" w:color="auto" w:fill="auto"/>
            <w:noWrap/>
            <w:vAlign w:val="bottom"/>
            <w:hideMark/>
          </w:tcPr>
          <w:p w14:paraId="62EF129C" w14:textId="77777777" w:rsidR="00BE6461" w:rsidRPr="00BE6461" w:rsidRDefault="00BE6461" w:rsidP="00BE6461">
            <w:pPr>
              <w:jc w:val="right"/>
              <w:rPr>
                <w:b/>
                <w:bCs/>
                <w:sz w:val="20"/>
                <w:szCs w:val="20"/>
              </w:rPr>
            </w:pPr>
            <w:r w:rsidRPr="00BE6461">
              <w:rPr>
                <w:b/>
                <w:bCs/>
                <w:sz w:val="20"/>
                <w:szCs w:val="20"/>
              </w:rPr>
              <w:t>91,27</w:t>
            </w:r>
          </w:p>
        </w:tc>
      </w:tr>
      <w:tr w:rsidR="00BE6461" w:rsidRPr="00BE6461" w14:paraId="76B9FA1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67140E8"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71D3EC34" w14:textId="77777777" w:rsidR="00BE6461" w:rsidRPr="00BE6461" w:rsidRDefault="00BE6461" w:rsidP="00BE6461">
            <w:pPr>
              <w:jc w:val="right"/>
              <w:rPr>
                <w:b/>
                <w:bCs/>
                <w:color w:val="333333"/>
                <w:sz w:val="20"/>
                <w:szCs w:val="20"/>
              </w:rPr>
            </w:pPr>
            <w:r w:rsidRPr="00BE6461">
              <w:rPr>
                <w:b/>
                <w:bCs/>
                <w:color w:val="333333"/>
                <w:sz w:val="20"/>
                <w:szCs w:val="20"/>
              </w:rPr>
              <w:t>711.345,00</w:t>
            </w:r>
          </w:p>
        </w:tc>
        <w:tc>
          <w:tcPr>
            <w:tcW w:w="1500" w:type="dxa"/>
            <w:tcBorders>
              <w:top w:val="nil"/>
              <w:left w:val="nil"/>
              <w:bottom w:val="nil"/>
              <w:right w:val="nil"/>
            </w:tcBorders>
            <w:shd w:val="clear" w:color="auto" w:fill="auto"/>
            <w:noWrap/>
            <w:vAlign w:val="bottom"/>
            <w:hideMark/>
          </w:tcPr>
          <w:p w14:paraId="6A1984B1" w14:textId="77777777" w:rsidR="00BE6461" w:rsidRPr="00BE6461" w:rsidRDefault="00BE6461" w:rsidP="00BE6461">
            <w:pPr>
              <w:jc w:val="right"/>
              <w:rPr>
                <w:b/>
                <w:bCs/>
                <w:color w:val="333333"/>
                <w:sz w:val="20"/>
                <w:szCs w:val="20"/>
              </w:rPr>
            </w:pPr>
            <w:r w:rsidRPr="00BE6461">
              <w:rPr>
                <w:b/>
                <w:bCs/>
                <w:color w:val="333333"/>
                <w:sz w:val="20"/>
                <w:szCs w:val="20"/>
              </w:rPr>
              <w:t>648.488,12</w:t>
            </w:r>
          </w:p>
        </w:tc>
        <w:tc>
          <w:tcPr>
            <w:tcW w:w="1100" w:type="dxa"/>
            <w:tcBorders>
              <w:top w:val="nil"/>
              <w:left w:val="nil"/>
              <w:bottom w:val="nil"/>
              <w:right w:val="nil"/>
            </w:tcBorders>
            <w:shd w:val="clear" w:color="auto" w:fill="auto"/>
            <w:noWrap/>
            <w:vAlign w:val="bottom"/>
            <w:hideMark/>
          </w:tcPr>
          <w:p w14:paraId="7004799A" w14:textId="77777777" w:rsidR="00BE6461" w:rsidRPr="00BE6461" w:rsidRDefault="00BE6461" w:rsidP="00BE6461">
            <w:pPr>
              <w:jc w:val="right"/>
              <w:rPr>
                <w:b/>
                <w:bCs/>
                <w:color w:val="333333"/>
                <w:sz w:val="20"/>
                <w:szCs w:val="20"/>
              </w:rPr>
            </w:pPr>
            <w:r w:rsidRPr="00BE6461">
              <w:rPr>
                <w:b/>
                <w:bCs/>
                <w:color w:val="333333"/>
                <w:sz w:val="20"/>
                <w:szCs w:val="20"/>
              </w:rPr>
              <w:t>91,16</w:t>
            </w:r>
          </w:p>
        </w:tc>
      </w:tr>
      <w:tr w:rsidR="00BE6461" w:rsidRPr="00BE6461" w14:paraId="7C65CBED"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7BC029F"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62BD6580" w14:textId="77777777" w:rsidR="00BE6461" w:rsidRPr="00BE6461" w:rsidRDefault="00BE6461" w:rsidP="00BE6461">
            <w:pPr>
              <w:jc w:val="right"/>
              <w:rPr>
                <w:b/>
                <w:bCs/>
                <w:color w:val="333333"/>
                <w:sz w:val="20"/>
                <w:szCs w:val="20"/>
              </w:rPr>
            </w:pPr>
            <w:r w:rsidRPr="00BE6461">
              <w:rPr>
                <w:b/>
                <w:bCs/>
                <w:color w:val="333333"/>
                <w:sz w:val="20"/>
                <w:szCs w:val="20"/>
              </w:rPr>
              <w:t>711.345,00</w:t>
            </w:r>
          </w:p>
        </w:tc>
        <w:tc>
          <w:tcPr>
            <w:tcW w:w="1500" w:type="dxa"/>
            <w:tcBorders>
              <w:top w:val="nil"/>
              <w:left w:val="nil"/>
              <w:bottom w:val="nil"/>
              <w:right w:val="nil"/>
            </w:tcBorders>
            <w:shd w:val="clear" w:color="auto" w:fill="auto"/>
            <w:noWrap/>
            <w:vAlign w:val="bottom"/>
            <w:hideMark/>
          </w:tcPr>
          <w:p w14:paraId="16EBD43E" w14:textId="77777777" w:rsidR="00BE6461" w:rsidRPr="00BE6461" w:rsidRDefault="00BE6461" w:rsidP="00BE6461">
            <w:pPr>
              <w:jc w:val="right"/>
              <w:rPr>
                <w:b/>
                <w:bCs/>
                <w:color w:val="333333"/>
                <w:sz w:val="20"/>
                <w:szCs w:val="20"/>
              </w:rPr>
            </w:pPr>
            <w:r w:rsidRPr="00BE6461">
              <w:rPr>
                <w:b/>
                <w:bCs/>
                <w:color w:val="333333"/>
                <w:sz w:val="20"/>
                <w:szCs w:val="20"/>
              </w:rPr>
              <w:t>648.488,12</w:t>
            </w:r>
          </w:p>
        </w:tc>
        <w:tc>
          <w:tcPr>
            <w:tcW w:w="1100" w:type="dxa"/>
            <w:tcBorders>
              <w:top w:val="nil"/>
              <w:left w:val="nil"/>
              <w:bottom w:val="nil"/>
              <w:right w:val="nil"/>
            </w:tcBorders>
            <w:shd w:val="clear" w:color="auto" w:fill="auto"/>
            <w:noWrap/>
            <w:vAlign w:val="bottom"/>
            <w:hideMark/>
          </w:tcPr>
          <w:p w14:paraId="703A01D9" w14:textId="77777777" w:rsidR="00BE6461" w:rsidRPr="00BE6461" w:rsidRDefault="00BE6461" w:rsidP="00BE6461">
            <w:pPr>
              <w:jc w:val="right"/>
              <w:rPr>
                <w:b/>
                <w:bCs/>
                <w:color w:val="333333"/>
                <w:sz w:val="20"/>
                <w:szCs w:val="20"/>
              </w:rPr>
            </w:pPr>
            <w:r w:rsidRPr="00BE6461">
              <w:rPr>
                <w:b/>
                <w:bCs/>
                <w:color w:val="333333"/>
                <w:sz w:val="20"/>
                <w:szCs w:val="20"/>
              </w:rPr>
              <w:t>91,16</w:t>
            </w:r>
          </w:p>
        </w:tc>
      </w:tr>
      <w:tr w:rsidR="00BE6461" w:rsidRPr="00BE6461" w14:paraId="425EA8B6" w14:textId="77777777" w:rsidTr="00BE6461">
        <w:trPr>
          <w:trHeight w:val="300"/>
        </w:trPr>
        <w:tc>
          <w:tcPr>
            <w:tcW w:w="1703" w:type="dxa"/>
            <w:tcBorders>
              <w:top w:val="nil"/>
              <w:left w:val="nil"/>
              <w:bottom w:val="nil"/>
              <w:right w:val="nil"/>
            </w:tcBorders>
            <w:shd w:val="clear" w:color="auto" w:fill="auto"/>
            <w:noWrap/>
            <w:vAlign w:val="bottom"/>
            <w:hideMark/>
          </w:tcPr>
          <w:p w14:paraId="684D4B17" w14:textId="77777777" w:rsidR="00BE6461" w:rsidRPr="00BE6461" w:rsidRDefault="00BE6461" w:rsidP="00BE6461">
            <w:pPr>
              <w:rPr>
                <w:b/>
                <w:bCs/>
                <w:sz w:val="20"/>
                <w:szCs w:val="20"/>
              </w:rPr>
            </w:pPr>
            <w:r w:rsidRPr="00BE6461">
              <w:rPr>
                <w:b/>
                <w:bCs/>
                <w:sz w:val="20"/>
                <w:szCs w:val="20"/>
              </w:rPr>
              <w:t>311</w:t>
            </w:r>
          </w:p>
        </w:tc>
        <w:tc>
          <w:tcPr>
            <w:tcW w:w="8457" w:type="dxa"/>
            <w:tcBorders>
              <w:top w:val="nil"/>
              <w:left w:val="nil"/>
              <w:bottom w:val="nil"/>
              <w:right w:val="nil"/>
            </w:tcBorders>
            <w:shd w:val="clear" w:color="auto" w:fill="auto"/>
            <w:vAlign w:val="bottom"/>
            <w:hideMark/>
          </w:tcPr>
          <w:p w14:paraId="7846A544" w14:textId="77777777" w:rsidR="00BE6461" w:rsidRPr="00BE6461" w:rsidRDefault="00BE6461" w:rsidP="00BE6461">
            <w:pPr>
              <w:rPr>
                <w:b/>
                <w:bCs/>
                <w:sz w:val="20"/>
                <w:szCs w:val="20"/>
              </w:rPr>
            </w:pPr>
            <w:r w:rsidRPr="00BE6461">
              <w:rPr>
                <w:b/>
                <w:bCs/>
                <w:sz w:val="20"/>
                <w:szCs w:val="20"/>
              </w:rPr>
              <w:t xml:space="preserve">Plaće (Bruto)                                                                                       </w:t>
            </w:r>
          </w:p>
        </w:tc>
        <w:tc>
          <w:tcPr>
            <w:tcW w:w="1503" w:type="dxa"/>
            <w:tcBorders>
              <w:top w:val="nil"/>
              <w:left w:val="nil"/>
              <w:bottom w:val="nil"/>
              <w:right w:val="nil"/>
            </w:tcBorders>
            <w:shd w:val="clear" w:color="auto" w:fill="auto"/>
            <w:noWrap/>
            <w:vAlign w:val="bottom"/>
            <w:hideMark/>
          </w:tcPr>
          <w:p w14:paraId="493F21D5" w14:textId="77777777" w:rsidR="00BE6461" w:rsidRPr="00BE6461" w:rsidRDefault="00BE6461" w:rsidP="00BE6461">
            <w:pPr>
              <w:jc w:val="right"/>
              <w:rPr>
                <w:b/>
                <w:bCs/>
                <w:sz w:val="20"/>
                <w:szCs w:val="20"/>
              </w:rPr>
            </w:pPr>
            <w:r w:rsidRPr="00BE6461">
              <w:rPr>
                <w:b/>
                <w:bCs/>
                <w:sz w:val="20"/>
                <w:szCs w:val="20"/>
              </w:rPr>
              <w:t>568.900,00</w:t>
            </w:r>
          </w:p>
        </w:tc>
        <w:tc>
          <w:tcPr>
            <w:tcW w:w="1500" w:type="dxa"/>
            <w:tcBorders>
              <w:top w:val="nil"/>
              <w:left w:val="nil"/>
              <w:bottom w:val="nil"/>
              <w:right w:val="nil"/>
            </w:tcBorders>
            <w:shd w:val="clear" w:color="auto" w:fill="auto"/>
            <w:noWrap/>
            <w:vAlign w:val="bottom"/>
            <w:hideMark/>
          </w:tcPr>
          <w:p w14:paraId="1601B33C" w14:textId="77777777" w:rsidR="00BE6461" w:rsidRPr="00BE6461" w:rsidRDefault="00BE6461" w:rsidP="00BE6461">
            <w:pPr>
              <w:jc w:val="right"/>
              <w:rPr>
                <w:b/>
                <w:bCs/>
                <w:sz w:val="20"/>
                <w:szCs w:val="20"/>
              </w:rPr>
            </w:pPr>
            <w:r w:rsidRPr="00BE6461">
              <w:rPr>
                <w:b/>
                <w:bCs/>
                <w:sz w:val="20"/>
                <w:szCs w:val="20"/>
              </w:rPr>
              <w:t>516.710,78</w:t>
            </w:r>
          </w:p>
        </w:tc>
        <w:tc>
          <w:tcPr>
            <w:tcW w:w="1100" w:type="dxa"/>
            <w:tcBorders>
              <w:top w:val="nil"/>
              <w:left w:val="nil"/>
              <w:bottom w:val="nil"/>
              <w:right w:val="nil"/>
            </w:tcBorders>
            <w:shd w:val="clear" w:color="auto" w:fill="auto"/>
            <w:noWrap/>
            <w:vAlign w:val="bottom"/>
            <w:hideMark/>
          </w:tcPr>
          <w:p w14:paraId="5A45C9E1" w14:textId="77777777" w:rsidR="00BE6461" w:rsidRPr="00BE6461" w:rsidRDefault="00BE6461" w:rsidP="00BE6461">
            <w:pPr>
              <w:jc w:val="right"/>
              <w:rPr>
                <w:b/>
                <w:bCs/>
                <w:sz w:val="20"/>
                <w:szCs w:val="20"/>
              </w:rPr>
            </w:pPr>
            <w:r w:rsidRPr="00BE6461">
              <w:rPr>
                <w:b/>
                <w:bCs/>
                <w:sz w:val="20"/>
                <w:szCs w:val="20"/>
              </w:rPr>
              <w:t>90,83</w:t>
            </w:r>
          </w:p>
        </w:tc>
      </w:tr>
      <w:tr w:rsidR="00BE6461" w:rsidRPr="00BE6461" w14:paraId="05E9A215" w14:textId="77777777" w:rsidTr="00BE6461">
        <w:trPr>
          <w:trHeight w:val="300"/>
        </w:trPr>
        <w:tc>
          <w:tcPr>
            <w:tcW w:w="1703" w:type="dxa"/>
            <w:tcBorders>
              <w:top w:val="nil"/>
              <w:left w:val="nil"/>
              <w:bottom w:val="nil"/>
              <w:right w:val="nil"/>
            </w:tcBorders>
            <w:shd w:val="clear" w:color="auto" w:fill="auto"/>
            <w:noWrap/>
            <w:vAlign w:val="bottom"/>
            <w:hideMark/>
          </w:tcPr>
          <w:p w14:paraId="447B1E24" w14:textId="77777777" w:rsidR="00BE6461" w:rsidRPr="00BE6461" w:rsidRDefault="00BE6461" w:rsidP="00BE6461">
            <w:pPr>
              <w:rPr>
                <w:sz w:val="20"/>
                <w:szCs w:val="20"/>
              </w:rPr>
            </w:pPr>
            <w:r w:rsidRPr="00BE6461">
              <w:rPr>
                <w:sz w:val="20"/>
                <w:szCs w:val="20"/>
              </w:rPr>
              <w:t>3111</w:t>
            </w:r>
          </w:p>
        </w:tc>
        <w:tc>
          <w:tcPr>
            <w:tcW w:w="8457" w:type="dxa"/>
            <w:tcBorders>
              <w:top w:val="nil"/>
              <w:left w:val="nil"/>
              <w:bottom w:val="nil"/>
              <w:right w:val="nil"/>
            </w:tcBorders>
            <w:shd w:val="clear" w:color="auto" w:fill="auto"/>
            <w:vAlign w:val="bottom"/>
            <w:hideMark/>
          </w:tcPr>
          <w:p w14:paraId="4240249E" w14:textId="77777777" w:rsidR="00BE6461" w:rsidRPr="00BE6461" w:rsidRDefault="00BE6461" w:rsidP="00BE6461">
            <w:pPr>
              <w:rPr>
                <w:sz w:val="20"/>
                <w:szCs w:val="20"/>
              </w:rPr>
            </w:pPr>
            <w:r w:rsidRPr="00BE6461">
              <w:rPr>
                <w:sz w:val="20"/>
                <w:szCs w:val="20"/>
              </w:rPr>
              <w:t xml:space="preserve">Plaće za redovan rad                                                                                </w:t>
            </w:r>
          </w:p>
        </w:tc>
        <w:tc>
          <w:tcPr>
            <w:tcW w:w="1503" w:type="dxa"/>
            <w:tcBorders>
              <w:top w:val="nil"/>
              <w:left w:val="nil"/>
              <w:bottom w:val="nil"/>
              <w:right w:val="nil"/>
            </w:tcBorders>
            <w:shd w:val="clear" w:color="auto" w:fill="auto"/>
            <w:noWrap/>
            <w:vAlign w:val="bottom"/>
            <w:hideMark/>
          </w:tcPr>
          <w:p w14:paraId="31C99D90"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EAE60D3" w14:textId="77777777" w:rsidR="00BE6461" w:rsidRPr="00BE6461" w:rsidRDefault="00BE6461" w:rsidP="00BE6461">
            <w:pPr>
              <w:jc w:val="right"/>
              <w:rPr>
                <w:sz w:val="20"/>
                <w:szCs w:val="20"/>
              </w:rPr>
            </w:pPr>
            <w:r w:rsidRPr="00BE6461">
              <w:rPr>
                <w:sz w:val="20"/>
                <w:szCs w:val="20"/>
              </w:rPr>
              <w:t>516.710,78</w:t>
            </w:r>
          </w:p>
        </w:tc>
        <w:tc>
          <w:tcPr>
            <w:tcW w:w="1100" w:type="dxa"/>
            <w:tcBorders>
              <w:top w:val="nil"/>
              <w:left w:val="nil"/>
              <w:bottom w:val="nil"/>
              <w:right w:val="nil"/>
            </w:tcBorders>
            <w:shd w:val="clear" w:color="auto" w:fill="auto"/>
            <w:noWrap/>
            <w:vAlign w:val="bottom"/>
            <w:hideMark/>
          </w:tcPr>
          <w:p w14:paraId="22C54B62" w14:textId="77777777" w:rsidR="00BE6461" w:rsidRPr="00BE6461" w:rsidRDefault="00BE6461" w:rsidP="00BE6461">
            <w:pPr>
              <w:jc w:val="right"/>
              <w:rPr>
                <w:sz w:val="20"/>
                <w:szCs w:val="20"/>
              </w:rPr>
            </w:pPr>
          </w:p>
        </w:tc>
      </w:tr>
      <w:tr w:rsidR="00BE6461" w:rsidRPr="00BE6461" w14:paraId="3B0477E7" w14:textId="77777777" w:rsidTr="00BE6461">
        <w:trPr>
          <w:trHeight w:val="300"/>
        </w:trPr>
        <w:tc>
          <w:tcPr>
            <w:tcW w:w="1703" w:type="dxa"/>
            <w:tcBorders>
              <w:top w:val="nil"/>
              <w:left w:val="nil"/>
              <w:bottom w:val="nil"/>
              <w:right w:val="nil"/>
            </w:tcBorders>
            <w:shd w:val="clear" w:color="auto" w:fill="auto"/>
            <w:noWrap/>
            <w:vAlign w:val="bottom"/>
            <w:hideMark/>
          </w:tcPr>
          <w:p w14:paraId="6EFBAAEF" w14:textId="77777777" w:rsidR="00BE6461" w:rsidRPr="00BE6461" w:rsidRDefault="00BE6461" w:rsidP="00BE6461">
            <w:pPr>
              <w:rPr>
                <w:b/>
                <w:bCs/>
                <w:sz w:val="20"/>
                <w:szCs w:val="20"/>
              </w:rPr>
            </w:pPr>
            <w:r w:rsidRPr="00BE6461">
              <w:rPr>
                <w:b/>
                <w:bCs/>
                <w:sz w:val="20"/>
                <w:szCs w:val="20"/>
              </w:rPr>
              <w:t>312</w:t>
            </w:r>
          </w:p>
        </w:tc>
        <w:tc>
          <w:tcPr>
            <w:tcW w:w="8457" w:type="dxa"/>
            <w:tcBorders>
              <w:top w:val="nil"/>
              <w:left w:val="nil"/>
              <w:bottom w:val="nil"/>
              <w:right w:val="nil"/>
            </w:tcBorders>
            <w:shd w:val="clear" w:color="auto" w:fill="auto"/>
            <w:vAlign w:val="bottom"/>
            <w:hideMark/>
          </w:tcPr>
          <w:p w14:paraId="47D99294" w14:textId="77777777" w:rsidR="00BE6461" w:rsidRPr="00BE6461" w:rsidRDefault="00BE6461" w:rsidP="00BE6461">
            <w:pPr>
              <w:rPr>
                <w:b/>
                <w:bCs/>
                <w:sz w:val="20"/>
                <w:szCs w:val="20"/>
              </w:rPr>
            </w:pPr>
            <w:r w:rsidRPr="00BE6461">
              <w:rPr>
                <w:b/>
                <w:bCs/>
                <w:sz w:val="20"/>
                <w:szCs w:val="20"/>
              </w:rPr>
              <w:t xml:space="preserve">Ostali rashodi za zaposlene                                                                         </w:t>
            </w:r>
          </w:p>
        </w:tc>
        <w:tc>
          <w:tcPr>
            <w:tcW w:w="1503" w:type="dxa"/>
            <w:tcBorders>
              <w:top w:val="nil"/>
              <w:left w:val="nil"/>
              <w:bottom w:val="nil"/>
              <w:right w:val="nil"/>
            </w:tcBorders>
            <w:shd w:val="clear" w:color="auto" w:fill="auto"/>
            <w:noWrap/>
            <w:vAlign w:val="bottom"/>
            <w:hideMark/>
          </w:tcPr>
          <w:p w14:paraId="00D90612" w14:textId="77777777" w:rsidR="00BE6461" w:rsidRPr="00BE6461" w:rsidRDefault="00BE6461" w:rsidP="00BE6461">
            <w:pPr>
              <w:jc w:val="right"/>
              <w:rPr>
                <w:b/>
                <w:bCs/>
                <w:sz w:val="20"/>
                <w:szCs w:val="20"/>
              </w:rPr>
            </w:pPr>
            <w:r w:rsidRPr="00BE6461">
              <w:rPr>
                <w:b/>
                <w:bCs/>
                <w:sz w:val="20"/>
                <w:szCs w:val="20"/>
              </w:rPr>
              <w:t>48.500,00</w:t>
            </w:r>
          </w:p>
        </w:tc>
        <w:tc>
          <w:tcPr>
            <w:tcW w:w="1500" w:type="dxa"/>
            <w:tcBorders>
              <w:top w:val="nil"/>
              <w:left w:val="nil"/>
              <w:bottom w:val="nil"/>
              <w:right w:val="nil"/>
            </w:tcBorders>
            <w:shd w:val="clear" w:color="auto" w:fill="auto"/>
            <w:noWrap/>
            <w:vAlign w:val="bottom"/>
            <w:hideMark/>
          </w:tcPr>
          <w:p w14:paraId="20CA8CE6" w14:textId="77777777" w:rsidR="00BE6461" w:rsidRPr="00BE6461" w:rsidRDefault="00BE6461" w:rsidP="00BE6461">
            <w:pPr>
              <w:jc w:val="right"/>
              <w:rPr>
                <w:b/>
                <w:bCs/>
                <w:sz w:val="20"/>
                <w:szCs w:val="20"/>
              </w:rPr>
            </w:pPr>
            <w:r w:rsidRPr="00BE6461">
              <w:rPr>
                <w:b/>
                <w:bCs/>
                <w:sz w:val="20"/>
                <w:szCs w:val="20"/>
              </w:rPr>
              <w:t>46.520,00</w:t>
            </w:r>
          </w:p>
        </w:tc>
        <w:tc>
          <w:tcPr>
            <w:tcW w:w="1100" w:type="dxa"/>
            <w:tcBorders>
              <w:top w:val="nil"/>
              <w:left w:val="nil"/>
              <w:bottom w:val="nil"/>
              <w:right w:val="nil"/>
            </w:tcBorders>
            <w:shd w:val="clear" w:color="auto" w:fill="auto"/>
            <w:noWrap/>
            <w:vAlign w:val="bottom"/>
            <w:hideMark/>
          </w:tcPr>
          <w:p w14:paraId="158C1B6A" w14:textId="77777777" w:rsidR="00BE6461" w:rsidRPr="00BE6461" w:rsidRDefault="00BE6461" w:rsidP="00BE6461">
            <w:pPr>
              <w:jc w:val="right"/>
              <w:rPr>
                <w:b/>
                <w:bCs/>
                <w:sz w:val="20"/>
                <w:szCs w:val="20"/>
              </w:rPr>
            </w:pPr>
            <w:r w:rsidRPr="00BE6461">
              <w:rPr>
                <w:b/>
                <w:bCs/>
                <w:sz w:val="20"/>
                <w:szCs w:val="20"/>
              </w:rPr>
              <w:t>95,92</w:t>
            </w:r>
          </w:p>
        </w:tc>
      </w:tr>
      <w:tr w:rsidR="00BE6461" w:rsidRPr="00BE6461" w14:paraId="1FCAE14E" w14:textId="77777777" w:rsidTr="00BE6461">
        <w:trPr>
          <w:trHeight w:val="300"/>
        </w:trPr>
        <w:tc>
          <w:tcPr>
            <w:tcW w:w="1703" w:type="dxa"/>
            <w:tcBorders>
              <w:top w:val="nil"/>
              <w:left w:val="nil"/>
              <w:bottom w:val="nil"/>
              <w:right w:val="nil"/>
            </w:tcBorders>
            <w:shd w:val="clear" w:color="auto" w:fill="auto"/>
            <w:noWrap/>
            <w:vAlign w:val="bottom"/>
            <w:hideMark/>
          </w:tcPr>
          <w:p w14:paraId="3578B891" w14:textId="77777777" w:rsidR="00BE6461" w:rsidRPr="00BE6461" w:rsidRDefault="00BE6461" w:rsidP="00BE6461">
            <w:pPr>
              <w:rPr>
                <w:sz w:val="20"/>
                <w:szCs w:val="20"/>
              </w:rPr>
            </w:pPr>
            <w:r w:rsidRPr="00BE6461">
              <w:rPr>
                <w:sz w:val="20"/>
                <w:szCs w:val="20"/>
              </w:rPr>
              <w:t>3121</w:t>
            </w:r>
          </w:p>
        </w:tc>
        <w:tc>
          <w:tcPr>
            <w:tcW w:w="8457" w:type="dxa"/>
            <w:tcBorders>
              <w:top w:val="nil"/>
              <w:left w:val="nil"/>
              <w:bottom w:val="nil"/>
              <w:right w:val="nil"/>
            </w:tcBorders>
            <w:shd w:val="clear" w:color="auto" w:fill="auto"/>
            <w:vAlign w:val="bottom"/>
            <w:hideMark/>
          </w:tcPr>
          <w:p w14:paraId="734D5429" w14:textId="77777777" w:rsidR="00BE6461" w:rsidRPr="00BE6461" w:rsidRDefault="00BE6461" w:rsidP="00BE6461">
            <w:pPr>
              <w:rPr>
                <w:sz w:val="20"/>
                <w:szCs w:val="20"/>
              </w:rPr>
            </w:pPr>
            <w:r w:rsidRPr="00BE6461">
              <w:rPr>
                <w:sz w:val="20"/>
                <w:szCs w:val="20"/>
              </w:rPr>
              <w:t xml:space="preserve">Ostali rashodi za zaposlene                                                                         </w:t>
            </w:r>
          </w:p>
        </w:tc>
        <w:tc>
          <w:tcPr>
            <w:tcW w:w="1503" w:type="dxa"/>
            <w:tcBorders>
              <w:top w:val="nil"/>
              <w:left w:val="nil"/>
              <w:bottom w:val="nil"/>
              <w:right w:val="nil"/>
            </w:tcBorders>
            <w:shd w:val="clear" w:color="auto" w:fill="auto"/>
            <w:noWrap/>
            <w:vAlign w:val="bottom"/>
            <w:hideMark/>
          </w:tcPr>
          <w:p w14:paraId="78A29FA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1D3C621" w14:textId="77777777" w:rsidR="00BE6461" w:rsidRPr="00BE6461" w:rsidRDefault="00BE6461" w:rsidP="00BE6461">
            <w:pPr>
              <w:jc w:val="right"/>
              <w:rPr>
                <w:sz w:val="20"/>
                <w:szCs w:val="20"/>
              </w:rPr>
            </w:pPr>
            <w:r w:rsidRPr="00BE6461">
              <w:rPr>
                <w:sz w:val="20"/>
                <w:szCs w:val="20"/>
              </w:rPr>
              <w:t>46.520,00</w:t>
            </w:r>
          </w:p>
        </w:tc>
        <w:tc>
          <w:tcPr>
            <w:tcW w:w="1100" w:type="dxa"/>
            <w:tcBorders>
              <w:top w:val="nil"/>
              <w:left w:val="nil"/>
              <w:bottom w:val="nil"/>
              <w:right w:val="nil"/>
            </w:tcBorders>
            <w:shd w:val="clear" w:color="auto" w:fill="auto"/>
            <w:noWrap/>
            <w:vAlign w:val="bottom"/>
            <w:hideMark/>
          </w:tcPr>
          <w:p w14:paraId="0464883B" w14:textId="77777777" w:rsidR="00BE6461" w:rsidRPr="00BE6461" w:rsidRDefault="00BE6461" w:rsidP="00BE6461">
            <w:pPr>
              <w:jc w:val="right"/>
              <w:rPr>
                <w:sz w:val="20"/>
                <w:szCs w:val="20"/>
              </w:rPr>
            </w:pPr>
          </w:p>
        </w:tc>
      </w:tr>
      <w:tr w:rsidR="00BE6461" w:rsidRPr="00BE6461" w14:paraId="0F02ACB5" w14:textId="77777777" w:rsidTr="00BE6461">
        <w:trPr>
          <w:trHeight w:val="300"/>
        </w:trPr>
        <w:tc>
          <w:tcPr>
            <w:tcW w:w="1703" w:type="dxa"/>
            <w:tcBorders>
              <w:top w:val="nil"/>
              <w:left w:val="nil"/>
              <w:bottom w:val="nil"/>
              <w:right w:val="nil"/>
            </w:tcBorders>
            <w:shd w:val="clear" w:color="auto" w:fill="auto"/>
            <w:noWrap/>
            <w:vAlign w:val="bottom"/>
            <w:hideMark/>
          </w:tcPr>
          <w:p w14:paraId="453224B5" w14:textId="77777777" w:rsidR="00BE6461" w:rsidRPr="00BE6461" w:rsidRDefault="00BE6461" w:rsidP="00BE6461">
            <w:pPr>
              <w:rPr>
                <w:b/>
                <w:bCs/>
                <w:sz w:val="20"/>
                <w:szCs w:val="20"/>
              </w:rPr>
            </w:pPr>
            <w:r w:rsidRPr="00BE6461">
              <w:rPr>
                <w:b/>
                <w:bCs/>
                <w:sz w:val="20"/>
                <w:szCs w:val="20"/>
              </w:rPr>
              <w:t>313</w:t>
            </w:r>
          </w:p>
        </w:tc>
        <w:tc>
          <w:tcPr>
            <w:tcW w:w="8457" w:type="dxa"/>
            <w:tcBorders>
              <w:top w:val="nil"/>
              <w:left w:val="nil"/>
              <w:bottom w:val="nil"/>
              <w:right w:val="nil"/>
            </w:tcBorders>
            <w:shd w:val="clear" w:color="auto" w:fill="auto"/>
            <w:vAlign w:val="bottom"/>
            <w:hideMark/>
          </w:tcPr>
          <w:p w14:paraId="2FB71683" w14:textId="77777777" w:rsidR="00BE6461" w:rsidRPr="00BE6461" w:rsidRDefault="00BE6461" w:rsidP="00BE6461">
            <w:pPr>
              <w:rPr>
                <w:b/>
                <w:bCs/>
                <w:sz w:val="20"/>
                <w:szCs w:val="20"/>
              </w:rPr>
            </w:pPr>
            <w:r w:rsidRPr="00BE6461">
              <w:rPr>
                <w:b/>
                <w:bCs/>
                <w:sz w:val="20"/>
                <w:szCs w:val="20"/>
              </w:rPr>
              <w:t xml:space="preserve">Doprinosi na plaće                                                                                  </w:t>
            </w:r>
          </w:p>
        </w:tc>
        <w:tc>
          <w:tcPr>
            <w:tcW w:w="1503" w:type="dxa"/>
            <w:tcBorders>
              <w:top w:val="nil"/>
              <w:left w:val="nil"/>
              <w:bottom w:val="nil"/>
              <w:right w:val="nil"/>
            </w:tcBorders>
            <w:shd w:val="clear" w:color="auto" w:fill="auto"/>
            <w:noWrap/>
            <w:vAlign w:val="bottom"/>
            <w:hideMark/>
          </w:tcPr>
          <w:p w14:paraId="1DE76281" w14:textId="77777777" w:rsidR="00BE6461" w:rsidRPr="00BE6461" w:rsidRDefault="00BE6461" w:rsidP="00BE6461">
            <w:pPr>
              <w:jc w:val="right"/>
              <w:rPr>
                <w:b/>
                <w:bCs/>
                <w:sz w:val="20"/>
                <w:szCs w:val="20"/>
              </w:rPr>
            </w:pPr>
            <w:r w:rsidRPr="00BE6461">
              <w:rPr>
                <w:b/>
                <w:bCs/>
                <w:sz w:val="20"/>
                <w:szCs w:val="20"/>
              </w:rPr>
              <w:t>93.945,00</w:t>
            </w:r>
          </w:p>
        </w:tc>
        <w:tc>
          <w:tcPr>
            <w:tcW w:w="1500" w:type="dxa"/>
            <w:tcBorders>
              <w:top w:val="nil"/>
              <w:left w:val="nil"/>
              <w:bottom w:val="nil"/>
              <w:right w:val="nil"/>
            </w:tcBorders>
            <w:shd w:val="clear" w:color="auto" w:fill="auto"/>
            <w:noWrap/>
            <w:vAlign w:val="bottom"/>
            <w:hideMark/>
          </w:tcPr>
          <w:p w14:paraId="50BAAA35" w14:textId="77777777" w:rsidR="00BE6461" w:rsidRPr="00BE6461" w:rsidRDefault="00BE6461" w:rsidP="00BE6461">
            <w:pPr>
              <w:jc w:val="right"/>
              <w:rPr>
                <w:b/>
                <w:bCs/>
                <w:sz w:val="20"/>
                <w:szCs w:val="20"/>
              </w:rPr>
            </w:pPr>
            <w:r w:rsidRPr="00BE6461">
              <w:rPr>
                <w:b/>
                <w:bCs/>
                <w:sz w:val="20"/>
                <w:szCs w:val="20"/>
              </w:rPr>
              <w:t>85.257,34</w:t>
            </w:r>
          </w:p>
        </w:tc>
        <w:tc>
          <w:tcPr>
            <w:tcW w:w="1100" w:type="dxa"/>
            <w:tcBorders>
              <w:top w:val="nil"/>
              <w:left w:val="nil"/>
              <w:bottom w:val="nil"/>
              <w:right w:val="nil"/>
            </w:tcBorders>
            <w:shd w:val="clear" w:color="auto" w:fill="auto"/>
            <w:noWrap/>
            <w:vAlign w:val="bottom"/>
            <w:hideMark/>
          </w:tcPr>
          <w:p w14:paraId="242087B3" w14:textId="77777777" w:rsidR="00BE6461" w:rsidRPr="00BE6461" w:rsidRDefault="00BE6461" w:rsidP="00BE6461">
            <w:pPr>
              <w:jc w:val="right"/>
              <w:rPr>
                <w:b/>
                <w:bCs/>
                <w:sz w:val="20"/>
                <w:szCs w:val="20"/>
              </w:rPr>
            </w:pPr>
            <w:r w:rsidRPr="00BE6461">
              <w:rPr>
                <w:b/>
                <w:bCs/>
                <w:sz w:val="20"/>
                <w:szCs w:val="20"/>
              </w:rPr>
              <w:t>90,75</w:t>
            </w:r>
          </w:p>
        </w:tc>
      </w:tr>
      <w:tr w:rsidR="00BE6461" w:rsidRPr="00BE6461" w14:paraId="1203EFCE" w14:textId="77777777" w:rsidTr="00BE6461">
        <w:trPr>
          <w:trHeight w:val="300"/>
        </w:trPr>
        <w:tc>
          <w:tcPr>
            <w:tcW w:w="1703" w:type="dxa"/>
            <w:tcBorders>
              <w:top w:val="nil"/>
              <w:left w:val="nil"/>
              <w:bottom w:val="nil"/>
              <w:right w:val="nil"/>
            </w:tcBorders>
            <w:shd w:val="clear" w:color="auto" w:fill="auto"/>
            <w:noWrap/>
            <w:vAlign w:val="bottom"/>
            <w:hideMark/>
          </w:tcPr>
          <w:p w14:paraId="74A84496" w14:textId="77777777" w:rsidR="00BE6461" w:rsidRPr="00BE6461" w:rsidRDefault="00BE6461" w:rsidP="00BE6461">
            <w:pPr>
              <w:rPr>
                <w:sz w:val="20"/>
                <w:szCs w:val="20"/>
              </w:rPr>
            </w:pPr>
            <w:r w:rsidRPr="00BE6461">
              <w:rPr>
                <w:sz w:val="20"/>
                <w:szCs w:val="20"/>
              </w:rPr>
              <w:t>3132</w:t>
            </w:r>
          </w:p>
        </w:tc>
        <w:tc>
          <w:tcPr>
            <w:tcW w:w="8457" w:type="dxa"/>
            <w:tcBorders>
              <w:top w:val="nil"/>
              <w:left w:val="nil"/>
              <w:bottom w:val="nil"/>
              <w:right w:val="nil"/>
            </w:tcBorders>
            <w:shd w:val="clear" w:color="auto" w:fill="auto"/>
            <w:vAlign w:val="bottom"/>
            <w:hideMark/>
          </w:tcPr>
          <w:p w14:paraId="765C2E77" w14:textId="77777777" w:rsidR="00BE6461" w:rsidRPr="00BE6461" w:rsidRDefault="00BE6461" w:rsidP="00BE6461">
            <w:pPr>
              <w:rPr>
                <w:sz w:val="20"/>
                <w:szCs w:val="20"/>
              </w:rPr>
            </w:pPr>
            <w:r w:rsidRPr="00BE6461">
              <w:rPr>
                <w:sz w:val="20"/>
                <w:szCs w:val="20"/>
              </w:rPr>
              <w:t xml:space="preserve">Doprinosi za obvezno zdravstveno osiguranje                                                         </w:t>
            </w:r>
          </w:p>
        </w:tc>
        <w:tc>
          <w:tcPr>
            <w:tcW w:w="1503" w:type="dxa"/>
            <w:tcBorders>
              <w:top w:val="nil"/>
              <w:left w:val="nil"/>
              <w:bottom w:val="nil"/>
              <w:right w:val="nil"/>
            </w:tcBorders>
            <w:shd w:val="clear" w:color="auto" w:fill="auto"/>
            <w:noWrap/>
            <w:vAlign w:val="bottom"/>
            <w:hideMark/>
          </w:tcPr>
          <w:p w14:paraId="496F94B9"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8A96309" w14:textId="77777777" w:rsidR="00BE6461" w:rsidRPr="00BE6461" w:rsidRDefault="00BE6461" w:rsidP="00BE6461">
            <w:pPr>
              <w:jc w:val="right"/>
              <w:rPr>
                <w:sz w:val="20"/>
                <w:szCs w:val="20"/>
              </w:rPr>
            </w:pPr>
            <w:r w:rsidRPr="00BE6461">
              <w:rPr>
                <w:sz w:val="20"/>
                <w:szCs w:val="20"/>
              </w:rPr>
              <w:t>85.257,34</w:t>
            </w:r>
          </w:p>
        </w:tc>
        <w:tc>
          <w:tcPr>
            <w:tcW w:w="1100" w:type="dxa"/>
            <w:tcBorders>
              <w:top w:val="nil"/>
              <w:left w:val="nil"/>
              <w:bottom w:val="nil"/>
              <w:right w:val="nil"/>
            </w:tcBorders>
            <w:shd w:val="clear" w:color="auto" w:fill="auto"/>
            <w:noWrap/>
            <w:vAlign w:val="bottom"/>
            <w:hideMark/>
          </w:tcPr>
          <w:p w14:paraId="75492456" w14:textId="77777777" w:rsidR="00BE6461" w:rsidRPr="00BE6461" w:rsidRDefault="00BE6461" w:rsidP="00BE6461">
            <w:pPr>
              <w:jc w:val="right"/>
              <w:rPr>
                <w:sz w:val="20"/>
                <w:szCs w:val="20"/>
              </w:rPr>
            </w:pPr>
          </w:p>
        </w:tc>
      </w:tr>
      <w:tr w:rsidR="00BE6461" w:rsidRPr="00BE6461" w14:paraId="441DF075"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C136F5A" w14:textId="77777777" w:rsidR="00BE6461" w:rsidRPr="00BE6461" w:rsidRDefault="00BE6461" w:rsidP="00BE6461">
            <w:pPr>
              <w:rPr>
                <w:b/>
                <w:bCs/>
                <w:color w:val="333333"/>
                <w:sz w:val="20"/>
                <w:szCs w:val="20"/>
              </w:rPr>
            </w:pPr>
            <w:r w:rsidRPr="00BE6461">
              <w:rPr>
                <w:b/>
                <w:bCs/>
                <w:color w:val="333333"/>
                <w:sz w:val="20"/>
                <w:szCs w:val="20"/>
              </w:rPr>
              <w:t>Izvor 3. VLASTITI PRIHODI</w:t>
            </w:r>
          </w:p>
        </w:tc>
        <w:tc>
          <w:tcPr>
            <w:tcW w:w="1503" w:type="dxa"/>
            <w:tcBorders>
              <w:top w:val="nil"/>
              <w:left w:val="nil"/>
              <w:bottom w:val="nil"/>
              <w:right w:val="nil"/>
            </w:tcBorders>
            <w:shd w:val="clear" w:color="auto" w:fill="auto"/>
            <w:noWrap/>
            <w:vAlign w:val="bottom"/>
            <w:hideMark/>
          </w:tcPr>
          <w:p w14:paraId="50A3AE67" w14:textId="77777777" w:rsidR="00BE6461" w:rsidRPr="00BE6461" w:rsidRDefault="00BE6461" w:rsidP="00BE6461">
            <w:pPr>
              <w:jc w:val="right"/>
              <w:rPr>
                <w:b/>
                <w:bCs/>
                <w:color w:val="333333"/>
                <w:sz w:val="20"/>
                <w:szCs w:val="20"/>
              </w:rPr>
            </w:pPr>
            <w:r w:rsidRPr="00BE6461">
              <w:rPr>
                <w:b/>
                <w:bCs/>
                <w:color w:val="333333"/>
                <w:sz w:val="20"/>
                <w:szCs w:val="20"/>
              </w:rPr>
              <w:t>9.000,00</w:t>
            </w:r>
          </w:p>
        </w:tc>
        <w:tc>
          <w:tcPr>
            <w:tcW w:w="1500" w:type="dxa"/>
            <w:tcBorders>
              <w:top w:val="nil"/>
              <w:left w:val="nil"/>
              <w:bottom w:val="nil"/>
              <w:right w:val="nil"/>
            </w:tcBorders>
            <w:shd w:val="clear" w:color="auto" w:fill="auto"/>
            <w:noWrap/>
            <w:vAlign w:val="bottom"/>
            <w:hideMark/>
          </w:tcPr>
          <w:p w14:paraId="32669609" w14:textId="77777777" w:rsidR="00BE6461" w:rsidRPr="00BE6461" w:rsidRDefault="00BE6461" w:rsidP="00BE6461">
            <w:pPr>
              <w:jc w:val="right"/>
              <w:rPr>
                <w:b/>
                <w:bCs/>
                <w:color w:val="333333"/>
                <w:sz w:val="20"/>
                <w:szCs w:val="20"/>
              </w:rPr>
            </w:pPr>
            <w:r w:rsidRPr="00BE6461">
              <w:rPr>
                <w:b/>
                <w:bCs/>
                <w:color w:val="333333"/>
                <w:sz w:val="20"/>
                <w:szCs w:val="20"/>
              </w:rPr>
              <w:t>9.000,00</w:t>
            </w:r>
          </w:p>
        </w:tc>
        <w:tc>
          <w:tcPr>
            <w:tcW w:w="1100" w:type="dxa"/>
            <w:tcBorders>
              <w:top w:val="nil"/>
              <w:left w:val="nil"/>
              <w:bottom w:val="nil"/>
              <w:right w:val="nil"/>
            </w:tcBorders>
            <w:shd w:val="clear" w:color="auto" w:fill="auto"/>
            <w:noWrap/>
            <w:vAlign w:val="bottom"/>
            <w:hideMark/>
          </w:tcPr>
          <w:p w14:paraId="2496B156"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733B547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B9E8588" w14:textId="77777777" w:rsidR="00BE6461" w:rsidRPr="00BE6461" w:rsidRDefault="00BE6461" w:rsidP="00BE6461">
            <w:pPr>
              <w:rPr>
                <w:b/>
                <w:bCs/>
                <w:color w:val="333333"/>
                <w:sz w:val="20"/>
                <w:szCs w:val="20"/>
              </w:rPr>
            </w:pPr>
            <w:r w:rsidRPr="00BE6461">
              <w:rPr>
                <w:b/>
                <w:bCs/>
                <w:color w:val="333333"/>
                <w:sz w:val="20"/>
                <w:szCs w:val="20"/>
              </w:rPr>
              <w:t>Izvor 3.2. VLASTITI PRIHODI - PRORAČUNSKI KORISNICI</w:t>
            </w:r>
          </w:p>
        </w:tc>
        <w:tc>
          <w:tcPr>
            <w:tcW w:w="1503" w:type="dxa"/>
            <w:tcBorders>
              <w:top w:val="nil"/>
              <w:left w:val="nil"/>
              <w:bottom w:val="nil"/>
              <w:right w:val="nil"/>
            </w:tcBorders>
            <w:shd w:val="clear" w:color="auto" w:fill="auto"/>
            <w:noWrap/>
            <w:vAlign w:val="bottom"/>
            <w:hideMark/>
          </w:tcPr>
          <w:p w14:paraId="1B7581C2" w14:textId="77777777" w:rsidR="00BE6461" w:rsidRPr="00BE6461" w:rsidRDefault="00BE6461" w:rsidP="00BE6461">
            <w:pPr>
              <w:jc w:val="right"/>
              <w:rPr>
                <w:b/>
                <w:bCs/>
                <w:color w:val="333333"/>
                <w:sz w:val="20"/>
                <w:szCs w:val="20"/>
              </w:rPr>
            </w:pPr>
            <w:r w:rsidRPr="00BE6461">
              <w:rPr>
                <w:b/>
                <w:bCs/>
                <w:color w:val="333333"/>
                <w:sz w:val="20"/>
                <w:szCs w:val="20"/>
              </w:rPr>
              <w:t>9.000,00</w:t>
            </w:r>
          </w:p>
        </w:tc>
        <w:tc>
          <w:tcPr>
            <w:tcW w:w="1500" w:type="dxa"/>
            <w:tcBorders>
              <w:top w:val="nil"/>
              <w:left w:val="nil"/>
              <w:bottom w:val="nil"/>
              <w:right w:val="nil"/>
            </w:tcBorders>
            <w:shd w:val="clear" w:color="auto" w:fill="auto"/>
            <w:noWrap/>
            <w:vAlign w:val="bottom"/>
            <w:hideMark/>
          </w:tcPr>
          <w:p w14:paraId="05FFB0AB" w14:textId="77777777" w:rsidR="00BE6461" w:rsidRPr="00BE6461" w:rsidRDefault="00BE6461" w:rsidP="00BE6461">
            <w:pPr>
              <w:jc w:val="right"/>
              <w:rPr>
                <w:b/>
                <w:bCs/>
                <w:color w:val="333333"/>
                <w:sz w:val="20"/>
                <w:szCs w:val="20"/>
              </w:rPr>
            </w:pPr>
            <w:r w:rsidRPr="00BE6461">
              <w:rPr>
                <w:b/>
                <w:bCs/>
                <w:color w:val="333333"/>
                <w:sz w:val="20"/>
                <w:szCs w:val="20"/>
              </w:rPr>
              <w:t>9.000,00</w:t>
            </w:r>
          </w:p>
        </w:tc>
        <w:tc>
          <w:tcPr>
            <w:tcW w:w="1100" w:type="dxa"/>
            <w:tcBorders>
              <w:top w:val="nil"/>
              <w:left w:val="nil"/>
              <w:bottom w:val="nil"/>
              <w:right w:val="nil"/>
            </w:tcBorders>
            <w:shd w:val="clear" w:color="auto" w:fill="auto"/>
            <w:noWrap/>
            <w:vAlign w:val="bottom"/>
            <w:hideMark/>
          </w:tcPr>
          <w:p w14:paraId="3D2944A5"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092B3C41" w14:textId="77777777" w:rsidTr="00BE6461">
        <w:trPr>
          <w:trHeight w:val="300"/>
        </w:trPr>
        <w:tc>
          <w:tcPr>
            <w:tcW w:w="1703" w:type="dxa"/>
            <w:tcBorders>
              <w:top w:val="nil"/>
              <w:left w:val="nil"/>
              <w:bottom w:val="nil"/>
              <w:right w:val="nil"/>
            </w:tcBorders>
            <w:shd w:val="clear" w:color="auto" w:fill="auto"/>
            <w:noWrap/>
            <w:vAlign w:val="bottom"/>
            <w:hideMark/>
          </w:tcPr>
          <w:p w14:paraId="46235F79" w14:textId="77777777" w:rsidR="00BE6461" w:rsidRPr="00BE6461" w:rsidRDefault="00BE6461" w:rsidP="00BE6461">
            <w:pPr>
              <w:rPr>
                <w:b/>
                <w:bCs/>
                <w:sz w:val="20"/>
                <w:szCs w:val="20"/>
              </w:rPr>
            </w:pPr>
            <w:r w:rsidRPr="00BE6461">
              <w:rPr>
                <w:b/>
                <w:bCs/>
                <w:sz w:val="20"/>
                <w:szCs w:val="20"/>
              </w:rPr>
              <w:t>312</w:t>
            </w:r>
          </w:p>
        </w:tc>
        <w:tc>
          <w:tcPr>
            <w:tcW w:w="8457" w:type="dxa"/>
            <w:tcBorders>
              <w:top w:val="nil"/>
              <w:left w:val="nil"/>
              <w:bottom w:val="nil"/>
              <w:right w:val="nil"/>
            </w:tcBorders>
            <w:shd w:val="clear" w:color="auto" w:fill="auto"/>
            <w:vAlign w:val="bottom"/>
            <w:hideMark/>
          </w:tcPr>
          <w:p w14:paraId="56127880" w14:textId="77777777" w:rsidR="00BE6461" w:rsidRPr="00BE6461" w:rsidRDefault="00BE6461" w:rsidP="00BE6461">
            <w:pPr>
              <w:rPr>
                <w:b/>
                <w:bCs/>
                <w:sz w:val="20"/>
                <w:szCs w:val="20"/>
              </w:rPr>
            </w:pPr>
            <w:r w:rsidRPr="00BE6461">
              <w:rPr>
                <w:b/>
                <w:bCs/>
                <w:sz w:val="20"/>
                <w:szCs w:val="20"/>
              </w:rPr>
              <w:t xml:space="preserve">Ostali rashodi za zaposlene                                                                         </w:t>
            </w:r>
          </w:p>
        </w:tc>
        <w:tc>
          <w:tcPr>
            <w:tcW w:w="1503" w:type="dxa"/>
            <w:tcBorders>
              <w:top w:val="nil"/>
              <w:left w:val="nil"/>
              <w:bottom w:val="nil"/>
              <w:right w:val="nil"/>
            </w:tcBorders>
            <w:shd w:val="clear" w:color="auto" w:fill="auto"/>
            <w:noWrap/>
            <w:vAlign w:val="bottom"/>
            <w:hideMark/>
          </w:tcPr>
          <w:p w14:paraId="1DA5B4A6" w14:textId="77777777" w:rsidR="00BE6461" w:rsidRPr="00BE6461" w:rsidRDefault="00BE6461" w:rsidP="00BE6461">
            <w:pPr>
              <w:jc w:val="right"/>
              <w:rPr>
                <w:b/>
                <w:bCs/>
                <w:sz w:val="20"/>
                <w:szCs w:val="20"/>
              </w:rPr>
            </w:pPr>
            <w:r w:rsidRPr="00BE6461">
              <w:rPr>
                <w:b/>
                <w:bCs/>
                <w:sz w:val="20"/>
                <w:szCs w:val="20"/>
              </w:rPr>
              <w:t>9.000,00</w:t>
            </w:r>
          </w:p>
        </w:tc>
        <w:tc>
          <w:tcPr>
            <w:tcW w:w="1500" w:type="dxa"/>
            <w:tcBorders>
              <w:top w:val="nil"/>
              <w:left w:val="nil"/>
              <w:bottom w:val="nil"/>
              <w:right w:val="nil"/>
            </w:tcBorders>
            <w:shd w:val="clear" w:color="auto" w:fill="auto"/>
            <w:noWrap/>
            <w:vAlign w:val="bottom"/>
            <w:hideMark/>
          </w:tcPr>
          <w:p w14:paraId="790FF83A" w14:textId="77777777" w:rsidR="00BE6461" w:rsidRPr="00BE6461" w:rsidRDefault="00BE6461" w:rsidP="00BE6461">
            <w:pPr>
              <w:jc w:val="right"/>
              <w:rPr>
                <w:b/>
                <w:bCs/>
                <w:sz w:val="20"/>
                <w:szCs w:val="20"/>
              </w:rPr>
            </w:pPr>
            <w:r w:rsidRPr="00BE6461">
              <w:rPr>
                <w:b/>
                <w:bCs/>
                <w:sz w:val="20"/>
                <w:szCs w:val="20"/>
              </w:rPr>
              <w:t>9.000,00</w:t>
            </w:r>
          </w:p>
        </w:tc>
        <w:tc>
          <w:tcPr>
            <w:tcW w:w="1100" w:type="dxa"/>
            <w:tcBorders>
              <w:top w:val="nil"/>
              <w:left w:val="nil"/>
              <w:bottom w:val="nil"/>
              <w:right w:val="nil"/>
            </w:tcBorders>
            <w:shd w:val="clear" w:color="auto" w:fill="auto"/>
            <w:noWrap/>
            <w:vAlign w:val="bottom"/>
            <w:hideMark/>
          </w:tcPr>
          <w:p w14:paraId="74B2C48D"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4141FEF9" w14:textId="77777777" w:rsidTr="00BE6461">
        <w:trPr>
          <w:trHeight w:val="300"/>
        </w:trPr>
        <w:tc>
          <w:tcPr>
            <w:tcW w:w="1703" w:type="dxa"/>
            <w:tcBorders>
              <w:top w:val="nil"/>
              <w:left w:val="nil"/>
              <w:bottom w:val="nil"/>
              <w:right w:val="nil"/>
            </w:tcBorders>
            <w:shd w:val="clear" w:color="auto" w:fill="auto"/>
            <w:noWrap/>
            <w:vAlign w:val="bottom"/>
            <w:hideMark/>
          </w:tcPr>
          <w:p w14:paraId="5AB333CC" w14:textId="77777777" w:rsidR="00BE6461" w:rsidRPr="00BE6461" w:rsidRDefault="00BE6461" w:rsidP="00BE6461">
            <w:pPr>
              <w:rPr>
                <w:sz w:val="20"/>
                <w:szCs w:val="20"/>
              </w:rPr>
            </w:pPr>
            <w:r w:rsidRPr="00BE6461">
              <w:rPr>
                <w:sz w:val="20"/>
                <w:szCs w:val="20"/>
              </w:rPr>
              <w:t>3121</w:t>
            </w:r>
          </w:p>
        </w:tc>
        <w:tc>
          <w:tcPr>
            <w:tcW w:w="8457" w:type="dxa"/>
            <w:tcBorders>
              <w:top w:val="nil"/>
              <w:left w:val="nil"/>
              <w:bottom w:val="nil"/>
              <w:right w:val="nil"/>
            </w:tcBorders>
            <w:shd w:val="clear" w:color="auto" w:fill="auto"/>
            <w:vAlign w:val="bottom"/>
            <w:hideMark/>
          </w:tcPr>
          <w:p w14:paraId="27D6FD11" w14:textId="77777777" w:rsidR="00BE6461" w:rsidRPr="00BE6461" w:rsidRDefault="00BE6461" w:rsidP="00BE6461">
            <w:pPr>
              <w:rPr>
                <w:sz w:val="20"/>
                <w:szCs w:val="20"/>
              </w:rPr>
            </w:pPr>
            <w:r w:rsidRPr="00BE6461">
              <w:rPr>
                <w:sz w:val="20"/>
                <w:szCs w:val="20"/>
              </w:rPr>
              <w:t xml:space="preserve">Ostali rashodi za zaposlene                                                                         </w:t>
            </w:r>
          </w:p>
        </w:tc>
        <w:tc>
          <w:tcPr>
            <w:tcW w:w="1503" w:type="dxa"/>
            <w:tcBorders>
              <w:top w:val="nil"/>
              <w:left w:val="nil"/>
              <w:bottom w:val="nil"/>
              <w:right w:val="nil"/>
            </w:tcBorders>
            <w:shd w:val="clear" w:color="auto" w:fill="auto"/>
            <w:noWrap/>
            <w:vAlign w:val="bottom"/>
            <w:hideMark/>
          </w:tcPr>
          <w:p w14:paraId="7DB7347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8658BE7" w14:textId="77777777" w:rsidR="00BE6461" w:rsidRPr="00BE6461" w:rsidRDefault="00BE6461" w:rsidP="00BE6461">
            <w:pPr>
              <w:jc w:val="right"/>
              <w:rPr>
                <w:sz w:val="20"/>
                <w:szCs w:val="20"/>
              </w:rPr>
            </w:pPr>
            <w:r w:rsidRPr="00BE6461">
              <w:rPr>
                <w:sz w:val="20"/>
                <w:szCs w:val="20"/>
              </w:rPr>
              <w:t>9.000,00</w:t>
            </w:r>
          </w:p>
        </w:tc>
        <w:tc>
          <w:tcPr>
            <w:tcW w:w="1100" w:type="dxa"/>
            <w:tcBorders>
              <w:top w:val="nil"/>
              <w:left w:val="nil"/>
              <w:bottom w:val="nil"/>
              <w:right w:val="nil"/>
            </w:tcBorders>
            <w:shd w:val="clear" w:color="auto" w:fill="auto"/>
            <w:noWrap/>
            <w:vAlign w:val="bottom"/>
            <w:hideMark/>
          </w:tcPr>
          <w:p w14:paraId="6AB51DB8" w14:textId="77777777" w:rsidR="00BE6461" w:rsidRPr="00BE6461" w:rsidRDefault="00BE6461" w:rsidP="00BE6461">
            <w:pPr>
              <w:jc w:val="right"/>
              <w:rPr>
                <w:sz w:val="20"/>
                <w:szCs w:val="20"/>
              </w:rPr>
            </w:pPr>
          </w:p>
        </w:tc>
      </w:tr>
      <w:tr w:rsidR="00BE6461" w:rsidRPr="00BE6461" w14:paraId="58DD295C"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1BDF7C36" w14:textId="77777777" w:rsidR="00BE6461" w:rsidRPr="00BE6461" w:rsidRDefault="00BE6461" w:rsidP="00BE6461">
            <w:pPr>
              <w:rPr>
                <w:b/>
                <w:bCs/>
                <w:sz w:val="20"/>
                <w:szCs w:val="20"/>
              </w:rPr>
            </w:pPr>
            <w:r w:rsidRPr="00BE6461">
              <w:rPr>
                <w:b/>
                <w:bCs/>
                <w:sz w:val="20"/>
                <w:szCs w:val="20"/>
              </w:rPr>
              <w:t>A100064</w:t>
            </w:r>
          </w:p>
        </w:tc>
        <w:tc>
          <w:tcPr>
            <w:tcW w:w="8457" w:type="dxa"/>
            <w:tcBorders>
              <w:top w:val="single" w:sz="4" w:space="0" w:color="auto"/>
              <w:left w:val="nil"/>
              <w:bottom w:val="single" w:sz="4" w:space="0" w:color="auto"/>
              <w:right w:val="nil"/>
            </w:tcBorders>
            <w:shd w:val="clear" w:color="auto" w:fill="auto"/>
            <w:vAlign w:val="bottom"/>
            <w:hideMark/>
          </w:tcPr>
          <w:p w14:paraId="67ACF0B7" w14:textId="77777777" w:rsidR="00BE6461" w:rsidRPr="00BE6461" w:rsidRDefault="00BE6461" w:rsidP="00BE6461">
            <w:pPr>
              <w:rPr>
                <w:b/>
                <w:bCs/>
                <w:sz w:val="20"/>
                <w:szCs w:val="20"/>
              </w:rPr>
            </w:pPr>
            <w:r w:rsidRPr="00BE6461">
              <w:rPr>
                <w:b/>
                <w:bCs/>
                <w:sz w:val="20"/>
                <w:szCs w:val="20"/>
              </w:rPr>
              <w:t>Aktivnost: MATERIJALNI I FINANCIJSKI RASHODI</w:t>
            </w:r>
          </w:p>
        </w:tc>
        <w:tc>
          <w:tcPr>
            <w:tcW w:w="1503" w:type="dxa"/>
            <w:tcBorders>
              <w:top w:val="single" w:sz="4" w:space="0" w:color="auto"/>
              <w:left w:val="nil"/>
              <w:bottom w:val="single" w:sz="4" w:space="0" w:color="auto"/>
              <w:right w:val="nil"/>
            </w:tcBorders>
            <w:shd w:val="clear" w:color="auto" w:fill="auto"/>
            <w:noWrap/>
            <w:vAlign w:val="bottom"/>
            <w:hideMark/>
          </w:tcPr>
          <w:p w14:paraId="709B9929" w14:textId="77777777" w:rsidR="00BE6461" w:rsidRPr="00BE6461" w:rsidRDefault="00BE6461" w:rsidP="00BE6461">
            <w:pPr>
              <w:jc w:val="right"/>
              <w:rPr>
                <w:b/>
                <w:bCs/>
                <w:sz w:val="20"/>
                <w:szCs w:val="20"/>
              </w:rPr>
            </w:pPr>
            <w:r w:rsidRPr="00BE6461">
              <w:rPr>
                <w:b/>
                <w:bCs/>
                <w:sz w:val="20"/>
                <w:szCs w:val="20"/>
              </w:rPr>
              <w:t>215.632,73</w:t>
            </w:r>
          </w:p>
        </w:tc>
        <w:tc>
          <w:tcPr>
            <w:tcW w:w="1500" w:type="dxa"/>
            <w:tcBorders>
              <w:top w:val="single" w:sz="4" w:space="0" w:color="auto"/>
              <w:left w:val="nil"/>
              <w:bottom w:val="single" w:sz="4" w:space="0" w:color="auto"/>
              <w:right w:val="nil"/>
            </w:tcBorders>
            <w:shd w:val="clear" w:color="auto" w:fill="auto"/>
            <w:noWrap/>
            <w:vAlign w:val="bottom"/>
            <w:hideMark/>
          </w:tcPr>
          <w:p w14:paraId="1C4F9D54" w14:textId="77777777" w:rsidR="00BE6461" w:rsidRPr="00BE6461" w:rsidRDefault="00BE6461" w:rsidP="00BE6461">
            <w:pPr>
              <w:jc w:val="right"/>
              <w:rPr>
                <w:b/>
                <w:bCs/>
                <w:sz w:val="20"/>
                <w:szCs w:val="20"/>
              </w:rPr>
            </w:pPr>
            <w:r w:rsidRPr="00BE6461">
              <w:rPr>
                <w:b/>
                <w:bCs/>
                <w:sz w:val="20"/>
                <w:szCs w:val="20"/>
              </w:rPr>
              <w:t>160.005,61</w:t>
            </w:r>
          </w:p>
        </w:tc>
        <w:tc>
          <w:tcPr>
            <w:tcW w:w="1100" w:type="dxa"/>
            <w:tcBorders>
              <w:top w:val="single" w:sz="4" w:space="0" w:color="auto"/>
              <w:left w:val="nil"/>
              <w:bottom w:val="single" w:sz="4" w:space="0" w:color="auto"/>
              <w:right w:val="nil"/>
            </w:tcBorders>
            <w:shd w:val="clear" w:color="auto" w:fill="auto"/>
            <w:noWrap/>
            <w:vAlign w:val="bottom"/>
            <w:hideMark/>
          </w:tcPr>
          <w:p w14:paraId="3553547E" w14:textId="77777777" w:rsidR="00BE6461" w:rsidRPr="00BE6461" w:rsidRDefault="00BE6461" w:rsidP="00BE6461">
            <w:pPr>
              <w:jc w:val="right"/>
              <w:rPr>
                <w:b/>
                <w:bCs/>
                <w:sz w:val="20"/>
                <w:szCs w:val="20"/>
              </w:rPr>
            </w:pPr>
            <w:r w:rsidRPr="00BE6461">
              <w:rPr>
                <w:b/>
                <w:bCs/>
                <w:sz w:val="20"/>
                <w:szCs w:val="20"/>
              </w:rPr>
              <w:t>74,20</w:t>
            </w:r>
          </w:p>
        </w:tc>
      </w:tr>
      <w:tr w:rsidR="00BE6461" w:rsidRPr="00BE6461" w14:paraId="37F98624"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788821E"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0AF48E9F" w14:textId="77777777" w:rsidR="00BE6461" w:rsidRPr="00BE6461" w:rsidRDefault="00BE6461" w:rsidP="00BE6461">
            <w:pPr>
              <w:jc w:val="right"/>
              <w:rPr>
                <w:b/>
                <w:bCs/>
                <w:color w:val="333333"/>
                <w:sz w:val="20"/>
                <w:szCs w:val="20"/>
              </w:rPr>
            </w:pPr>
            <w:r w:rsidRPr="00BE6461">
              <w:rPr>
                <w:b/>
                <w:bCs/>
                <w:color w:val="333333"/>
                <w:sz w:val="20"/>
                <w:szCs w:val="20"/>
              </w:rPr>
              <w:t>196.002,77</w:t>
            </w:r>
          </w:p>
        </w:tc>
        <w:tc>
          <w:tcPr>
            <w:tcW w:w="1500" w:type="dxa"/>
            <w:tcBorders>
              <w:top w:val="nil"/>
              <w:left w:val="nil"/>
              <w:bottom w:val="nil"/>
              <w:right w:val="nil"/>
            </w:tcBorders>
            <w:shd w:val="clear" w:color="auto" w:fill="auto"/>
            <w:noWrap/>
            <w:vAlign w:val="bottom"/>
            <w:hideMark/>
          </w:tcPr>
          <w:p w14:paraId="63101571" w14:textId="77777777" w:rsidR="00BE6461" w:rsidRPr="00BE6461" w:rsidRDefault="00BE6461" w:rsidP="00BE6461">
            <w:pPr>
              <w:jc w:val="right"/>
              <w:rPr>
                <w:b/>
                <w:bCs/>
                <w:color w:val="333333"/>
                <w:sz w:val="20"/>
                <w:szCs w:val="20"/>
              </w:rPr>
            </w:pPr>
            <w:r w:rsidRPr="00BE6461">
              <w:rPr>
                <w:b/>
                <w:bCs/>
                <w:color w:val="333333"/>
                <w:sz w:val="20"/>
                <w:szCs w:val="20"/>
              </w:rPr>
              <w:t>153.566,44</w:t>
            </w:r>
          </w:p>
        </w:tc>
        <w:tc>
          <w:tcPr>
            <w:tcW w:w="1100" w:type="dxa"/>
            <w:tcBorders>
              <w:top w:val="nil"/>
              <w:left w:val="nil"/>
              <w:bottom w:val="nil"/>
              <w:right w:val="nil"/>
            </w:tcBorders>
            <w:shd w:val="clear" w:color="auto" w:fill="auto"/>
            <w:noWrap/>
            <w:vAlign w:val="bottom"/>
            <w:hideMark/>
          </w:tcPr>
          <w:p w14:paraId="7B138C47" w14:textId="77777777" w:rsidR="00BE6461" w:rsidRPr="00BE6461" w:rsidRDefault="00BE6461" w:rsidP="00BE6461">
            <w:pPr>
              <w:jc w:val="right"/>
              <w:rPr>
                <w:b/>
                <w:bCs/>
                <w:color w:val="333333"/>
                <w:sz w:val="20"/>
                <w:szCs w:val="20"/>
              </w:rPr>
            </w:pPr>
            <w:r w:rsidRPr="00BE6461">
              <w:rPr>
                <w:b/>
                <w:bCs/>
                <w:color w:val="333333"/>
                <w:sz w:val="20"/>
                <w:szCs w:val="20"/>
              </w:rPr>
              <w:t>78,35</w:t>
            </w:r>
          </w:p>
        </w:tc>
      </w:tr>
      <w:tr w:rsidR="00BE6461" w:rsidRPr="00BE6461" w14:paraId="5F0AFDC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A9BE0C7"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490B19FE" w14:textId="77777777" w:rsidR="00BE6461" w:rsidRPr="00BE6461" w:rsidRDefault="00BE6461" w:rsidP="00BE6461">
            <w:pPr>
              <w:jc w:val="right"/>
              <w:rPr>
                <w:b/>
                <w:bCs/>
                <w:color w:val="333333"/>
                <w:sz w:val="20"/>
                <w:szCs w:val="20"/>
              </w:rPr>
            </w:pPr>
            <w:r w:rsidRPr="00BE6461">
              <w:rPr>
                <w:b/>
                <w:bCs/>
                <w:color w:val="333333"/>
                <w:sz w:val="20"/>
                <w:szCs w:val="20"/>
              </w:rPr>
              <w:t>196.002,77</w:t>
            </w:r>
          </w:p>
        </w:tc>
        <w:tc>
          <w:tcPr>
            <w:tcW w:w="1500" w:type="dxa"/>
            <w:tcBorders>
              <w:top w:val="nil"/>
              <w:left w:val="nil"/>
              <w:bottom w:val="nil"/>
              <w:right w:val="nil"/>
            </w:tcBorders>
            <w:shd w:val="clear" w:color="auto" w:fill="auto"/>
            <w:noWrap/>
            <w:vAlign w:val="bottom"/>
            <w:hideMark/>
          </w:tcPr>
          <w:p w14:paraId="49F10E19" w14:textId="77777777" w:rsidR="00BE6461" w:rsidRPr="00BE6461" w:rsidRDefault="00BE6461" w:rsidP="00BE6461">
            <w:pPr>
              <w:jc w:val="right"/>
              <w:rPr>
                <w:b/>
                <w:bCs/>
                <w:color w:val="333333"/>
                <w:sz w:val="20"/>
                <w:szCs w:val="20"/>
              </w:rPr>
            </w:pPr>
            <w:r w:rsidRPr="00BE6461">
              <w:rPr>
                <w:b/>
                <w:bCs/>
                <w:color w:val="333333"/>
                <w:sz w:val="20"/>
                <w:szCs w:val="20"/>
              </w:rPr>
              <w:t>153.566,44</w:t>
            </w:r>
          </w:p>
        </w:tc>
        <w:tc>
          <w:tcPr>
            <w:tcW w:w="1100" w:type="dxa"/>
            <w:tcBorders>
              <w:top w:val="nil"/>
              <w:left w:val="nil"/>
              <w:bottom w:val="nil"/>
              <w:right w:val="nil"/>
            </w:tcBorders>
            <w:shd w:val="clear" w:color="auto" w:fill="auto"/>
            <w:noWrap/>
            <w:vAlign w:val="bottom"/>
            <w:hideMark/>
          </w:tcPr>
          <w:p w14:paraId="3FB6B358" w14:textId="77777777" w:rsidR="00BE6461" w:rsidRPr="00BE6461" w:rsidRDefault="00BE6461" w:rsidP="00BE6461">
            <w:pPr>
              <w:jc w:val="right"/>
              <w:rPr>
                <w:b/>
                <w:bCs/>
                <w:color w:val="333333"/>
                <w:sz w:val="20"/>
                <w:szCs w:val="20"/>
              </w:rPr>
            </w:pPr>
            <w:r w:rsidRPr="00BE6461">
              <w:rPr>
                <w:b/>
                <w:bCs/>
                <w:color w:val="333333"/>
                <w:sz w:val="20"/>
                <w:szCs w:val="20"/>
              </w:rPr>
              <w:t>78,35</w:t>
            </w:r>
          </w:p>
        </w:tc>
      </w:tr>
      <w:tr w:rsidR="00BE6461" w:rsidRPr="00BE6461" w14:paraId="0284353C" w14:textId="77777777" w:rsidTr="00BE6461">
        <w:trPr>
          <w:trHeight w:val="300"/>
        </w:trPr>
        <w:tc>
          <w:tcPr>
            <w:tcW w:w="1703" w:type="dxa"/>
            <w:tcBorders>
              <w:top w:val="nil"/>
              <w:left w:val="nil"/>
              <w:bottom w:val="nil"/>
              <w:right w:val="nil"/>
            </w:tcBorders>
            <w:shd w:val="clear" w:color="auto" w:fill="auto"/>
            <w:noWrap/>
            <w:vAlign w:val="bottom"/>
            <w:hideMark/>
          </w:tcPr>
          <w:p w14:paraId="43B687B8" w14:textId="77777777" w:rsidR="00BE6461" w:rsidRPr="00BE6461" w:rsidRDefault="00BE6461" w:rsidP="00BE6461">
            <w:pPr>
              <w:rPr>
                <w:b/>
                <w:bCs/>
                <w:sz w:val="20"/>
                <w:szCs w:val="20"/>
              </w:rPr>
            </w:pPr>
            <w:r w:rsidRPr="00BE6461">
              <w:rPr>
                <w:b/>
                <w:bCs/>
                <w:sz w:val="20"/>
                <w:szCs w:val="20"/>
              </w:rPr>
              <w:t>321</w:t>
            </w:r>
          </w:p>
        </w:tc>
        <w:tc>
          <w:tcPr>
            <w:tcW w:w="8457" w:type="dxa"/>
            <w:tcBorders>
              <w:top w:val="nil"/>
              <w:left w:val="nil"/>
              <w:bottom w:val="nil"/>
              <w:right w:val="nil"/>
            </w:tcBorders>
            <w:shd w:val="clear" w:color="auto" w:fill="auto"/>
            <w:vAlign w:val="bottom"/>
            <w:hideMark/>
          </w:tcPr>
          <w:p w14:paraId="4C81822C" w14:textId="77777777" w:rsidR="00BE6461" w:rsidRPr="00BE6461" w:rsidRDefault="00BE6461" w:rsidP="00BE6461">
            <w:pPr>
              <w:rPr>
                <w:b/>
                <w:bCs/>
                <w:sz w:val="20"/>
                <w:szCs w:val="20"/>
              </w:rPr>
            </w:pPr>
            <w:r w:rsidRPr="00BE6461">
              <w:rPr>
                <w:b/>
                <w:bCs/>
                <w:sz w:val="20"/>
                <w:szCs w:val="20"/>
              </w:rPr>
              <w:t xml:space="preserve">Naknade troškova zaposlenima                                                                        </w:t>
            </w:r>
          </w:p>
        </w:tc>
        <w:tc>
          <w:tcPr>
            <w:tcW w:w="1503" w:type="dxa"/>
            <w:tcBorders>
              <w:top w:val="nil"/>
              <w:left w:val="nil"/>
              <w:bottom w:val="nil"/>
              <w:right w:val="nil"/>
            </w:tcBorders>
            <w:shd w:val="clear" w:color="auto" w:fill="auto"/>
            <w:noWrap/>
            <w:vAlign w:val="bottom"/>
            <w:hideMark/>
          </w:tcPr>
          <w:p w14:paraId="1F6BB425" w14:textId="77777777" w:rsidR="00BE6461" w:rsidRPr="00BE6461" w:rsidRDefault="00BE6461" w:rsidP="00BE6461">
            <w:pPr>
              <w:jc w:val="right"/>
              <w:rPr>
                <w:b/>
                <w:bCs/>
                <w:sz w:val="20"/>
                <w:szCs w:val="20"/>
              </w:rPr>
            </w:pPr>
            <w:r w:rsidRPr="00BE6461">
              <w:rPr>
                <w:b/>
                <w:bCs/>
                <w:sz w:val="20"/>
                <w:szCs w:val="20"/>
              </w:rPr>
              <w:t>18.650,00</w:t>
            </w:r>
          </w:p>
        </w:tc>
        <w:tc>
          <w:tcPr>
            <w:tcW w:w="1500" w:type="dxa"/>
            <w:tcBorders>
              <w:top w:val="nil"/>
              <w:left w:val="nil"/>
              <w:bottom w:val="nil"/>
              <w:right w:val="nil"/>
            </w:tcBorders>
            <w:shd w:val="clear" w:color="auto" w:fill="auto"/>
            <w:noWrap/>
            <w:vAlign w:val="bottom"/>
            <w:hideMark/>
          </w:tcPr>
          <w:p w14:paraId="01EAA0F9" w14:textId="77777777" w:rsidR="00BE6461" w:rsidRPr="00BE6461" w:rsidRDefault="00BE6461" w:rsidP="00BE6461">
            <w:pPr>
              <w:jc w:val="right"/>
              <w:rPr>
                <w:b/>
                <w:bCs/>
                <w:sz w:val="20"/>
                <w:szCs w:val="20"/>
              </w:rPr>
            </w:pPr>
            <w:r w:rsidRPr="00BE6461">
              <w:rPr>
                <w:b/>
                <w:bCs/>
                <w:sz w:val="20"/>
                <w:szCs w:val="20"/>
              </w:rPr>
              <w:t>11.898,00</w:t>
            </w:r>
          </w:p>
        </w:tc>
        <w:tc>
          <w:tcPr>
            <w:tcW w:w="1100" w:type="dxa"/>
            <w:tcBorders>
              <w:top w:val="nil"/>
              <w:left w:val="nil"/>
              <w:bottom w:val="nil"/>
              <w:right w:val="nil"/>
            </w:tcBorders>
            <w:shd w:val="clear" w:color="auto" w:fill="auto"/>
            <w:noWrap/>
            <w:vAlign w:val="bottom"/>
            <w:hideMark/>
          </w:tcPr>
          <w:p w14:paraId="212E2668" w14:textId="77777777" w:rsidR="00BE6461" w:rsidRPr="00BE6461" w:rsidRDefault="00BE6461" w:rsidP="00BE6461">
            <w:pPr>
              <w:jc w:val="right"/>
              <w:rPr>
                <w:b/>
                <w:bCs/>
                <w:sz w:val="20"/>
                <w:szCs w:val="20"/>
              </w:rPr>
            </w:pPr>
            <w:r w:rsidRPr="00BE6461">
              <w:rPr>
                <w:b/>
                <w:bCs/>
                <w:sz w:val="20"/>
                <w:szCs w:val="20"/>
              </w:rPr>
              <w:t>63,80</w:t>
            </w:r>
          </w:p>
        </w:tc>
      </w:tr>
      <w:tr w:rsidR="00BE6461" w:rsidRPr="00BE6461" w14:paraId="027B9601" w14:textId="77777777" w:rsidTr="00BE6461">
        <w:trPr>
          <w:trHeight w:val="300"/>
        </w:trPr>
        <w:tc>
          <w:tcPr>
            <w:tcW w:w="1703" w:type="dxa"/>
            <w:tcBorders>
              <w:top w:val="nil"/>
              <w:left w:val="nil"/>
              <w:bottom w:val="nil"/>
              <w:right w:val="nil"/>
            </w:tcBorders>
            <w:shd w:val="clear" w:color="auto" w:fill="auto"/>
            <w:noWrap/>
            <w:vAlign w:val="bottom"/>
            <w:hideMark/>
          </w:tcPr>
          <w:p w14:paraId="24FAF3EC" w14:textId="77777777" w:rsidR="00BE6461" w:rsidRPr="00BE6461" w:rsidRDefault="00BE6461" w:rsidP="00BE6461">
            <w:pPr>
              <w:rPr>
                <w:sz w:val="20"/>
                <w:szCs w:val="20"/>
              </w:rPr>
            </w:pPr>
            <w:r w:rsidRPr="00BE6461">
              <w:rPr>
                <w:sz w:val="20"/>
                <w:szCs w:val="20"/>
              </w:rPr>
              <w:t>3211</w:t>
            </w:r>
          </w:p>
        </w:tc>
        <w:tc>
          <w:tcPr>
            <w:tcW w:w="8457" w:type="dxa"/>
            <w:tcBorders>
              <w:top w:val="nil"/>
              <w:left w:val="nil"/>
              <w:bottom w:val="nil"/>
              <w:right w:val="nil"/>
            </w:tcBorders>
            <w:shd w:val="clear" w:color="auto" w:fill="auto"/>
            <w:vAlign w:val="bottom"/>
            <w:hideMark/>
          </w:tcPr>
          <w:p w14:paraId="4A6C7642" w14:textId="77777777" w:rsidR="00BE6461" w:rsidRPr="00BE6461" w:rsidRDefault="00BE6461" w:rsidP="00BE6461">
            <w:pPr>
              <w:rPr>
                <w:sz w:val="20"/>
                <w:szCs w:val="20"/>
              </w:rPr>
            </w:pPr>
            <w:r w:rsidRPr="00BE6461">
              <w:rPr>
                <w:sz w:val="20"/>
                <w:szCs w:val="20"/>
              </w:rPr>
              <w:t xml:space="preserve">Službena putovanja                                                                                  </w:t>
            </w:r>
          </w:p>
        </w:tc>
        <w:tc>
          <w:tcPr>
            <w:tcW w:w="1503" w:type="dxa"/>
            <w:tcBorders>
              <w:top w:val="nil"/>
              <w:left w:val="nil"/>
              <w:bottom w:val="nil"/>
              <w:right w:val="nil"/>
            </w:tcBorders>
            <w:shd w:val="clear" w:color="auto" w:fill="auto"/>
            <w:noWrap/>
            <w:vAlign w:val="bottom"/>
            <w:hideMark/>
          </w:tcPr>
          <w:p w14:paraId="3E01A46F"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00E03B9" w14:textId="77777777" w:rsidR="00BE6461" w:rsidRPr="00BE6461" w:rsidRDefault="00BE6461" w:rsidP="00BE6461">
            <w:pPr>
              <w:jc w:val="right"/>
              <w:rPr>
                <w:sz w:val="20"/>
                <w:szCs w:val="20"/>
              </w:rPr>
            </w:pPr>
            <w:r w:rsidRPr="00BE6461">
              <w:rPr>
                <w:sz w:val="20"/>
                <w:szCs w:val="20"/>
              </w:rPr>
              <w:t>1.003,00</w:t>
            </w:r>
          </w:p>
        </w:tc>
        <w:tc>
          <w:tcPr>
            <w:tcW w:w="1100" w:type="dxa"/>
            <w:tcBorders>
              <w:top w:val="nil"/>
              <w:left w:val="nil"/>
              <w:bottom w:val="nil"/>
              <w:right w:val="nil"/>
            </w:tcBorders>
            <w:shd w:val="clear" w:color="auto" w:fill="auto"/>
            <w:noWrap/>
            <w:vAlign w:val="bottom"/>
            <w:hideMark/>
          </w:tcPr>
          <w:p w14:paraId="14B1C267" w14:textId="77777777" w:rsidR="00BE6461" w:rsidRPr="00BE6461" w:rsidRDefault="00BE6461" w:rsidP="00BE6461">
            <w:pPr>
              <w:jc w:val="right"/>
              <w:rPr>
                <w:sz w:val="20"/>
                <w:szCs w:val="20"/>
              </w:rPr>
            </w:pPr>
          </w:p>
        </w:tc>
      </w:tr>
      <w:tr w:rsidR="00BE6461" w:rsidRPr="00BE6461" w14:paraId="7FADF489" w14:textId="77777777" w:rsidTr="00BE6461">
        <w:trPr>
          <w:trHeight w:val="300"/>
        </w:trPr>
        <w:tc>
          <w:tcPr>
            <w:tcW w:w="1703" w:type="dxa"/>
            <w:tcBorders>
              <w:top w:val="nil"/>
              <w:left w:val="nil"/>
              <w:bottom w:val="nil"/>
              <w:right w:val="nil"/>
            </w:tcBorders>
            <w:shd w:val="clear" w:color="auto" w:fill="auto"/>
            <w:noWrap/>
            <w:vAlign w:val="bottom"/>
            <w:hideMark/>
          </w:tcPr>
          <w:p w14:paraId="5A365AC3" w14:textId="77777777" w:rsidR="00BE6461" w:rsidRPr="00BE6461" w:rsidRDefault="00BE6461" w:rsidP="00BE6461">
            <w:pPr>
              <w:rPr>
                <w:sz w:val="20"/>
                <w:szCs w:val="20"/>
              </w:rPr>
            </w:pPr>
            <w:r w:rsidRPr="00BE6461">
              <w:rPr>
                <w:sz w:val="20"/>
                <w:szCs w:val="20"/>
              </w:rPr>
              <w:t>3212</w:t>
            </w:r>
          </w:p>
        </w:tc>
        <w:tc>
          <w:tcPr>
            <w:tcW w:w="8457" w:type="dxa"/>
            <w:tcBorders>
              <w:top w:val="nil"/>
              <w:left w:val="nil"/>
              <w:bottom w:val="nil"/>
              <w:right w:val="nil"/>
            </w:tcBorders>
            <w:shd w:val="clear" w:color="auto" w:fill="auto"/>
            <w:vAlign w:val="bottom"/>
            <w:hideMark/>
          </w:tcPr>
          <w:p w14:paraId="7244BFBC" w14:textId="77777777" w:rsidR="00BE6461" w:rsidRPr="00BE6461" w:rsidRDefault="00BE6461" w:rsidP="00BE6461">
            <w:pPr>
              <w:rPr>
                <w:sz w:val="20"/>
                <w:szCs w:val="20"/>
              </w:rPr>
            </w:pPr>
            <w:r w:rsidRPr="00BE6461">
              <w:rPr>
                <w:sz w:val="20"/>
                <w:szCs w:val="20"/>
              </w:rPr>
              <w:t xml:space="preserve">Naknade za prijevoz, za rad na terenu i odvojeni život                                              </w:t>
            </w:r>
          </w:p>
        </w:tc>
        <w:tc>
          <w:tcPr>
            <w:tcW w:w="1503" w:type="dxa"/>
            <w:tcBorders>
              <w:top w:val="nil"/>
              <w:left w:val="nil"/>
              <w:bottom w:val="nil"/>
              <w:right w:val="nil"/>
            </w:tcBorders>
            <w:shd w:val="clear" w:color="auto" w:fill="auto"/>
            <w:noWrap/>
            <w:vAlign w:val="bottom"/>
            <w:hideMark/>
          </w:tcPr>
          <w:p w14:paraId="527C786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C249B15" w14:textId="77777777" w:rsidR="00BE6461" w:rsidRPr="00BE6461" w:rsidRDefault="00BE6461" w:rsidP="00BE6461">
            <w:pPr>
              <w:jc w:val="right"/>
              <w:rPr>
                <w:sz w:val="20"/>
                <w:szCs w:val="20"/>
              </w:rPr>
            </w:pPr>
            <w:r w:rsidRPr="00BE6461">
              <w:rPr>
                <w:sz w:val="20"/>
                <w:szCs w:val="20"/>
              </w:rPr>
              <w:t>7.238,00</w:t>
            </w:r>
          </w:p>
        </w:tc>
        <w:tc>
          <w:tcPr>
            <w:tcW w:w="1100" w:type="dxa"/>
            <w:tcBorders>
              <w:top w:val="nil"/>
              <w:left w:val="nil"/>
              <w:bottom w:val="nil"/>
              <w:right w:val="nil"/>
            </w:tcBorders>
            <w:shd w:val="clear" w:color="auto" w:fill="auto"/>
            <w:noWrap/>
            <w:vAlign w:val="bottom"/>
            <w:hideMark/>
          </w:tcPr>
          <w:p w14:paraId="735E31EB" w14:textId="77777777" w:rsidR="00BE6461" w:rsidRPr="00BE6461" w:rsidRDefault="00BE6461" w:rsidP="00BE6461">
            <w:pPr>
              <w:jc w:val="right"/>
              <w:rPr>
                <w:sz w:val="20"/>
                <w:szCs w:val="20"/>
              </w:rPr>
            </w:pPr>
          </w:p>
        </w:tc>
      </w:tr>
      <w:tr w:rsidR="00BE6461" w:rsidRPr="00BE6461" w14:paraId="779663F8" w14:textId="77777777" w:rsidTr="00BE6461">
        <w:trPr>
          <w:trHeight w:val="300"/>
        </w:trPr>
        <w:tc>
          <w:tcPr>
            <w:tcW w:w="1703" w:type="dxa"/>
            <w:tcBorders>
              <w:top w:val="nil"/>
              <w:left w:val="nil"/>
              <w:bottom w:val="nil"/>
              <w:right w:val="nil"/>
            </w:tcBorders>
            <w:shd w:val="clear" w:color="auto" w:fill="auto"/>
            <w:noWrap/>
            <w:vAlign w:val="bottom"/>
            <w:hideMark/>
          </w:tcPr>
          <w:p w14:paraId="4F8B28D3" w14:textId="77777777" w:rsidR="00BE6461" w:rsidRPr="00BE6461" w:rsidRDefault="00BE6461" w:rsidP="00BE6461">
            <w:pPr>
              <w:rPr>
                <w:sz w:val="20"/>
                <w:szCs w:val="20"/>
              </w:rPr>
            </w:pPr>
            <w:r w:rsidRPr="00BE6461">
              <w:rPr>
                <w:sz w:val="20"/>
                <w:szCs w:val="20"/>
              </w:rPr>
              <w:t>3213</w:t>
            </w:r>
          </w:p>
        </w:tc>
        <w:tc>
          <w:tcPr>
            <w:tcW w:w="8457" w:type="dxa"/>
            <w:tcBorders>
              <w:top w:val="nil"/>
              <w:left w:val="nil"/>
              <w:bottom w:val="nil"/>
              <w:right w:val="nil"/>
            </w:tcBorders>
            <w:shd w:val="clear" w:color="auto" w:fill="auto"/>
            <w:vAlign w:val="bottom"/>
            <w:hideMark/>
          </w:tcPr>
          <w:p w14:paraId="28AA06A3" w14:textId="77777777" w:rsidR="00BE6461" w:rsidRPr="00BE6461" w:rsidRDefault="00BE6461" w:rsidP="00BE6461">
            <w:pPr>
              <w:rPr>
                <w:sz w:val="20"/>
                <w:szCs w:val="20"/>
              </w:rPr>
            </w:pPr>
            <w:r w:rsidRPr="00BE6461">
              <w:rPr>
                <w:sz w:val="20"/>
                <w:szCs w:val="20"/>
              </w:rPr>
              <w:t xml:space="preserve">Stručno usavršavanje zaposlenika                                                                    </w:t>
            </w:r>
          </w:p>
        </w:tc>
        <w:tc>
          <w:tcPr>
            <w:tcW w:w="1503" w:type="dxa"/>
            <w:tcBorders>
              <w:top w:val="nil"/>
              <w:left w:val="nil"/>
              <w:bottom w:val="nil"/>
              <w:right w:val="nil"/>
            </w:tcBorders>
            <w:shd w:val="clear" w:color="auto" w:fill="auto"/>
            <w:noWrap/>
            <w:vAlign w:val="bottom"/>
            <w:hideMark/>
          </w:tcPr>
          <w:p w14:paraId="1DCD68D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C3BE0D6" w14:textId="77777777" w:rsidR="00BE6461" w:rsidRPr="00BE6461" w:rsidRDefault="00BE6461" w:rsidP="00BE6461">
            <w:pPr>
              <w:jc w:val="right"/>
              <w:rPr>
                <w:sz w:val="20"/>
                <w:szCs w:val="20"/>
              </w:rPr>
            </w:pPr>
            <w:r w:rsidRPr="00BE6461">
              <w:rPr>
                <w:sz w:val="20"/>
                <w:szCs w:val="20"/>
              </w:rPr>
              <w:t>600,00</w:t>
            </w:r>
          </w:p>
        </w:tc>
        <w:tc>
          <w:tcPr>
            <w:tcW w:w="1100" w:type="dxa"/>
            <w:tcBorders>
              <w:top w:val="nil"/>
              <w:left w:val="nil"/>
              <w:bottom w:val="nil"/>
              <w:right w:val="nil"/>
            </w:tcBorders>
            <w:shd w:val="clear" w:color="auto" w:fill="auto"/>
            <w:noWrap/>
            <w:vAlign w:val="bottom"/>
            <w:hideMark/>
          </w:tcPr>
          <w:p w14:paraId="502D5EB0" w14:textId="77777777" w:rsidR="00BE6461" w:rsidRPr="00BE6461" w:rsidRDefault="00BE6461" w:rsidP="00BE6461">
            <w:pPr>
              <w:jc w:val="right"/>
              <w:rPr>
                <w:sz w:val="20"/>
                <w:szCs w:val="20"/>
              </w:rPr>
            </w:pPr>
          </w:p>
        </w:tc>
      </w:tr>
      <w:tr w:rsidR="00BE6461" w:rsidRPr="00BE6461" w14:paraId="5782CA11" w14:textId="77777777" w:rsidTr="00BE6461">
        <w:trPr>
          <w:trHeight w:val="300"/>
        </w:trPr>
        <w:tc>
          <w:tcPr>
            <w:tcW w:w="1703" w:type="dxa"/>
            <w:tcBorders>
              <w:top w:val="nil"/>
              <w:left w:val="nil"/>
              <w:bottom w:val="nil"/>
              <w:right w:val="nil"/>
            </w:tcBorders>
            <w:shd w:val="clear" w:color="auto" w:fill="auto"/>
            <w:noWrap/>
            <w:vAlign w:val="bottom"/>
            <w:hideMark/>
          </w:tcPr>
          <w:p w14:paraId="5F861FB9" w14:textId="77777777" w:rsidR="00BE6461" w:rsidRPr="00BE6461" w:rsidRDefault="00BE6461" w:rsidP="00BE6461">
            <w:pPr>
              <w:rPr>
                <w:sz w:val="20"/>
                <w:szCs w:val="20"/>
              </w:rPr>
            </w:pPr>
            <w:r w:rsidRPr="00BE6461">
              <w:rPr>
                <w:sz w:val="20"/>
                <w:szCs w:val="20"/>
              </w:rPr>
              <w:t>3214</w:t>
            </w:r>
          </w:p>
        </w:tc>
        <w:tc>
          <w:tcPr>
            <w:tcW w:w="8457" w:type="dxa"/>
            <w:tcBorders>
              <w:top w:val="nil"/>
              <w:left w:val="nil"/>
              <w:bottom w:val="nil"/>
              <w:right w:val="nil"/>
            </w:tcBorders>
            <w:shd w:val="clear" w:color="auto" w:fill="auto"/>
            <w:vAlign w:val="bottom"/>
            <w:hideMark/>
          </w:tcPr>
          <w:p w14:paraId="377BD526" w14:textId="77777777" w:rsidR="00BE6461" w:rsidRPr="00BE6461" w:rsidRDefault="00BE6461" w:rsidP="00BE6461">
            <w:pPr>
              <w:rPr>
                <w:sz w:val="20"/>
                <w:szCs w:val="20"/>
              </w:rPr>
            </w:pPr>
            <w:r w:rsidRPr="00BE6461">
              <w:rPr>
                <w:sz w:val="20"/>
                <w:szCs w:val="20"/>
              </w:rPr>
              <w:t xml:space="preserve">Ostale naknade troškova zaposlenima                                                                 </w:t>
            </w:r>
          </w:p>
        </w:tc>
        <w:tc>
          <w:tcPr>
            <w:tcW w:w="1503" w:type="dxa"/>
            <w:tcBorders>
              <w:top w:val="nil"/>
              <w:left w:val="nil"/>
              <w:bottom w:val="nil"/>
              <w:right w:val="nil"/>
            </w:tcBorders>
            <w:shd w:val="clear" w:color="auto" w:fill="auto"/>
            <w:noWrap/>
            <w:vAlign w:val="bottom"/>
            <w:hideMark/>
          </w:tcPr>
          <w:p w14:paraId="24ACDD9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6BD819C" w14:textId="77777777" w:rsidR="00BE6461" w:rsidRPr="00BE6461" w:rsidRDefault="00BE6461" w:rsidP="00BE6461">
            <w:pPr>
              <w:jc w:val="right"/>
              <w:rPr>
                <w:sz w:val="20"/>
                <w:szCs w:val="20"/>
              </w:rPr>
            </w:pPr>
            <w:r w:rsidRPr="00BE6461">
              <w:rPr>
                <w:sz w:val="20"/>
                <w:szCs w:val="20"/>
              </w:rPr>
              <w:t>3.057,00</w:t>
            </w:r>
          </w:p>
        </w:tc>
        <w:tc>
          <w:tcPr>
            <w:tcW w:w="1100" w:type="dxa"/>
            <w:tcBorders>
              <w:top w:val="nil"/>
              <w:left w:val="nil"/>
              <w:bottom w:val="nil"/>
              <w:right w:val="nil"/>
            </w:tcBorders>
            <w:shd w:val="clear" w:color="auto" w:fill="auto"/>
            <w:noWrap/>
            <w:vAlign w:val="bottom"/>
            <w:hideMark/>
          </w:tcPr>
          <w:p w14:paraId="7F220766" w14:textId="77777777" w:rsidR="00BE6461" w:rsidRPr="00BE6461" w:rsidRDefault="00BE6461" w:rsidP="00BE6461">
            <w:pPr>
              <w:jc w:val="right"/>
              <w:rPr>
                <w:sz w:val="20"/>
                <w:szCs w:val="20"/>
              </w:rPr>
            </w:pPr>
          </w:p>
        </w:tc>
      </w:tr>
      <w:tr w:rsidR="00BE6461" w:rsidRPr="00BE6461" w14:paraId="47B99097" w14:textId="77777777" w:rsidTr="00BE6461">
        <w:trPr>
          <w:trHeight w:val="300"/>
        </w:trPr>
        <w:tc>
          <w:tcPr>
            <w:tcW w:w="1703" w:type="dxa"/>
            <w:tcBorders>
              <w:top w:val="nil"/>
              <w:left w:val="nil"/>
              <w:bottom w:val="nil"/>
              <w:right w:val="nil"/>
            </w:tcBorders>
            <w:shd w:val="clear" w:color="auto" w:fill="auto"/>
            <w:noWrap/>
            <w:vAlign w:val="bottom"/>
            <w:hideMark/>
          </w:tcPr>
          <w:p w14:paraId="4F8ECB50"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341A8D70"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79B0BF33" w14:textId="77777777" w:rsidR="00BE6461" w:rsidRPr="00BE6461" w:rsidRDefault="00BE6461" w:rsidP="00BE6461">
            <w:pPr>
              <w:jc w:val="right"/>
              <w:rPr>
                <w:b/>
                <w:bCs/>
                <w:sz w:val="20"/>
                <w:szCs w:val="20"/>
              </w:rPr>
            </w:pPr>
            <w:r w:rsidRPr="00BE6461">
              <w:rPr>
                <w:b/>
                <w:bCs/>
                <w:sz w:val="20"/>
                <w:szCs w:val="20"/>
              </w:rPr>
              <w:t>66.298,00</w:t>
            </w:r>
          </w:p>
        </w:tc>
        <w:tc>
          <w:tcPr>
            <w:tcW w:w="1500" w:type="dxa"/>
            <w:tcBorders>
              <w:top w:val="nil"/>
              <w:left w:val="nil"/>
              <w:bottom w:val="nil"/>
              <w:right w:val="nil"/>
            </w:tcBorders>
            <w:shd w:val="clear" w:color="auto" w:fill="auto"/>
            <w:noWrap/>
            <w:vAlign w:val="bottom"/>
            <w:hideMark/>
          </w:tcPr>
          <w:p w14:paraId="0CA40C9A" w14:textId="77777777" w:rsidR="00BE6461" w:rsidRPr="00BE6461" w:rsidRDefault="00BE6461" w:rsidP="00BE6461">
            <w:pPr>
              <w:jc w:val="right"/>
              <w:rPr>
                <w:b/>
                <w:bCs/>
                <w:sz w:val="20"/>
                <w:szCs w:val="20"/>
              </w:rPr>
            </w:pPr>
            <w:r w:rsidRPr="00BE6461">
              <w:rPr>
                <w:b/>
                <w:bCs/>
                <w:sz w:val="20"/>
                <w:szCs w:val="20"/>
              </w:rPr>
              <w:t>43.924,67</w:t>
            </w:r>
          </w:p>
        </w:tc>
        <w:tc>
          <w:tcPr>
            <w:tcW w:w="1100" w:type="dxa"/>
            <w:tcBorders>
              <w:top w:val="nil"/>
              <w:left w:val="nil"/>
              <w:bottom w:val="nil"/>
              <w:right w:val="nil"/>
            </w:tcBorders>
            <w:shd w:val="clear" w:color="auto" w:fill="auto"/>
            <w:noWrap/>
            <w:vAlign w:val="bottom"/>
            <w:hideMark/>
          </w:tcPr>
          <w:p w14:paraId="0C843A34" w14:textId="77777777" w:rsidR="00BE6461" w:rsidRPr="00BE6461" w:rsidRDefault="00BE6461" w:rsidP="00BE6461">
            <w:pPr>
              <w:jc w:val="right"/>
              <w:rPr>
                <w:b/>
                <w:bCs/>
                <w:sz w:val="20"/>
                <w:szCs w:val="20"/>
              </w:rPr>
            </w:pPr>
            <w:r w:rsidRPr="00BE6461">
              <w:rPr>
                <w:b/>
                <w:bCs/>
                <w:sz w:val="20"/>
                <w:szCs w:val="20"/>
              </w:rPr>
              <w:t>66,25</w:t>
            </w:r>
          </w:p>
        </w:tc>
      </w:tr>
      <w:tr w:rsidR="00BE6461" w:rsidRPr="00BE6461" w14:paraId="3A992BEE" w14:textId="77777777" w:rsidTr="00BE6461">
        <w:trPr>
          <w:trHeight w:val="300"/>
        </w:trPr>
        <w:tc>
          <w:tcPr>
            <w:tcW w:w="1703" w:type="dxa"/>
            <w:tcBorders>
              <w:top w:val="nil"/>
              <w:left w:val="nil"/>
              <w:bottom w:val="nil"/>
              <w:right w:val="nil"/>
            </w:tcBorders>
            <w:shd w:val="clear" w:color="auto" w:fill="auto"/>
            <w:noWrap/>
            <w:vAlign w:val="bottom"/>
            <w:hideMark/>
          </w:tcPr>
          <w:p w14:paraId="34ECD76F" w14:textId="77777777" w:rsidR="00BE6461" w:rsidRPr="00BE6461" w:rsidRDefault="00BE6461" w:rsidP="00BE6461">
            <w:pPr>
              <w:rPr>
                <w:sz w:val="20"/>
                <w:szCs w:val="20"/>
              </w:rPr>
            </w:pPr>
            <w:r w:rsidRPr="00BE6461">
              <w:rPr>
                <w:sz w:val="20"/>
                <w:szCs w:val="20"/>
              </w:rPr>
              <w:t>3221</w:t>
            </w:r>
          </w:p>
        </w:tc>
        <w:tc>
          <w:tcPr>
            <w:tcW w:w="8457" w:type="dxa"/>
            <w:tcBorders>
              <w:top w:val="nil"/>
              <w:left w:val="nil"/>
              <w:bottom w:val="nil"/>
              <w:right w:val="nil"/>
            </w:tcBorders>
            <w:shd w:val="clear" w:color="auto" w:fill="auto"/>
            <w:vAlign w:val="bottom"/>
            <w:hideMark/>
          </w:tcPr>
          <w:p w14:paraId="7D118A59" w14:textId="77777777" w:rsidR="00BE6461" w:rsidRPr="00BE6461" w:rsidRDefault="00BE6461" w:rsidP="00BE6461">
            <w:pPr>
              <w:rPr>
                <w:sz w:val="20"/>
                <w:szCs w:val="20"/>
              </w:rPr>
            </w:pPr>
            <w:r w:rsidRPr="00BE6461">
              <w:rPr>
                <w:sz w:val="20"/>
                <w:szCs w:val="20"/>
              </w:rPr>
              <w:t xml:space="preserve">Uredski materijal i ostali materijalni rashodi                                                      </w:t>
            </w:r>
          </w:p>
        </w:tc>
        <w:tc>
          <w:tcPr>
            <w:tcW w:w="1503" w:type="dxa"/>
            <w:tcBorders>
              <w:top w:val="nil"/>
              <w:left w:val="nil"/>
              <w:bottom w:val="nil"/>
              <w:right w:val="nil"/>
            </w:tcBorders>
            <w:shd w:val="clear" w:color="auto" w:fill="auto"/>
            <w:noWrap/>
            <w:vAlign w:val="bottom"/>
            <w:hideMark/>
          </w:tcPr>
          <w:p w14:paraId="24F56E0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68B839E" w14:textId="77777777" w:rsidR="00BE6461" w:rsidRPr="00BE6461" w:rsidRDefault="00BE6461" w:rsidP="00BE6461">
            <w:pPr>
              <w:jc w:val="right"/>
              <w:rPr>
                <w:sz w:val="20"/>
                <w:szCs w:val="20"/>
              </w:rPr>
            </w:pPr>
            <w:r w:rsidRPr="00BE6461">
              <w:rPr>
                <w:sz w:val="20"/>
                <w:szCs w:val="20"/>
              </w:rPr>
              <w:t>9.084,14</w:t>
            </w:r>
          </w:p>
        </w:tc>
        <w:tc>
          <w:tcPr>
            <w:tcW w:w="1100" w:type="dxa"/>
            <w:tcBorders>
              <w:top w:val="nil"/>
              <w:left w:val="nil"/>
              <w:bottom w:val="nil"/>
              <w:right w:val="nil"/>
            </w:tcBorders>
            <w:shd w:val="clear" w:color="auto" w:fill="auto"/>
            <w:noWrap/>
            <w:vAlign w:val="bottom"/>
            <w:hideMark/>
          </w:tcPr>
          <w:p w14:paraId="61454C9E" w14:textId="77777777" w:rsidR="00BE6461" w:rsidRPr="00BE6461" w:rsidRDefault="00BE6461" w:rsidP="00BE6461">
            <w:pPr>
              <w:jc w:val="right"/>
              <w:rPr>
                <w:sz w:val="20"/>
                <w:szCs w:val="20"/>
              </w:rPr>
            </w:pPr>
          </w:p>
        </w:tc>
      </w:tr>
      <w:tr w:rsidR="00BE6461" w:rsidRPr="00BE6461" w14:paraId="01811B20" w14:textId="77777777" w:rsidTr="00BE6461">
        <w:trPr>
          <w:trHeight w:val="300"/>
        </w:trPr>
        <w:tc>
          <w:tcPr>
            <w:tcW w:w="1703" w:type="dxa"/>
            <w:tcBorders>
              <w:top w:val="nil"/>
              <w:left w:val="nil"/>
              <w:bottom w:val="nil"/>
              <w:right w:val="nil"/>
            </w:tcBorders>
            <w:shd w:val="clear" w:color="auto" w:fill="auto"/>
            <w:noWrap/>
            <w:vAlign w:val="bottom"/>
            <w:hideMark/>
          </w:tcPr>
          <w:p w14:paraId="21371DD5" w14:textId="77777777" w:rsidR="00BE6461" w:rsidRPr="00BE6461" w:rsidRDefault="00BE6461" w:rsidP="00BE6461">
            <w:pPr>
              <w:rPr>
                <w:sz w:val="20"/>
                <w:szCs w:val="20"/>
              </w:rPr>
            </w:pPr>
            <w:r w:rsidRPr="00BE6461">
              <w:rPr>
                <w:sz w:val="20"/>
                <w:szCs w:val="20"/>
              </w:rPr>
              <w:t>3223</w:t>
            </w:r>
          </w:p>
        </w:tc>
        <w:tc>
          <w:tcPr>
            <w:tcW w:w="8457" w:type="dxa"/>
            <w:tcBorders>
              <w:top w:val="nil"/>
              <w:left w:val="nil"/>
              <w:bottom w:val="nil"/>
              <w:right w:val="nil"/>
            </w:tcBorders>
            <w:shd w:val="clear" w:color="auto" w:fill="auto"/>
            <w:vAlign w:val="bottom"/>
            <w:hideMark/>
          </w:tcPr>
          <w:p w14:paraId="5A803C16" w14:textId="77777777" w:rsidR="00BE6461" w:rsidRPr="00BE6461" w:rsidRDefault="00BE6461" w:rsidP="00BE6461">
            <w:pPr>
              <w:rPr>
                <w:sz w:val="20"/>
                <w:szCs w:val="20"/>
              </w:rPr>
            </w:pPr>
            <w:r w:rsidRPr="00BE6461">
              <w:rPr>
                <w:sz w:val="20"/>
                <w:szCs w:val="20"/>
              </w:rPr>
              <w:t xml:space="preserve">Energija                                                                                            </w:t>
            </w:r>
          </w:p>
        </w:tc>
        <w:tc>
          <w:tcPr>
            <w:tcW w:w="1503" w:type="dxa"/>
            <w:tcBorders>
              <w:top w:val="nil"/>
              <w:left w:val="nil"/>
              <w:bottom w:val="nil"/>
              <w:right w:val="nil"/>
            </w:tcBorders>
            <w:shd w:val="clear" w:color="auto" w:fill="auto"/>
            <w:noWrap/>
            <w:vAlign w:val="bottom"/>
            <w:hideMark/>
          </w:tcPr>
          <w:p w14:paraId="048DEB5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389354D" w14:textId="77777777" w:rsidR="00BE6461" w:rsidRPr="00BE6461" w:rsidRDefault="00BE6461" w:rsidP="00BE6461">
            <w:pPr>
              <w:jc w:val="right"/>
              <w:rPr>
                <w:sz w:val="20"/>
                <w:szCs w:val="20"/>
              </w:rPr>
            </w:pPr>
            <w:r w:rsidRPr="00BE6461">
              <w:rPr>
                <w:sz w:val="20"/>
                <w:szCs w:val="20"/>
              </w:rPr>
              <w:t>25.163,88</w:t>
            </w:r>
          </w:p>
        </w:tc>
        <w:tc>
          <w:tcPr>
            <w:tcW w:w="1100" w:type="dxa"/>
            <w:tcBorders>
              <w:top w:val="nil"/>
              <w:left w:val="nil"/>
              <w:bottom w:val="nil"/>
              <w:right w:val="nil"/>
            </w:tcBorders>
            <w:shd w:val="clear" w:color="auto" w:fill="auto"/>
            <w:noWrap/>
            <w:vAlign w:val="bottom"/>
            <w:hideMark/>
          </w:tcPr>
          <w:p w14:paraId="51CEB1A0" w14:textId="77777777" w:rsidR="00BE6461" w:rsidRPr="00BE6461" w:rsidRDefault="00BE6461" w:rsidP="00BE6461">
            <w:pPr>
              <w:jc w:val="right"/>
              <w:rPr>
                <w:sz w:val="20"/>
                <w:szCs w:val="20"/>
              </w:rPr>
            </w:pPr>
          </w:p>
        </w:tc>
      </w:tr>
      <w:tr w:rsidR="00BE6461" w:rsidRPr="00BE6461" w14:paraId="28DA1316" w14:textId="77777777" w:rsidTr="00BE6461">
        <w:trPr>
          <w:trHeight w:val="300"/>
        </w:trPr>
        <w:tc>
          <w:tcPr>
            <w:tcW w:w="1703" w:type="dxa"/>
            <w:tcBorders>
              <w:top w:val="nil"/>
              <w:left w:val="nil"/>
              <w:bottom w:val="nil"/>
              <w:right w:val="nil"/>
            </w:tcBorders>
            <w:shd w:val="clear" w:color="auto" w:fill="auto"/>
            <w:noWrap/>
            <w:vAlign w:val="bottom"/>
            <w:hideMark/>
          </w:tcPr>
          <w:p w14:paraId="50FA3F7D" w14:textId="77777777" w:rsidR="00BE6461" w:rsidRPr="00BE6461" w:rsidRDefault="00BE6461" w:rsidP="00BE6461">
            <w:pPr>
              <w:rPr>
                <w:sz w:val="20"/>
                <w:szCs w:val="20"/>
              </w:rPr>
            </w:pPr>
            <w:r w:rsidRPr="00BE6461">
              <w:rPr>
                <w:sz w:val="20"/>
                <w:szCs w:val="20"/>
              </w:rPr>
              <w:t>3224</w:t>
            </w:r>
          </w:p>
        </w:tc>
        <w:tc>
          <w:tcPr>
            <w:tcW w:w="8457" w:type="dxa"/>
            <w:tcBorders>
              <w:top w:val="nil"/>
              <w:left w:val="nil"/>
              <w:bottom w:val="nil"/>
              <w:right w:val="nil"/>
            </w:tcBorders>
            <w:shd w:val="clear" w:color="auto" w:fill="auto"/>
            <w:vAlign w:val="bottom"/>
            <w:hideMark/>
          </w:tcPr>
          <w:p w14:paraId="2B628657" w14:textId="77777777" w:rsidR="00BE6461" w:rsidRPr="00BE6461" w:rsidRDefault="00BE6461" w:rsidP="00BE6461">
            <w:pPr>
              <w:rPr>
                <w:sz w:val="20"/>
                <w:szCs w:val="20"/>
              </w:rPr>
            </w:pPr>
            <w:r w:rsidRPr="00BE6461">
              <w:rPr>
                <w:sz w:val="20"/>
                <w:szCs w:val="20"/>
              </w:rPr>
              <w:t xml:space="preserve">Materijal i dijelovi za tekuće i investicijsko održavanje                                           </w:t>
            </w:r>
          </w:p>
        </w:tc>
        <w:tc>
          <w:tcPr>
            <w:tcW w:w="1503" w:type="dxa"/>
            <w:tcBorders>
              <w:top w:val="nil"/>
              <w:left w:val="nil"/>
              <w:bottom w:val="nil"/>
              <w:right w:val="nil"/>
            </w:tcBorders>
            <w:shd w:val="clear" w:color="auto" w:fill="auto"/>
            <w:noWrap/>
            <w:vAlign w:val="bottom"/>
            <w:hideMark/>
          </w:tcPr>
          <w:p w14:paraId="7DC87412"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E19C6C9"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0DEBC465" w14:textId="77777777" w:rsidR="00BE6461" w:rsidRPr="00BE6461" w:rsidRDefault="00BE6461" w:rsidP="00BE6461">
            <w:pPr>
              <w:jc w:val="right"/>
              <w:rPr>
                <w:sz w:val="20"/>
                <w:szCs w:val="20"/>
              </w:rPr>
            </w:pPr>
          </w:p>
        </w:tc>
      </w:tr>
      <w:tr w:rsidR="00BE6461" w:rsidRPr="00BE6461" w14:paraId="145D48D4" w14:textId="77777777" w:rsidTr="00BE6461">
        <w:trPr>
          <w:trHeight w:val="300"/>
        </w:trPr>
        <w:tc>
          <w:tcPr>
            <w:tcW w:w="1703" w:type="dxa"/>
            <w:tcBorders>
              <w:top w:val="nil"/>
              <w:left w:val="nil"/>
              <w:bottom w:val="nil"/>
              <w:right w:val="nil"/>
            </w:tcBorders>
            <w:shd w:val="clear" w:color="auto" w:fill="auto"/>
            <w:noWrap/>
            <w:vAlign w:val="bottom"/>
            <w:hideMark/>
          </w:tcPr>
          <w:p w14:paraId="511AF5E7" w14:textId="77777777" w:rsidR="00BE6461" w:rsidRPr="00BE6461" w:rsidRDefault="00BE6461" w:rsidP="00BE6461">
            <w:pPr>
              <w:rPr>
                <w:sz w:val="20"/>
                <w:szCs w:val="20"/>
              </w:rPr>
            </w:pPr>
            <w:r w:rsidRPr="00BE6461">
              <w:rPr>
                <w:sz w:val="20"/>
                <w:szCs w:val="20"/>
              </w:rPr>
              <w:t>3225</w:t>
            </w:r>
          </w:p>
        </w:tc>
        <w:tc>
          <w:tcPr>
            <w:tcW w:w="8457" w:type="dxa"/>
            <w:tcBorders>
              <w:top w:val="nil"/>
              <w:left w:val="nil"/>
              <w:bottom w:val="nil"/>
              <w:right w:val="nil"/>
            </w:tcBorders>
            <w:shd w:val="clear" w:color="auto" w:fill="auto"/>
            <w:vAlign w:val="bottom"/>
            <w:hideMark/>
          </w:tcPr>
          <w:p w14:paraId="125880A1" w14:textId="77777777" w:rsidR="00BE6461" w:rsidRPr="00BE6461" w:rsidRDefault="00BE6461" w:rsidP="00BE6461">
            <w:pPr>
              <w:rPr>
                <w:sz w:val="20"/>
                <w:szCs w:val="20"/>
              </w:rPr>
            </w:pPr>
            <w:r w:rsidRPr="00BE6461">
              <w:rPr>
                <w:sz w:val="20"/>
                <w:szCs w:val="20"/>
              </w:rPr>
              <w:t xml:space="preserve">Sitni inventar i auto gume                                                                          </w:t>
            </w:r>
          </w:p>
        </w:tc>
        <w:tc>
          <w:tcPr>
            <w:tcW w:w="1503" w:type="dxa"/>
            <w:tcBorders>
              <w:top w:val="nil"/>
              <w:left w:val="nil"/>
              <w:bottom w:val="nil"/>
              <w:right w:val="nil"/>
            </w:tcBorders>
            <w:shd w:val="clear" w:color="auto" w:fill="auto"/>
            <w:noWrap/>
            <w:vAlign w:val="bottom"/>
            <w:hideMark/>
          </w:tcPr>
          <w:p w14:paraId="684B4E9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C1205B7" w14:textId="77777777" w:rsidR="00BE6461" w:rsidRPr="00BE6461" w:rsidRDefault="00BE6461" w:rsidP="00BE6461">
            <w:pPr>
              <w:jc w:val="right"/>
              <w:rPr>
                <w:sz w:val="20"/>
                <w:szCs w:val="20"/>
              </w:rPr>
            </w:pPr>
            <w:r w:rsidRPr="00BE6461">
              <w:rPr>
                <w:sz w:val="20"/>
                <w:szCs w:val="20"/>
              </w:rPr>
              <w:t>9.676,65</w:t>
            </w:r>
          </w:p>
        </w:tc>
        <w:tc>
          <w:tcPr>
            <w:tcW w:w="1100" w:type="dxa"/>
            <w:tcBorders>
              <w:top w:val="nil"/>
              <w:left w:val="nil"/>
              <w:bottom w:val="nil"/>
              <w:right w:val="nil"/>
            </w:tcBorders>
            <w:shd w:val="clear" w:color="auto" w:fill="auto"/>
            <w:noWrap/>
            <w:vAlign w:val="bottom"/>
            <w:hideMark/>
          </w:tcPr>
          <w:p w14:paraId="4A720CAE" w14:textId="77777777" w:rsidR="00BE6461" w:rsidRPr="00BE6461" w:rsidRDefault="00BE6461" w:rsidP="00BE6461">
            <w:pPr>
              <w:jc w:val="right"/>
              <w:rPr>
                <w:sz w:val="20"/>
                <w:szCs w:val="20"/>
              </w:rPr>
            </w:pPr>
          </w:p>
        </w:tc>
      </w:tr>
      <w:tr w:rsidR="00BE6461" w:rsidRPr="00BE6461" w14:paraId="52CC7A0D" w14:textId="77777777" w:rsidTr="00BE6461">
        <w:trPr>
          <w:trHeight w:val="300"/>
        </w:trPr>
        <w:tc>
          <w:tcPr>
            <w:tcW w:w="1703" w:type="dxa"/>
            <w:tcBorders>
              <w:top w:val="nil"/>
              <w:left w:val="nil"/>
              <w:bottom w:val="nil"/>
              <w:right w:val="nil"/>
            </w:tcBorders>
            <w:shd w:val="clear" w:color="auto" w:fill="auto"/>
            <w:noWrap/>
            <w:vAlign w:val="bottom"/>
            <w:hideMark/>
          </w:tcPr>
          <w:p w14:paraId="59BFA9C8"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28E14369"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64E3E03E" w14:textId="77777777" w:rsidR="00BE6461" w:rsidRPr="00BE6461" w:rsidRDefault="00BE6461" w:rsidP="00BE6461">
            <w:pPr>
              <w:jc w:val="right"/>
              <w:rPr>
                <w:b/>
                <w:bCs/>
                <w:sz w:val="20"/>
                <w:szCs w:val="20"/>
              </w:rPr>
            </w:pPr>
            <w:r w:rsidRPr="00BE6461">
              <w:rPr>
                <w:b/>
                <w:bCs/>
                <w:sz w:val="20"/>
                <w:szCs w:val="20"/>
              </w:rPr>
              <w:t>103.970,00</w:t>
            </w:r>
          </w:p>
        </w:tc>
        <w:tc>
          <w:tcPr>
            <w:tcW w:w="1500" w:type="dxa"/>
            <w:tcBorders>
              <w:top w:val="nil"/>
              <w:left w:val="nil"/>
              <w:bottom w:val="nil"/>
              <w:right w:val="nil"/>
            </w:tcBorders>
            <w:shd w:val="clear" w:color="auto" w:fill="auto"/>
            <w:noWrap/>
            <w:vAlign w:val="bottom"/>
            <w:hideMark/>
          </w:tcPr>
          <w:p w14:paraId="151EA735" w14:textId="77777777" w:rsidR="00BE6461" w:rsidRPr="00BE6461" w:rsidRDefault="00BE6461" w:rsidP="00BE6461">
            <w:pPr>
              <w:jc w:val="right"/>
              <w:rPr>
                <w:b/>
                <w:bCs/>
                <w:sz w:val="20"/>
                <w:szCs w:val="20"/>
              </w:rPr>
            </w:pPr>
            <w:r w:rsidRPr="00BE6461">
              <w:rPr>
                <w:b/>
                <w:bCs/>
                <w:sz w:val="20"/>
                <w:szCs w:val="20"/>
              </w:rPr>
              <w:t>91.282,89</w:t>
            </w:r>
          </w:p>
        </w:tc>
        <w:tc>
          <w:tcPr>
            <w:tcW w:w="1100" w:type="dxa"/>
            <w:tcBorders>
              <w:top w:val="nil"/>
              <w:left w:val="nil"/>
              <w:bottom w:val="nil"/>
              <w:right w:val="nil"/>
            </w:tcBorders>
            <w:shd w:val="clear" w:color="auto" w:fill="auto"/>
            <w:noWrap/>
            <w:vAlign w:val="bottom"/>
            <w:hideMark/>
          </w:tcPr>
          <w:p w14:paraId="54015952" w14:textId="77777777" w:rsidR="00BE6461" w:rsidRPr="00BE6461" w:rsidRDefault="00BE6461" w:rsidP="00BE6461">
            <w:pPr>
              <w:jc w:val="right"/>
              <w:rPr>
                <w:b/>
                <w:bCs/>
                <w:sz w:val="20"/>
                <w:szCs w:val="20"/>
              </w:rPr>
            </w:pPr>
            <w:r w:rsidRPr="00BE6461">
              <w:rPr>
                <w:b/>
                <w:bCs/>
                <w:sz w:val="20"/>
                <w:szCs w:val="20"/>
              </w:rPr>
              <w:t>87,80</w:t>
            </w:r>
          </w:p>
        </w:tc>
      </w:tr>
      <w:tr w:rsidR="00BE6461" w:rsidRPr="00BE6461" w14:paraId="7DFCE2F9" w14:textId="77777777" w:rsidTr="00BE6461">
        <w:trPr>
          <w:trHeight w:val="300"/>
        </w:trPr>
        <w:tc>
          <w:tcPr>
            <w:tcW w:w="1703" w:type="dxa"/>
            <w:tcBorders>
              <w:top w:val="nil"/>
              <w:left w:val="nil"/>
              <w:bottom w:val="nil"/>
              <w:right w:val="nil"/>
            </w:tcBorders>
            <w:shd w:val="clear" w:color="auto" w:fill="auto"/>
            <w:noWrap/>
            <w:vAlign w:val="bottom"/>
            <w:hideMark/>
          </w:tcPr>
          <w:p w14:paraId="097327B5" w14:textId="77777777" w:rsidR="00BE6461" w:rsidRPr="00BE6461" w:rsidRDefault="00BE6461" w:rsidP="00BE6461">
            <w:pPr>
              <w:rPr>
                <w:sz w:val="20"/>
                <w:szCs w:val="20"/>
              </w:rPr>
            </w:pPr>
            <w:r w:rsidRPr="00BE6461">
              <w:rPr>
                <w:sz w:val="20"/>
                <w:szCs w:val="20"/>
              </w:rPr>
              <w:t>3231</w:t>
            </w:r>
          </w:p>
        </w:tc>
        <w:tc>
          <w:tcPr>
            <w:tcW w:w="8457" w:type="dxa"/>
            <w:tcBorders>
              <w:top w:val="nil"/>
              <w:left w:val="nil"/>
              <w:bottom w:val="nil"/>
              <w:right w:val="nil"/>
            </w:tcBorders>
            <w:shd w:val="clear" w:color="auto" w:fill="auto"/>
            <w:vAlign w:val="bottom"/>
            <w:hideMark/>
          </w:tcPr>
          <w:p w14:paraId="21C6FC35" w14:textId="77777777" w:rsidR="00BE6461" w:rsidRPr="00BE6461" w:rsidRDefault="00BE6461" w:rsidP="00BE6461">
            <w:pPr>
              <w:rPr>
                <w:sz w:val="20"/>
                <w:szCs w:val="20"/>
              </w:rPr>
            </w:pPr>
            <w:r w:rsidRPr="00BE6461">
              <w:rPr>
                <w:sz w:val="20"/>
                <w:szCs w:val="20"/>
              </w:rPr>
              <w:t xml:space="preserve">Usluge telefona, pošte i prijevoza                                                                  </w:t>
            </w:r>
          </w:p>
        </w:tc>
        <w:tc>
          <w:tcPr>
            <w:tcW w:w="1503" w:type="dxa"/>
            <w:tcBorders>
              <w:top w:val="nil"/>
              <w:left w:val="nil"/>
              <w:bottom w:val="nil"/>
              <w:right w:val="nil"/>
            </w:tcBorders>
            <w:shd w:val="clear" w:color="auto" w:fill="auto"/>
            <w:noWrap/>
            <w:vAlign w:val="bottom"/>
            <w:hideMark/>
          </w:tcPr>
          <w:p w14:paraId="69C6529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85B8D26" w14:textId="77777777" w:rsidR="00BE6461" w:rsidRPr="00BE6461" w:rsidRDefault="00BE6461" w:rsidP="00BE6461">
            <w:pPr>
              <w:jc w:val="right"/>
              <w:rPr>
                <w:sz w:val="20"/>
                <w:szCs w:val="20"/>
              </w:rPr>
            </w:pPr>
            <w:r w:rsidRPr="00BE6461">
              <w:rPr>
                <w:sz w:val="20"/>
                <w:szCs w:val="20"/>
              </w:rPr>
              <w:t>9.628,68</w:t>
            </w:r>
          </w:p>
        </w:tc>
        <w:tc>
          <w:tcPr>
            <w:tcW w:w="1100" w:type="dxa"/>
            <w:tcBorders>
              <w:top w:val="nil"/>
              <w:left w:val="nil"/>
              <w:bottom w:val="nil"/>
              <w:right w:val="nil"/>
            </w:tcBorders>
            <w:shd w:val="clear" w:color="auto" w:fill="auto"/>
            <w:noWrap/>
            <w:vAlign w:val="bottom"/>
            <w:hideMark/>
          </w:tcPr>
          <w:p w14:paraId="6B42D547" w14:textId="77777777" w:rsidR="00BE6461" w:rsidRPr="00BE6461" w:rsidRDefault="00BE6461" w:rsidP="00BE6461">
            <w:pPr>
              <w:jc w:val="right"/>
              <w:rPr>
                <w:sz w:val="20"/>
                <w:szCs w:val="20"/>
              </w:rPr>
            </w:pPr>
          </w:p>
        </w:tc>
      </w:tr>
      <w:tr w:rsidR="00BE6461" w:rsidRPr="00BE6461" w14:paraId="624D094D" w14:textId="77777777" w:rsidTr="00BE6461">
        <w:trPr>
          <w:trHeight w:val="300"/>
        </w:trPr>
        <w:tc>
          <w:tcPr>
            <w:tcW w:w="1703" w:type="dxa"/>
            <w:tcBorders>
              <w:top w:val="nil"/>
              <w:left w:val="nil"/>
              <w:bottom w:val="nil"/>
              <w:right w:val="nil"/>
            </w:tcBorders>
            <w:shd w:val="clear" w:color="auto" w:fill="auto"/>
            <w:noWrap/>
            <w:vAlign w:val="bottom"/>
            <w:hideMark/>
          </w:tcPr>
          <w:p w14:paraId="699C7718" w14:textId="77777777" w:rsidR="00BE6461" w:rsidRPr="00BE6461" w:rsidRDefault="00BE6461" w:rsidP="00BE6461">
            <w:pPr>
              <w:rPr>
                <w:sz w:val="20"/>
                <w:szCs w:val="20"/>
              </w:rPr>
            </w:pPr>
            <w:r w:rsidRPr="00BE6461">
              <w:rPr>
                <w:sz w:val="20"/>
                <w:szCs w:val="20"/>
              </w:rPr>
              <w:t>3232</w:t>
            </w:r>
          </w:p>
        </w:tc>
        <w:tc>
          <w:tcPr>
            <w:tcW w:w="8457" w:type="dxa"/>
            <w:tcBorders>
              <w:top w:val="nil"/>
              <w:left w:val="nil"/>
              <w:bottom w:val="nil"/>
              <w:right w:val="nil"/>
            </w:tcBorders>
            <w:shd w:val="clear" w:color="auto" w:fill="auto"/>
            <w:vAlign w:val="bottom"/>
            <w:hideMark/>
          </w:tcPr>
          <w:p w14:paraId="3291D1AD" w14:textId="77777777" w:rsidR="00BE6461" w:rsidRPr="00BE6461" w:rsidRDefault="00BE6461" w:rsidP="00BE6461">
            <w:pPr>
              <w:rPr>
                <w:sz w:val="20"/>
                <w:szCs w:val="20"/>
              </w:rPr>
            </w:pPr>
            <w:r w:rsidRPr="00BE6461">
              <w:rPr>
                <w:sz w:val="20"/>
                <w:szCs w:val="20"/>
              </w:rPr>
              <w:t xml:space="preserve">Usluge tekućeg i investicijskog održavanja                                                          </w:t>
            </w:r>
          </w:p>
        </w:tc>
        <w:tc>
          <w:tcPr>
            <w:tcW w:w="1503" w:type="dxa"/>
            <w:tcBorders>
              <w:top w:val="nil"/>
              <w:left w:val="nil"/>
              <w:bottom w:val="nil"/>
              <w:right w:val="nil"/>
            </w:tcBorders>
            <w:shd w:val="clear" w:color="auto" w:fill="auto"/>
            <w:noWrap/>
            <w:vAlign w:val="bottom"/>
            <w:hideMark/>
          </w:tcPr>
          <w:p w14:paraId="1F259A4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09CC474" w14:textId="77777777" w:rsidR="00BE6461" w:rsidRPr="00BE6461" w:rsidRDefault="00BE6461" w:rsidP="00BE6461">
            <w:pPr>
              <w:jc w:val="right"/>
              <w:rPr>
                <w:sz w:val="20"/>
                <w:szCs w:val="20"/>
              </w:rPr>
            </w:pPr>
            <w:r w:rsidRPr="00BE6461">
              <w:rPr>
                <w:sz w:val="20"/>
                <w:szCs w:val="20"/>
              </w:rPr>
              <w:t>18.161,65</w:t>
            </w:r>
          </w:p>
        </w:tc>
        <w:tc>
          <w:tcPr>
            <w:tcW w:w="1100" w:type="dxa"/>
            <w:tcBorders>
              <w:top w:val="nil"/>
              <w:left w:val="nil"/>
              <w:bottom w:val="nil"/>
              <w:right w:val="nil"/>
            </w:tcBorders>
            <w:shd w:val="clear" w:color="auto" w:fill="auto"/>
            <w:noWrap/>
            <w:vAlign w:val="bottom"/>
            <w:hideMark/>
          </w:tcPr>
          <w:p w14:paraId="19295921" w14:textId="77777777" w:rsidR="00BE6461" w:rsidRPr="00BE6461" w:rsidRDefault="00BE6461" w:rsidP="00BE6461">
            <w:pPr>
              <w:jc w:val="right"/>
              <w:rPr>
                <w:sz w:val="20"/>
                <w:szCs w:val="20"/>
              </w:rPr>
            </w:pPr>
          </w:p>
        </w:tc>
      </w:tr>
      <w:tr w:rsidR="00BE6461" w:rsidRPr="00BE6461" w14:paraId="5CB87EE7" w14:textId="77777777" w:rsidTr="00BE6461">
        <w:trPr>
          <w:trHeight w:val="300"/>
        </w:trPr>
        <w:tc>
          <w:tcPr>
            <w:tcW w:w="1703" w:type="dxa"/>
            <w:tcBorders>
              <w:top w:val="nil"/>
              <w:left w:val="nil"/>
              <w:bottom w:val="nil"/>
              <w:right w:val="nil"/>
            </w:tcBorders>
            <w:shd w:val="clear" w:color="auto" w:fill="auto"/>
            <w:noWrap/>
            <w:vAlign w:val="bottom"/>
            <w:hideMark/>
          </w:tcPr>
          <w:p w14:paraId="406AAACC" w14:textId="77777777" w:rsidR="00BE6461" w:rsidRPr="00BE6461" w:rsidRDefault="00BE6461" w:rsidP="00BE6461">
            <w:pPr>
              <w:rPr>
                <w:sz w:val="20"/>
                <w:szCs w:val="20"/>
              </w:rPr>
            </w:pPr>
            <w:r w:rsidRPr="00BE6461">
              <w:rPr>
                <w:sz w:val="20"/>
                <w:szCs w:val="20"/>
              </w:rPr>
              <w:lastRenderedPageBreak/>
              <w:t>3233</w:t>
            </w:r>
          </w:p>
        </w:tc>
        <w:tc>
          <w:tcPr>
            <w:tcW w:w="8457" w:type="dxa"/>
            <w:tcBorders>
              <w:top w:val="nil"/>
              <w:left w:val="nil"/>
              <w:bottom w:val="nil"/>
              <w:right w:val="nil"/>
            </w:tcBorders>
            <w:shd w:val="clear" w:color="auto" w:fill="auto"/>
            <w:vAlign w:val="bottom"/>
            <w:hideMark/>
          </w:tcPr>
          <w:p w14:paraId="572731C5" w14:textId="77777777" w:rsidR="00BE6461" w:rsidRPr="00BE6461" w:rsidRDefault="00BE6461" w:rsidP="00BE6461">
            <w:pPr>
              <w:rPr>
                <w:sz w:val="20"/>
                <w:szCs w:val="20"/>
              </w:rPr>
            </w:pPr>
            <w:r w:rsidRPr="00BE6461">
              <w:rPr>
                <w:sz w:val="20"/>
                <w:szCs w:val="20"/>
              </w:rPr>
              <w:t xml:space="preserve">Usluge promidžbe i informiranja                                                                     </w:t>
            </w:r>
          </w:p>
        </w:tc>
        <w:tc>
          <w:tcPr>
            <w:tcW w:w="1503" w:type="dxa"/>
            <w:tcBorders>
              <w:top w:val="nil"/>
              <w:left w:val="nil"/>
              <w:bottom w:val="nil"/>
              <w:right w:val="nil"/>
            </w:tcBorders>
            <w:shd w:val="clear" w:color="auto" w:fill="auto"/>
            <w:noWrap/>
            <w:vAlign w:val="bottom"/>
            <w:hideMark/>
          </w:tcPr>
          <w:p w14:paraId="15AD2E5B"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FD82018" w14:textId="77777777" w:rsidR="00BE6461" w:rsidRPr="00BE6461" w:rsidRDefault="00BE6461" w:rsidP="00BE6461">
            <w:pPr>
              <w:jc w:val="right"/>
              <w:rPr>
                <w:sz w:val="20"/>
                <w:szCs w:val="20"/>
              </w:rPr>
            </w:pPr>
            <w:r w:rsidRPr="00BE6461">
              <w:rPr>
                <w:sz w:val="20"/>
                <w:szCs w:val="20"/>
              </w:rPr>
              <w:t>20.000,00</w:t>
            </w:r>
          </w:p>
        </w:tc>
        <w:tc>
          <w:tcPr>
            <w:tcW w:w="1100" w:type="dxa"/>
            <w:tcBorders>
              <w:top w:val="nil"/>
              <w:left w:val="nil"/>
              <w:bottom w:val="nil"/>
              <w:right w:val="nil"/>
            </w:tcBorders>
            <w:shd w:val="clear" w:color="auto" w:fill="auto"/>
            <w:noWrap/>
            <w:vAlign w:val="bottom"/>
            <w:hideMark/>
          </w:tcPr>
          <w:p w14:paraId="1153F3B1" w14:textId="77777777" w:rsidR="00BE6461" w:rsidRPr="00BE6461" w:rsidRDefault="00BE6461" w:rsidP="00BE6461">
            <w:pPr>
              <w:jc w:val="right"/>
              <w:rPr>
                <w:sz w:val="20"/>
                <w:szCs w:val="20"/>
              </w:rPr>
            </w:pPr>
          </w:p>
        </w:tc>
      </w:tr>
      <w:tr w:rsidR="00BE6461" w:rsidRPr="00BE6461" w14:paraId="18DB4790" w14:textId="77777777" w:rsidTr="00BE6461">
        <w:trPr>
          <w:trHeight w:val="300"/>
        </w:trPr>
        <w:tc>
          <w:tcPr>
            <w:tcW w:w="1703" w:type="dxa"/>
            <w:tcBorders>
              <w:top w:val="nil"/>
              <w:left w:val="nil"/>
              <w:bottom w:val="nil"/>
              <w:right w:val="nil"/>
            </w:tcBorders>
            <w:shd w:val="clear" w:color="auto" w:fill="auto"/>
            <w:noWrap/>
            <w:vAlign w:val="bottom"/>
            <w:hideMark/>
          </w:tcPr>
          <w:p w14:paraId="2CE94733" w14:textId="77777777" w:rsidR="00BE6461" w:rsidRPr="00BE6461" w:rsidRDefault="00BE6461" w:rsidP="00BE6461">
            <w:pPr>
              <w:rPr>
                <w:sz w:val="20"/>
                <w:szCs w:val="20"/>
              </w:rPr>
            </w:pPr>
            <w:r w:rsidRPr="00BE6461">
              <w:rPr>
                <w:sz w:val="20"/>
                <w:szCs w:val="20"/>
              </w:rPr>
              <w:t>3234</w:t>
            </w:r>
          </w:p>
        </w:tc>
        <w:tc>
          <w:tcPr>
            <w:tcW w:w="8457" w:type="dxa"/>
            <w:tcBorders>
              <w:top w:val="nil"/>
              <w:left w:val="nil"/>
              <w:bottom w:val="nil"/>
              <w:right w:val="nil"/>
            </w:tcBorders>
            <w:shd w:val="clear" w:color="auto" w:fill="auto"/>
            <w:vAlign w:val="bottom"/>
            <w:hideMark/>
          </w:tcPr>
          <w:p w14:paraId="0C5D3CDB" w14:textId="77777777" w:rsidR="00BE6461" w:rsidRPr="00BE6461" w:rsidRDefault="00BE6461" w:rsidP="00BE6461">
            <w:pPr>
              <w:rPr>
                <w:sz w:val="20"/>
                <w:szCs w:val="20"/>
              </w:rPr>
            </w:pPr>
            <w:r w:rsidRPr="00BE6461">
              <w:rPr>
                <w:sz w:val="20"/>
                <w:szCs w:val="20"/>
              </w:rPr>
              <w:t xml:space="preserve">Komunalne usluge                                                                                    </w:t>
            </w:r>
          </w:p>
        </w:tc>
        <w:tc>
          <w:tcPr>
            <w:tcW w:w="1503" w:type="dxa"/>
            <w:tcBorders>
              <w:top w:val="nil"/>
              <w:left w:val="nil"/>
              <w:bottom w:val="nil"/>
              <w:right w:val="nil"/>
            </w:tcBorders>
            <w:shd w:val="clear" w:color="auto" w:fill="auto"/>
            <w:noWrap/>
            <w:vAlign w:val="bottom"/>
            <w:hideMark/>
          </w:tcPr>
          <w:p w14:paraId="6FF4626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D7079F1" w14:textId="77777777" w:rsidR="00BE6461" w:rsidRPr="00BE6461" w:rsidRDefault="00BE6461" w:rsidP="00BE6461">
            <w:pPr>
              <w:jc w:val="right"/>
              <w:rPr>
                <w:sz w:val="20"/>
                <w:szCs w:val="20"/>
              </w:rPr>
            </w:pPr>
            <w:r w:rsidRPr="00BE6461">
              <w:rPr>
                <w:sz w:val="20"/>
                <w:szCs w:val="20"/>
              </w:rPr>
              <w:t>9.909,51</w:t>
            </w:r>
          </w:p>
        </w:tc>
        <w:tc>
          <w:tcPr>
            <w:tcW w:w="1100" w:type="dxa"/>
            <w:tcBorders>
              <w:top w:val="nil"/>
              <w:left w:val="nil"/>
              <w:bottom w:val="nil"/>
              <w:right w:val="nil"/>
            </w:tcBorders>
            <w:shd w:val="clear" w:color="auto" w:fill="auto"/>
            <w:noWrap/>
            <w:vAlign w:val="bottom"/>
            <w:hideMark/>
          </w:tcPr>
          <w:p w14:paraId="2F02C8BA" w14:textId="77777777" w:rsidR="00BE6461" w:rsidRPr="00BE6461" w:rsidRDefault="00BE6461" w:rsidP="00BE6461">
            <w:pPr>
              <w:jc w:val="right"/>
              <w:rPr>
                <w:sz w:val="20"/>
                <w:szCs w:val="20"/>
              </w:rPr>
            </w:pPr>
          </w:p>
        </w:tc>
      </w:tr>
      <w:tr w:rsidR="00BE6461" w:rsidRPr="00BE6461" w14:paraId="2F44300D" w14:textId="77777777" w:rsidTr="00BE6461">
        <w:trPr>
          <w:trHeight w:val="300"/>
        </w:trPr>
        <w:tc>
          <w:tcPr>
            <w:tcW w:w="1703" w:type="dxa"/>
            <w:tcBorders>
              <w:top w:val="nil"/>
              <w:left w:val="nil"/>
              <w:bottom w:val="nil"/>
              <w:right w:val="nil"/>
            </w:tcBorders>
            <w:shd w:val="clear" w:color="auto" w:fill="auto"/>
            <w:noWrap/>
            <w:vAlign w:val="bottom"/>
            <w:hideMark/>
          </w:tcPr>
          <w:p w14:paraId="2F55176F" w14:textId="77777777" w:rsidR="00BE6461" w:rsidRPr="00BE6461" w:rsidRDefault="00BE6461" w:rsidP="00BE6461">
            <w:pPr>
              <w:rPr>
                <w:sz w:val="20"/>
                <w:szCs w:val="20"/>
              </w:rPr>
            </w:pPr>
            <w:r w:rsidRPr="00BE6461">
              <w:rPr>
                <w:sz w:val="20"/>
                <w:szCs w:val="20"/>
              </w:rPr>
              <w:t>3235</w:t>
            </w:r>
          </w:p>
        </w:tc>
        <w:tc>
          <w:tcPr>
            <w:tcW w:w="8457" w:type="dxa"/>
            <w:tcBorders>
              <w:top w:val="nil"/>
              <w:left w:val="nil"/>
              <w:bottom w:val="nil"/>
              <w:right w:val="nil"/>
            </w:tcBorders>
            <w:shd w:val="clear" w:color="auto" w:fill="auto"/>
            <w:vAlign w:val="bottom"/>
            <w:hideMark/>
          </w:tcPr>
          <w:p w14:paraId="6E70D909" w14:textId="77777777" w:rsidR="00BE6461" w:rsidRPr="00BE6461" w:rsidRDefault="00BE6461" w:rsidP="00BE6461">
            <w:pPr>
              <w:rPr>
                <w:sz w:val="20"/>
                <w:szCs w:val="20"/>
              </w:rPr>
            </w:pPr>
            <w:r w:rsidRPr="00BE6461">
              <w:rPr>
                <w:sz w:val="20"/>
                <w:szCs w:val="20"/>
              </w:rPr>
              <w:t xml:space="preserve">Zakupnine i najamnine                                                                               </w:t>
            </w:r>
          </w:p>
        </w:tc>
        <w:tc>
          <w:tcPr>
            <w:tcW w:w="1503" w:type="dxa"/>
            <w:tcBorders>
              <w:top w:val="nil"/>
              <w:left w:val="nil"/>
              <w:bottom w:val="nil"/>
              <w:right w:val="nil"/>
            </w:tcBorders>
            <w:shd w:val="clear" w:color="auto" w:fill="auto"/>
            <w:noWrap/>
            <w:vAlign w:val="bottom"/>
            <w:hideMark/>
          </w:tcPr>
          <w:p w14:paraId="7A4314B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A7DD630" w14:textId="77777777" w:rsidR="00BE6461" w:rsidRPr="00BE6461" w:rsidRDefault="00BE6461" w:rsidP="00BE6461">
            <w:pPr>
              <w:jc w:val="right"/>
              <w:rPr>
                <w:sz w:val="20"/>
                <w:szCs w:val="20"/>
              </w:rPr>
            </w:pPr>
            <w:r w:rsidRPr="00BE6461">
              <w:rPr>
                <w:sz w:val="20"/>
                <w:szCs w:val="20"/>
              </w:rPr>
              <w:t>5.703,05</w:t>
            </w:r>
          </w:p>
        </w:tc>
        <w:tc>
          <w:tcPr>
            <w:tcW w:w="1100" w:type="dxa"/>
            <w:tcBorders>
              <w:top w:val="nil"/>
              <w:left w:val="nil"/>
              <w:bottom w:val="nil"/>
              <w:right w:val="nil"/>
            </w:tcBorders>
            <w:shd w:val="clear" w:color="auto" w:fill="auto"/>
            <w:noWrap/>
            <w:vAlign w:val="bottom"/>
            <w:hideMark/>
          </w:tcPr>
          <w:p w14:paraId="488EF46F" w14:textId="77777777" w:rsidR="00BE6461" w:rsidRPr="00BE6461" w:rsidRDefault="00BE6461" w:rsidP="00BE6461">
            <w:pPr>
              <w:jc w:val="right"/>
              <w:rPr>
                <w:sz w:val="20"/>
                <w:szCs w:val="20"/>
              </w:rPr>
            </w:pPr>
          </w:p>
        </w:tc>
      </w:tr>
      <w:tr w:rsidR="00BE6461" w:rsidRPr="00BE6461" w14:paraId="3E9D6D18" w14:textId="77777777" w:rsidTr="00BE6461">
        <w:trPr>
          <w:trHeight w:val="300"/>
        </w:trPr>
        <w:tc>
          <w:tcPr>
            <w:tcW w:w="1703" w:type="dxa"/>
            <w:tcBorders>
              <w:top w:val="nil"/>
              <w:left w:val="nil"/>
              <w:bottom w:val="nil"/>
              <w:right w:val="nil"/>
            </w:tcBorders>
            <w:shd w:val="clear" w:color="auto" w:fill="auto"/>
            <w:noWrap/>
            <w:vAlign w:val="bottom"/>
            <w:hideMark/>
          </w:tcPr>
          <w:p w14:paraId="65F42183" w14:textId="77777777" w:rsidR="00BE6461" w:rsidRPr="00BE6461" w:rsidRDefault="00BE6461" w:rsidP="00BE6461">
            <w:pPr>
              <w:rPr>
                <w:sz w:val="20"/>
                <w:szCs w:val="20"/>
              </w:rPr>
            </w:pPr>
            <w:r w:rsidRPr="00BE6461">
              <w:rPr>
                <w:sz w:val="20"/>
                <w:szCs w:val="20"/>
              </w:rPr>
              <w:t>3236</w:t>
            </w:r>
          </w:p>
        </w:tc>
        <w:tc>
          <w:tcPr>
            <w:tcW w:w="8457" w:type="dxa"/>
            <w:tcBorders>
              <w:top w:val="nil"/>
              <w:left w:val="nil"/>
              <w:bottom w:val="nil"/>
              <w:right w:val="nil"/>
            </w:tcBorders>
            <w:shd w:val="clear" w:color="auto" w:fill="auto"/>
            <w:vAlign w:val="bottom"/>
            <w:hideMark/>
          </w:tcPr>
          <w:p w14:paraId="61B680AB" w14:textId="77777777" w:rsidR="00BE6461" w:rsidRPr="00BE6461" w:rsidRDefault="00BE6461" w:rsidP="00BE6461">
            <w:pPr>
              <w:rPr>
                <w:sz w:val="20"/>
                <w:szCs w:val="20"/>
              </w:rPr>
            </w:pPr>
            <w:r w:rsidRPr="00BE6461">
              <w:rPr>
                <w:sz w:val="20"/>
                <w:szCs w:val="20"/>
              </w:rPr>
              <w:t xml:space="preserve">Zdravstvene i veterinarske usluge                                                                   </w:t>
            </w:r>
          </w:p>
        </w:tc>
        <w:tc>
          <w:tcPr>
            <w:tcW w:w="1503" w:type="dxa"/>
            <w:tcBorders>
              <w:top w:val="nil"/>
              <w:left w:val="nil"/>
              <w:bottom w:val="nil"/>
              <w:right w:val="nil"/>
            </w:tcBorders>
            <w:shd w:val="clear" w:color="auto" w:fill="auto"/>
            <w:noWrap/>
            <w:vAlign w:val="bottom"/>
            <w:hideMark/>
          </w:tcPr>
          <w:p w14:paraId="3173176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755D137" w14:textId="77777777" w:rsidR="00BE6461" w:rsidRPr="00BE6461" w:rsidRDefault="00BE6461" w:rsidP="00BE6461">
            <w:pPr>
              <w:jc w:val="right"/>
              <w:rPr>
                <w:sz w:val="20"/>
                <w:szCs w:val="20"/>
              </w:rPr>
            </w:pPr>
            <w:r w:rsidRPr="00BE6461">
              <w:rPr>
                <w:sz w:val="20"/>
                <w:szCs w:val="20"/>
              </w:rPr>
              <w:t>8.370,00</w:t>
            </w:r>
          </w:p>
        </w:tc>
        <w:tc>
          <w:tcPr>
            <w:tcW w:w="1100" w:type="dxa"/>
            <w:tcBorders>
              <w:top w:val="nil"/>
              <w:left w:val="nil"/>
              <w:bottom w:val="nil"/>
              <w:right w:val="nil"/>
            </w:tcBorders>
            <w:shd w:val="clear" w:color="auto" w:fill="auto"/>
            <w:noWrap/>
            <w:vAlign w:val="bottom"/>
            <w:hideMark/>
          </w:tcPr>
          <w:p w14:paraId="2247FC0E" w14:textId="77777777" w:rsidR="00BE6461" w:rsidRPr="00BE6461" w:rsidRDefault="00BE6461" w:rsidP="00BE6461">
            <w:pPr>
              <w:jc w:val="right"/>
              <w:rPr>
                <w:sz w:val="20"/>
                <w:szCs w:val="20"/>
              </w:rPr>
            </w:pPr>
          </w:p>
        </w:tc>
      </w:tr>
      <w:tr w:rsidR="00BE6461" w:rsidRPr="00BE6461" w14:paraId="202B58A2" w14:textId="77777777" w:rsidTr="00BE6461">
        <w:trPr>
          <w:trHeight w:val="300"/>
        </w:trPr>
        <w:tc>
          <w:tcPr>
            <w:tcW w:w="1703" w:type="dxa"/>
            <w:tcBorders>
              <w:top w:val="nil"/>
              <w:left w:val="nil"/>
              <w:bottom w:val="nil"/>
              <w:right w:val="nil"/>
            </w:tcBorders>
            <w:shd w:val="clear" w:color="auto" w:fill="auto"/>
            <w:noWrap/>
            <w:vAlign w:val="bottom"/>
            <w:hideMark/>
          </w:tcPr>
          <w:p w14:paraId="386EFA8D"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148EBBFB"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42CE4DF9"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F920F5D"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21644EAF" w14:textId="77777777" w:rsidR="00BE6461" w:rsidRPr="00BE6461" w:rsidRDefault="00BE6461" w:rsidP="00BE6461">
            <w:pPr>
              <w:jc w:val="right"/>
              <w:rPr>
                <w:sz w:val="20"/>
                <w:szCs w:val="20"/>
              </w:rPr>
            </w:pPr>
          </w:p>
        </w:tc>
      </w:tr>
      <w:tr w:rsidR="00BE6461" w:rsidRPr="00BE6461" w14:paraId="1FA05100" w14:textId="77777777" w:rsidTr="00BE6461">
        <w:trPr>
          <w:trHeight w:val="300"/>
        </w:trPr>
        <w:tc>
          <w:tcPr>
            <w:tcW w:w="1703" w:type="dxa"/>
            <w:tcBorders>
              <w:top w:val="nil"/>
              <w:left w:val="nil"/>
              <w:bottom w:val="nil"/>
              <w:right w:val="nil"/>
            </w:tcBorders>
            <w:shd w:val="clear" w:color="auto" w:fill="auto"/>
            <w:noWrap/>
            <w:vAlign w:val="bottom"/>
            <w:hideMark/>
          </w:tcPr>
          <w:p w14:paraId="39F3F626" w14:textId="77777777" w:rsidR="00BE6461" w:rsidRPr="00BE6461" w:rsidRDefault="00BE6461" w:rsidP="00BE6461">
            <w:pPr>
              <w:rPr>
                <w:sz w:val="20"/>
                <w:szCs w:val="20"/>
              </w:rPr>
            </w:pPr>
            <w:r w:rsidRPr="00BE6461">
              <w:rPr>
                <w:sz w:val="20"/>
                <w:szCs w:val="20"/>
              </w:rPr>
              <w:t>3238</w:t>
            </w:r>
          </w:p>
        </w:tc>
        <w:tc>
          <w:tcPr>
            <w:tcW w:w="8457" w:type="dxa"/>
            <w:tcBorders>
              <w:top w:val="nil"/>
              <w:left w:val="nil"/>
              <w:bottom w:val="nil"/>
              <w:right w:val="nil"/>
            </w:tcBorders>
            <w:shd w:val="clear" w:color="auto" w:fill="auto"/>
            <w:vAlign w:val="bottom"/>
            <w:hideMark/>
          </w:tcPr>
          <w:p w14:paraId="5F36EB97" w14:textId="77777777" w:rsidR="00BE6461" w:rsidRPr="00BE6461" w:rsidRDefault="00BE6461" w:rsidP="00BE6461">
            <w:pPr>
              <w:rPr>
                <w:sz w:val="20"/>
                <w:szCs w:val="20"/>
              </w:rPr>
            </w:pPr>
            <w:r w:rsidRPr="00BE6461">
              <w:rPr>
                <w:sz w:val="20"/>
                <w:szCs w:val="20"/>
              </w:rPr>
              <w:t xml:space="preserve">Računalne usluge                                                                                    </w:t>
            </w:r>
          </w:p>
        </w:tc>
        <w:tc>
          <w:tcPr>
            <w:tcW w:w="1503" w:type="dxa"/>
            <w:tcBorders>
              <w:top w:val="nil"/>
              <w:left w:val="nil"/>
              <w:bottom w:val="nil"/>
              <w:right w:val="nil"/>
            </w:tcBorders>
            <w:shd w:val="clear" w:color="auto" w:fill="auto"/>
            <w:noWrap/>
            <w:vAlign w:val="bottom"/>
            <w:hideMark/>
          </w:tcPr>
          <w:p w14:paraId="58F8ED40"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0B29195" w14:textId="77777777" w:rsidR="00BE6461" w:rsidRPr="00BE6461" w:rsidRDefault="00BE6461" w:rsidP="00BE6461">
            <w:pPr>
              <w:jc w:val="right"/>
              <w:rPr>
                <w:sz w:val="20"/>
                <w:szCs w:val="20"/>
              </w:rPr>
            </w:pPr>
            <w:r w:rsidRPr="00BE6461">
              <w:rPr>
                <w:sz w:val="20"/>
                <w:szCs w:val="20"/>
              </w:rPr>
              <w:t>19.510,00</w:t>
            </w:r>
          </w:p>
        </w:tc>
        <w:tc>
          <w:tcPr>
            <w:tcW w:w="1100" w:type="dxa"/>
            <w:tcBorders>
              <w:top w:val="nil"/>
              <w:left w:val="nil"/>
              <w:bottom w:val="nil"/>
              <w:right w:val="nil"/>
            </w:tcBorders>
            <w:shd w:val="clear" w:color="auto" w:fill="auto"/>
            <w:noWrap/>
            <w:vAlign w:val="bottom"/>
            <w:hideMark/>
          </w:tcPr>
          <w:p w14:paraId="3D87D918" w14:textId="77777777" w:rsidR="00BE6461" w:rsidRPr="00BE6461" w:rsidRDefault="00BE6461" w:rsidP="00BE6461">
            <w:pPr>
              <w:jc w:val="right"/>
              <w:rPr>
                <w:sz w:val="20"/>
                <w:szCs w:val="20"/>
              </w:rPr>
            </w:pPr>
          </w:p>
        </w:tc>
      </w:tr>
      <w:tr w:rsidR="00BE6461" w:rsidRPr="00BE6461" w14:paraId="0EAF7C54" w14:textId="77777777" w:rsidTr="00BE6461">
        <w:trPr>
          <w:trHeight w:val="300"/>
        </w:trPr>
        <w:tc>
          <w:tcPr>
            <w:tcW w:w="1703" w:type="dxa"/>
            <w:tcBorders>
              <w:top w:val="nil"/>
              <w:left w:val="nil"/>
              <w:bottom w:val="nil"/>
              <w:right w:val="nil"/>
            </w:tcBorders>
            <w:shd w:val="clear" w:color="auto" w:fill="auto"/>
            <w:noWrap/>
            <w:vAlign w:val="bottom"/>
            <w:hideMark/>
          </w:tcPr>
          <w:p w14:paraId="64503A53"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74DA6D5F"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7AA2D2F0" w14:textId="77777777" w:rsidR="00BE6461" w:rsidRPr="00BE6461" w:rsidRDefault="00BE6461" w:rsidP="00BE6461">
            <w:pPr>
              <w:jc w:val="right"/>
              <w:rPr>
                <w:b/>
                <w:bCs/>
                <w:sz w:val="20"/>
                <w:szCs w:val="20"/>
              </w:rPr>
            </w:pPr>
            <w:r w:rsidRPr="00BE6461">
              <w:rPr>
                <w:b/>
                <w:bCs/>
                <w:sz w:val="20"/>
                <w:szCs w:val="20"/>
              </w:rPr>
              <w:t>7.084,77</w:t>
            </w:r>
          </w:p>
        </w:tc>
        <w:tc>
          <w:tcPr>
            <w:tcW w:w="1500" w:type="dxa"/>
            <w:tcBorders>
              <w:top w:val="nil"/>
              <w:left w:val="nil"/>
              <w:bottom w:val="nil"/>
              <w:right w:val="nil"/>
            </w:tcBorders>
            <w:shd w:val="clear" w:color="auto" w:fill="auto"/>
            <w:noWrap/>
            <w:vAlign w:val="bottom"/>
            <w:hideMark/>
          </w:tcPr>
          <w:p w14:paraId="53834416" w14:textId="77777777" w:rsidR="00BE6461" w:rsidRPr="00BE6461" w:rsidRDefault="00BE6461" w:rsidP="00BE6461">
            <w:pPr>
              <w:jc w:val="right"/>
              <w:rPr>
                <w:b/>
                <w:bCs/>
                <w:sz w:val="20"/>
                <w:szCs w:val="20"/>
              </w:rPr>
            </w:pPr>
            <w:r w:rsidRPr="00BE6461">
              <w:rPr>
                <w:b/>
                <w:bCs/>
                <w:sz w:val="20"/>
                <w:szCs w:val="20"/>
              </w:rPr>
              <w:t>6.460,88</w:t>
            </w:r>
          </w:p>
        </w:tc>
        <w:tc>
          <w:tcPr>
            <w:tcW w:w="1100" w:type="dxa"/>
            <w:tcBorders>
              <w:top w:val="nil"/>
              <w:left w:val="nil"/>
              <w:bottom w:val="nil"/>
              <w:right w:val="nil"/>
            </w:tcBorders>
            <w:shd w:val="clear" w:color="auto" w:fill="auto"/>
            <w:noWrap/>
            <w:vAlign w:val="bottom"/>
            <w:hideMark/>
          </w:tcPr>
          <w:p w14:paraId="6DD7E66B" w14:textId="77777777" w:rsidR="00BE6461" w:rsidRPr="00BE6461" w:rsidRDefault="00BE6461" w:rsidP="00BE6461">
            <w:pPr>
              <w:jc w:val="right"/>
              <w:rPr>
                <w:b/>
                <w:bCs/>
                <w:sz w:val="20"/>
                <w:szCs w:val="20"/>
              </w:rPr>
            </w:pPr>
            <w:r w:rsidRPr="00BE6461">
              <w:rPr>
                <w:b/>
                <w:bCs/>
                <w:sz w:val="20"/>
                <w:szCs w:val="20"/>
              </w:rPr>
              <w:t>91,19</w:t>
            </w:r>
          </w:p>
        </w:tc>
      </w:tr>
      <w:tr w:rsidR="00BE6461" w:rsidRPr="00BE6461" w14:paraId="5A1227EB" w14:textId="77777777" w:rsidTr="00BE6461">
        <w:trPr>
          <w:trHeight w:val="300"/>
        </w:trPr>
        <w:tc>
          <w:tcPr>
            <w:tcW w:w="1703" w:type="dxa"/>
            <w:tcBorders>
              <w:top w:val="nil"/>
              <w:left w:val="nil"/>
              <w:bottom w:val="nil"/>
              <w:right w:val="nil"/>
            </w:tcBorders>
            <w:shd w:val="clear" w:color="auto" w:fill="auto"/>
            <w:noWrap/>
            <w:vAlign w:val="bottom"/>
            <w:hideMark/>
          </w:tcPr>
          <w:p w14:paraId="7D4153E4" w14:textId="77777777" w:rsidR="00BE6461" w:rsidRPr="00BE6461" w:rsidRDefault="00BE6461" w:rsidP="00BE6461">
            <w:pPr>
              <w:rPr>
                <w:sz w:val="20"/>
                <w:szCs w:val="20"/>
              </w:rPr>
            </w:pPr>
            <w:r w:rsidRPr="00BE6461">
              <w:rPr>
                <w:sz w:val="20"/>
                <w:szCs w:val="20"/>
              </w:rPr>
              <w:t>3292</w:t>
            </w:r>
          </w:p>
        </w:tc>
        <w:tc>
          <w:tcPr>
            <w:tcW w:w="8457" w:type="dxa"/>
            <w:tcBorders>
              <w:top w:val="nil"/>
              <w:left w:val="nil"/>
              <w:bottom w:val="nil"/>
              <w:right w:val="nil"/>
            </w:tcBorders>
            <w:shd w:val="clear" w:color="auto" w:fill="auto"/>
            <w:vAlign w:val="bottom"/>
            <w:hideMark/>
          </w:tcPr>
          <w:p w14:paraId="4E3C4691" w14:textId="77777777" w:rsidR="00BE6461" w:rsidRPr="00BE6461" w:rsidRDefault="00BE6461" w:rsidP="00BE6461">
            <w:pPr>
              <w:rPr>
                <w:sz w:val="20"/>
                <w:szCs w:val="20"/>
              </w:rPr>
            </w:pPr>
            <w:r w:rsidRPr="00BE6461">
              <w:rPr>
                <w:sz w:val="20"/>
                <w:szCs w:val="20"/>
              </w:rPr>
              <w:t xml:space="preserve">Premije osiguranja                                                                                  </w:t>
            </w:r>
          </w:p>
        </w:tc>
        <w:tc>
          <w:tcPr>
            <w:tcW w:w="1503" w:type="dxa"/>
            <w:tcBorders>
              <w:top w:val="nil"/>
              <w:left w:val="nil"/>
              <w:bottom w:val="nil"/>
              <w:right w:val="nil"/>
            </w:tcBorders>
            <w:shd w:val="clear" w:color="auto" w:fill="auto"/>
            <w:noWrap/>
            <w:vAlign w:val="bottom"/>
            <w:hideMark/>
          </w:tcPr>
          <w:p w14:paraId="796C028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FA953A0" w14:textId="77777777" w:rsidR="00BE6461" w:rsidRPr="00BE6461" w:rsidRDefault="00BE6461" w:rsidP="00BE6461">
            <w:pPr>
              <w:jc w:val="right"/>
              <w:rPr>
                <w:sz w:val="20"/>
                <w:szCs w:val="20"/>
              </w:rPr>
            </w:pPr>
            <w:r w:rsidRPr="00BE6461">
              <w:rPr>
                <w:sz w:val="20"/>
                <w:szCs w:val="20"/>
              </w:rPr>
              <w:t>4.525,88</w:t>
            </w:r>
          </w:p>
        </w:tc>
        <w:tc>
          <w:tcPr>
            <w:tcW w:w="1100" w:type="dxa"/>
            <w:tcBorders>
              <w:top w:val="nil"/>
              <w:left w:val="nil"/>
              <w:bottom w:val="nil"/>
              <w:right w:val="nil"/>
            </w:tcBorders>
            <w:shd w:val="clear" w:color="auto" w:fill="auto"/>
            <w:noWrap/>
            <w:vAlign w:val="bottom"/>
            <w:hideMark/>
          </w:tcPr>
          <w:p w14:paraId="5DF9FAAA" w14:textId="77777777" w:rsidR="00BE6461" w:rsidRPr="00BE6461" w:rsidRDefault="00BE6461" w:rsidP="00BE6461">
            <w:pPr>
              <w:jc w:val="right"/>
              <w:rPr>
                <w:sz w:val="20"/>
                <w:szCs w:val="20"/>
              </w:rPr>
            </w:pPr>
          </w:p>
        </w:tc>
      </w:tr>
      <w:tr w:rsidR="00BE6461" w:rsidRPr="00BE6461" w14:paraId="122548FA" w14:textId="77777777" w:rsidTr="00BE6461">
        <w:trPr>
          <w:trHeight w:val="300"/>
        </w:trPr>
        <w:tc>
          <w:tcPr>
            <w:tcW w:w="1703" w:type="dxa"/>
            <w:tcBorders>
              <w:top w:val="nil"/>
              <w:left w:val="nil"/>
              <w:bottom w:val="nil"/>
              <w:right w:val="nil"/>
            </w:tcBorders>
            <w:shd w:val="clear" w:color="auto" w:fill="auto"/>
            <w:noWrap/>
            <w:vAlign w:val="bottom"/>
            <w:hideMark/>
          </w:tcPr>
          <w:p w14:paraId="05924C40" w14:textId="77777777" w:rsidR="00BE6461" w:rsidRPr="00BE6461" w:rsidRDefault="00BE6461" w:rsidP="00BE6461">
            <w:pPr>
              <w:rPr>
                <w:sz w:val="20"/>
                <w:szCs w:val="20"/>
              </w:rPr>
            </w:pPr>
            <w:r w:rsidRPr="00BE6461">
              <w:rPr>
                <w:sz w:val="20"/>
                <w:szCs w:val="20"/>
              </w:rPr>
              <w:t>3295</w:t>
            </w:r>
          </w:p>
        </w:tc>
        <w:tc>
          <w:tcPr>
            <w:tcW w:w="8457" w:type="dxa"/>
            <w:tcBorders>
              <w:top w:val="nil"/>
              <w:left w:val="nil"/>
              <w:bottom w:val="nil"/>
              <w:right w:val="nil"/>
            </w:tcBorders>
            <w:shd w:val="clear" w:color="auto" w:fill="auto"/>
            <w:vAlign w:val="bottom"/>
            <w:hideMark/>
          </w:tcPr>
          <w:p w14:paraId="5883D99D" w14:textId="77777777" w:rsidR="00BE6461" w:rsidRPr="00BE6461" w:rsidRDefault="00BE6461" w:rsidP="00BE6461">
            <w:pPr>
              <w:rPr>
                <w:sz w:val="20"/>
                <w:szCs w:val="20"/>
              </w:rPr>
            </w:pPr>
            <w:r w:rsidRPr="00BE6461">
              <w:rPr>
                <w:sz w:val="20"/>
                <w:szCs w:val="20"/>
              </w:rPr>
              <w:t xml:space="preserve">Pristojbe i naknade                                                                                 </w:t>
            </w:r>
          </w:p>
        </w:tc>
        <w:tc>
          <w:tcPr>
            <w:tcW w:w="1503" w:type="dxa"/>
            <w:tcBorders>
              <w:top w:val="nil"/>
              <w:left w:val="nil"/>
              <w:bottom w:val="nil"/>
              <w:right w:val="nil"/>
            </w:tcBorders>
            <w:shd w:val="clear" w:color="auto" w:fill="auto"/>
            <w:noWrap/>
            <w:vAlign w:val="bottom"/>
            <w:hideMark/>
          </w:tcPr>
          <w:p w14:paraId="554035E0"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B5FA40D" w14:textId="77777777" w:rsidR="00BE6461" w:rsidRPr="00BE6461" w:rsidRDefault="00BE6461" w:rsidP="00BE6461">
            <w:pPr>
              <w:jc w:val="right"/>
              <w:rPr>
                <w:sz w:val="20"/>
                <w:szCs w:val="20"/>
              </w:rPr>
            </w:pPr>
            <w:r w:rsidRPr="00BE6461">
              <w:rPr>
                <w:sz w:val="20"/>
                <w:szCs w:val="20"/>
              </w:rPr>
              <w:t>960,00</w:t>
            </w:r>
          </w:p>
        </w:tc>
        <w:tc>
          <w:tcPr>
            <w:tcW w:w="1100" w:type="dxa"/>
            <w:tcBorders>
              <w:top w:val="nil"/>
              <w:left w:val="nil"/>
              <w:bottom w:val="nil"/>
              <w:right w:val="nil"/>
            </w:tcBorders>
            <w:shd w:val="clear" w:color="auto" w:fill="auto"/>
            <w:noWrap/>
            <w:vAlign w:val="bottom"/>
            <w:hideMark/>
          </w:tcPr>
          <w:p w14:paraId="3F2539C0" w14:textId="77777777" w:rsidR="00BE6461" w:rsidRPr="00BE6461" w:rsidRDefault="00BE6461" w:rsidP="00BE6461">
            <w:pPr>
              <w:jc w:val="right"/>
              <w:rPr>
                <w:sz w:val="20"/>
                <w:szCs w:val="20"/>
              </w:rPr>
            </w:pPr>
          </w:p>
        </w:tc>
      </w:tr>
      <w:tr w:rsidR="00BE6461" w:rsidRPr="00BE6461" w14:paraId="755C0CF0" w14:textId="77777777" w:rsidTr="00BE6461">
        <w:trPr>
          <w:trHeight w:val="300"/>
        </w:trPr>
        <w:tc>
          <w:tcPr>
            <w:tcW w:w="1703" w:type="dxa"/>
            <w:tcBorders>
              <w:top w:val="nil"/>
              <w:left w:val="nil"/>
              <w:bottom w:val="nil"/>
              <w:right w:val="nil"/>
            </w:tcBorders>
            <w:shd w:val="clear" w:color="auto" w:fill="auto"/>
            <w:noWrap/>
            <w:vAlign w:val="bottom"/>
            <w:hideMark/>
          </w:tcPr>
          <w:p w14:paraId="3B6D6A93" w14:textId="77777777" w:rsidR="00BE6461" w:rsidRPr="00BE6461" w:rsidRDefault="00BE6461" w:rsidP="00BE6461">
            <w:pPr>
              <w:rPr>
                <w:sz w:val="20"/>
                <w:szCs w:val="20"/>
              </w:rPr>
            </w:pPr>
            <w:r w:rsidRPr="00BE6461">
              <w:rPr>
                <w:sz w:val="20"/>
                <w:szCs w:val="20"/>
              </w:rPr>
              <w:t>3299</w:t>
            </w:r>
          </w:p>
        </w:tc>
        <w:tc>
          <w:tcPr>
            <w:tcW w:w="8457" w:type="dxa"/>
            <w:tcBorders>
              <w:top w:val="nil"/>
              <w:left w:val="nil"/>
              <w:bottom w:val="nil"/>
              <w:right w:val="nil"/>
            </w:tcBorders>
            <w:shd w:val="clear" w:color="auto" w:fill="auto"/>
            <w:vAlign w:val="bottom"/>
            <w:hideMark/>
          </w:tcPr>
          <w:p w14:paraId="6F9E5561" w14:textId="77777777" w:rsidR="00BE6461" w:rsidRPr="00BE6461" w:rsidRDefault="00BE6461" w:rsidP="00BE6461">
            <w:pPr>
              <w:rPr>
                <w:sz w:val="20"/>
                <w:szCs w:val="20"/>
              </w:rPr>
            </w:pPr>
            <w:r w:rsidRPr="00BE6461">
              <w:rPr>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283E4B1F"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8D4B8DA" w14:textId="77777777" w:rsidR="00BE6461" w:rsidRPr="00BE6461" w:rsidRDefault="00BE6461" w:rsidP="00BE6461">
            <w:pPr>
              <w:jc w:val="right"/>
              <w:rPr>
                <w:sz w:val="20"/>
                <w:szCs w:val="20"/>
              </w:rPr>
            </w:pPr>
            <w:r w:rsidRPr="00BE6461">
              <w:rPr>
                <w:sz w:val="20"/>
                <w:szCs w:val="20"/>
              </w:rPr>
              <w:t>975,00</w:t>
            </w:r>
          </w:p>
        </w:tc>
        <w:tc>
          <w:tcPr>
            <w:tcW w:w="1100" w:type="dxa"/>
            <w:tcBorders>
              <w:top w:val="nil"/>
              <w:left w:val="nil"/>
              <w:bottom w:val="nil"/>
              <w:right w:val="nil"/>
            </w:tcBorders>
            <w:shd w:val="clear" w:color="auto" w:fill="auto"/>
            <w:noWrap/>
            <w:vAlign w:val="bottom"/>
            <w:hideMark/>
          </w:tcPr>
          <w:p w14:paraId="13C4862C" w14:textId="77777777" w:rsidR="00BE6461" w:rsidRPr="00BE6461" w:rsidRDefault="00BE6461" w:rsidP="00BE6461">
            <w:pPr>
              <w:jc w:val="right"/>
              <w:rPr>
                <w:sz w:val="20"/>
                <w:szCs w:val="20"/>
              </w:rPr>
            </w:pPr>
          </w:p>
        </w:tc>
      </w:tr>
      <w:tr w:rsidR="00BE6461" w:rsidRPr="00BE6461" w14:paraId="215D236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76953EA" w14:textId="77777777" w:rsidR="00BE6461" w:rsidRPr="00BE6461" w:rsidRDefault="00BE6461" w:rsidP="00BE6461">
            <w:pPr>
              <w:rPr>
                <w:b/>
                <w:bCs/>
                <w:color w:val="333333"/>
                <w:sz w:val="20"/>
                <w:szCs w:val="20"/>
              </w:rPr>
            </w:pPr>
            <w:r w:rsidRPr="00BE6461">
              <w:rPr>
                <w:b/>
                <w:bCs/>
                <w:color w:val="333333"/>
                <w:sz w:val="20"/>
                <w:szCs w:val="20"/>
              </w:rPr>
              <w:t>Izvor 3. VLASTITI PRIHODI</w:t>
            </w:r>
          </w:p>
        </w:tc>
        <w:tc>
          <w:tcPr>
            <w:tcW w:w="1503" w:type="dxa"/>
            <w:tcBorders>
              <w:top w:val="nil"/>
              <w:left w:val="nil"/>
              <w:bottom w:val="nil"/>
              <w:right w:val="nil"/>
            </w:tcBorders>
            <w:shd w:val="clear" w:color="auto" w:fill="auto"/>
            <w:noWrap/>
            <w:vAlign w:val="bottom"/>
            <w:hideMark/>
          </w:tcPr>
          <w:p w14:paraId="4EC5143E" w14:textId="77777777" w:rsidR="00BE6461" w:rsidRPr="00BE6461" w:rsidRDefault="00BE6461" w:rsidP="00BE6461">
            <w:pPr>
              <w:jc w:val="right"/>
              <w:rPr>
                <w:b/>
                <w:bCs/>
                <w:color w:val="333333"/>
                <w:sz w:val="20"/>
                <w:szCs w:val="20"/>
              </w:rPr>
            </w:pPr>
            <w:r w:rsidRPr="00BE6461">
              <w:rPr>
                <w:b/>
                <w:bCs/>
                <w:color w:val="333333"/>
                <w:sz w:val="20"/>
                <w:szCs w:val="20"/>
              </w:rPr>
              <w:t>12.483,39</w:t>
            </w:r>
          </w:p>
        </w:tc>
        <w:tc>
          <w:tcPr>
            <w:tcW w:w="1500" w:type="dxa"/>
            <w:tcBorders>
              <w:top w:val="nil"/>
              <w:left w:val="nil"/>
              <w:bottom w:val="nil"/>
              <w:right w:val="nil"/>
            </w:tcBorders>
            <w:shd w:val="clear" w:color="auto" w:fill="auto"/>
            <w:noWrap/>
            <w:vAlign w:val="bottom"/>
            <w:hideMark/>
          </w:tcPr>
          <w:p w14:paraId="79A67F5D" w14:textId="77777777" w:rsidR="00BE6461" w:rsidRPr="00BE6461" w:rsidRDefault="00BE6461" w:rsidP="00BE6461">
            <w:pPr>
              <w:jc w:val="right"/>
              <w:rPr>
                <w:b/>
                <w:bCs/>
                <w:color w:val="333333"/>
                <w:sz w:val="20"/>
                <w:szCs w:val="20"/>
              </w:rPr>
            </w:pPr>
            <w:r w:rsidRPr="00BE6461">
              <w:rPr>
                <w:b/>
                <w:bCs/>
                <w:color w:val="333333"/>
                <w:sz w:val="20"/>
                <w:szCs w:val="20"/>
              </w:rPr>
              <w:t>2.019,09</w:t>
            </w:r>
          </w:p>
        </w:tc>
        <w:tc>
          <w:tcPr>
            <w:tcW w:w="1100" w:type="dxa"/>
            <w:tcBorders>
              <w:top w:val="nil"/>
              <w:left w:val="nil"/>
              <w:bottom w:val="nil"/>
              <w:right w:val="nil"/>
            </w:tcBorders>
            <w:shd w:val="clear" w:color="auto" w:fill="auto"/>
            <w:noWrap/>
            <w:vAlign w:val="bottom"/>
            <w:hideMark/>
          </w:tcPr>
          <w:p w14:paraId="037101C2" w14:textId="77777777" w:rsidR="00BE6461" w:rsidRPr="00BE6461" w:rsidRDefault="00BE6461" w:rsidP="00BE6461">
            <w:pPr>
              <w:jc w:val="right"/>
              <w:rPr>
                <w:b/>
                <w:bCs/>
                <w:color w:val="333333"/>
                <w:sz w:val="20"/>
                <w:szCs w:val="20"/>
              </w:rPr>
            </w:pPr>
            <w:r w:rsidRPr="00BE6461">
              <w:rPr>
                <w:b/>
                <w:bCs/>
                <w:color w:val="333333"/>
                <w:sz w:val="20"/>
                <w:szCs w:val="20"/>
              </w:rPr>
              <w:t>16,17</w:t>
            </w:r>
          </w:p>
        </w:tc>
      </w:tr>
      <w:tr w:rsidR="00BE6461" w:rsidRPr="00BE6461" w14:paraId="0E7E125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D23FB8A" w14:textId="77777777" w:rsidR="00BE6461" w:rsidRPr="00BE6461" w:rsidRDefault="00BE6461" w:rsidP="00BE6461">
            <w:pPr>
              <w:rPr>
                <w:b/>
                <w:bCs/>
                <w:color w:val="333333"/>
                <w:sz w:val="20"/>
                <w:szCs w:val="20"/>
              </w:rPr>
            </w:pPr>
            <w:r w:rsidRPr="00BE6461">
              <w:rPr>
                <w:b/>
                <w:bCs/>
                <w:color w:val="333333"/>
                <w:sz w:val="20"/>
                <w:szCs w:val="20"/>
              </w:rPr>
              <w:t>Izvor 3.2. VLASTITI PRIHODI - PRORAČUNSKI KORISNICI</w:t>
            </w:r>
          </w:p>
        </w:tc>
        <w:tc>
          <w:tcPr>
            <w:tcW w:w="1503" w:type="dxa"/>
            <w:tcBorders>
              <w:top w:val="nil"/>
              <w:left w:val="nil"/>
              <w:bottom w:val="nil"/>
              <w:right w:val="nil"/>
            </w:tcBorders>
            <w:shd w:val="clear" w:color="auto" w:fill="auto"/>
            <w:noWrap/>
            <w:vAlign w:val="bottom"/>
            <w:hideMark/>
          </w:tcPr>
          <w:p w14:paraId="38759DCC" w14:textId="77777777" w:rsidR="00BE6461" w:rsidRPr="00BE6461" w:rsidRDefault="00BE6461" w:rsidP="00BE6461">
            <w:pPr>
              <w:jc w:val="right"/>
              <w:rPr>
                <w:b/>
                <w:bCs/>
                <w:color w:val="333333"/>
                <w:sz w:val="20"/>
                <w:szCs w:val="20"/>
              </w:rPr>
            </w:pPr>
            <w:r w:rsidRPr="00BE6461">
              <w:rPr>
                <w:b/>
                <w:bCs/>
                <w:color w:val="333333"/>
                <w:sz w:val="20"/>
                <w:szCs w:val="20"/>
              </w:rPr>
              <w:t>12.483,39</w:t>
            </w:r>
          </w:p>
        </w:tc>
        <w:tc>
          <w:tcPr>
            <w:tcW w:w="1500" w:type="dxa"/>
            <w:tcBorders>
              <w:top w:val="nil"/>
              <w:left w:val="nil"/>
              <w:bottom w:val="nil"/>
              <w:right w:val="nil"/>
            </w:tcBorders>
            <w:shd w:val="clear" w:color="auto" w:fill="auto"/>
            <w:noWrap/>
            <w:vAlign w:val="bottom"/>
            <w:hideMark/>
          </w:tcPr>
          <w:p w14:paraId="13336B96" w14:textId="77777777" w:rsidR="00BE6461" w:rsidRPr="00BE6461" w:rsidRDefault="00BE6461" w:rsidP="00BE6461">
            <w:pPr>
              <w:jc w:val="right"/>
              <w:rPr>
                <w:b/>
                <w:bCs/>
                <w:color w:val="333333"/>
                <w:sz w:val="20"/>
                <w:szCs w:val="20"/>
              </w:rPr>
            </w:pPr>
            <w:r w:rsidRPr="00BE6461">
              <w:rPr>
                <w:b/>
                <w:bCs/>
                <w:color w:val="333333"/>
                <w:sz w:val="20"/>
                <w:szCs w:val="20"/>
              </w:rPr>
              <w:t>2.019,09</w:t>
            </w:r>
          </w:p>
        </w:tc>
        <w:tc>
          <w:tcPr>
            <w:tcW w:w="1100" w:type="dxa"/>
            <w:tcBorders>
              <w:top w:val="nil"/>
              <w:left w:val="nil"/>
              <w:bottom w:val="nil"/>
              <w:right w:val="nil"/>
            </w:tcBorders>
            <w:shd w:val="clear" w:color="auto" w:fill="auto"/>
            <w:noWrap/>
            <w:vAlign w:val="bottom"/>
            <w:hideMark/>
          </w:tcPr>
          <w:p w14:paraId="36B3101E" w14:textId="77777777" w:rsidR="00BE6461" w:rsidRPr="00BE6461" w:rsidRDefault="00BE6461" w:rsidP="00BE6461">
            <w:pPr>
              <w:jc w:val="right"/>
              <w:rPr>
                <w:b/>
                <w:bCs/>
                <w:color w:val="333333"/>
                <w:sz w:val="20"/>
                <w:szCs w:val="20"/>
              </w:rPr>
            </w:pPr>
            <w:r w:rsidRPr="00BE6461">
              <w:rPr>
                <w:b/>
                <w:bCs/>
                <w:color w:val="333333"/>
                <w:sz w:val="20"/>
                <w:szCs w:val="20"/>
              </w:rPr>
              <w:t>16,17</w:t>
            </w:r>
          </w:p>
        </w:tc>
      </w:tr>
      <w:tr w:rsidR="00BE6461" w:rsidRPr="00BE6461" w14:paraId="1C332486" w14:textId="77777777" w:rsidTr="00BE6461">
        <w:trPr>
          <w:trHeight w:val="300"/>
        </w:trPr>
        <w:tc>
          <w:tcPr>
            <w:tcW w:w="1703" w:type="dxa"/>
            <w:tcBorders>
              <w:top w:val="nil"/>
              <w:left w:val="nil"/>
              <w:bottom w:val="nil"/>
              <w:right w:val="nil"/>
            </w:tcBorders>
            <w:shd w:val="clear" w:color="auto" w:fill="auto"/>
            <w:noWrap/>
            <w:vAlign w:val="bottom"/>
            <w:hideMark/>
          </w:tcPr>
          <w:p w14:paraId="15923301" w14:textId="77777777" w:rsidR="00BE6461" w:rsidRPr="00BE6461" w:rsidRDefault="00BE6461" w:rsidP="00BE6461">
            <w:pPr>
              <w:rPr>
                <w:b/>
                <w:bCs/>
                <w:sz w:val="20"/>
                <w:szCs w:val="20"/>
              </w:rPr>
            </w:pPr>
            <w:r w:rsidRPr="00BE6461">
              <w:rPr>
                <w:b/>
                <w:bCs/>
                <w:sz w:val="20"/>
                <w:szCs w:val="20"/>
              </w:rPr>
              <w:t>321</w:t>
            </w:r>
          </w:p>
        </w:tc>
        <w:tc>
          <w:tcPr>
            <w:tcW w:w="8457" w:type="dxa"/>
            <w:tcBorders>
              <w:top w:val="nil"/>
              <w:left w:val="nil"/>
              <w:bottom w:val="nil"/>
              <w:right w:val="nil"/>
            </w:tcBorders>
            <w:shd w:val="clear" w:color="auto" w:fill="auto"/>
            <w:vAlign w:val="bottom"/>
            <w:hideMark/>
          </w:tcPr>
          <w:p w14:paraId="24BB64F6" w14:textId="77777777" w:rsidR="00BE6461" w:rsidRPr="00BE6461" w:rsidRDefault="00BE6461" w:rsidP="00BE6461">
            <w:pPr>
              <w:rPr>
                <w:b/>
                <w:bCs/>
                <w:sz w:val="20"/>
                <w:szCs w:val="20"/>
              </w:rPr>
            </w:pPr>
            <w:r w:rsidRPr="00BE6461">
              <w:rPr>
                <w:b/>
                <w:bCs/>
                <w:sz w:val="20"/>
                <w:szCs w:val="20"/>
              </w:rPr>
              <w:t xml:space="preserve">Naknade troškova zaposlenima                                                                        </w:t>
            </w:r>
          </w:p>
        </w:tc>
        <w:tc>
          <w:tcPr>
            <w:tcW w:w="1503" w:type="dxa"/>
            <w:tcBorders>
              <w:top w:val="nil"/>
              <w:left w:val="nil"/>
              <w:bottom w:val="nil"/>
              <w:right w:val="nil"/>
            </w:tcBorders>
            <w:shd w:val="clear" w:color="auto" w:fill="auto"/>
            <w:noWrap/>
            <w:vAlign w:val="bottom"/>
            <w:hideMark/>
          </w:tcPr>
          <w:p w14:paraId="441D02AA" w14:textId="77777777" w:rsidR="00BE6461" w:rsidRPr="00BE6461" w:rsidRDefault="00BE6461" w:rsidP="00BE6461">
            <w:pPr>
              <w:jc w:val="right"/>
              <w:rPr>
                <w:b/>
                <w:bCs/>
                <w:sz w:val="20"/>
                <w:szCs w:val="20"/>
              </w:rPr>
            </w:pPr>
            <w:r w:rsidRPr="00BE6461">
              <w:rPr>
                <w:b/>
                <w:bCs/>
                <w:sz w:val="20"/>
                <w:szCs w:val="20"/>
              </w:rPr>
              <w:t>1.000,00</w:t>
            </w:r>
          </w:p>
        </w:tc>
        <w:tc>
          <w:tcPr>
            <w:tcW w:w="1500" w:type="dxa"/>
            <w:tcBorders>
              <w:top w:val="nil"/>
              <w:left w:val="nil"/>
              <w:bottom w:val="nil"/>
              <w:right w:val="nil"/>
            </w:tcBorders>
            <w:shd w:val="clear" w:color="auto" w:fill="auto"/>
            <w:noWrap/>
            <w:vAlign w:val="bottom"/>
            <w:hideMark/>
          </w:tcPr>
          <w:p w14:paraId="27FC10AC"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0C1852F4"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671A375B" w14:textId="77777777" w:rsidTr="00BE6461">
        <w:trPr>
          <w:trHeight w:val="300"/>
        </w:trPr>
        <w:tc>
          <w:tcPr>
            <w:tcW w:w="1703" w:type="dxa"/>
            <w:tcBorders>
              <w:top w:val="nil"/>
              <w:left w:val="nil"/>
              <w:bottom w:val="nil"/>
              <w:right w:val="nil"/>
            </w:tcBorders>
            <w:shd w:val="clear" w:color="auto" w:fill="auto"/>
            <w:noWrap/>
            <w:vAlign w:val="bottom"/>
            <w:hideMark/>
          </w:tcPr>
          <w:p w14:paraId="710CDFE6" w14:textId="77777777" w:rsidR="00BE6461" w:rsidRPr="00BE6461" w:rsidRDefault="00BE6461" w:rsidP="00BE6461">
            <w:pPr>
              <w:rPr>
                <w:sz w:val="20"/>
                <w:szCs w:val="20"/>
              </w:rPr>
            </w:pPr>
            <w:r w:rsidRPr="00BE6461">
              <w:rPr>
                <w:sz w:val="20"/>
                <w:szCs w:val="20"/>
              </w:rPr>
              <w:t>3214</w:t>
            </w:r>
          </w:p>
        </w:tc>
        <w:tc>
          <w:tcPr>
            <w:tcW w:w="8457" w:type="dxa"/>
            <w:tcBorders>
              <w:top w:val="nil"/>
              <w:left w:val="nil"/>
              <w:bottom w:val="nil"/>
              <w:right w:val="nil"/>
            </w:tcBorders>
            <w:shd w:val="clear" w:color="auto" w:fill="auto"/>
            <w:vAlign w:val="bottom"/>
            <w:hideMark/>
          </w:tcPr>
          <w:p w14:paraId="15F675BD" w14:textId="77777777" w:rsidR="00BE6461" w:rsidRPr="00BE6461" w:rsidRDefault="00BE6461" w:rsidP="00BE6461">
            <w:pPr>
              <w:rPr>
                <w:sz w:val="20"/>
                <w:szCs w:val="20"/>
              </w:rPr>
            </w:pPr>
            <w:r w:rsidRPr="00BE6461">
              <w:rPr>
                <w:sz w:val="20"/>
                <w:szCs w:val="20"/>
              </w:rPr>
              <w:t xml:space="preserve">Ostale naknade troškova zaposlenima                                                                 </w:t>
            </w:r>
          </w:p>
        </w:tc>
        <w:tc>
          <w:tcPr>
            <w:tcW w:w="1503" w:type="dxa"/>
            <w:tcBorders>
              <w:top w:val="nil"/>
              <w:left w:val="nil"/>
              <w:bottom w:val="nil"/>
              <w:right w:val="nil"/>
            </w:tcBorders>
            <w:shd w:val="clear" w:color="auto" w:fill="auto"/>
            <w:noWrap/>
            <w:vAlign w:val="bottom"/>
            <w:hideMark/>
          </w:tcPr>
          <w:p w14:paraId="2B0F9ED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14C7286"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3CD233CE" w14:textId="77777777" w:rsidR="00BE6461" w:rsidRPr="00BE6461" w:rsidRDefault="00BE6461" w:rsidP="00BE6461">
            <w:pPr>
              <w:jc w:val="right"/>
              <w:rPr>
                <w:sz w:val="20"/>
                <w:szCs w:val="20"/>
              </w:rPr>
            </w:pPr>
          </w:p>
        </w:tc>
      </w:tr>
      <w:tr w:rsidR="00BE6461" w:rsidRPr="00BE6461" w14:paraId="2A9A1F67" w14:textId="77777777" w:rsidTr="00BE6461">
        <w:trPr>
          <w:trHeight w:val="300"/>
        </w:trPr>
        <w:tc>
          <w:tcPr>
            <w:tcW w:w="1703" w:type="dxa"/>
            <w:tcBorders>
              <w:top w:val="nil"/>
              <w:left w:val="nil"/>
              <w:bottom w:val="nil"/>
              <w:right w:val="nil"/>
            </w:tcBorders>
            <w:shd w:val="clear" w:color="auto" w:fill="auto"/>
            <w:noWrap/>
            <w:vAlign w:val="bottom"/>
            <w:hideMark/>
          </w:tcPr>
          <w:p w14:paraId="73CA8FDF"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3CFE5AD8"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04EFDBA0" w14:textId="77777777" w:rsidR="00BE6461" w:rsidRPr="00BE6461" w:rsidRDefault="00BE6461" w:rsidP="00BE6461">
            <w:pPr>
              <w:jc w:val="right"/>
              <w:rPr>
                <w:b/>
                <w:bCs/>
                <w:sz w:val="20"/>
                <w:szCs w:val="20"/>
              </w:rPr>
            </w:pPr>
            <w:r w:rsidRPr="00BE6461">
              <w:rPr>
                <w:b/>
                <w:bCs/>
                <w:sz w:val="20"/>
                <w:szCs w:val="20"/>
              </w:rPr>
              <w:t>3.233,39</w:t>
            </w:r>
          </w:p>
        </w:tc>
        <w:tc>
          <w:tcPr>
            <w:tcW w:w="1500" w:type="dxa"/>
            <w:tcBorders>
              <w:top w:val="nil"/>
              <w:left w:val="nil"/>
              <w:bottom w:val="nil"/>
              <w:right w:val="nil"/>
            </w:tcBorders>
            <w:shd w:val="clear" w:color="auto" w:fill="auto"/>
            <w:noWrap/>
            <w:vAlign w:val="bottom"/>
            <w:hideMark/>
          </w:tcPr>
          <w:p w14:paraId="00C943B9" w14:textId="77777777" w:rsidR="00BE6461" w:rsidRPr="00BE6461" w:rsidRDefault="00BE6461" w:rsidP="00BE6461">
            <w:pPr>
              <w:jc w:val="right"/>
              <w:rPr>
                <w:b/>
                <w:bCs/>
                <w:sz w:val="20"/>
                <w:szCs w:val="20"/>
              </w:rPr>
            </w:pPr>
            <w:r w:rsidRPr="00BE6461">
              <w:rPr>
                <w:b/>
                <w:bCs/>
                <w:sz w:val="20"/>
                <w:szCs w:val="20"/>
              </w:rPr>
              <w:t>432,81</w:t>
            </w:r>
          </w:p>
        </w:tc>
        <w:tc>
          <w:tcPr>
            <w:tcW w:w="1100" w:type="dxa"/>
            <w:tcBorders>
              <w:top w:val="nil"/>
              <w:left w:val="nil"/>
              <w:bottom w:val="nil"/>
              <w:right w:val="nil"/>
            </w:tcBorders>
            <w:shd w:val="clear" w:color="auto" w:fill="auto"/>
            <w:noWrap/>
            <w:vAlign w:val="bottom"/>
            <w:hideMark/>
          </w:tcPr>
          <w:p w14:paraId="4437C555" w14:textId="77777777" w:rsidR="00BE6461" w:rsidRPr="00BE6461" w:rsidRDefault="00BE6461" w:rsidP="00BE6461">
            <w:pPr>
              <w:jc w:val="right"/>
              <w:rPr>
                <w:b/>
                <w:bCs/>
                <w:sz w:val="20"/>
                <w:szCs w:val="20"/>
              </w:rPr>
            </w:pPr>
            <w:r w:rsidRPr="00BE6461">
              <w:rPr>
                <w:b/>
                <w:bCs/>
                <w:sz w:val="20"/>
                <w:szCs w:val="20"/>
              </w:rPr>
              <w:t>13,39</w:t>
            </w:r>
          </w:p>
        </w:tc>
      </w:tr>
      <w:tr w:rsidR="00BE6461" w:rsidRPr="00BE6461" w14:paraId="422F24B3" w14:textId="77777777" w:rsidTr="00BE6461">
        <w:trPr>
          <w:trHeight w:val="300"/>
        </w:trPr>
        <w:tc>
          <w:tcPr>
            <w:tcW w:w="1703" w:type="dxa"/>
            <w:tcBorders>
              <w:top w:val="nil"/>
              <w:left w:val="nil"/>
              <w:bottom w:val="nil"/>
              <w:right w:val="nil"/>
            </w:tcBorders>
            <w:shd w:val="clear" w:color="auto" w:fill="auto"/>
            <w:noWrap/>
            <w:vAlign w:val="bottom"/>
            <w:hideMark/>
          </w:tcPr>
          <w:p w14:paraId="75B38955" w14:textId="77777777" w:rsidR="00BE6461" w:rsidRPr="00BE6461" w:rsidRDefault="00BE6461" w:rsidP="00BE6461">
            <w:pPr>
              <w:rPr>
                <w:sz w:val="20"/>
                <w:szCs w:val="20"/>
              </w:rPr>
            </w:pPr>
            <w:r w:rsidRPr="00BE6461">
              <w:rPr>
                <w:sz w:val="20"/>
                <w:szCs w:val="20"/>
              </w:rPr>
              <w:t>3221</w:t>
            </w:r>
          </w:p>
        </w:tc>
        <w:tc>
          <w:tcPr>
            <w:tcW w:w="8457" w:type="dxa"/>
            <w:tcBorders>
              <w:top w:val="nil"/>
              <w:left w:val="nil"/>
              <w:bottom w:val="nil"/>
              <w:right w:val="nil"/>
            </w:tcBorders>
            <w:shd w:val="clear" w:color="auto" w:fill="auto"/>
            <w:vAlign w:val="bottom"/>
            <w:hideMark/>
          </w:tcPr>
          <w:p w14:paraId="03A876B2" w14:textId="77777777" w:rsidR="00BE6461" w:rsidRPr="00BE6461" w:rsidRDefault="00BE6461" w:rsidP="00BE6461">
            <w:pPr>
              <w:rPr>
                <w:sz w:val="20"/>
                <w:szCs w:val="20"/>
              </w:rPr>
            </w:pPr>
            <w:r w:rsidRPr="00BE6461">
              <w:rPr>
                <w:sz w:val="20"/>
                <w:szCs w:val="20"/>
              </w:rPr>
              <w:t xml:space="preserve">Uredski materijal i ostali materijalni rashodi                                                      </w:t>
            </w:r>
          </w:p>
        </w:tc>
        <w:tc>
          <w:tcPr>
            <w:tcW w:w="1503" w:type="dxa"/>
            <w:tcBorders>
              <w:top w:val="nil"/>
              <w:left w:val="nil"/>
              <w:bottom w:val="nil"/>
              <w:right w:val="nil"/>
            </w:tcBorders>
            <w:shd w:val="clear" w:color="auto" w:fill="auto"/>
            <w:noWrap/>
            <w:vAlign w:val="bottom"/>
            <w:hideMark/>
          </w:tcPr>
          <w:p w14:paraId="70DE450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A0B30DB" w14:textId="77777777" w:rsidR="00BE6461" w:rsidRPr="00BE6461" w:rsidRDefault="00BE6461" w:rsidP="00BE6461">
            <w:pPr>
              <w:jc w:val="right"/>
              <w:rPr>
                <w:sz w:val="20"/>
                <w:szCs w:val="20"/>
              </w:rPr>
            </w:pPr>
            <w:r w:rsidRPr="00BE6461">
              <w:rPr>
                <w:sz w:val="20"/>
                <w:szCs w:val="20"/>
              </w:rPr>
              <w:t>432,81</w:t>
            </w:r>
          </w:p>
        </w:tc>
        <w:tc>
          <w:tcPr>
            <w:tcW w:w="1100" w:type="dxa"/>
            <w:tcBorders>
              <w:top w:val="nil"/>
              <w:left w:val="nil"/>
              <w:bottom w:val="nil"/>
              <w:right w:val="nil"/>
            </w:tcBorders>
            <w:shd w:val="clear" w:color="auto" w:fill="auto"/>
            <w:noWrap/>
            <w:vAlign w:val="bottom"/>
            <w:hideMark/>
          </w:tcPr>
          <w:p w14:paraId="3A5DF93B" w14:textId="77777777" w:rsidR="00BE6461" w:rsidRPr="00BE6461" w:rsidRDefault="00BE6461" w:rsidP="00BE6461">
            <w:pPr>
              <w:jc w:val="right"/>
              <w:rPr>
                <w:sz w:val="20"/>
                <w:szCs w:val="20"/>
              </w:rPr>
            </w:pPr>
          </w:p>
        </w:tc>
      </w:tr>
      <w:tr w:rsidR="00BE6461" w:rsidRPr="00BE6461" w14:paraId="71774BBA" w14:textId="77777777" w:rsidTr="00BE6461">
        <w:trPr>
          <w:trHeight w:val="300"/>
        </w:trPr>
        <w:tc>
          <w:tcPr>
            <w:tcW w:w="1703" w:type="dxa"/>
            <w:tcBorders>
              <w:top w:val="nil"/>
              <w:left w:val="nil"/>
              <w:bottom w:val="nil"/>
              <w:right w:val="nil"/>
            </w:tcBorders>
            <w:shd w:val="clear" w:color="auto" w:fill="auto"/>
            <w:noWrap/>
            <w:vAlign w:val="bottom"/>
            <w:hideMark/>
          </w:tcPr>
          <w:p w14:paraId="259FBFD2" w14:textId="77777777" w:rsidR="00BE6461" w:rsidRPr="00BE6461" w:rsidRDefault="00BE6461" w:rsidP="00BE6461">
            <w:pPr>
              <w:rPr>
                <w:sz w:val="20"/>
                <w:szCs w:val="20"/>
              </w:rPr>
            </w:pPr>
            <w:r w:rsidRPr="00BE6461">
              <w:rPr>
                <w:sz w:val="20"/>
                <w:szCs w:val="20"/>
              </w:rPr>
              <w:t>3223</w:t>
            </w:r>
          </w:p>
        </w:tc>
        <w:tc>
          <w:tcPr>
            <w:tcW w:w="8457" w:type="dxa"/>
            <w:tcBorders>
              <w:top w:val="nil"/>
              <w:left w:val="nil"/>
              <w:bottom w:val="nil"/>
              <w:right w:val="nil"/>
            </w:tcBorders>
            <w:shd w:val="clear" w:color="auto" w:fill="auto"/>
            <w:vAlign w:val="bottom"/>
            <w:hideMark/>
          </w:tcPr>
          <w:p w14:paraId="7C8E9821" w14:textId="77777777" w:rsidR="00BE6461" w:rsidRPr="00BE6461" w:rsidRDefault="00BE6461" w:rsidP="00BE6461">
            <w:pPr>
              <w:rPr>
                <w:sz w:val="20"/>
                <w:szCs w:val="20"/>
              </w:rPr>
            </w:pPr>
            <w:r w:rsidRPr="00BE6461">
              <w:rPr>
                <w:sz w:val="20"/>
                <w:szCs w:val="20"/>
              </w:rPr>
              <w:t xml:space="preserve">Energija                                                                                            </w:t>
            </w:r>
          </w:p>
        </w:tc>
        <w:tc>
          <w:tcPr>
            <w:tcW w:w="1503" w:type="dxa"/>
            <w:tcBorders>
              <w:top w:val="nil"/>
              <w:left w:val="nil"/>
              <w:bottom w:val="nil"/>
              <w:right w:val="nil"/>
            </w:tcBorders>
            <w:shd w:val="clear" w:color="auto" w:fill="auto"/>
            <w:noWrap/>
            <w:vAlign w:val="bottom"/>
            <w:hideMark/>
          </w:tcPr>
          <w:p w14:paraId="056F16B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1C70D2D"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1C512EA6" w14:textId="77777777" w:rsidR="00BE6461" w:rsidRPr="00BE6461" w:rsidRDefault="00BE6461" w:rsidP="00BE6461">
            <w:pPr>
              <w:jc w:val="right"/>
              <w:rPr>
                <w:sz w:val="20"/>
                <w:szCs w:val="20"/>
              </w:rPr>
            </w:pPr>
          </w:p>
        </w:tc>
      </w:tr>
      <w:tr w:rsidR="00BE6461" w:rsidRPr="00BE6461" w14:paraId="616F40CA" w14:textId="77777777" w:rsidTr="00BE6461">
        <w:trPr>
          <w:trHeight w:val="300"/>
        </w:trPr>
        <w:tc>
          <w:tcPr>
            <w:tcW w:w="1703" w:type="dxa"/>
            <w:tcBorders>
              <w:top w:val="nil"/>
              <w:left w:val="nil"/>
              <w:bottom w:val="nil"/>
              <w:right w:val="nil"/>
            </w:tcBorders>
            <w:shd w:val="clear" w:color="auto" w:fill="auto"/>
            <w:noWrap/>
            <w:vAlign w:val="bottom"/>
            <w:hideMark/>
          </w:tcPr>
          <w:p w14:paraId="08A10BF8" w14:textId="77777777" w:rsidR="00BE6461" w:rsidRPr="00BE6461" w:rsidRDefault="00BE6461" w:rsidP="00BE6461">
            <w:pPr>
              <w:rPr>
                <w:sz w:val="20"/>
                <w:szCs w:val="20"/>
              </w:rPr>
            </w:pPr>
            <w:r w:rsidRPr="00BE6461">
              <w:rPr>
                <w:sz w:val="20"/>
                <w:szCs w:val="20"/>
              </w:rPr>
              <w:t>3225</w:t>
            </w:r>
          </w:p>
        </w:tc>
        <w:tc>
          <w:tcPr>
            <w:tcW w:w="8457" w:type="dxa"/>
            <w:tcBorders>
              <w:top w:val="nil"/>
              <w:left w:val="nil"/>
              <w:bottom w:val="nil"/>
              <w:right w:val="nil"/>
            </w:tcBorders>
            <w:shd w:val="clear" w:color="auto" w:fill="auto"/>
            <w:vAlign w:val="bottom"/>
            <w:hideMark/>
          </w:tcPr>
          <w:p w14:paraId="2554E410" w14:textId="77777777" w:rsidR="00BE6461" w:rsidRPr="00BE6461" w:rsidRDefault="00BE6461" w:rsidP="00BE6461">
            <w:pPr>
              <w:rPr>
                <w:sz w:val="20"/>
                <w:szCs w:val="20"/>
              </w:rPr>
            </w:pPr>
            <w:r w:rsidRPr="00BE6461">
              <w:rPr>
                <w:sz w:val="20"/>
                <w:szCs w:val="20"/>
              </w:rPr>
              <w:t xml:space="preserve">Sitni inventar i auto gume                                                                          </w:t>
            </w:r>
          </w:p>
        </w:tc>
        <w:tc>
          <w:tcPr>
            <w:tcW w:w="1503" w:type="dxa"/>
            <w:tcBorders>
              <w:top w:val="nil"/>
              <w:left w:val="nil"/>
              <w:bottom w:val="nil"/>
              <w:right w:val="nil"/>
            </w:tcBorders>
            <w:shd w:val="clear" w:color="auto" w:fill="auto"/>
            <w:noWrap/>
            <w:vAlign w:val="bottom"/>
            <w:hideMark/>
          </w:tcPr>
          <w:p w14:paraId="44BE11C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ABCE293"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4B4CEEBA" w14:textId="77777777" w:rsidR="00BE6461" w:rsidRPr="00BE6461" w:rsidRDefault="00BE6461" w:rsidP="00BE6461">
            <w:pPr>
              <w:jc w:val="right"/>
              <w:rPr>
                <w:sz w:val="20"/>
                <w:szCs w:val="20"/>
              </w:rPr>
            </w:pPr>
          </w:p>
        </w:tc>
      </w:tr>
      <w:tr w:rsidR="00BE6461" w:rsidRPr="00BE6461" w14:paraId="5E8F1D55" w14:textId="77777777" w:rsidTr="00BE6461">
        <w:trPr>
          <w:trHeight w:val="300"/>
        </w:trPr>
        <w:tc>
          <w:tcPr>
            <w:tcW w:w="1703" w:type="dxa"/>
            <w:tcBorders>
              <w:top w:val="nil"/>
              <w:left w:val="nil"/>
              <w:bottom w:val="nil"/>
              <w:right w:val="nil"/>
            </w:tcBorders>
            <w:shd w:val="clear" w:color="auto" w:fill="auto"/>
            <w:noWrap/>
            <w:vAlign w:val="bottom"/>
            <w:hideMark/>
          </w:tcPr>
          <w:p w14:paraId="041582D1"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484841F3"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1716DFB2" w14:textId="77777777" w:rsidR="00BE6461" w:rsidRPr="00BE6461" w:rsidRDefault="00BE6461" w:rsidP="00BE6461">
            <w:pPr>
              <w:jc w:val="right"/>
              <w:rPr>
                <w:b/>
                <w:bCs/>
                <w:sz w:val="20"/>
                <w:szCs w:val="20"/>
              </w:rPr>
            </w:pPr>
            <w:r w:rsidRPr="00BE6461">
              <w:rPr>
                <w:b/>
                <w:bCs/>
                <w:sz w:val="20"/>
                <w:szCs w:val="20"/>
              </w:rPr>
              <w:t>7.000,00</w:t>
            </w:r>
          </w:p>
        </w:tc>
        <w:tc>
          <w:tcPr>
            <w:tcW w:w="1500" w:type="dxa"/>
            <w:tcBorders>
              <w:top w:val="nil"/>
              <w:left w:val="nil"/>
              <w:bottom w:val="nil"/>
              <w:right w:val="nil"/>
            </w:tcBorders>
            <w:shd w:val="clear" w:color="auto" w:fill="auto"/>
            <w:noWrap/>
            <w:vAlign w:val="bottom"/>
            <w:hideMark/>
          </w:tcPr>
          <w:p w14:paraId="63907007" w14:textId="77777777" w:rsidR="00BE6461" w:rsidRPr="00BE6461" w:rsidRDefault="00BE6461" w:rsidP="00BE6461">
            <w:pPr>
              <w:jc w:val="right"/>
              <w:rPr>
                <w:b/>
                <w:bCs/>
                <w:sz w:val="20"/>
                <w:szCs w:val="20"/>
              </w:rPr>
            </w:pPr>
            <w:r w:rsidRPr="00BE6461">
              <w:rPr>
                <w:b/>
                <w:bCs/>
                <w:sz w:val="20"/>
                <w:szCs w:val="20"/>
              </w:rPr>
              <w:t>1.579,97</w:t>
            </w:r>
          </w:p>
        </w:tc>
        <w:tc>
          <w:tcPr>
            <w:tcW w:w="1100" w:type="dxa"/>
            <w:tcBorders>
              <w:top w:val="nil"/>
              <w:left w:val="nil"/>
              <w:bottom w:val="nil"/>
              <w:right w:val="nil"/>
            </w:tcBorders>
            <w:shd w:val="clear" w:color="auto" w:fill="auto"/>
            <w:noWrap/>
            <w:vAlign w:val="bottom"/>
            <w:hideMark/>
          </w:tcPr>
          <w:p w14:paraId="37269782" w14:textId="77777777" w:rsidR="00BE6461" w:rsidRPr="00BE6461" w:rsidRDefault="00BE6461" w:rsidP="00BE6461">
            <w:pPr>
              <w:jc w:val="right"/>
              <w:rPr>
                <w:b/>
                <w:bCs/>
                <w:sz w:val="20"/>
                <w:szCs w:val="20"/>
              </w:rPr>
            </w:pPr>
            <w:r w:rsidRPr="00BE6461">
              <w:rPr>
                <w:b/>
                <w:bCs/>
                <w:sz w:val="20"/>
                <w:szCs w:val="20"/>
              </w:rPr>
              <w:t>22,57</w:t>
            </w:r>
          </w:p>
        </w:tc>
      </w:tr>
      <w:tr w:rsidR="00BE6461" w:rsidRPr="00BE6461" w14:paraId="116DE34B" w14:textId="77777777" w:rsidTr="00BE6461">
        <w:trPr>
          <w:trHeight w:val="300"/>
        </w:trPr>
        <w:tc>
          <w:tcPr>
            <w:tcW w:w="1703" w:type="dxa"/>
            <w:tcBorders>
              <w:top w:val="nil"/>
              <w:left w:val="nil"/>
              <w:bottom w:val="nil"/>
              <w:right w:val="nil"/>
            </w:tcBorders>
            <w:shd w:val="clear" w:color="auto" w:fill="auto"/>
            <w:noWrap/>
            <w:vAlign w:val="bottom"/>
            <w:hideMark/>
          </w:tcPr>
          <w:p w14:paraId="33652E2E" w14:textId="77777777" w:rsidR="00BE6461" w:rsidRPr="00BE6461" w:rsidRDefault="00BE6461" w:rsidP="00BE6461">
            <w:pPr>
              <w:rPr>
                <w:sz w:val="20"/>
                <w:szCs w:val="20"/>
              </w:rPr>
            </w:pPr>
            <w:r w:rsidRPr="00BE6461">
              <w:rPr>
                <w:sz w:val="20"/>
                <w:szCs w:val="20"/>
              </w:rPr>
              <w:t>3231</w:t>
            </w:r>
          </w:p>
        </w:tc>
        <w:tc>
          <w:tcPr>
            <w:tcW w:w="8457" w:type="dxa"/>
            <w:tcBorders>
              <w:top w:val="nil"/>
              <w:left w:val="nil"/>
              <w:bottom w:val="nil"/>
              <w:right w:val="nil"/>
            </w:tcBorders>
            <w:shd w:val="clear" w:color="auto" w:fill="auto"/>
            <w:vAlign w:val="bottom"/>
            <w:hideMark/>
          </w:tcPr>
          <w:p w14:paraId="4BA96E8E" w14:textId="77777777" w:rsidR="00BE6461" w:rsidRPr="00BE6461" w:rsidRDefault="00BE6461" w:rsidP="00BE6461">
            <w:pPr>
              <w:rPr>
                <w:sz w:val="20"/>
                <w:szCs w:val="20"/>
              </w:rPr>
            </w:pPr>
            <w:r w:rsidRPr="00BE6461">
              <w:rPr>
                <w:sz w:val="20"/>
                <w:szCs w:val="20"/>
              </w:rPr>
              <w:t xml:space="preserve">Usluge telefona, pošte i prijevoza                                                                  </w:t>
            </w:r>
          </w:p>
        </w:tc>
        <w:tc>
          <w:tcPr>
            <w:tcW w:w="1503" w:type="dxa"/>
            <w:tcBorders>
              <w:top w:val="nil"/>
              <w:left w:val="nil"/>
              <w:bottom w:val="nil"/>
              <w:right w:val="nil"/>
            </w:tcBorders>
            <w:shd w:val="clear" w:color="auto" w:fill="auto"/>
            <w:noWrap/>
            <w:vAlign w:val="bottom"/>
            <w:hideMark/>
          </w:tcPr>
          <w:p w14:paraId="3E03213E"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91F1155" w14:textId="77777777" w:rsidR="00BE6461" w:rsidRPr="00BE6461" w:rsidRDefault="00BE6461" w:rsidP="00BE6461">
            <w:pPr>
              <w:jc w:val="right"/>
              <w:rPr>
                <w:sz w:val="20"/>
                <w:szCs w:val="20"/>
              </w:rPr>
            </w:pPr>
            <w:r w:rsidRPr="00BE6461">
              <w:rPr>
                <w:sz w:val="20"/>
                <w:szCs w:val="20"/>
              </w:rPr>
              <w:t>1.579,97</w:t>
            </w:r>
          </w:p>
        </w:tc>
        <w:tc>
          <w:tcPr>
            <w:tcW w:w="1100" w:type="dxa"/>
            <w:tcBorders>
              <w:top w:val="nil"/>
              <w:left w:val="nil"/>
              <w:bottom w:val="nil"/>
              <w:right w:val="nil"/>
            </w:tcBorders>
            <w:shd w:val="clear" w:color="auto" w:fill="auto"/>
            <w:noWrap/>
            <w:vAlign w:val="bottom"/>
            <w:hideMark/>
          </w:tcPr>
          <w:p w14:paraId="57E89A22" w14:textId="77777777" w:rsidR="00BE6461" w:rsidRPr="00BE6461" w:rsidRDefault="00BE6461" w:rsidP="00BE6461">
            <w:pPr>
              <w:jc w:val="right"/>
              <w:rPr>
                <w:sz w:val="20"/>
                <w:szCs w:val="20"/>
              </w:rPr>
            </w:pPr>
          </w:p>
        </w:tc>
      </w:tr>
      <w:tr w:rsidR="00BE6461" w:rsidRPr="00BE6461" w14:paraId="7D721F53" w14:textId="77777777" w:rsidTr="00BE6461">
        <w:trPr>
          <w:trHeight w:val="300"/>
        </w:trPr>
        <w:tc>
          <w:tcPr>
            <w:tcW w:w="1703" w:type="dxa"/>
            <w:tcBorders>
              <w:top w:val="nil"/>
              <w:left w:val="nil"/>
              <w:bottom w:val="nil"/>
              <w:right w:val="nil"/>
            </w:tcBorders>
            <w:shd w:val="clear" w:color="auto" w:fill="auto"/>
            <w:noWrap/>
            <w:vAlign w:val="bottom"/>
            <w:hideMark/>
          </w:tcPr>
          <w:p w14:paraId="3FB57F06" w14:textId="77777777" w:rsidR="00BE6461" w:rsidRPr="00BE6461" w:rsidRDefault="00BE6461" w:rsidP="00BE6461">
            <w:pPr>
              <w:rPr>
                <w:sz w:val="20"/>
                <w:szCs w:val="20"/>
              </w:rPr>
            </w:pPr>
            <w:r w:rsidRPr="00BE6461">
              <w:rPr>
                <w:sz w:val="20"/>
                <w:szCs w:val="20"/>
              </w:rPr>
              <w:t>3232</w:t>
            </w:r>
          </w:p>
        </w:tc>
        <w:tc>
          <w:tcPr>
            <w:tcW w:w="8457" w:type="dxa"/>
            <w:tcBorders>
              <w:top w:val="nil"/>
              <w:left w:val="nil"/>
              <w:bottom w:val="nil"/>
              <w:right w:val="nil"/>
            </w:tcBorders>
            <w:shd w:val="clear" w:color="auto" w:fill="auto"/>
            <w:vAlign w:val="bottom"/>
            <w:hideMark/>
          </w:tcPr>
          <w:p w14:paraId="30D6EDA9" w14:textId="77777777" w:rsidR="00BE6461" w:rsidRPr="00BE6461" w:rsidRDefault="00BE6461" w:rsidP="00BE6461">
            <w:pPr>
              <w:rPr>
                <w:sz w:val="20"/>
                <w:szCs w:val="20"/>
              </w:rPr>
            </w:pPr>
            <w:r w:rsidRPr="00BE6461">
              <w:rPr>
                <w:sz w:val="20"/>
                <w:szCs w:val="20"/>
              </w:rPr>
              <w:t xml:space="preserve">Usluge tekućeg i investicijskog održavanja                                                          </w:t>
            </w:r>
          </w:p>
        </w:tc>
        <w:tc>
          <w:tcPr>
            <w:tcW w:w="1503" w:type="dxa"/>
            <w:tcBorders>
              <w:top w:val="nil"/>
              <w:left w:val="nil"/>
              <w:bottom w:val="nil"/>
              <w:right w:val="nil"/>
            </w:tcBorders>
            <w:shd w:val="clear" w:color="auto" w:fill="auto"/>
            <w:noWrap/>
            <w:vAlign w:val="bottom"/>
            <w:hideMark/>
          </w:tcPr>
          <w:p w14:paraId="40683620"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8F13945"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592F0F7D" w14:textId="77777777" w:rsidR="00BE6461" w:rsidRPr="00BE6461" w:rsidRDefault="00BE6461" w:rsidP="00BE6461">
            <w:pPr>
              <w:jc w:val="right"/>
              <w:rPr>
                <w:sz w:val="20"/>
                <w:szCs w:val="20"/>
              </w:rPr>
            </w:pPr>
          </w:p>
        </w:tc>
      </w:tr>
      <w:tr w:rsidR="00BE6461" w:rsidRPr="00BE6461" w14:paraId="7E22B4CE" w14:textId="77777777" w:rsidTr="00BE6461">
        <w:trPr>
          <w:trHeight w:val="300"/>
        </w:trPr>
        <w:tc>
          <w:tcPr>
            <w:tcW w:w="1703" w:type="dxa"/>
            <w:tcBorders>
              <w:top w:val="nil"/>
              <w:left w:val="nil"/>
              <w:bottom w:val="nil"/>
              <w:right w:val="nil"/>
            </w:tcBorders>
            <w:shd w:val="clear" w:color="auto" w:fill="auto"/>
            <w:noWrap/>
            <w:vAlign w:val="bottom"/>
            <w:hideMark/>
          </w:tcPr>
          <w:p w14:paraId="1E28A918"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18EBAD9A"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246FA30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9CEBC61"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3B1DB7D8" w14:textId="77777777" w:rsidR="00BE6461" w:rsidRPr="00BE6461" w:rsidRDefault="00BE6461" w:rsidP="00BE6461">
            <w:pPr>
              <w:jc w:val="right"/>
              <w:rPr>
                <w:sz w:val="20"/>
                <w:szCs w:val="20"/>
              </w:rPr>
            </w:pPr>
          </w:p>
        </w:tc>
      </w:tr>
      <w:tr w:rsidR="00BE6461" w:rsidRPr="00BE6461" w14:paraId="525F40B8" w14:textId="77777777" w:rsidTr="00BE6461">
        <w:trPr>
          <w:trHeight w:val="300"/>
        </w:trPr>
        <w:tc>
          <w:tcPr>
            <w:tcW w:w="1703" w:type="dxa"/>
            <w:tcBorders>
              <w:top w:val="nil"/>
              <w:left w:val="nil"/>
              <w:bottom w:val="nil"/>
              <w:right w:val="nil"/>
            </w:tcBorders>
            <w:shd w:val="clear" w:color="auto" w:fill="auto"/>
            <w:noWrap/>
            <w:vAlign w:val="bottom"/>
            <w:hideMark/>
          </w:tcPr>
          <w:p w14:paraId="147F2CCA" w14:textId="77777777" w:rsidR="00BE6461" w:rsidRPr="00BE6461" w:rsidRDefault="00BE6461" w:rsidP="00BE6461">
            <w:pPr>
              <w:rPr>
                <w:sz w:val="20"/>
                <w:szCs w:val="20"/>
              </w:rPr>
            </w:pPr>
            <w:r w:rsidRPr="00BE6461">
              <w:rPr>
                <w:sz w:val="20"/>
                <w:szCs w:val="20"/>
              </w:rPr>
              <w:t>3238</w:t>
            </w:r>
          </w:p>
        </w:tc>
        <w:tc>
          <w:tcPr>
            <w:tcW w:w="8457" w:type="dxa"/>
            <w:tcBorders>
              <w:top w:val="nil"/>
              <w:left w:val="nil"/>
              <w:bottom w:val="nil"/>
              <w:right w:val="nil"/>
            </w:tcBorders>
            <w:shd w:val="clear" w:color="auto" w:fill="auto"/>
            <w:vAlign w:val="bottom"/>
            <w:hideMark/>
          </w:tcPr>
          <w:p w14:paraId="6DE5EEDD" w14:textId="77777777" w:rsidR="00BE6461" w:rsidRPr="00BE6461" w:rsidRDefault="00BE6461" w:rsidP="00BE6461">
            <w:pPr>
              <w:rPr>
                <w:sz w:val="20"/>
                <w:szCs w:val="20"/>
              </w:rPr>
            </w:pPr>
            <w:r w:rsidRPr="00BE6461">
              <w:rPr>
                <w:sz w:val="20"/>
                <w:szCs w:val="20"/>
              </w:rPr>
              <w:t xml:space="preserve">Računalne usluge                                                                                    </w:t>
            </w:r>
          </w:p>
        </w:tc>
        <w:tc>
          <w:tcPr>
            <w:tcW w:w="1503" w:type="dxa"/>
            <w:tcBorders>
              <w:top w:val="nil"/>
              <w:left w:val="nil"/>
              <w:bottom w:val="nil"/>
              <w:right w:val="nil"/>
            </w:tcBorders>
            <w:shd w:val="clear" w:color="auto" w:fill="auto"/>
            <w:noWrap/>
            <w:vAlign w:val="bottom"/>
            <w:hideMark/>
          </w:tcPr>
          <w:p w14:paraId="290977F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B4B2281"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3C77936B" w14:textId="77777777" w:rsidR="00BE6461" w:rsidRPr="00BE6461" w:rsidRDefault="00BE6461" w:rsidP="00BE6461">
            <w:pPr>
              <w:jc w:val="right"/>
              <w:rPr>
                <w:sz w:val="20"/>
                <w:szCs w:val="20"/>
              </w:rPr>
            </w:pPr>
          </w:p>
        </w:tc>
      </w:tr>
      <w:tr w:rsidR="00BE6461" w:rsidRPr="00BE6461" w14:paraId="44D9087C" w14:textId="77777777" w:rsidTr="00BE6461">
        <w:trPr>
          <w:trHeight w:val="300"/>
        </w:trPr>
        <w:tc>
          <w:tcPr>
            <w:tcW w:w="1703" w:type="dxa"/>
            <w:tcBorders>
              <w:top w:val="nil"/>
              <w:left w:val="nil"/>
              <w:bottom w:val="nil"/>
              <w:right w:val="nil"/>
            </w:tcBorders>
            <w:shd w:val="clear" w:color="auto" w:fill="auto"/>
            <w:noWrap/>
            <w:vAlign w:val="bottom"/>
            <w:hideMark/>
          </w:tcPr>
          <w:p w14:paraId="2B42AC4F"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37D927E5"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20DC43D3" w14:textId="77777777" w:rsidR="00BE6461" w:rsidRPr="00BE6461" w:rsidRDefault="00BE6461" w:rsidP="00BE6461">
            <w:pPr>
              <w:jc w:val="right"/>
              <w:rPr>
                <w:b/>
                <w:bCs/>
                <w:sz w:val="20"/>
                <w:szCs w:val="20"/>
              </w:rPr>
            </w:pPr>
            <w:r w:rsidRPr="00BE6461">
              <w:rPr>
                <w:b/>
                <w:bCs/>
                <w:sz w:val="20"/>
                <w:szCs w:val="20"/>
              </w:rPr>
              <w:t>1.100,00</w:t>
            </w:r>
          </w:p>
        </w:tc>
        <w:tc>
          <w:tcPr>
            <w:tcW w:w="1500" w:type="dxa"/>
            <w:tcBorders>
              <w:top w:val="nil"/>
              <w:left w:val="nil"/>
              <w:bottom w:val="nil"/>
              <w:right w:val="nil"/>
            </w:tcBorders>
            <w:shd w:val="clear" w:color="auto" w:fill="auto"/>
            <w:noWrap/>
            <w:vAlign w:val="bottom"/>
            <w:hideMark/>
          </w:tcPr>
          <w:p w14:paraId="3D22C201"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79797DB9"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4BE441F7" w14:textId="77777777" w:rsidTr="00BE6461">
        <w:trPr>
          <w:trHeight w:val="300"/>
        </w:trPr>
        <w:tc>
          <w:tcPr>
            <w:tcW w:w="1703" w:type="dxa"/>
            <w:tcBorders>
              <w:top w:val="nil"/>
              <w:left w:val="nil"/>
              <w:bottom w:val="nil"/>
              <w:right w:val="nil"/>
            </w:tcBorders>
            <w:shd w:val="clear" w:color="auto" w:fill="auto"/>
            <w:noWrap/>
            <w:vAlign w:val="bottom"/>
            <w:hideMark/>
          </w:tcPr>
          <w:p w14:paraId="552754A3" w14:textId="77777777" w:rsidR="00BE6461" w:rsidRPr="00BE6461" w:rsidRDefault="00BE6461" w:rsidP="00BE6461">
            <w:pPr>
              <w:rPr>
                <w:sz w:val="20"/>
                <w:szCs w:val="20"/>
              </w:rPr>
            </w:pPr>
            <w:r w:rsidRPr="00BE6461">
              <w:rPr>
                <w:sz w:val="20"/>
                <w:szCs w:val="20"/>
              </w:rPr>
              <w:t>3293</w:t>
            </w:r>
          </w:p>
        </w:tc>
        <w:tc>
          <w:tcPr>
            <w:tcW w:w="8457" w:type="dxa"/>
            <w:tcBorders>
              <w:top w:val="nil"/>
              <w:left w:val="nil"/>
              <w:bottom w:val="nil"/>
              <w:right w:val="nil"/>
            </w:tcBorders>
            <w:shd w:val="clear" w:color="auto" w:fill="auto"/>
            <w:vAlign w:val="bottom"/>
            <w:hideMark/>
          </w:tcPr>
          <w:p w14:paraId="60E6D804" w14:textId="77777777" w:rsidR="00BE6461" w:rsidRPr="00BE6461" w:rsidRDefault="00BE6461" w:rsidP="00BE6461">
            <w:pPr>
              <w:rPr>
                <w:sz w:val="20"/>
                <w:szCs w:val="20"/>
              </w:rPr>
            </w:pPr>
            <w:r w:rsidRPr="00BE6461">
              <w:rPr>
                <w:sz w:val="20"/>
                <w:szCs w:val="20"/>
              </w:rPr>
              <w:t xml:space="preserve">Reprezentacija                                                                                      </w:t>
            </w:r>
          </w:p>
        </w:tc>
        <w:tc>
          <w:tcPr>
            <w:tcW w:w="1503" w:type="dxa"/>
            <w:tcBorders>
              <w:top w:val="nil"/>
              <w:left w:val="nil"/>
              <w:bottom w:val="nil"/>
              <w:right w:val="nil"/>
            </w:tcBorders>
            <w:shd w:val="clear" w:color="auto" w:fill="auto"/>
            <w:noWrap/>
            <w:vAlign w:val="bottom"/>
            <w:hideMark/>
          </w:tcPr>
          <w:p w14:paraId="12F9F36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9FADFF4"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486E55F4" w14:textId="77777777" w:rsidR="00BE6461" w:rsidRPr="00BE6461" w:rsidRDefault="00BE6461" w:rsidP="00BE6461">
            <w:pPr>
              <w:jc w:val="right"/>
              <w:rPr>
                <w:sz w:val="20"/>
                <w:szCs w:val="20"/>
              </w:rPr>
            </w:pPr>
          </w:p>
        </w:tc>
      </w:tr>
      <w:tr w:rsidR="00BE6461" w:rsidRPr="00BE6461" w14:paraId="2C546D89" w14:textId="77777777" w:rsidTr="00BE6461">
        <w:trPr>
          <w:trHeight w:val="300"/>
        </w:trPr>
        <w:tc>
          <w:tcPr>
            <w:tcW w:w="1703" w:type="dxa"/>
            <w:tcBorders>
              <w:top w:val="nil"/>
              <w:left w:val="nil"/>
              <w:bottom w:val="nil"/>
              <w:right w:val="nil"/>
            </w:tcBorders>
            <w:shd w:val="clear" w:color="auto" w:fill="auto"/>
            <w:noWrap/>
            <w:vAlign w:val="bottom"/>
            <w:hideMark/>
          </w:tcPr>
          <w:p w14:paraId="0EC36FC8" w14:textId="77777777" w:rsidR="00BE6461" w:rsidRPr="00BE6461" w:rsidRDefault="00BE6461" w:rsidP="00BE6461">
            <w:pPr>
              <w:rPr>
                <w:sz w:val="20"/>
                <w:szCs w:val="20"/>
              </w:rPr>
            </w:pPr>
            <w:r w:rsidRPr="00BE6461">
              <w:rPr>
                <w:sz w:val="20"/>
                <w:szCs w:val="20"/>
              </w:rPr>
              <w:t>3295</w:t>
            </w:r>
          </w:p>
        </w:tc>
        <w:tc>
          <w:tcPr>
            <w:tcW w:w="8457" w:type="dxa"/>
            <w:tcBorders>
              <w:top w:val="nil"/>
              <w:left w:val="nil"/>
              <w:bottom w:val="nil"/>
              <w:right w:val="nil"/>
            </w:tcBorders>
            <w:shd w:val="clear" w:color="auto" w:fill="auto"/>
            <w:vAlign w:val="bottom"/>
            <w:hideMark/>
          </w:tcPr>
          <w:p w14:paraId="7AA41755" w14:textId="77777777" w:rsidR="00BE6461" w:rsidRPr="00BE6461" w:rsidRDefault="00BE6461" w:rsidP="00BE6461">
            <w:pPr>
              <w:rPr>
                <w:sz w:val="20"/>
                <w:szCs w:val="20"/>
              </w:rPr>
            </w:pPr>
            <w:r w:rsidRPr="00BE6461">
              <w:rPr>
                <w:sz w:val="20"/>
                <w:szCs w:val="20"/>
              </w:rPr>
              <w:t xml:space="preserve">Pristojbe i naknade                                                                                 </w:t>
            </w:r>
          </w:p>
        </w:tc>
        <w:tc>
          <w:tcPr>
            <w:tcW w:w="1503" w:type="dxa"/>
            <w:tcBorders>
              <w:top w:val="nil"/>
              <w:left w:val="nil"/>
              <w:bottom w:val="nil"/>
              <w:right w:val="nil"/>
            </w:tcBorders>
            <w:shd w:val="clear" w:color="auto" w:fill="auto"/>
            <w:noWrap/>
            <w:vAlign w:val="bottom"/>
            <w:hideMark/>
          </w:tcPr>
          <w:p w14:paraId="0420034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B299354"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6505D8A0" w14:textId="77777777" w:rsidR="00BE6461" w:rsidRPr="00BE6461" w:rsidRDefault="00BE6461" w:rsidP="00BE6461">
            <w:pPr>
              <w:jc w:val="right"/>
              <w:rPr>
                <w:sz w:val="20"/>
                <w:szCs w:val="20"/>
              </w:rPr>
            </w:pPr>
          </w:p>
        </w:tc>
      </w:tr>
      <w:tr w:rsidR="00BE6461" w:rsidRPr="00BE6461" w14:paraId="2D6A68B7" w14:textId="77777777" w:rsidTr="00BE6461">
        <w:trPr>
          <w:trHeight w:val="300"/>
        </w:trPr>
        <w:tc>
          <w:tcPr>
            <w:tcW w:w="1703" w:type="dxa"/>
            <w:tcBorders>
              <w:top w:val="nil"/>
              <w:left w:val="nil"/>
              <w:bottom w:val="nil"/>
              <w:right w:val="nil"/>
            </w:tcBorders>
            <w:shd w:val="clear" w:color="auto" w:fill="auto"/>
            <w:noWrap/>
            <w:vAlign w:val="bottom"/>
            <w:hideMark/>
          </w:tcPr>
          <w:p w14:paraId="3DFADA77" w14:textId="77777777" w:rsidR="00BE6461" w:rsidRPr="00BE6461" w:rsidRDefault="00BE6461" w:rsidP="00BE6461">
            <w:pPr>
              <w:rPr>
                <w:b/>
                <w:bCs/>
                <w:sz w:val="20"/>
                <w:szCs w:val="20"/>
              </w:rPr>
            </w:pPr>
            <w:r w:rsidRPr="00BE6461">
              <w:rPr>
                <w:b/>
                <w:bCs/>
                <w:sz w:val="20"/>
                <w:szCs w:val="20"/>
              </w:rPr>
              <w:t>343</w:t>
            </w:r>
          </w:p>
        </w:tc>
        <w:tc>
          <w:tcPr>
            <w:tcW w:w="8457" w:type="dxa"/>
            <w:tcBorders>
              <w:top w:val="nil"/>
              <w:left w:val="nil"/>
              <w:bottom w:val="nil"/>
              <w:right w:val="nil"/>
            </w:tcBorders>
            <w:shd w:val="clear" w:color="auto" w:fill="auto"/>
            <w:vAlign w:val="bottom"/>
            <w:hideMark/>
          </w:tcPr>
          <w:p w14:paraId="5B9BDBD3" w14:textId="77777777" w:rsidR="00BE6461" w:rsidRPr="00BE6461" w:rsidRDefault="00BE6461" w:rsidP="00BE6461">
            <w:pPr>
              <w:rPr>
                <w:b/>
                <w:bCs/>
                <w:sz w:val="20"/>
                <w:szCs w:val="20"/>
              </w:rPr>
            </w:pPr>
            <w:r w:rsidRPr="00BE6461">
              <w:rPr>
                <w:b/>
                <w:bCs/>
                <w:sz w:val="20"/>
                <w:szCs w:val="20"/>
              </w:rPr>
              <w:t xml:space="preserve">Ostali financijski rashodi                                                                          </w:t>
            </w:r>
          </w:p>
        </w:tc>
        <w:tc>
          <w:tcPr>
            <w:tcW w:w="1503" w:type="dxa"/>
            <w:tcBorders>
              <w:top w:val="nil"/>
              <w:left w:val="nil"/>
              <w:bottom w:val="nil"/>
              <w:right w:val="nil"/>
            </w:tcBorders>
            <w:shd w:val="clear" w:color="auto" w:fill="auto"/>
            <w:noWrap/>
            <w:vAlign w:val="bottom"/>
            <w:hideMark/>
          </w:tcPr>
          <w:p w14:paraId="054D0A45" w14:textId="77777777" w:rsidR="00BE6461" w:rsidRPr="00BE6461" w:rsidRDefault="00BE6461" w:rsidP="00BE6461">
            <w:pPr>
              <w:jc w:val="right"/>
              <w:rPr>
                <w:b/>
                <w:bCs/>
                <w:sz w:val="20"/>
                <w:szCs w:val="20"/>
              </w:rPr>
            </w:pPr>
            <w:r w:rsidRPr="00BE6461">
              <w:rPr>
                <w:b/>
                <w:bCs/>
                <w:sz w:val="20"/>
                <w:szCs w:val="20"/>
              </w:rPr>
              <w:t>150,00</w:t>
            </w:r>
          </w:p>
        </w:tc>
        <w:tc>
          <w:tcPr>
            <w:tcW w:w="1500" w:type="dxa"/>
            <w:tcBorders>
              <w:top w:val="nil"/>
              <w:left w:val="nil"/>
              <w:bottom w:val="nil"/>
              <w:right w:val="nil"/>
            </w:tcBorders>
            <w:shd w:val="clear" w:color="auto" w:fill="auto"/>
            <w:noWrap/>
            <w:vAlign w:val="bottom"/>
            <w:hideMark/>
          </w:tcPr>
          <w:p w14:paraId="778F99A8" w14:textId="77777777" w:rsidR="00BE6461" w:rsidRPr="00BE6461" w:rsidRDefault="00BE6461" w:rsidP="00BE6461">
            <w:pPr>
              <w:jc w:val="right"/>
              <w:rPr>
                <w:b/>
                <w:bCs/>
                <w:sz w:val="20"/>
                <w:szCs w:val="20"/>
              </w:rPr>
            </w:pPr>
            <w:r w:rsidRPr="00BE6461">
              <w:rPr>
                <w:b/>
                <w:bCs/>
                <w:sz w:val="20"/>
                <w:szCs w:val="20"/>
              </w:rPr>
              <w:t>6,31</w:t>
            </w:r>
          </w:p>
        </w:tc>
        <w:tc>
          <w:tcPr>
            <w:tcW w:w="1100" w:type="dxa"/>
            <w:tcBorders>
              <w:top w:val="nil"/>
              <w:left w:val="nil"/>
              <w:bottom w:val="nil"/>
              <w:right w:val="nil"/>
            </w:tcBorders>
            <w:shd w:val="clear" w:color="auto" w:fill="auto"/>
            <w:noWrap/>
            <w:vAlign w:val="bottom"/>
            <w:hideMark/>
          </w:tcPr>
          <w:p w14:paraId="5B06C2C2" w14:textId="77777777" w:rsidR="00BE6461" w:rsidRPr="00BE6461" w:rsidRDefault="00BE6461" w:rsidP="00BE6461">
            <w:pPr>
              <w:jc w:val="right"/>
              <w:rPr>
                <w:b/>
                <w:bCs/>
                <w:sz w:val="20"/>
                <w:szCs w:val="20"/>
              </w:rPr>
            </w:pPr>
            <w:r w:rsidRPr="00BE6461">
              <w:rPr>
                <w:b/>
                <w:bCs/>
                <w:sz w:val="20"/>
                <w:szCs w:val="20"/>
              </w:rPr>
              <w:t>4,21</w:t>
            </w:r>
          </w:p>
        </w:tc>
      </w:tr>
      <w:tr w:rsidR="00BE6461" w:rsidRPr="00BE6461" w14:paraId="2505DB1A" w14:textId="77777777" w:rsidTr="00BE6461">
        <w:trPr>
          <w:trHeight w:val="300"/>
        </w:trPr>
        <w:tc>
          <w:tcPr>
            <w:tcW w:w="1703" w:type="dxa"/>
            <w:tcBorders>
              <w:top w:val="nil"/>
              <w:left w:val="nil"/>
              <w:bottom w:val="nil"/>
              <w:right w:val="nil"/>
            </w:tcBorders>
            <w:shd w:val="clear" w:color="auto" w:fill="auto"/>
            <w:noWrap/>
            <w:vAlign w:val="bottom"/>
            <w:hideMark/>
          </w:tcPr>
          <w:p w14:paraId="663FFEF5" w14:textId="77777777" w:rsidR="00BE6461" w:rsidRPr="00BE6461" w:rsidRDefault="00BE6461" w:rsidP="00BE6461">
            <w:pPr>
              <w:rPr>
                <w:sz w:val="20"/>
                <w:szCs w:val="20"/>
              </w:rPr>
            </w:pPr>
            <w:r w:rsidRPr="00BE6461">
              <w:rPr>
                <w:sz w:val="20"/>
                <w:szCs w:val="20"/>
              </w:rPr>
              <w:t>3432</w:t>
            </w:r>
          </w:p>
        </w:tc>
        <w:tc>
          <w:tcPr>
            <w:tcW w:w="8457" w:type="dxa"/>
            <w:tcBorders>
              <w:top w:val="nil"/>
              <w:left w:val="nil"/>
              <w:bottom w:val="nil"/>
              <w:right w:val="nil"/>
            </w:tcBorders>
            <w:shd w:val="clear" w:color="auto" w:fill="auto"/>
            <w:vAlign w:val="bottom"/>
            <w:hideMark/>
          </w:tcPr>
          <w:p w14:paraId="4024EBF9" w14:textId="77777777" w:rsidR="00BE6461" w:rsidRPr="00BE6461" w:rsidRDefault="00BE6461" w:rsidP="00BE6461">
            <w:pPr>
              <w:rPr>
                <w:sz w:val="20"/>
                <w:szCs w:val="20"/>
              </w:rPr>
            </w:pPr>
            <w:r w:rsidRPr="00BE6461">
              <w:rPr>
                <w:sz w:val="20"/>
                <w:szCs w:val="20"/>
              </w:rPr>
              <w:t xml:space="preserve">Negativne tečajne razlike i razlike zbog primjene valutne klauzule                                  </w:t>
            </w:r>
          </w:p>
        </w:tc>
        <w:tc>
          <w:tcPr>
            <w:tcW w:w="1503" w:type="dxa"/>
            <w:tcBorders>
              <w:top w:val="nil"/>
              <w:left w:val="nil"/>
              <w:bottom w:val="nil"/>
              <w:right w:val="nil"/>
            </w:tcBorders>
            <w:shd w:val="clear" w:color="auto" w:fill="auto"/>
            <w:noWrap/>
            <w:vAlign w:val="bottom"/>
            <w:hideMark/>
          </w:tcPr>
          <w:p w14:paraId="637D89AB"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21759A2" w14:textId="77777777" w:rsidR="00BE6461" w:rsidRPr="00BE6461" w:rsidRDefault="00BE6461" w:rsidP="00BE6461">
            <w:pPr>
              <w:jc w:val="right"/>
              <w:rPr>
                <w:sz w:val="20"/>
                <w:szCs w:val="20"/>
              </w:rPr>
            </w:pPr>
            <w:r w:rsidRPr="00BE6461">
              <w:rPr>
                <w:sz w:val="20"/>
                <w:szCs w:val="20"/>
              </w:rPr>
              <w:t>3,50</w:t>
            </w:r>
          </w:p>
        </w:tc>
        <w:tc>
          <w:tcPr>
            <w:tcW w:w="1100" w:type="dxa"/>
            <w:tcBorders>
              <w:top w:val="nil"/>
              <w:left w:val="nil"/>
              <w:bottom w:val="nil"/>
              <w:right w:val="nil"/>
            </w:tcBorders>
            <w:shd w:val="clear" w:color="auto" w:fill="auto"/>
            <w:noWrap/>
            <w:vAlign w:val="bottom"/>
            <w:hideMark/>
          </w:tcPr>
          <w:p w14:paraId="34D68700" w14:textId="77777777" w:rsidR="00BE6461" w:rsidRPr="00BE6461" w:rsidRDefault="00BE6461" w:rsidP="00BE6461">
            <w:pPr>
              <w:jc w:val="right"/>
              <w:rPr>
                <w:sz w:val="20"/>
                <w:szCs w:val="20"/>
              </w:rPr>
            </w:pPr>
          </w:p>
        </w:tc>
      </w:tr>
      <w:tr w:rsidR="00BE6461" w:rsidRPr="00BE6461" w14:paraId="4DCACD5D" w14:textId="77777777" w:rsidTr="00BE6461">
        <w:trPr>
          <w:trHeight w:val="300"/>
        </w:trPr>
        <w:tc>
          <w:tcPr>
            <w:tcW w:w="1703" w:type="dxa"/>
            <w:tcBorders>
              <w:top w:val="nil"/>
              <w:left w:val="nil"/>
              <w:bottom w:val="nil"/>
              <w:right w:val="nil"/>
            </w:tcBorders>
            <w:shd w:val="clear" w:color="auto" w:fill="auto"/>
            <w:noWrap/>
            <w:vAlign w:val="bottom"/>
            <w:hideMark/>
          </w:tcPr>
          <w:p w14:paraId="6CB32E96" w14:textId="77777777" w:rsidR="00BE6461" w:rsidRPr="00BE6461" w:rsidRDefault="00BE6461" w:rsidP="00BE6461">
            <w:pPr>
              <w:rPr>
                <w:sz w:val="20"/>
                <w:szCs w:val="20"/>
              </w:rPr>
            </w:pPr>
            <w:r w:rsidRPr="00BE6461">
              <w:rPr>
                <w:sz w:val="20"/>
                <w:szCs w:val="20"/>
              </w:rPr>
              <w:t>3433</w:t>
            </w:r>
          </w:p>
        </w:tc>
        <w:tc>
          <w:tcPr>
            <w:tcW w:w="8457" w:type="dxa"/>
            <w:tcBorders>
              <w:top w:val="nil"/>
              <w:left w:val="nil"/>
              <w:bottom w:val="nil"/>
              <w:right w:val="nil"/>
            </w:tcBorders>
            <w:shd w:val="clear" w:color="auto" w:fill="auto"/>
            <w:vAlign w:val="bottom"/>
            <w:hideMark/>
          </w:tcPr>
          <w:p w14:paraId="310F2EE6" w14:textId="77777777" w:rsidR="00BE6461" w:rsidRPr="00BE6461" w:rsidRDefault="00BE6461" w:rsidP="00BE6461">
            <w:pPr>
              <w:rPr>
                <w:sz w:val="20"/>
                <w:szCs w:val="20"/>
              </w:rPr>
            </w:pPr>
            <w:r w:rsidRPr="00BE6461">
              <w:rPr>
                <w:sz w:val="20"/>
                <w:szCs w:val="20"/>
              </w:rPr>
              <w:t xml:space="preserve">Zatezne kamate                                                                                      </w:t>
            </w:r>
          </w:p>
        </w:tc>
        <w:tc>
          <w:tcPr>
            <w:tcW w:w="1503" w:type="dxa"/>
            <w:tcBorders>
              <w:top w:val="nil"/>
              <w:left w:val="nil"/>
              <w:bottom w:val="nil"/>
              <w:right w:val="nil"/>
            </w:tcBorders>
            <w:shd w:val="clear" w:color="auto" w:fill="auto"/>
            <w:noWrap/>
            <w:vAlign w:val="bottom"/>
            <w:hideMark/>
          </w:tcPr>
          <w:p w14:paraId="2E86F18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9EC2521" w14:textId="77777777" w:rsidR="00BE6461" w:rsidRPr="00BE6461" w:rsidRDefault="00BE6461" w:rsidP="00BE6461">
            <w:pPr>
              <w:jc w:val="right"/>
              <w:rPr>
                <w:sz w:val="20"/>
                <w:szCs w:val="20"/>
              </w:rPr>
            </w:pPr>
            <w:r w:rsidRPr="00BE6461">
              <w:rPr>
                <w:sz w:val="20"/>
                <w:szCs w:val="20"/>
              </w:rPr>
              <w:t>2,81</w:t>
            </w:r>
          </w:p>
        </w:tc>
        <w:tc>
          <w:tcPr>
            <w:tcW w:w="1100" w:type="dxa"/>
            <w:tcBorders>
              <w:top w:val="nil"/>
              <w:left w:val="nil"/>
              <w:bottom w:val="nil"/>
              <w:right w:val="nil"/>
            </w:tcBorders>
            <w:shd w:val="clear" w:color="auto" w:fill="auto"/>
            <w:noWrap/>
            <w:vAlign w:val="bottom"/>
            <w:hideMark/>
          </w:tcPr>
          <w:p w14:paraId="4359241A" w14:textId="77777777" w:rsidR="00BE6461" w:rsidRPr="00BE6461" w:rsidRDefault="00BE6461" w:rsidP="00BE6461">
            <w:pPr>
              <w:jc w:val="right"/>
              <w:rPr>
                <w:sz w:val="20"/>
                <w:szCs w:val="20"/>
              </w:rPr>
            </w:pPr>
          </w:p>
        </w:tc>
      </w:tr>
      <w:tr w:rsidR="00BE6461" w:rsidRPr="00BE6461" w14:paraId="7EE759C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8355368"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30CDA8D4" w14:textId="77777777" w:rsidR="00BE6461" w:rsidRPr="00BE6461" w:rsidRDefault="00BE6461" w:rsidP="00BE6461">
            <w:pPr>
              <w:jc w:val="right"/>
              <w:rPr>
                <w:b/>
                <w:bCs/>
                <w:color w:val="333333"/>
                <w:sz w:val="20"/>
                <w:szCs w:val="20"/>
              </w:rPr>
            </w:pPr>
            <w:r w:rsidRPr="00BE6461">
              <w:rPr>
                <w:b/>
                <w:bCs/>
                <w:color w:val="333333"/>
                <w:sz w:val="20"/>
                <w:szCs w:val="20"/>
              </w:rPr>
              <w:t>5.146,57</w:t>
            </w:r>
          </w:p>
        </w:tc>
        <w:tc>
          <w:tcPr>
            <w:tcW w:w="1500" w:type="dxa"/>
            <w:tcBorders>
              <w:top w:val="nil"/>
              <w:left w:val="nil"/>
              <w:bottom w:val="nil"/>
              <w:right w:val="nil"/>
            </w:tcBorders>
            <w:shd w:val="clear" w:color="auto" w:fill="auto"/>
            <w:noWrap/>
            <w:vAlign w:val="bottom"/>
            <w:hideMark/>
          </w:tcPr>
          <w:p w14:paraId="5CD2A428" w14:textId="77777777" w:rsidR="00BE6461" w:rsidRPr="00BE6461" w:rsidRDefault="00BE6461" w:rsidP="00BE6461">
            <w:pPr>
              <w:jc w:val="right"/>
              <w:rPr>
                <w:b/>
                <w:bCs/>
                <w:color w:val="333333"/>
                <w:sz w:val="20"/>
                <w:szCs w:val="20"/>
              </w:rPr>
            </w:pPr>
            <w:r w:rsidRPr="00BE6461">
              <w:rPr>
                <w:b/>
                <w:bCs/>
                <w:color w:val="333333"/>
                <w:sz w:val="20"/>
                <w:szCs w:val="20"/>
              </w:rPr>
              <w:t>4.420,08</w:t>
            </w:r>
          </w:p>
        </w:tc>
        <w:tc>
          <w:tcPr>
            <w:tcW w:w="1100" w:type="dxa"/>
            <w:tcBorders>
              <w:top w:val="nil"/>
              <w:left w:val="nil"/>
              <w:bottom w:val="nil"/>
              <w:right w:val="nil"/>
            </w:tcBorders>
            <w:shd w:val="clear" w:color="auto" w:fill="auto"/>
            <w:noWrap/>
            <w:vAlign w:val="bottom"/>
            <w:hideMark/>
          </w:tcPr>
          <w:p w14:paraId="17F075E4" w14:textId="77777777" w:rsidR="00BE6461" w:rsidRPr="00BE6461" w:rsidRDefault="00BE6461" w:rsidP="00BE6461">
            <w:pPr>
              <w:jc w:val="right"/>
              <w:rPr>
                <w:b/>
                <w:bCs/>
                <w:color w:val="333333"/>
                <w:sz w:val="20"/>
                <w:szCs w:val="20"/>
              </w:rPr>
            </w:pPr>
            <w:r w:rsidRPr="00BE6461">
              <w:rPr>
                <w:b/>
                <w:bCs/>
                <w:color w:val="333333"/>
                <w:sz w:val="20"/>
                <w:szCs w:val="20"/>
              </w:rPr>
              <w:t>85,88</w:t>
            </w:r>
          </w:p>
        </w:tc>
      </w:tr>
      <w:tr w:rsidR="00BE6461" w:rsidRPr="00BE6461" w14:paraId="6B01212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C6B4E95" w14:textId="77777777" w:rsidR="00BE6461" w:rsidRPr="00BE6461" w:rsidRDefault="00BE6461" w:rsidP="00BE6461">
            <w:pPr>
              <w:rPr>
                <w:b/>
                <w:bCs/>
                <w:color w:val="333333"/>
                <w:sz w:val="20"/>
                <w:szCs w:val="20"/>
              </w:rPr>
            </w:pPr>
            <w:r w:rsidRPr="00BE6461">
              <w:rPr>
                <w:b/>
                <w:bCs/>
                <w:color w:val="333333"/>
                <w:sz w:val="20"/>
                <w:szCs w:val="20"/>
              </w:rPr>
              <w:lastRenderedPageBreak/>
              <w:t>Izvor 4.7. PRIHODI POSEBNE NAMJENE - PRORAČUNSKI KORISNICI</w:t>
            </w:r>
          </w:p>
        </w:tc>
        <w:tc>
          <w:tcPr>
            <w:tcW w:w="1503" w:type="dxa"/>
            <w:tcBorders>
              <w:top w:val="nil"/>
              <w:left w:val="nil"/>
              <w:bottom w:val="nil"/>
              <w:right w:val="nil"/>
            </w:tcBorders>
            <w:shd w:val="clear" w:color="auto" w:fill="auto"/>
            <w:noWrap/>
            <w:vAlign w:val="bottom"/>
            <w:hideMark/>
          </w:tcPr>
          <w:p w14:paraId="0BB25B36" w14:textId="77777777" w:rsidR="00BE6461" w:rsidRPr="00BE6461" w:rsidRDefault="00BE6461" w:rsidP="00BE6461">
            <w:pPr>
              <w:jc w:val="right"/>
              <w:rPr>
                <w:b/>
                <w:bCs/>
                <w:color w:val="333333"/>
                <w:sz w:val="20"/>
                <w:szCs w:val="20"/>
              </w:rPr>
            </w:pPr>
            <w:r w:rsidRPr="00BE6461">
              <w:rPr>
                <w:b/>
                <w:bCs/>
                <w:color w:val="333333"/>
                <w:sz w:val="20"/>
                <w:szCs w:val="20"/>
              </w:rPr>
              <w:t>5.146,57</w:t>
            </w:r>
          </w:p>
        </w:tc>
        <w:tc>
          <w:tcPr>
            <w:tcW w:w="1500" w:type="dxa"/>
            <w:tcBorders>
              <w:top w:val="nil"/>
              <w:left w:val="nil"/>
              <w:bottom w:val="nil"/>
              <w:right w:val="nil"/>
            </w:tcBorders>
            <w:shd w:val="clear" w:color="auto" w:fill="auto"/>
            <w:noWrap/>
            <w:vAlign w:val="bottom"/>
            <w:hideMark/>
          </w:tcPr>
          <w:p w14:paraId="5461D91E" w14:textId="77777777" w:rsidR="00BE6461" w:rsidRPr="00BE6461" w:rsidRDefault="00BE6461" w:rsidP="00BE6461">
            <w:pPr>
              <w:jc w:val="right"/>
              <w:rPr>
                <w:b/>
                <w:bCs/>
                <w:color w:val="333333"/>
                <w:sz w:val="20"/>
                <w:szCs w:val="20"/>
              </w:rPr>
            </w:pPr>
            <w:r w:rsidRPr="00BE6461">
              <w:rPr>
                <w:b/>
                <w:bCs/>
                <w:color w:val="333333"/>
                <w:sz w:val="20"/>
                <w:szCs w:val="20"/>
              </w:rPr>
              <w:t>4.420,08</w:t>
            </w:r>
          </w:p>
        </w:tc>
        <w:tc>
          <w:tcPr>
            <w:tcW w:w="1100" w:type="dxa"/>
            <w:tcBorders>
              <w:top w:val="nil"/>
              <w:left w:val="nil"/>
              <w:bottom w:val="nil"/>
              <w:right w:val="nil"/>
            </w:tcBorders>
            <w:shd w:val="clear" w:color="auto" w:fill="auto"/>
            <w:noWrap/>
            <w:vAlign w:val="bottom"/>
            <w:hideMark/>
          </w:tcPr>
          <w:p w14:paraId="48D33E12" w14:textId="77777777" w:rsidR="00BE6461" w:rsidRPr="00BE6461" w:rsidRDefault="00BE6461" w:rsidP="00BE6461">
            <w:pPr>
              <w:jc w:val="right"/>
              <w:rPr>
                <w:b/>
                <w:bCs/>
                <w:color w:val="333333"/>
                <w:sz w:val="20"/>
                <w:szCs w:val="20"/>
              </w:rPr>
            </w:pPr>
            <w:r w:rsidRPr="00BE6461">
              <w:rPr>
                <w:b/>
                <w:bCs/>
                <w:color w:val="333333"/>
                <w:sz w:val="20"/>
                <w:szCs w:val="20"/>
              </w:rPr>
              <w:t>85,88</w:t>
            </w:r>
          </w:p>
        </w:tc>
      </w:tr>
      <w:tr w:rsidR="00BE6461" w:rsidRPr="00BE6461" w14:paraId="13DD3964" w14:textId="77777777" w:rsidTr="00BE6461">
        <w:trPr>
          <w:trHeight w:val="300"/>
        </w:trPr>
        <w:tc>
          <w:tcPr>
            <w:tcW w:w="1703" w:type="dxa"/>
            <w:tcBorders>
              <w:top w:val="nil"/>
              <w:left w:val="nil"/>
              <w:bottom w:val="nil"/>
              <w:right w:val="nil"/>
            </w:tcBorders>
            <w:shd w:val="clear" w:color="auto" w:fill="auto"/>
            <w:noWrap/>
            <w:vAlign w:val="bottom"/>
            <w:hideMark/>
          </w:tcPr>
          <w:p w14:paraId="25612B6F"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1BCC1492"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7F3DF74F" w14:textId="77777777" w:rsidR="00BE6461" w:rsidRPr="00BE6461" w:rsidRDefault="00BE6461" w:rsidP="00BE6461">
            <w:pPr>
              <w:jc w:val="right"/>
              <w:rPr>
                <w:b/>
                <w:bCs/>
                <w:sz w:val="20"/>
                <w:szCs w:val="20"/>
              </w:rPr>
            </w:pPr>
            <w:r w:rsidRPr="00BE6461">
              <w:rPr>
                <w:b/>
                <w:bCs/>
                <w:sz w:val="20"/>
                <w:szCs w:val="20"/>
              </w:rPr>
              <w:t>4.846,57</w:t>
            </w:r>
          </w:p>
        </w:tc>
        <w:tc>
          <w:tcPr>
            <w:tcW w:w="1500" w:type="dxa"/>
            <w:tcBorders>
              <w:top w:val="nil"/>
              <w:left w:val="nil"/>
              <w:bottom w:val="nil"/>
              <w:right w:val="nil"/>
            </w:tcBorders>
            <w:shd w:val="clear" w:color="auto" w:fill="auto"/>
            <w:noWrap/>
            <w:vAlign w:val="bottom"/>
            <w:hideMark/>
          </w:tcPr>
          <w:p w14:paraId="07457C7A" w14:textId="77777777" w:rsidR="00BE6461" w:rsidRPr="00BE6461" w:rsidRDefault="00BE6461" w:rsidP="00BE6461">
            <w:pPr>
              <w:jc w:val="right"/>
              <w:rPr>
                <w:b/>
                <w:bCs/>
                <w:sz w:val="20"/>
                <w:szCs w:val="20"/>
              </w:rPr>
            </w:pPr>
            <w:r w:rsidRPr="00BE6461">
              <w:rPr>
                <w:b/>
                <w:bCs/>
                <w:sz w:val="20"/>
                <w:szCs w:val="20"/>
              </w:rPr>
              <w:t>4.132,08</w:t>
            </w:r>
          </w:p>
        </w:tc>
        <w:tc>
          <w:tcPr>
            <w:tcW w:w="1100" w:type="dxa"/>
            <w:tcBorders>
              <w:top w:val="nil"/>
              <w:left w:val="nil"/>
              <w:bottom w:val="nil"/>
              <w:right w:val="nil"/>
            </w:tcBorders>
            <w:shd w:val="clear" w:color="auto" w:fill="auto"/>
            <w:noWrap/>
            <w:vAlign w:val="bottom"/>
            <w:hideMark/>
          </w:tcPr>
          <w:p w14:paraId="0FC501A8" w14:textId="77777777" w:rsidR="00BE6461" w:rsidRPr="00BE6461" w:rsidRDefault="00BE6461" w:rsidP="00BE6461">
            <w:pPr>
              <w:jc w:val="right"/>
              <w:rPr>
                <w:b/>
                <w:bCs/>
                <w:sz w:val="20"/>
                <w:szCs w:val="20"/>
              </w:rPr>
            </w:pPr>
            <w:r w:rsidRPr="00BE6461">
              <w:rPr>
                <w:b/>
                <w:bCs/>
                <w:sz w:val="20"/>
                <w:szCs w:val="20"/>
              </w:rPr>
              <w:t>85,26</w:t>
            </w:r>
          </w:p>
        </w:tc>
      </w:tr>
      <w:tr w:rsidR="00BE6461" w:rsidRPr="00BE6461" w14:paraId="7CEED9BD" w14:textId="77777777" w:rsidTr="00BE6461">
        <w:trPr>
          <w:trHeight w:val="300"/>
        </w:trPr>
        <w:tc>
          <w:tcPr>
            <w:tcW w:w="1703" w:type="dxa"/>
            <w:tcBorders>
              <w:top w:val="nil"/>
              <w:left w:val="nil"/>
              <w:bottom w:val="nil"/>
              <w:right w:val="nil"/>
            </w:tcBorders>
            <w:shd w:val="clear" w:color="auto" w:fill="auto"/>
            <w:noWrap/>
            <w:vAlign w:val="bottom"/>
            <w:hideMark/>
          </w:tcPr>
          <w:p w14:paraId="28EF5D03" w14:textId="77777777" w:rsidR="00BE6461" w:rsidRPr="00BE6461" w:rsidRDefault="00BE6461" w:rsidP="00BE6461">
            <w:pPr>
              <w:rPr>
                <w:sz w:val="20"/>
                <w:szCs w:val="20"/>
              </w:rPr>
            </w:pPr>
            <w:r w:rsidRPr="00BE6461">
              <w:rPr>
                <w:sz w:val="20"/>
                <w:szCs w:val="20"/>
              </w:rPr>
              <w:t>3238</w:t>
            </w:r>
          </w:p>
        </w:tc>
        <w:tc>
          <w:tcPr>
            <w:tcW w:w="8457" w:type="dxa"/>
            <w:tcBorders>
              <w:top w:val="nil"/>
              <w:left w:val="nil"/>
              <w:bottom w:val="nil"/>
              <w:right w:val="nil"/>
            </w:tcBorders>
            <w:shd w:val="clear" w:color="auto" w:fill="auto"/>
            <w:vAlign w:val="bottom"/>
            <w:hideMark/>
          </w:tcPr>
          <w:p w14:paraId="01D011F6" w14:textId="77777777" w:rsidR="00BE6461" w:rsidRPr="00BE6461" w:rsidRDefault="00BE6461" w:rsidP="00BE6461">
            <w:pPr>
              <w:rPr>
                <w:sz w:val="20"/>
                <w:szCs w:val="20"/>
              </w:rPr>
            </w:pPr>
            <w:r w:rsidRPr="00BE6461">
              <w:rPr>
                <w:sz w:val="20"/>
                <w:szCs w:val="20"/>
              </w:rPr>
              <w:t xml:space="preserve">Računalne usluge                                                                                    </w:t>
            </w:r>
          </w:p>
        </w:tc>
        <w:tc>
          <w:tcPr>
            <w:tcW w:w="1503" w:type="dxa"/>
            <w:tcBorders>
              <w:top w:val="nil"/>
              <w:left w:val="nil"/>
              <w:bottom w:val="nil"/>
              <w:right w:val="nil"/>
            </w:tcBorders>
            <w:shd w:val="clear" w:color="auto" w:fill="auto"/>
            <w:noWrap/>
            <w:vAlign w:val="bottom"/>
            <w:hideMark/>
          </w:tcPr>
          <w:p w14:paraId="264DC3F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0648E8B" w14:textId="77777777" w:rsidR="00BE6461" w:rsidRPr="00BE6461" w:rsidRDefault="00BE6461" w:rsidP="00BE6461">
            <w:pPr>
              <w:jc w:val="right"/>
              <w:rPr>
                <w:sz w:val="20"/>
                <w:szCs w:val="20"/>
              </w:rPr>
            </w:pPr>
            <w:r w:rsidRPr="00BE6461">
              <w:rPr>
                <w:sz w:val="20"/>
                <w:szCs w:val="20"/>
              </w:rPr>
              <w:t>4.132,08</w:t>
            </w:r>
          </w:p>
        </w:tc>
        <w:tc>
          <w:tcPr>
            <w:tcW w:w="1100" w:type="dxa"/>
            <w:tcBorders>
              <w:top w:val="nil"/>
              <w:left w:val="nil"/>
              <w:bottom w:val="nil"/>
              <w:right w:val="nil"/>
            </w:tcBorders>
            <w:shd w:val="clear" w:color="auto" w:fill="auto"/>
            <w:noWrap/>
            <w:vAlign w:val="bottom"/>
            <w:hideMark/>
          </w:tcPr>
          <w:p w14:paraId="7CBD1580" w14:textId="77777777" w:rsidR="00BE6461" w:rsidRPr="00BE6461" w:rsidRDefault="00BE6461" w:rsidP="00BE6461">
            <w:pPr>
              <w:jc w:val="right"/>
              <w:rPr>
                <w:sz w:val="20"/>
                <w:szCs w:val="20"/>
              </w:rPr>
            </w:pPr>
          </w:p>
        </w:tc>
      </w:tr>
      <w:tr w:rsidR="00BE6461" w:rsidRPr="00BE6461" w14:paraId="6DE1F9E3" w14:textId="77777777" w:rsidTr="00BE6461">
        <w:trPr>
          <w:trHeight w:val="300"/>
        </w:trPr>
        <w:tc>
          <w:tcPr>
            <w:tcW w:w="1703" w:type="dxa"/>
            <w:tcBorders>
              <w:top w:val="nil"/>
              <w:left w:val="nil"/>
              <w:bottom w:val="nil"/>
              <w:right w:val="nil"/>
            </w:tcBorders>
            <w:shd w:val="clear" w:color="auto" w:fill="auto"/>
            <w:noWrap/>
            <w:vAlign w:val="bottom"/>
            <w:hideMark/>
          </w:tcPr>
          <w:p w14:paraId="72242CCE"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70D7D27E"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22B32F20" w14:textId="77777777" w:rsidR="00BE6461" w:rsidRPr="00BE6461" w:rsidRDefault="00BE6461" w:rsidP="00BE6461">
            <w:pPr>
              <w:jc w:val="right"/>
              <w:rPr>
                <w:b/>
                <w:bCs/>
                <w:sz w:val="20"/>
                <w:szCs w:val="20"/>
              </w:rPr>
            </w:pPr>
            <w:r w:rsidRPr="00BE6461">
              <w:rPr>
                <w:b/>
                <w:bCs/>
                <w:sz w:val="20"/>
                <w:szCs w:val="20"/>
              </w:rPr>
              <w:t>300,00</w:t>
            </w:r>
          </w:p>
        </w:tc>
        <w:tc>
          <w:tcPr>
            <w:tcW w:w="1500" w:type="dxa"/>
            <w:tcBorders>
              <w:top w:val="nil"/>
              <w:left w:val="nil"/>
              <w:bottom w:val="nil"/>
              <w:right w:val="nil"/>
            </w:tcBorders>
            <w:shd w:val="clear" w:color="auto" w:fill="auto"/>
            <w:noWrap/>
            <w:vAlign w:val="bottom"/>
            <w:hideMark/>
          </w:tcPr>
          <w:p w14:paraId="4F23A223" w14:textId="77777777" w:rsidR="00BE6461" w:rsidRPr="00BE6461" w:rsidRDefault="00BE6461" w:rsidP="00BE6461">
            <w:pPr>
              <w:jc w:val="right"/>
              <w:rPr>
                <w:b/>
                <w:bCs/>
                <w:sz w:val="20"/>
                <w:szCs w:val="20"/>
              </w:rPr>
            </w:pPr>
            <w:r w:rsidRPr="00BE6461">
              <w:rPr>
                <w:b/>
                <w:bCs/>
                <w:sz w:val="20"/>
                <w:szCs w:val="20"/>
              </w:rPr>
              <w:t>288,00</w:t>
            </w:r>
          </w:p>
        </w:tc>
        <w:tc>
          <w:tcPr>
            <w:tcW w:w="1100" w:type="dxa"/>
            <w:tcBorders>
              <w:top w:val="nil"/>
              <w:left w:val="nil"/>
              <w:bottom w:val="nil"/>
              <w:right w:val="nil"/>
            </w:tcBorders>
            <w:shd w:val="clear" w:color="auto" w:fill="auto"/>
            <w:noWrap/>
            <w:vAlign w:val="bottom"/>
            <w:hideMark/>
          </w:tcPr>
          <w:p w14:paraId="250FE572" w14:textId="77777777" w:rsidR="00BE6461" w:rsidRPr="00BE6461" w:rsidRDefault="00BE6461" w:rsidP="00BE6461">
            <w:pPr>
              <w:jc w:val="right"/>
              <w:rPr>
                <w:b/>
                <w:bCs/>
                <w:sz w:val="20"/>
                <w:szCs w:val="20"/>
              </w:rPr>
            </w:pPr>
            <w:r w:rsidRPr="00BE6461">
              <w:rPr>
                <w:b/>
                <w:bCs/>
                <w:sz w:val="20"/>
                <w:szCs w:val="20"/>
              </w:rPr>
              <w:t>96,00</w:t>
            </w:r>
          </w:p>
        </w:tc>
      </w:tr>
      <w:tr w:rsidR="00BE6461" w:rsidRPr="00BE6461" w14:paraId="12A35E41" w14:textId="77777777" w:rsidTr="00BE6461">
        <w:trPr>
          <w:trHeight w:val="300"/>
        </w:trPr>
        <w:tc>
          <w:tcPr>
            <w:tcW w:w="1703" w:type="dxa"/>
            <w:tcBorders>
              <w:top w:val="nil"/>
              <w:left w:val="nil"/>
              <w:bottom w:val="nil"/>
              <w:right w:val="nil"/>
            </w:tcBorders>
            <w:shd w:val="clear" w:color="auto" w:fill="auto"/>
            <w:noWrap/>
            <w:vAlign w:val="bottom"/>
            <w:hideMark/>
          </w:tcPr>
          <w:p w14:paraId="113C7181" w14:textId="77777777" w:rsidR="00BE6461" w:rsidRPr="00BE6461" w:rsidRDefault="00BE6461" w:rsidP="00BE6461">
            <w:pPr>
              <w:rPr>
                <w:sz w:val="20"/>
                <w:szCs w:val="20"/>
              </w:rPr>
            </w:pPr>
            <w:r w:rsidRPr="00BE6461">
              <w:rPr>
                <w:sz w:val="20"/>
                <w:szCs w:val="20"/>
              </w:rPr>
              <w:t>3295</w:t>
            </w:r>
          </w:p>
        </w:tc>
        <w:tc>
          <w:tcPr>
            <w:tcW w:w="8457" w:type="dxa"/>
            <w:tcBorders>
              <w:top w:val="nil"/>
              <w:left w:val="nil"/>
              <w:bottom w:val="nil"/>
              <w:right w:val="nil"/>
            </w:tcBorders>
            <w:shd w:val="clear" w:color="auto" w:fill="auto"/>
            <w:vAlign w:val="bottom"/>
            <w:hideMark/>
          </w:tcPr>
          <w:p w14:paraId="56DB150A" w14:textId="77777777" w:rsidR="00BE6461" w:rsidRPr="00BE6461" w:rsidRDefault="00BE6461" w:rsidP="00BE6461">
            <w:pPr>
              <w:rPr>
                <w:sz w:val="20"/>
                <w:szCs w:val="20"/>
              </w:rPr>
            </w:pPr>
            <w:r w:rsidRPr="00BE6461">
              <w:rPr>
                <w:sz w:val="20"/>
                <w:szCs w:val="20"/>
              </w:rPr>
              <w:t xml:space="preserve">Pristojbe i naknade                                                                                 </w:t>
            </w:r>
          </w:p>
        </w:tc>
        <w:tc>
          <w:tcPr>
            <w:tcW w:w="1503" w:type="dxa"/>
            <w:tcBorders>
              <w:top w:val="nil"/>
              <w:left w:val="nil"/>
              <w:bottom w:val="nil"/>
              <w:right w:val="nil"/>
            </w:tcBorders>
            <w:shd w:val="clear" w:color="auto" w:fill="auto"/>
            <w:noWrap/>
            <w:vAlign w:val="bottom"/>
            <w:hideMark/>
          </w:tcPr>
          <w:p w14:paraId="2DC2FCC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C68E19F" w14:textId="77777777" w:rsidR="00BE6461" w:rsidRPr="00BE6461" w:rsidRDefault="00BE6461" w:rsidP="00BE6461">
            <w:pPr>
              <w:jc w:val="right"/>
              <w:rPr>
                <w:sz w:val="20"/>
                <w:szCs w:val="20"/>
              </w:rPr>
            </w:pPr>
            <w:r w:rsidRPr="00BE6461">
              <w:rPr>
                <w:sz w:val="20"/>
                <w:szCs w:val="20"/>
              </w:rPr>
              <w:t>288,00</w:t>
            </w:r>
          </w:p>
        </w:tc>
        <w:tc>
          <w:tcPr>
            <w:tcW w:w="1100" w:type="dxa"/>
            <w:tcBorders>
              <w:top w:val="nil"/>
              <w:left w:val="nil"/>
              <w:bottom w:val="nil"/>
              <w:right w:val="nil"/>
            </w:tcBorders>
            <w:shd w:val="clear" w:color="auto" w:fill="auto"/>
            <w:noWrap/>
            <w:vAlign w:val="bottom"/>
            <w:hideMark/>
          </w:tcPr>
          <w:p w14:paraId="4EA45D7D" w14:textId="77777777" w:rsidR="00BE6461" w:rsidRPr="00BE6461" w:rsidRDefault="00BE6461" w:rsidP="00BE6461">
            <w:pPr>
              <w:jc w:val="right"/>
              <w:rPr>
                <w:sz w:val="20"/>
                <w:szCs w:val="20"/>
              </w:rPr>
            </w:pPr>
          </w:p>
        </w:tc>
      </w:tr>
      <w:tr w:rsidR="00BE6461" w:rsidRPr="00BE6461" w14:paraId="6751364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0638EED" w14:textId="77777777" w:rsidR="00BE6461" w:rsidRPr="00BE6461" w:rsidRDefault="00BE6461" w:rsidP="00BE6461">
            <w:pPr>
              <w:rPr>
                <w:b/>
                <w:bCs/>
                <w:color w:val="333333"/>
                <w:sz w:val="20"/>
                <w:szCs w:val="20"/>
              </w:rPr>
            </w:pPr>
            <w:r w:rsidRPr="00BE6461">
              <w:rPr>
                <w:b/>
                <w:bCs/>
                <w:color w:val="333333"/>
                <w:sz w:val="20"/>
                <w:szCs w:val="20"/>
              </w:rPr>
              <w:t>Izvor 6. DONACIJE</w:t>
            </w:r>
          </w:p>
        </w:tc>
        <w:tc>
          <w:tcPr>
            <w:tcW w:w="1503" w:type="dxa"/>
            <w:tcBorders>
              <w:top w:val="nil"/>
              <w:left w:val="nil"/>
              <w:bottom w:val="nil"/>
              <w:right w:val="nil"/>
            </w:tcBorders>
            <w:shd w:val="clear" w:color="auto" w:fill="auto"/>
            <w:noWrap/>
            <w:vAlign w:val="bottom"/>
            <w:hideMark/>
          </w:tcPr>
          <w:p w14:paraId="266ECD20" w14:textId="77777777" w:rsidR="00BE6461" w:rsidRPr="00BE6461" w:rsidRDefault="00BE6461" w:rsidP="00BE6461">
            <w:pPr>
              <w:jc w:val="right"/>
              <w:rPr>
                <w:b/>
                <w:bCs/>
                <w:color w:val="333333"/>
                <w:sz w:val="20"/>
                <w:szCs w:val="20"/>
              </w:rPr>
            </w:pPr>
            <w:r w:rsidRPr="00BE6461">
              <w:rPr>
                <w:b/>
                <w:bCs/>
                <w:color w:val="333333"/>
                <w:sz w:val="20"/>
                <w:szCs w:val="20"/>
              </w:rPr>
              <w:t>2.000,00</w:t>
            </w:r>
          </w:p>
        </w:tc>
        <w:tc>
          <w:tcPr>
            <w:tcW w:w="1500" w:type="dxa"/>
            <w:tcBorders>
              <w:top w:val="nil"/>
              <w:left w:val="nil"/>
              <w:bottom w:val="nil"/>
              <w:right w:val="nil"/>
            </w:tcBorders>
            <w:shd w:val="clear" w:color="auto" w:fill="auto"/>
            <w:noWrap/>
            <w:vAlign w:val="bottom"/>
            <w:hideMark/>
          </w:tcPr>
          <w:p w14:paraId="03C012DB"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100" w:type="dxa"/>
            <w:tcBorders>
              <w:top w:val="nil"/>
              <w:left w:val="nil"/>
              <w:bottom w:val="nil"/>
              <w:right w:val="nil"/>
            </w:tcBorders>
            <w:shd w:val="clear" w:color="auto" w:fill="auto"/>
            <w:noWrap/>
            <w:vAlign w:val="bottom"/>
            <w:hideMark/>
          </w:tcPr>
          <w:p w14:paraId="7AA000F2"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575D61D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19B3CA6" w14:textId="77777777" w:rsidR="00BE6461" w:rsidRPr="00BE6461" w:rsidRDefault="00BE6461" w:rsidP="00BE6461">
            <w:pPr>
              <w:rPr>
                <w:b/>
                <w:bCs/>
                <w:color w:val="333333"/>
                <w:sz w:val="20"/>
                <w:szCs w:val="20"/>
              </w:rPr>
            </w:pPr>
            <w:r w:rsidRPr="00BE6461">
              <w:rPr>
                <w:b/>
                <w:bCs/>
                <w:color w:val="333333"/>
                <w:sz w:val="20"/>
                <w:szCs w:val="20"/>
              </w:rPr>
              <w:t>Izvor 6.3. DONACIJE - PRORAČUNSKI KORISNICI (DIREKTNO)</w:t>
            </w:r>
          </w:p>
        </w:tc>
        <w:tc>
          <w:tcPr>
            <w:tcW w:w="1503" w:type="dxa"/>
            <w:tcBorders>
              <w:top w:val="nil"/>
              <w:left w:val="nil"/>
              <w:bottom w:val="nil"/>
              <w:right w:val="nil"/>
            </w:tcBorders>
            <w:shd w:val="clear" w:color="auto" w:fill="auto"/>
            <w:noWrap/>
            <w:vAlign w:val="bottom"/>
            <w:hideMark/>
          </w:tcPr>
          <w:p w14:paraId="2B726866" w14:textId="77777777" w:rsidR="00BE6461" w:rsidRPr="00BE6461" w:rsidRDefault="00BE6461" w:rsidP="00BE6461">
            <w:pPr>
              <w:jc w:val="right"/>
              <w:rPr>
                <w:b/>
                <w:bCs/>
                <w:color w:val="333333"/>
                <w:sz w:val="20"/>
                <w:szCs w:val="20"/>
              </w:rPr>
            </w:pPr>
            <w:r w:rsidRPr="00BE6461">
              <w:rPr>
                <w:b/>
                <w:bCs/>
                <w:color w:val="333333"/>
                <w:sz w:val="20"/>
                <w:szCs w:val="20"/>
              </w:rPr>
              <w:t>2.000,00</w:t>
            </w:r>
          </w:p>
        </w:tc>
        <w:tc>
          <w:tcPr>
            <w:tcW w:w="1500" w:type="dxa"/>
            <w:tcBorders>
              <w:top w:val="nil"/>
              <w:left w:val="nil"/>
              <w:bottom w:val="nil"/>
              <w:right w:val="nil"/>
            </w:tcBorders>
            <w:shd w:val="clear" w:color="auto" w:fill="auto"/>
            <w:noWrap/>
            <w:vAlign w:val="bottom"/>
            <w:hideMark/>
          </w:tcPr>
          <w:p w14:paraId="5F1BDE74"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100" w:type="dxa"/>
            <w:tcBorders>
              <w:top w:val="nil"/>
              <w:left w:val="nil"/>
              <w:bottom w:val="nil"/>
              <w:right w:val="nil"/>
            </w:tcBorders>
            <w:shd w:val="clear" w:color="auto" w:fill="auto"/>
            <w:noWrap/>
            <w:vAlign w:val="bottom"/>
            <w:hideMark/>
          </w:tcPr>
          <w:p w14:paraId="4B31FA55"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652AB401" w14:textId="77777777" w:rsidTr="00BE6461">
        <w:trPr>
          <w:trHeight w:val="300"/>
        </w:trPr>
        <w:tc>
          <w:tcPr>
            <w:tcW w:w="1703" w:type="dxa"/>
            <w:tcBorders>
              <w:top w:val="nil"/>
              <w:left w:val="nil"/>
              <w:bottom w:val="nil"/>
              <w:right w:val="nil"/>
            </w:tcBorders>
            <w:shd w:val="clear" w:color="auto" w:fill="auto"/>
            <w:noWrap/>
            <w:vAlign w:val="bottom"/>
            <w:hideMark/>
          </w:tcPr>
          <w:p w14:paraId="347EB86A"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7C758F66"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450B348A" w14:textId="77777777" w:rsidR="00BE6461" w:rsidRPr="00BE6461" w:rsidRDefault="00BE6461" w:rsidP="00BE6461">
            <w:pPr>
              <w:jc w:val="right"/>
              <w:rPr>
                <w:b/>
                <w:bCs/>
                <w:sz w:val="20"/>
                <w:szCs w:val="20"/>
              </w:rPr>
            </w:pPr>
            <w:r w:rsidRPr="00BE6461">
              <w:rPr>
                <w:b/>
                <w:bCs/>
                <w:sz w:val="20"/>
                <w:szCs w:val="20"/>
              </w:rPr>
              <w:t>2.000,00</w:t>
            </w:r>
          </w:p>
        </w:tc>
        <w:tc>
          <w:tcPr>
            <w:tcW w:w="1500" w:type="dxa"/>
            <w:tcBorders>
              <w:top w:val="nil"/>
              <w:left w:val="nil"/>
              <w:bottom w:val="nil"/>
              <w:right w:val="nil"/>
            </w:tcBorders>
            <w:shd w:val="clear" w:color="auto" w:fill="auto"/>
            <w:noWrap/>
            <w:vAlign w:val="bottom"/>
            <w:hideMark/>
          </w:tcPr>
          <w:p w14:paraId="59EB6EF8"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380CFBF5"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1D4B8BE2" w14:textId="77777777" w:rsidTr="00BE6461">
        <w:trPr>
          <w:trHeight w:val="300"/>
        </w:trPr>
        <w:tc>
          <w:tcPr>
            <w:tcW w:w="1703" w:type="dxa"/>
            <w:tcBorders>
              <w:top w:val="nil"/>
              <w:left w:val="nil"/>
              <w:bottom w:val="nil"/>
              <w:right w:val="nil"/>
            </w:tcBorders>
            <w:shd w:val="clear" w:color="auto" w:fill="auto"/>
            <w:noWrap/>
            <w:vAlign w:val="bottom"/>
            <w:hideMark/>
          </w:tcPr>
          <w:p w14:paraId="32486793" w14:textId="77777777" w:rsidR="00BE6461" w:rsidRPr="00BE6461" w:rsidRDefault="00BE6461" w:rsidP="00BE6461">
            <w:pPr>
              <w:rPr>
                <w:sz w:val="20"/>
                <w:szCs w:val="20"/>
              </w:rPr>
            </w:pPr>
            <w:r w:rsidRPr="00BE6461">
              <w:rPr>
                <w:sz w:val="20"/>
                <w:szCs w:val="20"/>
              </w:rPr>
              <w:t>3225</w:t>
            </w:r>
          </w:p>
        </w:tc>
        <w:tc>
          <w:tcPr>
            <w:tcW w:w="8457" w:type="dxa"/>
            <w:tcBorders>
              <w:top w:val="nil"/>
              <w:left w:val="nil"/>
              <w:bottom w:val="nil"/>
              <w:right w:val="nil"/>
            </w:tcBorders>
            <w:shd w:val="clear" w:color="auto" w:fill="auto"/>
            <w:vAlign w:val="bottom"/>
            <w:hideMark/>
          </w:tcPr>
          <w:p w14:paraId="1EBA4ABF" w14:textId="77777777" w:rsidR="00BE6461" w:rsidRPr="00BE6461" w:rsidRDefault="00BE6461" w:rsidP="00BE6461">
            <w:pPr>
              <w:rPr>
                <w:sz w:val="20"/>
                <w:szCs w:val="20"/>
              </w:rPr>
            </w:pPr>
            <w:r w:rsidRPr="00BE6461">
              <w:rPr>
                <w:sz w:val="20"/>
                <w:szCs w:val="20"/>
              </w:rPr>
              <w:t xml:space="preserve">Sitni inventar i auto gume                                                                          </w:t>
            </w:r>
          </w:p>
        </w:tc>
        <w:tc>
          <w:tcPr>
            <w:tcW w:w="1503" w:type="dxa"/>
            <w:tcBorders>
              <w:top w:val="nil"/>
              <w:left w:val="nil"/>
              <w:bottom w:val="nil"/>
              <w:right w:val="nil"/>
            </w:tcBorders>
            <w:shd w:val="clear" w:color="auto" w:fill="auto"/>
            <w:noWrap/>
            <w:vAlign w:val="bottom"/>
            <w:hideMark/>
          </w:tcPr>
          <w:p w14:paraId="6BD23AC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B25E9BD"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7884E4D4" w14:textId="77777777" w:rsidR="00BE6461" w:rsidRPr="00BE6461" w:rsidRDefault="00BE6461" w:rsidP="00BE6461">
            <w:pPr>
              <w:jc w:val="right"/>
              <w:rPr>
                <w:sz w:val="20"/>
                <w:szCs w:val="20"/>
              </w:rPr>
            </w:pPr>
          </w:p>
        </w:tc>
      </w:tr>
      <w:tr w:rsidR="00BE6461" w:rsidRPr="00BE6461" w14:paraId="62C32620"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7642221C" w14:textId="77777777" w:rsidR="00BE6461" w:rsidRPr="00BE6461" w:rsidRDefault="00BE6461" w:rsidP="00BE6461">
            <w:pPr>
              <w:rPr>
                <w:b/>
                <w:bCs/>
                <w:sz w:val="20"/>
                <w:szCs w:val="20"/>
              </w:rPr>
            </w:pPr>
            <w:r w:rsidRPr="00BE6461">
              <w:rPr>
                <w:b/>
                <w:bCs/>
                <w:sz w:val="20"/>
                <w:szCs w:val="20"/>
              </w:rPr>
              <w:t>A100065</w:t>
            </w:r>
          </w:p>
        </w:tc>
        <w:tc>
          <w:tcPr>
            <w:tcW w:w="8457" w:type="dxa"/>
            <w:tcBorders>
              <w:top w:val="single" w:sz="4" w:space="0" w:color="auto"/>
              <w:left w:val="nil"/>
              <w:bottom w:val="single" w:sz="4" w:space="0" w:color="auto"/>
              <w:right w:val="nil"/>
            </w:tcBorders>
            <w:shd w:val="clear" w:color="auto" w:fill="auto"/>
            <w:vAlign w:val="bottom"/>
            <w:hideMark/>
          </w:tcPr>
          <w:p w14:paraId="6223712C" w14:textId="77777777" w:rsidR="00BE6461" w:rsidRPr="00BE6461" w:rsidRDefault="00BE6461" w:rsidP="00BE6461">
            <w:pPr>
              <w:rPr>
                <w:b/>
                <w:bCs/>
                <w:sz w:val="20"/>
                <w:szCs w:val="20"/>
              </w:rPr>
            </w:pPr>
            <w:r w:rsidRPr="00BE6461">
              <w:rPr>
                <w:b/>
                <w:bCs/>
                <w:sz w:val="20"/>
                <w:szCs w:val="20"/>
              </w:rPr>
              <w:t>Aktivnost: PROGRAMI U KNJIŽNICI</w:t>
            </w:r>
          </w:p>
        </w:tc>
        <w:tc>
          <w:tcPr>
            <w:tcW w:w="1503" w:type="dxa"/>
            <w:tcBorders>
              <w:top w:val="single" w:sz="4" w:space="0" w:color="auto"/>
              <w:left w:val="nil"/>
              <w:bottom w:val="single" w:sz="4" w:space="0" w:color="auto"/>
              <w:right w:val="nil"/>
            </w:tcBorders>
            <w:shd w:val="clear" w:color="auto" w:fill="auto"/>
            <w:noWrap/>
            <w:vAlign w:val="bottom"/>
            <w:hideMark/>
          </w:tcPr>
          <w:p w14:paraId="04B99F7F" w14:textId="77777777" w:rsidR="00BE6461" w:rsidRPr="00BE6461" w:rsidRDefault="00BE6461" w:rsidP="00BE6461">
            <w:pPr>
              <w:jc w:val="right"/>
              <w:rPr>
                <w:b/>
                <w:bCs/>
                <w:sz w:val="20"/>
                <w:szCs w:val="20"/>
              </w:rPr>
            </w:pPr>
            <w:r w:rsidRPr="00BE6461">
              <w:rPr>
                <w:b/>
                <w:bCs/>
                <w:sz w:val="20"/>
                <w:szCs w:val="20"/>
              </w:rPr>
              <w:t>16.359,00</w:t>
            </w:r>
          </w:p>
        </w:tc>
        <w:tc>
          <w:tcPr>
            <w:tcW w:w="1500" w:type="dxa"/>
            <w:tcBorders>
              <w:top w:val="single" w:sz="4" w:space="0" w:color="auto"/>
              <w:left w:val="nil"/>
              <w:bottom w:val="single" w:sz="4" w:space="0" w:color="auto"/>
              <w:right w:val="nil"/>
            </w:tcBorders>
            <w:shd w:val="clear" w:color="auto" w:fill="auto"/>
            <w:noWrap/>
            <w:vAlign w:val="bottom"/>
            <w:hideMark/>
          </w:tcPr>
          <w:p w14:paraId="60287DF0" w14:textId="77777777" w:rsidR="00BE6461" w:rsidRPr="00BE6461" w:rsidRDefault="00BE6461" w:rsidP="00BE6461">
            <w:pPr>
              <w:jc w:val="right"/>
              <w:rPr>
                <w:b/>
                <w:bCs/>
                <w:sz w:val="20"/>
                <w:szCs w:val="20"/>
              </w:rPr>
            </w:pPr>
            <w:r w:rsidRPr="00BE6461">
              <w:rPr>
                <w:b/>
                <w:bCs/>
                <w:sz w:val="20"/>
                <w:szCs w:val="20"/>
              </w:rPr>
              <w:t>7.538,61</w:t>
            </w:r>
          </w:p>
        </w:tc>
        <w:tc>
          <w:tcPr>
            <w:tcW w:w="1100" w:type="dxa"/>
            <w:tcBorders>
              <w:top w:val="single" w:sz="4" w:space="0" w:color="auto"/>
              <w:left w:val="nil"/>
              <w:bottom w:val="single" w:sz="4" w:space="0" w:color="auto"/>
              <w:right w:val="nil"/>
            </w:tcBorders>
            <w:shd w:val="clear" w:color="auto" w:fill="auto"/>
            <w:noWrap/>
            <w:vAlign w:val="bottom"/>
            <w:hideMark/>
          </w:tcPr>
          <w:p w14:paraId="0C743FE0" w14:textId="77777777" w:rsidR="00BE6461" w:rsidRPr="00BE6461" w:rsidRDefault="00BE6461" w:rsidP="00BE6461">
            <w:pPr>
              <w:jc w:val="right"/>
              <w:rPr>
                <w:b/>
                <w:bCs/>
                <w:sz w:val="20"/>
                <w:szCs w:val="20"/>
              </w:rPr>
            </w:pPr>
            <w:r w:rsidRPr="00BE6461">
              <w:rPr>
                <w:b/>
                <w:bCs/>
                <w:sz w:val="20"/>
                <w:szCs w:val="20"/>
              </w:rPr>
              <w:t>46,08</w:t>
            </w:r>
          </w:p>
        </w:tc>
      </w:tr>
      <w:tr w:rsidR="00BE6461" w:rsidRPr="00BE6461" w14:paraId="68D4C2E8"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39A8AD7"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0ACD458E" w14:textId="77777777" w:rsidR="00BE6461" w:rsidRPr="00BE6461" w:rsidRDefault="00BE6461" w:rsidP="00BE6461">
            <w:pPr>
              <w:jc w:val="right"/>
              <w:rPr>
                <w:b/>
                <w:bCs/>
                <w:color w:val="333333"/>
                <w:sz w:val="20"/>
                <w:szCs w:val="20"/>
              </w:rPr>
            </w:pPr>
            <w:r w:rsidRPr="00BE6461">
              <w:rPr>
                <w:b/>
                <w:bCs/>
                <w:color w:val="333333"/>
                <w:sz w:val="20"/>
                <w:szCs w:val="20"/>
              </w:rPr>
              <w:t>10.859,00</w:t>
            </w:r>
          </w:p>
        </w:tc>
        <w:tc>
          <w:tcPr>
            <w:tcW w:w="1500" w:type="dxa"/>
            <w:tcBorders>
              <w:top w:val="nil"/>
              <w:left w:val="nil"/>
              <w:bottom w:val="nil"/>
              <w:right w:val="nil"/>
            </w:tcBorders>
            <w:shd w:val="clear" w:color="auto" w:fill="auto"/>
            <w:noWrap/>
            <w:vAlign w:val="bottom"/>
            <w:hideMark/>
          </w:tcPr>
          <w:p w14:paraId="7FF21E57" w14:textId="77777777" w:rsidR="00BE6461" w:rsidRPr="00BE6461" w:rsidRDefault="00BE6461" w:rsidP="00BE6461">
            <w:pPr>
              <w:jc w:val="right"/>
              <w:rPr>
                <w:b/>
                <w:bCs/>
                <w:color w:val="333333"/>
                <w:sz w:val="20"/>
                <w:szCs w:val="20"/>
              </w:rPr>
            </w:pPr>
            <w:r w:rsidRPr="00BE6461">
              <w:rPr>
                <w:b/>
                <w:bCs/>
                <w:color w:val="333333"/>
                <w:sz w:val="20"/>
                <w:szCs w:val="20"/>
              </w:rPr>
              <w:t>7.229,34</w:t>
            </w:r>
          </w:p>
        </w:tc>
        <w:tc>
          <w:tcPr>
            <w:tcW w:w="1100" w:type="dxa"/>
            <w:tcBorders>
              <w:top w:val="nil"/>
              <w:left w:val="nil"/>
              <w:bottom w:val="nil"/>
              <w:right w:val="nil"/>
            </w:tcBorders>
            <w:shd w:val="clear" w:color="auto" w:fill="auto"/>
            <w:noWrap/>
            <w:vAlign w:val="bottom"/>
            <w:hideMark/>
          </w:tcPr>
          <w:p w14:paraId="0682F3EF" w14:textId="77777777" w:rsidR="00BE6461" w:rsidRPr="00BE6461" w:rsidRDefault="00BE6461" w:rsidP="00BE6461">
            <w:pPr>
              <w:jc w:val="right"/>
              <w:rPr>
                <w:b/>
                <w:bCs/>
                <w:color w:val="333333"/>
                <w:sz w:val="20"/>
                <w:szCs w:val="20"/>
              </w:rPr>
            </w:pPr>
            <w:r w:rsidRPr="00BE6461">
              <w:rPr>
                <w:b/>
                <w:bCs/>
                <w:color w:val="333333"/>
                <w:sz w:val="20"/>
                <w:szCs w:val="20"/>
              </w:rPr>
              <w:t>66,57</w:t>
            </w:r>
          </w:p>
        </w:tc>
      </w:tr>
      <w:tr w:rsidR="00BE6461" w:rsidRPr="00BE6461" w14:paraId="3E4171C5"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5462921"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2FA4B194" w14:textId="77777777" w:rsidR="00BE6461" w:rsidRPr="00BE6461" w:rsidRDefault="00BE6461" w:rsidP="00BE6461">
            <w:pPr>
              <w:jc w:val="right"/>
              <w:rPr>
                <w:b/>
                <w:bCs/>
                <w:color w:val="333333"/>
                <w:sz w:val="20"/>
                <w:szCs w:val="20"/>
              </w:rPr>
            </w:pPr>
            <w:r w:rsidRPr="00BE6461">
              <w:rPr>
                <w:b/>
                <w:bCs/>
                <w:color w:val="333333"/>
                <w:sz w:val="20"/>
                <w:szCs w:val="20"/>
              </w:rPr>
              <w:t>10.859,00</w:t>
            </w:r>
          </w:p>
        </w:tc>
        <w:tc>
          <w:tcPr>
            <w:tcW w:w="1500" w:type="dxa"/>
            <w:tcBorders>
              <w:top w:val="nil"/>
              <w:left w:val="nil"/>
              <w:bottom w:val="nil"/>
              <w:right w:val="nil"/>
            </w:tcBorders>
            <w:shd w:val="clear" w:color="auto" w:fill="auto"/>
            <w:noWrap/>
            <w:vAlign w:val="bottom"/>
            <w:hideMark/>
          </w:tcPr>
          <w:p w14:paraId="5C3D4565" w14:textId="77777777" w:rsidR="00BE6461" w:rsidRPr="00BE6461" w:rsidRDefault="00BE6461" w:rsidP="00BE6461">
            <w:pPr>
              <w:jc w:val="right"/>
              <w:rPr>
                <w:b/>
                <w:bCs/>
                <w:color w:val="333333"/>
                <w:sz w:val="20"/>
                <w:szCs w:val="20"/>
              </w:rPr>
            </w:pPr>
            <w:r w:rsidRPr="00BE6461">
              <w:rPr>
                <w:b/>
                <w:bCs/>
                <w:color w:val="333333"/>
                <w:sz w:val="20"/>
                <w:szCs w:val="20"/>
              </w:rPr>
              <w:t>7.229,34</w:t>
            </w:r>
          </w:p>
        </w:tc>
        <w:tc>
          <w:tcPr>
            <w:tcW w:w="1100" w:type="dxa"/>
            <w:tcBorders>
              <w:top w:val="nil"/>
              <w:left w:val="nil"/>
              <w:bottom w:val="nil"/>
              <w:right w:val="nil"/>
            </w:tcBorders>
            <w:shd w:val="clear" w:color="auto" w:fill="auto"/>
            <w:noWrap/>
            <w:vAlign w:val="bottom"/>
            <w:hideMark/>
          </w:tcPr>
          <w:p w14:paraId="359C0A3C" w14:textId="77777777" w:rsidR="00BE6461" w:rsidRPr="00BE6461" w:rsidRDefault="00BE6461" w:rsidP="00BE6461">
            <w:pPr>
              <w:jc w:val="right"/>
              <w:rPr>
                <w:b/>
                <w:bCs/>
                <w:color w:val="333333"/>
                <w:sz w:val="20"/>
                <w:szCs w:val="20"/>
              </w:rPr>
            </w:pPr>
            <w:r w:rsidRPr="00BE6461">
              <w:rPr>
                <w:b/>
                <w:bCs/>
                <w:color w:val="333333"/>
                <w:sz w:val="20"/>
                <w:szCs w:val="20"/>
              </w:rPr>
              <w:t>66,57</w:t>
            </w:r>
          </w:p>
        </w:tc>
      </w:tr>
      <w:tr w:rsidR="00BE6461" w:rsidRPr="00BE6461" w14:paraId="0D3888F3" w14:textId="77777777" w:rsidTr="00BE6461">
        <w:trPr>
          <w:trHeight w:val="300"/>
        </w:trPr>
        <w:tc>
          <w:tcPr>
            <w:tcW w:w="1703" w:type="dxa"/>
            <w:tcBorders>
              <w:top w:val="nil"/>
              <w:left w:val="nil"/>
              <w:bottom w:val="nil"/>
              <w:right w:val="nil"/>
            </w:tcBorders>
            <w:shd w:val="clear" w:color="auto" w:fill="auto"/>
            <w:noWrap/>
            <w:vAlign w:val="bottom"/>
            <w:hideMark/>
          </w:tcPr>
          <w:p w14:paraId="6FB66177"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42C5F656"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3F880E7E" w14:textId="77777777" w:rsidR="00BE6461" w:rsidRPr="00BE6461" w:rsidRDefault="00BE6461" w:rsidP="00BE6461">
            <w:pPr>
              <w:jc w:val="right"/>
              <w:rPr>
                <w:b/>
                <w:bCs/>
                <w:sz w:val="20"/>
                <w:szCs w:val="20"/>
              </w:rPr>
            </w:pPr>
            <w:r w:rsidRPr="00BE6461">
              <w:rPr>
                <w:b/>
                <w:bCs/>
                <w:sz w:val="20"/>
                <w:szCs w:val="20"/>
              </w:rPr>
              <w:t>2.359,00</w:t>
            </w:r>
          </w:p>
        </w:tc>
        <w:tc>
          <w:tcPr>
            <w:tcW w:w="1500" w:type="dxa"/>
            <w:tcBorders>
              <w:top w:val="nil"/>
              <w:left w:val="nil"/>
              <w:bottom w:val="nil"/>
              <w:right w:val="nil"/>
            </w:tcBorders>
            <w:shd w:val="clear" w:color="auto" w:fill="auto"/>
            <w:noWrap/>
            <w:vAlign w:val="bottom"/>
            <w:hideMark/>
          </w:tcPr>
          <w:p w14:paraId="61A0DC07" w14:textId="77777777" w:rsidR="00BE6461" w:rsidRPr="00BE6461" w:rsidRDefault="00BE6461" w:rsidP="00BE6461">
            <w:pPr>
              <w:jc w:val="right"/>
              <w:rPr>
                <w:b/>
                <w:bCs/>
                <w:sz w:val="20"/>
                <w:szCs w:val="20"/>
              </w:rPr>
            </w:pPr>
            <w:r w:rsidRPr="00BE6461">
              <w:rPr>
                <w:b/>
                <w:bCs/>
                <w:sz w:val="20"/>
                <w:szCs w:val="20"/>
              </w:rPr>
              <w:t>2.359,00</w:t>
            </w:r>
          </w:p>
        </w:tc>
        <w:tc>
          <w:tcPr>
            <w:tcW w:w="1100" w:type="dxa"/>
            <w:tcBorders>
              <w:top w:val="nil"/>
              <w:left w:val="nil"/>
              <w:bottom w:val="nil"/>
              <w:right w:val="nil"/>
            </w:tcBorders>
            <w:shd w:val="clear" w:color="auto" w:fill="auto"/>
            <w:noWrap/>
            <w:vAlign w:val="bottom"/>
            <w:hideMark/>
          </w:tcPr>
          <w:p w14:paraId="7325D3BA"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2210D610" w14:textId="77777777" w:rsidTr="00BE6461">
        <w:trPr>
          <w:trHeight w:val="300"/>
        </w:trPr>
        <w:tc>
          <w:tcPr>
            <w:tcW w:w="1703" w:type="dxa"/>
            <w:tcBorders>
              <w:top w:val="nil"/>
              <w:left w:val="nil"/>
              <w:bottom w:val="nil"/>
              <w:right w:val="nil"/>
            </w:tcBorders>
            <w:shd w:val="clear" w:color="auto" w:fill="auto"/>
            <w:noWrap/>
            <w:vAlign w:val="bottom"/>
            <w:hideMark/>
          </w:tcPr>
          <w:p w14:paraId="4CEA87DA" w14:textId="77777777" w:rsidR="00BE6461" w:rsidRPr="00BE6461" w:rsidRDefault="00BE6461" w:rsidP="00BE6461">
            <w:pPr>
              <w:rPr>
                <w:sz w:val="20"/>
                <w:szCs w:val="20"/>
              </w:rPr>
            </w:pPr>
            <w:r w:rsidRPr="00BE6461">
              <w:rPr>
                <w:sz w:val="20"/>
                <w:szCs w:val="20"/>
              </w:rPr>
              <w:t>3221</w:t>
            </w:r>
          </w:p>
        </w:tc>
        <w:tc>
          <w:tcPr>
            <w:tcW w:w="8457" w:type="dxa"/>
            <w:tcBorders>
              <w:top w:val="nil"/>
              <w:left w:val="nil"/>
              <w:bottom w:val="nil"/>
              <w:right w:val="nil"/>
            </w:tcBorders>
            <w:shd w:val="clear" w:color="auto" w:fill="auto"/>
            <w:vAlign w:val="bottom"/>
            <w:hideMark/>
          </w:tcPr>
          <w:p w14:paraId="5C6A8B2A" w14:textId="77777777" w:rsidR="00BE6461" w:rsidRPr="00BE6461" w:rsidRDefault="00BE6461" w:rsidP="00BE6461">
            <w:pPr>
              <w:rPr>
                <w:sz w:val="20"/>
                <w:szCs w:val="20"/>
              </w:rPr>
            </w:pPr>
            <w:r w:rsidRPr="00BE6461">
              <w:rPr>
                <w:sz w:val="20"/>
                <w:szCs w:val="20"/>
              </w:rPr>
              <w:t xml:space="preserve">Uredski materijal i ostali materijalni rashodi                                                      </w:t>
            </w:r>
          </w:p>
        </w:tc>
        <w:tc>
          <w:tcPr>
            <w:tcW w:w="1503" w:type="dxa"/>
            <w:tcBorders>
              <w:top w:val="nil"/>
              <w:left w:val="nil"/>
              <w:bottom w:val="nil"/>
              <w:right w:val="nil"/>
            </w:tcBorders>
            <w:shd w:val="clear" w:color="auto" w:fill="auto"/>
            <w:noWrap/>
            <w:vAlign w:val="bottom"/>
            <w:hideMark/>
          </w:tcPr>
          <w:p w14:paraId="7E69A35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5AC660C" w14:textId="77777777" w:rsidR="00BE6461" w:rsidRPr="00BE6461" w:rsidRDefault="00BE6461" w:rsidP="00BE6461">
            <w:pPr>
              <w:jc w:val="right"/>
              <w:rPr>
                <w:sz w:val="20"/>
                <w:szCs w:val="20"/>
              </w:rPr>
            </w:pPr>
            <w:r w:rsidRPr="00BE6461">
              <w:rPr>
                <w:sz w:val="20"/>
                <w:szCs w:val="20"/>
              </w:rPr>
              <w:t>2.359,00</w:t>
            </w:r>
          </w:p>
        </w:tc>
        <w:tc>
          <w:tcPr>
            <w:tcW w:w="1100" w:type="dxa"/>
            <w:tcBorders>
              <w:top w:val="nil"/>
              <w:left w:val="nil"/>
              <w:bottom w:val="nil"/>
              <w:right w:val="nil"/>
            </w:tcBorders>
            <w:shd w:val="clear" w:color="auto" w:fill="auto"/>
            <w:noWrap/>
            <w:vAlign w:val="bottom"/>
            <w:hideMark/>
          </w:tcPr>
          <w:p w14:paraId="31D3B699" w14:textId="77777777" w:rsidR="00BE6461" w:rsidRPr="00BE6461" w:rsidRDefault="00BE6461" w:rsidP="00BE6461">
            <w:pPr>
              <w:jc w:val="right"/>
              <w:rPr>
                <w:sz w:val="20"/>
                <w:szCs w:val="20"/>
              </w:rPr>
            </w:pPr>
          </w:p>
        </w:tc>
      </w:tr>
      <w:tr w:rsidR="00BE6461" w:rsidRPr="00BE6461" w14:paraId="6B5F5034" w14:textId="77777777" w:rsidTr="00BE6461">
        <w:trPr>
          <w:trHeight w:val="300"/>
        </w:trPr>
        <w:tc>
          <w:tcPr>
            <w:tcW w:w="1703" w:type="dxa"/>
            <w:tcBorders>
              <w:top w:val="nil"/>
              <w:left w:val="nil"/>
              <w:bottom w:val="nil"/>
              <w:right w:val="nil"/>
            </w:tcBorders>
            <w:shd w:val="clear" w:color="auto" w:fill="auto"/>
            <w:noWrap/>
            <w:vAlign w:val="bottom"/>
            <w:hideMark/>
          </w:tcPr>
          <w:p w14:paraId="7AF0EC6A"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07AA9F17"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37A5DD25" w14:textId="77777777" w:rsidR="00BE6461" w:rsidRPr="00BE6461" w:rsidRDefault="00BE6461" w:rsidP="00BE6461">
            <w:pPr>
              <w:jc w:val="right"/>
              <w:rPr>
                <w:b/>
                <w:bCs/>
                <w:sz w:val="20"/>
                <w:szCs w:val="20"/>
              </w:rPr>
            </w:pPr>
            <w:r w:rsidRPr="00BE6461">
              <w:rPr>
                <w:b/>
                <w:bCs/>
                <w:sz w:val="20"/>
                <w:szCs w:val="20"/>
              </w:rPr>
              <w:t>8.500,00</w:t>
            </w:r>
          </w:p>
        </w:tc>
        <w:tc>
          <w:tcPr>
            <w:tcW w:w="1500" w:type="dxa"/>
            <w:tcBorders>
              <w:top w:val="nil"/>
              <w:left w:val="nil"/>
              <w:bottom w:val="nil"/>
              <w:right w:val="nil"/>
            </w:tcBorders>
            <w:shd w:val="clear" w:color="auto" w:fill="auto"/>
            <w:noWrap/>
            <w:vAlign w:val="bottom"/>
            <w:hideMark/>
          </w:tcPr>
          <w:p w14:paraId="71219939" w14:textId="77777777" w:rsidR="00BE6461" w:rsidRPr="00BE6461" w:rsidRDefault="00BE6461" w:rsidP="00BE6461">
            <w:pPr>
              <w:jc w:val="right"/>
              <w:rPr>
                <w:b/>
                <w:bCs/>
                <w:sz w:val="20"/>
                <w:szCs w:val="20"/>
              </w:rPr>
            </w:pPr>
            <w:r w:rsidRPr="00BE6461">
              <w:rPr>
                <w:b/>
                <w:bCs/>
                <w:sz w:val="20"/>
                <w:szCs w:val="20"/>
              </w:rPr>
              <w:t>4.870,34</w:t>
            </w:r>
          </w:p>
        </w:tc>
        <w:tc>
          <w:tcPr>
            <w:tcW w:w="1100" w:type="dxa"/>
            <w:tcBorders>
              <w:top w:val="nil"/>
              <w:left w:val="nil"/>
              <w:bottom w:val="nil"/>
              <w:right w:val="nil"/>
            </w:tcBorders>
            <w:shd w:val="clear" w:color="auto" w:fill="auto"/>
            <w:noWrap/>
            <w:vAlign w:val="bottom"/>
            <w:hideMark/>
          </w:tcPr>
          <w:p w14:paraId="3100162B" w14:textId="77777777" w:rsidR="00BE6461" w:rsidRPr="00BE6461" w:rsidRDefault="00BE6461" w:rsidP="00BE6461">
            <w:pPr>
              <w:jc w:val="right"/>
              <w:rPr>
                <w:b/>
                <w:bCs/>
                <w:sz w:val="20"/>
                <w:szCs w:val="20"/>
              </w:rPr>
            </w:pPr>
            <w:r w:rsidRPr="00BE6461">
              <w:rPr>
                <w:b/>
                <w:bCs/>
                <w:sz w:val="20"/>
                <w:szCs w:val="20"/>
              </w:rPr>
              <w:t>57,30</w:t>
            </w:r>
          </w:p>
        </w:tc>
      </w:tr>
      <w:tr w:rsidR="00BE6461" w:rsidRPr="00BE6461" w14:paraId="0B6AA2AC" w14:textId="77777777" w:rsidTr="00BE6461">
        <w:trPr>
          <w:trHeight w:val="300"/>
        </w:trPr>
        <w:tc>
          <w:tcPr>
            <w:tcW w:w="1703" w:type="dxa"/>
            <w:tcBorders>
              <w:top w:val="nil"/>
              <w:left w:val="nil"/>
              <w:bottom w:val="nil"/>
              <w:right w:val="nil"/>
            </w:tcBorders>
            <w:shd w:val="clear" w:color="auto" w:fill="auto"/>
            <w:noWrap/>
            <w:vAlign w:val="bottom"/>
            <w:hideMark/>
          </w:tcPr>
          <w:p w14:paraId="4294B9E6"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5EAC92AE"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1D840D2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DF9793E" w14:textId="77777777" w:rsidR="00BE6461" w:rsidRPr="00BE6461" w:rsidRDefault="00BE6461" w:rsidP="00BE6461">
            <w:pPr>
              <w:jc w:val="right"/>
              <w:rPr>
                <w:sz w:val="20"/>
                <w:szCs w:val="20"/>
              </w:rPr>
            </w:pPr>
            <w:r w:rsidRPr="00BE6461">
              <w:rPr>
                <w:sz w:val="20"/>
                <w:szCs w:val="20"/>
              </w:rPr>
              <w:t>4.870,34</w:t>
            </w:r>
          </w:p>
        </w:tc>
        <w:tc>
          <w:tcPr>
            <w:tcW w:w="1100" w:type="dxa"/>
            <w:tcBorders>
              <w:top w:val="nil"/>
              <w:left w:val="nil"/>
              <w:bottom w:val="nil"/>
              <w:right w:val="nil"/>
            </w:tcBorders>
            <w:shd w:val="clear" w:color="auto" w:fill="auto"/>
            <w:noWrap/>
            <w:vAlign w:val="bottom"/>
            <w:hideMark/>
          </w:tcPr>
          <w:p w14:paraId="16AD24D4" w14:textId="77777777" w:rsidR="00BE6461" w:rsidRPr="00BE6461" w:rsidRDefault="00BE6461" w:rsidP="00BE6461">
            <w:pPr>
              <w:jc w:val="right"/>
              <w:rPr>
                <w:sz w:val="20"/>
                <w:szCs w:val="20"/>
              </w:rPr>
            </w:pPr>
          </w:p>
        </w:tc>
      </w:tr>
      <w:tr w:rsidR="00BE6461" w:rsidRPr="00BE6461" w14:paraId="600DE9F5"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4EF692B"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3FA25171" w14:textId="77777777" w:rsidR="00BE6461" w:rsidRPr="00BE6461" w:rsidRDefault="00BE6461" w:rsidP="00BE6461">
            <w:pPr>
              <w:jc w:val="right"/>
              <w:rPr>
                <w:b/>
                <w:bCs/>
                <w:color w:val="333333"/>
                <w:sz w:val="20"/>
                <w:szCs w:val="20"/>
              </w:rPr>
            </w:pPr>
            <w:r w:rsidRPr="00BE6461">
              <w:rPr>
                <w:b/>
                <w:bCs/>
                <w:color w:val="333333"/>
                <w:sz w:val="20"/>
                <w:szCs w:val="20"/>
              </w:rPr>
              <w:t>5.500,00</w:t>
            </w:r>
          </w:p>
        </w:tc>
        <w:tc>
          <w:tcPr>
            <w:tcW w:w="1500" w:type="dxa"/>
            <w:tcBorders>
              <w:top w:val="nil"/>
              <w:left w:val="nil"/>
              <w:bottom w:val="nil"/>
              <w:right w:val="nil"/>
            </w:tcBorders>
            <w:shd w:val="clear" w:color="auto" w:fill="auto"/>
            <w:noWrap/>
            <w:vAlign w:val="bottom"/>
            <w:hideMark/>
          </w:tcPr>
          <w:p w14:paraId="511B2614" w14:textId="77777777" w:rsidR="00BE6461" w:rsidRPr="00BE6461" w:rsidRDefault="00BE6461" w:rsidP="00BE6461">
            <w:pPr>
              <w:jc w:val="right"/>
              <w:rPr>
                <w:b/>
                <w:bCs/>
                <w:color w:val="333333"/>
                <w:sz w:val="20"/>
                <w:szCs w:val="20"/>
              </w:rPr>
            </w:pPr>
            <w:r w:rsidRPr="00BE6461">
              <w:rPr>
                <w:b/>
                <w:bCs/>
                <w:color w:val="333333"/>
                <w:sz w:val="20"/>
                <w:szCs w:val="20"/>
              </w:rPr>
              <w:t>309,27</w:t>
            </w:r>
          </w:p>
        </w:tc>
        <w:tc>
          <w:tcPr>
            <w:tcW w:w="1100" w:type="dxa"/>
            <w:tcBorders>
              <w:top w:val="nil"/>
              <w:left w:val="nil"/>
              <w:bottom w:val="nil"/>
              <w:right w:val="nil"/>
            </w:tcBorders>
            <w:shd w:val="clear" w:color="auto" w:fill="auto"/>
            <w:noWrap/>
            <w:vAlign w:val="bottom"/>
            <w:hideMark/>
          </w:tcPr>
          <w:p w14:paraId="1990B8CA" w14:textId="77777777" w:rsidR="00BE6461" w:rsidRPr="00BE6461" w:rsidRDefault="00BE6461" w:rsidP="00BE6461">
            <w:pPr>
              <w:jc w:val="right"/>
              <w:rPr>
                <w:b/>
                <w:bCs/>
                <w:color w:val="333333"/>
                <w:sz w:val="20"/>
                <w:szCs w:val="20"/>
              </w:rPr>
            </w:pPr>
            <w:r w:rsidRPr="00BE6461">
              <w:rPr>
                <w:b/>
                <w:bCs/>
                <w:color w:val="333333"/>
                <w:sz w:val="20"/>
                <w:szCs w:val="20"/>
              </w:rPr>
              <w:t>5,62</w:t>
            </w:r>
          </w:p>
        </w:tc>
      </w:tr>
      <w:tr w:rsidR="00BE6461" w:rsidRPr="00BE6461" w14:paraId="7EE16E55"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0D54E46" w14:textId="77777777" w:rsidR="00BE6461" w:rsidRPr="00BE6461" w:rsidRDefault="00BE6461" w:rsidP="00BE6461">
            <w:pPr>
              <w:rPr>
                <w:b/>
                <w:bCs/>
                <w:color w:val="333333"/>
                <w:sz w:val="20"/>
                <w:szCs w:val="20"/>
              </w:rPr>
            </w:pPr>
            <w:r w:rsidRPr="00BE6461">
              <w:rPr>
                <w:b/>
                <w:bCs/>
                <w:color w:val="333333"/>
                <w:sz w:val="20"/>
                <w:szCs w:val="20"/>
              </w:rPr>
              <w:t>Izvor 4.7. PRIHODI POSEBNE NAMJENE - PRORAČUNSKI KORISNICI</w:t>
            </w:r>
          </w:p>
        </w:tc>
        <w:tc>
          <w:tcPr>
            <w:tcW w:w="1503" w:type="dxa"/>
            <w:tcBorders>
              <w:top w:val="nil"/>
              <w:left w:val="nil"/>
              <w:bottom w:val="nil"/>
              <w:right w:val="nil"/>
            </w:tcBorders>
            <w:shd w:val="clear" w:color="auto" w:fill="auto"/>
            <w:noWrap/>
            <w:vAlign w:val="bottom"/>
            <w:hideMark/>
          </w:tcPr>
          <w:p w14:paraId="622886FB" w14:textId="77777777" w:rsidR="00BE6461" w:rsidRPr="00BE6461" w:rsidRDefault="00BE6461" w:rsidP="00BE6461">
            <w:pPr>
              <w:jc w:val="right"/>
              <w:rPr>
                <w:b/>
                <w:bCs/>
                <w:color w:val="333333"/>
                <w:sz w:val="20"/>
                <w:szCs w:val="20"/>
              </w:rPr>
            </w:pPr>
            <w:r w:rsidRPr="00BE6461">
              <w:rPr>
                <w:b/>
                <w:bCs/>
                <w:color w:val="333333"/>
                <w:sz w:val="20"/>
                <w:szCs w:val="20"/>
              </w:rPr>
              <w:t>5.500,00</w:t>
            </w:r>
          </w:p>
        </w:tc>
        <w:tc>
          <w:tcPr>
            <w:tcW w:w="1500" w:type="dxa"/>
            <w:tcBorders>
              <w:top w:val="nil"/>
              <w:left w:val="nil"/>
              <w:bottom w:val="nil"/>
              <w:right w:val="nil"/>
            </w:tcBorders>
            <w:shd w:val="clear" w:color="auto" w:fill="auto"/>
            <w:noWrap/>
            <w:vAlign w:val="bottom"/>
            <w:hideMark/>
          </w:tcPr>
          <w:p w14:paraId="47CF23D3" w14:textId="77777777" w:rsidR="00BE6461" w:rsidRPr="00BE6461" w:rsidRDefault="00BE6461" w:rsidP="00BE6461">
            <w:pPr>
              <w:jc w:val="right"/>
              <w:rPr>
                <w:b/>
                <w:bCs/>
                <w:color w:val="333333"/>
                <w:sz w:val="20"/>
                <w:szCs w:val="20"/>
              </w:rPr>
            </w:pPr>
            <w:r w:rsidRPr="00BE6461">
              <w:rPr>
                <w:b/>
                <w:bCs/>
                <w:color w:val="333333"/>
                <w:sz w:val="20"/>
                <w:szCs w:val="20"/>
              </w:rPr>
              <w:t>309,27</w:t>
            </w:r>
          </w:p>
        </w:tc>
        <w:tc>
          <w:tcPr>
            <w:tcW w:w="1100" w:type="dxa"/>
            <w:tcBorders>
              <w:top w:val="nil"/>
              <w:left w:val="nil"/>
              <w:bottom w:val="nil"/>
              <w:right w:val="nil"/>
            </w:tcBorders>
            <w:shd w:val="clear" w:color="auto" w:fill="auto"/>
            <w:noWrap/>
            <w:vAlign w:val="bottom"/>
            <w:hideMark/>
          </w:tcPr>
          <w:p w14:paraId="709E2AEB" w14:textId="77777777" w:rsidR="00BE6461" w:rsidRPr="00BE6461" w:rsidRDefault="00BE6461" w:rsidP="00BE6461">
            <w:pPr>
              <w:jc w:val="right"/>
              <w:rPr>
                <w:b/>
                <w:bCs/>
                <w:color w:val="333333"/>
                <w:sz w:val="20"/>
                <w:szCs w:val="20"/>
              </w:rPr>
            </w:pPr>
            <w:r w:rsidRPr="00BE6461">
              <w:rPr>
                <w:b/>
                <w:bCs/>
                <w:color w:val="333333"/>
                <w:sz w:val="20"/>
                <w:szCs w:val="20"/>
              </w:rPr>
              <w:t>5,62</w:t>
            </w:r>
          </w:p>
        </w:tc>
      </w:tr>
      <w:tr w:rsidR="00BE6461" w:rsidRPr="00BE6461" w14:paraId="40DCDAB5" w14:textId="77777777" w:rsidTr="00BE6461">
        <w:trPr>
          <w:trHeight w:val="300"/>
        </w:trPr>
        <w:tc>
          <w:tcPr>
            <w:tcW w:w="1703" w:type="dxa"/>
            <w:tcBorders>
              <w:top w:val="nil"/>
              <w:left w:val="nil"/>
              <w:bottom w:val="nil"/>
              <w:right w:val="nil"/>
            </w:tcBorders>
            <w:shd w:val="clear" w:color="auto" w:fill="auto"/>
            <w:noWrap/>
            <w:vAlign w:val="bottom"/>
            <w:hideMark/>
          </w:tcPr>
          <w:p w14:paraId="2952A18D"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620C5CA3"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0F4ABED2" w14:textId="77777777" w:rsidR="00BE6461" w:rsidRPr="00BE6461" w:rsidRDefault="00BE6461" w:rsidP="00BE6461">
            <w:pPr>
              <w:jc w:val="right"/>
              <w:rPr>
                <w:b/>
                <w:bCs/>
                <w:sz w:val="20"/>
                <w:szCs w:val="20"/>
              </w:rPr>
            </w:pPr>
            <w:r w:rsidRPr="00BE6461">
              <w:rPr>
                <w:b/>
                <w:bCs/>
                <w:sz w:val="20"/>
                <w:szCs w:val="20"/>
              </w:rPr>
              <w:t>3.500,00</w:t>
            </w:r>
          </w:p>
        </w:tc>
        <w:tc>
          <w:tcPr>
            <w:tcW w:w="1500" w:type="dxa"/>
            <w:tcBorders>
              <w:top w:val="nil"/>
              <w:left w:val="nil"/>
              <w:bottom w:val="nil"/>
              <w:right w:val="nil"/>
            </w:tcBorders>
            <w:shd w:val="clear" w:color="auto" w:fill="auto"/>
            <w:noWrap/>
            <w:vAlign w:val="bottom"/>
            <w:hideMark/>
          </w:tcPr>
          <w:p w14:paraId="41873D74"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7C4D69B2"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603A7BDF" w14:textId="77777777" w:rsidTr="00BE6461">
        <w:trPr>
          <w:trHeight w:val="300"/>
        </w:trPr>
        <w:tc>
          <w:tcPr>
            <w:tcW w:w="1703" w:type="dxa"/>
            <w:tcBorders>
              <w:top w:val="nil"/>
              <w:left w:val="nil"/>
              <w:bottom w:val="nil"/>
              <w:right w:val="nil"/>
            </w:tcBorders>
            <w:shd w:val="clear" w:color="auto" w:fill="auto"/>
            <w:noWrap/>
            <w:vAlign w:val="bottom"/>
            <w:hideMark/>
          </w:tcPr>
          <w:p w14:paraId="73BF3422"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093FE927"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73E026C0"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93B8CAE"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7C90F601" w14:textId="77777777" w:rsidR="00BE6461" w:rsidRPr="00BE6461" w:rsidRDefault="00BE6461" w:rsidP="00BE6461">
            <w:pPr>
              <w:jc w:val="right"/>
              <w:rPr>
                <w:sz w:val="20"/>
                <w:szCs w:val="20"/>
              </w:rPr>
            </w:pPr>
          </w:p>
        </w:tc>
      </w:tr>
      <w:tr w:rsidR="00BE6461" w:rsidRPr="00BE6461" w14:paraId="0B93FB66" w14:textId="77777777" w:rsidTr="00BE6461">
        <w:trPr>
          <w:trHeight w:val="300"/>
        </w:trPr>
        <w:tc>
          <w:tcPr>
            <w:tcW w:w="1703" w:type="dxa"/>
            <w:tcBorders>
              <w:top w:val="nil"/>
              <w:left w:val="nil"/>
              <w:bottom w:val="nil"/>
              <w:right w:val="nil"/>
            </w:tcBorders>
            <w:shd w:val="clear" w:color="auto" w:fill="auto"/>
            <w:noWrap/>
            <w:vAlign w:val="bottom"/>
            <w:hideMark/>
          </w:tcPr>
          <w:p w14:paraId="3EAF0F6D"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5CEF9446"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6E182CCD" w14:textId="77777777" w:rsidR="00BE6461" w:rsidRPr="00BE6461" w:rsidRDefault="00BE6461" w:rsidP="00BE6461">
            <w:pPr>
              <w:jc w:val="right"/>
              <w:rPr>
                <w:b/>
                <w:bCs/>
                <w:sz w:val="20"/>
                <w:szCs w:val="20"/>
              </w:rPr>
            </w:pPr>
            <w:r w:rsidRPr="00BE6461">
              <w:rPr>
                <w:b/>
                <w:bCs/>
                <w:sz w:val="20"/>
                <w:szCs w:val="20"/>
              </w:rPr>
              <w:t>2.000,00</w:t>
            </w:r>
          </w:p>
        </w:tc>
        <w:tc>
          <w:tcPr>
            <w:tcW w:w="1500" w:type="dxa"/>
            <w:tcBorders>
              <w:top w:val="nil"/>
              <w:left w:val="nil"/>
              <w:bottom w:val="nil"/>
              <w:right w:val="nil"/>
            </w:tcBorders>
            <w:shd w:val="clear" w:color="auto" w:fill="auto"/>
            <w:noWrap/>
            <w:vAlign w:val="bottom"/>
            <w:hideMark/>
          </w:tcPr>
          <w:p w14:paraId="307B997A" w14:textId="77777777" w:rsidR="00BE6461" w:rsidRPr="00BE6461" w:rsidRDefault="00BE6461" w:rsidP="00BE6461">
            <w:pPr>
              <w:jc w:val="right"/>
              <w:rPr>
                <w:b/>
                <w:bCs/>
                <w:sz w:val="20"/>
                <w:szCs w:val="20"/>
              </w:rPr>
            </w:pPr>
            <w:r w:rsidRPr="00BE6461">
              <w:rPr>
                <w:b/>
                <w:bCs/>
                <w:sz w:val="20"/>
                <w:szCs w:val="20"/>
              </w:rPr>
              <w:t>309,27</w:t>
            </w:r>
          </w:p>
        </w:tc>
        <w:tc>
          <w:tcPr>
            <w:tcW w:w="1100" w:type="dxa"/>
            <w:tcBorders>
              <w:top w:val="nil"/>
              <w:left w:val="nil"/>
              <w:bottom w:val="nil"/>
              <w:right w:val="nil"/>
            </w:tcBorders>
            <w:shd w:val="clear" w:color="auto" w:fill="auto"/>
            <w:noWrap/>
            <w:vAlign w:val="bottom"/>
            <w:hideMark/>
          </w:tcPr>
          <w:p w14:paraId="10BBB178" w14:textId="77777777" w:rsidR="00BE6461" w:rsidRPr="00BE6461" w:rsidRDefault="00BE6461" w:rsidP="00BE6461">
            <w:pPr>
              <w:jc w:val="right"/>
              <w:rPr>
                <w:b/>
                <w:bCs/>
                <w:sz w:val="20"/>
                <w:szCs w:val="20"/>
              </w:rPr>
            </w:pPr>
            <w:r w:rsidRPr="00BE6461">
              <w:rPr>
                <w:b/>
                <w:bCs/>
                <w:sz w:val="20"/>
                <w:szCs w:val="20"/>
              </w:rPr>
              <w:t>15,46</w:t>
            </w:r>
          </w:p>
        </w:tc>
      </w:tr>
      <w:tr w:rsidR="00BE6461" w:rsidRPr="00BE6461" w14:paraId="03B4849E" w14:textId="77777777" w:rsidTr="00BE6461">
        <w:trPr>
          <w:trHeight w:val="300"/>
        </w:trPr>
        <w:tc>
          <w:tcPr>
            <w:tcW w:w="1703" w:type="dxa"/>
            <w:tcBorders>
              <w:top w:val="nil"/>
              <w:left w:val="nil"/>
              <w:bottom w:val="nil"/>
              <w:right w:val="nil"/>
            </w:tcBorders>
            <w:shd w:val="clear" w:color="auto" w:fill="auto"/>
            <w:noWrap/>
            <w:vAlign w:val="bottom"/>
            <w:hideMark/>
          </w:tcPr>
          <w:p w14:paraId="47203160" w14:textId="77777777" w:rsidR="00BE6461" w:rsidRPr="00BE6461" w:rsidRDefault="00BE6461" w:rsidP="00BE6461">
            <w:pPr>
              <w:rPr>
                <w:sz w:val="20"/>
                <w:szCs w:val="20"/>
              </w:rPr>
            </w:pPr>
            <w:r w:rsidRPr="00BE6461">
              <w:rPr>
                <w:sz w:val="20"/>
                <w:szCs w:val="20"/>
              </w:rPr>
              <w:t>3293</w:t>
            </w:r>
          </w:p>
        </w:tc>
        <w:tc>
          <w:tcPr>
            <w:tcW w:w="8457" w:type="dxa"/>
            <w:tcBorders>
              <w:top w:val="nil"/>
              <w:left w:val="nil"/>
              <w:bottom w:val="nil"/>
              <w:right w:val="nil"/>
            </w:tcBorders>
            <w:shd w:val="clear" w:color="auto" w:fill="auto"/>
            <w:vAlign w:val="bottom"/>
            <w:hideMark/>
          </w:tcPr>
          <w:p w14:paraId="391307FE" w14:textId="77777777" w:rsidR="00BE6461" w:rsidRPr="00BE6461" w:rsidRDefault="00BE6461" w:rsidP="00BE6461">
            <w:pPr>
              <w:rPr>
                <w:sz w:val="20"/>
                <w:szCs w:val="20"/>
              </w:rPr>
            </w:pPr>
            <w:r w:rsidRPr="00BE6461">
              <w:rPr>
                <w:sz w:val="20"/>
                <w:szCs w:val="20"/>
              </w:rPr>
              <w:t xml:space="preserve">Reprezentacija                                                                                      </w:t>
            </w:r>
          </w:p>
        </w:tc>
        <w:tc>
          <w:tcPr>
            <w:tcW w:w="1503" w:type="dxa"/>
            <w:tcBorders>
              <w:top w:val="nil"/>
              <w:left w:val="nil"/>
              <w:bottom w:val="nil"/>
              <w:right w:val="nil"/>
            </w:tcBorders>
            <w:shd w:val="clear" w:color="auto" w:fill="auto"/>
            <w:noWrap/>
            <w:vAlign w:val="bottom"/>
            <w:hideMark/>
          </w:tcPr>
          <w:p w14:paraId="2A26662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E28C513" w14:textId="77777777" w:rsidR="00BE6461" w:rsidRPr="00BE6461" w:rsidRDefault="00BE6461" w:rsidP="00BE6461">
            <w:pPr>
              <w:jc w:val="right"/>
              <w:rPr>
                <w:sz w:val="20"/>
                <w:szCs w:val="20"/>
              </w:rPr>
            </w:pPr>
            <w:r w:rsidRPr="00BE6461">
              <w:rPr>
                <w:sz w:val="20"/>
                <w:szCs w:val="20"/>
              </w:rPr>
              <w:t>309,27</w:t>
            </w:r>
          </w:p>
        </w:tc>
        <w:tc>
          <w:tcPr>
            <w:tcW w:w="1100" w:type="dxa"/>
            <w:tcBorders>
              <w:top w:val="nil"/>
              <w:left w:val="nil"/>
              <w:bottom w:val="nil"/>
              <w:right w:val="nil"/>
            </w:tcBorders>
            <w:shd w:val="clear" w:color="auto" w:fill="auto"/>
            <w:noWrap/>
            <w:vAlign w:val="bottom"/>
            <w:hideMark/>
          </w:tcPr>
          <w:p w14:paraId="1D1D2F83" w14:textId="77777777" w:rsidR="00BE6461" w:rsidRPr="00BE6461" w:rsidRDefault="00BE6461" w:rsidP="00BE6461">
            <w:pPr>
              <w:jc w:val="right"/>
              <w:rPr>
                <w:sz w:val="20"/>
                <w:szCs w:val="20"/>
              </w:rPr>
            </w:pPr>
          </w:p>
        </w:tc>
      </w:tr>
      <w:tr w:rsidR="00BE6461" w:rsidRPr="00BE6461" w14:paraId="67B5FCC0" w14:textId="77777777" w:rsidTr="00BE6461">
        <w:trPr>
          <w:trHeight w:val="300"/>
        </w:trPr>
        <w:tc>
          <w:tcPr>
            <w:tcW w:w="1703" w:type="dxa"/>
            <w:tcBorders>
              <w:top w:val="nil"/>
              <w:left w:val="nil"/>
              <w:bottom w:val="nil"/>
              <w:right w:val="nil"/>
            </w:tcBorders>
            <w:shd w:val="clear" w:color="auto" w:fill="auto"/>
            <w:noWrap/>
            <w:vAlign w:val="bottom"/>
            <w:hideMark/>
          </w:tcPr>
          <w:p w14:paraId="3F505493" w14:textId="77777777" w:rsidR="00BE6461" w:rsidRPr="00BE6461" w:rsidRDefault="00BE6461" w:rsidP="00BE6461">
            <w:pPr>
              <w:rPr>
                <w:sz w:val="20"/>
                <w:szCs w:val="20"/>
              </w:rPr>
            </w:pPr>
            <w:r w:rsidRPr="00BE6461">
              <w:rPr>
                <w:sz w:val="20"/>
                <w:szCs w:val="20"/>
              </w:rPr>
              <w:t>3299</w:t>
            </w:r>
          </w:p>
        </w:tc>
        <w:tc>
          <w:tcPr>
            <w:tcW w:w="8457" w:type="dxa"/>
            <w:tcBorders>
              <w:top w:val="nil"/>
              <w:left w:val="nil"/>
              <w:bottom w:val="nil"/>
              <w:right w:val="nil"/>
            </w:tcBorders>
            <w:shd w:val="clear" w:color="auto" w:fill="auto"/>
            <w:vAlign w:val="bottom"/>
            <w:hideMark/>
          </w:tcPr>
          <w:p w14:paraId="07C96791" w14:textId="77777777" w:rsidR="00BE6461" w:rsidRPr="00BE6461" w:rsidRDefault="00BE6461" w:rsidP="00BE6461">
            <w:pPr>
              <w:rPr>
                <w:sz w:val="20"/>
                <w:szCs w:val="20"/>
              </w:rPr>
            </w:pPr>
            <w:r w:rsidRPr="00BE6461">
              <w:rPr>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5496E92F"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C7CA32A"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148C5C1A" w14:textId="77777777" w:rsidR="00BE6461" w:rsidRPr="00BE6461" w:rsidRDefault="00BE6461" w:rsidP="00BE6461">
            <w:pPr>
              <w:jc w:val="right"/>
              <w:rPr>
                <w:sz w:val="20"/>
                <w:szCs w:val="20"/>
              </w:rPr>
            </w:pPr>
          </w:p>
        </w:tc>
      </w:tr>
      <w:tr w:rsidR="00BE6461" w:rsidRPr="00BE6461" w14:paraId="55A5DC59"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4BAE5181" w14:textId="77777777" w:rsidR="00BE6461" w:rsidRPr="00BE6461" w:rsidRDefault="00BE6461" w:rsidP="00BE6461">
            <w:pPr>
              <w:rPr>
                <w:b/>
                <w:bCs/>
                <w:sz w:val="20"/>
                <w:szCs w:val="20"/>
              </w:rPr>
            </w:pPr>
            <w:r w:rsidRPr="00BE6461">
              <w:rPr>
                <w:b/>
                <w:bCs/>
                <w:sz w:val="20"/>
                <w:szCs w:val="20"/>
              </w:rPr>
              <w:t>A100066</w:t>
            </w:r>
          </w:p>
        </w:tc>
        <w:tc>
          <w:tcPr>
            <w:tcW w:w="8457" w:type="dxa"/>
            <w:tcBorders>
              <w:top w:val="single" w:sz="4" w:space="0" w:color="auto"/>
              <w:left w:val="nil"/>
              <w:bottom w:val="single" w:sz="4" w:space="0" w:color="auto"/>
              <w:right w:val="nil"/>
            </w:tcBorders>
            <w:shd w:val="clear" w:color="auto" w:fill="auto"/>
            <w:vAlign w:val="bottom"/>
            <w:hideMark/>
          </w:tcPr>
          <w:p w14:paraId="79799016" w14:textId="77777777" w:rsidR="00BE6461" w:rsidRPr="00BE6461" w:rsidRDefault="00BE6461" w:rsidP="00BE6461">
            <w:pPr>
              <w:rPr>
                <w:b/>
                <w:bCs/>
                <w:sz w:val="20"/>
                <w:szCs w:val="20"/>
              </w:rPr>
            </w:pPr>
            <w:r w:rsidRPr="00BE6461">
              <w:rPr>
                <w:b/>
                <w:bCs/>
                <w:sz w:val="20"/>
                <w:szCs w:val="20"/>
              </w:rPr>
              <w:t>Aktivnost: LIKOVNA DJELATNOST</w:t>
            </w:r>
          </w:p>
        </w:tc>
        <w:tc>
          <w:tcPr>
            <w:tcW w:w="1503" w:type="dxa"/>
            <w:tcBorders>
              <w:top w:val="single" w:sz="4" w:space="0" w:color="auto"/>
              <w:left w:val="nil"/>
              <w:bottom w:val="single" w:sz="4" w:space="0" w:color="auto"/>
              <w:right w:val="nil"/>
            </w:tcBorders>
            <w:shd w:val="clear" w:color="auto" w:fill="auto"/>
            <w:noWrap/>
            <w:vAlign w:val="bottom"/>
            <w:hideMark/>
          </w:tcPr>
          <w:p w14:paraId="47998E1C" w14:textId="77777777" w:rsidR="00BE6461" w:rsidRPr="00BE6461" w:rsidRDefault="00BE6461" w:rsidP="00BE6461">
            <w:pPr>
              <w:jc w:val="right"/>
              <w:rPr>
                <w:b/>
                <w:bCs/>
                <w:sz w:val="20"/>
                <w:szCs w:val="20"/>
              </w:rPr>
            </w:pPr>
            <w:r w:rsidRPr="00BE6461">
              <w:rPr>
                <w:b/>
                <w:bCs/>
                <w:sz w:val="20"/>
                <w:szCs w:val="20"/>
              </w:rPr>
              <w:t>3.100,00</w:t>
            </w:r>
          </w:p>
        </w:tc>
        <w:tc>
          <w:tcPr>
            <w:tcW w:w="1500" w:type="dxa"/>
            <w:tcBorders>
              <w:top w:val="single" w:sz="4" w:space="0" w:color="auto"/>
              <w:left w:val="nil"/>
              <w:bottom w:val="single" w:sz="4" w:space="0" w:color="auto"/>
              <w:right w:val="nil"/>
            </w:tcBorders>
            <w:shd w:val="clear" w:color="auto" w:fill="auto"/>
            <w:noWrap/>
            <w:vAlign w:val="bottom"/>
            <w:hideMark/>
          </w:tcPr>
          <w:p w14:paraId="68ED9439" w14:textId="77777777" w:rsidR="00BE6461" w:rsidRPr="00BE6461" w:rsidRDefault="00BE6461" w:rsidP="00BE6461">
            <w:pPr>
              <w:jc w:val="right"/>
              <w:rPr>
                <w:b/>
                <w:bCs/>
                <w:sz w:val="20"/>
                <w:szCs w:val="20"/>
              </w:rPr>
            </w:pPr>
            <w:r w:rsidRPr="00BE6461">
              <w:rPr>
                <w:b/>
                <w:bCs/>
                <w:sz w:val="20"/>
                <w:szCs w:val="20"/>
              </w:rPr>
              <w:t>955,50</w:t>
            </w:r>
          </w:p>
        </w:tc>
        <w:tc>
          <w:tcPr>
            <w:tcW w:w="1100" w:type="dxa"/>
            <w:tcBorders>
              <w:top w:val="single" w:sz="4" w:space="0" w:color="auto"/>
              <w:left w:val="nil"/>
              <w:bottom w:val="single" w:sz="4" w:space="0" w:color="auto"/>
              <w:right w:val="nil"/>
            </w:tcBorders>
            <w:shd w:val="clear" w:color="auto" w:fill="auto"/>
            <w:noWrap/>
            <w:vAlign w:val="bottom"/>
            <w:hideMark/>
          </w:tcPr>
          <w:p w14:paraId="7D5C368E" w14:textId="77777777" w:rsidR="00BE6461" w:rsidRPr="00BE6461" w:rsidRDefault="00BE6461" w:rsidP="00BE6461">
            <w:pPr>
              <w:jc w:val="right"/>
              <w:rPr>
                <w:b/>
                <w:bCs/>
                <w:sz w:val="20"/>
                <w:szCs w:val="20"/>
              </w:rPr>
            </w:pPr>
            <w:r w:rsidRPr="00BE6461">
              <w:rPr>
                <w:b/>
                <w:bCs/>
                <w:sz w:val="20"/>
                <w:szCs w:val="20"/>
              </w:rPr>
              <w:t>30,82</w:t>
            </w:r>
          </w:p>
        </w:tc>
      </w:tr>
      <w:tr w:rsidR="00BE6461" w:rsidRPr="00BE6461" w14:paraId="5A49F22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703186C"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2CCCDC20" w14:textId="77777777" w:rsidR="00BE6461" w:rsidRPr="00BE6461" w:rsidRDefault="00BE6461" w:rsidP="00BE6461">
            <w:pPr>
              <w:jc w:val="right"/>
              <w:rPr>
                <w:b/>
                <w:bCs/>
                <w:color w:val="333333"/>
                <w:sz w:val="20"/>
                <w:szCs w:val="20"/>
              </w:rPr>
            </w:pPr>
            <w:r w:rsidRPr="00BE6461">
              <w:rPr>
                <w:b/>
                <w:bCs/>
                <w:color w:val="333333"/>
                <w:sz w:val="20"/>
                <w:szCs w:val="20"/>
              </w:rPr>
              <w:t>3.100,00</w:t>
            </w:r>
          </w:p>
        </w:tc>
        <w:tc>
          <w:tcPr>
            <w:tcW w:w="1500" w:type="dxa"/>
            <w:tcBorders>
              <w:top w:val="nil"/>
              <w:left w:val="nil"/>
              <w:bottom w:val="nil"/>
              <w:right w:val="nil"/>
            </w:tcBorders>
            <w:shd w:val="clear" w:color="auto" w:fill="auto"/>
            <w:noWrap/>
            <w:vAlign w:val="bottom"/>
            <w:hideMark/>
          </w:tcPr>
          <w:p w14:paraId="4A2578E3" w14:textId="77777777" w:rsidR="00BE6461" w:rsidRPr="00BE6461" w:rsidRDefault="00BE6461" w:rsidP="00BE6461">
            <w:pPr>
              <w:jc w:val="right"/>
              <w:rPr>
                <w:b/>
                <w:bCs/>
                <w:color w:val="333333"/>
                <w:sz w:val="20"/>
                <w:szCs w:val="20"/>
              </w:rPr>
            </w:pPr>
            <w:r w:rsidRPr="00BE6461">
              <w:rPr>
                <w:b/>
                <w:bCs/>
                <w:color w:val="333333"/>
                <w:sz w:val="20"/>
                <w:szCs w:val="20"/>
              </w:rPr>
              <w:t>955,50</w:t>
            </w:r>
          </w:p>
        </w:tc>
        <w:tc>
          <w:tcPr>
            <w:tcW w:w="1100" w:type="dxa"/>
            <w:tcBorders>
              <w:top w:val="nil"/>
              <w:left w:val="nil"/>
              <w:bottom w:val="nil"/>
              <w:right w:val="nil"/>
            </w:tcBorders>
            <w:shd w:val="clear" w:color="auto" w:fill="auto"/>
            <w:noWrap/>
            <w:vAlign w:val="bottom"/>
            <w:hideMark/>
          </w:tcPr>
          <w:p w14:paraId="1A9B7E53" w14:textId="77777777" w:rsidR="00BE6461" w:rsidRPr="00BE6461" w:rsidRDefault="00BE6461" w:rsidP="00BE6461">
            <w:pPr>
              <w:jc w:val="right"/>
              <w:rPr>
                <w:b/>
                <w:bCs/>
                <w:color w:val="333333"/>
                <w:sz w:val="20"/>
                <w:szCs w:val="20"/>
              </w:rPr>
            </w:pPr>
            <w:r w:rsidRPr="00BE6461">
              <w:rPr>
                <w:b/>
                <w:bCs/>
                <w:color w:val="333333"/>
                <w:sz w:val="20"/>
                <w:szCs w:val="20"/>
              </w:rPr>
              <w:t>30,82</w:t>
            </w:r>
          </w:p>
        </w:tc>
      </w:tr>
      <w:tr w:rsidR="00BE6461" w:rsidRPr="00BE6461" w14:paraId="2553467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1DC486A"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5AD300D1" w14:textId="77777777" w:rsidR="00BE6461" w:rsidRPr="00BE6461" w:rsidRDefault="00BE6461" w:rsidP="00BE6461">
            <w:pPr>
              <w:jc w:val="right"/>
              <w:rPr>
                <w:b/>
                <w:bCs/>
                <w:color w:val="333333"/>
                <w:sz w:val="20"/>
                <w:szCs w:val="20"/>
              </w:rPr>
            </w:pPr>
            <w:r w:rsidRPr="00BE6461">
              <w:rPr>
                <w:b/>
                <w:bCs/>
                <w:color w:val="333333"/>
                <w:sz w:val="20"/>
                <w:szCs w:val="20"/>
              </w:rPr>
              <w:t>3.100,00</w:t>
            </w:r>
          </w:p>
        </w:tc>
        <w:tc>
          <w:tcPr>
            <w:tcW w:w="1500" w:type="dxa"/>
            <w:tcBorders>
              <w:top w:val="nil"/>
              <w:left w:val="nil"/>
              <w:bottom w:val="nil"/>
              <w:right w:val="nil"/>
            </w:tcBorders>
            <w:shd w:val="clear" w:color="auto" w:fill="auto"/>
            <w:noWrap/>
            <w:vAlign w:val="bottom"/>
            <w:hideMark/>
          </w:tcPr>
          <w:p w14:paraId="6BD34ADC" w14:textId="77777777" w:rsidR="00BE6461" w:rsidRPr="00BE6461" w:rsidRDefault="00BE6461" w:rsidP="00BE6461">
            <w:pPr>
              <w:jc w:val="right"/>
              <w:rPr>
                <w:b/>
                <w:bCs/>
                <w:color w:val="333333"/>
                <w:sz w:val="20"/>
                <w:szCs w:val="20"/>
              </w:rPr>
            </w:pPr>
            <w:r w:rsidRPr="00BE6461">
              <w:rPr>
                <w:b/>
                <w:bCs/>
                <w:color w:val="333333"/>
                <w:sz w:val="20"/>
                <w:szCs w:val="20"/>
              </w:rPr>
              <w:t>955,50</w:t>
            </w:r>
          </w:p>
        </w:tc>
        <w:tc>
          <w:tcPr>
            <w:tcW w:w="1100" w:type="dxa"/>
            <w:tcBorders>
              <w:top w:val="nil"/>
              <w:left w:val="nil"/>
              <w:bottom w:val="nil"/>
              <w:right w:val="nil"/>
            </w:tcBorders>
            <w:shd w:val="clear" w:color="auto" w:fill="auto"/>
            <w:noWrap/>
            <w:vAlign w:val="bottom"/>
            <w:hideMark/>
          </w:tcPr>
          <w:p w14:paraId="23EBBA35" w14:textId="77777777" w:rsidR="00BE6461" w:rsidRPr="00BE6461" w:rsidRDefault="00BE6461" w:rsidP="00BE6461">
            <w:pPr>
              <w:jc w:val="right"/>
              <w:rPr>
                <w:b/>
                <w:bCs/>
                <w:color w:val="333333"/>
                <w:sz w:val="20"/>
                <w:szCs w:val="20"/>
              </w:rPr>
            </w:pPr>
            <w:r w:rsidRPr="00BE6461">
              <w:rPr>
                <w:b/>
                <w:bCs/>
                <w:color w:val="333333"/>
                <w:sz w:val="20"/>
                <w:szCs w:val="20"/>
              </w:rPr>
              <w:t>30,82</w:t>
            </w:r>
          </w:p>
        </w:tc>
      </w:tr>
      <w:tr w:rsidR="00BE6461" w:rsidRPr="00BE6461" w14:paraId="5797F0F1" w14:textId="77777777" w:rsidTr="00BE6461">
        <w:trPr>
          <w:trHeight w:val="300"/>
        </w:trPr>
        <w:tc>
          <w:tcPr>
            <w:tcW w:w="1703" w:type="dxa"/>
            <w:tcBorders>
              <w:top w:val="nil"/>
              <w:left w:val="nil"/>
              <w:bottom w:val="nil"/>
              <w:right w:val="nil"/>
            </w:tcBorders>
            <w:shd w:val="clear" w:color="auto" w:fill="auto"/>
            <w:noWrap/>
            <w:vAlign w:val="bottom"/>
            <w:hideMark/>
          </w:tcPr>
          <w:p w14:paraId="06C31A73"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05DA71BE"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284A2FD6" w14:textId="77777777" w:rsidR="00BE6461" w:rsidRPr="00BE6461" w:rsidRDefault="00BE6461" w:rsidP="00BE6461">
            <w:pPr>
              <w:jc w:val="right"/>
              <w:rPr>
                <w:b/>
                <w:bCs/>
                <w:sz w:val="20"/>
                <w:szCs w:val="20"/>
              </w:rPr>
            </w:pPr>
            <w:r w:rsidRPr="00BE6461">
              <w:rPr>
                <w:b/>
                <w:bCs/>
                <w:sz w:val="20"/>
                <w:szCs w:val="20"/>
              </w:rPr>
              <w:t>1.600,00</w:t>
            </w:r>
          </w:p>
        </w:tc>
        <w:tc>
          <w:tcPr>
            <w:tcW w:w="1500" w:type="dxa"/>
            <w:tcBorders>
              <w:top w:val="nil"/>
              <w:left w:val="nil"/>
              <w:bottom w:val="nil"/>
              <w:right w:val="nil"/>
            </w:tcBorders>
            <w:shd w:val="clear" w:color="auto" w:fill="auto"/>
            <w:noWrap/>
            <w:vAlign w:val="bottom"/>
            <w:hideMark/>
          </w:tcPr>
          <w:p w14:paraId="4119E5DB"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1993D67B"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768AAF1F" w14:textId="77777777" w:rsidTr="00BE6461">
        <w:trPr>
          <w:trHeight w:val="300"/>
        </w:trPr>
        <w:tc>
          <w:tcPr>
            <w:tcW w:w="1703" w:type="dxa"/>
            <w:tcBorders>
              <w:top w:val="nil"/>
              <w:left w:val="nil"/>
              <w:bottom w:val="nil"/>
              <w:right w:val="nil"/>
            </w:tcBorders>
            <w:shd w:val="clear" w:color="auto" w:fill="auto"/>
            <w:noWrap/>
            <w:vAlign w:val="bottom"/>
            <w:hideMark/>
          </w:tcPr>
          <w:p w14:paraId="7B033998"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45C57993"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43D5D1E5"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CE221B1"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0A338BE6" w14:textId="77777777" w:rsidR="00BE6461" w:rsidRPr="00BE6461" w:rsidRDefault="00BE6461" w:rsidP="00BE6461">
            <w:pPr>
              <w:jc w:val="right"/>
              <w:rPr>
                <w:sz w:val="20"/>
                <w:szCs w:val="20"/>
              </w:rPr>
            </w:pPr>
          </w:p>
        </w:tc>
      </w:tr>
      <w:tr w:rsidR="00BE6461" w:rsidRPr="00BE6461" w14:paraId="5E70DC44" w14:textId="77777777" w:rsidTr="00BE6461">
        <w:trPr>
          <w:trHeight w:val="300"/>
        </w:trPr>
        <w:tc>
          <w:tcPr>
            <w:tcW w:w="1703" w:type="dxa"/>
            <w:tcBorders>
              <w:top w:val="nil"/>
              <w:left w:val="nil"/>
              <w:bottom w:val="nil"/>
              <w:right w:val="nil"/>
            </w:tcBorders>
            <w:shd w:val="clear" w:color="auto" w:fill="auto"/>
            <w:noWrap/>
            <w:vAlign w:val="bottom"/>
            <w:hideMark/>
          </w:tcPr>
          <w:p w14:paraId="416D3DC9" w14:textId="77777777" w:rsidR="00BE6461" w:rsidRPr="00BE6461" w:rsidRDefault="00BE6461" w:rsidP="00BE6461">
            <w:pPr>
              <w:rPr>
                <w:b/>
                <w:bCs/>
                <w:sz w:val="20"/>
                <w:szCs w:val="20"/>
              </w:rPr>
            </w:pPr>
            <w:r w:rsidRPr="00BE6461">
              <w:rPr>
                <w:b/>
                <w:bCs/>
                <w:sz w:val="20"/>
                <w:szCs w:val="20"/>
              </w:rPr>
              <w:t>324</w:t>
            </w:r>
          </w:p>
        </w:tc>
        <w:tc>
          <w:tcPr>
            <w:tcW w:w="8457" w:type="dxa"/>
            <w:tcBorders>
              <w:top w:val="nil"/>
              <w:left w:val="nil"/>
              <w:bottom w:val="nil"/>
              <w:right w:val="nil"/>
            </w:tcBorders>
            <w:shd w:val="clear" w:color="auto" w:fill="auto"/>
            <w:vAlign w:val="bottom"/>
            <w:hideMark/>
          </w:tcPr>
          <w:p w14:paraId="16E815DF" w14:textId="77777777" w:rsidR="00BE6461" w:rsidRPr="00BE6461" w:rsidRDefault="00BE6461" w:rsidP="00BE6461">
            <w:pPr>
              <w:rPr>
                <w:b/>
                <w:bCs/>
                <w:sz w:val="20"/>
                <w:szCs w:val="20"/>
              </w:rPr>
            </w:pPr>
            <w:r w:rsidRPr="00BE6461">
              <w:rPr>
                <w:b/>
                <w:bCs/>
                <w:sz w:val="20"/>
                <w:szCs w:val="20"/>
              </w:rPr>
              <w:t xml:space="preserve">Naknade troškova osobama izvan radnog odnosa                                                        </w:t>
            </w:r>
          </w:p>
        </w:tc>
        <w:tc>
          <w:tcPr>
            <w:tcW w:w="1503" w:type="dxa"/>
            <w:tcBorders>
              <w:top w:val="nil"/>
              <w:left w:val="nil"/>
              <w:bottom w:val="nil"/>
              <w:right w:val="nil"/>
            </w:tcBorders>
            <w:shd w:val="clear" w:color="auto" w:fill="auto"/>
            <w:noWrap/>
            <w:vAlign w:val="bottom"/>
            <w:hideMark/>
          </w:tcPr>
          <w:p w14:paraId="609BDB49" w14:textId="77777777" w:rsidR="00BE6461" w:rsidRPr="00BE6461" w:rsidRDefault="00BE6461" w:rsidP="00BE6461">
            <w:pPr>
              <w:jc w:val="right"/>
              <w:rPr>
                <w:b/>
                <w:bCs/>
                <w:sz w:val="20"/>
                <w:szCs w:val="20"/>
              </w:rPr>
            </w:pPr>
            <w:r w:rsidRPr="00BE6461">
              <w:rPr>
                <w:b/>
                <w:bCs/>
                <w:sz w:val="20"/>
                <w:szCs w:val="20"/>
              </w:rPr>
              <w:t>500,00</w:t>
            </w:r>
          </w:p>
        </w:tc>
        <w:tc>
          <w:tcPr>
            <w:tcW w:w="1500" w:type="dxa"/>
            <w:tcBorders>
              <w:top w:val="nil"/>
              <w:left w:val="nil"/>
              <w:bottom w:val="nil"/>
              <w:right w:val="nil"/>
            </w:tcBorders>
            <w:shd w:val="clear" w:color="auto" w:fill="auto"/>
            <w:noWrap/>
            <w:vAlign w:val="bottom"/>
            <w:hideMark/>
          </w:tcPr>
          <w:p w14:paraId="5638601A"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4BCBA474"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78856116" w14:textId="77777777" w:rsidTr="00BE6461">
        <w:trPr>
          <w:trHeight w:val="300"/>
        </w:trPr>
        <w:tc>
          <w:tcPr>
            <w:tcW w:w="1703" w:type="dxa"/>
            <w:tcBorders>
              <w:top w:val="nil"/>
              <w:left w:val="nil"/>
              <w:bottom w:val="nil"/>
              <w:right w:val="nil"/>
            </w:tcBorders>
            <w:shd w:val="clear" w:color="auto" w:fill="auto"/>
            <w:noWrap/>
            <w:vAlign w:val="bottom"/>
            <w:hideMark/>
          </w:tcPr>
          <w:p w14:paraId="2ABF0CA6" w14:textId="77777777" w:rsidR="00BE6461" w:rsidRPr="00BE6461" w:rsidRDefault="00BE6461" w:rsidP="00BE6461">
            <w:pPr>
              <w:rPr>
                <w:sz w:val="20"/>
                <w:szCs w:val="20"/>
              </w:rPr>
            </w:pPr>
            <w:r w:rsidRPr="00BE6461">
              <w:rPr>
                <w:sz w:val="20"/>
                <w:szCs w:val="20"/>
              </w:rPr>
              <w:t>3241</w:t>
            </w:r>
          </w:p>
        </w:tc>
        <w:tc>
          <w:tcPr>
            <w:tcW w:w="8457" w:type="dxa"/>
            <w:tcBorders>
              <w:top w:val="nil"/>
              <w:left w:val="nil"/>
              <w:bottom w:val="nil"/>
              <w:right w:val="nil"/>
            </w:tcBorders>
            <w:shd w:val="clear" w:color="auto" w:fill="auto"/>
            <w:vAlign w:val="bottom"/>
            <w:hideMark/>
          </w:tcPr>
          <w:p w14:paraId="7E54FE03" w14:textId="77777777" w:rsidR="00BE6461" w:rsidRPr="00BE6461" w:rsidRDefault="00BE6461" w:rsidP="00BE6461">
            <w:pPr>
              <w:rPr>
                <w:sz w:val="20"/>
                <w:szCs w:val="20"/>
              </w:rPr>
            </w:pPr>
            <w:r w:rsidRPr="00BE6461">
              <w:rPr>
                <w:sz w:val="20"/>
                <w:szCs w:val="20"/>
              </w:rPr>
              <w:t xml:space="preserve">Naknade troškova osobama izvan radnog odnosa                                                        </w:t>
            </w:r>
          </w:p>
        </w:tc>
        <w:tc>
          <w:tcPr>
            <w:tcW w:w="1503" w:type="dxa"/>
            <w:tcBorders>
              <w:top w:val="nil"/>
              <w:left w:val="nil"/>
              <w:bottom w:val="nil"/>
              <w:right w:val="nil"/>
            </w:tcBorders>
            <w:shd w:val="clear" w:color="auto" w:fill="auto"/>
            <w:noWrap/>
            <w:vAlign w:val="bottom"/>
            <w:hideMark/>
          </w:tcPr>
          <w:p w14:paraId="1DA1C4C2"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2061021"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1DA5B109" w14:textId="77777777" w:rsidR="00BE6461" w:rsidRPr="00BE6461" w:rsidRDefault="00BE6461" w:rsidP="00BE6461">
            <w:pPr>
              <w:jc w:val="right"/>
              <w:rPr>
                <w:sz w:val="20"/>
                <w:szCs w:val="20"/>
              </w:rPr>
            </w:pPr>
          </w:p>
        </w:tc>
      </w:tr>
      <w:tr w:rsidR="00BE6461" w:rsidRPr="00BE6461" w14:paraId="3BF08B09" w14:textId="77777777" w:rsidTr="00BE6461">
        <w:trPr>
          <w:trHeight w:val="300"/>
        </w:trPr>
        <w:tc>
          <w:tcPr>
            <w:tcW w:w="1703" w:type="dxa"/>
            <w:tcBorders>
              <w:top w:val="nil"/>
              <w:left w:val="nil"/>
              <w:bottom w:val="nil"/>
              <w:right w:val="nil"/>
            </w:tcBorders>
            <w:shd w:val="clear" w:color="auto" w:fill="auto"/>
            <w:noWrap/>
            <w:vAlign w:val="bottom"/>
            <w:hideMark/>
          </w:tcPr>
          <w:p w14:paraId="2FEA7963" w14:textId="77777777" w:rsidR="00BE6461" w:rsidRPr="00BE6461" w:rsidRDefault="00BE6461" w:rsidP="00BE6461">
            <w:pPr>
              <w:rPr>
                <w:b/>
                <w:bCs/>
                <w:sz w:val="20"/>
                <w:szCs w:val="20"/>
              </w:rPr>
            </w:pPr>
            <w:r w:rsidRPr="00BE6461">
              <w:rPr>
                <w:b/>
                <w:bCs/>
                <w:sz w:val="20"/>
                <w:szCs w:val="20"/>
              </w:rPr>
              <w:lastRenderedPageBreak/>
              <w:t>329</w:t>
            </w:r>
          </w:p>
        </w:tc>
        <w:tc>
          <w:tcPr>
            <w:tcW w:w="8457" w:type="dxa"/>
            <w:tcBorders>
              <w:top w:val="nil"/>
              <w:left w:val="nil"/>
              <w:bottom w:val="nil"/>
              <w:right w:val="nil"/>
            </w:tcBorders>
            <w:shd w:val="clear" w:color="auto" w:fill="auto"/>
            <w:vAlign w:val="bottom"/>
            <w:hideMark/>
          </w:tcPr>
          <w:p w14:paraId="513F901F"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0E88E834" w14:textId="77777777" w:rsidR="00BE6461" w:rsidRPr="00BE6461" w:rsidRDefault="00BE6461" w:rsidP="00BE6461">
            <w:pPr>
              <w:jc w:val="right"/>
              <w:rPr>
                <w:b/>
                <w:bCs/>
                <w:sz w:val="20"/>
                <w:szCs w:val="20"/>
              </w:rPr>
            </w:pPr>
            <w:r w:rsidRPr="00BE6461">
              <w:rPr>
                <w:b/>
                <w:bCs/>
                <w:sz w:val="20"/>
                <w:szCs w:val="20"/>
              </w:rPr>
              <w:t>1.000,00</w:t>
            </w:r>
          </w:p>
        </w:tc>
        <w:tc>
          <w:tcPr>
            <w:tcW w:w="1500" w:type="dxa"/>
            <w:tcBorders>
              <w:top w:val="nil"/>
              <w:left w:val="nil"/>
              <w:bottom w:val="nil"/>
              <w:right w:val="nil"/>
            </w:tcBorders>
            <w:shd w:val="clear" w:color="auto" w:fill="auto"/>
            <w:noWrap/>
            <w:vAlign w:val="bottom"/>
            <w:hideMark/>
          </w:tcPr>
          <w:p w14:paraId="3540DECB" w14:textId="77777777" w:rsidR="00BE6461" w:rsidRPr="00BE6461" w:rsidRDefault="00BE6461" w:rsidP="00BE6461">
            <w:pPr>
              <w:jc w:val="right"/>
              <w:rPr>
                <w:b/>
                <w:bCs/>
                <w:sz w:val="20"/>
                <w:szCs w:val="20"/>
              </w:rPr>
            </w:pPr>
            <w:r w:rsidRPr="00BE6461">
              <w:rPr>
                <w:b/>
                <w:bCs/>
                <w:sz w:val="20"/>
                <w:szCs w:val="20"/>
              </w:rPr>
              <w:t>955,50</w:t>
            </w:r>
          </w:p>
        </w:tc>
        <w:tc>
          <w:tcPr>
            <w:tcW w:w="1100" w:type="dxa"/>
            <w:tcBorders>
              <w:top w:val="nil"/>
              <w:left w:val="nil"/>
              <w:bottom w:val="nil"/>
              <w:right w:val="nil"/>
            </w:tcBorders>
            <w:shd w:val="clear" w:color="auto" w:fill="auto"/>
            <w:noWrap/>
            <w:vAlign w:val="bottom"/>
            <w:hideMark/>
          </w:tcPr>
          <w:p w14:paraId="14AFEBAA" w14:textId="77777777" w:rsidR="00BE6461" w:rsidRPr="00BE6461" w:rsidRDefault="00BE6461" w:rsidP="00BE6461">
            <w:pPr>
              <w:jc w:val="right"/>
              <w:rPr>
                <w:b/>
                <w:bCs/>
                <w:sz w:val="20"/>
                <w:szCs w:val="20"/>
              </w:rPr>
            </w:pPr>
            <w:r w:rsidRPr="00BE6461">
              <w:rPr>
                <w:b/>
                <w:bCs/>
                <w:sz w:val="20"/>
                <w:szCs w:val="20"/>
              </w:rPr>
              <w:t>95,55</w:t>
            </w:r>
          </w:p>
        </w:tc>
      </w:tr>
      <w:tr w:rsidR="00BE6461" w:rsidRPr="00BE6461" w14:paraId="722177A2" w14:textId="77777777" w:rsidTr="00BE6461">
        <w:trPr>
          <w:trHeight w:val="300"/>
        </w:trPr>
        <w:tc>
          <w:tcPr>
            <w:tcW w:w="1703" w:type="dxa"/>
            <w:tcBorders>
              <w:top w:val="nil"/>
              <w:left w:val="nil"/>
              <w:bottom w:val="nil"/>
              <w:right w:val="nil"/>
            </w:tcBorders>
            <w:shd w:val="clear" w:color="auto" w:fill="auto"/>
            <w:noWrap/>
            <w:vAlign w:val="bottom"/>
            <w:hideMark/>
          </w:tcPr>
          <w:p w14:paraId="1612AD8A" w14:textId="77777777" w:rsidR="00BE6461" w:rsidRPr="00BE6461" w:rsidRDefault="00BE6461" w:rsidP="00BE6461">
            <w:pPr>
              <w:rPr>
                <w:sz w:val="20"/>
                <w:szCs w:val="20"/>
              </w:rPr>
            </w:pPr>
            <w:r w:rsidRPr="00BE6461">
              <w:rPr>
                <w:sz w:val="20"/>
                <w:szCs w:val="20"/>
              </w:rPr>
              <w:t>3293</w:t>
            </w:r>
          </w:p>
        </w:tc>
        <w:tc>
          <w:tcPr>
            <w:tcW w:w="8457" w:type="dxa"/>
            <w:tcBorders>
              <w:top w:val="nil"/>
              <w:left w:val="nil"/>
              <w:bottom w:val="nil"/>
              <w:right w:val="nil"/>
            </w:tcBorders>
            <w:shd w:val="clear" w:color="auto" w:fill="auto"/>
            <w:vAlign w:val="bottom"/>
            <w:hideMark/>
          </w:tcPr>
          <w:p w14:paraId="659855BB" w14:textId="77777777" w:rsidR="00BE6461" w:rsidRPr="00BE6461" w:rsidRDefault="00BE6461" w:rsidP="00BE6461">
            <w:pPr>
              <w:rPr>
                <w:sz w:val="20"/>
                <w:szCs w:val="20"/>
              </w:rPr>
            </w:pPr>
            <w:r w:rsidRPr="00BE6461">
              <w:rPr>
                <w:sz w:val="20"/>
                <w:szCs w:val="20"/>
              </w:rPr>
              <w:t xml:space="preserve">Reprezentacija                                                                                      </w:t>
            </w:r>
          </w:p>
        </w:tc>
        <w:tc>
          <w:tcPr>
            <w:tcW w:w="1503" w:type="dxa"/>
            <w:tcBorders>
              <w:top w:val="nil"/>
              <w:left w:val="nil"/>
              <w:bottom w:val="nil"/>
              <w:right w:val="nil"/>
            </w:tcBorders>
            <w:shd w:val="clear" w:color="auto" w:fill="auto"/>
            <w:noWrap/>
            <w:vAlign w:val="bottom"/>
            <w:hideMark/>
          </w:tcPr>
          <w:p w14:paraId="201DD58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39579C8" w14:textId="77777777" w:rsidR="00BE6461" w:rsidRPr="00BE6461" w:rsidRDefault="00BE6461" w:rsidP="00BE6461">
            <w:pPr>
              <w:jc w:val="right"/>
              <w:rPr>
                <w:sz w:val="20"/>
                <w:szCs w:val="20"/>
              </w:rPr>
            </w:pPr>
            <w:r w:rsidRPr="00BE6461">
              <w:rPr>
                <w:sz w:val="20"/>
                <w:szCs w:val="20"/>
              </w:rPr>
              <w:t>165,00</w:t>
            </w:r>
          </w:p>
        </w:tc>
        <w:tc>
          <w:tcPr>
            <w:tcW w:w="1100" w:type="dxa"/>
            <w:tcBorders>
              <w:top w:val="nil"/>
              <w:left w:val="nil"/>
              <w:bottom w:val="nil"/>
              <w:right w:val="nil"/>
            </w:tcBorders>
            <w:shd w:val="clear" w:color="auto" w:fill="auto"/>
            <w:noWrap/>
            <w:vAlign w:val="bottom"/>
            <w:hideMark/>
          </w:tcPr>
          <w:p w14:paraId="086DAA0D" w14:textId="77777777" w:rsidR="00BE6461" w:rsidRPr="00BE6461" w:rsidRDefault="00BE6461" w:rsidP="00BE6461">
            <w:pPr>
              <w:jc w:val="right"/>
              <w:rPr>
                <w:sz w:val="20"/>
                <w:szCs w:val="20"/>
              </w:rPr>
            </w:pPr>
          </w:p>
        </w:tc>
      </w:tr>
      <w:tr w:rsidR="00BE6461" w:rsidRPr="00BE6461" w14:paraId="46F1450B" w14:textId="77777777" w:rsidTr="00BE6461">
        <w:trPr>
          <w:trHeight w:val="300"/>
        </w:trPr>
        <w:tc>
          <w:tcPr>
            <w:tcW w:w="1703" w:type="dxa"/>
            <w:tcBorders>
              <w:top w:val="nil"/>
              <w:left w:val="nil"/>
              <w:bottom w:val="nil"/>
              <w:right w:val="nil"/>
            </w:tcBorders>
            <w:shd w:val="clear" w:color="auto" w:fill="auto"/>
            <w:noWrap/>
            <w:vAlign w:val="bottom"/>
            <w:hideMark/>
          </w:tcPr>
          <w:p w14:paraId="08F76390" w14:textId="77777777" w:rsidR="00BE6461" w:rsidRPr="00BE6461" w:rsidRDefault="00BE6461" w:rsidP="00BE6461">
            <w:pPr>
              <w:rPr>
                <w:sz w:val="20"/>
                <w:szCs w:val="20"/>
              </w:rPr>
            </w:pPr>
            <w:r w:rsidRPr="00BE6461">
              <w:rPr>
                <w:sz w:val="20"/>
                <w:szCs w:val="20"/>
              </w:rPr>
              <w:t>3299</w:t>
            </w:r>
          </w:p>
        </w:tc>
        <w:tc>
          <w:tcPr>
            <w:tcW w:w="8457" w:type="dxa"/>
            <w:tcBorders>
              <w:top w:val="nil"/>
              <w:left w:val="nil"/>
              <w:bottom w:val="nil"/>
              <w:right w:val="nil"/>
            </w:tcBorders>
            <w:shd w:val="clear" w:color="auto" w:fill="auto"/>
            <w:vAlign w:val="bottom"/>
            <w:hideMark/>
          </w:tcPr>
          <w:p w14:paraId="15B33965" w14:textId="77777777" w:rsidR="00BE6461" w:rsidRPr="00BE6461" w:rsidRDefault="00BE6461" w:rsidP="00BE6461">
            <w:pPr>
              <w:rPr>
                <w:sz w:val="20"/>
                <w:szCs w:val="20"/>
              </w:rPr>
            </w:pPr>
            <w:r w:rsidRPr="00BE6461">
              <w:rPr>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17ADA65E"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BD43358" w14:textId="77777777" w:rsidR="00BE6461" w:rsidRPr="00BE6461" w:rsidRDefault="00BE6461" w:rsidP="00BE6461">
            <w:pPr>
              <w:jc w:val="right"/>
              <w:rPr>
                <w:sz w:val="20"/>
                <w:szCs w:val="20"/>
              </w:rPr>
            </w:pPr>
            <w:r w:rsidRPr="00BE6461">
              <w:rPr>
                <w:sz w:val="20"/>
                <w:szCs w:val="20"/>
              </w:rPr>
              <w:t>790,50</w:t>
            </w:r>
          </w:p>
        </w:tc>
        <w:tc>
          <w:tcPr>
            <w:tcW w:w="1100" w:type="dxa"/>
            <w:tcBorders>
              <w:top w:val="nil"/>
              <w:left w:val="nil"/>
              <w:bottom w:val="nil"/>
              <w:right w:val="nil"/>
            </w:tcBorders>
            <w:shd w:val="clear" w:color="auto" w:fill="auto"/>
            <w:noWrap/>
            <w:vAlign w:val="bottom"/>
            <w:hideMark/>
          </w:tcPr>
          <w:p w14:paraId="16C2B6F3" w14:textId="77777777" w:rsidR="00BE6461" w:rsidRPr="00BE6461" w:rsidRDefault="00BE6461" w:rsidP="00BE6461">
            <w:pPr>
              <w:jc w:val="right"/>
              <w:rPr>
                <w:sz w:val="20"/>
                <w:szCs w:val="20"/>
              </w:rPr>
            </w:pPr>
          </w:p>
        </w:tc>
      </w:tr>
      <w:tr w:rsidR="00BE6461" w:rsidRPr="00BE6461" w14:paraId="0F40C140"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30F29CC0" w14:textId="77777777" w:rsidR="00BE6461" w:rsidRPr="00BE6461" w:rsidRDefault="00BE6461" w:rsidP="00BE6461">
            <w:pPr>
              <w:rPr>
                <w:b/>
                <w:bCs/>
                <w:sz w:val="20"/>
                <w:szCs w:val="20"/>
              </w:rPr>
            </w:pPr>
            <w:r w:rsidRPr="00BE6461">
              <w:rPr>
                <w:b/>
                <w:bCs/>
                <w:sz w:val="20"/>
                <w:szCs w:val="20"/>
              </w:rPr>
              <w:t>A100067</w:t>
            </w:r>
          </w:p>
        </w:tc>
        <w:tc>
          <w:tcPr>
            <w:tcW w:w="8457" w:type="dxa"/>
            <w:tcBorders>
              <w:top w:val="single" w:sz="4" w:space="0" w:color="auto"/>
              <w:left w:val="nil"/>
              <w:bottom w:val="single" w:sz="4" w:space="0" w:color="auto"/>
              <w:right w:val="nil"/>
            </w:tcBorders>
            <w:shd w:val="clear" w:color="auto" w:fill="auto"/>
            <w:vAlign w:val="bottom"/>
            <w:hideMark/>
          </w:tcPr>
          <w:p w14:paraId="66743ED9" w14:textId="77777777" w:rsidR="00BE6461" w:rsidRPr="00BE6461" w:rsidRDefault="00BE6461" w:rsidP="00BE6461">
            <w:pPr>
              <w:rPr>
                <w:b/>
                <w:bCs/>
                <w:sz w:val="20"/>
                <w:szCs w:val="20"/>
              </w:rPr>
            </w:pPr>
            <w:r w:rsidRPr="00BE6461">
              <w:rPr>
                <w:b/>
                <w:bCs/>
                <w:sz w:val="20"/>
                <w:szCs w:val="20"/>
              </w:rPr>
              <w:t>Aktivnost: IZLOŽBE</w:t>
            </w:r>
          </w:p>
        </w:tc>
        <w:tc>
          <w:tcPr>
            <w:tcW w:w="1503" w:type="dxa"/>
            <w:tcBorders>
              <w:top w:val="single" w:sz="4" w:space="0" w:color="auto"/>
              <w:left w:val="nil"/>
              <w:bottom w:val="single" w:sz="4" w:space="0" w:color="auto"/>
              <w:right w:val="nil"/>
            </w:tcBorders>
            <w:shd w:val="clear" w:color="auto" w:fill="auto"/>
            <w:noWrap/>
            <w:vAlign w:val="bottom"/>
            <w:hideMark/>
          </w:tcPr>
          <w:p w14:paraId="149C0784" w14:textId="77777777" w:rsidR="00BE6461" w:rsidRPr="00BE6461" w:rsidRDefault="00BE6461" w:rsidP="00BE6461">
            <w:pPr>
              <w:jc w:val="right"/>
              <w:rPr>
                <w:b/>
                <w:bCs/>
                <w:sz w:val="20"/>
                <w:szCs w:val="20"/>
              </w:rPr>
            </w:pPr>
            <w:r w:rsidRPr="00BE6461">
              <w:rPr>
                <w:b/>
                <w:bCs/>
                <w:sz w:val="20"/>
                <w:szCs w:val="20"/>
              </w:rPr>
              <w:t>22.600,00</w:t>
            </w:r>
          </w:p>
        </w:tc>
        <w:tc>
          <w:tcPr>
            <w:tcW w:w="1500" w:type="dxa"/>
            <w:tcBorders>
              <w:top w:val="single" w:sz="4" w:space="0" w:color="auto"/>
              <w:left w:val="nil"/>
              <w:bottom w:val="single" w:sz="4" w:space="0" w:color="auto"/>
              <w:right w:val="nil"/>
            </w:tcBorders>
            <w:shd w:val="clear" w:color="auto" w:fill="auto"/>
            <w:noWrap/>
            <w:vAlign w:val="bottom"/>
            <w:hideMark/>
          </w:tcPr>
          <w:p w14:paraId="40D91005" w14:textId="77777777" w:rsidR="00BE6461" w:rsidRPr="00BE6461" w:rsidRDefault="00BE6461" w:rsidP="00BE6461">
            <w:pPr>
              <w:jc w:val="right"/>
              <w:rPr>
                <w:b/>
                <w:bCs/>
                <w:sz w:val="20"/>
                <w:szCs w:val="20"/>
              </w:rPr>
            </w:pPr>
            <w:r w:rsidRPr="00BE6461">
              <w:rPr>
                <w:b/>
                <w:bCs/>
                <w:sz w:val="20"/>
                <w:szCs w:val="20"/>
              </w:rPr>
              <w:t>12.096,15</w:t>
            </w:r>
          </w:p>
        </w:tc>
        <w:tc>
          <w:tcPr>
            <w:tcW w:w="1100" w:type="dxa"/>
            <w:tcBorders>
              <w:top w:val="single" w:sz="4" w:space="0" w:color="auto"/>
              <w:left w:val="nil"/>
              <w:bottom w:val="single" w:sz="4" w:space="0" w:color="auto"/>
              <w:right w:val="nil"/>
            </w:tcBorders>
            <w:shd w:val="clear" w:color="auto" w:fill="auto"/>
            <w:noWrap/>
            <w:vAlign w:val="bottom"/>
            <w:hideMark/>
          </w:tcPr>
          <w:p w14:paraId="62486B14" w14:textId="77777777" w:rsidR="00BE6461" w:rsidRPr="00BE6461" w:rsidRDefault="00BE6461" w:rsidP="00BE6461">
            <w:pPr>
              <w:jc w:val="right"/>
              <w:rPr>
                <w:b/>
                <w:bCs/>
                <w:sz w:val="20"/>
                <w:szCs w:val="20"/>
              </w:rPr>
            </w:pPr>
            <w:r w:rsidRPr="00BE6461">
              <w:rPr>
                <w:b/>
                <w:bCs/>
                <w:sz w:val="20"/>
                <w:szCs w:val="20"/>
              </w:rPr>
              <w:t>53,52</w:t>
            </w:r>
          </w:p>
        </w:tc>
      </w:tr>
      <w:tr w:rsidR="00BE6461" w:rsidRPr="00BE6461" w14:paraId="01901C9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24265B4"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08447FBD" w14:textId="77777777" w:rsidR="00BE6461" w:rsidRPr="00BE6461" w:rsidRDefault="00BE6461" w:rsidP="00BE6461">
            <w:pPr>
              <w:jc w:val="right"/>
              <w:rPr>
                <w:b/>
                <w:bCs/>
                <w:color w:val="333333"/>
                <w:sz w:val="20"/>
                <w:szCs w:val="20"/>
              </w:rPr>
            </w:pPr>
            <w:r w:rsidRPr="00BE6461">
              <w:rPr>
                <w:b/>
                <w:bCs/>
                <w:color w:val="333333"/>
                <w:sz w:val="20"/>
                <w:szCs w:val="20"/>
              </w:rPr>
              <w:t>22.600,00</w:t>
            </w:r>
          </w:p>
        </w:tc>
        <w:tc>
          <w:tcPr>
            <w:tcW w:w="1500" w:type="dxa"/>
            <w:tcBorders>
              <w:top w:val="nil"/>
              <w:left w:val="nil"/>
              <w:bottom w:val="nil"/>
              <w:right w:val="nil"/>
            </w:tcBorders>
            <w:shd w:val="clear" w:color="auto" w:fill="auto"/>
            <w:noWrap/>
            <w:vAlign w:val="bottom"/>
            <w:hideMark/>
          </w:tcPr>
          <w:p w14:paraId="46E524DD" w14:textId="77777777" w:rsidR="00BE6461" w:rsidRPr="00BE6461" w:rsidRDefault="00BE6461" w:rsidP="00BE6461">
            <w:pPr>
              <w:jc w:val="right"/>
              <w:rPr>
                <w:b/>
                <w:bCs/>
                <w:color w:val="333333"/>
                <w:sz w:val="20"/>
                <w:szCs w:val="20"/>
              </w:rPr>
            </w:pPr>
            <w:r w:rsidRPr="00BE6461">
              <w:rPr>
                <w:b/>
                <w:bCs/>
                <w:color w:val="333333"/>
                <w:sz w:val="20"/>
                <w:szCs w:val="20"/>
              </w:rPr>
              <w:t>12.096,15</w:t>
            </w:r>
          </w:p>
        </w:tc>
        <w:tc>
          <w:tcPr>
            <w:tcW w:w="1100" w:type="dxa"/>
            <w:tcBorders>
              <w:top w:val="nil"/>
              <w:left w:val="nil"/>
              <w:bottom w:val="nil"/>
              <w:right w:val="nil"/>
            </w:tcBorders>
            <w:shd w:val="clear" w:color="auto" w:fill="auto"/>
            <w:noWrap/>
            <w:vAlign w:val="bottom"/>
            <w:hideMark/>
          </w:tcPr>
          <w:p w14:paraId="5FC41CC2" w14:textId="77777777" w:rsidR="00BE6461" w:rsidRPr="00BE6461" w:rsidRDefault="00BE6461" w:rsidP="00BE6461">
            <w:pPr>
              <w:jc w:val="right"/>
              <w:rPr>
                <w:b/>
                <w:bCs/>
                <w:color w:val="333333"/>
                <w:sz w:val="20"/>
                <w:szCs w:val="20"/>
              </w:rPr>
            </w:pPr>
            <w:r w:rsidRPr="00BE6461">
              <w:rPr>
                <w:b/>
                <w:bCs/>
                <w:color w:val="333333"/>
                <w:sz w:val="20"/>
                <w:szCs w:val="20"/>
              </w:rPr>
              <w:t>53,52</w:t>
            </w:r>
          </w:p>
        </w:tc>
      </w:tr>
      <w:tr w:rsidR="00BE6461" w:rsidRPr="00BE6461" w14:paraId="77AAC7CF"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0A585BB"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3908053E" w14:textId="77777777" w:rsidR="00BE6461" w:rsidRPr="00BE6461" w:rsidRDefault="00BE6461" w:rsidP="00BE6461">
            <w:pPr>
              <w:jc w:val="right"/>
              <w:rPr>
                <w:b/>
                <w:bCs/>
                <w:color w:val="333333"/>
                <w:sz w:val="20"/>
                <w:szCs w:val="20"/>
              </w:rPr>
            </w:pPr>
            <w:r w:rsidRPr="00BE6461">
              <w:rPr>
                <w:b/>
                <w:bCs/>
                <w:color w:val="333333"/>
                <w:sz w:val="20"/>
                <w:szCs w:val="20"/>
              </w:rPr>
              <w:t>22.600,00</w:t>
            </w:r>
          </w:p>
        </w:tc>
        <w:tc>
          <w:tcPr>
            <w:tcW w:w="1500" w:type="dxa"/>
            <w:tcBorders>
              <w:top w:val="nil"/>
              <w:left w:val="nil"/>
              <w:bottom w:val="nil"/>
              <w:right w:val="nil"/>
            </w:tcBorders>
            <w:shd w:val="clear" w:color="auto" w:fill="auto"/>
            <w:noWrap/>
            <w:vAlign w:val="bottom"/>
            <w:hideMark/>
          </w:tcPr>
          <w:p w14:paraId="03BDE43F" w14:textId="77777777" w:rsidR="00BE6461" w:rsidRPr="00BE6461" w:rsidRDefault="00BE6461" w:rsidP="00BE6461">
            <w:pPr>
              <w:jc w:val="right"/>
              <w:rPr>
                <w:b/>
                <w:bCs/>
                <w:color w:val="333333"/>
                <w:sz w:val="20"/>
                <w:szCs w:val="20"/>
              </w:rPr>
            </w:pPr>
            <w:r w:rsidRPr="00BE6461">
              <w:rPr>
                <w:b/>
                <w:bCs/>
                <w:color w:val="333333"/>
                <w:sz w:val="20"/>
                <w:szCs w:val="20"/>
              </w:rPr>
              <w:t>12.096,15</w:t>
            </w:r>
          </w:p>
        </w:tc>
        <w:tc>
          <w:tcPr>
            <w:tcW w:w="1100" w:type="dxa"/>
            <w:tcBorders>
              <w:top w:val="nil"/>
              <w:left w:val="nil"/>
              <w:bottom w:val="nil"/>
              <w:right w:val="nil"/>
            </w:tcBorders>
            <w:shd w:val="clear" w:color="auto" w:fill="auto"/>
            <w:noWrap/>
            <w:vAlign w:val="bottom"/>
            <w:hideMark/>
          </w:tcPr>
          <w:p w14:paraId="26E9F00C" w14:textId="77777777" w:rsidR="00BE6461" w:rsidRPr="00BE6461" w:rsidRDefault="00BE6461" w:rsidP="00BE6461">
            <w:pPr>
              <w:jc w:val="right"/>
              <w:rPr>
                <w:b/>
                <w:bCs/>
                <w:color w:val="333333"/>
                <w:sz w:val="20"/>
                <w:szCs w:val="20"/>
              </w:rPr>
            </w:pPr>
            <w:r w:rsidRPr="00BE6461">
              <w:rPr>
                <w:b/>
                <w:bCs/>
                <w:color w:val="333333"/>
                <w:sz w:val="20"/>
                <w:szCs w:val="20"/>
              </w:rPr>
              <w:t>53,52</w:t>
            </w:r>
          </w:p>
        </w:tc>
      </w:tr>
      <w:tr w:rsidR="00BE6461" w:rsidRPr="00BE6461" w14:paraId="57084483" w14:textId="77777777" w:rsidTr="00BE6461">
        <w:trPr>
          <w:trHeight w:val="300"/>
        </w:trPr>
        <w:tc>
          <w:tcPr>
            <w:tcW w:w="1703" w:type="dxa"/>
            <w:tcBorders>
              <w:top w:val="nil"/>
              <w:left w:val="nil"/>
              <w:bottom w:val="nil"/>
              <w:right w:val="nil"/>
            </w:tcBorders>
            <w:shd w:val="clear" w:color="auto" w:fill="auto"/>
            <w:noWrap/>
            <w:vAlign w:val="bottom"/>
            <w:hideMark/>
          </w:tcPr>
          <w:p w14:paraId="6DC04D07"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0557F710"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1AADDB7C" w14:textId="77777777" w:rsidR="00BE6461" w:rsidRPr="00BE6461" w:rsidRDefault="00BE6461" w:rsidP="00BE6461">
            <w:pPr>
              <w:jc w:val="right"/>
              <w:rPr>
                <w:b/>
                <w:bCs/>
                <w:sz w:val="20"/>
                <w:szCs w:val="20"/>
              </w:rPr>
            </w:pPr>
            <w:r w:rsidRPr="00BE6461">
              <w:rPr>
                <w:b/>
                <w:bCs/>
                <w:sz w:val="20"/>
                <w:szCs w:val="20"/>
              </w:rPr>
              <w:t>1.000,00</w:t>
            </w:r>
          </w:p>
        </w:tc>
        <w:tc>
          <w:tcPr>
            <w:tcW w:w="1500" w:type="dxa"/>
            <w:tcBorders>
              <w:top w:val="nil"/>
              <w:left w:val="nil"/>
              <w:bottom w:val="nil"/>
              <w:right w:val="nil"/>
            </w:tcBorders>
            <w:shd w:val="clear" w:color="auto" w:fill="auto"/>
            <w:noWrap/>
            <w:vAlign w:val="bottom"/>
            <w:hideMark/>
          </w:tcPr>
          <w:p w14:paraId="1AC9E024"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4DA8927B"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2307849E" w14:textId="77777777" w:rsidTr="00BE6461">
        <w:trPr>
          <w:trHeight w:val="300"/>
        </w:trPr>
        <w:tc>
          <w:tcPr>
            <w:tcW w:w="1703" w:type="dxa"/>
            <w:tcBorders>
              <w:top w:val="nil"/>
              <w:left w:val="nil"/>
              <w:bottom w:val="nil"/>
              <w:right w:val="nil"/>
            </w:tcBorders>
            <w:shd w:val="clear" w:color="auto" w:fill="auto"/>
            <w:noWrap/>
            <w:vAlign w:val="bottom"/>
            <w:hideMark/>
          </w:tcPr>
          <w:p w14:paraId="73392888" w14:textId="77777777" w:rsidR="00BE6461" w:rsidRPr="00BE6461" w:rsidRDefault="00BE6461" w:rsidP="00BE6461">
            <w:pPr>
              <w:rPr>
                <w:sz w:val="20"/>
                <w:szCs w:val="20"/>
              </w:rPr>
            </w:pPr>
            <w:r w:rsidRPr="00BE6461">
              <w:rPr>
                <w:sz w:val="20"/>
                <w:szCs w:val="20"/>
              </w:rPr>
              <w:t>3221</w:t>
            </w:r>
          </w:p>
        </w:tc>
        <w:tc>
          <w:tcPr>
            <w:tcW w:w="8457" w:type="dxa"/>
            <w:tcBorders>
              <w:top w:val="nil"/>
              <w:left w:val="nil"/>
              <w:bottom w:val="nil"/>
              <w:right w:val="nil"/>
            </w:tcBorders>
            <w:shd w:val="clear" w:color="auto" w:fill="auto"/>
            <w:vAlign w:val="bottom"/>
            <w:hideMark/>
          </w:tcPr>
          <w:p w14:paraId="72D4EC87" w14:textId="77777777" w:rsidR="00BE6461" w:rsidRPr="00BE6461" w:rsidRDefault="00BE6461" w:rsidP="00BE6461">
            <w:pPr>
              <w:rPr>
                <w:sz w:val="20"/>
                <w:szCs w:val="20"/>
              </w:rPr>
            </w:pPr>
            <w:r w:rsidRPr="00BE6461">
              <w:rPr>
                <w:sz w:val="20"/>
                <w:szCs w:val="20"/>
              </w:rPr>
              <w:t xml:space="preserve">Uredski materijal i ostali materijalni rashodi                                                      </w:t>
            </w:r>
          </w:p>
        </w:tc>
        <w:tc>
          <w:tcPr>
            <w:tcW w:w="1503" w:type="dxa"/>
            <w:tcBorders>
              <w:top w:val="nil"/>
              <w:left w:val="nil"/>
              <w:bottom w:val="nil"/>
              <w:right w:val="nil"/>
            </w:tcBorders>
            <w:shd w:val="clear" w:color="auto" w:fill="auto"/>
            <w:noWrap/>
            <w:vAlign w:val="bottom"/>
            <w:hideMark/>
          </w:tcPr>
          <w:p w14:paraId="6D82F27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39C05E9"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239B9749" w14:textId="77777777" w:rsidR="00BE6461" w:rsidRPr="00BE6461" w:rsidRDefault="00BE6461" w:rsidP="00BE6461">
            <w:pPr>
              <w:jc w:val="right"/>
              <w:rPr>
                <w:sz w:val="20"/>
                <w:szCs w:val="20"/>
              </w:rPr>
            </w:pPr>
          </w:p>
        </w:tc>
      </w:tr>
      <w:tr w:rsidR="00BE6461" w:rsidRPr="00BE6461" w14:paraId="6C52AA8C" w14:textId="77777777" w:rsidTr="00BE6461">
        <w:trPr>
          <w:trHeight w:val="300"/>
        </w:trPr>
        <w:tc>
          <w:tcPr>
            <w:tcW w:w="1703" w:type="dxa"/>
            <w:tcBorders>
              <w:top w:val="nil"/>
              <w:left w:val="nil"/>
              <w:bottom w:val="nil"/>
              <w:right w:val="nil"/>
            </w:tcBorders>
            <w:shd w:val="clear" w:color="auto" w:fill="auto"/>
            <w:noWrap/>
            <w:vAlign w:val="bottom"/>
            <w:hideMark/>
          </w:tcPr>
          <w:p w14:paraId="7277649B"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695B8BE3"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78126DC9" w14:textId="77777777" w:rsidR="00BE6461" w:rsidRPr="00BE6461" w:rsidRDefault="00BE6461" w:rsidP="00BE6461">
            <w:pPr>
              <w:jc w:val="right"/>
              <w:rPr>
                <w:b/>
                <w:bCs/>
                <w:sz w:val="20"/>
                <w:szCs w:val="20"/>
              </w:rPr>
            </w:pPr>
            <w:r w:rsidRPr="00BE6461">
              <w:rPr>
                <w:b/>
                <w:bCs/>
                <w:sz w:val="20"/>
                <w:szCs w:val="20"/>
              </w:rPr>
              <w:t>15.600,00</w:t>
            </w:r>
          </w:p>
        </w:tc>
        <w:tc>
          <w:tcPr>
            <w:tcW w:w="1500" w:type="dxa"/>
            <w:tcBorders>
              <w:top w:val="nil"/>
              <w:left w:val="nil"/>
              <w:bottom w:val="nil"/>
              <w:right w:val="nil"/>
            </w:tcBorders>
            <w:shd w:val="clear" w:color="auto" w:fill="auto"/>
            <w:noWrap/>
            <w:vAlign w:val="bottom"/>
            <w:hideMark/>
          </w:tcPr>
          <w:p w14:paraId="760AAE8E" w14:textId="77777777" w:rsidR="00BE6461" w:rsidRPr="00BE6461" w:rsidRDefault="00BE6461" w:rsidP="00BE6461">
            <w:pPr>
              <w:jc w:val="right"/>
              <w:rPr>
                <w:b/>
                <w:bCs/>
                <w:sz w:val="20"/>
                <w:szCs w:val="20"/>
              </w:rPr>
            </w:pPr>
            <w:r w:rsidRPr="00BE6461">
              <w:rPr>
                <w:b/>
                <w:bCs/>
                <w:sz w:val="20"/>
                <w:szCs w:val="20"/>
              </w:rPr>
              <w:t>10.124,30</w:t>
            </w:r>
          </w:p>
        </w:tc>
        <w:tc>
          <w:tcPr>
            <w:tcW w:w="1100" w:type="dxa"/>
            <w:tcBorders>
              <w:top w:val="nil"/>
              <w:left w:val="nil"/>
              <w:bottom w:val="nil"/>
              <w:right w:val="nil"/>
            </w:tcBorders>
            <w:shd w:val="clear" w:color="auto" w:fill="auto"/>
            <w:noWrap/>
            <w:vAlign w:val="bottom"/>
            <w:hideMark/>
          </w:tcPr>
          <w:p w14:paraId="12D76537" w14:textId="77777777" w:rsidR="00BE6461" w:rsidRPr="00BE6461" w:rsidRDefault="00BE6461" w:rsidP="00BE6461">
            <w:pPr>
              <w:jc w:val="right"/>
              <w:rPr>
                <w:b/>
                <w:bCs/>
                <w:sz w:val="20"/>
                <w:szCs w:val="20"/>
              </w:rPr>
            </w:pPr>
            <w:r w:rsidRPr="00BE6461">
              <w:rPr>
                <w:b/>
                <w:bCs/>
                <w:sz w:val="20"/>
                <w:szCs w:val="20"/>
              </w:rPr>
              <w:t>64,90</w:t>
            </w:r>
          </w:p>
        </w:tc>
      </w:tr>
      <w:tr w:rsidR="00BE6461" w:rsidRPr="00BE6461" w14:paraId="00AFB518" w14:textId="77777777" w:rsidTr="00BE6461">
        <w:trPr>
          <w:trHeight w:val="300"/>
        </w:trPr>
        <w:tc>
          <w:tcPr>
            <w:tcW w:w="1703" w:type="dxa"/>
            <w:tcBorders>
              <w:top w:val="nil"/>
              <w:left w:val="nil"/>
              <w:bottom w:val="nil"/>
              <w:right w:val="nil"/>
            </w:tcBorders>
            <w:shd w:val="clear" w:color="auto" w:fill="auto"/>
            <w:noWrap/>
            <w:vAlign w:val="bottom"/>
            <w:hideMark/>
          </w:tcPr>
          <w:p w14:paraId="3A65A636"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68A62814"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495C658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8AFB2D9" w14:textId="77777777" w:rsidR="00BE6461" w:rsidRPr="00BE6461" w:rsidRDefault="00BE6461" w:rsidP="00BE6461">
            <w:pPr>
              <w:jc w:val="right"/>
              <w:rPr>
                <w:sz w:val="20"/>
                <w:szCs w:val="20"/>
              </w:rPr>
            </w:pPr>
            <w:r w:rsidRPr="00BE6461">
              <w:rPr>
                <w:sz w:val="20"/>
                <w:szCs w:val="20"/>
              </w:rPr>
              <w:t>7.818,05</w:t>
            </w:r>
          </w:p>
        </w:tc>
        <w:tc>
          <w:tcPr>
            <w:tcW w:w="1100" w:type="dxa"/>
            <w:tcBorders>
              <w:top w:val="nil"/>
              <w:left w:val="nil"/>
              <w:bottom w:val="nil"/>
              <w:right w:val="nil"/>
            </w:tcBorders>
            <w:shd w:val="clear" w:color="auto" w:fill="auto"/>
            <w:noWrap/>
            <w:vAlign w:val="bottom"/>
            <w:hideMark/>
          </w:tcPr>
          <w:p w14:paraId="076D21A0" w14:textId="77777777" w:rsidR="00BE6461" w:rsidRPr="00BE6461" w:rsidRDefault="00BE6461" w:rsidP="00BE6461">
            <w:pPr>
              <w:jc w:val="right"/>
              <w:rPr>
                <w:sz w:val="20"/>
                <w:szCs w:val="20"/>
              </w:rPr>
            </w:pPr>
          </w:p>
        </w:tc>
      </w:tr>
      <w:tr w:rsidR="00BE6461" w:rsidRPr="00BE6461" w14:paraId="20277657" w14:textId="77777777" w:rsidTr="00BE6461">
        <w:trPr>
          <w:trHeight w:val="300"/>
        </w:trPr>
        <w:tc>
          <w:tcPr>
            <w:tcW w:w="1703" w:type="dxa"/>
            <w:tcBorders>
              <w:top w:val="nil"/>
              <w:left w:val="nil"/>
              <w:bottom w:val="nil"/>
              <w:right w:val="nil"/>
            </w:tcBorders>
            <w:shd w:val="clear" w:color="auto" w:fill="auto"/>
            <w:noWrap/>
            <w:vAlign w:val="bottom"/>
            <w:hideMark/>
          </w:tcPr>
          <w:p w14:paraId="6FC31582" w14:textId="77777777" w:rsidR="00BE6461" w:rsidRPr="00BE6461" w:rsidRDefault="00BE6461" w:rsidP="00BE6461">
            <w:pPr>
              <w:rPr>
                <w:sz w:val="20"/>
                <w:szCs w:val="20"/>
              </w:rPr>
            </w:pPr>
            <w:r w:rsidRPr="00BE6461">
              <w:rPr>
                <w:sz w:val="20"/>
                <w:szCs w:val="20"/>
              </w:rPr>
              <w:t>3239</w:t>
            </w:r>
          </w:p>
        </w:tc>
        <w:tc>
          <w:tcPr>
            <w:tcW w:w="8457" w:type="dxa"/>
            <w:tcBorders>
              <w:top w:val="nil"/>
              <w:left w:val="nil"/>
              <w:bottom w:val="nil"/>
              <w:right w:val="nil"/>
            </w:tcBorders>
            <w:shd w:val="clear" w:color="auto" w:fill="auto"/>
            <w:vAlign w:val="bottom"/>
            <w:hideMark/>
          </w:tcPr>
          <w:p w14:paraId="2A1D1A7C" w14:textId="77777777" w:rsidR="00BE6461" w:rsidRPr="00BE6461" w:rsidRDefault="00BE6461" w:rsidP="00BE6461">
            <w:pPr>
              <w:rPr>
                <w:sz w:val="20"/>
                <w:szCs w:val="20"/>
              </w:rPr>
            </w:pPr>
            <w:r w:rsidRPr="00BE6461">
              <w:rPr>
                <w:sz w:val="20"/>
                <w:szCs w:val="20"/>
              </w:rPr>
              <w:t xml:space="preserve">Ostale usluge                                                                                       </w:t>
            </w:r>
          </w:p>
        </w:tc>
        <w:tc>
          <w:tcPr>
            <w:tcW w:w="1503" w:type="dxa"/>
            <w:tcBorders>
              <w:top w:val="nil"/>
              <w:left w:val="nil"/>
              <w:bottom w:val="nil"/>
              <w:right w:val="nil"/>
            </w:tcBorders>
            <w:shd w:val="clear" w:color="auto" w:fill="auto"/>
            <w:noWrap/>
            <w:vAlign w:val="bottom"/>
            <w:hideMark/>
          </w:tcPr>
          <w:p w14:paraId="398DC89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F55E00B" w14:textId="77777777" w:rsidR="00BE6461" w:rsidRPr="00BE6461" w:rsidRDefault="00BE6461" w:rsidP="00BE6461">
            <w:pPr>
              <w:jc w:val="right"/>
              <w:rPr>
                <w:sz w:val="20"/>
                <w:szCs w:val="20"/>
              </w:rPr>
            </w:pPr>
            <w:r w:rsidRPr="00BE6461">
              <w:rPr>
                <w:sz w:val="20"/>
                <w:szCs w:val="20"/>
              </w:rPr>
              <w:t>2.306,25</w:t>
            </w:r>
          </w:p>
        </w:tc>
        <w:tc>
          <w:tcPr>
            <w:tcW w:w="1100" w:type="dxa"/>
            <w:tcBorders>
              <w:top w:val="nil"/>
              <w:left w:val="nil"/>
              <w:bottom w:val="nil"/>
              <w:right w:val="nil"/>
            </w:tcBorders>
            <w:shd w:val="clear" w:color="auto" w:fill="auto"/>
            <w:noWrap/>
            <w:vAlign w:val="bottom"/>
            <w:hideMark/>
          </w:tcPr>
          <w:p w14:paraId="6C80B187" w14:textId="77777777" w:rsidR="00BE6461" w:rsidRPr="00BE6461" w:rsidRDefault="00BE6461" w:rsidP="00BE6461">
            <w:pPr>
              <w:jc w:val="right"/>
              <w:rPr>
                <w:sz w:val="20"/>
                <w:szCs w:val="20"/>
              </w:rPr>
            </w:pPr>
          </w:p>
        </w:tc>
      </w:tr>
      <w:tr w:rsidR="00BE6461" w:rsidRPr="00BE6461" w14:paraId="02BE217D" w14:textId="77777777" w:rsidTr="00BE6461">
        <w:trPr>
          <w:trHeight w:val="300"/>
        </w:trPr>
        <w:tc>
          <w:tcPr>
            <w:tcW w:w="1703" w:type="dxa"/>
            <w:tcBorders>
              <w:top w:val="nil"/>
              <w:left w:val="nil"/>
              <w:bottom w:val="nil"/>
              <w:right w:val="nil"/>
            </w:tcBorders>
            <w:shd w:val="clear" w:color="auto" w:fill="auto"/>
            <w:noWrap/>
            <w:vAlign w:val="bottom"/>
            <w:hideMark/>
          </w:tcPr>
          <w:p w14:paraId="24F3A978" w14:textId="77777777" w:rsidR="00BE6461" w:rsidRPr="00BE6461" w:rsidRDefault="00BE6461" w:rsidP="00BE6461">
            <w:pPr>
              <w:rPr>
                <w:b/>
                <w:bCs/>
                <w:sz w:val="20"/>
                <w:szCs w:val="20"/>
              </w:rPr>
            </w:pPr>
            <w:r w:rsidRPr="00BE6461">
              <w:rPr>
                <w:b/>
                <w:bCs/>
                <w:sz w:val="20"/>
                <w:szCs w:val="20"/>
              </w:rPr>
              <w:t>324</w:t>
            </w:r>
          </w:p>
        </w:tc>
        <w:tc>
          <w:tcPr>
            <w:tcW w:w="8457" w:type="dxa"/>
            <w:tcBorders>
              <w:top w:val="nil"/>
              <w:left w:val="nil"/>
              <w:bottom w:val="nil"/>
              <w:right w:val="nil"/>
            </w:tcBorders>
            <w:shd w:val="clear" w:color="auto" w:fill="auto"/>
            <w:vAlign w:val="bottom"/>
            <w:hideMark/>
          </w:tcPr>
          <w:p w14:paraId="32B92D79" w14:textId="77777777" w:rsidR="00BE6461" w:rsidRPr="00BE6461" w:rsidRDefault="00BE6461" w:rsidP="00BE6461">
            <w:pPr>
              <w:rPr>
                <w:b/>
                <w:bCs/>
                <w:sz w:val="20"/>
                <w:szCs w:val="20"/>
              </w:rPr>
            </w:pPr>
            <w:r w:rsidRPr="00BE6461">
              <w:rPr>
                <w:b/>
                <w:bCs/>
                <w:sz w:val="20"/>
                <w:szCs w:val="20"/>
              </w:rPr>
              <w:t xml:space="preserve">Naknade troškova osobama izvan radnog odnosa                                                        </w:t>
            </w:r>
          </w:p>
        </w:tc>
        <w:tc>
          <w:tcPr>
            <w:tcW w:w="1503" w:type="dxa"/>
            <w:tcBorders>
              <w:top w:val="nil"/>
              <w:left w:val="nil"/>
              <w:bottom w:val="nil"/>
              <w:right w:val="nil"/>
            </w:tcBorders>
            <w:shd w:val="clear" w:color="auto" w:fill="auto"/>
            <w:noWrap/>
            <w:vAlign w:val="bottom"/>
            <w:hideMark/>
          </w:tcPr>
          <w:p w14:paraId="05123C60" w14:textId="77777777" w:rsidR="00BE6461" w:rsidRPr="00BE6461" w:rsidRDefault="00BE6461" w:rsidP="00BE6461">
            <w:pPr>
              <w:jc w:val="right"/>
              <w:rPr>
                <w:b/>
                <w:bCs/>
                <w:sz w:val="20"/>
                <w:szCs w:val="20"/>
              </w:rPr>
            </w:pPr>
            <w:r w:rsidRPr="00BE6461">
              <w:rPr>
                <w:b/>
                <w:bCs/>
                <w:sz w:val="20"/>
                <w:szCs w:val="20"/>
              </w:rPr>
              <w:t>1.500,00</w:t>
            </w:r>
          </w:p>
        </w:tc>
        <w:tc>
          <w:tcPr>
            <w:tcW w:w="1500" w:type="dxa"/>
            <w:tcBorders>
              <w:top w:val="nil"/>
              <w:left w:val="nil"/>
              <w:bottom w:val="nil"/>
              <w:right w:val="nil"/>
            </w:tcBorders>
            <w:shd w:val="clear" w:color="auto" w:fill="auto"/>
            <w:noWrap/>
            <w:vAlign w:val="bottom"/>
            <w:hideMark/>
          </w:tcPr>
          <w:p w14:paraId="27A2D1F1" w14:textId="77777777" w:rsidR="00BE6461" w:rsidRPr="00BE6461" w:rsidRDefault="00BE6461" w:rsidP="00BE6461">
            <w:pPr>
              <w:jc w:val="right"/>
              <w:rPr>
                <w:b/>
                <w:bCs/>
                <w:sz w:val="20"/>
                <w:szCs w:val="20"/>
              </w:rPr>
            </w:pPr>
            <w:r w:rsidRPr="00BE6461">
              <w:rPr>
                <w:b/>
                <w:bCs/>
                <w:sz w:val="20"/>
                <w:szCs w:val="20"/>
              </w:rPr>
              <w:t>604,00</w:t>
            </w:r>
          </w:p>
        </w:tc>
        <w:tc>
          <w:tcPr>
            <w:tcW w:w="1100" w:type="dxa"/>
            <w:tcBorders>
              <w:top w:val="nil"/>
              <w:left w:val="nil"/>
              <w:bottom w:val="nil"/>
              <w:right w:val="nil"/>
            </w:tcBorders>
            <w:shd w:val="clear" w:color="auto" w:fill="auto"/>
            <w:noWrap/>
            <w:vAlign w:val="bottom"/>
            <w:hideMark/>
          </w:tcPr>
          <w:p w14:paraId="2C5CE4B1" w14:textId="77777777" w:rsidR="00BE6461" w:rsidRPr="00BE6461" w:rsidRDefault="00BE6461" w:rsidP="00BE6461">
            <w:pPr>
              <w:jc w:val="right"/>
              <w:rPr>
                <w:b/>
                <w:bCs/>
                <w:sz w:val="20"/>
                <w:szCs w:val="20"/>
              </w:rPr>
            </w:pPr>
            <w:r w:rsidRPr="00BE6461">
              <w:rPr>
                <w:b/>
                <w:bCs/>
                <w:sz w:val="20"/>
                <w:szCs w:val="20"/>
              </w:rPr>
              <w:t>40,27</w:t>
            </w:r>
          </w:p>
        </w:tc>
      </w:tr>
      <w:tr w:rsidR="00BE6461" w:rsidRPr="00BE6461" w14:paraId="7ECF877E" w14:textId="77777777" w:rsidTr="00BE6461">
        <w:trPr>
          <w:trHeight w:val="300"/>
        </w:trPr>
        <w:tc>
          <w:tcPr>
            <w:tcW w:w="1703" w:type="dxa"/>
            <w:tcBorders>
              <w:top w:val="nil"/>
              <w:left w:val="nil"/>
              <w:bottom w:val="nil"/>
              <w:right w:val="nil"/>
            </w:tcBorders>
            <w:shd w:val="clear" w:color="auto" w:fill="auto"/>
            <w:noWrap/>
            <w:vAlign w:val="bottom"/>
            <w:hideMark/>
          </w:tcPr>
          <w:p w14:paraId="53175AF4" w14:textId="77777777" w:rsidR="00BE6461" w:rsidRPr="00BE6461" w:rsidRDefault="00BE6461" w:rsidP="00BE6461">
            <w:pPr>
              <w:rPr>
                <w:sz w:val="20"/>
                <w:szCs w:val="20"/>
              </w:rPr>
            </w:pPr>
            <w:r w:rsidRPr="00BE6461">
              <w:rPr>
                <w:sz w:val="20"/>
                <w:szCs w:val="20"/>
              </w:rPr>
              <w:t>3241</w:t>
            </w:r>
          </w:p>
        </w:tc>
        <w:tc>
          <w:tcPr>
            <w:tcW w:w="8457" w:type="dxa"/>
            <w:tcBorders>
              <w:top w:val="nil"/>
              <w:left w:val="nil"/>
              <w:bottom w:val="nil"/>
              <w:right w:val="nil"/>
            </w:tcBorders>
            <w:shd w:val="clear" w:color="auto" w:fill="auto"/>
            <w:vAlign w:val="bottom"/>
            <w:hideMark/>
          </w:tcPr>
          <w:p w14:paraId="4209125E" w14:textId="77777777" w:rsidR="00BE6461" w:rsidRPr="00BE6461" w:rsidRDefault="00BE6461" w:rsidP="00BE6461">
            <w:pPr>
              <w:rPr>
                <w:sz w:val="20"/>
                <w:szCs w:val="20"/>
              </w:rPr>
            </w:pPr>
            <w:r w:rsidRPr="00BE6461">
              <w:rPr>
                <w:sz w:val="20"/>
                <w:szCs w:val="20"/>
              </w:rPr>
              <w:t xml:space="preserve">Naknade troškova osobama izvan radnog odnosa                                                        </w:t>
            </w:r>
          </w:p>
        </w:tc>
        <w:tc>
          <w:tcPr>
            <w:tcW w:w="1503" w:type="dxa"/>
            <w:tcBorders>
              <w:top w:val="nil"/>
              <w:left w:val="nil"/>
              <w:bottom w:val="nil"/>
              <w:right w:val="nil"/>
            </w:tcBorders>
            <w:shd w:val="clear" w:color="auto" w:fill="auto"/>
            <w:noWrap/>
            <w:vAlign w:val="bottom"/>
            <w:hideMark/>
          </w:tcPr>
          <w:p w14:paraId="711274D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C185981" w14:textId="77777777" w:rsidR="00BE6461" w:rsidRPr="00BE6461" w:rsidRDefault="00BE6461" w:rsidP="00BE6461">
            <w:pPr>
              <w:jc w:val="right"/>
              <w:rPr>
                <w:sz w:val="20"/>
                <w:szCs w:val="20"/>
              </w:rPr>
            </w:pPr>
            <w:r w:rsidRPr="00BE6461">
              <w:rPr>
                <w:sz w:val="20"/>
                <w:szCs w:val="20"/>
              </w:rPr>
              <w:t>604,00</w:t>
            </w:r>
          </w:p>
        </w:tc>
        <w:tc>
          <w:tcPr>
            <w:tcW w:w="1100" w:type="dxa"/>
            <w:tcBorders>
              <w:top w:val="nil"/>
              <w:left w:val="nil"/>
              <w:bottom w:val="nil"/>
              <w:right w:val="nil"/>
            </w:tcBorders>
            <w:shd w:val="clear" w:color="auto" w:fill="auto"/>
            <w:noWrap/>
            <w:vAlign w:val="bottom"/>
            <w:hideMark/>
          </w:tcPr>
          <w:p w14:paraId="7D2E9322" w14:textId="77777777" w:rsidR="00BE6461" w:rsidRPr="00BE6461" w:rsidRDefault="00BE6461" w:rsidP="00BE6461">
            <w:pPr>
              <w:jc w:val="right"/>
              <w:rPr>
                <w:sz w:val="20"/>
                <w:szCs w:val="20"/>
              </w:rPr>
            </w:pPr>
          </w:p>
        </w:tc>
      </w:tr>
      <w:tr w:rsidR="00BE6461" w:rsidRPr="00BE6461" w14:paraId="5B6AEEF7" w14:textId="77777777" w:rsidTr="00BE6461">
        <w:trPr>
          <w:trHeight w:val="300"/>
        </w:trPr>
        <w:tc>
          <w:tcPr>
            <w:tcW w:w="1703" w:type="dxa"/>
            <w:tcBorders>
              <w:top w:val="nil"/>
              <w:left w:val="nil"/>
              <w:bottom w:val="nil"/>
              <w:right w:val="nil"/>
            </w:tcBorders>
            <w:shd w:val="clear" w:color="auto" w:fill="auto"/>
            <w:noWrap/>
            <w:vAlign w:val="bottom"/>
            <w:hideMark/>
          </w:tcPr>
          <w:p w14:paraId="7A8DEE9F"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320841B9"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01CE28B5" w14:textId="77777777" w:rsidR="00BE6461" w:rsidRPr="00BE6461" w:rsidRDefault="00BE6461" w:rsidP="00BE6461">
            <w:pPr>
              <w:jc w:val="right"/>
              <w:rPr>
                <w:b/>
                <w:bCs/>
                <w:sz w:val="20"/>
                <w:szCs w:val="20"/>
              </w:rPr>
            </w:pPr>
            <w:r w:rsidRPr="00BE6461">
              <w:rPr>
                <w:b/>
                <w:bCs/>
                <w:sz w:val="20"/>
                <w:szCs w:val="20"/>
              </w:rPr>
              <w:t>4.500,00</w:t>
            </w:r>
          </w:p>
        </w:tc>
        <w:tc>
          <w:tcPr>
            <w:tcW w:w="1500" w:type="dxa"/>
            <w:tcBorders>
              <w:top w:val="nil"/>
              <w:left w:val="nil"/>
              <w:bottom w:val="nil"/>
              <w:right w:val="nil"/>
            </w:tcBorders>
            <w:shd w:val="clear" w:color="auto" w:fill="auto"/>
            <w:noWrap/>
            <w:vAlign w:val="bottom"/>
            <w:hideMark/>
          </w:tcPr>
          <w:p w14:paraId="5CFC5AB4" w14:textId="77777777" w:rsidR="00BE6461" w:rsidRPr="00BE6461" w:rsidRDefault="00BE6461" w:rsidP="00BE6461">
            <w:pPr>
              <w:jc w:val="right"/>
              <w:rPr>
                <w:b/>
                <w:bCs/>
                <w:sz w:val="20"/>
                <w:szCs w:val="20"/>
              </w:rPr>
            </w:pPr>
            <w:r w:rsidRPr="00BE6461">
              <w:rPr>
                <w:b/>
                <w:bCs/>
                <w:sz w:val="20"/>
                <w:szCs w:val="20"/>
              </w:rPr>
              <w:t>1.367,85</w:t>
            </w:r>
          </w:p>
        </w:tc>
        <w:tc>
          <w:tcPr>
            <w:tcW w:w="1100" w:type="dxa"/>
            <w:tcBorders>
              <w:top w:val="nil"/>
              <w:left w:val="nil"/>
              <w:bottom w:val="nil"/>
              <w:right w:val="nil"/>
            </w:tcBorders>
            <w:shd w:val="clear" w:color="auto" w:fill="auto"/>
            <w:noWrap/>
            <w:vAlign w:val="bottom"/>
            <w:hideMark/>
          </w:tcPr>
          <w:p w14:paraId="58309903" w14:textId="77777777" w:rsidR="00BE6461" w:rsidRPr="00BE6461" w:rsidRDefault="00BE6461" w:rsidP="00BE6461">
            <w:pPr>
              <w:jc w:val="right"/>
              <w:rPr>
                <w:b/>
                <w:bCs/>
                <w:sz w:val="20"/>
                <w:szCs w:val="20"/>
              </w:rPr>
            </w:pPr>
            <w:r w:rsidRPr="00BE6461">
              <w:rPr>
                <w:b/>
                <w:bCs/>
                <w:sz w:val="20"/>
                <w:szCs w:val="20"/>
              </w:rPr>
              <w:t>30,40</w:t>
            </w:r>
          </w:p>
        </w:tc>
      </w:tr>
      <w:tr w:rsidR="00BE6461" w:rsidRPr="00BE6461" w14:paraId="2195135E" w14:textId="77777777" w:rsidTr="00BE6461">
        <w:trPr>
          <w:trHeight w:val="300"/>
        </w:trPr>
        <w:tc>
          <w:tcPr>
            <w:tcW w:w="1703" w:type="dxa"/>
            <w:tcBorders>
              <w:top w:val="nil"/>
              <w:left w:val="nil"/>
              <w:bottom w:val="nil"/>
              <w:right w:val="nil"/>
            </w:tcBorders>
            <w:shd w:val="clear" w:color="auto" w:fill="auto"/>
            <w:noWrap/>
            <w:vAlign w:val="bottom"/>
            <w:hideMark/>
          </w:tcPr>
          <w:p w14:paraId="305E62A2" w14:textId="77777777" w:rsidR="00BE6461" w:rsidRPr="00BE6461" w:rsidRDefault="00BE6461" w:rsidP="00BE6461">
            <w:pPr>
              <w:rPr>
                <w:sz w:val="20"/>
                <w:szCs w:val="20"/>
              </w:rPr>
            </w:pPr>
            <w:r w:rsidRPr="00BE6461">
              <w:rPr>
                <w:sz w:val="20"/>
                <w:szCs w:val="20"/>
              </w:rPr>
              <w:t>3293</w:t>
            </w:r>
          </w:p>
        </w:tc>
        <w:tc>
          <w:tcPr>
            <w:tcW w:w="8457" w:type="dxa"/>
            <w:tcBorders>
              <w:top w:val="nil"/>
              <w:left w:val="nil"/>
              <w:bottom w:val="nil"/>
              <w:right w:val="nil"/>
            </w:tcBorders>
            <w:shd w:val="clear" w:color="auto" w:fill="auto"/>
            <w:vAlign w:val="bottom"/>
            <w:hideMark/>
          </w:tcPr>
          <w:p w14:paraId="2FFA9FB8" w14:textId="77777777" w:rsidR="00BE6461" w:rsidRPr="00BE6461" w:rsidRDefault="00BE6461" w:rsidP="00BE6461">
            <w:pPr>
              <w:rPr>
                <w:sz w:val="20"/>
                <w:szCs w:val="20"/>
              </w:rPr>
            </w:pPr>
            <w:r w:rsidRPr="00BE6461">
              <w:rPr>
                <w:sz w:val="20"/>
                <w:szCs w:val="20"/>
              </w:rPr>
              <w:t xml:space="preserve">Reprezentacija                                                                                      </w:t>
            </w:r>
          </w:p>
        </w:tc>
        <w:tc>
          <w:tcPr>
            <w:tcW w:w="1503" w:type="dxa"/>
            <w:tcBorders>
              <w:top w:val="nil"/>
              <w:left w:val="nil"/>
              <w:bottom w:val="nil"/>
              <w:right w:val="nil"/>
            </w:tcBorders>
            <w:shd w:val="clear" w:color="auto" w:fill="auto"/>
            <w:noWrap/>
            <w:vAlign w:val="bottom"/>
            <w:hideMark/>
          </w:tcPr>
          <w:p w14:paraId="3CCE188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98FE635" w14:textId="77777777" w:rsidR="00BE6461" w:rsidRPr="00BE6461" w:rsidRDefault="00BE6461" w:rsidP="00BE6461">
            <w:pPr>
              <w:jc w:val="right"/>
              <w:rPr>
                <w:sz w:val="20"/>
                <w:szCs w:val="20"/>
              </w:rPr>
            </w:pPr>
            <w:r w:rsidRPr="00BE6461">
              <w:rPr>
                <w:sz w:val="20"/>
                <w:szCs w:val="20"/>
              </w:rPr>
              <w:t>1.367,85</w:t>
            </w:r>
          </w:p>
        </w:tc>
        <w:tc>
          <w:tcPr>
            <w:tcW w:w="1100" w:type="dxa"/>
            <w:tcBorders>
              <w:top w:val="nil"/>
              <w:left w:val="nil"/>
              <w:bottom w:val="nil"/>
              <w:right w:val="nil"/>
            </w:tcBorders>
            <w:shd w:val="clear" w:color="auto" w:fill="auto"/>
            <w:noWrap/>
            <w:vAlign w:val="bottom"/>
            <w:hideMark/>
          </w:tcPr>
          <w:p w14:paraId="307F6010" w14:textId="77777777" w:rsidR="00BE6461" w:rsidRPr="00BE6461" w:rsidRDefault="00BE6461" w:rsidP="00BE6461">
            <w:pPr>
              <w:jc w:val="right"/>
              <w:rPr>
                <w:sz w:val="20"/>
                <w:szCs w:val="20"/>
              </w:rPr>
            </w:pPr>
          </w:p>
        </w:tc>
      </w:tr>
      <w:tr w:rsidR="00BE6461" w:rsidRPr="00BE6461" w14:paraId="4CDF066D" w14:textId="77777777" w:rsidTr="00BE6461">
        <w:trPr>
          <w:trHeight w:val="300"/>
        </w:trPr>
        <w:tc>
          <w:tcPr>
            <w:tcW w:w="1703" w:type="dxa"/>
            <w:tcBorders>
              <w:top w:val="nil"/>
              <w:left w:val="nil"/>
              <w:bottom w:val="nil"/>
              <w:right w:val="nil"/>
            </w:tcBorders>
            <w:shd w:val="clear" w:color="auto" w:fill="auto"/>
            <w:noWrap/>
            <w:vAlign w:val="bottom"/>
            <w:hideMark/>
          </w:tcPr>
          <w:p w14:paraId="6F14B08C" w14:textId="77777777" w:rsidR="00BE6461" w:rsidRPr="00BE6461" w:rsidRDefault="00BE6461" w:rsidP="00BE6461">
            <w:pPr>
              <w:rPr>
                <w:sz w:val="20"/>
                <w:szCs w:val="20"/>
              </w:rPr>
            </w:pPr>
            <w:r w:rsidRPr="00BE6461">
              <w:rPr>
                <w:sz w:val="20"/>
                <w:szCs w:val="20"/>
              </w:rPr>
              <w:t>3299</w:t>
            </w:r>
          </w:p>
        </w:tc>
        <w:tc>
          <w:tcPr>
            <w:tcW w:w="8457" w:type="dxa"/>
            <w:tcBorders>
              <w:top w:val="nil"/>
              <w:left w:val="nil"/>
              <w:bottom w:val="nil"/>
              <w:right w:val="nil"/>
            </w:tcBorders>
            <w:shd w:val="clear" w:color="auto" w:fill="auto"/>
            <w:vAlign w:val="bottom"/>
            <w:hideMark/>
          </w:tcPr>
          <w:p w14:paraId="07C5DBEE" w14:textId="77777777" w:rsidR="00BE6461" w:rsidRPr="00BE6461" w:rsidRDefault="00BE6461" w:rsidP="00BE6461">
            <w:pPr>
              <w:rPr>
                <w:sz w:val="20"/>
                <w:szCs w:val="20"/>
              </w:rPr>
            </w:pPr>
            <w:r w:rsidRPr="00BE6461">
              <w:rPr>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4C92F0AF"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C283E65"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6EEE73D8" w14:textId="77777777" w:rsidR="00BE6461" w:rsidRPr="00BE6461" w:rsidRDefault="00BE6461" w:rsidP="00BE6461">
            <w:pPr>
              <w:jc w:val="right"/>
              <w:rPr>
                <w:sz w:val="20"/>
                <w:szCs w:val="20"/>
              </w:rPr>
            </w:pPr>
          </w:p>
        </w:tc>
      </w:tr>
      <w:tr w:rsidR="00BE6461" w:rsidRPr="00BE6461" w14:paraId="3294FB73"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23065F3D" w14:textId="77777777" w:rsidR="00BE6461" w:rsidRPr="00BE6461" w:rsidRDefault="00BE6461" w:rsidP="00BE6461">
            <w:pPr>
              <w:rPr>
                <w:b/>
                <w:bCs/>
                <w:sz w:val="20"/>
                <w:szCs w:val="20"/>
              </w:rPr>
            </w:pPr>
            <w:r w:rsidRPr="00BE6461">
              <w:rPr>
                <w:b/>
                <w:bCs/>
                <w:sz w:val="20"/>
                <w:szCs w:val="20"/>
              </w:rPr>
              <w:t>A100068</w:t>
            </w:r>
          </w:p>
        </w:tc>
        <w:tc>
          <w:tcPr>
            <w:tcW w:w="8457" w:type="dxa"/>
            <w:tcBorders>
              <w:top w:val="single" w:sz="4" w:space="0" w:color="auto"/>
              <w:left w:val="nil"/>
              <w:bottom w:val="single" w:sz="4" w:space="0" w:color="auto"/>
              <w:right w:val="nil"/>
            </w:tcBorders>
            <w:shd w:val="clear" w:color="auto" w:fill="auto"/>
            <w:vAlign w:val="bottom"/>
            <w:hideMark/>
          </w:tcPr>
          <w:p w14:paraId="46806041" w14:textId="77777777" w:rsidR="00BE6461" w:rsidRPr="00BE6461" w:rsidRDefault="00BE6461" w:rsidP="00BE6461">
            <w:pPr>
              <w:rPr>
                <w:b/>
                <w:bCs/>
                <w:sz w:val="20"/>
                <w:szCs w:val="20"/>
              </w:rPr>
            </w:pPr>
            <w:r w:rsidRPr="00BE6461">
              <w:rPr>
                <w:b/>
                <w:bCs/>
                <w:sz w:val="20"/>
                <w:szCs w:val="20"/>
              </w:rPr>
              <w:t>Aktivnost: GLAZBENO SCENSKA DJELATNOST</w:t>
            </w:r>
          </w:p>
        </w:tc>
        <w:tc>
          <w:tcPr>
            <w:tcW w:w="1503" w:type="dxa"/>
            <w:tcBorders>
              <w:top w:val="single" w:sz="4" w:space="0" w:color="auto"/>
              <w:left w:val="nil"/>
              <w:bottom w:val="single" w:sz="4" w:space="0" w:color="auto"/>
              <w:right w:val="nil"/>
            </w:tcBorders>
            <w:shd w:val="clear" w:color="auto" w:fill="auto"/>
            <w:noWrap/>
            <w:vAlign w:val="bottom"/>
            <w:hideMark/>
          </w:tcPr>
          <w:p w14:paraId="45F98730" w14:textId="77777777" w:rsidR="00BE6461" w:rsidRPr="00BE6461" w:rsidRDefault="00BE6461" w:rsidP="00BE6461">
            <w:pPr>
              <w:jc w:val="right"/>
              <w:rPr>
                <w:b/>
                <w:bCs/>
                <w:sz w:val="20"/>
                <w:szCs w:val="20"/>
              </w:rPr>
            </w:pPr>
            <w:r w:rsidRPr="00BE6461">
              <w:rPr>
                <w:b/>
                <w:bCs/>
                <w:sz w:val="20"/>
                <w:szCs w:val="20"/>
              </w:rPr>
              <w:t>150.500,00</w:t>
            </w:r>
          </w:p>
        </w:tc>
        <w:tc>
          <w:tcPr>
            <w:tcW w:w="1500" w:type="dxa"/>
            <w:tcBorders>
              <w:top w:val="single" w:sz="4" w:space="0" w:color="auto"/>
              <w:left w:val="nil"/>
              <w:bottom w:val="single" w:sz="4" w:space="0" w:color="auto"/>
              <w:right w:val="nil"/>
            </w:tcBorders>
            <w:shd w:val="clear" w:color="auto" w:fill="auto"/>
            <w:noWrap/>
            <w:vAlign w:val="bottom"/>
            <w:hideMark/>
          </w:tcPr>
          <w:p w14:paraId="10C413A8" w14:textId="77777777" w:rsidR="00BE6461" w:rsidRPr="00BE6461" w:rsidRDefault="00BE6461" w:rsidP="00BE6461">
            <w:pPr>
              <w:jc w:val="right"/>
              <w:rPr>
                <w:b/>
                <w:bCs/>
                <w:sz w:val="20"/>
                <w:szCs w:val="20"/>
              </w:rPr>
            </w:pPr>
            <w:r w:rsidRPr="00BE6461">
              <w:rPr>
                <w:b/>
                <w:bCs/>
                <w:sz w:val="20"/>
                <w:szCs w:val="20"/>
              </w:rPr>
              <w:t>119.264,20</w:t>
            </w:r>
          </w:p>
        </w:tc>
        <w:tc>
          <w:tcPr>
            <w:tcW w:w="1100" w:type="dxa"/>
            <w:tcBorders>
              <w:top w:val="single" w:sz="4" w:space="0" w:color="auto"/>
              <w:left w:val="nil"/>
              <w:bottom w:val="single" w:sz="4" w:space="0" w:color="auto"/>
              <w:right w:val="nil"/>
            </w:tcBorders>
            <w:shd w:val="clear" w:color="auto" w:fill="auto"/>
            <w:noWrap/>
            <w:vAlign w:val="bottom"/>
            <w:hideMark/>
          </w:tcPr>
          <w:p w14:paraId="4D32D7FE" w14:textId="77777777" w:rsidR="00BE6461" w:rsidRPr="00BE6461" w:rsidRDefault="00BE6461" w:rsidP="00BE6461">
            <w:pPr>
              <w:jc w:val="right"/>
              <w:rPr>
                <w:b/>
                <w:bCs/>
                <w:sz w:val="20"/>
                <w:szCs w:val="20"/>
              </w:rPr>
            </w:pPr>
            <w:r w:rsidRPr="00BE6461">
              <w:rPr>
                <w:b/>
                <w:bCs/>
                <w:sz w:val="20"/>
                <w:szCs w:val="20"/>
              </w:rPr>
              <w:t>79,25</w:t>
            </w:r>
          </w:p>
        </w:tc>
      </w:tr>
      <w:tr w:rsidR="00BE6461" w:rsidRPr="00BE6461" w14:paraId="7C4145E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87F2BE5"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61C39DBF" w14:textId="77777777" w:rsidR="00BE6461" w:rsidRPr="00BE6461" w:rsidRDefault="00BE6461" w:rsidP="00BE6461">
            <w:pPr>
              <w:jc w:val="right"/>
              <w:rPr>
                <w:b/>
                <w:bCs/>
                <w:color w:val="333333"/>
                <w:sz w:val="20"/>
                <w:szCs w:val="20"/>
              </w:rPr>
            </w:pPr>
            <w:r w:rsidRPr="00BE6461">
              <w:rPr>
                <w:b/>
                <w:bCs/>
                <w:color w:val="333333"/>
                <w:sz w:val="20"/>
                <w:szCs w:val="20"/>
              </w:rPr>
              <w:t>118.500,00</w:t>
            </w:r>
          </w:p>
        </w:tc>
        <w:tc>
          <w:tcPr>
            <w:tcW w:w="1500" w:type="dxa"/>
            <w:tcBorders>
              <w:top w:val="nil"/>
              <w:left w:val="nil"/>
              <w:bottom w:val="nil"/>
              <w:right w:val="nil"/>
            </w:tcBorders>
            <w:shd w:val="clear" w:color="auto" w:fill="auto"/>
            <w:noWrap/>
            <w:vAlign w:val="bottom"/>
            <w:hideMark/>
          </w:tcPr>
          <w:p w14:paraId="28879303" w14:textId="77777777" w:rsidR="00BE6461" w:rsidRPr="00BE6461" w:rsidRDefault="00BE6461" w:rsidP="00BE6461">
            <w:pPr>
              <w:jc w:val="right"/>
              <w:rPr>
                <w:b/>
                <w:bCs/>
                <w:color w:val="333333"/>
                <w:sz w:val="20"/>
                <w:szCs w:val="20"/>
              </w:rPr>
            </w:pPr>
            <w:r w:rsidRPr="00BE6461">
              <w:rPr>
                <w:b/>
                <w:bCs/>
                <w:color w:val="333333"/>
                <w:sz w:val="20"/>
                <w:szCs w:val="20"/>
              </w:rPr>
              <w:t>98.255,98</w:t>
            </w:r>
          </w:p>
        </w:tc>
        <w:tc>
          <w:tcPr>
            <w:tcW w:w="1100" w:type="dxa"/>
            <w:tcBorders>
              <w:top w:val="nil"/>
              <w:left w:val="nil"/>
              <w:bottom w:val="nil"/>
              <w:right w:val="nil"/>
            </w:tcBorders>
            <w:shd w:val="clear" w:color="auto" w:fill="auto"/>
            <w:noWrap/>
            <w:vAlign w:val="bottom"/>
            <w:hideMark/>
          </w:tcPr>
          <w:p w14:paraId="741F9FC5" w14:textId="77777777" w:rsidR="00BE6461" w:rsidRPr="00BE6461" w:rsidRDefault="00BE6461" w:rsidP="00BE6461">
            <w:pPr>
              <w:jc w:val="right"/>
              <w:rPr>
                <w:b/>
                <w:bCs/>
                <w:color w:val="333333"/>
                <w:sz w:val="20"/>
                <w:szCs w:val="20"/>
              </w:rPr>
            </w:pPr>
            <w:r w:rsidRPr="00BE6461">
              <w:rPr>
                <w:b/>
                <w:bCs/>
                <w:color w:val="333333"/>
                <w:sz w:val="20"/>
                <w:szCs w:val="20"/>
              </w:rPr>
              <w:t>82,92</w:t>
            </w:r>
          </w:p>
        </w:tc>
      </w:tr>
      <w:tr w:rsidR="00BE6461" w:rsidRPr="00BE6461" w14:paraId="0B28A268"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F24443A"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5D5A48A6" w14:textId="77777777" w:rsidR="00BE6461" w:rsidRPr="00BE6461" w:rsidRDefault="00BE6461" w:rsidP="00BE6461">
            <w:pPr>
              <w:jc w:val="right"/>
              <w:rPr>
                <w:b/>
                <w:bCs/>
                <w:color w:val="333333"/>
                <w:sz w:val="20"/>
                <w:szCs w:val="20"/>
              </w:rPr>
            </w:pPr>
            <w:r w:rsidRPr="00BE6461">
              <w:rPr>
                <w:b/>
                <w:bCs/>
                <w:color w:val="333333"/>
                <w:sz w:val="20"/>
                <w:szCs w:val="20"/>
              </w:rPr>
              <w:t>118.500,00</w:t>
            </w:r>
          </w:p>
        </w:tc>
        <w:tc>
          <w:tcPr>
            <w:tcW w:w="1500" w:type="dxa"/>
            <w:tcBorders>
              <w:top w:val="nil"/>
              <w:left w:val="nil"/>
              <w:bottom w:val="nil"/>
              <w:right w:val="nil"/>
            </w:tcBorders>
            <w:shd w:val="clear" w:color="auto" w:fill="auto"/>
            <w:noWrap/>
            <w:vAlign w:val="bottom"/>
            <w:hideMark/>
          </w:tcPr>
          <w:p w14:paraId="6BA1F194" w14:textId="77777777" w:rsidR="00BE6461" w:rsidRPr="00BE6461" w:rsidRDefault="00BE6461" w:rsidP="00BE6461">
            <w:pPr>
              <w:jc w:val="right"/>
              <w:rPr>
                <w:b/>
                <w:bCs/>
                <w:color w:val="333333"/>
                <w:sz w:val="20"/>
                <w:szCs w:val="20"/>
              </w:rPr>
            </w:pPr>
            <w:r w:rsidRPr="00BE6461">
              <w:rPr>
                <w:b/>
                <w:bCs/>
                <w:color w:val="333333"/>
                <w:sz w:val="20"/>
                <w:szCs w:val="20"/>
              </w:rPr>
              <w:t>98.255,98</w:t>
            </w:r>
          </w:p>
        </w:tc>
        <w:tc>
          <w:tcPr>
            <w:tcW w:w="1100" w:type="dxa"/>
            <w:tcBorders>
              <w:top w:val="nil"/>
              <w:left w:val="nil"/>
              <w:bottom w:val="nil"/>
              <w:right w:val="nil"/>
            </w:tcBorders>
            <w:shd w:val="clear" w:color="auto" w:fill="auto"/>
            <w:noWrap/>
            <w:vAlign w:val="bottom"/>
            <w:hideMark/>
          </w:tcPr>
          <w:p w14:paraId="3EBD9C79" w14:textId="77777777" w:rsidR="00BE6461" w:rsidRPr="00BE6461" w:rsidRDefault="00BE6461" w:rsidP="00BE6461">
            <w:pPr>
              <w:jc w:val="right"/>
              <w:rPr>
                <w:b/>
                <w:bCs/>
                <w:color w:val="333333"/>
                <w:sz w:val="20"/>
                <w:szCs w:val="20"/>
              </w:rPr>
            </w:pPr>
            <w:r w:rsidRPr="00BE6461">
              <w:rPr>
                <w:b/>
                <w:bCs/>
                <w:color w:val="333333"/>
                <w:sz w:val="20"/>
                <w:szCs w:val="20"/>
              </w:rPr>
              <w:t>82,92</w:t>
            </w:r>
          </w:p>
        </w:tc>
      </w:tr>
      <w:tr w:rsidR="00BE6461" w:rsidRPr="00BE6461" w14:paraId="6A47200B" w14:textId="77777777" w:rsidTr="00BE6461">
        <w:trPr>
          <w:trHeight w:val="300"/>
        </w:trPr>
        <w:tc>
          <w:tcPr>
            <w:tcW w:w="1703" w:type="dxa"/>
            <w:tcBorders>
              <w:top w:val="nil"/>
              <w:left w:val="nil"/>
              <w:bottom w:val="nil"/>
              <w:right w:val="nil"/>
            </w:tcBorders>
            <w:shd w:val="clear" w:color="auto" w:fill="auto"/>
            <w:noWrap/>
            <w:vAlign w:val="bottom"/>
            <w:hideMark/>
          </w:tcPr>
          <w:p w14:paraId="30EB1818"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46081FEB"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40BD53FC" w14:textId="77777777" w:rsidR="00BE6461" w:rsidRPr="00BE6461" w:rsidRDefault="00BE6461" w:rsidP="00BE6461">
            <w:pPr>
              <w:jc w:val="right"/>
              <w:rPr>
                <w:b/>
                <w:bCs/>
                <w:sz w:val="20"/>
                <w:szCs w:val="20"/>
              </w:rPr>
            </w:pPr>
            <w:r w:rsidRPr="00BE6461">
              <w:rPr>
                <w:b/>
                <w:bCs/>
                <w:sz w:val="20"/>
                <w:szCs w:val="20"/>
              </w:rPr>
              <w:t>97.000,00</w:t>
            </w:r>
          </w:p>
        </w:tc>
        <w:tc>
          <w:tcPr>
            <w:tcW w:w="1500" w:type="dxa"/>
            <w:tcBorders>
              <w:top w:val="nil"/>
              <w:left w:val="nil"/>
              <w:bottom w:val="nil"/>
              <w:right w:val="nil"/>
            </w:tcBorders>
            <w:shd w:val="clear" w:color="auto" w:fill="auto"/>
            <w:noWrap/>
            <w:vAlign w:val="bottom"/>
            <w:hideMark/>
          </w:tcPr>
          <w:p w14:paraId="3A4BCDAD" w14:textId="77777777" w:rsidR="00BE6461" w:rsidRPr="00BE6461" w:rsidRDefault="00BE6461" w:rsidP="00BE6461">
            <w:pPr>
              <w:jc w:val="right"/>
              <w:rPr>
                <w:b/>
                <w:bCs/>
                <w:sz w:val="20"/>
                <w:szCs w:val="20"/>
              </w:rPr>
            </w:pPr>
            <w:r w:rsidRPr="00BE6461">
              <w:rPr>
                <w:b/>
                <w:bCs/>
                <w:sz w:val="20"/>
                <w:szCs w:val="20"/>
              </w:rPr>
              <w:t>83.734,01</w:t>
            </w:r>
          </w:p>
        </w:tc>
        <w:tc>
          <w:tcPr>
            <w:tcW w:w="1100" w:type="dxa"/>
            <w:tcBorders>
              <w:top w:val="nil"/>
              <w:left w:val="nil"/>
              <w:bottom w:val="nil"/>
              <w:right w:val="nil"/>
            </w:tcBorders>
            <w:shd w:val="clear" w:color="auto" w:fill="auto"/>
            <w:noWrap/>
            <w:vAlign w:val="bottom"/>
            <w:hideMark/>
          </w:tcPr>
          <w:p w14:paraId="091E4B9B" w14:textId="77777777" w:rsidR="00BE6461" w:rsidRPr="00BE6461" w:rsidRDefault="00BE6461" w:rsidP="00BE6461">
            <w:pPr>
              <w:jc w:val="right"/>
              <w:rPr>
                <w:b/>
                <w:bCs/>
                <w:sz w:val="20"/>
                <w:szCs w:val="20"/>
              </w:rPr>
            </w:pPr>
            <w:r w:rsidRPr="00BE6461">
              <w:rPr>
                <w:b/>
                <w:bCs/>
                <w:sz w:val="20"/>
                <w:szCs w:val="20"/>
              </w:rPr>
              <w:t>86,32</w:t>
            </w:r>
          </w:p>
        </w:tc>
      </w:tr>
      <w:tr w:rsidR="00BE6461" w:rsidRPr="00BE6461" w14:paraId="725BF18C" w14:textId="77777777" w:rsidTr="00BE6461">
        <w:trPr>
          <w:trHeight w:val="300"/>
        </w:trPr>
        <w:tc>
          <w:tcPr>
            <w:tcW w:w="1703" w:type="dxa"/>
            <w:tcBorders>
              <w:top w:val="nil"/>
              <w:left w:val="nil"/>
              <w:bottom w:val="nil"/>
              <w:right w:val="nil"/>
            </w:tcBorders>
            <w:shd w:val="clear" w:color="auto" w:fill="auto"/>
            <w:noWrap/>
            <w:vAlign w:val="bottom"/>
            <w:hideMark/>
          </w:tcPr>
          <w:p w14:paraId="45A542AD" w14:textId="77777777" w:rsidR="00BE6461" w:rsidRPr="00BE6461" w:rsidRDefault="00BE6461" w:rsidP="00BE6461">
            <w:pPr>
              <w:rPr>
                <w:sz w:val="20"/>
                <w:szCs w:val="20"/>
              </w:rPr>
            </w:pPr>
            <w:r w:rsidRPr="00BE6461">
              <w:rPr>
                <w:sz w:val="20"/>
                <w:szCs w:val="20"/>
              </w:rPr>
              <w:t>3235</w:t>
            </w:r>
          </w:p>
        </w:tc>
        <w:tc>
          <w:tcPr>
            <w:tcW w:w="8457" w:type="dxa"/>
            <w:tcBorders>
              <w:top w:val="nil"/>
              <w:left w:val="nil"/>
              <w:bottom w:val="nil"/>
              <w:right w:val="nil"/>
            </w:tcBorders>
            <w:shd w:val="clear" w:color="auto" w:fill="auto"/>
            <w:vAlign w:val="bottom"/>
            <w:hideMark/>
          </w:tcPr>
          <w:p w14:paraId="6FFBCA46" w14:textId="77777777" w:rsidR="00BE6461" w:rsidRPr="00BE6461" w:rsidRDefault="00BE6461" w:rsidP="00BE6461">
            <w:pPr>
              <w:rPr>
                <w:sz w:val="20"/>
                <w:szCs w:val="20"/>
              </w:rPr>
            </w:pPr>
            <w:r w:rsidRPr="00BE6461">
              <w:rPr>
                <w:sz w:val="20"/>
                <w:szCs w:val="20"/>
              </w:rPr>
              <w:t xml:space="preserve">Zakupnine i najamnine                                                                               </w:t>
            </w:r>
          </w:p>
        </w:tc>
        <w:tc>
          <w:tcPr>
            <w:tcW w:w="1503" w:type="dxa"/>
            <w:tcBorders>
              <w:top w:val="nil"/>
              <w:left w:val="nil"/>
              <w:bottom w:val="nil"/>
              <w:right w:val="nil"/>
            </w:tcBorders>
            <w:shd w:val="clear" w:color="auto" w:fill="auto"/>
            <w:noWrap/>
            <w:vAlign w:val="bottom"/>
            <w:hideMark/>
          </w:tcPr>
          <w:p w14:paraId="298BE10F"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645B937" w14:textId="77777777" w:rsidR="00BE6461" w:rsidRPr="00BE6461" w:rsidRDefault="00BE6461" w:rsidP="00BE6461">
            <w:pPr>
              <w:jc w:val="right"/>
              <w:rPr>
                <w:sz w:val="20"/>
                <w:szCs w:val="20"/>
              </w:rPr>
            </w:pPr>
            <w:r w:rsidRPr="00BE6461">
              <w:rPr>
                <w:sz w:val="20"/>
                <w:szCs w:val="20"/>
              </w:rPr>
              <w:t>26.873,50</w:t>
            </w:r>
          </w:p>
        </w:tc>
        <w:tc>
          <w:tcPr>
            <w:tcW w:w="1100" w:type="dxa"/>
            <w:tcBorders>
              <w:top w:val="nil"/>
              <w:left w:val="nil"/>
              <w:bottom w:val="nil"/>
              <w:right w:val="nil"/>
            </w:tcBorders>
            <w:shd w:val="clear" w:color="auto" w:fill="auto"/>
            <w:noWrap/>
            <w:vAlign w:val="bottom"/>
            <w:hideMark/>
          </w:tcPr>
          <w:p w14:paraId="6BDF58BB" w14:textId="77777777" w:rsidR="00BE6461" w:rsidRPr="00BE6461" w:rsidRDefault="00BE6461" w:rsidP="00BE6461">
            <w:pPr>
              <w:jc w:val="right"/>
              <w:rPr>
                <w:sz w:val="20"/>
                <w:szCs w:val="20"/>
              </w:rPr>
            </w:pPr>
          </w:p>
        </w:tc>
      </w:tr>
      <w:tr w:rsidR="00BE6461" w:rsidRPr="00BE6461" w14:paraId="67701DC5" w14:textId="77777777" w:rsidTr="00BE6461">
        <w:trPr>
          <w:trHeight w:val="300"/>
        </w:trPr>
        <w:tc>
          <w:tcPr>
            <w:tcW w:w="1703" w:type="dxa"/>
            <w:tcBorders>
              <w:top w:val="nil"/>
              <w:left w:val="nil"/>
              <w:bottom w:val="nil"/>
              <w:right w:val="nil"/>
            </w:tcBorders>
            <w:shd w:val="clear" w:color="auto" w:fill="auto"/>
            <w:noWrap/>
            <w:vAlign w:val="bottom"/>
            <w:hideMark/>
          </w:tcPr>
          <w:p w14:paraId="4C4E6C30"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77994FAA"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4F9231FB"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6944286" w14:textId="77777777" w:rsidR="00BE6461" w:rsidRPr="00BE6461" w:rsidRDefault="00BE6461" w:rsidP="00BE6461">
            <w:pPr>
              <w:jc w:val="right"/>
              <w:rPr>
                <w:sz w:val="20"/>
                <w:szCs w:val="20"/>
              </w:rPr>
            </w:pPr>
            <w:r w:rsidRPr="00BE6461">
              <w:rPr>
                <w:sz w:val="20"/>
                <w:szCs w:val="20"/>
              </w:rPr>
              <w:t>38.773,01</w:t>
            </w:r>
          </w:p>
        </w:tc>
        <w:tc>
          <w:tcPr>
            <w:tcW w:w="1100" w:type="dxa"/>
            <w:tcBorders>
              <w:top w:val="nil"/>
              <w:left w:val="nil"/>
              <w:bottom w:val="nil"/>
              <w:right w:val="nil"/>
            </w:tcBorders>
            <w:shd w:val="clear" w:color="auto" w:fill="auto"/>
            <w:noWrap/>
            <w:vAlign w:val="bottom"/>
            <w:hideMark/>
          </w:tcPr>
          <w:p w14:paraId="70C8EE6F" w14:textId="77777777" w:rsidR="00BE6461" w:rsidRPr="00BE6461" w:rsidRDefault="00BE6461" w:rsidP="00BE6461">
            <w:pPr>
              <w:jc w:val="right"/>
              <w:rPr>
                <w:sz w:val="20"/>
                <w:szCs w:val="20"/>
              </w:rPr>
            </w:pPr>
          </w:p>
        </w:tc>
      </w:tr>
      <w:tr w:rsidR="00BE6461" w:rsidRPr="00BE6461" w14:paraId="1BE8EB3A" w14:textId="77777777" w:rsidTr="00BE6461">
        <w:trPr>
          <w:trHeight w:val="300"/>
        </w:trPr>
        <w:tc>
          <w:tcPr>
            <w:tcW w:w="1703" w:type="dxa"/>
            <w:tcBorders>
              <w:top w:val="nil"/>
              <w:left w:val="nil"/>
              <w:bottom w:val="nil"/>
              <w:right w:val="nil"/>
            </w:tcBorders>
            <w:shd w:val="clear" w:color="auto" w:fill="auto"/>
            <w:noWrap/>
            <w:vAlign w:val="bottom"/>
            <w:hideMark/>
          </w:tcPr>
          <w:p w14:paraId="5332FBBC" w14:textId="77777777" w:rsidR="00BE6461" w:rsidRPr="00BE6461" w:rsidRDefault="00BE6461" w:rsidP="00BE6461">
            <w:pPr>
              <w:rPr>
                <w:sz w:val="20"/>
                <w:szCs w:val="20"/>
              </w:rPr>
            </w:pPr>
            <w:r w:rsidRPr="00BE6461">
              <w:rPr>
                <w:sz w:val="20"/>
                <w:szCs w:val="20"/>
              </w:rPr>
              <w:t>3239</w:t>
            </w:r>
          </w:p>
        </w:tc>
        <w:tc>
          <w:tcPr>
            <w:tcW w:w="8457" w:type="dxa"/>
            <w:tcBorders>
              <w:top w:val="nil"/>
              <w:left w:val="nil"/>
              <w:bottom w:val="nil"/>
              <w:right w:val="nil"/>
            </w:tcBorders>
            <w:shd w:val="clear" w:color="auto" w:fill="auto"/>
            <w:vAlign w:val="bottom"/>
            <w:hideMark/>
          </w:tcPr>
          <w:p w14:paraId="65F04E16" w14:textId="77777777" w:rsidR="00BE6461" w:rsidRPr="00BE6461" w:rsidRDefault="00BE6461" w:rsidP="00BE6461">
            <w:pPr>
              <w:rPr>
                <w:sz w:val="20"/>
                <w:szCs w:val="20"/>
              </w:rPr>
            </w:pPr>
            <w:r w:rsidRPr="00BE6461">
              <w:rPr>
                <w:sz w:val="20"/>
                <w:szCs w:val="20"/>
              </w:rPr>
              <w:t xml:space="preserve">Ostale usluge                                                                                       </w:t>
            </w:r>
          </w:p>
        </w:tc>
        <w:tc>
          <w:tcPr>
            <w:tcW w:w="1503" w:type="dxa"/>
            <w:tcBorders>
              <w:top w:val="nil"/>
              <w:left w:val="nil"/>
              <w:bottom w:val="nil"/>
              <w:right w:val="nil"/>
            </w:tcBorders>
            <w:shd w:val="clear" w:color="auto" w:fill="auto"/>
            <w:noWrap/>
            <w:vAlign w:val="bottom"/>
            <w:hideMark/>
          </w:tcPr>
          <w:p w14:paraId="4EF08652"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C5DD9F1" w14:textId="77777777" w:rsidR="00BE6461" w:rsidRPr="00BE6461" w:rsidRDefault="00BE6461" w:rsidP="00BE6461">
            <w:pPr>
              <w:jc w:val="right"/>
              <w:rPr>
                <w:sz w:val="20"/>
                <w:szCs w:val="20"/>
              </w:rPr>
            </w:pPr>
            <w:r w:rsidRPr="00BE6461">
              <w:rPr>
                <w:sz w:val="20"/>
                <w:szCs w:val="20"/>
              </w:rPr>
              <w:t>18.087,50</w:t>
            </w:r>
          </w:p>
        </w:tc>
        <w:tc>
          <w:tcPr>
            <w:tcW w:w="1100" w:type="dxa"/>
            <w:tcBorders>
              <w:top w:val="nil"/>
              <w:left w:val="nil"/>
              <w:bottom w:val="nil"/>
              <w:right w:val="nil"/>
            </w:tcBorders>
            <w:shd w:val="clear" w:color="auto" w:fill="auto"/>
            <w:noWrap/>
            <w:vAlign w:val="bottom"/>
            <w:hideMark/>
          </w:tcPr>
          <w:p w14:paraId="377EF0CE" w14:textId="77777777" w:rsidR="00BE6461" w:rsidRPr="00BE6461" w:rsidRDefault="00BE6461" w:rsidP="00BE6461">
            <w:pPr>
              <w:jc w:val="right"/>
              <w:rPr>
                <w:sz w:val="20"/>
                <w:szCs w:val="20"/>
              </w:rPr>
            </w:pPr>
          </w:p>
        </w:tc>
      </w:tr>
      <w:tr w:rsidR="00BE6461" w:rsidRPr="00BE6461" w14:paraId="3940D664" w14:textId="77777777" w:rsidTr="00BE6461">
        <w:trPr>
          <w:trHeight w:val="300"/>
        </w:trPr>
        <w:tc>
          <w:tcPr>
            <w:tcW w:w="1703" w:type="dxa"/>
            <w:tcBorders>
              <w:top w:val="nil"/>
              <w:left w:val="nil"/>
              <w:bottom w:val="nil"/>
              <w:right w:val="nil"/>
            </w:tcBorders>
            <w:shd w:val="clear" w:color="auto" w:fill="auto"/>
            <w:noWrap/>
            <w:vAlign w:val="bottom"/>
            <w:hideMark/>
          </w:tcPr>
          <w:p w14:paraId="5194C21F" w14:textId="77777777" w:rsidR="00BE6461" w:rsidRPr="00BE6461" w:rsidRDefault="00BE6461" w:rsidP="00BE6461">
            <w:pPr>
              <w:rPr>
                <w:b/>
                <w:bCs/>
                <w:sz w:val="20"/>
                <w:szCs w:val="20"/>
              </w:rPr>
            </w:pPr>
            <w:r w:rsidRPr="00BE6461">
              <w:rPr>
                <w:b/>
                <w:bCs/>
                <w:sz w:val="20"/>
                <w:szCs w:val="20"/>
              </w:rPr>
              <w:t>324</w:t>
            </w:r>
          </w:p>
        </w:tc>
        <w:tc>
          <w:tcPr>
            <w:tcW w:w="8457" w:type="dxa"/>
            <w:tcBorders>
              <w:top w:val="nil"/>
              <w:left w:val="nil"/>
              <w:bottom w:val="nil"/>
              <w:right w:val="nil"/>
            </w:tcBorders>
            <w:shd w:val="clear" w:color="auto" w:fill="auto"/>
            <w:vAlign w:val="bottom"/>
            <w:hideMark/>
          </w:tcPr>
          <w:p w14:paraId="52E805FD" w14:textId="77777777" w:rsidR="00BE6461" w:rsidRPr="00BE6461" w:rsidRDefault="00BE6461" w:rsidP="00BE6461">
            <w:pPr>
              <w:rPr>
                <w:b/>
                <w:bCs/>
                <w:sz w:val="20"/>
                <w:szCs w:val="20"/>
              </w:rPr>
            </w:pPr>
            <w:r w:rsidRPr="00BE6461">
              <w:rPr>
                <w:b/>
                <w:bCs/>
                <w:sz w:val="20"/>
                <w:szCs w:val="20"/>
              </w:rPr>
              <w:t xml:space="preserve">Naknade troškova osobama izvan radnog odnosa                                                        </w:t>
            </w:r>
          </w:p>
        </w:tc>
        <w:tc>
          <w:tcPr>
            <w:tcW w:w="1503" w:type="dxa"/>
            <w:tcBorders>
              <w:top w:val="nil"/>
              <w:left w:val="nil"/>
              <w:bottom w:val="nil"/>
              <w:right w:val="nil"/>
            </w:tcBorders>
            <w:shd w:val="clear" w:color="auto" w:fill="auto"/>
            <w:noWrap/>
            <w:vAlign w:val="bottom"/>
            <w:hideMark/>
          </w:tcPr>
          <w:p w14:paraId="2A3A95E0" w14:textId="77777777" w:rsidR="00BE6461" w:rsidRPr="00BE6461" w:rsidRDefault="00BE6461" w:rsidP="00BE6461">
            <w:pPr>
              <w:jc w:val="right"/>
              <w:rPr>
                <w:b/>
                <w:bCs/>
                <w:sz w:val="20"/>
                <w:szCs w:val="20"/>
              </w:rPr>
            </w:pPr>
            <w:r w:rsidRPr="00BE6461">
              <w:rPr>
                <w:b/>
                <w:bCs/>
                <w:sz w:val="20"/>
                <w:szCs w:val="20"/>
              </w:rPr>
              <w:t>5.000,00</w:t>
            </w:r>
          </w:p>
        </w:tc>
        <w:tc>
          <w:tcPr>
            <w:tcW w:w="1500" w:type="dxa"/>
            <w:tcBorders>
              <w:top w:val="nil"/>
              <w:left w:val="nil"/>
              <w:bottom w:val="nil"/>
              <w:right w:val="nil"/>
            </w:tcBorders>
            <w:shd w:val="clear" w:color="auto" w:fill="auto"/>
            <w:noWrap/>
            <w:vAlign w:val="bottom"/>
            <w:hideMark/>
          </w:tcPr>
          <w:p w14:paraId="2494797C" w14:textId="77777777" w:rsidR="00BE6461" w:rsidRPr="00BE6461" w:rsidRDefault="00BE6461" w:rsidP="00BE6461">
            <w:pPr>
              <w:jc w:val="right"/>
              <w:rPr>
                <w:b/>
                <w:bCs/>
                <w:sz w:val="20"/>
                <w:szCs w:val="20"/>
              </w:rPr>
            </w:pPr>
            <w:r w:rsidRPr="00BE6461">
              <w:rPr>
                <w:b/>
                <w:bCs/>
                <w:sz w:val="20"/>
                <w:szCs w:val="20"/>
              </w:rPr>
              <w:t>3.665,00</w:t>
            </w:r>
          </w:p>
        </w:tc>
        <w:tc>
          <w:tcPr>
            <w:tcW w:w="1100" w:type="dxa"/>
            <w:tcBorders>
              <w:top w:val="nil"/>
              <w:left w:val="nil"/>
              <w:bottom w:val="nil"/>
              <w:right w:val="nil"/>
            </w:tcBorders>
            <w:shd w:val="clear" w:color="auto" w:fill="auto"/>
            <w:noWrap/>
            <w:vAlign w:val="bottom"/>
            <w:hideMark/>
          </w:tcPr>
          <w:p w14:paraId="6F054BFB" w14:textId="77777777" w:rsidR="00BE6461" w:rsidRPr="00BE6461" w:rsidRDefault="00BE6461" w:rsidP="00BE6461">
            <w:pPr>
              <w:jc w:val="right"/>
              <w:rPr>
                <w:b/>
                <w:bCs/>
                <w:sz w:val="20"/>
                <w:szCs w:val="20"/>
              </w:rPr>
            </w:pPr>
            <w:r w:rsidRPr="00BE6461">
              <w:rPr>
                <w:b/>
                <w:bCs/>
                <w:sz w:val="20"/>
                <w:szCs w:val="20"/>
              </w:rPr>
              <w:t>73,30</w:t>
            </w:r>
          </w:p>
        </w:tc>
      </w:tr>
      <w:tr w:rsidR="00BE6461" w:rsidRPr="00BE6461" w14:paraId="2B92348A" w14:textId="77777777" w:rsidTr="00BE6461">
        <w:trPr>
          <w:trHeight w:val="300"/>
        </w:trPr>
        <w:tc>
          <w:tcPr>
            <w:tcW w:w="1703" w:type="dxa"/>
            <w:tcBorders>
              <w:top w:val="nil"/>
              <w:left w:val="nil"/>
              <w:bottom w:val="nil"/>
              <w:right w:val="nil"/>
            </w:tcBorders>
            <w:shd w:val="clear" w:color="auto" w:fill="auto"/>
            <w:noWrap/>
            <w:vAlign w:val="bottom"/>
            <w:hideMark/>
          </w:tcPr>
          <w:p w14:paraId="076D9E10" w14:textId="77777777" w:rsidR="00BE6461" w:rsidRPr="00BE6461" w:rsidRDefault="00BE6461" w:rsidP="00BE6461">
            <w:pPr>
              <w:rPr>
                <w:sz w:val="20"/>
                <w:szCs w:val="20"/>
              </w:rPr>
            </w:pPr>
            <w:r w:rsidRPr="00BE6461">
              <w:rPr>
                <w:sz w:val="20"/>
                <w:szCs w:val="20"/>
              </w:rPr>
              <w:t>3241</w:t>
            </w:r>
          </w:p>
        </w:tc>
        <w:tc>
          <w:tcPr>
            <w:tcW w:w="8457" w:type="dxa"/>
            <w:tcBorders>
              <w:top w:val="nil"/>
              <w:left w:val="nil"/>
              <w:bottom w:val="nil"/>
              <w:right w:val="nil"/>
            </w:tcBorders>
            <w:shd w:val="clear" w:color="auto" w:fill="auto"/>
            <w:vAlign w:val="bottom"/>
            <w:hideMark/>
          </w:tcPr>
          <w:p w14:paraId="1355763A" w14:textId="77777777" w:rsidR="00BE6461" w:rsidRPr="00BE6461" w:rsidRDefault="00BE6461" w:rsidP="00BE6461">
            <w:pPr>
              <w:rPr>
                <w:sz w:val="20"/>
                <w:szCs w:val="20"/>
              </w:rPr>
            </w:pPr>
            <w:r w:rsidRPr="00BE6461">
              <w:rPr>
                <w:sz w:val="20"/>
                <w:szCs w:val="20"/>
              </w:rPr>
              <w:t xml:space="preserve">Naknade troškova osobama izvan radnog odnosa                                                        </w:t>
            </w:r>
          </w:p>
        </w:tc>
        <w:tc>
          <w:tcPr>
            <w:tcW w:w="1503" w:type="dxa"/>
            <w:tcBorders>
              <w:top w:val="nil"/>
              <w:left w:val="nil"/>
              <w:bottom w:val="nil"/>
              <w:right w:val="nil"/>
            </w:tcBorders>
            <w:shd w:val="clear" w:color="auto" w:fill="auto"/>
            <w:noWrap/>
            <w:vAlign w:val="bottom"/>
            <w:hideMark/>
          </w:tcPr>
          <w:p w14:paraId="50A53B3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DDD1334" w14:textId="77777777" w:rsidR="00BE6461" w:rsidRPr="00BE6461" w:rsidRDefault="00BE6461" w:rsidP="00BE6461">
            <w:pPr>
              <w:jc w:val="right"/>
              <w:rPr>
                <w:sz w:val="20"/>
                <w:szCs w:val="20"/>
              </w:rPr>
            </w:pPr>
            <w:r w:rsidRPr="00BE6461">
              <w:rPr>
                <w:sz w:val="20"/>
                <w:szCs w:val="20"/>
              </w:rPr>
              <w:t>3.665,00</w:t>
            </w:r>
          </w:p>
        </w:tc>
        <w:tc>
          <w:tcPr>
            <w:tcW w:w="1100" w:type="dxa"/>
            <w:tcBorders>
              <w:top w:val="nil"/>
              <w:left w:val="nil"/>
              <w:bottom w:val="nil"/>
              <w:right w:val="nil"/>
            </w:tcBorders>
            <w:shd w:val="clear" w:color="auto" w:fill="auto"/>
            <w:noWrap/>
            <w:vAlign w:val="bottom"/>
            <w:hideMark/>
          </w:tcPr>
          <w:p w14:paraId="55369F82" w14:textId="77777777" w:rsidR="00BE6461" w:rsidRPr="00BE6461" w:rsidRDefault="00BE6461" w:rsidP="00BE6461">
            <w:pPr>
              <w:jc w:val="right"/>
              <w:rPr>
                <w:sz w:val="20"/>
                <w:szCs w:val="20"/>
              </w:rPr>
            </w:pPr>
          </w:p>
        </w:tc>
      </w:tr>
      <w:tr w:rsidR="00BE6461" w:rsidRPr="00BE6461" w14:paraId="60476CBF" w14:textId="77777777" w:rsidTr="00BE6461">
        <w:trPr>
          <w:trHeight w:val="300"/>
        </w:trPr>
        <w:tc>
          <w:tcPr>
            <w:tcW w:w="1703" w:type="dxa"/>
            <w:tcBorders>
              <w:top w:val="nil"/>
              <w:left w:val="nil"/>
              <w:bottom w:val="nil"/>
              <w:right w:val="nil"/>
            </w:tcBorders>
            <w:shd w:val="clear" w:color="auto" w:fill="auto"/>
            <w:noWrap/>
            <w:vAlign w:val="bottom"/>
            <w:hideMark/>
          </w:tcPr>
          <w:p w14:paraId="22F664B5"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61822DAC"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5A1F08FB" w14:textId="77777777" w:rsidR="00BE6461" w:rsidRPr="00BE6461" w:rsidRDefault="00BE6461" w:rsidP="00BE6461">
            <w:pPr>
              <w:jc w:val="right"/>
              <w:rPr>
                <w:b/>
                <w:bCs/>
                <w:sz w:val="20"/>
                <w:szCs w:val="20"/>
              </w:rPr>
            </w:pPr>
            <w:r w:rsidRPr="00BE6461">
              <w:rPr>
                <w:b/>
                <w:bCs/>
                <w:sz w:val="20"/>
                <w:szCs w:val="20"/>
              </w:rPr>
              <w:t>16.500,00</w:t>
            </w:r>
          </w:p>
        </w:tc>
        <w:tc>
          <w:tcPr>
            <w:tcW w:w="1500" w:type="dxa"/>
            <w:tcBorders>
              <w:top w:val="nil"/>
              <w:left w:val="nil"/>
              <w:bottom w:val="nil"/>
              <w:right w:val="nil"/>
            </w:tcBorders>
            <w:shd w:val="clear" w:color="auto" w:fill="auto"/>
            <w:noWrap/>
            <w:vAlign w:val="bottom"/>
            <w:hideMark/>
          </w:tcPr>
          <w:p w14:paraId="73A87BCB" w14:textId="77777777" w:rsidR="00BE6461" w:rsidRPr="00BE6461" w:rsidRDefault="00BE6461" w:rsidP="00BE6461">
            <w:pPr>
              <w:jc w:val="right"/>
              <w:rPr>
                <w:b/>
                <w:bCs/>
                <w:sz w:val="20"/>
                <w:szCs w:val="20"/>
              </w:rPr>
            </w:pPr>
            <w:r w:rsidRPr="00BE6461">
              <w:rPr>
                <w:b/>
                <w:bCs/>
                <w:sz w:val="20"/>
                <w:szCs w:val="20"/>
              </w:rPr>
              <w:t>10.856,97</w:t>
            </w:r>
          </w:p>
        </w:tc>
        <w:tc>
          <w:tcPr>
            <w:tcW w:w="1100" w:type="dxa"/>
            <w:tcBorders>
              <w:top w:val="nil"/>
              <w:left w:val="nil"/>
              <w:bottom w:val="nil"/>
              <w:right w:val="nil"/>
            </w:tcBorders>
            <w:shd w:val="clear" w:color="auto" w:fill="auto"/>
            <w:noWrap/>
            <w:vAlign w:val="bottom"/>
            <w:hideMark/>
          </w:tcPr>
          <w:p w14:paraId="21A20931" w14:textId="77777777" w:rsidR="00BE6461" w:rsidRPr="00BE6461" w:rsidRDefault="00BE6461" w:rsidP="00BE6461">
            <w:pPr>
              <w:jc w:val="right"/>
              <w:rPr>
                <w:b/>
                <w:bCs/>
                <w:sz w:val="20"/>
                <w:szCs w:val="20"/>
              </w:rPr>
            </w:pPr>
            <w:r w:rsidRPr="00BE6461">
              <w:rPr>
                <w:b/>
                <w:bCs/>
                <w:sz w:val="20"/>
                <w:szCs w:val="20"/>
              </w:rPr>
              <w:t>65,80</w:t>
            </w:r>
          </w:p>
        </w:tc>
      </w:tr>
      <w:tr w:rsidR="00BE6461" w:rsidRPr="00BE6461" w14:paraId="7FB3C9DF" w14:textId="77777777" w:rsidTr="00BE6461">
        <w:trPr>
          <w:trHeight w:val="300"/>
        </w:trPr>
        <w:tc>
          <w:tcPr>
            <w:tcW w:w="1703" w:type="dxa"/>
            <w:tcBorders>
              <w:top w:val="nil"/>
              <w:left w:val="nil"/>
              <w:bottom w:val="nil"/>
              <w:right w:val="nil"/>
            </w:tcBorders>
            <w:shd w:val="clear" w:color="auto" w:fill="auto"/>
            <w:noWrap/>
            <w:vAlign w:val="bottom"/>
            <w:hideMark/>
          </w:tcPr>
          <w:p w14:paraId="2F23D453" w14:textId="77777777" w:rsidR="00BE6461" w:rsidRPr="00BE6461" w:rsidRDefault="00BE6461" w:rsidP="00BE6461">
            <w:pPr>
              <w:rPr>
                <w:sz w:val="20"/>
                <w:szCs w:val="20"/>
              </w:rPr>
            </w:pPr>
            <w:r w:rsidRPr="00BE6461">
              <w:rPr>
                <w:sz w:val="20"/>
                <w:szCs w:val="20"/>
              </w:rPr>
              <w:t>3293</w:t>
            </w:r>
          </w:p>
        </w:tc>
        <w:tc>
          <w:tcPr>
            <w:tcW w:w="8457" w:type="dxa"/>
            <w:tcBorders>
              <w:top w:val="nil"/>
              <w:left w:val="nil"/>
              <w:bottom w:val="nil"/>
              <w:right w:val="nil"/>
            </w:tcBorders>
            <w:shd w:val="clear" w:color="auto" w:fill="auto"/>
            <w:vAlign w:val="bottom"/>
            <w:hideMark/>
          </w:tcPr>
          <w:p w14:paraId="0C952E13" w14:textId="77777777" w:rsidR="00BE6461" w:rsidRPr="00BE6461" w:rsidRDefault="00BE6461" w:rsidP="00BE6461">
            <w:pPr>
              <w:rPr>
                <w:sz w:val="20"/>
                <w:szCs w:val="20"/>
              </w:rPr>
            </w:pPr>
            <w:r w:rsidRPr="00BE6461">
              <w:rPr>
                <w:sz w:val="20"/>
                <w:szCs w:val="20"/>
              </w:rPr>
              <w:t xml:space="preserve">Reprezentacija                                                                                      </w:t>
            </w:r>
          </w:p>
        </w:tc>
        <w:tc>
          <w:tcPr>
            <w:tcW w:w="1503" w:type="dxa"/>
            <w:tcBorders>
              <w:top w:val="nil"/>
              <w:left w:val="nil"/>
              <w:bottom w:val="nil"/>
              <w:right w:val="nil"/>
            </w:tcBorders>
            <w:shd w:val="clear" w:color="auto" w:fill="auto"/>
            <w:noWrap/>
            <w:vAlign w:val="bottom"/>
            <w:hideMark/>
          </w:tcPr>
          <w:p w14:paraId="5215520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6F919E2" w14:textId="77777777" w:rsidR="00BE6461" w:rsidRPr="00BE6461" w:rsidRDefault="00BE6461" w:rsidP="00BE6461">
            <w:pPr>
              <w:jc w:val="right"/>
              <w:rPr>
                <w:sz w:val="20"/>
                <w:szCs w:val="20"/>
              </w:rPr>
            </w:pPr>
            <w:r w:rsidRPr="00BE6461">
              <w:rPr>
                <w:sz w:val="20"/>
                <w:szCs w:val="20"/>
              </w:rPr>
              <w:t>10.472,55</w:t>
            </w:r>
          </w:p>
        </w:tc>
        <w:tc>
          <w:tcPr>
            <w:tcW w:w="1100" w:type="dxa"/>
            <w:tcBorders>
              <w:top w:val="nil"/>
              <w:left w:val="nil"/>
              <w:bottom w:val="nil"/>
              <w:right w:val="nil"/>
            </w:tcBorders>
            <w:shd w:val="clear" w:color="auto" w:fill="auto"/>
            <w:noWrap/>
            <w:vAlign w:val="bottom"/>
            <w:hideMark/>
          </w:tcPr>
          <w:p w14:paraId="6D62BB2E" w14:textId="77777777" w:rsidR="00BE6461" w:rsidRPr="00BE6461" w:rsidRDefault="00BE6461" w:rsidP="00BE6461">
            <w:pPr>
              <w:jc w:val="right"/>
              <w:rPr>
                <w:sz w:val="20"/>
                <w:szCs w:val="20"/>
              </w:rPr>
            </w:pPr>
          </w:p>
        </w:tc>
      </w:tr>
      <w:tr w:rsidR="00BE6461" w:rsidRPr="00BE6461" w14:paraId="334D5FAD" w14:textId="77777777" w:rsidTr="00BE6461">
        <w:trPr>
          <w:trHeight w:val="300"/>
        </w:trPr>
        <w:tc>
          <w:tcPr>
            <w:tcW w:w="1703" w:type="dxa"/>
            <w:tcBorders>
              <w:top w:val="nil"/>
              <w:left w:val="nil"/>
              <w:bottom w:val="nil"/>
              <w:right w:val="nil"/>
            </w:tcBorders>
            <w:shd w:val="clear" w:color="auto" w:fill="auto"/>
            <w:noWrap/>
            <w:vAlign w:val="bottom"/>
            <w:hideMark/>
          </w:tcPr>
          <w:p w14:paraId="2F545B16" w14:textId="77777777" w:rsidR="00BE6461" w:rsidRPr="00BE6461" w:rsidRDefault="00BE6461" w:rsidP="00BE6461">
            <w:pPr>
              <w:rPr>
                <w:sz w:val="20"/>
                <w:szCs w:val="20"/>
              </w:rPr>
            </w:pPr>
            <w:r w:rsidRPr="00BE6461">
              <w:rPr>
                <w:sz w:val="20"/>
                <w:szCs w:val="20"/>
              </w:rPr>
              <w:t>3299</w:t>
            </w:r>
          </w:p>
        </w:tc>
        <w:tc>
          <w:tcPr>
            <w:tcW w:w="8457" w:type="dxa"/>
            <w:tcBorders>
              <w:top w:val="nil"/>
              <w:left w:val="nil"/>
              <w:bottom w:val="nil"/>
              <w:right w:val="nil"/>
            </w:tcBorders>
            <w:shd w:val="clear" w:color="auto" w:fill="auto"/>
            <w:vAlign w:val="bottom"/>
            <w:hideMark/>
          </w:tcPr>
          <w:p w14:paraId="52372432" w14:textId="77777777" w:rsidR="00BE6461" w:rsidRPr="00BE6461" w:rsidRDefault="00BE6461" w:rsidP="00BE6461">
            <w:pPr>
              <w:rPr>
                <w:sz w:val="20"/>
                <w:szCs w:val="20"/>
              </w:rPr>
            </w:pPr>
            <w:r w:rsidRPr="00BE6461">
              <w:rPr>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28747DC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8097563" w14:textId="77777777" w:rsidR="00BE6461" w:rsidRPr="00BE6461" w:rsidRDefault="00BE6461" w:rsidP="00BE6461">
            <w:pPr>
              <w:jc w:val="right"/>
              <w:rPr>
                <w:sz w:val="20"/>
                <w:szCs w:val="20"/>
              </w:rPr>
            </w:pPr>
            <w:r w:rsidRPr="00BE6461">
              <w:rPr>
                <w:sz w:val="20"/>
                <w:szCs w:val="20"/>
              </w:rPr>
              <w:t>384,42</w:t>
            </w:r>
          </w:p>
        </w:tc>
        <w:tc>
          <w:tcPr>
            <w:tcW w:w="1100" w:type="dxa"/>
            <w:tcBorders>
              <w:top w:val="nil"/>
              <w:left w:val="nil"/>
              <w:bottom w:val="nil"/>
              <w:right w:val="nil"/>
            </w:tcBorders>
            <w:shd w:val="clear" w:color="auto" w:fill="auto"/>
            <w:noWrap/>
            <w:vAlign w:val="bottom"/>
            <w:hideMark/>
          </w:tcPr>
          <w:p w14:paraId="3DE91EBF" w14:textId="77777777" w:rsidR="00BE6461" w:rsidRPr="00BE6461" w:rsidRDefault="00BE6461" w:rsidP="00BE6461">
            <w:pPr>
              <w:jc w:val="right"/>
              <w:rPr>
                <w:sz w:val="20"/>
                <w:szCs w:val="20"/>
              </w:rPr>
            </w:pPr>
          </w:p>
        </w:tc>
      </w:tr>
      <w:tr w:rsidR="00BE6461" w:rsidRPr="00BE6461" w14:paraId="53BD52A4"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A5C44F8" w14:textId="77777777" w:rsidR="00BE6461" w:rsidRPr="00BE6461" w:rsidRDefault="00BE6461" w:rsidP="00BE6461">
            <w:pPr>
              <w:rPr>
                <w:b/>
                <w:bCs/>
                <w:color w:val="333333"/>
                <w:sz w:val="20"/>
                <w:szCs w:val="20"/>
              </w:rPr>
            </w:pPr>
            <w:r w:rsidRPr="00BE6461">
              <w:rPr>
                <w:b/>
                <w:bCs/>
                <w:color w:val="333333"/>
                <w:sz w:val="20"/>
                <w:szCs w:val="20"/>
              </w:rPr>
              <w:t>Izvor 3. VLASTITI PRIHODI</w:t>
            </w:r>
          </w:p>
        </w:tc>
        <w:tc>
          <w:tcPr>
            <w:tcW w:w="1503" w:type="dxa"/>
            <w:tcBorders>
              <w:top w:val="nil"/>
              <w:left w:val="nil"/>
              <w:bottom w:val="nil"/>
              <w:right w:val="nil"/>
            </w:tcBorders>
            <w:shd w:val="clear" w:color="auto" w:fill="auto"/>
            <w:noWrap/>
            <w:vAlign w:val="bottom"/>
            <w:hideMark/>
          </w:tcPr>
          <w:p w14:paraId="00CE9EC3" w14:textId="77777777" w:rsidR="00BE6461" w:rsidRPr="00BE6461" w:rsidRDefault="00BE6461" w:rsidP="00BE6461">
            <w:pPr>
              <w:jc w:val="right"/>
              <w:rPr>
                <w:b/>
                <w:bCs/>
                <w:color w:val="333333"/>
                <w:sz w:val="20"/>
                <w:szCs w:val="20"/>
              </w:rPr>
            </w:pPr>
            <w:r w:rsidRPr="00BE6461">
              <w:rPr>
                <w:b/>
                <w:bCs/>
                <w:color w:val="333333"/>
                <w:sz w:val="20"/>
                <w:szCs w:val="20"/>
              </w:rPr>
              <w:t>10.000,00</w:t>
            </w:r>
          </w:p>
        </w:tc>
        <w:tc>
          <w:tcPr>
            <w:tcW w:w="1500" w:type="dxa"/>
            <w:tcBorders>
              <w:top w:val="nil"/>
              <w:left w:val="nil"/>
              <w:bottom w:val="nil"/>
              <w:right w:val="nil"/>
            </w:tcBorders>
            <w:shd w:val="clear" w:color="auto" w:fill="auto"/>
            <w:noWrap/>
            <w:vAlign w:val="bottom"/>
            <w:hideMark/>
          </w:tcPr>
          <w:p w14:paraId="11AD48F4" w14:textId="77777777" w:rsidR="00BE6461" w:rsidRPr="00BE6461" w:rsidRDefault="00BE6461" w:rsidP="00BE6461">
            <w:pPr>
              <w:jc w:val="right"/>
              <w:rPr>
                <w:b/>
                <w:bCs/>
                <w:color w:val="333333"/>
                <w:sz w:val="20"/>
                <w:szCs w:val="20"/>
              </w:rPr>
            </w:pPr>
            <w:r w:rsidRPr="00BE6461">
              <w:rPr>
                <w:b/>
                <w:bCs/>
                <w:color w:val="333333"/>
                <w:sz w:val="20"/>
                <w:szCs w:val="20"/>
              </w:rPr>
              <w:t>4.008,22</w:t>
            </w:r>
          </w:p>
        </w:tc>
        <w:tc>
          <w:tcPr>
            <w:tcW w:w="1100" w:type="dxa"/>
            <w:tcBorders>
              <w:top w:val="nil"/>
              <w:left w:val="nil"/>
              <w:bottom w:val="nil"/>
              <w:right w:val="nil"/>
            </w:tcBorders>
            <w:shd w:val="clear" w:color="auto" w:fill="auto"/>
            <w:noWrap/>
            <w:vAlign w:val="bottom"/>
            <w:hideMark/>
          </w:tcPr>
          <w:p w14:paraId="3FD46F44" w14:textId="77777777" w:rsidR="00BE6461" w:rsidRPr="00BE6461" w:rsidRDefault="00BE6461" w:rsidP="00BE6461">
            <w:pPr>
              <w:jc w:val="right"/>
              <w:rPr>
                <w:b/>
                <w:bCs/>
                <w:color w:val="333333"/>
                <w:sz w:val="20"/>
                <w:szCs w:val="20"/>
              </w:rPr>
            </w:pPr>
            <w:r w:rsidRPr="00BE6461">
              <w:rPr>
                <w:b/>
                <w:bCs/>
                <w:color w:val="333333"/>
                <w:sz w:val="20"/>
                <w:szCs w:val="20"/>
              </w:rPr>
              <w:t>40,08</w:t>
            </w:r>
          </w:p>
        </w:tc>
      </w:tr>
      <w:tr w:rsidR="00BE6461" w:rsidRPr="00BE6461" w14:paraId="2A68301E"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11831F3" w14:textId="77777777" w:rsidR="00BE6461" w:rsidRPr="00BE6461" w:rsidRDefault="00BE6461" w:rsidP="00BE6461">
            <w:pPr>
              <w:rPr>
                <w:b/>
                <w:bCs/>
                <w:color w:val="333333"/>
                <w:sz w:val="20"/>
                <w:szCs w:val="20"/>
              </w:rPr>
            </w:pPr>
            <w:r w:rsidRPr="00BE6461">
              <w:rPr>
                <w:b/>
                <w:bCs/>
                <w:color w:val="333333"/>
                <w:sz w:val="20"/>
                <w:szCs w:val="20"/>
              </w:rPr>
              <w:t>Izvor 3.2. VLASTITI PRIHODI - PRORAČUNSKI KORISNICI</w:t>
            </w:r>
          </w:p>
        </w:tc>
        <w:tc>
          <w:tcPr>
            <w:tcW w:w="1503" w:type="dxa"/>
            <w:tcBorders>
              <w:top w:val="nil"/>
              <w:left w:val="nil"/>
              <w:bottom w:val="nil"/>
              <w:right w:val="nil"/>
            </w:tcBorders>
            <w:shd w:val="clear" w:color="auto" w:fill="auto"/>
            <w:noWrap/>
            <w:vAlign w:val="bottom"/>
            <w:hideMark/>
          </w:tcPr>
          <w:p w14:paraId="3840FEFC" w14:textId="77777777" w:rsidR="00BE6461" w:rsidRPr="00BE6461" w:rsidRDefault="00BE6461" w:rsidP="00BE6461">
            <w:pPr>
              <w:jc w:val="right"/>
              <w:rPr>
                <w:b/>
                <w:bCs/>
                <w:color w:val="333333"/>
                <w:sz w:val="20"/>
                <w:szCs w:val="20"/>
              </w:rPr>
            </w:pPr>
            <w:r w:rsidRPr="00BE6461">
              <w:rPr>
                <w:b/>
                <w:bCs/>
                <w:color w:val="333333"/>
                <w:sz w:val="20"/>
                <w:szCs w:val="20"/>
              </w:rPr>
              <w:t>10.000,00</w:t>
            </w:r>
          </w:p>
        </w:tc>
        <w:tc>
          <w:tcPr>
            <w:tcW w:w="1500" w:type="dxa"/>
            <w:tcBorders>
              <w:top w:val="nil"/>
              <w:left w:val="nil"/>
              <w:bottom w:val="nil"/>
              <w:right w:val="nil"/>
            </w:tcBorders>
            <w:shd w:val="clear" w:color="auto" w:fill="auto"/>
            <w:noWrap/>
            <w:vAlign w:val="bottom"/>
            <w:hideMark/>
          </w:tcPr>
          <w:p w14:paraId="3082DCDE" w14:textId="77777777" w:rsidR="00BE6461" w:rsidRPr="00BE6461" w:rsidRDefault="00BE6461" w:rsidP="00BE6461">
            <w:pPr>
              <w:jc w:val="right"/>
              <w:rPr>
                <w:b/>
                <w:bCs/>
                <w:color w:val="333333"/>
                <w:sz w:val="20"/>
                <w:szCs w:val="20"/>
              </w:rPr>
            </w:pPr>
            <w:r w:rsidRPr="00BE6461">
              <w:rPr>
                <w:b/>
                <w:bCs/>
                <w:color w:val="333333"/>
                <w:sz w:val="20"/>
                <w:szCs w:val="20"/>
              </w:rPr>
              <w:t>4.008,22</w:t>
            </w:r>
          </w:p>
        </w:tc>
        <w:tc>
          <w:tcPr>
            <w:tcW w:w="1100" w:type="dxa"/>
            <w:tcBorders>
              <w:top w:val="nil"/>
              <w:left w:val="nil"/>
              <w:bottom w:val="nil"/>
              <w:right w:val="nil"/>
            </w:tcBorders>
            <w:shd w:val="clear" w:color="auto" w:fill="auto"/>
            <w:noWrap/>
            <w:vAlign w:val="bottom"/>
            <w:hideMark/>
          </w:tcPr>
          <w:p w14:paraId="276009E4" w14:textId="77777777" w:rsidR="00BE6461" w:rsidRPr="00BE6461" w:rsidRDefault="00BE6461" w:rsidP="00BE6461">
            <w:pPr>
              <w:jc w:val="right"/>
              <w:rPr>
                <w:b/>
                <w:bCs/>
                <w:color w:val="333333"/>
                <w:sz w:val="20"/>
                <w:szCs w:val="20"/>
              </w:rPr>
            </w:pPr>
            <w:r w:rsidRPr="00BE6461">
              <w:rPr>
                <w:b/>
                <w:bCs/>
                <w:color w:val="333333"/>
                <w:sz w:val="20"/>
                <w:szCs w:val="20"/>
              </w:rPr>
              <w:t>40,08</w:t>
            </w:r>
          </w:p>
        </w:tc>
      </w:tr>
      <w:tr w:rsidR="00BE6461" w:rsidRPr="00BE6461" w14:paraId="2315F518" w14:textId="77777777" w:rsidTr="00BE6461">
        <w:trPr>
          <w:trHeight w:val="300"/>
        </w:trPr>
        <w:tc>
          <w:tcPr>
            <w:tcW w:w="1703" w:type="dxa"/>
            <w:tcBorders>
              <w:top w:val="nil"/>
              <w:left w:val="nil"/>
              <w:bottom w:val="nil"/>
              <w:right w:val="nil"/>
            </w:tcBorders>
            <w:shd w:val="clear" w:color="auto" w:fill="auto"/>
            <w:noWrap/>
            <w:vAlign w:val="bottom"/>
            <w:hideMark/>
          </w:tcPr>
          <w:p w14:paraId="7A0AC2E4" w14:textId="77777777" w:rsidR="00BE6461" w:rsidRPr="00BE6461" w:rsidRDefault="00BE6461" w:rsidP="00BE6461">
            <w:pPr>
              <w:rPr>
                <w:b/>
                <w:bCs/>
                <w:sz w:val="20"/>
                <w:szCs w:val="20"/>
              </w:rPr>
            </w:pPr>
            <w:r w:rsidRPr="00BE6461">
              <w:rPr>
                <w:b/>
                <w:bCs/>
                <w:sz w:val="20"/>
                <w:szCs w:val="20"/>
              </w:rPr>
              <w:lastRenderedPageBreak/>
              <w:t>323</w:t>
            </w:r>
          </w:p>
        </w:tc>
        <w:tc>
          <w:tcPr>
            <w:tcW w:w="8457" w:type="dxa"/>
            <w:tcBorders>
              <w:top w:val="nil"/>
              <w:left w:val="nil"/>
              <w:bottom w:val="nil"/>
              <w:right w:val="nil"/>
            </w:tcBorders>
            <w:shd w:val="clear" w:color="auto" w:fill="auto"/>
            <w:vAlign w:val="bottom"/>
            <w:hideMark/>
          </w:tcPr>
          <w:p w14:paraId="09E3966C"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7B0E6ECB" w14:textId="77777777" w:rsidR="00BE6461" w:rsidRPr="00BE6461" w:rsidRDefault="00BE6461" w:rsidP="00BE6461">
            <w:pPr>
              <w:jc w:val="right"/>
              <w:rPr>
                <w:b/>
                <w:bCs/>
                <w:sz w:val="20"/>
                <w:szCs w:val="20"/>
              </w:rPr>
            </w:pPr>
            <w:r w:rsidRPr="00BE6461">
              <w:rPr>
                <w:b/>
                <w:bCs/>
                <w:sz w:val="20"/>
                <w:szCs w:val="20"/>
              </w:rPr>
              <w:t>10.000,00</w:t>
            </w:r>
          </w:p>
        </w:tc>
        <w:tc>
          <w:tcPr>
            <w:tcW w:w="1500" w:type="dxa"/>
            <w:tcBorders>
              <w:top w:val="nil"/>
              <w:left w:val="nil"/>
              <w:bottom w:val="nil"/>
              <w:right w:val="nil"/>
            </w:tcBorders>
            <w:shd w:val="clear" w:color="auto" w:fill="auto"/>
            <w:noWrap/>
            <w:vAlign w:val="bottom"/>
            <w:hideMark/>
          </w:tcPr>
          <w:p w14:paraId="73BD5F79" w14:textId="77777777" w:rsidR="00BE6461" w:rsidRPr="00BE6461" w:rsidRDefault="00BE6461" w:rsidP="00BE6461">
            <w:pPr>
              <w:jc w:val="right"/>
              <w:rPr>
                <w:b/>
                <w:bCs/>
                <w:sz w:val="20"/>
                <w:szCs w:val="20"/>
              </w:rPr>
            </w:pPr>
            <w:r w:rsidRPr="00BE6461">
              <w:rPr>
                <w:b/>
                <w:bCs/>
                <w:sz w:val="20"/>
                <w:szCs w:val="20"/>
              </w:rPr>
              <w:t>4.008,22</w:t>
            </w:r>
          </w:p>
        </w:tc>
        <w:tc>
          <w:tcPr>
            <w:tcW w:w="1100" w:type="dxa"/>
            <w:tcBorders>
              <w:top w:val="nil"/>
              <w:left w:val="nil"/>
              <w:bottom w:val="nil"/>
              <w:right w:val="nil"/>
            </w:tcBorders>
            <w:shd w:val="clear" w:color="auto" w:fill="auto"/>
            <w:noWrap/>
            <w:vAlign w:val="bottom"/>
            <w:hideMark/>
          </w:tcPr>
          <w:p w14:paraId="43049D5E" w14:textId="77777777" w:rsidR="00BE6461" w:rsidRPr="00BE6461" w:rsidRDefault="00BE6461" w:rsidP="00BE6461">
            <w:pPr>
              <w:jc w:val="right"/>
              <w:rPr>
                <w:b/>
                <w:bCs/>
                <w:sz w:val="20"/>
                <w:szCs w:val="20"/>
              </w:rPr>
            </w:pPr>
            <w:r w:rsidRPr="00BE6461">
              <w:rPr>
                <w:b/>
                <w:bCs/>
                <w:sz w:val="20"/>
                <w:szCs w:val="20"/>
              </w:rPr>
              <w:t>40,08</w:t>
            </w:r>
          </w:p>
        </w:tc>
      </w:tr>
      <w:tr w:rsidR="00BE6461" w:rsidRPr="00BE6461" w14:paraId="6A7FE0EB" w14:textId="77777777" w:rsidTr="00BE6461">
        <w:trPr>
          <w:trHeight w:val="300"/>
        </w:trPr>
        <w:tc>
          <w:tcPr>
            <w:tcW w:w="1703" w:type="dxa"/>
            <w:tcBorders>
              <w:top w:val="nil"/>
              <w:left w:val="nil"/>
              <w:bottom w:val="nil"/>
              <w:right w:val="nil"/>
            </w:tcBorders>
            <w:shd w:val="clear" w:color="auto" w:fill="auto"/>
            <w:noWrap/>
            <w:vAlign w:val="bottom"/>
            <w:hideMark/>
          </w:tcPr>
          <w:p w14:paraId="1C685A4F" w14:textId="77777777" w:rsidR="00BE6461" w:rsidRPr="00BE6461" w:rsidRDefault="00BE6461" w:rsidP="00BE6461">
            <w:pPr>
              <w:rPr>
                <w:sz w:val="20"/>
                <w:szCs w:val="20"/>
              </w:rPr>
            </w:pPr>
            <w:r w:rsidRPr="00BE6461">
              <w:rPr>
                <w:sz w:val="20"/>
                <w:szCs w:val="20"/>
              </w:rPr>
              <w:t>3235</w:t>
            </w:r>
          </w:p>
        </w:tc>
        <w:tc>
          <w:tcPr>
            <w:tcW w:w="8457" w:type="dxa"/>
            <w:tcBorders>
              <w:top w:val="nil"/>
              <w:left w:val="nil"/>
              <w:bottom w:val="nil"/>
              <w:right w:val="nil"/>
            </w:tcBorders>
            <w:shd w:val="clear" w:color="auto" w:fill="auto"/>
            <w:vAlign w:val="bottom"/>
            <w:hideMark/>
          </w:tcPr>
          <w:p w14:paraId="6A5D5234" w14:textId="77777777" w:rsidR="00BE6461" w:rsidRPr="00BE6461" w:rsidRDefault="00BE6461" w:rsidP="00BE6461">
            <w:pPr>
              <w:rPr>
                <w:sz w:val="20"/>
                <w:szCs w:val="20"/>
              </w:rPr>
            </w:pPr>
            <w:r w:rsidRPr="00BE6461">
              <w:rPr>
                <w:sz w:val="20"/>
                <w:szCs w:val="20"/>
              </w:rPr>
              <w:t xml:space="preserve">Zakupnine i najamnine                                                                               </w:t>
            </w:r>
          </w:p>
        </w:tc>
        <w:tc>
          <w:tcPr>
            <w:tcW w:w="1503" w:type="dxa"/>
            <w:tcBorders>
              <w:top w:val="nil"/>
              <w:left w:val="nil"/>
              <w:bottom w:val="nil"/>
              <w:right w:val="nil"/>
            </w:tcBorders>
            <w:shd w:val="clear" w:color="auto" w:fill="auto"/>
            <w:noWrap/>
            <w:vAlign w:val="bottom"/>
            <w:hideMark/>
          </w:tcPr>
          <w:p w14:paraId="19277600"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9E6A110" w14:textId="77777777" w:rsidR="00BE6461" w:rsidRPr="00BE6461" w:rsidRDefault="00BE6461" w:rsidP="00BE6461">
            <w:pPr>
              <w:jc w:val="right"/>
              <w:rPr>
                <w:sz w:val="20"/>
                <w:szCs w:val="20"/>
              </w:rPr>
            </w:pPr>
            <w:r w:rsidRPr="00BE6461">
              <w:rPr>
                <w:sz w:val="20"/>
                <w:szCs w:val="20"/>
              </w:rPr>
              <w:t>3.925,00</w:t>
            </w:r>
          </w:p>
        </w:tc>
        <w:tc>
          <w:tcPr>
            <w:tcW w:w="1100" w:type="dxa"/>
            <w:tcBorders>
              <w:top w:val="nil"/>
              <w:left w:val="nil"/>
              <w:bottom w:val="nil"/>
              <w:right w:val="nil"/>
            </w:tcBorders>
            <w:shd w:val="clear" w:color="auto" w:fill="auto"/>
            <w:noWrap/>
            <w:vAlign w:val="bottom"/>
            <w:hideMark/>
          </w:tcPr>
          <w:p w14:paraId="3FBDAC18" w14:textId="77777777" w:rsidR="00BE6461" w:rsidRPr="00BE6461" w:rsidRDefault="00BE6461" w:rsidP="00BE6461">
            <w:pPr>
              <w:jc w:val="right"/>
              <w:rPr>
                <w:sz w:val="20"/>
                <w:szCs w:val="20"/>
              </w:rPr>
            </w:pPr>
          </w:p>
        </w:tc>
      </w:tr>
      <w:tr w:rsidR="00BE6461" w:rsidRPr="00BE6461" w14:paraId="67AFE819" w14:textId="77777777" w:rsidTr="00BE6461">
        <w:trPr>
          <w:trHeight w:val="300"/>
        </w:trPr>
        <w:tc>
          <w:tcPr>
            <w:tcW w:w="1703" w:type="dxa"/>
            <w:tcBorders>
              <w:top w:val="nil"/>
              <w:left w:val="nil"/>
              <w:bottom w:val="nil"/>
              <w:right w:val="nil"/>
            </w:tcBorders>
            <w:shd w:val="clear" w:color="auto" w:fill="auto"/>
            <w:noWrap/>
            <w:vAlign w:val="bottom"/>
            <w:hideMark/>
          </w:tcPr>
          <w:p w14:paraId="46E48D29"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4908260D"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58A8977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6C87D49"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647B426B" w14:textId="77777777" w:rsidR="00BE6461" w:rsidRPr="00BE6461" w:rsidRDefault="00BE6461" w:rsidP="00BE6461">
            <w:pPr>
              <w:jc w:val="right"/>
              <w:rPr>
                <w:sz w:val="20"/>
                <w:szCs w:val="20"/>
              </w:rPr>
            </w:pPr>
          </w:p>
        </w:tc>
      </w:tr>
      <w:tr w:rsidR="00BE6461" w:rsidRPr="00BE6461" w14:paraId="76338DA5" w14:textId="77777777" w:rsidTr="00BE6461">
        <w:trPr>
          <w:trHeight w:val="300"/>
        </w:trPr>
        <w:tc>
          <w:tcPr>
            <w:tcW w:w="1703" w:type="dxa"/>
            <w:tcBorders>
              <w:top w:val="nil"/>
              <w:left w:val="nil"/>
              <w:bottom w:val="nil"/>
              <w:right w:val="nil"/>
            </w:tcBorders>
            <w:shd w:val="clear" w:color="auto" w:fill="auto"/>
            <w:noWrap/>
            <w:vAlign w:val="bottom"/>
            <w:hideMark/>
          </w:tcPr>
          <w:p w14:paraId="6267F021" w14:textId="77777777" w:rsidR="00BE6461" w:rsidRPr="00BE6461" w:rsidRDefault="00BE6461" w:rsidP="00BE6461">
            <w:pPr>
              <w:rPr>
                <w:sz w:val="20"/>
                <w:szCs w:val="20"/>
              </w:rPr>
            </w:pPr>
            <w:r w:rsidRPr="00BE6461">
              <w:rPr>
                <w:sz w:val="20"/>
                <w:szCs w:val="20"/>
              </w:rPr>
              <w:t>3239</w:t>
            </w:r>
          </w:p>
        </w:tc>
        <w:tc>
          <w:tcPr>
            <w:tcW w:w="8457" w:type="dxa"/>
            <w:tcBorders>
              <w:top w:val="nil"/>
              <w:left w:val="nil"/>
              <w:bottom w:val="nil"/>
              <w:right w:val="nil"/>
            </w:tcBorders>
            <w:shd w:val="clear" w:color="auto" w:fill="auto"/>
            <w:vAlign w:val="bottom"/>
            <w:hideMark/>
          </w:tcPr>
          <w:p w14:paraId="48741527" w14:textId="77777777" w:rsidR="00BE6461" w:rsidRPr="00BE6461" w:rsidRDefault="00BE6461" w:rsidP="00BE6461">
            <w:pPr>
              <w:rPr>
                <w:sz w:val="20"/>
                <w:szCs w:val="20"/>
              </w:rPr>
            </w:pPr>
            <w:r w:rsidRPr="00BE6461">
              <w:rPr>
                <w:sz w:val="20"/>
                <w:szCs w:val="20"/>
              </w:rPr>
              <w:t xml:space="preserve">Ostale usluge                                                                                       </w:t>
            </w:r>
          </w:p>
        </w:tc>
        <w:tc>
          <w:tcPr>
            <w:tcW w:w="1503" w:type="dxa"/>
            <w:tcBorders>
              <w:top w:val="nil"/>
              <w:left w:val="nil"/>
              <w:bottom w:val="nil"/>
              <w:right w:val="nil"/>
            </w:tcBorders>
            <w:shd w:val="clear" w:color="auto" w:fill="auto"/>
            <w:noWrap/>
            <w:vAlign w:val="bottom"/>
            <w:hideMark/>
          </w:tcPr>
          <w:p w14:paraId="285C59F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9F4995E" w14:textId="77777777" w:rsidR="00BE6461" w:rsidRPr="00BE6461" w:rsidRDefault="00BE6461" w:rsidP="00BE6461">
            <w:pPr>
              <w:jc w:val="right"/>
              <w:rPr>
                <w:sz w:val="20"/>
                <w:szCs w:val="20"/>
              </w:rPr>
            </w:pPr>
            <w:r w:rsidRPr="00BE6461">
              <w:rPr>
                <w:sz w:val="20"/>
                <w:szCs w:val="20"/>
              </w:rPr>
              <w:t>83,22</w:t>
            </w:r>
          </w:p>
        </w:tc>
        <w:tc>
          <w:tcPr>
            <w:tcW w:w="1100" w:type="dxa"/>
            <w:tcBorders>
              <w:top w:val="nil"/>
              <w:left w:val="nil"/>
              <w:bottom w:val="nil"/>
              <w:right w:val="nil"/>
            </w:tcBorders>
            <w:shd w:val="clear" w:color="auto" w:fill="auto"/>
            <w:noWrap/>
            <w:vAlign w:val="bottom"/>
            <w:hideMark/>
          </w:tcPr>
          <w:p w14:paraId="37ACAB47" w14:textId="77777777" w:rsidR="00BE6461" w:rsidRPr="00BE6461" w:rsidRDefault="00BE6461" w:rsidP="00BE6461">
            <w:pPr>
              <w:jc w:val="right"/>
              <w:rPr>
                <w:sz w:val="20"/>
                <w:szCs w:val="20"/>
              </w:rPr>
            </w:pPr>
          </w:p>
        </w:tc>
      </w:tr>
      <w:tr w:rsidR="00BE6461" w:rsidRPr="00BE6461" w14:paraId="40FB4A19"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2CDDE64"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1ED96817" w14:textId="77777777" w:rsidR="00BE6461" w:rsidRPr="00BE6461" w:rsidRDefault="00BE6461" w:rsidP="00BE6461">
            <w:pPr>
              <w:jc w:val="right"/>
              <w:rPr>
                <w:b/>
                <w:bCs/>
                <w:color w:val="333333"/>
                <w:sz w:val="20"/>
                <w:szCs w:val="20"/>
              </w:rPr>
            </w:pPr>
            <w:r w:rsidRPr="00BE6461">
              <w:rPr>
                <w:b/>
                <w:bCs/>
                <w:color w:val="333333"/>
                <w:sz w:val="20"/>
                <w:szCs w:val="20"/>
              </w:rPr>
              <w:t>5.000,00</w:t>
            </w:r>
          </w:p>
        </w:tc>
        <w:tc>
          <w:tcPr>
            <w:tcW w:w="1500" w:type="dxa"/>
            <w:tcBorders>
              <w:top w:val="nil"/>
              <w:left w:val="nil"/>
              <w:bottom w:val="nil"/>
              <w:right w:val="nil"/>
            </w:tcBorders>
            <w:shd w:val="clear" w:color="auto" w:fill="auto"/>
            <w:noWrap/>
            <w:vAlign w:val="bottom"/>
            <w:hideMark/>
          </w:tcPr>
          <w:p w14:paraId="157AF1F5"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100" w:type="dxa"/>
            <w:tcBorders>
              <w:top w:val="nil"/>
              <w:left w:val="nil"/>
              <w:bottom w:val="nil"/>
              <w:right w:val="nil"/>
            </w:tcBorders>
            <w:shd w:val="clear" w:color="auto" w:fill="auto"/>
            <w:noWrap/>
            <w:vAlign w:val="bottom"/>
            <w:hideMark/>
          </w:tcPr>
          <w:p w14:paraId="28A0EEF1"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344891A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35683EB" w14:textId="77777777" w:rsidR="00BE6461" w:rsidRPr="00BE6461" w:rsidRDefault="00BE6461" w:rsidP="00BE6461">
            <w:pPr>
              <w:rPr>
                <w:b/>
                <w:bCs/>
                <w:color w:val="333333"/>
                <w:sz w:val="20"/>
                <w:szCs w:val="20"/>
              </w:rPr>
            </w:pPr>
            <w:r w:rsidRPr="00BE6461">
              <w:rPr>
                <w:b/>
                <w:bCs/>
                <w:color w:val="333333"/>
                <w:sz w:val="20"/>
                <w:szCs w:val="20"/>
              </w:rPr>
              <w:t>Izvor 4.7. PRIHODI POSEBNE NAMJENE - PRORAČUNSKI KORISNICI</w:t>
            </w:r>
          </w:p>
        </w:tc>
        <w:tc>
          <w:tcPr>
            <w:tcW w:w="1503" w:type="dxa"/>
            <w:tcBorders>
              <w:top w:val="nil"/>
              <w:left w:val="nil"/>
              <w:bottom w:val="nil"/>
              <w:right w:val="nil"/>
            </w:tcBorders>
            <w:shd w:val="clear" w:color="auto" w:fill="auto"/>
            <w:noWrap/>
            <w:vAlign w:val="bottom"/>
            <w:hideMark/>
          </w:tcPr>
          <w:p w14:paraId="290F71E4" w14:textId="77777777" w:rsidR="00BE6461" w:rsidRPr="00BE6461" w:rsidRDefault="00BE6461" w:rsidP="00BE6461">
            <w:pPr>
              <w:jc w:val="right"/>
              <w:rPr>
                <w:b/>
                <w:bCs/>
                <w:color w:val="333333"/>
                <w:sz w:val="20"/>
                <w:szCs w:val="20"/>
              </w:rPr>
            </w:pPr>
            <w:r w:rsidRPr="00BE6461">
              <w:rPr>
                <w:b/>
                <w:bCs/>
                <w:color w:val="333333"/>
                <w:sz w:val="20"/>
                <w:szCs w:val="20"/>
              </w:rPr>
              <w:t>5.000,00</w:t>
            </w:r>
          </w:p>
        </w:tc>
        <w:tc>
          <w:tcPr>
            <w:tcW w:w="1500" w:type="dxa"/>
            <w:tcBorders>
              <w:top w:val="nil"/>
              <w:left w:val="nil"/>
              <w:bottom w:val="nil"/>
              <w:right w:val="nil"/>
            </w:tcBorders>
            <w:shd w:val="clear" w:color="auto" w:fill="auto"/>
            <w:noWrap/>
            <w:vAlign w:val="bottom"/>
            <w:hideMark/>
          </w:tcPr>
          <w:p w14:paraId="5090EF0D"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100" w:type="dxa"/>
            <w:tcBorders>
              <w:top w:val="nil"/>
              <w:left w:val="nil"/>
              <w:bottom w:val="nil"/>
              <w:right w:val="nil"/>
            </w:tcBorders>
            <w:shd w:val="clear" w:color="auto" w:fill="auto"/>
            <w:noWrap/>
            <w:vAlign w:val="bottom"/>
            <w:hideMark/>
          </w:tcPr>
          <w:p w14:paraId="632F9A8A"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61FB725E" w14:textId="77777777" w:rsidTr="00BE6461">
        <w:trPr>
          <w:trHeight w:val="300"/>
        </w:trPr>
        <w:tc>
          <w:tcPr>
            <w:tcW w:w="1703" w:type="dxa"/>
            <w:tcBorders>
              <w:top w:val="nil"/>
              <w:left w:val="nil"/>
              <w:bottom w:val="nil"/>
              <w:right w:val="nil"/>
            </w:tcBorders>
            <w:shd w:val="clear" w:color="auto" w:fill="auto"/>
            <w:noWrap/>
            <w:vAlign w:val="bottom"/>
            <w:hideMark/>
          </w:tcPr>
          <w:p w14:paraId="5F086E43"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617ADBD3"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4150258A" w14:textId="77777777" w:rsidR="00BE6461" w:rsidRPr="00BE6461" w:rsidRDefault="00BE6461" w:rsidP="00BE6461">
            <w:pPr>
              <w:jc w:val="right"/>
              <w:rPr>
                <w:b/>
                <w:bCs/>
                <w:sz w:val="20"/>
                <w:szCs w:val="20"/>
              </w:rPr>
            </w:pPr>
            <w:r w:rsidRPr="00BE6461">
              <w:rPr>
                <w:b/>
                <w:bCs/>
                <w:sz w:val="20"/>
                <w:szCs w:val="20"/>
              </w:rPr>
              <w:t>5.000,00</w:t>
            </w:r>
          </w:p>
        </w:tc>
        <w:tc>
          <w:tcPr>
            <w:tcW w:w="1500" w:type="dxa"/>
            <w:tcBorders>
              <w:top w:val="nil"/>
              <w:left w:val="nil"/>
              <w:bottom w:val="nil"/>
              <w:right w:val="nil"/>
            </w:tcBorders>
            <w:shd w:val="clear" w:color="auto" w:fill="auto"/>
            <w:noWrap/>
            <w:vAlign w:val="bottom"/>
            <w:hideMark/>
          </w:tcPr>
          <w:p w14:paraId="3ABCEA96"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7C8052F5"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09405AD3" w14:textId="77777777" w:rsidTr="00BE6461">
        <w:trPr>
          <w:trHeight w:val="300"/>
        </w:trPr>
        <w:tc>
          <w:tcPr>
            <w:tcW w:w="1703" w:type="dxa"/>
            <w:tcBorders>
              <w:top w:val="nil"/>
              <w:left w:val="nil"/>
              <w:bottom w:val="nil"/>
              <w:right w:val="nil"/>
            </w:tcBorders>
            <w:shd w:val="clear" w:color="auto" w:fill="auto"/>
            <w:noWrap/>
            <w:vAlign w:val="bottom"/>
            <w:hideMark/>
          </w:tcPr>
          <w:p w14:paraId="065F799C" w14:textId="77777777" w:rsidR="00BE6461" w:rsidRPr="00BE6461" w:rsidRDefault="00BE6461" w:rsidP="00BE6461">
            <w:pPr>
              <w:rPr>
                <w:sz w:val="20"/>
                <w:szCs w:val="20"/>
              </w:rPr>
            </w:pPr>
            <w:r w:rsidRPr="00BE6461">
              <w:rPr>
                <w:sz w:val="20"/>
                <w:szCs w:val="20"/>
              </w:rPr>
              <w:t>3239</w:t>
            </w:r>
          </w:p>
        </w:tc>
        <w:tc>
          <w:tcPr>
            <w:tcW w:w="8457" w:type="dxa"/>
            <w:tcBorders>
              <w:top w:val="nil"/>
              <w:left w:val="nil"/>
              <w:bottom w:val="nil"/>
              <w:right w:val="nil"/>
            </w:tcBorders>
            <w:shd w:val="clear" w:color="auto" w:fill="auto"/>
            <w:vAlign w:val="bottom"/>
            <w:hideMark/>
          </w:tcPr>
          <w:p w14:paraId="17C91A02" w14:textId="77777777" w:rsidR="00BE6461" w:rsidRPr="00BE6461" w:rsidRDefault="00BE6461" w:rsidP="00BE6461">
            <w:pPr>
              <w:rPr>
                <w:sz w:val="20"/>
                <w:szCs w:val="20"/>
              </w:rPr>
            </w:pPr>
            <w:r w:rsidRPr="00BE6461">
              <w:rPr>
                <w:sz w:val="20"/>
                <w:szCs w:val="20"/>
              </w:rPr>
              <w:t xml:space="preserve">Ostale usluge                                                                                       </w:t>
            </w:r>
          </w:p>
        </w:tc>
        <w:tc>
          <w:tcPr>
            <w:tcW w:w="1503" w:type="dxa"/>
            <w:tcBorders>
              <w:top w:val="nil"/>
              <w:left w:val="nil"/>
              <w:bottom w:val="nil"/>
              <w:right w:val="nil"/>
            </w:tcBorders>
            <w:shd w:val="clear" w:color="auto" w:fill="auto"/>
            <w:noWrap/>
            <w:vAlign w:val="bottom"/>
            <w:hideMark/>
          </w:tcPr>
          <w:p w14:paraId="18F78B62"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BAADB1B"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14A496F8" w14:textId="77777777" w:rsidR="00BE6461" w:rsidRPr="00BE6461" w:rsidRDefault="00BE6461" w:rsidP="00BE6461">
            <w:pPr>
              <w:jc w:val="right"/>
              <w:rPr>
                <w:sz w:val="20"/>
                <w:szCs w:val="20"/>
              </w:rPr>
            </w:pPr>
          </w:p>
        </w:tc>
      </w:tr>
      <w:tr w:rsidR="00BE6461" w:rsidRPr="00BE6461" w14:paraId="2C7315EC"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4E90302" w14:textId="77777777" w:rsidR="00BE6461" w:rsidRPr="00BE6461" w:rsidRDefault="00BE6461" w:rsidP="00BE6461">
            <w:pPr>
              <w:rPr>
                <w:b/>
                <w:bCs/>
                <w:color w:val="333333"/>
                <w:sz w:val="20"/>
                <w:szCs w:val="20"/>
              </w:rPr>
            </w:pPr>
            <w:r w:rsidRPr="00BE6461">
              <w:rPr>
                <w:b/>
                <w:bCs/>
                <w:color w:val="333333"/>
                <w:sz w:val="20"/>
                <w:szCs w:val="20"/>
              </w:rPr>
              <w:t>Izvor 5. POMOĆI</w:t>
            </w:r>
          </w:p>
        </w:tc>
        <w:tc>
          <w:tcPr>
            <w:tcW w:w="1503" w:type="dxa"/>
            <w:tcBorders>
              <w:top w:val="nil"/>
              <w:left w:val="nil"/>
              <w:bottom w:val="nil"/>
              <w:right w:val="nil"/>
            </w:tcBorders>
            <w:shd w:val="clear" w:color="auto" w:fill="auto"/>
            <w:noWrap/>
            <w:vAlign w:val="bottom"/>
            <w:hideMark/>
          </w:tcPr>
          <w:p w14:paraId="7A251999" w14:textId="77777777" w:rsidR="00BE6461" w:rsidRPr="00BE6461" w:rsidRDefault="00BE6461" w:rsidP="00BE6461">
            <w:pPr>
              <w:jc w:val="right"/>
              <w:rPr>
                <w:b/>
                <w:bCs/>
                <w:color w:val="333333"/>
                <w:sz w:val="20"/>
                <w:szCs w:val="20"/>
              </w:rPr>
            </w:pPr>
            <w:r w:rsidRPr="00BE6461">
              <w:rPr>
                <w:b/>
                <w:bCs/>
                <w:color w:val="333333"/>
                <w:sz w:val="20"/>
                <w:szCs w:val="20"/>
              </w:rPr>
              <w:t>17.000,00</w:t>
            </w:r>
          </w:p>
        </w:tc>
        <w:tc>
          <w:tcPr>
            <w:tcW w:w="1500" w:type="dxa"/>
            <w:tcBorders>
              <w:top w:val="nil"/>
              <w:left w:val="nil"/>
              <w:bottom w:val="nil"/>
              <w:right w:val="nil"/>
            </w:tcBorders>
            <w:shd w:val="clear" w:color="auto" w:fill="auto"/>
            <w:noWrap/>
            <w:vAlign w:val="bottom"/>
            <w:hideMark/>
          </w:tcPr>
          <w:p w14:paraId="7C53F36C" w14:textId="77777777" w:rsidR="00BE6461" w:rsidRPr="00BE6461" w:rsidRDefault="00BE6461" w:rsidP="00BE6461">
            <w:pPr>
              <w:jc w:val="right"/>
              <w:rPr>
                <w:b/>
                <w:bCs/>
                <w:color w:val="333333"/>
                <w:sz w:val="20"/>
                <w:szCs w:val="20"/>
              </w:rPr>
            </w:pPr>
            <w:r w:rsidRPr="00BE6461">
              <w:rPr>
                <w:b/>
                <w:bCs/>
                <w:color w:val="333333"/>
                <w:sz w:val="20"/>
                <w:szCs w:val="20"/>
              </w:rPr>
              <w:t>17.000,00</w:t>
            </w:r>
          </w:p>
        </w:tc>
        <w:tc>
          <w:tcPr>
            <w:tcW w:w="1100" w:type="dxa"/>
            <w:tcBorders>
              <w:top w:val="nil"/>
              <w:left w:val="nil"/>
              <w:bottom w:val="nil"/>
              <w:right w:val="nil"/>
            </w:tcBorders>
            <w:shd w:val="clear" w:color="auto" w:fill="auto"/>
            <w:noWrap/>
            <w:vAlign w:val="bottom"/>
            <w:hideMark/>
          </w:tcPr>
          <w:p w14:paraId="3BAE655B"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3232B8E0"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61CCB9C" w14:textId="77777777" w:rsidR="00BE6461" w:rsidRPr="00BE6461" w:rsidRDefault="00BE6461" w:rsidP="00BE6461">
            <w:pPr>
              <w:rPr>
                <w:b/>
                <w:bCs/>
                <w:color w:val="333333"/>
                <w:sz w:val="20"/>
                <w:szCs w:val="20"/>
              </w:rPr>
            </w:pPr>
            <w:r w:rsidRPr="00BE6461">
              <w:rPr>
                <w:b/>
                <w:bCs/>
                <w:color w:val="333333"/>
                <w:sz w:val="20"/>
                <w:szCs w:val="20"/>
              </w:rPr>
              <w:t>Izvor 5.2. POMOĆI - PRORAČUNSKI KORISNICI (GRAD)</w:t>
            </w:r>
          </w:p>
        </w:tc>
        <w:tc>
          <w:tcPr>
            <w:tcW w:w="1503" w:type="dxa"/>
            <w:tcBorders>
              <w:top w:val="nil"/>
              <w:left w:val="nil"/>
              <w:bottom w:val="nil"/>
              <w:right w:val="nil"/>
            </w:tcBorders>
            <w:shd w:val="clear" w:color="auto" w:fill="auto"/>
            <w:noWrap/>
            <w:vAlign w:val="bottom"/>
            <w:hideMark/>
          </w:tcPr>
          <w:p w14:paraId="29BC0773" w14:textId="77777777" w:rsidR="00BE6461" w:rsidRPr="00BE6461" w:rsidRDefault="00BE6461" w:rsidP="00BE6461">
            <w:pPr>
              <w:jc w:val="right"/>
              <w:rPr>
                <w:b/>
                <w:bCs/>
                <w:color w:val="333333"/>
                <w:sz w:val="20"/>
                <w:szCs w:val="20"/>
              </w:rPr>
            </w:pPr>
            <w:r w:rsidRPr="00BE6461">
              <w:rPr>
                <w:b/>
                <w:bCs/>
                <w:color w:val="333333"/>
                <w:sz w:val="20"/>
                <w:szCs w:val="20"/>
              </w:rPr>
              <w:t>17.000,00</w:t>
            </w:r>
          </w:p>
        </w:tc>
        <w:tc>
          <w:tcPr>
            <w:tcW w:w="1500" w:type="dxa"/>
            <w:tcBorders>
              <w:top w:val="nil"/>
              <w:left w:val="nil"/>
              <w:bottom w:val="nil"/>
              <w:right w:val="nil"/>
            </w:tcBorders>
            <w:shd w:val="clear" w:color="auto" w:fill="auto"/>
            <w:noWrap/>
            <w:vAlign w:val="bottom"/>
            <w:hideMark/>
          </w:tcPr>
          <w:p w14:paraId="2D769035" w14:textId="77777777" w:rsidR="00BE6461" w:rsidRPr="00BE6461" w:rsidRDefault="00BE6461" w:rsidP="00BE6461">
            <w:pPr>
              <w:jc w:val="right"/>
              <w:rPr>
                <w:b/>
                <w:bCs/>
                <w:color w:val="333333"/>
                <w:sz w:val="20"/>
                <w:szCs w:val="20"/>
              </w:rPr>
            </w:pPr>
            <w:r w:rsidRPr="00BE6461">
              <w:rPr>
                <w:b/>
                <w:bCs/>
                <w:color w:val="333333"/>
                <w:sz w:val="20"/>
                <w:szCs w:val="20"/>
              </w:rPr>
              <w:t>17.000,00</w:t>
            </w:r>
          </w:p>
        </w:tc>
        <w:tc>
          <w:tcPr>
            <w:tcW w:w="1100" w:type="dxa"/>
            <w:tcBorders>
              <w:top w:val="nil"/>
              <w:left w:val="nil"/>
              <w:bottom w:val="nil"/>
              <w:right w:val="nil"/>
            </w:tcBorders>
            <w:shd w:val="clear" w:color="auto" w:fill="auto"/>
            <w:noWrap/>
            <w:vAlign w:val="bottom"/>
            <w:hideMark/>
          </w:tcPr>
          <w:p w14:paraId="38871B65"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2CE9CBD4" w14:textId="77777777" w:rsidTr="00BE6461">
        <w:trPr>
          <w:trHeight w:val="300"/>
        </w:trPr>
        <w:tc>
          <w:tcPr>
            <w:tcW w:w="1703" w:type="dxa"/>
            <w:tcBorders>
              <w:top w:val="nil"/>
              <w:left w:val="nil"/>
              <w:bottom w:val="nil"/>
              <w:right w:val="nil"/>
            </w:tcBorders>
            <w:shd w:val="clear" w:color="auto" w:fill="auto"/>
            <w:noWrap/>
            <w:vAlign w:val="bottom"/>
            <w:hideMark/>
          </w:tcPr>
          <w:p w14:paraId="5EEB3247"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7FF4C3E0"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6C0B72C4" w14:textId="77777777" w:rsidR="00BE6461" w:rsidRPr="00BE6461" w:rsidRDefault="00BE6461" w:rsidP="00BE6461">
            <w:pPr>
              <w:jc w:val="right"/>
              <w:rPr>
                <w:b/>
                <w:bCs/>
                <w:sz w:val="20"/>
                <w:szCs w:val="20"/>
              </w:rPr>
            </w:pPr>
            <w:r w:rsidRPr="00BE6461">
              <w:rPr>
                <w:b/>
                <w:bCs/>
                <w:sz w:val="20"/>
                <w:szCs w:val="20"/>
              </w:rPr>
              <w:t>14.860,00</w:t>
            </w:r>
          </w:p>
        </w:tc>
        <w:tc>
          <w:tcPr>
            <w:tcW w:w="1500" w:type="dxa"/>
            <w:tcBorders>
              <w:top w:val="nil"/>
              <w:left w:val="nil"/>
              <w:bottom w:val="nil"/>
              <w:right w:val="nil"/>
            </w:tcBorders>
            <w:shd w:val="clear" w:color="auto" w:fill="auto"/>
            <w:noWrap/>
            <w:vAlign w:val="bottom"/>
            <w:hideMark/>
          </w:tcPr>
          <w:p w14:paraId="0E3EB5ED" w14:textId="77777777" w:rsidR="00BE6461" w:rsidRPr="00BE6461" w:rsidRDefault="00BE6461" w:rsidP="00BE6461">
            <w:pPr>
              <w:jc w:val="right"/>
              <w:rPr>
                <w:b/>
                <w:bCs/>
                <w:sz w:val="20"/>
                <w:szCs w:val="20"/>
              </w:rPr>
            </w:pPr>
            <w:r w:rsidRPr="00BE6461">
              <w:rPr>
                <w:b/>
                <w:bCs/>
                <w:sz w:val="20"/>
                <w:szCs w:val="20"/>
              </w:rPr>
              <w:t>14.860,00</w:t>
            </w:r>
          </w:p>
        </w:tc>
        <w:tc>
          <w:tcPr>
            <w:tcW w:w="1100" w:type="dxa"/>
            <w:tcBorders>
              <w:top w:val="nil"/>
              <w:left w:val="nil"/>
              <w:bottom w:val="nil"/>
              <w:right w:val="nil"/>
            </w:tcBorders>
            <w:shd w:val="clear" w:color="auto" w:fill="auto"/>
            <w:noWrap/>
            <w:vAlign w:val="bottom"/>
            <w:hideMark/>
          </w:tcPr>
          <w:p w14:paraId="16D60E28"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759EC214" w14:textId="77777777" w:rsidTr="00BE6461">
        <w:trPr>
          <w:trHeight w:val="300"/>
        </w:trPr>
        <w:tc>
          <w:tcPr>
            <w:tcW w:w="1703" w:type="dxa"/>
            <w:tcBorders>
              <w:top w:val="nil"/>
              <w:left w:val="nil"/>
              <w:bottom w:val="nil"/>
              <w:right w:val="nil"/>
            </w:tcBorders>
            <w:shd w:val="clear" w:color="auto" w:fill="auto"/>
            <w:noWrap/>
            <w:vAlign w:val="bottom"/>
            <w:hideMark/>
          </w:tcPr>
          <w:p w14:paraId="203D5FCE" w14:textId="77777777" w:rsidR="00BE6461" w:rsidRPr="00BE6461" w:rsidRDefault="00BE6461" w:rsidP="00BE6461">
            <w:pPr>
              <w:rPr>
                <w:sz w:val="20"/>
                <w:szCs w:val="20"/>
              </w:rPr>
            </w:pPr>
            <w:r w:rsidRPr="00BE6461">
              <w:rPr>
                <w:sz w:val="20"/>
                <w:szCs w:val="20"/>
              </w:rPr>
              <w:t>3235</w:t>
            </w:r>
          </w:p>
        </w:tc>
        <w:tc>
          <w:tcPr>
            <w:tcW w:w="8457" w:type="dxa"/>
            <w:tcBorders>
              <w:top w:val="nil"/>
              <w:left w:val="nil"/>
              <w:bottom w:val="nil"/>
              <w:right w:val="nil"/>
            </w:tcBorders>
            <w:shd w:val="clear" w:color="auto" w:fill="auto"/>
            <w:vAlign w:val="bottom"/>
            <w:hideMark/>
          </w:tcPr>
          <w:p w14:paraId="6D9128DE" w14:textId="77777777" w:rsidR="00BE6461" w:rsidRPr="00BE6461" w:rsidRDefault="00BE6461" w:rsidP="00BE6461">
            <w:pPr>
              <w:rPr>
                <w:sz w:val="20"/>
                <w:szCs w:val="20"/>
              </w:rPr>
            </w:pPr>
            <w:r w:rsidRPr="00BE6461">
              <w:rPr>
                <w:sz w:val="20"/>
                <w:szCs w:val="20"/>
              </w:rPr>
              <w:t xml:space="preserve">Zakupnine i najamnine                                                                               </w:t>
            </w:r>
          </w:p>
        </w:tc>
        <w:tc>
          <w:tcPr>
            <w:tcW w:w="1503" w:type="dxa"/>
            <w:tcBorders>
              <w:top w:val="nil"/>
              <w:left w:val="nil"/>
              <w:bottom w:val="nil"/>
              <w:right w:val="nil"/>
            </w:tcBorders>
            <w:shd w:val="clear" w:color="auto" w:fill="auto"/>
            <w:noWrap/>
            <w:vAlign w:val="bottom"/>
            <w:hideMark/>
          </w:tcPr>
          <w:p w14:paraId="74D9ADF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DF44E39" w14:textId="77777777" w:rsidR="00BE6461" w:rsidRPr="00BE6461" w:rsidRDefault="00BE6461" w:rsidP="00BE6461">
            <w:pPr>
              <w:jc w:val="right"/>
              <w:rPr>
                <w:sz w:val="20"/>
                <w:szCs w:val="20"/>
              </w:rPr>
            </w:pPr>
            <w:r w:rsidRPr="00BE6461">
              <w:rPr>
                <w:sz w:val="20"/>
                <w:szCs w:val="20"/>
              </w:rPr>
              <w:t>3.630,00</w:t>
            </w:r>
          </w:p>
        </w:tc>
        <w:tc>
          <w:tcPr>
            <w:tcW w:w="1100" w:type="dxa"/>
            <w:tcBorders>
              <w:top w:val="nil"/>
              <w:left w:val="nil"/>
              <w:bottom w:val="nil"/>
              <w:right w:val="nil"/>
            </w:tcBorders>
            <w:shd w:val="clear" w:color="auto" w:fill="auto"/>
            <w:noWrap/>
            <w:vAlign w:val="bottom"/>
            <w:hideMark/>
          </w:tcPr>
          <w:p w14:paraId="0069CB09" w14:textId="77777777" w:rsidR="00BE6461" w:rsidRPr="00BE6461" w:rsidRDefault="00BE6461" w:rsidP="00BE6461">
            <w:pPr>
              <w:jc w:val="right"/>
              <w:rPr>
                <w:sz w:val="20"/>
                <w:szCs w:val="20"/>
              </w:rPr>
            </w:pPr>
          </w:p>
        </w:tc>
      </w:tr>
      <w:tr w:rsidR="00BE6461" w:rsidRPr="00BE6461" w14:paraId="35EB8810" w14:textId="77777777" w:rsidTr="00BE6461">
        <w:trPr>
          <w:trHeight w:val="300"/>
        </w:trPr>
        <w:tc>
          <w:tcPr>
            <w:tcW w:w="1703" w:type="dxa"/>
            <w:tcBorders>
              <w:top w:val="nil"/>
              <w:left w:val="nil"/>
              <w:bottom w:val="nil"/>
              <w:right w:val="nil"/>
            </w:tcBorders>
            <w:shd w:val="clear" w:color="auto" w:fill="auto"/>
            <w:noWrap/>
            <w:vAlign w:val="bottom"/>
            <w:hideMark/>
          </w:tcPr>
          <w:p w14:paraId="668860BE"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18F43B68"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6C97CB3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65BCCEF" w14:textId="77777777" w:rsidR="00BE6461" w:rsidRPr="00BE6461" w:rsidRDefault="00BE6461" w:rsidP="00BE6461">
            <w:pPr>
              <w:jc w:val="right"/>
              <w:rPr>
                <w:sz w:val="20"/>
                <w:szCs w:val="20"/>
              </w:rPr>
            </w:pPr>
            <w:r w:rsidRPr="00BE6461">
              <w:rPr>
                <w:sz w:val="20"/>
                <w:szCs w:val="20"/>
              </w:rPr>
              <w:t>8.700,72</w:t>
            </w:r>
          </w:p>
        </w:tc>
        <w:tc>
          <w:tcPr>
            <w:tcW w:w="1100" w:type="dxa"/>
            <w:tcBorders>
              <w:top w:val="nil"/>
              <w:left w:val="nil"/>
              <w:bottom w:val="nil"/>
              <w:right w:val="nil"/>
            </w:tcBorders>
            <w:shd w:val="clear" w:color="auto" w:fill="auto"/>
            <w:noWrap/>
            <w:vAlign w:val="bottom"/>
            <w:hideMark/>
          </w:tcPr>
          <w:p w14:paraId="5AD1991B" w14:textId="77777777" w:rsidR="00BE6461" w:rsidRPr="00BE6461" w:rsidRDefault="00BE6461" w:rsidP="00BE6461">
            <w:pPr>
              <w:jc w:val="right"/>
              <w:rPr>
                <w:sz w:val="20"/>
                <w:szCs w:val="20"/>
              </w:rPr>
            </w:pPr>
          </w:p>
        </w:tc>
      </w:tr>
      <w:tr w:rsidR="00BE6461" w:rsidRPr="00BE6461" w14:paraId="53393E1A" w14:textId="77777777" w:rsidTr="00BE6461">
        <w:trPr>
          <w:trHeight w:val="300"/>
        </w:trPr>
        <w:tc>
          <w:tcPr>
            <w:tcW w:w="1703" w:type="dxa"/>
            <w:tcBorders>
              <w:top w:val="nil"/>
              <w:left w:val="nil"/>
              <w:bottom w:val="nil"/>
              <w:right w:val="nil"/>
            </w:tcBorders>
            <w:shd w:val="clear" w:color="auto" w:fill="auto"/>
            <w:noWrap/>
            <w:vAlign w:val="bottom"/>
            <w:hideMark/>
          </w:tcPr>
          <w:p w14:paraId="27CF8CD4" w14:textId="77777777" w:rsidR="00BE6461" w:rsidRPr="00BE6461" w:rsidRDefault="00BE6461" w:rsidP="00BE6461">
            <w:pPr>
              <w:rPr>
                <w:sz w:val="20"/>
                <w:szCs w:val="20"/>
              </w:rPr>
            </w:pPr>
            <w:r w:rsidRPr="00BE6461">
              <w:rPr>
                <w:sz w:val="20"/>
                <w:szCs w:val="20"/>
              </w:rPr>
              <w:t>3239</w:t>
            </w:r>
          </w:p>
        </w:tc>
        <w:tc>
          <w:tcPr>
            <w:tcW w:w="8457" w:type="dxa"/>
            <w:tcBorders>
              <w:top w:val="nil"/>
              <w:left w:val="nil"/>
              <w:bottom w:val="nil"/>
              <w:right w:val="nil"/>
            </w:tcBorders>
            <w:shd w:val="clear" w:color="auto" w:fill="auto"/>
            <w:vAlign w:val="bottom"/>
            <w:hideMark/>
          </w:tcPr>
          <w:p w14:paraId="605A71A3" w14:textId="77777777" w:rsidR="00BE6461" w:rsidRPr="00BE6461" w:rsidRDefault="00BE6461" w:rsidP="00BE6461">
            <w:pPr>
              <w:rPr>
                <w:sz w:val="20"/>
                <w:szCs w:val="20"/>
              </w:rPr>
            </w:pPr>
            <w:r w:rsidRPr="00BE6461">
              <w:rPr>
                <w:sz w:val="20"/>
                <w:szCs w:val="20"/>
              </w:rPr>
              <w:t xml:space="preserve">Ostale usluge                                                                                       </w:t>
            </w:r>
          </w:p>
        </w:tc>
        <w:tc>
          <w:tcPr>
            <w:tcW w:w="1503" w:type="dxa"/>
            <w:tcBorders>
              <w:top w:val="nil"/>
              <w:left w:val="nil"/>
              <w:bottom w:val="nil"/>
              <w:right w:val="nil"/>
            </w:tcBorders>
            <w:shd w:val="clear" w:color="auto" w:fill="auto"/>
            <w:noWrap/>
            <w:vAlign w:val="bottom"/>
            <w:hideMark/>
          </w:tcPr>
          <w:p w14:paraId="08C6652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E22D146" w14:textId="77777777" w:rsidR="00BE6461" w:rsidRPr="00BE6461" w:rsidRDefault="00BE6461" w:rsidP="00BE6461">
            <w:pPr>
              <w:jc w:val="right"/>
              <w:rPr>
                <w:sz w:val="20"/>
                <w:szCs w:val="20"/>
              </w:rPr>
            </w:pPr>
            <w:r w:rsidRPr="00BE6461">
              <w:rPr>
                <w:sz w:val="20"/>
                <w:szCs w:val="20"/>
              </w:rPr>
              <w:t>2.529,28</w:t>
            </w:r>
          </w:p>
        </w:tc>
        <w:tc>
          <w:tcPr>
            <w:tcW w:w="1100" w:type="dxa"/>
            <w:tcBorders>
              <w:top w:val="nil"/>
              <w:left w:val="nil"/>
              <w:bottom w:val="nil"/>
              <w:right w:val="nil"/>
            </w:tcBorders>
            <w:shd w:val="clear" w:color="auto" w:fill="auto"/>
            <w:noWrap/>
            <w:vAlign w:val="bottom"/>
            <w:hideMark/>
          </w:tcPr>
          <w:p w14:paraId="58C330F0" w14:textId="77777777" w:rsidR="00BE6461" w:rsidRPr="00BE6461" w:rsidRDefault="00BE6461" w:rsidP="00BE6461">
            <w:pPr>
              <w:jc w:val="right"/>
              <w:rPr>
                <w:sz w:val="20"/>
                <w:szCs w:val="20"/>
              </w:rPr>
            </w:pPr>
          </w:p>
        </w:tc>
      </w:tr>
      <w:tr w:rsidR="00BE6461" w:rsidRPr="00BE6461" w14:paraId="6DB9CBE7" w14:textId="77777777" w:rsidTr="00BE6461">
        <w:trPr>
          <w:trHeight w:val="300"/>
        </w:trPr>
        <w:tc>
          <w:tcPr>
            <w:tcW w:w="1703" w:type="dxa"/>
            <w:tcBorders>
              <w:top w:val="nil"/>
              <w:left w:val="nil"/>
              <w:bottom w:val="nil"/>
              <w:right w:val="nil"/>
            </w:tcBorders>
            <w:shd w:val="clear" w:color="auto" w:fill="auto"/>
            <w:noWrap/>
            <w:vAlign w:val="bottom"/>
            <w:hideMark/>
          </w:tcPr>
          <w:p w14:paraId="56106042"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4D49A4A2"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1D3DC0D5" w14:textId="77777777" w:rsidR="00BE6461" w:rsidRPr="00BE6461" w:rsidRDefault="00BE6461" w:rsidP="00BE6461">
            <w:pPr>
              <w:jc w:val="right"/>
              <w:rPr>
                <w:b/>
                <w:bCs/>
                <w:sz w:val="20"/>
                <w:szCs w:val="20"/>
              </w:rPr>
            </w:pPr>
            <w:r w:rsidRPr="00BE6461">
              <w:rPr>
                <w:b/>
                <w:bCs/>
                <w:sz w:val="20"/>
                <w:szCs w:val="20"/>
              </w:rPr>
              <w:t>2.140,00</w:t>
            </w:r>
          </w:p>
        </w:tc>
        <w:tc>
          <w:tcPr>
            <w:tcW w:w="1500" w:type="dxa"/>
            <w:tcBorders>
              <w:top w:val="nil"/>
              <w:left w:val="nil"/>
              <w:bottom w:val="nil"/>
              <w:right w:val="nil"/>
            </w:tcBorders>
            <w:shd w:val="clear" w:color="auto" w:fill="auto"/>
            <w:noWrap/>
            <w:vAlign w:val="bottom"/>
            <w:hideMark/>
          </w:tcPr>
          <w:p w14:paraId="651B6705" w14:textId="77777777" w:rsidR="00BE6461" w:rsidRPr="00BE6461" w:rsidRDefault="00BE6461" w:rsidP="00BE6461">
            <w:pPr>
              <w:jc w:val="right"/>
              <w:rPr>
                <w:b/>
                <w:bCs/>
                <w:sz w:val="20"/>
                <w:szCs w:val="20"/>
              </w:rPr>
            </w:pPr>
            <w:r w:rsidRPr="00BE6461">
              <w:rPr>
                <w:b/>
                <w:bCs/>
                <w:sz w:val="20"/>
                <w:szCs w:val="20"/>
              </w:rPr>
              <w:t>2.140,00</w:t>
            </w:r>
          </w:p>
        </w:tc>
        <w:tc>
          <w:tcPr>
            <w:tcW w:w="1100" w:type="dxa"/>
            <w:tcBorders>
              <w:top w:val="nil"/>
              <w:left w:val="nil"/>
              <w:bottom w:val="nil"/>
              <w:right w:val="nil"/>
            </w:tcBorders>
            <w:shd w:val="clear" w:color="auto" w:fill="auto"/>
            <w:noWrap/>
            <w:vAlign w:val="bottom"/>
            <w:hideMark/>
          </w:tcPr>
          <w:p w14:paraId="674C1B22"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019EC35D" w14:textId="77777777" w:rsidTr="00BE6461">
        <w:trPr>
          <w:trHeight w:val="300"/>
        </w:trPr>
        <w:tc>
          <w:tcPr>
            <w:tcW w:w="1703" w:type="dxa"/>
            <w:tcBorders>
              <w:top w:val="nil"/>
              <w:left w:val="nil"/>
              <w:bottom w:val="nil"/>
              <w:right w:val="nil"/>
            </w:tcBorders>
            <w:shd w:val="clear" w:color="auto" w:fill="auto"/>
            <w:noWrap/>
            <w:vAlign w:val="bottom"/>
            <w:hideMark/>
          </w:tcPr>
          <w:p w14:paraId="0BD053FC" w14:textId="77777777" w:rsidR="00BE6461" w:rsidRPr="00BE6461" w:rsidRDefault="00BE6461" w:rsidP="00BE6461">
            <w:pPr>
              <w:rPr>
                <w:sz w:val="20"/>
                <w:szCs w:val="20"/>
              </w:rPr>
            </w:pPr>
            <w:r w:rsidRPr="00BE6461">
              <w:rPr>
                <w:sz w:val="20"/>
                <w:szCs w:val="20"/>
              </w:rPr>
              <w:t>3293</w:t>
            </w:r>
          </w:p>
        </w:tc>
        <w:tc>
          <w:tcPr>
            <w:tcW w:w="8457" w:type="dxa"/>
            <w:tcBorders>
              <w:top w:val="nil"/>
              <w:left w:val="nil"/>
              <w:bottom w:val="nil"/>
              <w:right w:val="nil"/>
            </w:tcBorders>
            <w:shd w:val="clear" w:color="auto" w:fill="auto"/>
            <w:vAlign w:val="bottom"/>
            <w:hideMark/>
          </w:tcPr>
          <w:p w14:paraId="52328FC9" w14:textId="77777777" w:rsidR="00BE6461" w:rsidRPr="00BE6461" w:rsidRDefault="00BE6461" w:rsidP="00BE6461">
            <w:pPr>
              <w:rPr>
                <w:sz w:val="20"/>
                <w:szCs w:val="20"/>
              </w:rPr>
            </w:pPr>
            <w:r w:rsidRPr="00BE6461">
              <w:rPr>
                <w:sz w:val="20"/>
                <w:szCs w:val="20"/>
              </w:rPr>
              <w:t xml:space="preserve">Reprezentacija                                                                                      </w:t>
            </w:r>
          </w:p>
        </w:tc>
        <w:tc>
          <w:tcPr>
            <w:tcW w:w="1503" w:type="dxa"/>
            <w:tcBorders>
              <w:top w:val="nil"/>
              <w:left w:val="nil"/>
              <w:bottom w:val="nil"/>
              <w:right w:val="nil"/>
            </w:tcBorders>
            <w:shd w:val="clear" w:color="auto" w:fill="auto"/>
            <w:noWrap/>
            <w:vAlign w:val="bottom"/>
            <w:hideMark/>
          </w:tcPr>
          <w:p w14:paraId="78C2F66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A74765B" w14:textId="77777777" w:rsidR="00BE6461" w:rsidRPr="00BE6461" w:rsidRDefault="00BE6461" w:rsidP="00BE6461">
            <w:pPr>
              <w:jc w:val="right"/>
              <w:rPr>
                <w:sz w:val="20"/>
                <w:szCs w:val="20"/>
              </w:rPr>
            </w:pPr>
            <w:r w:rsidRPr="00BE6461">
              <w:rPr>
                <w:sz w:val="20"/>
                <w:szCs w:val="20"/>
              </w:rPr>
              <w:t>2.140,00</w:t>
            </w:r>
          </w:p>
        </w:tc>
        <w:tc>
          <w:tcPr>
            <w:tcW w:w="1100" w:type="dxa"/>
            <w:tcBorders>
              <w:top w:val="nil"/>
              <w:left w:val="nil"/>
              <w:bottom w:val="nil"/>
              <w:right w:val="nil"/>
            </w:tcBorders>
            <w:shd w:val="clear" w:color="auto" w:fill="auto"/>
            <w:noWrap/>
            <w:vAlign w:val="bottom"/>
            <w:hideMark/>
          </w:tcPr>
          <w:p w14:paraId="10ED7B45" w14:textId="77777777" w:rsidR="00BE6461" w:rsidRPr="00BE6461" w:rsidRDefault="00BE6461" w:rsidP="00BE6461">
            <w:pPr>
              <w:jc w:val="right"/>
              <w:rPr>
                <w:sz w:val="20"/>
                <w:szCs w:val="20"/>
              </w:rPr>
            </w:pPr>
          </w:p>
        </w:tc>
      </w:tr>
      <w:tr w:rsidR="00BE6461" w:rsidRPr="00BE6461" w14:paraId="68856594"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42B96A3A" w14:textId="77777777" w:rsidR="00BE6461" w:rsidRPr="00BE6461" w:rsidRDefault="00BE6461" w:rsidP="00BE6461">
            <w:pPr>
              <w:rPr>
                <w:b/>
                <w:bCs/>
                <w:sz w:val="20"/>
                <w:szCs w:val="20"/>
              </w:rPr>
            </w:pPr>
            <w:r w:rsidRPr="00BE6461">
              <w:rPr>
                <w:b/>
                <w:bCs/>
                <w:sz w:val="20"/>
                <w:szCs w:val="20"/>
              </w:rPr>
              <w:t>A100070</w:t>
            </w:r>
          </w:p>
        </w:tc>
        <w:tc>
          <w:tcPr>
            <w:tcW w:w="8457" w:type="dxa"/>
            <w:tcBorders>
              <w:top w:val="single" w:sz="4" w:space="0" w:color="auto"/>
              <w:left w:val="nil"/>
              <w:bottom w:val="single" w:sz="4" w:space="0" w:color="auto"/>
              <w:right w:val="nil"/>
            </w:tcBorders>
            <w:shd w:val="clear" w:color="auto" w:fill="auto"/>
            <w:vAlign w:val="bottom"/>
            <w:hideMark/>
          </w:tcPr>
          <w:p w14:paraId="5E2D09B0" w14:textId="77777777" w:rsidR="00BE6461" w:rsidRPr="00BE6461" w:rsidRDefault="00BE6461" w:rsidP="00BE6461">
            <w:pPr>
              <w:rPr>
                <w:b/>
                <w:bCs/>
                <w:sz w:val="20"/>
                <w:szCs w:val="20"/>
              </w:rPr>
            </w:pPr>
            <w:r w:rsidRPr="00BE6461">
              <w:rPr>
                <w:b/>
                <w:bCs/>
                <w:sz w:val="20"/>
                <w:szCs w:val="20"/>
              </w:rPr>
              <w:t>Aktivnost: RADIONICE I TEČAJEVI</w:t>
            </w:r>
          </w:p>
        </w:tc>
        <w:tc>
          <w:tcPr>
            <w:tcW w:w="1503" w:type="dxa"/>
            <w:tcBorders>
              <w:top w:val="single" w:sz="4" w:space="0" w:color="auto"/>
              <w:left w:val="nil"/>
              <w:bottom w:val="single" w:sz="4" w:space="0" w:color="auto"/>
              <w:right w:val="nil"/>
            </w:tcBorders>
            <w:shd w:val="clear" w:color="auto" w:fill="auto"/>
            <w:noWrap/>
            <w:vAlign w:val="bottom"/>
            <w:hideMark/>
          </w:tcPr>
          <w:p w14:paraId="00D98958" w14:textId="77777777" w:rsidR="00BE6461" w:rsidRPr="00BE6461" w:rsidRDefault="00BE6461" w:rsidP="00BE6461">
            <w:pPr>
              <w:jc w:val="right"/>
              <w:rPr>
                <w:b/>
                <w:bCs/>
                <w:sz w:val="20"/>
                <w:szCs w:val="20"/>
              </w:rPr>
            </w:pPr>
            <w:r w:rsidRPr="00BE6461">
              <w:rPr>
                <w:b/>
                <w:bCs/>
                <w:sz w:val="20"/>
                <w:szCs w:val="20"/>
              </w:rPr>
              <w:t>35.123,43</w:t>
            </w:r>
          </w:p>
        </w:tc>
        <w:tc>
          <w:tcPr>
            <w:tcW w:w="1500" w:type="dxa"/>
            <w:tcBorders>
              <w:top w:val="single" w:sz="4" w:space="0" w:color="auto"/>
              <w:left w:val="nil"/>
              <w:bottom w:val="single" w:sz="4" w:space="0" w:color="auto"/>
              <w:right w:val="nil"/>
            </w:tcBorders>
            <w:shd w:val="clear" w:color="auto" w:fill="auto"/>
            <w:noWrap/>
            <w:vAlign w:val="bottom"/>
            <w:hideMark/>
          </w:tcPr>
          <w:p w14:paraId="3476B7BB" w14:textId="77777777" w:rsidR="00BE6461" w:rsidRPr="00BE6461" w:rsidRDefault="00BE6461" w:rsidP="00BE6461">
            <w:pPr>
              <w:jc w:val="right"/>
              <w:rPr>
                <w:b/>
                <w:bCs/>
                <w:sz w:val="20"/>
                <w:szCs w:val="20"/>
              </w:rPr>
            </w:pPr>
            <w:r w:rsidRPr="00BE6461">
              <w:rPr>
                <w:b/>
                <w:bCs/>
                <w:sz w:val="20"/>
                <w:szCs w:val="20"/>
              </w:rPr>
              <w:t>11.833,13</w:t>
            </w:r>
          </w:p>
        </w:tc>
        <w:tc>
          <w:tcPr>
            <w:tcW w:w="1100" w:type="dxa"/>
            <w:tcBorders>
              <w:top w:val="single" w:sz="4" w:space="0" w:color="auto"/>
              <w:left w:val="nil"/>
              <w:bottom w:val="single" w:sz="4" w:space="0" w:color="auto"/>
              <w:right w:val="nil"/>
            </w:tcBorders>
            <w:shd w:val="clear" w:color="auto" w:fill="auto"/>
            <w:noWrap/>
            <w:vAlign w:val="bottom"/>
            <w:hideMark/>
          </w:tcPr>
          <w:p w14:paraId="497354B4" w14:textId="77777777" w:rsidR="00BE6461" w:rsidRPr="00BE6461" w:rsidRDefault="00BE6461" w:rsidP="00BE6461">
            <w:pPr>
              <w:jc w:val="right"/>
              <w:rPr>
                <w:b/>
                <w:bCs/>
                <w:sz w:val="20"/>
                <w:szCs w:val="20"/>
              </w:rPr>
            </w:pPr>
            <w:r w:rsidRPr="00BE6461">
              <w:rPr>
                <w:b/>
                <w:bCs/>
                <w:sz w:val="20"/>
                <w:szCs w:val="20"/>
              </w:rPr>
              <w:t>33,69</w:t>
            </w:r>
          </w:p>
        </w:tc>
      </w:tr>
      <w:tr w:rsidR="00BE6461" w:rsidRPr="00BE6461" w14:paraId="7DC682E4"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096BB60" w14:textId="77777777" w:rsidR="00BE6461" w:rsidRPr="00BE6461" w:rsidRDefault="00BE6461" w:rsidP="00BE6461">
            <w:pPr>
              <w:rPr>
                <w:b/>
                <w:bCs/>
                <w:color w:val="333333"/>
                <w:sz w:val="20"/>
                <w:szCs w:val="20"/>
              </w:rPr>
            </w:pPr>
            <w:r w:rsidRPr="00BE6461">
              <w:rPr>
                <w:b/>
                <w:bCs/>
                <w:color w:val="333333"/>
                <w:sz w:val="20"/>
                <w:szCs w:val="20"/>
              </w:rPr>
              <w:t>Izvor 3. VLASTITI PRIHODI</w:t>
            </w:r>
          </w:p>
        </w:tc>
        <w:tc>
          <w:tcPr>
            <w:tcW w:w="1503" w:type="dxa"/>
            <w:tcBorders>
              <w:top w:val="nil"/>
              <w:left w:val="nil"/>
              <w:bottom w:val="nil"/>
              <w:right w:val="nil"/>
            </w:tcBorders>
            <w:shd w:val="clear" w:color="auto" w:fill="auto"/>
            <w:noWrap/>
            <w:vAlign w:val="bottom"/>
            <w:hideMark/>
          </w:tcPr>
          <w:p w14:paraId="119F3F33" w14:textId="77777777" w:rsidR="00BE6461" w:rsidRPr="00BE6461" w:rsidRDefault="00BE6461" w:rsidP="00BE6461">
            <w:pPr>
              <w:jc w:val="right"/>
              <w:rPr>
                <w:b/>
                <w:bCs/>
                <w:color w:val="333333"/>
                <w:sz w:val="20"/>
                <w:szCs w:val="20"/>
              </w:rPr>
            </w:pPr>
            <w:r w:rsidRPr="00BE6461">
              <w:rPr>
                <w:b/>
                <w:bCs/>
                <w:color w:val="333333"/>
                <w:sz w:val="20"/>
                <w:szCs w:val="20"/>
              </w:rPr>
              <w:t>15.500,00</w:t>
            </w:r>
          </w:p>
        </w:tc>
        <w:tc>
          <w:tcPr>
            <w:tcW w:w="1500" w:type="dxa"/>
            <w:tcBorders>
              <w:top w:val="nil"/>
              <w:left w:val="nil"/>
              <w:bottom w:val="nil"/>
              <w:right w:val="nil"/>
            </w:tcBorders>
            <w:shd w:val="clear" w:color="auto" w:fill="auto"/>
            <w:noWrap/>
            <w:vAlign w:val="bottom"/>
            <w:hideMark/>
          </w:tcPr>
          <w:p w14:paraId="25483B88" w14:textId="77777777" w:rsidR="00BE6461" w:rsidRPr="00BE6461" w:rsidRDefault="00BE6461" w:rsidP="00BE6461">
            <w:pPr>
              <w:jc w:val="right"/>
              <w:rPr>
                <w:b/>
                <w:bCs/>
                <w:color w:val="333333"/>
                <w:sz w:val="20"/>
                <w:szCs w:val="20"/>
              </w:rPr>
            </w:pPr>
            <w:r w:rsidRPr="00BE6461">
              <w:rPr>
                <w:b/>
                <w:bCs/>
                <w:color w:val="333333"/>
                <w:sz w:val="20"/>
                <w:szCs w:val="20"/>
              </w:rPr>
              <w:t>3.209,70</w:t>
            </w:r>
          </w:p>
        </w:tc>
        <w:tc>
          <w:tcPr>
            <w:tcW w:w="1100" w:type="dxa"/>
            <w:tcBorders>
              <w:top w:val="nil"/>
              <w:left w:val="nil"/>
              <w:bottom w:val="nil"/>
              <w:right w:val="nil"/>
            </w:tcBorders>
            <w:shd w:val="clear" w:color="auto" w:fill="auto"/>
            <w:noWrap/>
            <w:vAlign w:val="bottom"/>
            <w:hideMark/>
          </w:tcPr>
          <w:p w14:paraId="5F208621" w14:textId="77777777" w:rsidR="00BE6461" w:rsidRPr="00BE6461" w:rsidRDefault="00BE6461" w:rsidP="00BE6461">
            <w:pPr>
              <w:jc w:val="right"/>
              <w:rPr>
                <w:b/>
                <w:bCs/>
                <w:color w:val="333333"/>
                <w:sz w:val="20"/>
                <w:szCs w:val="20"/>
              </w:rPr>
            </w:pPr>
            <w:r w:rsidRPr="00BE6461">
              <w:rPr>
                <w:b/>
                <w:bCs/>
                <w:color w:val="333333"/>
                <w:sz w:val="20"/>
                <w:szCs w:val="20"/>
              </w:rPr>
              <w:t>20,71</w:t>
            </w:r>
          </w:p>
        </w:tc>
      </w:tr>
      <w:tr w:rsidR="00BE6461" w:rsidRPr="00BE6461" w14:paraId="6D4C5E2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3985C0A" w14:textId="77777777" w:rsidR="00BE6461" w:rsidRPr="00BE6461" w:rsidRDefault="00BE6461" w:rsidP="00BE6461">
            <w:pPr>
              <w:rPr>
                <w:b/>
                <w:bCs/>
                <w:color w:val="333333"/>
                <w:sz w:val="20"/>
                <w:szCs w:val="20"/>
              </w:rPr>
            </w:pPr>
            <w:r w:rsidRPr="00BE6461">
              <w:rPr>
                <w:b/>
                <w:bCs/>
                <w:color w:val="333333"/>
                <w:sz w:val="20"/>
                <w:szCs w:val="20"/>
              </w:rPr>
              <w:t>Izvor 3.2. VLASTITI PRIHODI - PRORAČUNSKI KORISNICI</w:t>
            </w:r>
          </w:p>
        </w:tc>
        <w:tc>
          <w:tcPr>
            <w:tcW w:w="1503" w:type="dxa"/>
            <w:tcBorders>
              <w:top w:val="nil"/>
              <w:left w:val="nil"/>
              <w:bottom w:val="nil"/>
              <w:right w:val="nil"/>
            </w:tcBorders>
            <w:shd w:val="clear" w:color="auto" w:fill="auto"/>
            <w:noWrap/>
            <w:vAlign w:val="bottom"/>
            <w:hideMark/>
          </w:tcPr>
          <w:p w14:paraId="470FC52C" w14:textId="77777777" w:rsidR="00BE6461" w:rsidRPr="00BE6461" w:rsidRDefault="00BE6461" w:rsidP="00BE6461">
            <w:pPr>
              <w:jc w:val="right"/>
              <w:rPr>
                <w:b/>
                <w:bCs/>
                <w:color w:val="333333"/>
                <w:sz w:val="20"/>
                <w:szCs w:val="20"/>
              </w:rPr>
            </w:pPr>
            <w:r w:rsidRPr="00BE6461">
              <w:rPr>
                <w:b/>
                <w:bCs/>
                <w:color w:val="333333"/>
                <w:sz w:val="20"/>
                <w:szCs w:val="20"/>
              </w:rPr>
              <w:t>15.500,00</w:t>
            </w:r>
          </w:p>
        </w:tc>
        <w:tc>
          <w:tcPr>
            <w:tcW w:w="1500" w:type="dxa"/>
            <w:tcBorders>
              <w:top w:val="nil"/>
              <w:left w:val="nil"/>
              <w:bottom w:val="nil"/>
              <w:right w:val="nil"/>
            </w:tcBorders>
            <w:shd w:val="clear" w:color="auto" w:fill="auto"/>
            <w:noWrap/>
            <w:vAlign w:val="bottom"/>
            <w:hideMark/>
          </w:tcPr>
          <w:p w14:paraId="430C0525" w14:textId="77777777" w:rsidR="00BE6461" w:rsidRPr="00BE6461" w:rsidRDefault="00BE6461" w:rsidP="00BE6461">
            <w:pPr>
              <w:jc w:val="right"/>
              <w:rPr>
                <w:b/>
                <w:bCs/>
                <w:color w:val="333333"/>
                <w:sz w:val="20"/>
                <w:szCs w:val="20"/>
              </w:rPr>
            </w:pPr>
            <w:r w:rsidRPr="00BE6461">
              <w:rPr>
                <w:b/>
                <w:bCs/>
                <w:color w:val="333333"/>
                <w:sz w:val="20"/>
                <w:szCs w:val="20"/>
              </w:rPr>
              <w:t>3.209,70</w:t>
            </w:r>
          </w:p>
        </w:tc>
        <w:tc>
          <w:tcPr>
            <w:tcW w:w="1100" w:type="dxa"/>
            <w:tcBorders>
              <w:top w:val="nil"/>
              <w:left w:val="nil"/>
              <w:bottom w:val="nil"/>
              <w:right w:val="nil"/>
            </w:tcBorders>
            <w:shd w:val="clear" w:color="auto" w:fill="auto"/>
            <w:noWrap/>
            <w:vAlign w:val="bottom"/>
            <w:hideMark/>
          </w:tcPr>
          <w:p w14:paraId="3F2E4651" w14:textId="77777777" w:rsidR="00BE6461" w:rsidRPr="00BE6461" w:rsidRDefault="00BE6461" w:rsidP="00BE6461">
            <w:pPr>
              <w:jc w:val="right"/>
              <w:rPr>
                <w:b/>
                <w:bCs/>
                <w:color w:val="333333"/>
                <w:sz w:val="20"/>
                <w:szCs w:val="20"/>
              </w:rPr>
            </w:pPr>
            <w:r w:rsidRPr="00BE6461">
              <w:rPr>
                <w:b/>
                <w:bCs/>
                <w:color w:val="333333"/>
                <w:sz w:val="20"/>
                <w:szCs w:val="20"/>
              </w:rPr>
              <w:t>20,71</w:t>
            </w:r>
          </w:p>
        </w:tc>
      </w:tr>
      <w:tr w:rsidR="00BE6461" w:rsidRPr="00BE6461" w14:paraId="3D363E3A" w14:textId="77777777" w:rsidTr="00BE6461">
        <w:trPr>
          <w:trHeight w:val="300"/>
        </w:trPr>
        <w:tc>
          <w:tcPr>
            <w:tcW w:w="1703" w:type="dxa"/>
            <w:tcBorders>
              <w:top w:val="nil"/>
              <w:left w:val="nil"/>
              <w:bottom w:val="nil"/>
              <w:right w:val="nil"/>
            </w:tcBorders>
            <w:shd w:val="clear" w:color="auto" w:fill="auto"/>
            <w:noWrap/>
            <w:vAlign w:val="bottom"/>
            <w:hideMark/>
          </w:tcPr>
          <w:p w14:paraId="25C4D802"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0B9F967A"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045C8052" w14:textId="77777777" w:rsidR="00BE6461" w:rsidRPr="00BE6461" w:rsidRDefault="00BE6461" w:rsidP="00BE6461">
            <w:pPr>
              <w:jc w:val="right"/>
              <w:rPr>
                <w:b/>
                <w:bCs/>
                <w:sz w:val="20"/>
                <w:szCs w:val="20"/>
              </w:rPr>
            </w:pPr>
            <w:r w:rsidRPr="00BE6461">
              <w:rPr>
                <w:b/>
                <w:bCs/>
                <w:sz w:val="20"/>
                <w:szCs w:val="20"/>
              </w:rPr>
              <w:t>3.000,00</w:t>
            </w:r>
          </w:p>
        </w:tc>
        <w:tc>
          <w:tcPr>
            <w:tcW w:w="1500" w:type="dxa"/>
            <w:tcBorders>
              <w:top w:val="nil"/>
              <w:left w:val="nil"/>
              <w:bottom w:val="nil"/>
              <w:right w:val="nil"/>
            </w:tcBorders>
            <w:shd w:val="clear" w:color="auto" w:fill="auto"/>
            <w:noWrap/>
            <w:vAlign w:val="bottom"/>
            <w:hideMark/>
          </w:tcPr>
          <w:p w14:paraId="6BB36D87" w14:textId="77777777" w:rsidR="00BE6461" w:rsidRPr="00BE6461" w:rsidRDefault="00BE6461" w:rsidP="00BE6461">
            <w:pPr>
              <w:jc w:val="right"/>
              <w:rPr>
                <w:b/>
                <w:bCs/>
                <w:sz w:val="20"/>
                <w:szCs w:val="20"/>
              </w:rPr>
            </w:pPr>
            <w:r w:rsidRPr="00BE6461">
              <w:rPr>
                <w:b/>
                <w:bCs/>
                <w:sz w:val="20"/>
                <w:szCs w:val="20"/>
              </w:rPr>
              <w:t>1.182,83</w:t>
            </w:r>
          </w:p>
        </w:tc>
        <w:tc>
          <w:tcPr>
            <w:tcW w:w="1100" w:type="dxa"/>
            <w:tcBorders>
              <w:top w:val="nil"/>
              <w:left w:val="nil"/>
              <w:bottom w:val="nil"/>
              <w:right w:val="nil"/>
            </w:tcBorders>
            <w:shd w:val="clear" w:color="auto" w:fill="auto"/>
            <w:noWrap/>
            <w:vAlign w:val="bottom"/>
            <w:hideMark/>
          </w:tcPr>
          <w:p w14:paraId="5D7DC688" w14:textId="77777777" w:rsidR="00BE6461" w:rsidRPr="00BE6461" w:rsidRDefault="00BE6461" w:rsidP="00BE6461">
            <w:pPr>
              <w:jc w:val="right"/>
              <w:rPr>
                <w:b/>
                <w:bCs/>
                <w:sz w:val="20"/>
                <w:szCs w:val="20"/>
              </w:rPr>
            </w:pPr>
            <w:r w:rsidRPr="00BE6461">
              <w:rPr>
                <w:b/>
                <w:bCs/>
                <w:sz w:val="20"/>
                <w:szCs w:val="20"/>
              </w:rPr>
              <w:t>39,43</w:t>
            </w:r>
          </w:p>
        </w:tc>
      </w:tr>
      <w:tr w:rsidR="00BE6461" w:rsidRPr="00BE6461" w14:paraId="680D6AA5" w14:textId="77777777" w:rsidTr="00BE6461">
        <w:trPr>
          <w:trHeight w:val="300"/>
        </w:trPr>
        <w:tc>
          <w:tcPr>
            <w:tcW w:w="1703" w:type="dxa"/>
            <w:tcBorders>
              <w:top w:val="nil"/>
              <w:left w:val="nil"/>
              <w:bottom w:val="nil"/>
              <w:right w:val="nil"/>
            </w:tcBorders>
            <w:shd w:val="clear" w:color="auto" w:fill="auto"/>
            <w:noWrap/>
            <w:vAlign w:val="bottom"/>
            <w:hideMark/>
          </w:tcPr>
          <w:p w14:paraId="64FE0358" w14:textId="77777777" w:rsidR="00BE6461" w:rsidRPr="00BE6461" w:rsidRDefault="00BE6461" w:rsidP="00BE6461">
            <w:pPr>
              <w:rPr>
                <w:sz w:val="20"/>
                <w:szCs w:val="20"/>
              </w:rPr>
            </w:pPr>
            <w:r w:rsidRPr="00BE6461">
              <w:rPr>
                <w:sz w:val="20"/>
                <w:szCs w:val="20"/>
              </w:rPr>
              <w:t>3221</w:t>
            </w:r>
          </w:p>
        </w:tc>
        <w:tc>
          <w:tcPr>
            <w:tcW w:w="8457" w:type="dxa"/>
            <w:tcBorders>
              <w:top w:val="nil"/>
              <w:left w:val="nil"/>
              <w:bottom w:val="nil"/>
              <w:right w:val="nil"/>
            </w:tcBorders>
            <w:shd w:val="clear" w:color="auto" w:fill="auto"/>
            <w:vAlign w:val="bottom"/>
            <w:hideMark/>
          </w:tcPr>
          <w:p w14:paraId="7FD343B9" w14:textId="77777777" w:rsidR="00BE6461" w:rsidRPr="00BE6461" w:rsidRDefault="00BE6461" w:rsidP="00BE6461">
            <w:pPr>
              <w:rPr>
                <w:sz w:val="20"/>
                <w:szCs w:val="20"/>
              </w:rPr>
            </w:pPr>
            <w:r w:rsidRPr="00BE6461">
              <w:rPr>
                <w:sz w:val="20"/>
                <w:szCs w:val="20"/>
              </w:rPr>
              <w:t xml:space="preserve">Uredski materijal i ostali materijalni rashodi                                                      </w:t>
            </w:r>
          </w:p>
        </w:tc>
        <w:tc>
          <w:tcPr>
            <w:tcW w:w="1503" w:type="dxa"/>
            <w:tcBorders>
              <w:top w:val="nil"/>
              <w:left w:val="nil"/>
              <w:bottom w:val="nil"/>
              <w:right w:val="nil"/>
            </w:tcBorders>
            <w:shd w:val="clear" w:color="auto" w:fill="auto"/>
            <w:noWrap/>
            <w:vAlign w:val="bottom"/>
            <w:hideMark/>
          </w:tcPr>
          <w:p w14:paraId="66D9FA9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36FE373" w14:textId="77777777" w:rsidR="00BE6461" w:rsidRPr="00BE6461" w:rsidRDefault="00BE6461" w:rsidP="00BE6461">
            <w:pPr>
              <w:jc w:val="right"/>
              <w:rPr>
                <w:sz w:val="20"/>
                <w:szCs w:val="20"/>
              </w:rPr>
            </w:pPr>
            <w:r w:rsidRPr="00BE6461">
              <w:rPr>
                <w:sz w:val="20"/>
                <w:szCs w:val="20"/>
              </w:rPr>
              <w:t>1.182,83</w:t>
            </w:r>
          </w:p>
        </w:tc>
        <w:tc>
          <w:tcPr>
            <w:tcW w:w="1100" w:type="dxa"/>
            <w:tcBorders>
              <w:top w:val="nil"/>
              <w:left w:val="nil"/>
              <w:bottom w:val="nil"/>
              <w:right w:val="nil"/>
            </w:tcBorders>
            <w:shd w:val="clear" w:color="auto" w:fill="auto"/>
            <w:noWrap/>
            <w:vAlign w:val="bottom"/>
            <w:hideMark/>
          </w:tcPr>
          <w:p w14:paraId="06759623" w14:textId="77777777" w:rsidR="00BE6461" w:rsidRPr="00BE6461" w:rsidRDefault="00BE6461" w:rsidP="00BE6461">
            <w:pPr>
              <w:jc w:val="right"/>
              <w:rPr>
                <w:sz w:val="20"/>
                <w:szCs w:val="20"/>
              </w:rPr>
            </w:pPr>
          </w:p>
        </w:tc>
      </w:tr>
      <w:tr w:rsidR="00BE6461" w:rsidRPr="00BE6461" w14:paraId="01C0419B" w14:textId="77777777" w:rsidTr="00BE6461">
        <w:trPr>
          <w:trHeight w:val="300"/>
        </w:trPr>
        <w:tc>
          <w:tcPr>
            <w:tcW w:w="1703" w:type="dxa"/>
            <w:tcBorders>
              <w:top w:val="nil"/>
              <w:left w:val="nil"/>
              <w:bottom w:val="nil"/>
              <w:right w:val="nil"/>
            </w:tcBorders>
            <w:shd w:val="clear" w:color="auto" w:fill="auto"/>
            <w:noWrap/>
            <w:vAlign w:val="bottom"/>
            <w:hideMark/>
          </w:tcPr>
          <w:p w14:paraId="65C1230A"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3D6A3470"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2E6A858E" w14:textId="77777777" w:rsidR="00BE6461" w:rsidRPr="00BE6461" w:rsidRDefault="00BE6461" w:rsidP="00BE6461">
            <w:pPr>
              <w:jc w:val="right"/>
              <w:rPr>
                <w:b/>
                <w:bCs/>
                <w:sz w:val="20"/>
                <w:szCs w:val="20"/>
              </w:rPr>
            </w:pPr>
            <w:r w:rsidRPr="00BE6461">
              <w:rPr>
                <w:b/>
                <w:bCs/>
                <w:sz w:val="20"/>
                <w:szCs w:val="20"/>
              </w:rPr>
              <w:t>9.500,00</w:t>
            </w:r>
          </w:p>
        </w:tc>
        <w:tc>
          <w:tcPr>
            <w:tcW w:w="1500" w:type="dxa"/>
            <w:tcBorders>
              <w:top w:val="nil"/>
              <w:left w:val="nil"/>
              <w:bottom w:val="nil"/>
              <w:right w:val="nil"/>
            </w:tcBorders>
            <w:shd w:val="clear" w:color="auto" w:fill="auto"/>
            <w:noWrap/>
            <w:vAlign w:val="bottom"/>
            <w:hideMark/>
          </w:tcPr>
          <w:p w14:paraId="47925C65" w14:textId="77777777" w:rsidR="00BE6461" w:rsidRPr="00BE6461" w:rsidRDefault="00BE6461" w:rsidP="00BE6461">
            <w:pPr>
              <w:jc w:val="right"/>
              <w:rPr>
                <w:b/>
                <w:bCs/>
                <w:sz w:val="20"/>
                <w:szCs w:val="20"/>
              </w:rPr>
            </w:pPr>
            <w:r w:rsidRPr="00BE6461">
              <w:rPr>
                <w:b/>
                <w:bCs/>
                <w:sz w:val="20"/>
                <w:szCs w:val="20"/>
              </w:rPr>
              <w:t>2.000,00</w:t>
            </w:r>
          </w:p>
        </w:tc>
        <w:tc>
          <w:tcPr>
            <w:tcW w:w="1100" w:type="dxa"/>
            <w:tcBorders>
              <w:top w:val="nil"/>
              <w:left w:val="nil"/>
              <w:bottom w:val="nil"/>
              <w:right w:val="nil"/>
            </w:tcBorders>
            <w:shd w:val="clear" w:color="auto" w:fill="auto"/>
            <w:noWrap/>
            <w:vAlign w:val="bottom"/>
            <w:hideMark/>
          </w:tcPr>
          <w:p w14:paraId="54EF774A" w14:textId="77777777" w:rsidR="00BE6461" w:rsidRPr="00BE6461" w:rsidRDefault="00BE6461" w:rsidP="00BE6461">
            <w:pPr>
              <w:jc w:val="right"/>
              <w:rPr>
                <w:b/>
                <w:bCs/>
                <w:sz w:val="20"/>
                <w:szCs w:val="20"/>
              </w:rPr>
            </w:pPr>
            <w:r w:rsidRPr="00BE6461">
              <w:rPr>
                <w:b/>
                <w:bCs/>
                <w:sz w:val="20"/>
                <w:szCs w:val="20"/>
              </w:rPr>
              <w:t>21,05</w:t>
            </w:r>
          </w:p>
        </w:tc>
      </w:tr>
      <w:tr w:rsidR="00BE6461" w:rsidRPr="00BE6461" w14:paraId="766FB867" w14:textId="77777777" w:rsidTr="00BE6461">
        <w:trPr>
          <w:trHeight w:val="300"/>
        </w:trPr>
        <w:tc>
          <w:tcPr>
            <w:tcW w:w="1703" w:type="dxa"/>
            <w:tcBorders>
              <w:top w:val="nil"/>
              <w:left w:val="nil"/>
              <w:bottom w:val="nil"/>
              <w:right w:val="nil"/>
            </w:tcBorders>
            <w:shd w:val="clear" w:color="auto" w:fill="auto"/>
            <w:noWrap/>
            <w:vAlign w:val="bottom"/>
            <w:hideMark/>
          </w:tcPr>
          <w:p w14:paraId="47A1841E"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1A563E35"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799D306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E578FC7"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2033988A" w14:textId="77777777" w:rsidR="00BE6461" w:rsidRPr="00BE6461" w:rsidRDefault="00BE6461" w:rsidP="00BE6461">
            <w:pPr>
              <w:jc w:val="right"/>
              <w:rPr>
                <w:sz w:val="20"/>
                <w:szCs w:val="20"/>
              </w:rPr>
            </w:pPr>
          </w:p>
        </w:tc>
      </w:tr>
      <w:tr w:rsidR="00BE6461" w:rsidRPr="00BE6461" w14:paraId="28851F7B" w14:textId="77777777" w:rsidTr="00BE6461">
        <w:trPr>
          <w:trHeight w:val="300"/>
        </w:trPr>
        <w:tc>
          <w:tcPr>
            <w:tcW w:w="1703" w:type="dxa"/>
            <w:tcBorders>
              <w:top w:val="nil"/>
              <w:left w:val="nil"/>
              <w:bottom w:val="nil"/>
              <w:right w:val="nil"/>
            </w:tcBorders>
            <w:shd w:val="clear" w:color="auto" w:fill="auto"/>
            <w:noWrap/>
            <w:vAlign w:val="bottom"/>
            <w:hideMark/>
          </w:tcPr>
          <w:p w14:paraId="37023231" w14:textId="77777777" w:rsidR="00BE6461" w:rsidRPr="00BE6461" w:rsidRDefault="00BE6461" w:rsidP="00BE6461">
            <w:pPr>
              <w:rPr>
                <w:sz w:val="20"/>
                <w:szCs w:val="20"/>
              </w:rPr>
            </w:pPr>
            <w:r w:rsidRPr="00BE6461">
              <w:rPr>
                <w:sz w:val="20"/>
                <w:szCs w:val="20"/>
              </w:rPr>
              <w:t>3239</w:t>
            </w:r>
          </w:p>
        </w:tc>
        <w:tc>
          <w:tcPr>
            <w:tcW w:w="8457" w:type="dxa"/>
            <w:tcBorders>
              <w:top w:val="nil"/>
              <w:left w:val="nil"/>
              <w:bottom w:val="nil"/>
              <w:right w:val="nil"/>
            </w:tcBorders>
            <w:shd w:val="clear" w:color="auto" w:fill="auto"/>
            <w:vAlign w:val="bottom"/>
            <w:hideMark/>
          </w:tcPr>
          <w:p w14:paraId="6A4C557E" w14:textId="77777777" w:rsidR="00BE6461" w:rsidRPr="00BE6461" w:rsidRDefault="00BE6461" w:rsidP="00BE6461">
            <w:pPr>
              <w:rPr>
                <w:sz w:val="20"/>
                <w:szCs w:val="20"/>
              </w:rPr>
            </w:pPr>
            <w:r w:rsidRPr="00BE6461">
              <w:rPr>
                <w:sz w:val="20"/>
                <w:szCs w:val="20"/>
              </w:rPr>
              <w:t xml:space="preserve">Ostale usluge                                                                                       </w:t>
            </w:r>
          </w:p>
        </w:tc>
        <w:tc>
          <w:tcPr>
            <w:tcW w:w="1503" w:type="dxa"/>
            <w:tcBorders>
              <w:top w:val="nil"/>
              <w:left w:val="nil"/>
              <w:bottom w:val="nil"/>
              <w:right w:val="nil"/>
            </w:tcBorders>
            <w:shd w:val="clear" w:color="auto" w:fill="auto"/>
            <w:noWrap/>
            <w:vAlign w:val="bottom"/>
            <w:hideMark/>
          </w:tcPr>
          <w:p w14:paraId="0D78BED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C3EA99A" w14:textId="77777777" w:rsidR="00BE6461" w:rsidRPr="00BE6461" w:rsidRDefault="00BE6461" w:rsidP="00BE6461">
            <w:pPr>
              <w:jc w:val="right"/>
              <w:rPr>
                <w:sz w:val="20"/>
                <w:szCs w:val="20"/>
              </w:rPr>
            </w:pPr>
            <w:r w:rsidRPr="00BE6461">
              <w:rPr>
                <w:sz w:val="20"/>
                <w:szCs w:val="20"/>
              </w:rPr>
              <w:t>2.000,00</w:t>
            </w:r>
          </w:p>
        </w:tc>
        <w:tc>
          <w:tcPr>
            <w:tcW w:w="1100" w:type="dxa"/>
            <w:tcBorders>
              <w:top w:val="nil"/>
              <w:left w:val="nil"/>
              <w:bottom w:val="nil"/>
              <w:right w:val="nil"/>
            </w:tcBorders>
            <w:shd w:val="clear" w:color="auto" w:fill="auto"/>
            <w:noWrap/>
            <w:vAlign w:val="bottom"/>
            <w:hideMark/>
          </w:tcPr>
          <w:p w14:paraId="3AFD752D" w14:textId="77777777" w:rsidR="00BE6461" w:rsidRPr="00BE6461" w:rsidRDefault="00BE6461" w:rsidP="00BE6461">
            <w:pPr>
              <w:jc w:val="right"/>
              <w:rPr>
                <w:sz w:val="20"/>
                <w:szCs w:val="20"/>
              </w:rPr>
            </w:pPr>
          </w:p>
        </w:tc>
      </w:tr>
      <w:tr w:rsidR="00BE6461" w:rsidRPr="00BE6461" w14:paraId="7E088AE7" w14:textId="77777777" w:rsidTr="00BE6461">
        <w:trPr>
          <w:trHeight w:val="300"/>
        </w:trPr>
        <w:tc>
          <w:tcPr>
            <w:tcW w:w="1703" w:type="dxa"/>
            <w:tcBorders>
              <w:top w:val="nil"/>
              <w:left w:val="nil"/>
              <w:bottom w:val="nil"/>
              <w:right w:val="nil"/>
            </w:tcBorders>
            <w:shd w:val="clear" w:color="auto" w:fill="auto"/>
            <w:noWrap/>
            <w:vAlign w:val="bottom"/>
            <w:hideMark/>
          </w:tcPr>
          <w:p w14:paraId="16158D40" w14:textId="77777777" w:rsidR="00BE6461" w:rsidRPr="00BE6461" w:rsidRDefault="00BE6461" w:rsidP="00BE6461">
            <w:pPr>
              <w:rPr>
                <w:b/>
                <w:bCs/>
                <w:sz w:val="20"/>
                <w:szCs w:val="20"/>
              </w:rPr>
            </w:pPr>
            <w:r w:rsidRPr="00BE6461">
              <w:rPr>
                <w:b/>
                <w:bCs/>
                <w:sz w:val="20"/>
                <w:szCs w:val="20"/>
              </w:rPr>
              <w:t>324</w:t>
            </w:r>
          </w:p>
        </w:tc>
        <w:tc>
          <w:tcPr>
            <w:tcW w:w="8457" w:type="dxa"/>
            <w:tcBorders>
              <w:top w:val="nil"/>
              <w:left w:val="nil"/>
              <w:bottom w:val="nil"/>
              <w:right w:val="nil"/>
            </w:tcBorders>
            <w:shd w:val="clear" w:color="auto" w:fill="auto"/>
            <w:vAlign w:val="bottom"/>
            <w:hideMark/>
          </w:tcPr>
          <w:p w14:paraId="53D88260" w14:textId="77777777" w:rsidR="00BE6461" w:rsidRPr="00BE6461" w:rsidRDefault="00BE6461" w:rsidP="00BE6461">
            <w:pPr>
              <w:rPr>
                <w:b/>
                <w:bCs/>
                <w:sz w:val="20"/>
                <w:szCs w:val="20"/>
              </w:rPr>
            </w:pPr>
            <w:r w:rsidRPr="00BE6461">
              <w:rPr>
                <w:b/>
                <w:bCs/>
                <w:sz w:val="20"/>
                <w:szCs w:val="20"/>
              </w:rPr>
              <w:t xml:space="preserve">Naknade troškova osobama izvan radnog odnosa                                                        </w:t>
            </w:r>
          </w:p>
        </w:tc>
        <w:tc>
          <w:tcPr>
            <w:tcW w:w="1503" w:type="dxa"/>
            <w:tcBorders>
              <w:top w:val="nil"/>
              <w:left w:val="nil"/>
              <w:bottom w:val="nil"/>
              <w:right w:val="nil"/>
            </w:tcBorders>
            <w:shd w:val="clear" w:color="auto" w:fill="auto"/>
            <w:noWrap/>
            <w:vAlign w:val="bottom"/>
            <w:hideMark/>
          </w:tcPr>
          <w:p w14:paraId="340E8A92" w14:textId="77777777" w:rsidR="00BE6461" w:rsidRPr="00BE6461" w:rsidRDefault="00BE6461" w:rsidP="00BE6461">
            <w:pPr>
              <w:jc w:val="right"/>
              <w:rPr>
                <w:b/>
                <w:bCs/>
                <w:sz w:val="20"/>
                <w:szCs w:val="20"/>
              </w:rPr>
            </w:pPr>
            <w:r w:rsidRPr="00BE6461">
              <w:rPr>
                <w:b/>
                <w:bCs/>
                <w:sz w:val="20"/>
                <w:szCs w:val="20"/>
              </w:rPr>
              <w:t>1.000,00</w:t>
            </w:r>
          </w:p>
        </w:tc>
        <w:tc>
          <w:tcPr>
            <w:tcW w:w="1500" w:type="dxa"/>
            <w:tcBorders>
              <w:top w:val="nil"/>
              <w:left w:val="nil"/>
              <w:bottom w:val="nil"/>
              <w:right w:val="nil"/>
            </w:tcBorders>
            <w:shd w:val="clear" w:color="auto" w:fill="auto"/>
            <w:noWrap/>
            <w:vAlign w:val="bottom"/>
            <w:hideMark/>
          </w:tcPr>
          <w:p w14:paraId="2CE6D9E2"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2F417A96"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30517DF6" w14:textId="77777777" w:rsidTr="00BE6461">
        <w:trPr>
          <w:trHeight w:val="300"/>
        </w:trPr>
        <w:tc>
          <w:tcPr>
            <w:tcW w:w="1703" w:type="dxa"/>
            <w:tcBorders>
              <w:top w:val="nil"/>
              <w:left w:val="nil"/>
              <w:bottom w:val="nil"/>
              <w:right w:val="nil"/>
            </w:tcBorders>
            <w:shd w:val="clear" w:color="auto" w:fill="auto"/>
            <w:noWrap/>
            <w:vAlign w:val="bottom"/>
            <w:hideMark/>
          </w:tcPr>
          <w:p w14:paraId="28C5CBE3" w14:textId="77777777" w:rsidR="00BE6461" w:rsidRPr="00BE6461" w:rsidRDefault="00BE6461" w:rsidP="00BE6461">
            <w:pPr>
              <w:rPr>
                <w:sz w:val="20"/>
                <w:szCs w:val="20"/>
              </w:rPr>
            </w:pPr>
            <w:r w:rsidRPr="00BE6461">
              <w:rPr>
                <w:sz w:val="20"/>
                <w:szCs w:val="20"/>
              </w:rPr>
              <w:t>3241</w:t>
            </w:r>
          </w:p>
        </w:tc>
        <w:tc>
          <w:tcPr>
            <w:tcW w:w="8457" w:type="dxa"/>
            <w:tcBorders>
              <w:top w:val="nil"/>
              <w:left w:val="nil"/>
              <w:bottom w:val="nil"/>
              <w:right w:val="nil"/>
            </w:tcBorders>
            <w:shd w:val="clear" w:color="auto" w:fill="auto"/>
            <w:vAlign w:val="bottom"/>
            <w:hideMark/>
          </w:tcPr>
          <w:p w14:paraId="472B82A1" w14:textId="77777777" w:rsidR="00BE6461" w:rsidRPr="00BE6461" w:rsidRDefault="00BE6461" w:rsidP="00BE6461">
            <w:pPr>
              <w:rPr>
                <w:sz w:val="20"/>
                <w:szCs w:val="20"/>
              </w:rPr>
            </w:pPr>
            <w:r w:rsidRPr="00BE6461">
              <w:rPr>
                <w:sz w:val="20"/>
                <w:szCs w:val="20"/>
              </w:rPr>
              <w:t xml:space="preserve">Naknade troškova osobama izvan radnog odnosa                                                        </w:t>
            </w:r>
          </w:p>
        </w:tc>
        <w:tc>
          <w:tcPr>
            <w:tcW w:w="1503" w:type="dxa"/>
            <w:tcBorders>
              <w:top w:val="nil"/>
              <w:left w:val="nil"/>
              <w:bottom w:val="nil"/>
              <w:right w:val="nil"/>
            </w:tcBorders>
            <w:shd w:val="clear" w:color="auto" w:fill="auto"/>
            <w:noWrap/>
            <w:vAlign w:val="bottom"/>
            <w:hideMark/>
          </w:tcPr>
          <w:p w14:paraId="6B3F390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37C640A"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0616B604" w14:textId="77777777" w:rsidR="00BE6461" w:rsidRPr="00BE6461" w:rsidRDefault="00BE6461" w:rsidP="00BE6461">
            <w:pPr>
              <w:jc w:val="right"/>
              <w:rPr>
                <w:sz w:val="20"/>
                <w:szCs w:val="20"/>
              </w:rPr>
            </w:pPr>
          </w:p>
        </w:tc>
      </w:tr>
      <w:tr w:rsidR="00BE6461" w:rsidRPr="00BE6461" w14:paraId="5EE76097" w14:textId="77777777" w:rsidTr="00BE6461">
        <w:trPr>
          <w:trHeight w:val="300"/>
        </w:trPr>
        <w:tc>
          <w:tcPr>
            <w:tcW w:w="1703" w:type="dxa"/>
            <w:tcBorders>
              <w:top w:val="nil"/>
              <w:left w:val="nil"/>
              <w:bottom w:val="nil"/>
              <w:right w:val="nil"/>
            </w:tcBorders>
            <w:shd w:val="clear" w:color="auto" w:fill="auto"/>
            <w:noWrap/>
            <w:vAlign w:val="bottom"/>
            <w:hideMark/>
          </w:tcPr>
          <w:p w14:paraId="415A1D49"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392247F8"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732FD5C0" w14:textId="77777777" w:rsidR="00BE6461" w:rsidRPr="00BE6461" w:rsidRDefault="00BE6461" w:rsidP="00BE6461">
            <w:pPr>
              <w:jc w:val="right"/>
              <w:rPr>
                <w:b/>
                <w:bCs/>
                <w:sz w:val="20"/>
                <w:szCs w:val="20"/>
              </w:rPr>
            </w:pPr>
            <w:r w:rsidRPr="00BE6461">
              <w:rPr>
                <w:b/>
                <w:bCs/>
                <w:sz w:val="20"/>
                <w:szCs w:val="20"/>
              </w:rPr>
              <w:t>2.000,00</w:t>
            </w:r>
          </w:p>
        </w:tc>
        <w:tc>
          <w:tcPr>
            <w:tcW w:w="1500" w:type="dxa"/>
            <w:tcBorders>
              <w:top w:val="nil"/>
              <w:left w:val="nil"/>
              <w:bottom w:val="nil"/>
              <w:right w:val="nil"/>
            </w:tcBorders>
            <w:shd w:val="clear" w:color="auto" w:fill="auto"/>
            <w:noWrap/>
            <w:vAlign w:val="bottom"/>
            <w:hideMark/>
          </w:tcPr>
          <w:p w14:paraId="0D280CBB" w14:textId="77777777" w:rsidR="00BE6461" w:rsidRPr="00BE6461" w:rsidRDefault="00BE6461" w:rsidP="00BE6461">
            <w:pPr>
              <w:jc w:val="right"/>
              <w:rPr>
                <w:b/>
                <w:bCs/>
                <w:sz w:val="20"/>
                <w:szCs w:val="20"/>
              </w:rPr>
            </w:pPr>
            <w:r w:rsidRPr="00BE6461">
              <w:rPr>
                <w:b/>
                <w:bCs/>
                <w:sz w:val="20"/>
                <w:szCs w:val="20"/>
              </w:rPr>
              <w:t>26,87</w:t>
            </w:r>
          </w:p>
        </w:tc>
        <w:tc>
          <w:tcPr>
            <w:tcW w:w="1100" w:type="dxa"/>
            <w:tcBorders>
              <w:top w:val="nil"/>
              <w:left w:val="nil"/>
              <w:bottom w:val="nil"/>
              <w:right w:val="nil"/>
            </w:tcBorders>
            <w:shd w:val="clear" w:color="auto" w:fill="auto"/>
            <w:noWrap/>
            <w:vAlign w:val="bottom"/>
            <w:hideMark/>
          </w:tcPr>
          <w:p w14:paraId="547D1DA7" w14:textId="77777777" w:rsidR="00BE6461" w:rsidRPr="00BE6461" w:rsidRDefault="00BE6461" w:rsidP="00BE6461">
            <w:pPr>
              <w:jc w:val="right"/>
              <w:rPr>
                <w:b/>
                <w:bCs/>
                <w:sz w:val="20"/>
                <w:szCs w:val="20"/>
              </w:rPr>
            </w:pPr>
            <w:r w:rsidRPr="00BE6461">
              <w:rPr>
                <w:b/>
                <w:bCs/>
                <w:sz w:val="20"/>
                <w:szCs w:val="20"/>
              </w:rPr>
              <w:t>1,34</w:t>
            </w:r>
          </w:p>
        </w:tc>
      </w:tr>
      <w:tr w:rsidR="00BE6461" w:rsidRPr="00BE6461" w14:paraId="2EA34F6E" w14:textId="77777777" w:rsidTr="00BE6461">
        <w:trPr>
          <w:trHeight w:val="300"/>
        </w:trPr>
        <w:tc>
          <w:tcPr>
            <w:tcW w:w="1703" w:type="dxa"/>
            <w:tcBorders>
              <w:top w:val="nil"/>
              <w:left w:val="nil"/>
              <w:bottom w:val="nil"/>
              <w:right w:val="nil"/>
            </w:tcBorders>
            <w:shd w:val="clear" w:color="auto" w:fill="auto"/>
            <w:noWrap/>
            <w:vAlign w:val="bottom"/>
            <w:hideMark/>
          </w:tcPr>
          <w:p w14:paraId="6D716149" w14:textId="77777777" w:rsidR="00BE6461" w:rsidRPr="00BE6461" w:rsidRDefault="00BE6461" w:rsidP="00BE6461">
            <w:pPr>
              <w:rPr>
                <w:sz w:val="20"/>
                <w:szCs w:val="20"/>
              </w:rPr>
            </w:pPr>
            <w:r w:rsidRPr="00BE6461">
              <w:rPr>
                <w:sz w:val="20"/>
                <w:szCs w:val="20"/>
              </w:rPr>
              <w:t>3293</w:t>
            </w:r>
          </w:p>
        </w:tc>
        <w:tc>
          <w:tcPr>
            <w:tcW w:w="8457" w:type="dxa"/>
            <w:tcBorders>
              <w:top w:val="nil"/>
              <w:left w:val="nil"/>
              <w:bottom w:val="nil"/>
              <w:right w:val="nil"/>
            </w:tcBorders>
            <w:shd w:val="clear" w:color="auto" w:fill="auto"/>
            <w:vAlign w:val="bottom"/>
            <w:hideMark/>
          </w:tcPr>
          <w:p w14:paraId="31AE24F5" w14:textId="77777777" w:rsidR="00BE6461" w:rsidRPr="00BE6461" w:rsidRDefault="00BE6461" w:rsidP="00BE6461">
            <w:pPr>
              <w:rPr>
                <w:sz w:val="20"/>
                <w:szCs w:val="20"/>
              </w:rPr>
            </w:pPr>
            <w:r w:rsidRPr="00BE6461">
              <w:rPr>
                <w:sz w:val="20"/>
                <w:szCs w:val="20"/>
              </w:rPr>
              <w:t xml:space="preserve">Reprezentacija                                                                                      </w:t>
            </w:r>
          </w:p>
        </w:tc>
        <w:tc>
          <w:tcPr>
            <w:tcW w:w="1503" w:type="dxa"/>
            <w:tcBorders>
              <w:top w:val="nil"/>
              <w:left w:val="nil"/>
              <w:bottom w:val="nil"/>
              <w:right w:val="nil"/>
            </w:tcBorders>
            <w:shd w:val="clear" w:color="auto" w:fill="auto"/>
            <w:noWrap/>
            <w:vAlign w:val="bottom"/>
            <w:hideMark/>
          </w:tcPr>
          <w:p w14:paraId="00CC932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33662A9" w14:textId="77777777" w:rsidR="00BE6461" w:rsidRPr="00BE6461" w:rsidRDefault="00BE6461" w:rsidP="00BE6461">
            <w:pPr>
              <w:jc w:val="right"/>
              <w:rPr>
                <w:sz w:val="20"/>
                <w:szCs w:val="20"/>
              </w:rPr>
            </w:pPr>
            <w:r w:rsidRPr="00BE6461">
              <w:rPr>
                <w:sz w:val="20"/>
                <w:szCs w:val="20"/>
              </w:rPr>
              <w:t>26,87</w:t>
            </w:r>
          </w:p>
        </w:tc>
        <w:tc>
          <w:tcPr>
            <w:tcW w:w="1100" w:type="dxa"/>
            <w:tcBorders>
              <w:top w:val="nil"/>
              <w:left w:val="nil"/>
              <w:bottom w:val="nil"/>
              <w:right w:val="nil"/>
            </w:tcBorders>
            <w:shd w:val="clear" w:color="auto" w:fill="auto"/>
            <w:noWrap/>
            <w:vAlign w:val="bottom"/>
            <w:hideMark/>
          </w:tcPr>
          <w:p w14:paraId="1873D446" w14:textId="77777777" w:rsidR="00BE6461" w:rsidRPr="00BE6461" w:rsidRDefault="00BE6461" w:rsidP="00BE6461">
            <w:pPr>
              <w:jc w:val="right"/>
              <w:rPr>
                <w:sz w:val="20"/>
                <w:szCs w:val="20"/>
              </w:rPr>
            </w:pPr>
          </w:p>
        </w:tc>
      </w:tr>
      <w:tr w:rsidR="00BE6461" w:rsidRPr="00BE6461" w14:paraId="40863D5C" w14:textId="77777777" w:rsidTr="00BE6461">
        <w:trPr>
          <w:trHeight w:val="300"/>
        </w:trPr>
        <w:tc>
          <w:tcPr>
            <w:tcW w:w="1703" w:type="dxa"/>
            <w:tcBorders>
              <w:top w:val="nil"/>
              <w:left w:val="nil"/>
              <w:bottom w:val="nil"/>
              <w:right w:val="nil"/>
            </w:tcBorders>
            <w:shd w:val="clear" w:color="auto" w:fill="auto"/>
            <w:noWrap/>
            <w:vAlign w:val="bottom"/>
            <w:hideMark/>
          </w:tcPr>
          <w:p w14:paraId="4A2B0C2C" w14:textId="77777777" w:rsidR="00BE6461" w:rsidRPr="00BE6461" w:rsidRDefault="00BE6461" w:rsidP="00BE6461">
            <w:pPr>
              <w:rPr>
                <w:sz w:val="20"/>
                <w:szCs w:val="20"/>
              </w:rPr>
            </w:pPr>
            <w:r w:rsidRPr="00BE6461">
              <w:rPr>
                <w:sz w:val="20"/>
                <w:szCs w:val="20"/>
              </w:rPr>
              <w:t>3299</w:t>
            </w:r>
          </w:p>
        </w:tc>
        <w:tc>
          <w:tcPr>
            <w:tcW w:w="8457" w:type="dxa"/>
            <w:tcBorders>
              <w:top w:val="nil"/>
              <w:left w:val="nil"/>
              <w:bottom w:val="nil"/>
              <w:right w:val="nil"/>
            </w:tcBorders>
            <w:shd w:val="clear" w:color="auto" w:fill="auto"/>
            <w:vAlign w:val="bottom"/>
            <w:hideMark/>
          </w:tcPr>
          <w:p w14:paraId="707ECC52" w14:textId="77777777" w:rsidR="00BE6461" w:rsidRPr="00BE6461" w:rsidRDefault="00BE6461" w:rsidP="00BE6461">
            <w:pPr>
              <w:rPr>
                <w:sz w:val="20"/>
                <w:szCs w:val="20"/>
              </w:rPr>
            </w:pPr>
            <w:r w:rsidRPr="00BE6461">
              <w:rPr>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4B716BE9"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945A8E1"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606C9468" w14:textId="77777777" w:rsidR="00BE6461" w:rsidRPr="00BE6461" w:rsidRDefault="00BE6461" w:rsidP="00BE6461">
            <w:pPr>
              <w:jc w:val="right"/>
              <w:rPr>
                <w:sz w:val="20"/>
                <w:szCs w:val="20"/>
              </w:rPr>
            </w:pPr>
          </w:p>
        </w:tc>
      </w:tr>
      <w:tr w:rsidR="00BE6461" w:rsidRPr="00BE6461" w14:paraId="4EC8E6EE"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8ECDB9E" w14:textId="77777777" w:rsidR="00BE6461" w:rsidRPr="00BE6461" w:rsidRDefault="00BE6461" w:rsidP="00BE6461">
            <w:pPr>
              <w:rPr>
                <w:b/>
                <w:bCs/>
                <w:color w:val="333333"/>
                <w:sz w:val="20"/>
                <w:szCs w:val="20"/>
              </w:rPr>
            </w:pPr>
            <w:r w:rsidRPr="00BE6461">
              <w:rPr>
                <w:b/>
                <w:bCs/>
                <w:color w:val="333333"/>
                <w:sz w:val="20"/>
                <w:szCs w:val="20"/>
              </w:rPr>
              <w:t>Izvor 5. POMOĆI</w:t>
            </w:r>
          </w:p>
        </w:tc>
        <w:tc>
          <w:tcPr>
            <w:tcW w:w="1503" w:type="dxa"/>
            <w:tcBorders>
              <w:top w:val="nil"/>
              <w:left w:val="nil"/>
              <w:bottom w:val="nil"/>
              <w:right w:val="nil"/>
            </w:tcBorders>
            <w:shd w:val="clear" w:color="auto" w:fill="auto"/>
            <w:noWrap/>
            <w:vAlign w:val="bottom"/>
            <w:hideMark/>
          </w:tcPr>
          <w:p w14:paraId="31B23D80" w14:textId="77777777" w:rsidR="00BE6461" w:rsidRPr="00BE6461" w:rsidRDefault="00BE6461" w:rsidP="00BE6461">
            <w:pPr>
              <w:jc w:val="right"/>
              <w:rPr>
                <w:b/>
                <w:bCs/>
                <w:color w:val="333333"/>
                <w:sz w:val="20"/>
                <w:szCs w:val="20"/>
              </w:rPr>
            </w:pPr>
            <w:r w:rsidRPr="00BE6461">
              <w:rPr>
                <w:b/>
                <w:bCs/>
                <w:color w:val="333333"/>
                <w:sz w:val="20"/>
                <w:szCs w:val="20"/>
              </w:rPr>
              <w:t>19.623,43</w:t>
            </w:r>
          </w:p>
        </w:tc>
        <w:tc>
          <w:tcPr>
            <w:tcW w:w="1500" w:type="dxa"/>
            <w:tcBorders>
              <w:top w:val="nil"/>
              <w:left w:val="nil"/>
              <w:bottom w:val="nil"/>
              <w:right w:val="nil"/>
            </w:tcBorders>
            <w:shd w:val="clear" w:color="auto" w:fill="auto"/>
            <w:noWrap/>
            <w:vAlign w:val="bottom"/>
            <w:hideMark/>
          </w:tcPr>
          <w:p w14:paraId="1DEE3024" w14:textId="77777777" w:rsidR="00BE6461" w:rsidRPr="00BE6461" w:rsidRDefault="00BE6461" w:rsidP="00BE6461">
            <w:pPr>
              <w:jc w:val="right"/>
              <w:rPr>
                <w:b/>
                <w:bCs/>
                <w:color w:val="333333"/>
                <w:sz w:val="20"/>
                <w:szCs w:val="20"/>
              </w:rPr>
            </w:pPr>
            <w:r w:rsidRPr="00BE6461">
              <w:rPr>
                <w:b/>
                <w:bCs/>
                <w:color w:val="333333"/>
                <w:sz w:val="20"/>
                <w:szCs w:val="20"/>
              </w:rPr>
              <w:t>8.623,43</w:t>
            </w:r>
          </w:p>
        </w:tc>
        <w:tc>
          <w:tcPr>
            <w:tcW w:w="1100" w:type="dxa"/>
            <w:tcBorders>
              <w:top w:val="nil"/>
              <w:left w:val="nil"/>
              <w:bottom w:val="nil"/>
              <w:right w:val="nil"/>
            </w:tcBorders>
            <w:shd w:val="clear" w:color="auto" w:fill="auto"/>
            <w:noWrap/>
            <w:vAlign w:val="bottom"/>
            <w:hideMark/>
          </w:tcPr>
          <w:p w14:paraId="55B9AA58" w14:textId="77777777" w:rsidR="00BE6461" w:rsidRPr="00BE6461" w:rsidRDefault="00BE6461" w:rsidP="00BE6461">
            <w:pPr>
              <w:jc w:val="right"/>
              <w:rPr>
                <w:b/>
                <w:bCs/>
                <w:color w:val="333333"/>
                <w:sz w:val="20"/>
                <w:szCs w:val="20"/>
              </w:rPr>
            </w:pPr>
            <w:r w:rsidRPr="00BE6461">
              <w:rPr>
                <w:b/>
                <w:bCs/>
                <w:color w:val="333333"/>
                <w:sz w:val="20"/>
                <w:szCs w:val="20"/>
              </w:rPr>
              <w:t>43,94</w:t>
            </w:r>
          </w:p>
        </w:tc>
      </w:tr>
      <w:tr w:rsidR="00BE6461" w:rsidRPr="00BE6461" w14:paraId="393F0384"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C50270F" w14:textId="77777777" w:rsidR="00BE6461" w:rsidRPr="00BE6461" w:rsidRDefault="00BE6461" w:rsidP="00BE6461">
            <w:pPr>
              <w:rPr>
                <w:b/>
                <w:bCs/>
                <w:color w:val="333333"/>
                <w:sz w:val="20"/>
                <w:szCs w:val="20"/>
              </w:rPr>
            </w:pPr>
            <w:r w:rsidRPr="00BE6461">
              <w:rPr>
                <w:b/>
                <w:bCs/>
                <w:color w:val="333333"/>
                <w:sz w:val="20"/>
                <w:szCs w:val="20"/>
              </w:rPr>
              <w:lastRenderedPageBreak/>
              <w:t>Izvor 5.2. POMOĆI - PRORAČUNSKI KORISNICI (GRAD)</w:t>
            </w:r>
          </w:p>
        </w:tc>
        <w:tc>
          <w:tcPr>
            <w:tcW w:w="1503" w:type="dxa"/>
            <w:tcBorders>
              <w:top w:val="nil"/>
              <w:left w:val="nil"/>
              <w:bottom w:val="nil"/>
              <w:right w:val="nil"/>
            </w:tcBorders>
            <w:shd w:val="clear" w:color="auto" w:fill="auto"/>
            <w:noWrap/>
            <w:vAlign w:val="bottom"/>
            <w:hideMark/>
          </w:tcPr>
          <w:p w14:paraId="79F721D1" w14:textId="77777777" w:rsidR="00BE6461" w:rsidRPr="00BE6461" w:rsidRDefault="00BE6461" w:rsidP="00BE6461">
            <w:pPr>
              <w:jc w:val="right"/>
              <w:rPr>
                <w:b/>
                <w:bCs/>
                <w:color w:val="333333"/>
                <w:sz w:val="20"/>
                <w:szCs w:val="20"/>
              </w:rPr>
            </w:pPr>
            <w:r w:rsidRPr="00BE6461">
              <w:rPr>
                <w:b/>
                <w:bCs/>
                <w:color w:val="333333"/>
                <w:sz w:val="20"/>
                <w:szCs w:val="20"/>
              </w:rPr>
              <w:t>19.623,43</w:t>
            </w:r>
          </w:p>
        </w:tc>
        <w:tc>
          <w:tcPr>
            <w:tcW w:w="1500" w:type="dxa"/>
            <w:tcBorders>
              <w:top w:val="nil"/>
              <w:left w:val="nil"/>
              <w:bottom w:val="nil"/>
              <w:right w:val="nil"/>
            </w:tcBorders>
            <w:shd w:val="clear" w:color="auto" w:fill="auto"/>
            <w:noWrap/>
            <w:vAlign w:val="bottom"/>
            <w:hideMark/>
          </w:tcPr>
          <w:p w14:paraId="18D9580C" w14:textId="77777777" w:rsidR="00BE6461" w:rsidRPr="00BE6461" w:rsidRDefault="00BE6461" w:rsidP="00BE6461">
            <w:pPr>
              <w:jc w:val="right"/>
              <w:rPr>
                <w:b/>
                <w:bCs/>
                <w:color w:val="333333"/>
                <w:sz w:val="20"/>
                <w:szCs w:val="20"/>
              </w:rPr>
            </w:pPr>
            <w:r w:rsidRPr="00BE6461">
              <w:rPr>
                <w:b/>
                <w:bCs/>
                <w:color w:val="333333"/>
                <w:sz w:val="20"/>
                <w:szCs w:val="20"/>
              </w:rPr>
              <w:t>8.623,43</w:t>
            </w:r>
          </w:p>
        </w:tc>
        <w:tc>
          <w:tcPr>
            <w:tcW w:w="1100" w:type="dxa"/>
            <w:tcBorders>
              <w:top w:val="nil"/>
              <w:left w:val="nil"/>
              <w:bottom w:val="nil"/>
              <w:right w:val="nil"/>
            </w:tcBorders>
            <w:shd w:val="clear" w:color="auto" w:fill="auto"/>
            <w:noWrap/>
            <w:vAlign w:val="bottom"/>
            <w:hideMark/>
          </w:tcPr>
          <w:p w14:paraId="6513876B" w14:textId="77777777" w:rsidR="00BE6461" w:rsidRPr="00BE6461" w:rsidRDefault="00BE6461" w:rsidP="00BE6461">
            <w:pPr>
              <w:jc w:val="right"/>
              <w:rPr>
                <w:b/>
                <w:bCs/>
                <w:color w:val="333333"/>
                <w:sz w:val="20"/>
                <w:szCs w:val="20"/>
              </w:rPr>
            </w:pPr>
            <w:r w:rsidRPr="00BE6461">
              <w:rPr>
                <w:b/>
                <w:bCs/>
                <w:color w:val="333333"/>
                <w:sz w:val="20"/>
                <w:szCs w:val="20"/>
              </w:rPr>
              <w:t>43,94</w:t>
            </w:r>
          </w:p>
        </w:tc>
      </w:tr>
      <w:tr w:rsidR="00BE6461" w:rsidRPr="00BE6461" w14:paraId="55F8582E" w14:textId="77777777" w:rsidTr="00BE6461">
        <w:trPr>
          <w:trHeight w:val="300"/>
        </w:trPr>
        <w:tc>
          <w:tcPr>
            <w:tcW w:w="1703" w:type="dxa"/>
            <w:tcBorders>
              <w:top w:val="nil"/>
              <w:left w:val="nil"/>
              <w:bottom w:val="nil"/>
              <w:right w:val="nil"/>
            </w:tcBorders>
            <w:shd w:val="clear" w:color="auto" w:fill="auto"/>
            <w:noWrap/>
            <w:vAlign w:val="bottom"/>
            <w:hideMark/>
          </w:tcPr>
          <w:p w14:paraId="4176AB28"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0090ECF6"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52DF3B29" w14:textId="77777777" w:rsidR="00BE6461" w:rsidRPr="00BE6461" w:rsidRDefault="00BE6461" w:rsidP="00BE6461">
            <w:pPr>
              <w:jc w:val="right"/>
              <w:rPr>
                <w:b/>
                <w:bCs/>
                <w:sz w:val="20"/>
                <w:szCs w:val="20"/>
              </w:rPr>
            </w:pPr>
            <w:r w:rsidRPr="00BE6461">
              <w:rPr>
                <w:b/>
                <w:bCs/>
                <w:sz w:val="20"/>
                <w:szCs w:val="20"/>
              </w:rPr>
              <w:t>1.000,00</w:t>
            </w:r>
          </w:p>
        </w:tc>
        <w:tc>
          <w:tcPr>
            <w:tcW w:w="1500" w:type="dxa"/>
            <w:tcBorders>
              <w:top w:val="nil"/>
              <w:left w:val="nil"/>
              <w:bottom w:val="nil"/>
              <w:right w:val="nil"/>
            </w:tcBorders>
            <w:shd w:val="clear" w:color="auto" w:fill="auto"/>
            <w:noWrap/>
            <w:vAlign w:val="bottom"/>
            <w:hideMark/>
          </w:tcPr>
          <w:p w14:paraId="58ED6AA9"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2721C7BD"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0FCCF330" w14:textId="77777777" w:rsidTr="00BE6461">
        <w:trPr>
          <w:trHeight w:val="300"/>
        </w:trPr>
        <w:tc>
          <w:tcPr>
            <w:tcW w:w="1703" w:type="dxa"/>
            <w:tcBorders>
              <w:top w:val="nil"/>
              <w:left w:val="nil"/>
              <w:bottom w:val="nil"/>
              <w:right w:val="nil"/>
            </w:tcBorders>
            <w:shd w:val="clear" w:color="auto" w:fill="auto"/>
            <w:noWrap/>
            <w:vAlign w:val="bottom"/>
            <w:hideMark/>
          </w:tcPr>
          <w:p w14:paraId="335BB13B" w14:textId="77777777" w:rsidR="00BE6461" w:rsidRPr="00BE6461" w:rsidRDefault="00BE6461" w:rsidP="00BE6461">
            <w:pPr>
              <w:rPr>
                <w:sz w:val="20"/>
                <w:szCs w:val="20"/>
              </w:rPr>
            </w:pPr>
            <w:r w:rsidRPr="00BE6461">
              <w:rPr>
                <w:sz w:val="20"/>
                <w:szCs w:val="20"/>
              </w:rPr>
              <w:t>3221</w:t>
            </w:r>
          </w:p>
        </w:tc>
        <w:tc>
          <w:tcPr>
            <w:tcW w:w="8457" w:type="dxa"/>
            <w:tcBorders>
              <w:top w:val="nil"/>
              <w:left w:val="nil"/>
              <w:bottom w:val="nil"/>
              <w:right w:val="nil"/>
            </w:tcBorders>
            <w:shd w:val="clear" w:color="auto" w:fill="auto"/>
            <w:vAlign w:val="bottom"/>
            <w:hideMark/>
          </w:tcPr>
          <w:p w14:paraId="5FAAFA13" w14:textId="77777777" w:rsidR="00BE6461" w:rsidRPr="00BE6461" w:rsidRDefault="00BE6461" w:rsidP="00BE6461">
            <w:pPr>
              <w:rPr>
                <w:sz w:val="20"/>
                <w:szCs w:val="20"/>
              </w:rPr>
            </w:pPr>
            <w:r w:rsidRPr="00BE6461">
              <w:rPr>
                <w:sz w:val="20"/>
                <w:szCs w:val="20"/>
              </w:rPr>
              <w:t xml:space="preserve">Uredski materijal i ostali materijalni rashodi                                                      </w:t>
            </w:r>
          </w:p>
        </w:tc>
        <w:tc>
          <w:tcPr>
            <w:tcW w:w="1503" w:type="dxa"/>
            <w:tcBorders>
              <w:top w:val="nil"/>
              <w:left w:val="nil"/>
              <w:bottom w:val="nil"/>
              <w:right w:val="nil"/>
            </w:tcBorders>
            <w:shd w:val="clear" w:color="auto" w:fill="auto"/>
            <w:noWrap/>
            <w:vAlign w:val="bottom"/>
            <w:hideMark/>
          </w:tcPr>
          <w:p w14:paraId="3D489C5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5A2B5F6"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6E2B579C" w14:textId="77777777" w:rsidR="00BE6461" w:rsidRPr="00BE6461" w:rsidRDefault="00BE6461" w:rsidP="00BE6461">
            <w:pPr>
              <w:jc w:val="right"/>
              <w:rPr>
                <w:sz w:val="20"/>
                <w:szCs w:val="20"/>
              </w:rPr>
            </w:pPr>
          </w:p>
        </w:tc>
      </w:tr>
      <w:tr w:rsidR="00BE6461" w:rsidRPr="00BE6461" w14:paraId="21DCD230" w14:textId="77777777" w:rsidTr="00BE6461">
        <w:trPr>
          <w:trHeight w:val="300"/>
        </w:trPr>
        <w:tc>
          <w:tcPr>
            <w:tcW w:w="1703" w:type="dxa"/>
            <w:tcBorders>
              <w:top w:val="nil"/>
              <w:left w:val="nil"/>
              <w:bottom w:val="nil"/>
              <w:right w:val="nil"/>
            </w:tcBorders>
            <w:shd w:val="clear" w:color="auto" w:fill="auto"/>
            <w:noWrap/>
            <w:vAlign w:val="bottom"/>
            <w:hideMark/>
          </w:tcPr>
          <w:p w14:paraId="449A2120"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67F5944D"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53473958" w14:textId="77777777" w:rsidR="00BE6461" w:rsidRPr="00BE6461" w:rsidRDefault="00BE6461" w:rsidP="00BE6461">
            <w:pPr>
              <w:jc w:val="right"/>
              <w:rPr>
                <w:b/>
                <w:bCs/>
                <w:sz w:val="20"/>
                <w:szCs w:val="20"/>
              </w:rPr>
            </w:pPr>
            <w:r w:rsidRPr="00BE6461">
              <w:rPr>
                <w:b/>
                <w:bCs/>
                <w:sz w:val="20"/>
                <w:szCs w:val="20"/>
              </w:rPr>
              <w:t>17.623,43</w:t>
            </w:r>
          </w:p>
        </w:tc>
        <w:tc>
          <w:tcPr>
            <w:tcW w:w="1500" w:type="dxa"/>
            <w:tcBorders>
              <w:top w:val="nil"/>
              <w:left w:val="nil"/>
              <w:bottom w:val="nil"/>
              <w:right w:val="nil"/>
            </w:tcBorders>
            <w:shd w:val="clear" w:color="auto" w:fill="auto"/>
            <w:noWrap/>
            <w:vAlign w:val="bottom"/>
            <w:hideMark/>
          </w:tcPr>
          <w:p w14:paraId="6E6FC9F8" w14:textId="77777777" w:rsidR="00BE6461" w:rsidRPr="00BE6461" w:rsidRDefault="00BE6461" w:rsidP="00BE6461">
            <w:pPr>
              <w:jc w:val="right"/>
              <w:rPr>
                <w:b/>
                <w:bCs/>
                <w:sz w:val="20"/>
                <w:szCs w:val="20"/>
              </w:rPr>
            </w:pPr>
            <w:r w:rsidRPr="00BE6461">
              <w:rPr>
                <w:b/>
                <w:bCs/>
                <w:sz w:val="20"/>
                <w:szCs w:val="20"/>
              </w:rPr>
              <w:t>7.947,30</w:t>
            </w:r>
          </w:p>
        </w:tc>
        <w:tc>
          <w:tcPr>
            <w:tcW w:w="1100" w:type="dxa"/>
            <w:tcBorders>
              <w:top w:val="nil"/>
              <w:left w:val="nil"/>
              <w:bottom w:val="nil"/>
              <w:right w:val="nil"/>
            </w:tcBorders>
            <w:shd w:val="clear" w:color="auto" w:fill="auto"/>
            <w:noWrap/>
            <w:vAlign w:val="bottom"/>
            <w:hideMark/>
          </w:tcPr>
          <w:p w14:paraId="51A4299A" w14:textId="77777777" w:rsidR="00BE6461" w:rsidRPr="00BE6461" w:rsidRDefault="00BE6461" w:rsidP="00BE6461">
            <w:pPr>
              <w:jc w:val="right"/>
              <w:rPr>
                <w:b/>
                <w:bCs/>
                <w:sz w:val="20"/>
                <w:szCs w:val="20"/>
              </w:rPr>
            </w:pPr>
            <w:r w:rsidRPr="00BE6461">
              <w:rPr>
                <w:b/>
                <w:bCs/>
                <w:sz w:val="20"/>
                <w:szCs w:val="20"/>
              </w:rPr>
              <w:t>45,10</w:t>
            </w:r>
          </w:p>
        </w:tc>
      </w:tr>
      <w:tr w:rsidR="00BE6461" w:rsidRPr="00BE6461" w14:paraId="3B6DECCA" w14:textId="77777777" w:rsidTr="00BE6461">
        <w:trPr>
          <w:trHeight w:val="300"/>
        </w:trPr>
        <w:tc>
          <w:tcPr>
            <w:tcW w:w="1703" w:type="dxa"/>
            <w:tcBorders>
              <w:top w:val="nil"/>
              <w:left w:val="nil"/>
              <w:bottom w:val="nil"/>
              <w:right w:val="nil"/>
            </w:tcBorders>
            <w:shd w:val="clear" w:color="auto" w:fill="auto"/>
            <w:noWrap/>
            <w:vAlign w:val="bottom"/>
            <w:hideMark/>
          </w:tcPr>
          <w:p w14:paraId="2F783BBA"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32982291"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1172DFE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F0488D7" w14:textId="77777777" w:rsidR="00BE6461" w:rsidRPr="00BE6461" w:rsidRDefault="00BE6461" w:rsidP="00BE6461">
            <w:pPr>
              <w:jc w:val="right"/>
              <w:rPr>
                <w:sz w:val="20"/>
                <w:szCs w:val="20"/>
              </w:rPr>
            </w:pPr>
            <w:r w:rsidRPr="00BE6461">
              <w:rPr>
                <w:sz w:val="20"/>
                <w:szCs w:val="20"/>
              </w:rPr>
              <w:t>7.947,30</w:t>
            </w:r>
          </w:p>
        </w:tc>
        <w:tc>
          <w:tcPr>
            <w:tcW w:w="1100" w:type="dxa"/>
            <w:tcBorders>
              <w:top w:val="nil"/>
              <w:left w:val="nil"/>
              <w:bottom w:val="nil"/>
              <w:right w:val="nil"/>
            </w:tcBorders>
            <w:shd w:val="clear" w:color="auto" w:fill="auto"/>
            <w:noWrap/>
            <w:vAlign w:val="bottom"/>
            <w:hideMark/>
          </w:tcPr>
          <w:p w14:paraId="6C029DD5" w14:textId="77777777" w:rsidR="00BE6461" w:rsidRPr="00BE6461" w:rsidRDefault="00BE6461" w:rsidP="00BE6461">
            <w:pPr>
              <w:jc w:val="right"/>
              <w:rPr>
                <w:sz w:val="20"/>
                <w:szCs w:val="20"/>
              </w:rPr>
            </w:pPr>
          </w:p>
        </w:tc>
      </w:tr>
      <w:tr w:rsidR="00BE6461" w:rsidRPr="00BE6461" w14:paraId="241B2A13" w14:textId="77777777" w:rsidTr="00BE6461">
        <w:trPr>
          <w:trHeight w:val="300"/>
        </w:trPr>
        <w:tc>
          <w:tcPr>
            <w:tcW w:w="1703" w:type="dxa"/>
            <w:tcBorders>
              <w:top w:val="nil"/>
              <w:left w:val="nil"/>
              <w:bottom w:val="nil"/>
              <w:right w:val="nil"/>
            </w:tcBorders>
            <w:shd w:val="clear" w:color="auto" w:fill="auto"/>
            <w:noWrap/>
            <w:vAlign w:val="bottom"/>
            <w:hideMark/>
          </w:tcPr>
          <w:p w14:paraId="0321D754"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444E721B"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107C3F52" w14:textId="77777777" w:rsidR="00BE6461" w:rsidRPr="00BE6461" w:rsidRDefault="00BE6461" w:rsidP="00BE6461">
            <w:pPr>
              <w:jc w:val="right"/>
              <w:rPr>
                <w:b/>
                <w:bCs/>
                <w:sz w:val="20"/>
                <w:szCs w:val="20"/>
              </w:rPr>
            </w:pPr>
            <w:r w:rsidRPr="00BE6461">
              <w:rPr>
                <w:b/>
                <w:bCs/>
                <w:sz w:val="20"/>
                <w:szCs w:val="20"/>
              </w:rPr>
              <w:t>1.000,00</w:t>
            </w:r>
          </w:p>
        </w:tc>
        <w:tc>
          <w:tcPr>
            <w:tcW w:w="1500" w:type="dxa"/>
            <w:tcBorders>
              <w:top w:val="nil"/>
              <w:left w:val="nil"/>
              <w:bottom w:val="nil"/>
              <w:right w:val="nil"/>
            </w:tcBorders>
            <w:shd w:val="clear" w:color="auto" w:fill="auto"/>
            <w:noWrap/>
            <w:vAlign w:val="bottom"/>
            <w:hideMark/>
          </w:tcPr>
          <w:p w14:paraId="0995D82D" w14:textId="77777777" w:rsidR="00BE6461" w:rsidRPr="00BE6461" w:rsidRDefault="00BE6461" w:rsidP="00BE6461">
            <w:pPr>
              <w:jc w:val="right"/>
              <w:rPr>
                <w:b/>
                <w:bCs/>
                <w:sz w:val="20"/>
                <w:szCs w:val="20"/>
              </w:rPr>
            </w:pPr>
            <w:r w:rsidRPr="00BE6461">
              <w:rPr>
                <w:b/>
                <w:bCs/>
                <w:sz w:val="20"/>
                <w:szCs w:val="20"/>
              </w:rPr>
              <w:t>676,13</w:t>
            </w:r>
          </w:p>
        </w:tc>
        <w:tc>
          <w:tcPr>
            <w:tcW w:w="1100" w:type="dxa"/>
            <w:tcBorders>
              <w:top w:val="nil"/>
              <w:left w:val="nil"/>
              <w:bottom w:val="nil"/>
              <w:right w:val="nil"/>
            </w:tcBorders>
            <w:shd w:val="clear" w:color="auto" w:fill="auto"/>
            <w:noWrap/>
            <w:vAlign w:val="bottom"/>
            <w:hideMark/>
          </w:tcPr>
          <w:p w14:paraId="5492F057" w14:textId="77777777" w:rsidR="00BE6461" w:rsidRPr="00BE6461" w:rsidRDefault="00BE6461" w:rsidP="00BE6461">
            <w:pPr>
              <w:jc w:val="right"/>
              <w:rPr>
                <w:b/>
                <w:bCs/>
                <w:sz w:val="20"/>
                <w:szCs w:val="20"/>
              </w:rPr>
            </w:pPr>
            <w:r w:rsidRPr="00BE6461">
              <w:rPr>
                <w:b/>
                <w:bCs/>
                <w:sz w:val="20"/>
                <w:szCs w:val="20"/>
              </w:rPr>
              <w:t>67,61</w:t>
            </w:r>
          </w:p>
        </w:tc>
      </w:tr>
      <w:tr w:rsidR="00BE6461" w:rsidRPr="00BE6461" w14:paraId="3388F0AD" w14:textId="77777777" w:rsidTr="00BE6461">
        <w:trPr>
          <w:trHeight w:val="300"/>
        </w:trPr>
        <w:tc>
          <w:tcPr>
            <w:tcW w:w="1703" w:type="dxa"/>
            <w:tcBorders>
              <w:top w:val="nil"/>
              <w:left w:val="nil"/>
              <w:bottom w:val="nil"/>
              <w:right w:val="nil"/>
            </w:tcBorders>
            <w:shd w:val="clear" w:color="auto" w:fill="auto"/>
            <w:noWrap/>
            <w:vAlign w:val="bottom"/>
            <w:hideMark/>
          </w:tcPr>
          <w:p w14:paraId="4129E708" w14:textId="77777777" w:rsidR="00BE6461" w:rsidRPr="00BE6461" w:rsidRDefault="00BE6461" w:rsidP="00BE6461">
            <w:pPr>
              <w:rPr>
                <w:sz w:val="20"/>
                <w:szCs w:val="20"/>
              </w:rPr>
            </w:pPr>
            <w:r w:rsidRPr="00BE6461">
              <w:rPr>
                <w:sz w:val="20"/>
                <w:szCs w:val="20"/>
              </w:rPr>
              <w:t>3293</w:t>
            </w:r>
          </w:p>
        </w:tc>
        <w:tc>
          <w:tcPr>
            <w:tcW w:w="8457" w:type="dxa"/>
            <w:tcBorders>
              <w:top w:val="nil"/>
              <w:left w:val="nil"/>
              <w:bottom w:val="nil"/>
              <w:right w:val="nil"/>
            </w:tcBorders>
            <w:shd w:val="clear" w:color="auto" w:fill="auto"/>
            <w:vAlign w:val="bottom"/>
            <w:hideMark/>
          </w:tcPr>
          <w:p w14:paraId="7F90E65C" w14:textId="77777777" w:rsidR="00BE6461" w:rsidRPr="00BE6461" w:rsidRDefault="00BE6461" w:rsidP="00BE6461">
            <w:pPr>
              <w:rPr>
                <w:sz w:val="20"/>
                <w:szCs w:val="20"/>
              </w:rPr>
            </w:pPr>
            <w:r w:rsidRPr="00BE6461">
              <w:rPr>
                <w:sz w:val="20"/>
                <w:szCs w:val="20"/>
              </w:rPr>
              <w:t xml:space="preserve">Reprezentacija                                                                                      </w:t>
            </w:r>
          </w:p>
        </w:tc>
        <w:tc>
          <w:tcPr>
            <w:tcW w:w="1503" w:type="dxa"/>
            <w:tcBorders>
              <w:top w:val="nil"/>
              <w:left w:val="nil"/>
              <w:bottom w:val="nil"/>
              <w:right w:val="nil"/>
            </w:tcBorders>
            <w:shd w:val="clear" w:color="auto" w:fill="auto"/>
            <w:noWrap/>
            <w:vAlign w:val="bottom"/>
            <w:hideMark/>
          </w:tcPr>
          <w:p w14:paraId="74E24A0F"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8401E5B" w14:textId="77777777" w:rsidR="00BE6461" w:rsidRPr="00BE6461" w:rsidRDefault="00BE6461" w:rsidP="00BE6461">
            <w:pPr>
              <w:jc w:val="right"/>
              <w:rPr>
                <w:sz w:val="20"/>
                <w:szCs w:val="20"/>
              </w:rPr>
            </w:pPr>
            <w:r w:rsidRPr="00BE6461">
              <w:rPr>
                <w:sz w:val="20"/>
                <w:szCs w:val="20"/>
              </w:rPr>
              <w:t>676,13</w:t>
            </w:r>
          </w:p>
        </w:tc>
        <w:tc>
          <w:tcPr>
            <w:tcW w:w="1100" w:type="dxa"/>
            <w:tcBorders>
              <w:top w:val="nil"/>
              <w:left w:val="nil"/>
              <w:bottom w:val="nil"/>
              <w:right w:val="nil"/>
            </w:tcBorders>
            <w:shd w:val="clear" w:color="auto" w:fill="auto"/>
            <w:noWrap/>
            <w:vAlign w:val="bottom"/>
            <w:hideMark/>
          </w:tcPr>
          <w:p w14:paraId="3ED95B1B" w14:textId="77777777" w:rsidR="00BE6461" w:rsidRPr="00BE6461" w:rsidRDefault="00BE6461" w:rsidP="00BE6461">
            <w:pPr>
              <w:jc w:val="right"/>
              <w:rPr>
                <w:sz w:val="20"/>
                <w:szCs w:val="20"/>
              </w:rPr>
            </w:pPr>
          </w:p>
        </w:tc>
      </w:tr>
      <w:tr w:rsidR="00BE6461" w:rsidRPr="00BE6461" w14:paraId="61EC0445"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2785FCD5" w14:textId="77777777" w:rsidR="00BE6461" w:rsidRPr="00BE6461" w:rsidRDefault="00BE6461" w:rsidP="00BE6461">
            <w:pPr>
              <w:rPr>
                <w:b/>
                <w:bCs/>
                <w:sz w:val="20"/>
                <w:szCs w:val="20"/>
              </w:rPr>
            </w:pPr>
            <w:r w:rsidRPr="00BE6461">
              <w:rPr>
                <w:b/>
                <w:bCs/>
                <w:sz w:val="20"/>
                <w:szCs w:val="20"/>
              </w:rPr>
              <w:t>A100071</w:t>
            </w:r>
          </w:p>
        </w:tc>
        <w:tc>
          <w:tcPr>
            <w:tcW w:w="8457" w:type="dxa"/>
            <w:tcBorders>
              <w:top w:val="single" w:sz="4" w:space="0" w:color="auto"/>
              <w:left w:val="nil"/>
              <w:bottom w:val="single" w:sz="4" w:space="0" w:color="auto"/>
              <w:right w:val="nil"/>
            </w:tcBorders>
            <w:shd w:val="clear" w:color="auto" w:fill="auto"/>
            <w:vAlign w:val="bottom"/>
            <w:hideMark/>
          </w:tcPr>
          <w:p w14:paraId="5A414501" w14:textId="77777777" w:rsidR="00BE6461" w:rsidRPr="00BE6461" w:rsidRDefault="00BE6461" w:rsidP="00BE6461">
            <w:pPr>
              <w:rPr>
                <w:b/>
                <w:bCs/>
                <w:sz w:val="20"/>
                <w:szCs w:val="20"/>
              </w:rPr>
            </w:pPr>
            <w:r w:rsidRPr="00BE6461">
              <w:rPr>
                <w:b/>
                <w:bCs/>
                <w:sz w:val="20"/>
                <w:szCs w:val="20"/>
              </w:rPr>
              <w:t>Aktivnost: MUZEJ</w:t>
            </w:r>
          </w:p>
        </w:tc>
        <w:tc>
          <w:tcPr>
            <w:tcW w:w="1503" w:type="dxa"/>
            <w:tcBorders>
              <w:top w:val="single" w:sz="4" w:space="0" w:color="auto"/>
              <w:left w:val="nil"/>
              <w:bottom w:val="single" w:sz="4" w:space="0" w:color="auto"/>
              <w:right w:val="nil"/>
            </w:tcBorders>
            <w:shd w:val="clear" w:color="auto" w:fill="auto"/>
            <w:noWrap/>
            <w:vAlign w:val="bottom"/>
            <w:hideMark/>
          </w:tcPr>
          <w:p w14:paraId="15011819" w14:textId="77777777" w:rsidR="00BE6461" w:rsidRPr="00BE6461" w:rsidRDefault="00BE6461" w:rsidP="00BE6461">
            <w:pPr>
              <w:jc w:val="right"/>
              <w:rPr>
                <w:b/>
                <w:bCs/>
                <w:sz w:val="20"/>
                <w:szCs w:val="20"/>
              </w:rPr>
            </w:pPr>
            <w:r w:rsidRPr="00BE6461">
              <w:rPr>
                <w:b/>
                <w:bCs/>
                <w:sz w:val="20"/>
                <w:szCs w:val="20"/>
              </w:rPr>
              <w:t>29.338,96</w:t>
            </w:r>
          </w:p>
        </w:tc>
        <w:tc>
          <w:tcPr>
            <w:tcW w:w="1500" w:type="dxa"/>
            <w:tcBorders>
              <w:top w:val="single" w:sz="4" w:space="0" w:color="auto"/>
              <w:left w:val="nil"/>
              <w:bottom w:val="single" w:sz="4" w:space="0" w:color="auto"/>
              <w:right w:val="nil"/>
            </w:tcBorders>
            <w:shd w:val="clear" w:color="auto" w:fill="auto"/>
            <w:noWrap/>
            <w:vAlign w:val="bottom"/>
            <w:hideMark/>
          </w:tcPr>
          <w:p w14:paraId="66063DAA" w14:textId="77777777" w:rsidR="00BE6461" w:rsidRPr="00BE6461" w:rsidRDefault="00BE6461" w:rsidP="00BE6461">
            <w:pPr>
              <w:jc w:val="right"/>
              <w:rPr>
                <w:b/>
                <w:bCs/>
                <w:sz w:val="20"/>
                <w:szCs w:val="20"/>
              </w:rPr>
            </w:pPr>
            <w:r w:rsidRPr="00BE6461">
              <w:rPr>
                <w:b/>
                <w:bCs/>
                <w:sz w:val="20"/>
                <w:szCs w:val="20"/>
              </w:rPr>
              <w:t>19.152,94</w:t>
            </w:r>
          </w:p>
        </w:tc>
        <w:tc>
          <w:tcPr>
            <w:tcW w:w="1100" w:type="dxa"/>
            <w:tcBorders>
              <w:top w:val="single" w:sz="4" w:space="0" w:color="auto"/>
              <w:left w:val="nil"/>
              <w:bottom w:val="single" w:sz="4" w:space="0" w:color="auto"/>
              <w:right w:val="nil"/>
            </w:tcBorders>
            <w:shd w:val="clear" w:color="auto" w:fill="auto"/>
            <w:noWrap/>
            <w:vAlign w:val="bottom"/>
            <w:hideMark/>
          </w:tcPr>
          <w:p w14:paraId="187880A5" w14:textId="77777777" w:rsidR="00BE6461" w:rsidRPr="00BE6461" w:rsidRDefault="00BE6461" w:rsidP="00BE6461">
            <w:pPr>
              <w:jc w:val="right"/>
              <w:rPr>
                <w:b/>
                <w:bCs/>
                <w:sz w:val="20"/>
                <w:szCs w:val="20"/>
              </w:rPr>
            </w:pPr>
            <w:r w:rsidRPr="00BE6461">
              <w:rPr>
                <w:b/>
                <w:bCs/>
                <w:sz w:val="20"/>
                <w:szCs w:val="20"/>
              </w:rPr>
              <w:t>65,28</w:t>
            </w:r>
          </w:p>
        </w:tc>
      </w:tr>
      <w:tr w:rsidR="00BE6461" w:rsidRPr="00BE6461" w14:paraId="12B12289"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66CAC19"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02131D8B" w14:textId="77777777" w:rsidR="00BE6461" w:rsidRPr="00BE6461" w:rsidRDefault="00BE6461" w:rsidP="00BE6461">
            <w:pPr>
              <w:jc w:val="right"/>
              <w:rPr>
                <w:b/>
                <w:bCs/>
                <w:color w:val="333333"/>
                <w:sz w:val="20"/>
                <w:szCs w:val="20"/>
              </w:rPr>
            </w:pPr>
            <w:r w:rsidRPr="00BE6461">
              <w:rPr>
                <w:b/>
                <w:bCs/>
                <w:color w:val="333333"/>
                <w:sz w:val="20"/>
                <w:szCs w:val="20"/>
              </w:rPr>
              <w:t>17.593,23</w:t>
            </w:r>
          </w:p>
        </w:tc>
        <w:tc>
          <w:tcPr>
            <w:tcW w:w="1500" w:type="dxa"/>
            <w:tcBorders>
              <w:top w:val="nil"/>
              <w:left w:val="nil"/>
              <w:bottom w:val="nil"/>
              <w:right w:val="nil"/>
            </w:tcBorders>
            <w:shd w:val="clear" w:color="auto" w:fill="auto"/>
            <w:noWrap/>
            <w:vAlign w:val="bottom"/>
            <w:hideMark/>
          </w:tcPr>
          <w:p w14:paraId="32610489" w14:textId="77777777" w:rsidR="00BE6461" w:rsidRPr="00BE6461" w:rsidRDefault="00BE6461" w:rsidP="00BE6461">
            <w:pPr>
              <w:jc w:val="right"/>
              <w:rPr>
                <w:b/>
                <w:bCs/>
                <w:color w:val="333333"/>
                <w:sz w:val="20"/>
                <w:szCs w:val="20"/>
              </w:rPr>
            </w:pPr>
            <w:r w:rsidRPr="00BE6461">
              <w:rPr>
                <w:b/>
                <w:bCs/>
                <w:color w:val="333333"/>
                <w:sz w:val="20"/>
                <w:szCs w:val="20"/>
              </w:rPr>
              <w:t>8.907,21</w:t>
            </w:r>
          </w:p>
        </w:tc>
        <w:tc>
          <w:tcPr>
            <w:tcW w:w="1100" w:type="dxa"/>
            <w:tcBorders>
              <w:top w:val="nil"/>
              <w:left w:val="nil"/>
              <w:bottom w:val="nil"/>
              <w:right w:val="nil"/>
            </w:tcBorders>
            <w:shd w:val="clear" w:color="auto" w:fill="auto"/>
            <w:noWrap/>
            <w:vAlign w:val="bottom"/>
            <w:hideMark/>
          </w:tcPr>
          <w:p w14:paraId="4EF7C799" w14:textId="77777777" w:rsidR="00BE6461" w:rsidRPr="00BE6461" w:rsidRDefault="00BE6461" w:rsidP="00BE6461">
            <w:pPr>
              <w:jc w:val="right"/>
              <w:rPr>
                <w:b/>
                <w:bCs/>
                <w:color w:val="333333"/>
                <w:sz w:val="20"/>
                <w:szCs w:val="20"/>
              </w:rPr>
            </w:pPr>
            <w:r w:rsidRPr="00BE6461">
              <w:rPr>
                <w:b/>
                <w:bCs/>
                <w:color w:val="333333"/>
                <w:sz w:val="20"/>
                <w:szCs w:val="20"/>
              </w:rPr>
              <w:t>50,63</w:t>
            </w:r>
          </w:p>
        </w:tc>
      </w:tr>
      <w:tr w:rsidR="00BE6461" w:rsidRPr="00BE6461" w14:paraId="741B83DF"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0868F1A"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352CAE2A" w14:textId="77777777" w:rsidR="00BE6461" w:rsidRPr="00BE6461" w:rsidRDefault="00BE6461" w:rsidP="00BE6461">
            <w:pPr>
              <w:jc w:val="right"/>
              <w:rPr>
                <w:b/>
                <w:bCs/>
                <w:color w:val="333333"/>
                <w:sz w:val="20"/>
                <w:szCs w:val="20"/>
              </w:rPr>
            </w:pPr>
            <w:r w:rsidRPr="00BE6461">
              <w:rPr>
                <w:b/>
                <w:bCs/>
                <w:color w:val="333333"/>
                <w:sz w:val="20"/>
                <w:szCs w:val="20"/>
              </w:rPr>
              <w:t>17.593,23</w:t>
            </w:r>
          </w:p>
        </w:tc>
        <w:tc>
          <w:tcPr>
            <w:tcW w:w="1500" w:type="dxa"/>
            <w:tcBorders>
              <w:top w:val="nil"/>
              <w:left w:val="nil"/>
              <w:bottom w:val="nil"/>
              <w:right w:val="nil"/>
            </w:tcBorders>
            <w:shd w:val="clear" w:color="auto" w:fill="auto"/>
            <w:noWrap/>
            <w:vAlign w:val="bottom"/>
            <w:hideMark/>
          </w:tcPr>
          <w:p w14:paraId="0E22534F" w14:textId="77777777" w:rsidR="00BE6461" w:rsidRPr="00BE6461" w:rsidRDefault="00BE6461" w:rsidP="00BE6461">
            <w:pPr>
              <w:jc w:val="right"/>
              <w:rPr>
                <w:b/>
                <w:bCs/>
                <w:color w:val="333333"/>
                <w:sz w:val="20"/>
                <w:szCs w:val="20"/>
              </w:rPr>
            </w:pPr>
            <w:r w:rsidRPr="00BE6461">
              <w:rPr>
                <w:b/>
                <w:bCs/>
                <w:color w:val="333333"/>
                <w:sz w:val="20"/>
                <w:szCs w:val="20"/>
              </w:rPr>
              <w:t>8.907,21</w:t>
            </w:r>
          </w:p>
        </w:tc>
        <w:tc>
          <w:tcPr>
            <w:tcW w:w="1100" w:type="dxa"/>
            <w:tcBorders>
              <w:top w:val="nil"/>
              <w:left w:val="nil"/>
              <w:bottom w:val="nil"/>
              <w:right w:val="nil"/>
            </w:tcBorders>
            <w:shd w:val="clear" w:color="auto" w:fill="auto"/>
            <w:noWrap/>
            <w:vAlign w:val="bottom"/>
            <w:hideMark/>
          </w:tcPr>
          <w:p w14:paraId="55E2AD34" w14:textId="77777777" w:rsidR="00BE6461" w:rsidRPr="00BE6461" w:rsidRDefault="00BE6461" w:rsidP="00BE6461">
            <w:pPr>
              <w:jc w:val="right"/>
              <w:rPr>
                <w:b/>
                <w:bCs/>
                <w:color w:val="333333"/>
                <w:sz w:val="20"/>
                <w:szCs w:val="20"/>
              </w:rPr>
            </w:pPr>
            <w:r w:rsidRPr="00BE6461">
              <w:rPr>
                <w:b/>
                <w:bCs/>
                <w:color w:val="333333"/>
                <w:sz w:val="20"/>
                <w:szCs w:val="20"/>
              </w:rPr>
              <w:t>50,63</w:t>
            </w:r>
          </w:p>
        </w:tc>
      </w:tr>
      <w:tr w:rsidR="00BE6461" w:rsidRPr="00BE6461" w14:paraId="1B76CC2D" w14:textId="77777777" w:rsidTr="00BE6461">
        <w:trPr>
          <w:trHeight w:val="300"/>
        </w:trPr>
        <w:tc>
          <w:tcPr>
            <w:tcW w:w="1703" w:type="dxa"/>
            <w:tcBorders>
              <w:top w:val="nil"/>
              <w:left w:val="nil"/>
              <w:bottom w:val="nil"/>
              <w:right w:val="nil"/>
            </w:tcBorders>
            <w:shd w:val="clear" w:color="auto" w:fill="auto"/>
            <w:noWrap/>
            <w:vAlign w:val="bottom"/>
            <w:hideMark/>
          </w:tcPr>
          <w:p w14:paraId="5E9EF600"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13503EBC"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088378E2" w14:textId="77777777" w:rsidR="00BE6461" w:rsidRPr="00BE6461" w:rsidRDefault="00BE6461" w:rsidP="00BE6461">
            <w:pPr>
              <w:jc w:val="right"/>
              <w:rPr>
                <w:b/>
                <w:bCs/>
                <w:sz w:val="20"/>
                <w:szCs w:val="20"/>
              </w:rPr>
            </w:pPr>
            <w:r w:rsidRPr="00BE6461">
              <w:rPr>
                <w:b/>
                <w:bCs/>
                <w:sz w:val="20"/>
                <w:szCs w:val="20"/>
              </w:rPr>
              <w:t>750,00</w:t>
            </w:r>
          </w:p>
        </w:tc>
        <w:tc>
          <w:tcPr>
            <w:tcW w:w="1500" w:type="dxa"/>
            <w:tcBorders>
              <w:top w:val="nil"/>
              <w:left w:val="nil"/>
              <w:bottom w:val="nil"/>
              <w:right w:val="nil"/>
            </w:tcBorders>
            <w:shd w:val="clear" w:color="auto" w:fill="auto"/>
            <w:noWrap/>
            <w:vAlign w:val="bottom"/>
            <w:hideMark/>
          </w:tcPr>
          <w:p w14:paraId="36C12DA0" w14:textId="77777777" w:rsidR="00BE6461" w:rsidRPr="00BE6461" w:rsidRDefault="00BE6461" w:rsidP="00BE6461">
            <w:pPr>
              <w:jc w:val="right"/>
              <w:rPr>
                <w:b/>
                <w:bCs/>
                <w:sz w:val="20"/>
                <w:szCs w:val="20"/>
              </w:rPr>
            </w:pPr>
            <w:r w:rsidRPr="00BE6461">
              <w:rPr>
                <w:b/>
                <w:bCs/>
                <w:sz w:val="20"/>
                <w:szCs w:val="20"/>
              </w:rPr>
              <w:t>46,36</w:t>
            </w:r>
          </w:p>
        </w:tc>
        <w:tc>
          <w:tcPr>
            <w:tcW w:w="1100" w:type="dxa"/>
            <w:tcBorders>
              <w:top w:val="nil"/>
              <w:left w:val="nil"/>
              <w:bottom w:val="nil"/>
              <w:right w:val="nil"/>
            </w:tcBorders>
            <w:shd w:val="clear" w:color="auto" w:fill="auto"/>
            <w:noWrap/>
            <w:vAlign w:val="bottom"/>
            <w:hideMark/>
          </w:tcPr>
          <w:p w14:paraId="2C001D75" w14:textId="77777777" w:rsidR="00BE6461" w:rsidRPr="00BE6461" w:rsidRDefault="00BE6461" w:rsidP="00BE6461">
            <w:pPr>
              <w:jc w:val="right"/>
              <w:rPr>
                <w:b/>
                <w:bCs/>
                <w:sz w:val="20"/>
                <w:szCs w:val="20"/>
              </w:rPr>
            </w:pPr>
            <w:r w:rsidRPr="00BE6461">
              <w:rPr>
                <w:b/>
                <w:bCs/>
                <w:sz w:val="20"/>
                <w:szCs w:val="20"/>
              </w:rPr>
              <w:t>6,18</w:t>
            </w:r>
          </w:p>
        </w:tc>
      </w:tr>
      <w:tr w:rsidR="00BE6461" w:rsidRPr="00BE6461" w14:paraId="5CA743BC" w14:textId="77777777" w:rsidTr="00BE6461">
        <w:trPr>
          <w:trHeight w:val="300"/>
        </w:trPr>
        <w:tc>
          <w:tcPr>
            <w:tcW w:w="1703" w:type="dxa"/>
            <w:tcBorders>
              <w:top w:val="nil"/>
              <w:left w:val="nil"/>
              <w:bottom w:val="nil"/>
              <w:right w:val="nil"/>
            </w:tcBorders>
            <w:shd w:val="clear" w:color="auto" w:fill="auto"/>
            <w:noWrap/>
            <w:vAlign w:val="bottom"/>
            <w:hideMark/>
          </w:tcPr>
          <w:p w14:paraId="37839671" w14:textId="77777777" w:rsidR="00BE6461" w:rsidRPr="00BE6461" w:rsidRDefault="00BE6461" w:rsidP="00BE6461">
            <w:pPr>
              <w:rPr>
                <w:sz w:val="20"/>
                <w:szCs w:val="20"/>
              </w:rPr>
            </w:pPr>
            <w:r w:rsidRPr="00BE6461">
              <w:rPr>
                <w:sz w:val="20"/>
                <w:szCs w:val="20"/>
              </w:rPr>
              <w:t>3222</w:t>
            </w:r>
          </w:p>
        </w:tc>
        <w:tc>
          <w:tcPr>
            <w:tcW w:w="8457" w:type="dxa"/>
            <w:tcBorders>
              <w:top w:val="nil"/>
              <w:left w:val="nil"/>
              <w:bottom w:val="nil"/>
              <w:right w:val="nil"/>
            </w:tcBorders>
            <w:shd w:val="clear" w:color="auto" w:fill="auto"/>
            <w:vAlign w:val="bottom"/>
            <w:hideMark/>
          </w:tcPr>
          <w:p w14:paraId="4E2F3A73" w14:textId="77777777" w:rsidR="00BE6461" w:rsidRPr="00BE6461" w:rsidRDefault="00BE6461" w:rsidP="00BE6461">
            <w:pPr>
              <w:rPr>
                <w:sz w:val="20"/>
                <w:szCs w:val="20"/>
              </w:rPr>
            </w:pPr>
            <w:r w:rsidRPr="00BE6461">
              <w:rPr>
                <w:sz w:val="20"/>
                <w:szCs w:val="20"/>
              </w:rPr>
              <w:t xml:space="preserve">Materijal i sirovine                                                                                </w:t>
            </w:r>
          </w:p>
        </w:tc>
        <w:tc>
          <w:tcPr>
            <w:tcW w:w="1503" w:type="dxa"/>
            <w:tcBorders>
              <w:top w:val="nil"/>
              <w:left w:val="nil"/>
              <w:bottom w:val="nil"/>
              <w:right w:val="nil"/>
            </w:tcBorders>
            <w:shd w:val="clear" w:color="auto" w:fill="auto"/>
            <w:noWrap/>
            <w:vAlign w:val="bottom"/>
            <w:hideMark/>
          </w:tcPr>
          <w:p w14:paraId="04E23FF9"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6BCE009" w14:textId="77777777" w:rsidR="00BE6461" w:rsidRPr="00BE6461" w:rsidRDefault="00BE6461" w:rsidP="00BE6461">
            <w:pPr>
              <w:jc w:val="right"/>
              <w:rPr>
                <w:sz w:val="20"/>
                <w:szCs w:val="20"/>
              </w:rPr>
            </w:pPr>
            <w:r w:rsidRPr="00BE6461">
              <w:rPr>
                <w:sz w:val="20"/>
                <w:szCs w:val="20"/>
              </w:rPr>
              <w:t>46,36</w:t>
            </w:r>
          </w:p>
        </w:tc>
        <w:tc>
          <w:tcPr>
            <w:tcW w:w="1100" w:type="dxa"/>
            <w:tcBorders>
              <w:top w:val="nil"/>
              <w:left w:val="nil"/>
              <w:bottom w:val="nil"/>
              <w:right w:val="nil"/>
            </w:tcBorders>
            <w:shd w:val="clear" w:color="auto" w:fill="auto"/>
            <w:noWrap/>
            <w:vAlign w:val="bottom"/>
            <w:hideMark/>
          </w:tcPr>
          <w:p w14:paraId="46EBBC65" w14:textId="77777777" w:rsidR="00BE6461" w:rsidRPr="00BE6461" w:rsidRDefault="00BE6461" w:rsidP="00BE6461">
            <w:pPr>
              <w:jc w:val="right"/>
              <w:rPr>
                <w:sz w:val="20"/>
                <w:szCs w:val="20"/>
              </w:rPr>
            </w:pPr>
          </w:p>
        </w:tc>
      </w:tr>
      <w:tr w:rsidR="00BE6461" w:rsidRPr="00BE6461" w14:paraId="6C8F93CA" w14:textId="77777777" w:rsidTr="00BE6461">
        <w:trPr>
          <w:trHeight w:val="300"/>
        </w:trPr>
        <w:tc>
          <w:tcPr>
            <w:tcW w:w="1703" w:type="dxa"/>
            <w:tcBorders>
              <w:top w:val="nil"/>
              <w:left w:val="nil"/>
              <w:bottom w:val="nil"/>
              <w:right w:val="nil"/>
            </w:tcBorders>
            <w:shd w:val="clear" w:color="auto" w:fill="auto"/>
            <w:noWrap/>
            <w:vAlign w:val="bottom"/>
            <w:hideMark/>
          </w:tcPr>
          <w:p w14:paraId="17DE635C"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49966EA7"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2B1FD948" w14:textId="77777777" w:rsidR="00BE6461" w:rsidRPr="00BE6461" w:rsidRDefault="00BE6461" w:rsidP="00BE6461">
            <w:pPr>
              <w:jc w:val="right"/>
              <w:rPr>
                <w:b/>
                <w:bCs/>
                <w:sz w:val="20"/>
                <w:szCs w:val="20"/>
              </w:rPr>
            </w:pPr>
            <w:r w:rsidRPr="00BE6461">
              <w:rPr>
                <w:b/>
                <w:bCs/>
                <w:sz w:val="20"/>
                <w:szCs w:val="20"/>
              </w:rPr>
              <w:t>16.843,23</w:t>
            </w:r>
          </w:p>
        </w:tc>
        <w:tc>
          <w:tcPr>
            <w:tcW w:w="1500" w:type="dxa"/>
            <w:tcBorders>
              <w:top w:val="nil"/>
              <w:left w:val="nil"/>
              <w:bottom w:val="nil"/>
              <w:right w:val="nil"/>
            </w:tcBorders>
            <w:shd w:val="clear" w:color="auto" w:fill="auto"/>
            <w:noWrap/>
            <w:vAlign w:val="bottom"/>
            <w:hideMark/>
          </w:tcPr>
          <w:p w14:paraId="7FDF661C" w14:textId="77777777" w:rsidR="00BE6461" w:rsidRPr="00BE6461" w:rsidRDefault="00BE6461" w:rsidP="00BE6461">
            <w:pPr>
              <w:jc w:val="right"/>
              <w:rPr>
                <w:b/>
                <w:bCs/>
                <w:sz w:val="20"/>
                <w:szCs w:val="20"/>
              </w:rPr>
            </w:pPr>
            <w:r w:rsidRPr="00BE6461">
              <w:rPr>
                <w:b/>
                <w:bCs/>
                <w:sz w:val="20"/>
                <w:szCs w:val="20"/>
              </w:rPr>
              <w:t>8.860,85</w:t>
            </w:r>
          </w:p>
        </w:tc>
        <w:tc>
          <w:tcPr>
            <w:tcW w:w="1100" w:type="dxa"/>
            <w:tcBorders>
              <w:top w:val="nil"/>
              <w:left w:val="nil"/>
              <w:bottom w:val="nil"/>
              <w:right w:val="nil"/>
            </w:tcBorders>
            <w:shd w:val="clear" w:color="auto" w:fill="auto"/>
            <w:noWrap/>
            <w:vAlign w:val="bottom"/>
            <w:hideMark/>
          </w:tcPr>
          <w:p w14:paraId="385D40E6" w14:textId="77777777" w:rsidR="00BE6461" w:rsidRPr="00BE6461" w:rsidRDefault="00BE6461" w:rsidP="00BE6461">
            <w:pPr>
              <w:jc w:val="right"/>
              <w:rPr>
                <w:b/>
                <w:bCs/>
                <w:sz w:val="20"/>
                <w:szCs w:val="20"/>
              </w:rPr>
            </w:pPr>
            <w:r w:rsidRPr="00BE6461">
              <w:rPr>
                <w:b/>
                <w:bCs/>
                <w:sz w:val="20"/>
                <w:szCs w:val="20"/>
              </w:rPr>
              <w:t>52,61</w:t>
            </w:r>
          </w:p>
        </w:tc>
      </w:tr>
      <w:tr w:rsidR="00BE6461" w:rsidRPr="00BE6461" w14:paraId="614CFECA" w14:textId="77777777" w:rsidTr="00BE6461">
        <w:trPr>
          <w:trHeight w:val="300"/>
        </w:trPr>
        <w:tc>
          <w:tcPr>
            <w:tcW w:w="1703" w:type="dxa"/>
            <w:tcBorders>
              <w:top w:val="nil"/>
              <w:left w:val="nil"/>
              <w:bottom w:val="nil"/>
              <w:right w:val="nil"/>
            </w:tcBorders>
            <w:shd w:val="clear" w:color="auto" w:fill="auto"/>
            <w:noWrap/>
            <w:vAlign w:val="bottom"/>
            <w:hideMark/>
          </w:tcPr>
          <w:p w14:paraId="5B259D39" w14:textId="77777777" w:rsidR="00BE6461" w:rsidRPr="00BE6461" w:rsidRDefault="00BE6461" w:rsidP="00BE6461">
            <w:pPr>
              <w:rPr>
                <w:sz w:val="20"/>
                <w:szCs w:val="20"/>
              </w:rPr>
            </w:pPr>
            <w:r w:rsidRPr="00BE6461">
              <w:rPr>
                <w:sz w:val="20"/>
                <w:szCs w:val="20"/>
              </w:rPr>
              <w:t>3233</w:t>
            </w:r>
          </w:p>
        </w:tc>
        <w:tc>
          <w:tcPr>
            <w:tcW w:w="8457" w:type="dxa"/>
            <w:tcBorders>
              <w:top w:val="nil"/>
              <w:left w:val="nil"/>
              <w:bottom w:val="nil"/>
              <w:right w:val="nil"/>
            </w:tcBorders>
            <w:shd w:val="clear" w:color="auto" w:fill="auto"/>
            <w:vAlign w:val="bottom"/>
            <w:hideMark/>
          </w:tcPr>
          <w:p w14:paraId="4D0D82D3" w14:textId="77777777" w:rsidR="00BE6461" w:rsidRPr="00BE6461" w:rsidRDefault="00BE6461" w:rsidP="00BE6461">
            <w:pPr>
              <w:rPr>
                <w:sz w:val="20"/>
                <w:szCs w:val="20"/>
              </w:rPr>
            </w:pPr>
            <w:r w:rsidRPr="00BE6461">
              <w:rPr>
                <w:sz w:val="20"/>
                <w:szCs w:val="20"/>
              </w:rPr>
              <w:t xml:space="preserve">Usluge promidžbe i informiranja                                                                     </w:t>
            </w:r>
          </w:p>
        </w:tc>
        <w:tc>
          <w:tcPr>
            <w:tcW w:w="1503" w:type="dxa"/>
            <w:tcBorders>
              <w:top w:val="nil"/>
              <w:left w:val="nil"/>
              <w:bottom w:val="nil"/>
              <w:right w:val="nil"/>
            </w:tcBorders>
            <w:shd w:val="clear" w:color="auto" w:fill="auto"/>
            <w:noWrap/>
            <w:vAlign w:val="bottom"/>
            <w:hideMark/>
          </w:tcPr>
          <w:p w14:paraId="1A60C0CE"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CD164BF" w14:textId="77777777" w:rsidR="00BE6461" w:rsidRPr="00BE6461" w:rsidRDefault="00BE6461" w:rsidP="00BE6461">
            <w:pPr>
              <w:jc w:val="right"/>
              <w:rPr>
                <w:sz w:val="20"/>
                <w:szCs w:val="20"/>
              </w:rPr>
            </w:pPr>
            <w:r w:rsidRPr="00BE6461">
              <w:rPr>
                <w:sz w:val="20"/>
                <w:szCs w:val="20"/>
              </w:rPr>
              <w:t>250,00</w:t>
            </w:r>
          </w:p>
        </w:tc>
        <w:tc>
          <w:tcPr>
            <w:tcW w:w="1100" w:type="dxa"/>
            <w:tcBorders>
              <w:top w:val="nil"/>
              <w:left w:val="nil"/>
              <w:bottom w:val="nil"/>
              <w:right w:val="nil"/>
            </w:tcBorders>
            <w:shd w:val="clear" w:color="auto" w:fill="auto"/>
            <w:noWrap/>
            <w:vAlign w:val="bottom"/>
            <w:hideMark/>
          </w:tcPr>
          <w:p w14:paraId="5812B8EB" w14:textId="77777777" w:rsidR="00BE6461" w:rsidRPr="00BE6461" w:rsidRDefault="00BE6461" w:rsidP="00BE6461">
            <w:pPr>
              <w:jc w:val="right"/>
              <w:rPr>
                <w:sz w:val="20"/>
                <w:szCs w:val="20"/>
              </w:rPr>
            </w:pPr>
          </w:p>
        </w:tc>
      </w:tr>
      <w:tr w:rsidR="00BE6461" w:rsidRPr="00BE6461" w14:paraId="5237DB00" w14:textId="77777777" w:rsidTr="00BE6461">
        <w:trPr>
          <w:trHeight w:val="300"/>
        </w:trPr>
        <w:tc>
          <w:tcPr>
            <w:tcW w:w="1703" w:type="dxa"/>
            <w:tcBorders>
              <w:top w:val="nil"/>
              <w:left w:val="nil"/>
              <w:bottom w:val="nil"/>
              <w:right w:val="nil"/>
            </w:tcBorders>
            <w:shd w:val="clear" w:color="auto" w:fill="auto"/>
            <w:noWrap/>
            <w:vAlign w:val="bottom"/>
            <w:hideMark/>
          </w:tcPr>
          <w:p w14:paraId="61D7690B"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1FE5A6C9"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483C340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8A5B80E" w14:textId="77777777" w:rsidR="00BE6461" w:rsidRPr="00BE6461" w:rsidRDefault="00BE6461" w:rsidP="00BE6461">
            <w:pPr>
              <w:jc w:val="right"/>
              <w:rPr>
                <w:sz w:val="20"/>
                <w:szCs w:val="20"/>
              </w:rPr>
            </w:pPr>
            <w:r w:rsidRPr="00BE6461">
              <w:rPr>
                <w:sz w:val="20"/>
                <w:szCs w:val="20"/>
              </w:rPr>
              <w:t>7.610,85</w:t>
            </w:r>
          </w:p>
        </w:tc>
        <w:tc>
          <w:tcPr>
            <w:tcW w:w="1100" w:type="dxa"/>
            <w:tcBorders>
              <w:top w:val="nil"/>
              <w:left w:val="nil"/>
              <w:bottom w:val="nil"/>
              <w:right w:val="nil"/>
            </w:tcBorders>
            <w:shd w:val="clear" w:color="auto" w:fill="auto"/>
            <w:noWrap/>
            <w:vAlign w:val="bottom"/>
            <w:hideMark/>
          </w:tcPr>
          <w:p w14:paraId="1892C90E" w14:textId="77777777" w:rsidR="00BE6461" w:rsidRPr="00BE6461" w:rsidRDefault="00BE6461" w:rsidP="00BE6461">
            <w:pPr>
              <w:jc w:val="right"/>
              <w:rPr>
                <w:sz w:val="20"/>
                <w:szCs w:val="20"/>
              </w:rPr>
            </w:pPr>
          </w:p>
        </w:tc>
      </w:tr>
      <w:tr w:rsidR="00BE6461" w:rsidRPr="00BE6461" w14:paraId="419212C5" w14:textId="77777777" w:rsidTr="00BE6461">
        <w:trPr>
          <w:trHeight w:val="300"/>
        </w:trPr>
        <w:tc>
          <w:tcPr>
            <w:tcW w:w="1703" w:type="dxa"/>
            <w:tcBorders>
              <w:top w:val="nil"/>
              <w:left w:val="nil"/>
              <w:bottom w:val="nil"/>
              <w:right w:val="nil"/>
            </w:tcBorders>
            <w:shd w:val="clear" w:color="auto" w:fill="auto"/>
            <w:noWrap/>
            <w:vAlign w:val="bottom"/>
            <w:hideMark/>
          </w:tcPr>
          <w:p w14:paraId="43D982B0" w14:textId="77777777" w:rsidR="00BE6461" w:rsidRPr="00BE6461" w:rsidRDefault="00BE6461" w:rsidP="00BE6461">
            <w:pPr>
              <w:rPr>
                <w:sz w:val="20"/>
                <w:szCs w:val="20"/>
              </w:rPr>
            </w:pPr>
            <w:r w:rsidRPr="00BE6461">
              <w:rPr>
                <w:sz w:val="20"/>
                <w:szCs w:val="20"/>
              </w:rPr>
              <w:t>3239</w:t>
            </w:r>
          </w:p>
        </w:tc>
        <w:tc>
          <w:tcPr>
            <w:tcW w:w="8457" w:type="dxa"/>
            <w:tcBorders>
              <w:top w:val="nil"/>
              <w:left w:val="nil"/>
              <w:bottom w:val="nil"/>
              <w:right w:val="nil"/>
            </w:tcBorders>
            <w:shd w:val="clear" w:color="auto" w:fill="auto"/>
            <w:vAlign w:val="bottom"/>
            <w:hideMark/>
          </w:tcPr>
          <w:p w14:paraId="0A77852A" w14:textId="77777777" w:rsidR="00BE6461" w:rsidRPr="00BE6461" w:rsidRDefault="00BE6461" w:rsidP="00BE6461">
            <w:pPr>
              <w:rPr>
                <w:sz w:val="20"/>
                <w:szCs w:val="20"/>
              </w:rPr>
            </w:pPr>
            <w:r w:rsidRPr="00BE6461">
              <w:rPr>
                <w:sz w:val="20"/>
                <w:szCs w:val="20"/>
              </w:rPr>
              <w:t xml:space="preserve">Ostale usluge                                                                                       </w:t>
            </w:r>
          </w:p>
        </w:tc>
        <w:tc>
          <w:tcPr>
            <w:tcW w:w="1503" w:type="dxa"/>
            <w:tcBorders>
              <w:top w:val="nil"/>
              <w:left w:val="nil"/>
              <w:bottom w:val="nil"/>
              <w:right w:val="nil"/>
            </w:tcBorders>
            <w:shd w:val="clear" w:color="auto" w:fill="auto"/>
            <w:noWrap/>
            <w:vAlign w:val="bottom"/>
            <w:hideMark/>
          </w:tcPr>
          <w:p w14:paraId="263C4CF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26155C0" w14:textId="77777777" w:rsidR="00BE6461" w:rsidRPr="00BE6461" w:rsidRDefault="00BE6461" w:rsidP="00BE6461">
            <w:pPr>
              <w:jc w:val="right"/>
              <w:rPr>
                <w:sz w:val="20"/>
                <w:szCs w:val="20"/>
              </w:rPr>
            </w:pPr>
            <w:r w:rsidRPr="00BE6461">
              <w:rPr>
                <w:sz w:val="20"/>
                <w:szCs w:val="20"/>
              </w:rPr>
              <w:t>1.000,00</w:t>
            </w:r>
          </w:p>
        </w:tc>
        <w:tc>
          <w:tcPr>
            <w:tcW w:w="1100" w:type="dxa"/>
            <w:tcBorders>
              <w:top w:val="nil"/>
              <w:left w:val="nil"/>
              <w:bottom w:val="nil"/>
              <w:right w:val="nil"/>
            </w:tcBorders>
            <w:shd w:val="clear" w:color="auto" w:fill="auto"/>
            <w:noWrap/>
            <w:vAlign w:val="bottom"/>
            <w:hideMark/>
          </w:tcPr>
          <w:p w14:paraId="1B23A588" w14:textId="77777777" w:rsidR="00BE6461" w:rsidRPr="00BE6461" w:rsidRDefault="00BE6461" w:rsidP="00BE6461">
            <w:pPr>
              <w:jc w:val="right"/>
              <w:rPr>
                <w:sz w:val="20"/>
                <w:szCs w:val="20"/>
              </w:rPr>
            </w:pPr>
          </w:p>
        </w:tc>
      </w:tr>
      <w:tr w:rsidR="00BE6461" w:rsidRPr="00BE6461" w14:paraId="542E532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BE6EA88" w14:textId="77777777" w:rsidR="00BE6461" w:rsidRPr="00BE6461" w:rsidRDefault="00BE6461" w:rsidP="00BE6461">
            <w:pPr>
              <w:rPr>
                <w:b/>
                <w:bCs/>
                <w:color w:val="333333"/>
                <w:sz w:val="20"/>
                <w:szCs w:val="20"/>
              </w:rPr>
            </w:pPr>
            <w:r w:rsidRPr="00BE6461">
              <w:rPr>
                <w:b/>
                <w:bCs/>
                <w:color w:val="333333"/>
                <w:sz w:val="20"/>
                <w:szCs w:val="20"/>
              </w:rPr>
              <w:t>Izvor 3. VLASTITI PRIHODI</w:t>
            </w:r>
          </w:p>
        </w:tc>
        <w:tc>
          <w:tcPr>
            <w:tcW w:w="1503" w:type="dxa"/>
            <w:tcBorders>
              <w:top w:val="nil"/>
              <w:left w:val="nil"/>
              <w:bottom w:val="nil"/>
              <w:right w:val="nil"/>
            </w:tcBorders>
            <w:shd w:val="clear" w:color="auto" w:fill="auto"/>
            <w:noWrap/>
            <w:vAlign w:val="bottom"/>
            <w:hideMark/>
          </w:tcPr>
          <w:p w14:paraId="04C02A84" w14:textId="77777777" w:rsidR="00BE6461" w:rsidRPr="00BE6461" w:rsidRDefault="00BE6461" w:rsidP="00BE6461">
            <w:pPr>
              <w:jc w:val="right"/>
              <w:rPr>
                <w:b/>
                <w:bCs/>
                <w:color w:val="333333"/>
                <w:sz w:val="20"/>
                <w:szCs w:val="20"/>
              </w:rPr>
            </w:pPr>
            <w:r w:rsidRPr="00BE6461">
              <w:rPr>
                <w:b/>
                <w:bCs/>
                <w:color w:val="333333"/>
                <w:sz w:val="20"/>
                <w:szCs w:val="20"/>
              </w:rPr>
              <w:t>10.245,73</w:t>
            </w:r>
          </w:p>
        </w:tc>
        <w:tc>
          <w:tcPr>
            <w:tcW w:w="1500" w:type="dxa"/>
            <w:tcBorders>
              <w:top w:val="nil"/>
              <w:left w:val="nil"/>
              <w:bottom w:val="nil"/>
              <w:right w:val="nil"/>
            </w:tcBorders>
            <w:shd w:val="clear" w:color="auto" w:fill="auto"/>
            <w:noWrap/>
            <w:vAlign w:val="bottom"/>
            <w:hideMark/>
          </w:tcPr>
          <w:p w14:paraId="5B2BCBE4" w14:textId="77777777" w:rsidR="00BE6461" w:rsidRPr="00BE6461" w:rsidRDefault="00BE6461" w:rsidP="00BE6461">
            <w:pPr>
              <w:jc w:val="right"/>
              <w:rPr>
                <w:b/>
                <w:bCs/>
                <w:color w:val="333333"/>
                <w:sz w:val="20"/>
                <w:szCs w:val="20"/>
              </w:rPr>
            </w:pPr>
            <w:r w:rsidRPr="00BE6461">
              <w:rPr>
                <w:b/>
                <w:bCs/>
                <w:color w:val="333333"/>
                <w:sz w:val="20"/>
                <w:szCs w:val="20"/>
              </w:rPr>
              <w:t>10.245,73</w:t>
            </w:r>
          </w:p>
        </w:tc>
        <w:tc>
          <w:tcPr>
            <w:tcW w:w="1100" w:type="dxa"/>
            <w:tcBorders>
              <w:top w:val="nil"/>
              <w:left w:val="nil"/>
              <w:bottom w:val="nil"/>
              <w:right w:val="nil"/>
            </w:tcBorders>
            <w:shd w:val="clear" w:color="auto" w:fill="auto"/>
            <w:noWrap/>
            <w:vAlign w:val="bottom"/>
            <w:hideMark/>
          </w:tcPr>
          <w:p w14:paraId="3A39BDAC"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3FCD079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03855E3" w14:textId="77777777" w:rsidR="00BE6461" w:rsidRPr="00BE6461" w:rsidRDefault="00BE6461" w:rsidP="00BE6461">
            <w:pPr>
              <w:rPr>
                <w:b/>
                <w:bCs/>
                <w:color w:val="333333"/>
                <w:sz w:val="20"/>
                <w:szCs w:val="20"/>
              </w:rPr>
            </w:pPr>
            <w:r w:rsidRPr="00BE6461">
              <w:rPr>
                <w:b/>
                <w:bCs/>
                <w:color w:val="333333"/>
                <w:sz w:val="20"/>
                <w:szCs w:val="20"/>
              </w:rPr>
              <w:t>Izvor 3.2. VLASTITI PRIHODI - PRORAČUNSKI KORISNICI</w:t>
            </w:r>
          </w:p>
        </w:tc>
        <w:tc>
          <w:tcPr>
            <w:tcW w:w="1503" w:type="dxa"/>
            <w:tcBorders>
              <w:top w:val="nil"/>
              <w:left w:val="nil"/>
              <w:bottom w:val="nil"/>
              <w:right w:val="nil"/>
            </w:tcBorders>
            <w:shd w:val="clear" w:color="auto" w:fill="auto"/>
            <w:noWrap/>
            <w:vAlign w:val="bottom"/>
            <w:hideMark/>
          </w:tcPr>
          <w:p w14:paraId="5C4395B8" w14:textId="77777777" w:rsidR="00BE6461" w:rsidRPr="00BE6461" w:rsidRDefault="00BE6461" w:rsidP="00BE6461">
            <w:pPr>
              <w:jc w:val="right"/>
              <w:rPr>
                <w:b/>
                <w:bCs/>
                <w:color w:val="333333"/>
                <w:sz w:val="20"/>
                <w:szCs w:val="20"/>
              </w:rPr>
            </w:pPr>
            <w:r w:rsidRPr="00BE6461">
              <w:rPr>
                <w:b/>
                <w:bCs/>
                <w:color w:val="333333"/>
                <w:sz w:val="20"/>
                <w:szCs w:val="20"/>
              </w:rPr>
              <w:t>10.245,73</w:t>
            </w:r>
          </w:p>
        </w:tc>
        <w:tc>
          <w:tcPr>
            <w:tcW w:w="1500" w:type="dxa"/>
            <w:tcBorders>
              <w:top w:val="nil"/>
              <w:left w:val="nil"/>
              <w:bottom w:val="nil"/>
              <w:right w:val="nil"/>
            </w:tcBorders>
            <w:shd w:val="clear" w:color="auto" w:fill="auto"/>
            <w:noWrap/>
            <w:vAlign w:val="bottom"/>
            <w:hideMark/>
          </w:tcPr>
          <w:p w14:paraId="27D38CC9" w14:textId="77777777" w:rsidR="00BE6461" w:rsidRPr="00BE6461" w:rsidRDefault="00BE6461" w:rsidP="00BE6461">
            <w:pPr>
              <w:jc w:val="right"/>
              <w:rPr>
                <w:b/>
                <w:bCs/>
                <w:color w:val="333333"/>
                <w:sz w:val="20"/>
                <w:szCs w:val="20"/>
              </w:rPr>
            </w:pPr>
            <w:r w:rsidRPr="00BE6461">
              <w:rPr>
                <w:b/>
                <w:bCs/>
                <w:color w:val="333333"/>
                <w:sz w:val="20"/>
                <w:szCs w:val="20"/>
              </w:rPr>
              <w:t>10.245,73</w:t>
            </w:r>
          </w:p>
        </w:tc>
        <w:tc>
          <w:tcPr>
            <w:tcW w:w="1100" w:type="dxa"/>
            <w:tcBorders>
              <w:top w:val="nil"/>
              <w:left w:val="nil"/>
              <w:bottom w:val="nil"/>
              <w:right w:val="nil"/>
            </w:tcBorders>
            <w:shd w:val="clear" w:color="auto" w:fill="auto"/>
            <w:noWrap/>
            <w:vAlign w:val="bottom"/>
            <w:hideMark/>
          </w:tcPr>
          <w:p w14:paraId="79CCC5CB"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108504D2" w14:textId="77777777" w:rsidTr="00BE6461">
        <w:trPr>
          <w:trHeight w:val="300"/>
        </w:trPr>
        <w:tc>
          <w:tcPr>
            <w:tcW w:w="1703" w:type="dxa"/>
            <w:tcBorders>
              <w:top w:val="nil"/>
              <w:left w:val="nil"/>
              <w:bottom w:val="nil"/>
              <w:right w:val="nil"/>
            </w:tcBorders>
            <w:shd w:val="clear" w:color="auto" w:fill="auto"/>
            <w:noWrap/>
            <w:vAlign w:val="bottom"/>
            <w:hideMark/>
          </w:tcPr>
          <w:p w14:paraId="37A8F5A9"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67E52B02"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5DAFEB07" w14:textId="77777777" w:rsidR="00BE6461" w:rsidRPr="00BE6461" w:rsidRDefault="00BE6461" w:rsidP="00BE6461">
            <w:pPr>
              <w:jc w:val="right"/>
              <w:rPr>
                <w:b/>
                <w:bCs/>
                <w:sz w:val="20"/>
                <w:szCs w:val="20"/>
              </w:rPr>
            </w:pPr>
            <w:r w:rsidRPr="00BE6461">
              <w:rPr>
                <w:b/>
                <w:bCs/>
                <w:sz w:val="20"/>
                <w:szCs w:val="20"/>
              </w:rPr>
              <w:t>2.500,00</w:t>
            </w:r>
          </w:p>
        </w:tc>
        <w:tc>
          <w:tcPr>
            <w:tcW w:w="1500" w:type="dxa"/>
            <w:tcBorders>
              <w:top w:val="nil"/>
              <w:left w:val="nil"/>
              <w:bottom w:val="nil"/>
              <w:right w:val="nil"/>
            </w:tcBorders>
            <w:shd w:val="clear" w:color="auto" w:fill="auto"/>
            <w:noWrap/>
            <w:vAlign w:val="bottom"/>
            <w:hideMark/>
          </w:tcPr>
          <w:p w14:paraId="40D85CAF" w14:textId="77777777" w:rsidR="00BE6461" w:rsidRPr="00BE6461" w:rsidRDefault="00BE6461" w:rsidP="00BE6461">
            <w:pPr>
              <w:jc w:val="right"/>
              <w:rPr>
                <w:b/>
                <w:bCs/>
                <w:sz w:val="20"/>
                <w:szCs w:val="20"/>
              </w:rPr>
            </w:pPr>
            <w:r w:rsidRPr="00BE6461">
              <w:rPr>
                <w:b/>
                <w:bCs/>
                <w:sz w:val="20"/>
                <w:szCs w:val="20"/>
              </w:rPr>
              <w:t>2.500,00</w:t>
            </w:r>
          </w:p>
        </w:tc>
        <w:tc>
          <w:tcPr>
            <w:tcW w:w="1100" w:type="dxa"/>
            <w:tcBorders>
              <w:top w:val="nil"/>
              <w:left w:val="nil"/>
              <w:bottom w:val="nil"/>
              <w:right w:val="nil"/>
            </w:tcBorders>
            <w:shd w:val="clear" w:color="auto" w:fill="auto"/>
            <w:noWrap/>
            <w:vAlign w:val="bottom"/>
            <w:hideMark/>
          </w:tcPr>
          <w:p w14:paraId="47688A0E"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4686422F" w14:textId="77777777" w:rsidTr="00BE6461">
        <w:trPr>
          <w:trHeight w:val="300"/>
        </w:trPr>
        <w:tc>
          <w:tcPr>
            <w:tcW w:w="1703" w:type="dxa"/>
            <w:tcBorders>
              <w:top w:val="nil"/>
              <w:left w:val="nil"/>
              <w:bottom w:val="nil"/>
              <w:right w:val="nil"/>
            </w:tcBorders>
            <w:shd w:val="clear" w:color="auto" w:fill="auto"/>
            <w:noWrap/>
            <w:vAlign w:val="bottom"/>
            <w:hideMark/>
          </w:tcPr>
          <w:p w14:paraId="5A169593" w14:textId="77777777" w:rsidR="00BE6461" w:rsidRPr="00BE6461" w:rsidRDefault="00BE6461" w:rsidP="00BE6461">
            <w:pPr>
              <w:rPr>
                <w:sz w:val="20"/>
                <w:szCs w:val="20"/>
              </w:rPr>
            </w:pPr>
            <w:r w:rsidRPr="00BE6461">
              <w:rPr>
                <w:sz w:val="20"/>
                <w:szCs w:val="20"/>
              </w:rPr>
              <w:t>3221</w:t>
            </w:r>
          </w:p>
        </w:tc>
        <w:tc>
          <w:tcPr>
            <w:tcW w:w="8457" w:type="dxa"/>
            <w:tcBorders>
              <w:top w:val="nil"/>
              <w:left w:val="nil"/>
              <w:bottom w:val="nil"/>
              <w:right w:val="nil"/>
            </w:tcBorders>
            <w:shd w:val="clear" w:color="auto" w:fill="auto"/>
            <w:vAlign w:val="bottom"/>
            <w:hideMark/>
          </w:tcPr>
          <w:p w14:paraId="2F750577" w14:textId="77777777" w:rsidR="00BE6461" w:rsidRPr="00BE6461" w:rsidRDefault="00BE6461" w:rsidP="00BE6461">
            <w:pPr>
              <w:rPr>
                <w:sz w:val="20"/>
                <w:szCs w:val="20"/>
              </w:rPr>
            </w:pPr>
            <w:r w:rsidRPr="00BE6461">
              <w:rPr>
                <w:sz w:val="20"/>
                <w:szCs w:val="20"/>
              </w:rPr>
              <w:t xml:space="preserve">Uredski materijal i ostali materijalni rashodi                                                      </w:t>
            </w:r>
          </w:p>
        </w:tc>
        <w:tc>
          <w:tcPr>
            <w:tcW w:w="1503" w:type="dxa"/>
            <w:tcBorders>
              <w:top w:val="nil"/>
              <w:left w:val="nil"/>
              <w:bottom w:val="nil"/>
              <w:right w:val="nil"/>
            </w:tcBorders>
            <w:shd w:val="clear" w:color="auto" w:fill="auto"/>
            <w:noWrap/>
            <w:vAlign w:val="bottom"/>
            <w:hideMark/>
          </w:tcPr>
          <w:p w14:paraId="375F70A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370DEDA" w14:textId="77777777" w:rsidR="00BE6461" w:rsidRPr="00BE6461" w:rsidRDefault="00BE6461" w:rsidP="00BE6461">
            <w:pPr>
              <w:jc w:val="right"/>
              <w:rPr>
                <w:sz w:val="20"/>
                <w:szCs w:val="20"/>
              </w:rPr>
            </w:pPr>
            <w:r w:rsidRPr="00BE6461">
              <w:rPr>
                <w:sz w:val="20"/>
                <w:szCs w:val="20"/>
              </w:rPr>
              <w:t>2.500,00</w:t>
            </w:r>
          </w:p>
        </w:tc>
        <w:tc>
          <w:tcPr>
            <w:tcW w:w="1100" w:type="dxa"/>
            <w:tcBorders>
              <w:top w:val="nil"/>
              <w:left w:val="nil"/>
              <w:bottom w:val="nil"/>
              <w:right w:val="nil"/>
            </w:tcBorders>
            <w:shd w:val="clear" w:color="auto" w:fill="auto"/>
            <w:noWrap/>
            <w:vAlign w:val="bottom"/>
            <w:hideMark/>
          </w:tcPr>
          <w:p w14:paraId="7C222F87" w14:textId="77777777" w:rsidR="00BE6461" w:rsidRPr="00BE6461" w:rsidRDefault="00BE6461" w:rsidP="00BE6461">
            <w:pPr>
              <w:jc w:val="right"/>
              <w:rPr>
                <w:sz w:val="20"/>
                <w:szCs w:val="20"/>
              </w:rPr>
            </w:pPr>
          </w:p>
        </w:tc>
      </w:tr>
      <w:tr w:rsidR="00BE6461" w:rsidRPr="00BE6461" w14:paraId="31FE8958" w14:textId="77777777" w:rsidTr="00BE6461">
        <w:trPr>
          <w:trHeight w:val="300"/>
        </w:trPr>
        <w:tc>
          <w:tcPr>
            <w:tcW w:w="1703" w:type="dxa"/>
            <w:tcBorders>
              <w:top w:val="nil"/>
              <w:left w:val="nil"/>
              <w:bottom w:val="nil"/>
              <w:right w:val="nil"/>
            </w:tcBorders>
            <w:shd w:val="clear" w:color="auto" w:fill="auto"/>
            <w:noWrap/>
            <w:vAlign w:val="bottom"/>
            <w:hideMark/>
          </w:tcPr>
          <w:p w14:paraId="27A5CD88"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1ECAA6B0"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5F695DF7" w14:textId="77777777" w:rsidR="00BE6461" w:rsidRPr="00BE6461" w:rsidRDefault="00BE6461" w:rsidP="00BE6461">
            <w:pPr>
              <w:jc w:val="right"/>
              <w:rPr>
                <w:b/>
                <w:bCs/>
                <w:sz w:val="20"/>
                <w:szCs w:val="20"/>
              </w:rPr>
            </w:pPr>
            <w:r w:rsidRPr="00BE6461">
              <w:rPr>
                <w:b/>
                <w:bCs/>
                <w:sz w:val="20"/>
                <w:szCs w:val="20"/>
              </w:rPr>
              <w:t>7.745,73</w:t>
            </w:r>
          </w:p>
        </w:tc>
        <w:tc>
          <w:tcPr>
            <w:tcW w:w="1500" w:type="dxa"/>
            <w:tcBorders>
              <w:top w:val="nil"/>
              <w:left w:val="nil"/>
              <w:bottom w:val="nil"/>
              <w:right w:val="nil"/>
            </w:tcBorders>
            <w:shd w:val="clear" w:color="auto" w:fill="auto"/>
            <w:noWrap/>
            <w:vAlign w:val="bottom"/>
            <w:hideMark/>
          </w:tcPr>
          <w:p w14:paraId="6846B720" w14:textId="77777777" w:rsidR="00BE6461" w:rsidRPr="00BE6461" w:rsidRDefault="00BE6461" w:rsidP="00BE6461">
            <w:pPr>
              <w:jc w:val="right"/>
              <w:rPr>
                <w:b/>
                <w:bCs/>
                <w:sz w:val="20"/>
                <w:szCs w:val="20"/>
              </w:rPr>
            </w:pPr>
            <w:r w:rsidRPr="00BE6461">
              <w:rPr>
                <w:b/>
                <w:bCs/>
                <w:sz w:val="20"/>
                <w:szCs w:val="20"/>
              </w:rPr>
              <w:t>7.745,73</w:t>
            </w:r>
          </w:p>
        </w:tc>
        <w:tc>
          <w:tcPr>
            <w:tcW w:w="1100" w:type="dxa"/>
            <w:tcBorders>
              <w:top w:val="nil"/>
              <w:left w:val="nil"/>
              <w:bottom w:val="nil"/>
              <w:right w:val="nil"/>
            </w:tcBorders>
            <w:shd w:val="clear" w:color="auto" w:fill="auto"/>
            <w:noWrap/>
            <w:vAlign w:val="bottom"/>
            <w:hideMark/>
          </w:tcPr>
          <w:p w14:paraId="7BEC4420"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4EC59D74" w14:textId="77777777" w:rsidTr="00BE6461">
        <w:trPr>
          <w:trHeight w:val="300"/>
        </w:trPr>
        <w:tc>
          <w:tcPr>
            <w:tcW w:w="1703" w:type="dxa"/>
            <w:tcBorders>
              <w:top w:val="nil"/>
              <w:left w:val="nil"/>
              <w:bottom w:val="nil"/>
              <w:right w:val="nil"/>
            </w:tcBorders>
            <w:shd w:val="clear" w:color="auto" w:fill="auto"/>
            <w:noWrap/>
            <w:vAlign w:val="bottom"/>
            <w:hideMark/>
          </w:tcPr>
          <w:p w14:paraId="0CE7C96B"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3326B62F"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6F27F845"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B6C6F0B" w14:textId="77777777" w:rsidR="00BE6461" w:rsidRPr="00BE6461" w:rsidRDefault="00BE6461" w:rsidP="00BE6461">
            <w:pPr>
              <w:jc w:val="right"/>
              <w:rPr>
                <w:sz w:val="20"/>
                <w:szCs w:val="20"/>
              </w:rPr>
            </w:pPr>
            <w:r w:rsidRPr="00BE6461">
              <w:rPr>
                <w:sz w:val="20"/>
                <w:szCs w:val="20"/>
              </w:rPr>
              <w:t>6.343,23</w:t>
            </w:r>
          </w:p>
        </w:tc>
        <w:tc>
          <w:tcPr>
            <w:tcW w:w="1100" w:type="dxa"/>
            <w:tcBorders>
              <w:top w:val="nil"/>
              <w:left w:val="nil"/>
              <w:bottom w:val="nil"/>
              <w:right w:val="nil"/>
            </w:tcBorders>
            <w:shd w:val="clear" w:color="auto" w:fill="auto"/>
            <w:noWrap/>
            <w:vAlign w:val="bottom"/>
            <w:hideMark/>
          </w:tcPr>
          <w:p w14:paraId="39ECDC20" w14:textId="77777777" w:rsidR="00BE6461" w:rsidRPr="00BE6461" w:rsidRDefault="00BE6461" w:rsidP="00BE6461">
            <w:pPr>
              <w:jc w:val="right"/>
              <w:rPr>
                <w:sz w:val="20"/>
                <w:szCs w:val="20"/>
              </w:rPr>
            </w:pPr>
          </w:p>
        </w:tc>
      </w:tr>
      <w:tr w:rsidR="00BE6461" w:rsidRPr="00BE6461" w14:paraId="371A0595" w14:textId="77777777" w:rsidTr="00BE6461">
        <w:trPr>
          <w:trHeight w:val="300"/>
        </w:trPr>
        <w:tc>
          <w:tcPr>
            <w:tcW w:w="1703" w:type="dxa"/>
            <w:tcBorders>
              <w:top w:val="nil"/>
              <w:left w:val="nil"/>
              <w:bottom w:val="nil"/>
              <w:right w:val="nil"/>
            </w:tcBorders>
            <w:shd w:val="clear" w:color="auto" w:fill="auto"/>
            <w:noWrap/>
            <w:vAlign w:val="bottom"/>
            <w:hideMark/>
          </w:tcPr>
          <w:p w14:paraId="0E363F37" w14:textId="77777777" w:rsidR="00BE6461" w:rsidRPr="00BE6461" w:rsidRDefault="00BE6461" w:rsidP="00BE6461">
            <w:pPr>
              <w:rPr>
                <w:sz w:val="20"/>
                <w:szCs w:val="20"/>
              </w:rPr>
            </w:pPr>
            <w:r w:rsidRPr="00BE6461">
              <w:rPr>
                <w:sz w:val="20"/>
                <w:szCs w:val="20"/>
              </w:rPr>
              <w:t>3239</w:t>
            </w:r>
          </w:p>
        </w:tc>
        <w:tc>
          <w:tcPr>
            <w:tcW w:w="8457" w:type="dxa"/>
            <w:tcBorders>
              <w:top w:val="nil"/>
              <w:left w:val="nil"/>
              <w:bottom w:val="nil"/>
              <w:right w:val="nil"/>
            </w:tcBorders>
            <w:shd w:val="clear" w:color="auto" w:fill="auto"/>
            <w:vAlign w:val="bottom"/>
            <w:hideMark/>
          </w:tcPr>
          <w:p w14:paraId="5223CCD0" w14:textId="77777777" w:rsidR="00BE6461" w:rsidRPr="00BE6461" w:rsidRDefault="00BE6461" w:rsidP="00BE6461">
            <w:pPr>
              <w:rPr>
                <w:sz w:val="20"/>
                <w:szCs w:val="20"/>
              </w:rPr>
            </w:pPr>
            <w:r w:rsidRPr="00BE6461">
              <w:rPr>
                <w:sz w:val="20"/>
                <w:szCs w:val="20"/>
              </w:rPr>
              <w:t xml:space="preserve">Ostale usluge                                                                                       </w:t>
            </w:r>
          </w:p>
        </w:tc>
        <w:tc>
          <w:tcPr>
            <w:tcW w:w="1503" w:type="dxa"/>
            <w:tcBorders>
              <w:top w:val="nil"/>
              <w:left w:val="nil"/>
              <w:bottom w:val="nil"/>
              <w:right w:val="nil"/>
            </w:tcBorders>
            <w:shd w:val="clear" w:color="auto" w:fill="auto"/>
            <w:noWrap/>
            <w:vAlign w:val="bottom"/>
            <w:hideMark/>
          </w:tcPr>
          <w:p w14:paraId="42752B5E"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40D8CE4" w14:textId="77777777" w:rsidR="00BE6461" w:rsidRPr="00BE6461" w:rsidRDefault="00BE6461" w:rsidP="00BE6461">
            <w:pPr>
              <w:jc w:val="right"/>
              <w:rPr>
                <w:sz w:val="20"/>
                <w:szCs w:val="20"/>
              </w:rPr>
            </w:pPr>
            <w:r w:rsidRPr="00BE6461">
              <w:rPr>
                <w:sz w:val="20"/>
                <w:szCs w:val="20"/>
              </w:rPr>
              <w:t>1.402,50</w:t>
            </w:r>
          </w:p>
        </w:tc>
        <w:tc>
          <w:tcPr>
            <w:tcW w:w="1100" w:type="dxa"/>
            <w:tcBorders>
              <w:top w:val="nil"/>
              <w:left w:val="nil"/>
              <w:bottom w:val="nil"/>
              <w:right w:val="nil"/>
            </w:tcBorders>
            <w:shd w:val="clear" w:color="auto" w:fill="auto"/>
            <w:noWrap/>
            <w:vAlign w:val="bottom"/>
            <w:hideMark/>
          </w:tcPr>
          <w:p w14:paraId="36E2D534" w14:textId="77777777" w:rsidR="00BE6461" w:rsidRPr="00BE6461" w:rsidRDefault="00BE6461" w:rsidP="00BE6461">
            <w:pPr>
              <w:jc w:val="right"/>
              <w:rPr>
                <w:sz w:val="20"/>
                <w:szCs w:val="20"/>
              </w:rPr>
            </w:pPr>
          </w:p>
        </w:tc>
      </w:tr>
      <w:tr w:rsidR="00BE6461" w:rsidRPr="00BE6461" w14:paraId="3A3C7B34"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C54E8DC"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607647EA" w14:textId="77777777" w:rsidR="00BE6461" w:rsidRPr="00BE6461" w:rsidRDefault="00BE6461" w:rsidP="00BE6461">
            <w:pPr>
              <w:jc w:val="right"/>
              <w:rPr>
                <w:b/>
                <w:bCs/>
                <w:color w:val="333333"/>
                <w:sz w:val="20"/>
                <w:szCs w:val="20"/>
              </w:rPr>
            </w:pPr>
            <w:r w:rsidRPr="00BE6461">
              <w:rPr>
                <w:b/>
                <w:bCs/>
                <w:color w:val="333333"/>
                <w:sz w:val="20"/>
                <w:szCs w:val="20"/>
              </w:rPr>
              <w:t>1.500,00</w:t>
            </w:r>
          </w:p>
        </w:tc>
        <w:tc>
          <w:tcPr>
            <w:tcW w:w="1500" w:type="dxa"/>
            <w:tcBorders>
              <w:top w:val="nil"/>
              <w:left w:val="nil"/>
              <w:bottom w:val="nil"/>
              <w:right w:val="nil"/>
            </w:tcBorders>
            <w:shd w:val="clear" w:color="auto" w:fill="auto"/>
            <w:noWrap/>
            <w:vAlign w:val="bottom"/>
            <w:hideMark/>
          </w:tcPr>
          <w:p w14:paraId="34B1CFEC"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100" w:type="dxa"/>
            <w:tcBorders>
              <w:top w:val="nil"/>
              <w:left w:val="nil"/>
              <w:bottom w:val="nil"/>
              <w:right w:val="nil"/>
            </w:tcBorders>
            <w:shd w:val="clear" w:color="auto" w:fill="auto"/>
            <w:noWrap/>
            <w:vAlign w:val="bottom"/>
            <w:hideMark/>
          </w:tcPr>
          <w:p w14:paraId="24826A80"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3A712072"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D4F5767" w14:textId="77777777" w:rsidR="00BE6461" w:rsidRPr="00BE6461" w:rsidRDefault="00BE6461" w:rsidP="00BE6461">
            <w:pPr>
              <w:rPr>
                <w:b/>
                <w:bCs/>
                <w:color w:val="333333"/>
                <w:sz w:val="20"/>
                <w:szCs w:val="20"/>
              </w:rPr>
            </w:pPr>
            <w:r w:rsidRPr="00BE6461">
              <w:rPr>
                <w:b/>
                <w:bCs/>
                <w:color w:val="333333"/>
                <w:sz w:val="20"/>
                <w:szCs w:val="20"/>
              </w:rPr>
              <w:t>Izvor 4.7. PRIHODI POSEBNE NAMJENE - PRORAČUNSKI KORISNICI</w:t>
            </w:r>
          </w:p>
        </w:tc>
        <w:tc>
          <w:tcPr>
            <w:tcW w:w="1503" w:type="dxa"/>
            <w:tcBorders>
              <w:top w:val="nil"/>
              <w:left w:val="nil"/>
              <w:bottom w:val="nil"/>
              <w:right w:val="nil"/>
            </w:tcBorders>
            <w:shd w:val="clear" w:color="auto" w:fill="auto"/>
            <w:noWrap/>
            <w:vAlign w:val="bottom"/>
            <w:hideMark/>
          </w:tcPr>
          <w:p w14:paraId="27D8D845" w14:textId="77777777" w:rsidR="00BE6461" w:rsidRPr="00BE6461" w:rsidRDefault="00BE6461" w:rsidP="00BE6461">
            <w:pPr>
              <w:jc w:val="right"/>
              <w:rPr>
                <w:b/>
                <w:bCs/>
                <w:color w:val="333333"/>
                <w:sz w:val="20"/>
                <w:szCs w:val="20"/>
              </w:rPr>
            </w:pPr>
            <w:r w:rsidRPr="00BE6461">
              <w:rPr>
                <w:b/>
                <w:bCs/>
                <w:color w:val="333333"/>
                <w:sz w:val="20"/>
                <w:szCs w:val="20"/>
              </w:rPr>
              <w:t>1.500,00</w:t>
            </w:r>
          </w:p>
        </w:tc>
        <w:tc>
          <w:tcPr>
            <w:tcW w:w="1500" w:type="dxa"/>
            <w:tcBorders>
              <w:top w:val="nil"/>
              <w:left w:val="nil"/>
              <w:bottom w:val="nil"/>
              <w:right w:val="nil"/>
            </w:tcBorders>
            <w:shd w:val="clear" w:color="auto" w:fill="auto"/>
            <w:noWrap/>
            <w:vAlign w:val="bottom"/>
            <w:hideMark/>
          </w:tcPr>
          <w:p w14:paraId="44ED9E57"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100" w:type="dxa"/>
            <w:tcBorders>
              <w:top w:val="nil"/>
              <w:left w:val="nil"/>
              <w:bottom w:val="nil"/>
              <w:right w:val="nil"/>
            </w:tcBorders>
            <w:shd w:val="clear" w:color="auto" w:fill="auto"/>
            <w:noWrap/>
            <w:vAlign w:val="bottom"/>
            <w:hideMark/>
          </w:tcPr>
          <w:p w14:paraId="6AE05030"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33832CD6" w14:textId="77777777" w:rsidTr="00BE6461">
        <w:trPr>
          <w:trHeight w:val="300"/>
        </w:trPr>
        <w:tc>
          <w:tcPr>
            <w:tcW w:w="1703" w:type="dxa"/>
            <w:tcBorders>
              <w:top w:val="nil"/>
              <w:left w:val="nil"/>
              <w:bottom w:val="nil"/>
              <w:right w:val="nil"/>
            </w:tcBorders>
            <w:shd w:val="clear" w:color="auto" w:fill="auto"/>
            <w:noWrap/>
            <w:vAlign w:val="bottom"/>
            <w:hideMark/>
          </w:tcPr>
          <w:p w14:paraId="20F69B8B"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2FB9ED14"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0AC8D9FB" w14:textId="77777777" w:rsidR="00BE6461" w:rsidRPr="00BE6461" w:rsidRDefault="00BE6461" w:rsidP="00BE6461">
            <w:pPr>
              <w:jc w:val="right"/>
              <w:rPr>
                <w:b/>
                <w:bCs/>
                <w:sz w:val="20"/>
                <w:szCs w:val="20"/>
              </w:rPr>
            </w:pPr>
            <w:r w:rsidRPr="00BE6461">
              <w:rPr>
                <w:b/>
                <w:bCs/>
                <w:sz w:val="20"/>
                <w:szCs w:val="20"/>
              </w:rPr>
              <w:t>1.500,00</w:t>
            </w:r>
          </w:p>
        </w:tc>
        <w:tc>
          <w:tcPr>
            <w:tcW w:w="1500" w:type="dxa"/>
            <w:tcBorders>
              <w:top w:val="nil"/>
              <w:left w:val="nil"/>
              <w:bottom w:val="nil"/>
              <w:right w:val="nil"/>
            </w:tcBorders>
            <w:shd w:val="clear" w:color="auto" w:fill="auto"/>
            <w:noWrap/>
            <w:vAlign w:val="bottom"/>
            <w:hideMark/>
          </w:tcPr>
          <w:p w14:paraId="565F311F"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1CEC6248"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25F42285" w14:textId="77777777" w:rsidTr="00BE6461">
        <w:trPr>
          <w:trHeight w:val="300"/>
        </w:trPr>
        <w:tc>
          <w:tcPr>
            <w:tcW w:w="1703" w:type="dxa"/>
            <w:tcBorders>
              <w:top w:val="nil"/>
              <w:left w:val="nil"/>
              <w:bottom w:val="nil"/>
              <w:right w:val="nil"/>
            </w:tcBorders>
            <w:shd w:val="clear" w:color="auto" w:fill="auto"/>
            <w:noWrap/>
            <w:vAlign w:val="bottom"/>
            <w:hideMark/>
          </w:tcPr>
          <w:p w14:paraId="4A5BEEED"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43E9C420"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7A15EB25"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5EADD62"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0E3BC4A8" w14:textId="77777777" w:rsidR="00BE6461" w:rsidRPr="00BE6461" w:rsidRDefault="00BE6461" w:rsidP="00BE6461">
            <w:pPr>
              <w:jc w:val="right"/>
              <w:rPr>
                <w:sz w:val="20"/>
                <w:szCs w:val="20"/>
              </w:rPr>
            </w:pPr>
          </w:p>
        </w:tc>
      </w:tr>
      <w:tr w:rsidR="00BE6461" w:rsidRPr="00BE6461" w14:paraId="590505D3" w14:textId="77777777" w:rsidTr="00BE6461">
        <w:trPr>
          <w:trHeight w:val="300"/>
        </w:trPr>
        <w:tc>
          <w:tcPr>
            <w:tcW w:w="1703" w:type="dxa"/>
            <w:tcBorders>
              <w:top w:val="nil"/>
              <w:left w:val="nil"/>
              <w:bottom w:val="nil"/>
              <w:right w:val="nil"/>
            </w:tcBorders>
            <w:shd w:val="clear" w:color="auto" w:fill="auto"/>
            <w:noWrap/>
            <w:vAlign w:val="bottom"/>
            <w:hideMark/>
          </w:tcPr>
          <w:p w14:paraId="21DD18B7" w14:textId="77777777" w:rsidR="00BE6461" w:rsidRPr="00BE6461" w:rsidRDefault="00BE6461" w:rsidP="00BE6461">
            <w:pPr>
              <w:rPr>
                <w:sz w:val="20"/>
                <w:szCs w:val="20"/>
              </w:rPr>
            </w:pPr>
            <w:r w:rsidRPr="00BE6461">
              <w:rPr>
                <w:sz w:val="20"/>
                <w:szCs w:val="20"/>
              </w:rPr>
              <w:t>3239</w:t>
            </w:r>
          </w:p>
        </w:tc>
        <w:tc>
          <w:tcPr>
            <w:tcW w:w="8457" w:type="dxa"/>
            <w:tcBorders>
              <w:top w:val="nil"/>
              <w:left w:val="nil"/>
              <w:bottom w:val="nil"/>
              <w:right w:val="nil"/>
            </w:tcBorders>
            <w:shd w:val="clear" w:color="auto" w:fill="auto"/>
            <w:vAlign w:val="bottom"/>
            <w:hideMark/>
          </w:tcPr>
          <w:p w14:paraId="3A09FA80" w14:textId="77777777" w:rsidR="00BE6461" w:rsidRPr="00BE6461" w:rsidRDefault="00BE6461" w:rsidP="00BE6461">
            <w:pPr>
              <w:rPr>
                <w:sz w:val="20"/>
                <w:szCs w:val="20"/>
              </w:rPr>
            </w:pPr>
            <w:r w:rsidRPr="00BE6461">
              <w:rPr>
                <w:sz w:val="20"/>
                <w:szCs w:val="20"/>
              </w:rPr>
              <w:t xml:space="preserve">Ostale usluge                                                                                       </w:t>
            </w:r>
          </w:p>
        </w:tc>
        <w:tc>
          <w:tcPr>
            <w:tcW w:w="1503" w:type="dxa"/>
            <w:tcBorders>
              <w:top w:val="nil"/>
              <w:left w:val="nil"/>
              <w:bottom w:val="nil"/>
              <w:right w:val="nil"/>
            </w:tcBorders>
            <w:shd w:val="clear" w:color="auto" w:fill="auto"/>
            <w:noWrap/>
            <w:vAlign w:val="bottom"/>
            <w:hideMark/>
          </w:tcPr>
          <w:p w14:paraId="2BDBC80F"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996ACD6"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147148DD" w14:textId="77777777" w:rsidR="00BE6461" w:rsidRPr="00BE6461" w:rsidRDefault="00BE6461" w:rsidP="00BE6461">
            <w:pPr>
              <w:jc w:val="right"/>
              <w:rPr>
                <w:sz w:val="20"/>
                <w:szCs w:val="20"/>
              </w:rPr>
            </w:pPr>
          </w:p>
        </w:tc>
      </w:tr>
      <w:tr w:rsidR="00BE6461" w:rsidRPr="00BE6461" w14:paraId="7699B527"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30BD4AB1" w14:textId="77777777" w:rsidR="00BE6461" w:rsidRPr="00BE6461" w:rsidRDefault="00BE6461" w:rsidP="00BE6461">
            <w:pPr>
              <w:rPr>
                <w:b/>
                <w:bCs/>
                <w:sz w:val="20"/>
                <w:szCs w:val="20"/>
              </w:rPr>
            </w:pPr>
            <w:r w:rsidRPr="00BE6461">
              <w:rPr>
                <w:b/>
                <w:bCs/>
                <w:sz w:val="20"/>
                <w:szCs w:val="20"/>
              </w:rPr>
              <w:t>A100086</w:t>
            </w:r>
          </w:p>
        </w:tc>
        <w:tc>
          <w:tcPr>
            <w:tcW w:w="8457" w:type="dxa"/>
            <w:tcBorders>
              <w:top w:val="single" w:sz="4" w:space="0" w:color="auto"/>
              <w:left w:val="nil"/>
              <w:bottom w:val="single" w:sz="4" w:space="0" w:color="auto"/>
              <w:right w:val="nil"/>
            </w:tcBorders>
            <w:shd w:val="clear" w:color="auto" w:fill="auto"/>
            <w:vAlign w:val="bottom"/>
            <w:hideMark/>
          </w:tcPr>
          <w:p w14:paraId="68E73660" w14:textId="77777777" w:rsidR="00BE6461" w:rsidRPr="00BE6461" w:rsidRDefault="00BE6461" w:rsidP="00BE6461">
            <w:pPr>
              <w:rPr>
                <w:b/>
                <w:bCs/>
                <w:sz w:val="20"/>
                <w:szCs w:val="20"/>
              </w:rPr>
            </w:pPr>
            <w:r w:rsidRPr="00BE6461">
              <w:rPr>
                <w:b/>
                <w:bCs/>
                <w:sz w:val="20"/>
                <w:szCs w:val="20"/>
              </w:rPr>
              <w:t>Aktivnost: VALORIZACIJA I PROMOVIRANJE KAŠTELA ROTA</w:t>
            </w:r>
          </w:p>
        </w:tc>
        <w:tc>
          <w:tcPr>
            <w:tcW w:w="1503" w:type="dxa"/>
            <w:tcBorders>
              <w:top w:val="single" w:sz="4" w:space="0" w:color="auto"/>
              <w:left w:val="nil"/>
              <w:bottom w:val="single" w:sz="4" w:space="0" w:color="auto"/>
              <w:right w:val="nil"/>
            </w:tcBorders>
            <w:shd w:val="clear" w:color="auto" w:fill="auto"/>
            <w:noWrap/>
            <w:vAlign w:val="bottom"/>
            <w:hideMark/>
          </w:tcPr>
          <w:p w14:paraId="091DE50F" w14:textId="77777777" w:rsidR="00BE6461" w:rsidRPr="00BE6461" w:rsidRDefault="00BE6461" w:rsidP="00BE6461">
            <w:pPr>
              <w:jc w:val="right"/>
              <w:rPr>
                <w:b/>
                <w:bCs/>
                <w:sz w:val="20"/>
                <w:szCs w:val="20"/>
              </w:rPr>
            </w:pPr>
            <w:r w:rsidRPr="00BE6461">
              <w:rPr>
                <w:b/>
                <w:bCs/>
                <w:sz w:val="20"/>
                <w:szCs w:val="20"/>
              </w:rPr>
              <w:t>30.000,00</w:t>
            </w:r>
          </w:p>
        </w:tc>
        <w:tc>
          <w:tcPr>
            <w:tcW w:w="1500" w:type="dxa"/>
            <w:tcBorders>
              <w:top w:val="single" w:sz="4" w:space="0" w:color="auto"/>
              <w:left w:val="nil"/>
              <w:bottom w:val="single" w:sz="4" w:space="0" w:color="auto"/>
              <w:right w:val="nil"/>
            </w:tcBorders>
            <w:shd w:val="clear" w:color="auto" w:fill="auto"/>
            <w:noWrap/>
            <w:vAlign w:val="bottom"/>
            <w:hideMark/>
          </w:tcPr>
          <w:p w14:paraId="5AE91E4E" w14:textId="77777777" w:rsidR="00BE6461" w:rsidRPr="00BE6461" w:rsidRDefault="00BE6461" w:rsidP="00BE6461">
            <w:pPr>
              <w:jc w:val="right"/>
              <w:rPr>
                <w:b/>
                <w:bCs/>
                <w:sz w:val="20"/>
                <w:szCs w:val="20"/>
              </w:rPr>
            </w:pPr>
            <w:r w:rsidRPr="00BE6461">
              <w:rPr>
                <w:b/>
                <w:bCs/>
                <w:sz w:val="20"/>
                <w:szCs w:val="20"/>
              </w:rPr>
              <w:t>18.866,10</w:t>
            </w:r>
          </w:p>
        </w:tc>
        <w:tc>
          <w:tcPr>
            <w:tcW w:w="1100" w:type="dxa"/>
            <w:tcBorders>
              <w:top w:val="single" w:sz="4" w:space="0" w:color="auto"/>
              <w:left w:val="nil"/>
              <w:bottom w:val="single" w:sz="4" w:space="0" w:color="auto"/>
              <w:right w:val="nil"/>
            </w:tcBorders>
            <w:shd w:val="clear" w:color="auto" w:fill="auto"/>
            <w:noWrap/>
            <w:vAlign w:val="bottom"/>
            <w:hideMark/>
          </w:tcPr>
          <w:p w14:paraId="3C3C7678" w14:textId="77777777" w:rsidR="00BE6461" w:rsidRPr="00BE6461" w:rsidRDefault="00BE6461" w:rsidP="00BE6461">
            <w:pPr>
              <w:jc w:val="right"/>
              <w:rPr>
                <w:b/>
                <w:bCs/>
                <w:sz w:val="20"/>
                <w:szCs w:val="20"/>
              </w:rPr>
            </w:pPr>
            <w:r w:rsidRPr="00BE6461">
              <w:rPr>
                <w:b/>
                <w:bCs/>
                <w:sz w:val="20"/>
                <w:szCs w:val="20"/>
              </w:rPr>
              <w:t>62,89</w:t>
            </w:r>
          </w:p>
        </w:tc>
      </w:tr>
      <w:tr w:rsidR="00BE6461" w:rsidRPr="00BE6461" w14:paraId="35CD621D"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1C79807" w14:textId="77777777" w:rsidR="00BE6461" w:rsidRPr="00BE6461" w:rsidRDefault="00BE6461" w:rsidP="00BE6461">
            <w:pPr>
              <w:rPr>
                <w:b/>
                <w:bCs/>
                <w:color w:val="333333"/>
                <w:sz w:val="20"/>
                <w:szCs w:val="20"/>
              </w:rPr>
            </w:pPr>
            <w:r w:rsidRPr="00BE6461">
              <w:rPr>
                <w:b/>
                <w:bCs/>
                <w:color w:val="333333"/>
                <w:sz w:val="20"/>
                <w:szCs w:val="20"/>
              </w:rPr>
              <w:lastRenderedPageBreak/>
              <w:t>Izvor 5. POMOĆI</w:t>
            </w:r>
          </w:p>
        </w:tc>
        <w:tc>
          <w:tcPr>
            <w:tcW w:w="1503" w:type="dxa"/>
            <w:tcBorders>
              <w:top w:val="nil"/>
              <w:left w:val="nil"/>
              <w:bottom w:val="nil"/>
              <w:right w:val="nil"/>
            </w:tcBorders>
            <w:shd w:val="clear" w:color="auto" w:fill="auto"/>
            <w:noWrap/>
            <w:vAlign w:val="bottom"/>
            <w:hideMark/>
          </w:tcPr>
          <w:p w14:paraId="611FE596" w14:textId="77777777" w:rsidR="00BE6461" w:rsidRPr="00BE6461" w:rsidRDefault="00BE6461" w:rsidP="00BE6461">
            <w:pPr>
              <w:jc w:val="right"/>
              <w:rPr>
                <w:b/>
                <w:bCs/>
                <w:color w:val="333333"/>
                <w:sz w:val="20"/>
                <w:szCs w:val="20"/>
              </w:rPr>
            </w:pPr>
            <w:r w:rsidRPr="00BE6461">
              <w:rPr>
                <w:b/>
                <w:bCs/>
                <w:color w:val="333333"/>
                <w:sz w:val="20"/>
                <w:szCs w:val="20"/>
              </w:rPr>
              <w:t>30.000,00</w:t>
            </w:r>
          </w:p>
        </w:tc>
        <w:tc>
          <w:tcPr>
            <w:tcW w:w="1500" w:type="dxa"/>
            <w:tcBorders>
              <w:top w:val="nil"/>
              <w:left w:val="nil"/>
              <w:bottom w:val="nil"/>
              <w:right w:val="nil"/>
            </w:tcBorders>
            <w:shd w:val="clear" w:color="auto" w:fill="auto"/>
            <w:noWrap/>
            <w:vAlign w:val="bottom"/>
            <w:hideMark/>
          </w:tcPr>
          <w:p w14:paraId="1FB7894F" w14:textId="77777777" w:rsidR="00BE6461" w:rsidRPr="00BE6461" w:rsidRDefault="00BE6461" w:rsidP="00BE6461">
            <w:pPr>
              <w:jc w:val="right"/>
              <w:rPr>
                <w:b/>
                <w:bCs/>
                <w:color w:val="333333"/>
                <w:sz w:val="20"/>
                <w:szCs w:val="20"/>
              </w:rPr>
            </w:pPr>
            <w:r w:rsidRPr="00BE6461">
              <w:rPr>
                <w:b/>
                <w:bCs/>
                <w:color w:val="333333"/>
                <w:sz w:val="20"/>
                <w:szCs w:val="20"/>
              </w:rPr>
              <w:t>18.866,10</w:t>
            </w:r>
          </w:p>
        </w:tc>
        <w:tc>
          <w:tcPr>
            <w:tcW w:w="1100" w:type="dxa"/>
            <w:tcBorders>
              <w:top w:val="nil"/>
              <w:left w:val="nil"/>
              <w:bottom w:val="nil"/>
              <w:right w:val="nil"/>
            </w:tcBorders>
            <w:shd w:val="clear" w:color="auto" w:fill="auto"/>
            <w:noWrap/>
            <w:vAlign w:val="bottom"/>
            <w:hideMark/>
          </w:tcPr>
          <w:p w14:paraId="5F1B4FB3" w14:textId="77777777" w:rsidR="00BE6461" w:rsidRPr="00BE6461" w:rsidRDefault="00BE6461" w:rsidP="00BE6461">
            <w:pPr>
              <w:jc w:val="right"/>
              <w:rPr>
                <w:b/>
                <w:bCs/>
                <w:color w:val="333333"/>
                <w:sz w:val="20"/>
                <w:szCs w:val="20"/>
              </w:rPr>
            </w:pPr>
            <w:r w:rsidRPr="00BE6461">
              <w:rPr>
                <w:b/>
                <w:bCs/>
                <w:color w:val="333333"/>
                <w:sz w:val="20"/>
                <w:szCs w:val="20"/>
              </w:rPr>
              <w:t>62,89</w:t>
            </w:r>
          </w:p>
        </w:tc>
      </w:tr>
      <w:tr w:rsidR="00BE6461" w:rsidRPr="00BE6461" w14:paraId="01CA547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339D571" w14:textId="77777777" w:rsidR="00BE6461" w:rsidRPr="00BE6461" w:rsidRDefault="00BE6461" w:rsidP="00BE6461">
            <w:pPr>
              <w:rPr>
                <w:b/>
                <w:bCs/>
                <w:color w:val="333333"/>
                <w:sz w:val="20"/>
                <w:szCs w:val="20"/>
              </w:rPr>
            </w:pPr>
            <w:r w:rsidRPr="00BE6461">
              <w:rPr>
                <w:b/>
                <w:bCs/>
                <w:color w:val="333333"/>
                <w:sz w:val="20"/>
                <w:szCs w:val="20"/>
              </w:rPr>
              <w:t>Izvor 5.2. POMOĆI - PRORAČUNSKI KORISNICI (GRAD)</w:t>
            </w:r>
          </w:p>
        </w:tc>
        <w:tc>
          <w:tcPr>
            <w:tcW w:w="1503" w:type="dxa"/>
            <w:tcBorders>
              <w:top w:val="nil"/>
              <w:left w:val="nil"/>
              <w:bottom w:val="nil"/>
              <w:right w:val="nil"/>
            </w:tcBorders>
            <w:shd w:val="clear" w:color="auto" w:fill="auto"/>
            <w:noWrap/>
            <w:vAlign w:val="bottom"/>
            <w:hideMark/>
          </w:tcPr>
          <w:p w14:paraId="7CBE20E5" w14:textId="77777777" w:rsidR="00BE6461" w:rsidRPr="00BE6461" w:rsidRDefault="00BE6461" w:rsidP="00BE6461">
            <w:pPr>
              <w:jc w:val="right"/>
              <w:rPr>
                <w:b/>
                <w:bCs/>
                <w:color w:val="333333"/>
                <w:sz w:val="20"/>
                <w:szCs w:val="20"/>
              </w:rPr>
            </w:pPr>
            <w:r w:rsidRPr="00BE6461">
              <w:rPr>
                <w:b/>
                <w:bCs/>
                <w:color w:val="333333"/>
                <w:sz w:val="20"/>
                <w:szCs w:val="20"/>
              </w:rPr>
              <w:t>30.000,00</w:t>
            </w:r>
          </w:p>
        </w:tc>
        <w:tc>
          <w:tcPr>
            <w:tcW w:w="1500" w:type="dxa"/>
            <w:tcBorders>
              <w:top w:val="nil"/>
              <w:left w:val="nil"/>
              <w:bottom w:val="nil"/>
              <w:right w:val="nil"/>
            </w:tcBorders>
            <w:shd w:val="clear" w:color="auto" w:fill="auto"/>
            <w:noWrap/>
            <w:vAlign w:val="bottom"/>
            <w:hideMark/>
          </w:tcPr>
          <w:p w14:paraId="2500F105" w14:textId="77777777" w:rsidR="00BE6461" w:rsidRPr="00BE6461" w:rsidRDefault="00BE6461" w:rsidP="00BE6461">
            <w:pPr>
              <w:jc w:val="right"/>
              <w:rPr>
                <w:b/>
                <w:bCs/>
                <w:color w:val="333333"/>
                <w:sz w:val="20"/>
                <w:szCs w:val="20"/>
              </w:rPr>
            </w:pPr>
            <w:r w:rsidRPr="00BE6461">
              <w:rPr>
                <w:b/>
                <w:bCs/>
                <w:color w:val="333333"/>
                <w:sz w:val="20"/>
                <w:szCs w:val="20"/>
              </w:rPr>
              <w:t>18.866,10</w:t>
            </w:r>
          </w:p>
        </w:tc>
        <w:tc>
          <w:tcPr>
            <w:tcW w:w="1100" w:type="dxa"/>
            <w:tcBorders>
              <w:top w:val="nil"/>
              <w:left w:val="nil"/>
              <w:bottom w:val="nil"/>
              <w:right w:val="nil"/>
            </w:tcBorders>
            <w:shd w:val="clear" w:color="auto" w:fill="auto"/>
            <w:noWrap/>
            <w:vAlign w:val="bottom"/>
            <w:hideMark/>
          </w:tcPr>
          <w:p w14:paraId="302B2229" w14:textId="77777777" w:rsidR="00BE6461" w:rsidRPr="00BE6461" w:rsidRDefault="00BE6461" w:rsidP="00BE6461">
            <w:pPr>
              <w:jc w:val="right"/>
              <w:rPr>
                <w:b/>
                <w:bCs/>
                <w:color w:val="333333"/>
                <w:sz w:val="20"/>
                <w:szCs w:val="20"/>
              </w:rPr>
            </w:pPr>
            <w:r w:rsidRPr="00BE6461">
              <w:rPr>
                <w:b/>
                <w:bCs/>
                <w:color w:val="333333"/>
                <w:sz w:val="20"/>
                <w:szCs w:val="20"/>
              </w:rPr>
              <w:t>62,89</w:t>
            </w:r>
          </w:p>
        </w:tc>
      </w:tr>
      <w:tr w:rsidR="00BE6461" w:rsidRPr="00BE6461" w14:paraId="13CCABD6" w14:textId="77777777" w:rsidTr="00BE6461">
        <w:trPr>
          <w:trHeight w:val="300"/>
        </w:trPr>
        <w:tc>
          <w:tcPr>
            <w:tcW w:w="1703" w:type="dxa"/>
            <w:tcBorders>
              <w:top w:val="nil"/>
              <w:left w:val="nil"/>
              <w:bottom w:val="nil"/>
              <w:right w:val="nil"/>
            </w:tcBorders>
            <w:shd w:val="clear" w:color="auto" w:fill="auto"/>
            <w:noWrap/>
            <w:vAlign w:val="bottom"/>
            <w:hideMark/>
          </w:tcPr>
          <w:p w14:paraId="4A171D57"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73CD70B7"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2B6A12B8" w14:textId="77777777" w:rsidR="00BE6461" w:rsidRPr="00BE6461" w:rsidRDefault="00BE6461" w:rsidP="00BE6461">
            <w:pPr>
              <w:jc w:val="right"/>
              <w:rPr>
                <w:b/>
                <w:bCs/>
                <w:sz w:val="20"/>
                <w:szCs w:val="20"/>
              </w:rPr>
            </w:pPr>
            <w:r w:rsidRPr="00BE6461">
              <w:rPr>
                <w:b/>
                <w:bCs/>
                <w:sz w:val="20"/>
                <w:szCs w:val="20"/>
              </w:rPr>
              <w:t>7.650,00</w:t>
            </w:r>
          </w:p>
        </w:tc>
        <w:tc>
          <w:tcPr>
            <w:tcW w:w="1500" w:type="dxa"/>
            <w:tcBorders>
              <w:top w:val="nil"/>
              <w:left w:val="nil"/>
              <w:bottom w:val="nil"/>
              <w:right w:val="nil"/>
            </w:tcBorders>
            <w:shd w:val="clear" w:color="auto" w:fill="auto"/>
            <w:noWrap/>
            <w:vAlign w:val="bottom"/>
            <w:hideMark/>
          </w:tcPr>
          <w:p w14:paraId="1F5CE899" w14:textId="77777777" w:rsidR="00BE6461" w:rsidRPr="00BE6461" w:rsidRDefault="00BE6461" w:rsidP="00BE6461">
            <w:pPr>
              <w:jc w:val="right"/>
              <w:rPr>
                <w:b/>
                <w:bCs/>
                <w:sz w:val="20"/>
                <w:szCs w:val="20"/>
              </w:rPr>
            </w:pPr>
            <w:r w:rsidRPr="00BE6461">
              <w:rPr>
                <w:b/>
                <w:bCs/>
                <w:sz w:val="20"/>
                <w:szCs w:val="20"/>
              </w:rPr>
              <w:t>6.650,00</w:t>
            </w:r>
          </w:p>
        </w:tc>
        <w:tc>
          <w:tcPr>
            <w:tcW w:w="1100" w:type="dxa"/>
            <w:tcBorders>
              <w:top w:val="nil"/>
              <w:left w:val="nil"/>
              <w:bottom w:val="nil"/>
              <w:right w:val="nil"/>
            </w:tcBorders>
            <w:shd w:val="clear" w:color="auto" w:fill="auto"/>
            <w:noWrap/>
            <w:vAlign w:val="bottom"/>
            <w:hideMark/>
          </w:tcPr>
          <w:p w14:paraId="4A54018F" w14:textId="77777777" w:rsidR="00BE6461" w:rsidRPr="00BE6461" w:rsidRDefault="00BE6461" w:rsidP="00BE6461">
            <w:pPr>
              <w:jc w:val="right"/>
              <w:rPr>
                <w:b/>
                <w:bCs/>
                <w:sz w:val="20"/>
                <w:szCs w:val="20"/>
              </w:rPr>
            </w:pPr>
            <w:r w:rsidRPr="00BE6461">
              <w:rPr>
                <w:b/>
                <w:bCs/>
                <w:sz w:val="20"/>
                <w:szCs w:val="20"/>
              </w:rPr>
              <w:t>86,93</w:t>
            </w:r>
          </w:p>
        </w:tc>
      </w:tr>
      <w:tr w:rsidR="00BE6461" w:rsidRPr="00BE6461" w14:paraId="2743CE7E" w14:textId="77777777" w:rsidTr="00BE6461">
        <w:trPr>
          <w:trHeight w:val="300"/>
        </w:trPr>
        <w:tc>
          <w:tcPr>
            <w:tcW w:w="1703" w:type="dxa"/>
            <w:tcBorders>
              <w:top w:val="nil"/>
              <w:left w:val="nil"/>
              <w:bottom w:val="nil"/>
              <w:right w:val="nil"/>
            </w:tcBorders>
            <w:shd w:val="clear" w:color="auto" w:fill="auto"/>
            <w:noWrap/>
            <w:vAlign w:val="bottom"/>
            <w:hideMark/>
          </w:tcPr>
          <w:p w14:paraId="2DE8DEE6" w14:textId="77777777" w:rsidR="00BE6461" w:rsidRPr="00BE6461" w:rsidRDefault="00BE6461" w:rsidP="00BE6461">
            <w:pPr>
              <w:rPr>
                <w:sz w:val="20"/>
                <w:szCs w:val="20"/>
              </w:rPr>
            </w:pPr>
            <w:r w:rsidRPr="00BE6461">
              <w:rPr>
                <w:sz w:val="20"/>
                <w:szCs w:val="20"/>
              </w:rPr>
              <w:t>3222</w:t>
            </w:r>
          </w:p>
        </w:tc>
        <w:tc>
          <w:tcPr>
            <w:tcW w:w="8457" w:type="dxa"/>
            <w:tcBorders>
              <w:top w:val="nil"/>
              <w:left w:val="nil"/>
              <w:bottom w:val="nil"/>
              <w:right w:val="nil"/>
            </w:tcBorders>
            <w:shd w:val="clear" w:color="auto" w:fill="auto"/>
            <w:vAlign w:val="bottom"/>
            <w:hideMark/>
          </w:tcPr>
          <w:p w14:paraId="59BBF332" w14:textId="77777777" w:rsidR="00BE6461" w:rsidRPr="00BE6461" w:rsidRDefault="00BE6461" w:rsidP="00BE6461">
            <w:pPr>
              <w:rPr>
                <w:sz w:val="20"/>
                <w:szCs w:val="20"/>
              </w:rPr>
            </w:pPr>
            <w:r w:rsidRPr="00BE6461">
              <w:rPr>
                <w:sz w:val="20"/>
                <w:szCs w:val="20"/>
              </w:rPr>
              <w:t xml:space="preserve">Materijal i sirovine                                                                                </w:t>
            </w:r>
          </w:p>
        </w:tc>
        <w:tc>
          <w:tcPr>
            <w:tcW w:w="1503" w:type="dxa"/>
            <w:tcBorders>
              <w:top w:val="nil"/>
              <w:left w:val="nil"/>
              <w:bottom w:val="nil"/>
              <w:right w:val="nil"/>
            </w:tcBorders>
            <w:shd w:val="clear" w:color="auto" w:fill="auto"/>
            <w:noWrap/>
            <w:vAlign w:val="bottom"/>
            <w:hideMark/>
          </w:tcPr>
          <w:p w14:paraId="1A6DB69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E03324B" w14:textId="77777777" w:rsidR="00BE6461" w:rsidRPr="00BE6461" w:rsidRDefault="00BE6461" w:rsidP="00BE6461">
            <w:pPr>
              <w:jc w:val="right"/>
              <w:rPr>
                <w:sz w:val="20"/>
                <w:szCs w:val="20"/>
              </w:rPr>
            </w:pPr>
            <w:r w:rsidRPr="00BE6461">
              <w:rPr>
                <w:sz w:val="20"/>
                <w:szCs w:val="20"/>
              </w:rPr>
              <w:t>6.650,00</w:t>
            </w:r>
          </w:p>
        </w:tc>
        <w:tc>
          <w:tcPr>
            <w:tcW w:w="1100" w:type="dxa"/>
            <w:tcBorders>
              <w:top w:val="nil"/>
              <w:left w:val="nil"/>
              <w:bottom w:val="nil"/>
              <w:right w:val="nil"/>
            </w:tcBorders>
            <w:shd w:val="clear" w:color="auto" w:fill="auto"/>
            <w:noWrap/>
            <w:vAlign w:val="bottom"/>
            <w:hideMark/>
          </w:tcPr>
          <w:p w14:paraId="5BAD6D37" w14:textId="77777777" w:rsidR="00BE6461" w:rsidRPr="00BE6461" w:rsidRDefault="00BE6461" w:rsidP="00BE6461">
            <w:pPr>
              <w:jc w:val="right"/>
              <w:rPr>
                <w:sz w:val="20"/>
                <w:szCs w:val="20"/>
              </w:rPr>
            </w:pPr>
          </w:p>
        </w:tc>
      </w:tr>
      <w:tr w:rsidR="00BE6461" w:rsidRPr="00BE6461" w14:paraId="1D997A20" w14:textId="77777777" w:rsidTr="00BE6461">
        <w:trPr>
          <w:trHeight w:val="300"/>
        </w:trPr>
        <w:tc>
          <w:tcPr>
            <w:tcW w:w="1703" w:type="dxa"/>
            <w:tcBorders>
              <w:top w:val="nil"/>
              <w:left w:val="nil"/>
              <w:bottom w:val="nil"/>
              <w:right w:val="nil"/>
            </w:tcBorders>
            <w:shd w:val="clear" w:color="auto" w:fill="auto"/>
            <w:noWrap/>
            <w:vAlign w:val="bottom"/>
            <w:hideMark/>
          </w:tcPr>
          <w:p w14:paraId="6F5586BF"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3F1F3876"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2BC5D013" w14:textId="77777777" w:rsidR="00BE6461" w:rsidRPr="00BE6461" w:rsidRDefault="00BE6461" w:rsidP="00BE6461">
            <w:pPr>
              <w:jc w:val="right"/>
              <w:rPr>
                <w:b/>
                <w:bCs/>
                <w:sz w:val="20"/>
                <w:szCs w:val="20"/>
              </w:rPr>
            </w:pPr>
            <w:r w:rsidRPr="00BE6461">
              <w:rPr>
                <w:b/>
                <w:bCs/>
                <w:sz w:val="20"/>
                <w:szCs w:val="20"/>
              </w:rPr>
              <w:t>18.350,00</w:t>
            </w:r>
          </w:p>
        </w:tc>
        <w:tc>
          <w:tcPr>
            <w:tcW w:w="1500" w:type="dxa"/>
            <w:tcBorders>
              <w:top w:val="nil"/>
              <w:left w:val="nil"/>
              <w:bottom w:val="nil"/>
              <w:right w:val="nil"/>
            </w:tcBorders>
            <w:shd w:val="clear" w:color="auto" w:fill="auto"/>
            <w:noWrap/>
            <w:vAlign w:val="bottom"/>
            <w:hideMark/>
          </w:tcPr>
          <w:p w14:paraId="5ECC2E22" w14:textId="77777777" w:rsidR="00BE6461" w:rsidRPr="00BE6461" w:rsidRDefault="00BE6461" w:rsidP="00BE6461">
            <w:pPr>
              <w:jc w:val="right"/>
              <w:rPr>
                <w:b/>
                <w:bCs/>
                <w:sz w:val="20"/>
                <w:szCs w:val="20"/>
              </w:rPr>
            </w:pPr>
            <w:r w:rsidRPr="00BE6461">
              <w:rPr>
                <w:b/>
                <w:bCs/>
                <w:sz w:val="20"/>
                <w:szCs w:val="20"/>
              </w:rPr>
              <w:t>10.848,44</w:t>
            </w:r>
          </w:p>
        </w:tc>
        <w:tc>
          <w:tcPr>
            <w:tcW w:w="1100" w:type="dxa"/>
            <w:tcBorders>
              <w:top w:val="nil"/>
              <w:left w:val="nil"/>
              <w:bottom w:val="nil"/>
              <w:right w:val="nil"/>
            </w:tcBorders>
            <w:shd w:val="clear" w:color="auto" w:fill="auto"/>
            <w:noWrap/>
            <w:vAlign w:val="bottom"/>
            <w:hideMark/>
          </w:tcPr>
          <w:p w14:paraId="5A12C842" w14:textId="77777777" w:rsidR="00BE6461" w:rsidRPr="00BE6461" w:rsidRDefault="00BE6461" w:rsidP="00BE6461">
            <w:pPr>
              <w:jc w:val="right"/>
              <w:rPr>
                <w:b/>
                <w:bCs/>
                <w:sz w:val="20"/>
                <w:szCs w:val="20"/>
              </w:rPr>
            </w:pPr>
            <w:r w:rsidRPr="00BE6461">
              <w:rPr>
                <w:b/>
                <w:bCs/>
                <w:sz w:val="20"/>
                <w:szCs w:val="20"/>
              </w:rPr>
              <w:t>59,12</w:t>
            </w:r>
          </w:p>
        </w:tc>
      </w:tr>
      <w:tr w:rsidR="00BE6461" w:rsidRPr="00BE6461" w14:paraId="6F19F341" w14:textId="77777777" w:rsidTr="00BE6461">
        <w:trPr>
          <w:trHeight w:val="300"/>
        </w:trPr>
        <w:tc>
          <w:tcPr>
            <w:tcW w:w="1703" w:type="dxa"/>
            <w:tcBorders>
              <w:top w:val="nil"/>
              <w:left w:val="nil"/>
              <w:bottom w:val="nil"/>
              <w:right w:val="nil"/>
            </w:tcBorders>
            <w:shd w:val="clear" w:color="auto" w:fill="auto"/>
            <w:noWrap/>
            <w:vAlign w:val="bottom"/>
            <w:hideMark/>
          </w:tcPr>
          <w:p w14:paraId="23EED18D"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1BE9E358"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76C367A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16B8253" w14:textId="77777777" w:rsidR="00BE6461" w:rsidRPr="00BE6461" w:rsidRDefault="00BE6461" w:rsidP="00BE6461">
            <w:pPr>
              <w:jc w:val="right"/>
              <w:rPr>
                <w:sz w:val="20"/>
                <w:szCs w:val="20"/>
              </w:rPr>
            </w:pPr>
            <w:r w:rsidRPr="00BE6461">
              <w:rPr>
                <w:sz w:val="20"/>
                <w:szCs w:val="20"/>
              </w:rPr>
              <w:t>10.848,44</w:t>
            </w:r>
          </w:p>
        </w:tc>
        <w:tc>
          <w:tcPr>
            <w:tcW w:w="1100" w:type="dxa"/>
            <w:tcBorders>
              <w:top w:val="nil"/>
              <w:left w:val="nil"/>
              <w:bottom w:val="nil"/>
              <w:right w:val="nil"/>
            </w:tcBorders>
            <w:shd w:val="clear" w:color="auto" w:fill="auto"/>
            <w:noWrap/>
            <w:vAlign w:val="bottom"/>
            <w:hideMark/>
          </w:tcPr>
          <w:p w14:paraId="5473874A" w14:textId="77777777" w:rsidR="00BE6461" w:rsidRPr="00BE6461" w:rsidRDefault="00BE6461" w:rsidP="00BE6461">
            <w:pPr>
              <w:jc w:val="right"/>
              <w:rPr>
                <w:sz w:val="20"/>
                <w:szCs w:val="20"/>
              </w:rPr>
            </w:pPr>
          </w:p>
        </w:tc>
      </w:tr>
      <w:tr w:rsidR="00BE6461" w:rsidRPr="00BE6461" w14:paraId="077AD32D" w14:textId="77777777" w:rsidTr="00BE6461">
        <w:trPr>
          <w:trHeight w:val="300"/>
        </w:trPr>
        <w:tc>
          <w:tcPr>
            <w:tcW w:w="1703" w:type="dxa"/>
            <w:tcBorders>
              <w:top w:val="nil"/>
              <w:left w:val="nil"/>
              <w:bottom w:val="nil"/>
              <w:right w:val="nil"/>
            </w:tcBorders>
            <w:shd w:val="clear" w:color="auto" w:fill="auto"/>
            <w:noWrap/>
            <w:vAlign w:val="bottom"/>
            <w:hideMark/>
          </w:tcPr>
          <w:p w14:paraId="5195E87E" w14:textId="77777777" w:rsidR="00BE6461" w:rsidRPr="00BE6461" w:rsidRDefault="00BE6461" w:rsidP="00BE6461">
            <w:pPr>
              <w:rPr>
                <w:sz w:val="20"/>
                <w:szCs w:val="20"/>
              </w:rPr>
            </w:pPr>
            <w:r w:rsidRPr="00BE6461">
              <w:rPr>
                <w:sz w:val="20"/>
                <w:szCs w:val="20"/>
              </w:rPr>
              <w:t>3239</w:t>
            </w:r>
          </w:p>
        </w:tc>
        <w:tc>
          <w:tcPr>
            <w:tcW w:w="8457" w:type="dxa"/>
            <w:tcBorders>
              <w:top w:val="nil"/>
              <w:left w:val="nil"/>
              <w:bottom w:val="nil"/>
              <w:right w:val="nil"/>
            </w:tcBorders>
            <w:shd w:val="clear" w:color="auto" w:fill="auto"/>
            <w:vAlign w:val="bottom"/>
            <w:hideMark/>
          </w:tcPr>
          <w:p w14:paraId="7F05088E" w14:textId="77777777" w:rsidR="00BE6461" w:rsidRPr="00BE6461" w:rsidRDefault="00BE6461" w:rsidP="00BE6461">
            <w:pPr>
              <w:rPr>
                <w:sz w:val="20"/>
                <w:szCs w:val="20"/>
              </w:rPr>
            </w:pPr>
            <w:r w:rsidRPr="00BE6461">
              <w:rPr>
                <w:sz w:val="20"/>
                <w:szCs w:val="20"/>
              </w:rPr>
              <w:t xml:space="preserve">Ostale usluge                                                                                       </w:t>
            </w:r>
          </w:p>
        </w:tc>
        <w:tc>
          <w:tcPr>
            <w:tcW w:w="1503" w:type="dxa"/>
            <w:tcBorders>
              <w:top w:val="nil"/>
              <w:left w:val="nil"/>
              <w:bottom w:val="nil"/>
              <w:right w:val="nil"/>
            </w:tcBorders>
            <w:shd w:val="clear" w:color="auto" w:fill="auto"/>
            <w:noWrap/>
            <w:vAlign w:val="bottom"/>
            <w:hideMark/>
          </w:tcPr>
          <w:p w14:paraId="7F26272B"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5B998ED"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6C2CA31F" w14:textId="77777777" w:rsidR="00BE6461" w:rsidRPr="00BE6461" w:rsidRDefault="00BE6461" w:rsidP="00BE6461">
            <w:pPr>
              <w:jc w:val="right"/>
              <w:rPr>
                <w:sz w:val="20"/>
                <w:szCs w:val="20"/>
              </w:rPr>
            </w:pPr>
          </w:p>
        </w:tc>
      </w:tr>
      <w:tr w:rsidR="00BE6461" w:rsidRPr="00BE6461" w14:paraId="421F6F9F" w14:textId="77777777" w:rsidTr="00BE6461">
        <w:trPr>
          <w:trHeight w:val="300"/>
        </w:trPr>
        <w:tc>
          <w:tcPr>
            <w:tcW w:w="1703" w:type="dxa"/>
            <w:tcBorders>
              <w:top w:val="nil"/>
              <w:left w:val="nil"/>
              <w:bottom w:val="nil"/>
              <w:right w:val="nil"/>
            </w:tcBorders>
            <w:shd w:val="clear" w:color="auto" w:fill="auto"/>
            <w:noWrap/>
            <w:vAlign w:val="bottom"/>
            <w:hideMark/>
          </w:tcPr>
          <w:p w14:paraId="0E042304"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4FC016BC"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173512AD" w14:textId="77777777" w:rsidR="00BE6461" w:rsidRPr="00BE6461" w:rsidRDefault="00BE6461" w:rsidP="00BE6461">
            <w:pPr>
              <w:jc w:val="right"/>
              <w:rPr>
                <w:b/>
                <w:bCs/>
                <w:sz w:val="20"/>
                <w:szCs w:val="20"/>
              </w:rPr>
            </w:pPr>
            <w:r w:rsidRPr="00BE6461">
              <w:rPr>
                <w:b/>
                <w:bCs/>
                <w:sz w:val="20"/>
                <w:szCs w:val="20"/>
              </w:rPr>
              <w:t>4.000,00</w:t>
            </w:r>
          </w:p>
        </w:tc>
        <w:tc>
          <w:tcPr>
            <w:tcW w:w="1500" w:type="dxa"/>
            <w:tcBorders>
              <w:top w:val="nil"/>
              <w:left w:val="nil"/>
              <w:bottom w:val="nil"/>
              <w:right w:val="nil"/>
            </w:tcBorders>
            <w:shd w:val="clear" w:color="auto" w:fill="auto"/>
            <w:noWrap/>
            <w:vAlign w:val="bottom"/>
            <w:hideMark/>
          </w:tcPr>
          <w:p w14:paraId="6A1A2B4C" w14:textId="77777777" w:rsidR="00BE6461" w:rsidRPr="00BE6461" w:rsidRDefault="00BE6461" w:rsidP="00BE6461">
            <w:pPr>
              <w:jc w:val="right"/>
              <w:rPr>
                <w:b/>
                <w:bCs/>
                <w:sz w:val="20"/>
                <w:szCs w:val="20"/>
              </w:rPr>
            </w:pPr>
            <w:r w:rsidRPr="00BE6461">
              <w:rPr>
                <w:b/>
                <w:bCs/>
                <w:sz w:val="20"/>
                <w:szCs w:val="20"/>
              </w:rPr>
              <w:t>1.367,66</w:t>
            </w:r>
          </w:p>
        </w:tc>
        <w:tc>
          <w:tcPr>
            <w:tcW w:w="1100" w:type="dxa"/>
            <w:tcBorders>
              <w:top w:val="nil"/>
              <w:left w:val="nil"/>
              <w:bottom w:val="nil"/>
              <w:right w:val="nil"/>
            </w:tcBorders>
            <w:shd w:val="clear" w:color="auto" w:fill="auto"/>
            <w:noWrap/>
            <w:vAlign w:val="bottom"/>
            <w:hideMark/>
          </w:tcPr>
          <w:p w14:paraId="08FBE226" w14:textId="77777777" w:rsidR="00BE6461" w:rsidRPr="00BE6461" w:rsidRDefault="00BE6461" w:rsidP="00BE6461">
            <w:pPr>
              <w:jc w:val="right"/>
              <w:rPr>
                <w:b/>
                <w:bCs/>
                <w:sz w:val="20"/>
                <w:szCs w:val="20"/>
              </w:rPr>
            </w:pPr>
            <w:r w:rsidRPr="00BE6461">
              <w:rPr>
                <w:b/>
                <w:bCs/>
                <w:sz w:val="20"/>
                <w:szCs w:val="20"/>
              </w:rPr>
              <w:t>34,19</w:t>
            </w:r>
          </w:p>
        </w:tc>
      </w:tr>
      <w:tr w:rsidR="00BE6461" w:rsidRPr="00BE6461" w14:paraId="3CC815FF" w14:textId="77777777" w:rsidTr="00BE6461">
        <w:trPr>
          <w:trHeight w:val="300"/>
        </w:trPr>
        <w:tc>
          <w:tcPr>
            <w:tcW w:w="1703" w:type="dxa"/>
            <w:tcBorders>
              <w:top w:val="nil"/>
              <w:left w:val="nil"/>
              <w:bottom w:val="nil"/>
              <w:right w:val="nil"/>
            </w:tcBorders>
            <w:shd w:val="clear" w:color="auto" w:fill="auto"/>
            <w:noWrap/>
            <w:vAlign w:val="bottom"/>
            <w:hideMark/>
          </w:tcPr>
          <w:p w14:paraId="4B09F9DB" w14:textId="77777777" w:rsidR="00BE6461" w:rsidRPr="00BE6461" w:rsidRDefault="00BE6461" w:rsidP="00BE6461">
            <w:pPr>
              <w:rPr>
                <w:sz w:val="20"/>
                <w:szCs w:val="20"/>
              </w:rPr>
            </w:pPr>
            <w:r w:rsidRPr="00BE6461">
              <w:rPr>
                <w:sz w:val="20"/>
                <w:szCs w:val="20"/>
              </w:rPr>
              <w:t>3293</w:t>
            </w:r>
          </w:p>
        </w:tc>
        <w:tc>
          <w:tcPr>
            <w:tcW w:w="8457" w:type="dxa"/>
            <w:tcBorders>
              <w:top w:val="nil"/>
              <w:left w:val="nil"/>
              <w:bottom w:val="nil"/>
              <w:right w:val="nil"/>
            </w:tcBorders>
            <w:shd w:val="clear" w:color="auto" w:fill="auto"/>
            <w:vAlign w:val="bottom"/>
            <w:hideMark/>
          </w:tcPr>
          <w:p w14:paraId="58C33141" w14:textId="77777777" w:rsidR="00BE6461" w:rsidRPr="00BE6461" w:rsidRDefault="00BE6461" w:rsidP="00BE6461">
            <w:pPr>
              <w:rPr>
                <w:sz w:val="20"/>
                <w:szCs w:val="20"/>
              </w:rPr>
            </w:pPr>
            <w:r w:rsidRPr="00BE6461">
              <w:rPr>
                <w:sz w:val="20"/>
                <w:szCs w:val="20"/>
              </w:rPr>
              <w:t xml:space="preserve">Reprezentacija                                                                                      </w:t>
            </w:r>
          </w:p>
        </w:tc>
        <w:tc>
          <w:tcPr>
            <w:tcW w:w="1503" w:type="dxa"/>
            <w:tcBorders>
              <w:top w:val="nil"/>
              <w:left w:val="nil"/>
              <w:bottom w:val="nil"/>
              <w:right w:val="nil"/>
            </w:tcBorders>
            <w:shd w:val="clear" w:color="auto" w:fill="auto"/>
            <w:noWrap/>
            <w:vAlign w:val="bottom"/>
            <w:hideMark/>
          </w:tcPr>
          <w:p w14:paraId="53457DA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BF15C5C" w14:textId="77777777" w:rsidR="00BE6461" w:rsidRPr="00BE6461" w:rsidRDefault="00BE6461" w:rsidP="00BE6461">
            <w:pPr>
              <w:jc w:val="right"/>
              <w:rPr>
                <w:sz w:val="20"/>
                <w:szCs w:val="20"/>
              </w:rPr>
            </w:pPr>
            <w:r w:rsidRPr="00BE6461">
              <w:rPr>
                <w:sz w:val="20"/>
                <w:szCs w:val="20"/>
              </w:rPr>
              <w:t>1.367,66</w:t>
            </w:r>
          </w:p>
        </w:tc>
        <w:tc>
          <w:tcPr>
            <w:tcW w:w="1100" w:type="dxa"/>
            <w:tcBorders>
              <w:top w:val="nil"/>
              <w:left w:val="nil"/>
              <w:bottom w:val="nil"/>
              <w:right w:val="nil"/>
            </w:tcBorders>
            <w:shd w:val="clear" w:color="auto" w:fill="auto"/>
            <w:noWrap/>
            <w:vAlign w:val="bottom"/>
            <w:hideMark/>
          </w:tcPr>
          <w:p w14:paraId="65710B36" w14:textId="77777777" w:rsidR="00BE6461" w:rsidRPr="00BE6461" w:rsidRDefault="00BE6461" w:rsidP="00BE6461">
            <w:pPr>
              <w:jc w:val="right"/>
              <w:rPr>
                <w:sz w:val="20"/>
                <w:szCs w:val="20"/>
              </w:rPr>
            </w:pPr>
          </w:p>
        </w:tc>
      </w:tr>
      <w:tr w:rsidR="00BE6461" w:rsidRPr="00BE6461" w14:paraId="171DA122"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6300A962" w14:textId="77777777" w:rsidR="00BE6461" w:rsidRPr="00BE6461" w:rsidRDefault="00BE6461" w:rsidP="00BE6461">
            <w:pPr>
              <w:rPr>
                <w:b/>
                <w:bCs/>
                <w:sz w:val="20"/>
                <w:szCs w:val="20"/>
              </w:rPr>
            </w:pPr>
            <w:r w:rsidRPr="00BE6461">
              <w:rPr>
                <w:b/>
                <w:bCs/>
                <w:sz w:val="20"/>
                <w:szCs w:val="20"/>
              </w:rPr>
              <w:t>K100002</w:t>
            </w:r>
          </w:p>
        </w:tc>
        <w:tc>
          <w:tcPr>
            <w:tcW w:w="8457" w:type="dxa"/>
            <w:tcBorders>
              <w:top w:val="single" w:sz="4" w:space="0" w:color="auto"/>
              <w:left w:val="nil"/>
              <w:bottom w:val="single" w:sz="4" w:space="0" w:color="auto"/>
              <w:right w:val="nil"/>
            </w:tcBorders>
            <w:shd w:val="clear" w:color="auto" w:fill="auto"/>
            <w:vAlign w:val="bottom"/>
            <w:hideMark/>
          </w:tcPr>
          <w:p w14:paraId="2B6EF4F6" w14:textId="77777777" w:rsidR="00BE6461" w:rsidRPr="00BE6461" w:rsidRDefault="00BE6461" w:rsidP="00BE6461">
            <w:pPr>
              <w:rPr>
                <w:b/>
                <w:bCs/>
                <w:sz w:val="20"/>
                <w:szCs w:val="20"/>
              </w:rPr>
            </w:pPr>
            <w:r w:rsidRPr="00BE6461">
              <w:rPr>
                <w:b/>
                <w:bCs/>
                <w:sz w:val="20"/>
                <w:szCs w:val="20"/>
              </w:rPr>
              <w:t>Kapitalni projekt: NABAVA NEFINANCIJSKE IMOVINE</w:t>
            </w:r>
          </w:p>
        </w:tc>
        <w:tc>
          <w:tcPr>
            <w:tcW w:w="1503" w:type="dxa"/>
            <w:tcBorders>
              <w:top w:val="single" w:sz="4" w:space="0" w:color="auto"/>
              <w:left w:val="nil"/>
              <w:bottom w:val="single" w:sz="4" w:space="0" w:color="auto"/>
              <w:right w:val="nil"/>
            </w:tcBorders>
            <w:shd w:val="clear" w:color="auto" w:fill="auto"/>
            <w:noWrap/>
            <w:vAlign w:val="bottom"/>
            <w:hideMark/>
          </w:tcPr>
          <w:p w14:paraId="5AB84B78" w14:textId="77777777" w:rsidR="00BE6461" w:rsidRPr="00BE6461" w:rsidRDefault="00BE6461" w:rsidP="00BE6461">
            <w:pPr>
              <w:jc w:val="right"/>
              <w:rPr>
                <w:b/>
                <w:bCs/>
                <w:sz w:val="20"/>
                <w:szCs w:val="20"/>
              </w:rPr>
            </w:pPr>
            <w:r w:rsidRPr="00BE6461">
              <w:rPr>
                <w:b/>
                <w:bCs/>
                <w:sz w:val="20"/>
                <w:szCs w:val="20"/>
              </w:rPr>
              <w:t>356.000,00</w:t>
            </w:r>
          </w:p>
        </w:tc>
        <w:tc>
          <w:tcPr>
            <w:tcW w:w="1500" w:type="dxa"/>
            <w:tcBorders>
              <w:top w:val="single" w:sz="4" w:space="0" w:color="auto"/>
              <w:left w:val="nil"/>
              <w:bottom w:val="single" w:sz="4" w:space="0" w:color="auto"/>
              <w:right w:val="nil"/>
            </w:tcBorders>
            <w:shd w:val="clear" w:color="auto" w:fill="auto"/>
            <w:noWrap/>
            <w:vAlign w:val="bottom"/>
            <w:hideMark/>
          </w:tcPr>
          <w:p w14:paraId="6B342D15" w14:textId="77777777" w:rsidR="00BE6461" w:rsidRPr="00BE6461" w:rsidRDefault="00BE6461" w:rsidP="00BE6461">
            <w:pPr>
              <w:jc w:val="right"/>
              <w:rPr>
                <w:b/>
                <w:bCs/>
                <w:sz w:val="20"/>
                <w:szCs w:val="20"/>
              </w:rPr>
            </w:pPr>
            <w:r w:rsidRPr="00BE6461">
              <w:rPr>
                <w:b/>
                <w:bCs/>
                <w:sz w:val="20"/>
                <w:szCs w:val="20"/>
              </w:rPr>
              <w:t>344.382,82</w:t>
            </w:r>
          </w:p>
        </w:tc>
        <w:tc>
          <w:tcPr>
            <w:tcW w:w="1100" w:type="dxa"/>
            <w:tcBorders>
              <w:top w:val="single" w:sz="4" w:space="0" w:color="auto"/>
              <w:left w:val="nil"/>
              <w:bottom w:val="single" w:sz="4" w:space="0" w:color="auto"/>
              <w:right w:val="nil"/>
            </w:tcBorders>
            <w:shd w:val="clear" w:color="auto" w:fill="auto"/>
            <w:noWrap/>
            <w:vAlign w:val="bottom"/>
            <w:hideMark/>
          </w:tcPr>
          <w:p w14:paraId="4BB26D73" w14:textId="77777777" w:rsidR="00BE6461" w:rsidRPr="00BE6461" w:rsidRDefault="00BE6461" w:rsidP="00BE6461">
            <w:pPr>
              <w:jc w:val="right"/>
              <w:rPr>
                <w:b/>
                <w:bCs/>
                <w:sz w:val="20"/>
                <w:szCs w:val="20"/>
              </w:rPr>
            </w:pPr>
            <w:r w:rsidRPr="00BE6461">
              <w:rPr>
                <w:b/>
                <w:bCs/>
                <w:sz w:val="20"/>
                <w:szCs w:val="20"/>
              </w:rPr>
              <w:t>96,74</w:t>
            </w:r>
          </w:p>
        </w:tc>
      </w:tr>
      <w:tr w:rsidR="00BE6461" w:rsidRPr="00BE6461" w14:paraId="758F9A3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6BB4C59" w14:textId="77777777" w:rsidR="00BE6461" w:rsidRPr="00BE6461" w:rsidRDefault="00BE6461" w:rsidP="00BE6461">
            <w:pPr>
              <w:rPr>
                <w:b/>
                <w:bCs/>
                <w:color w:val="333333"/>
                <w:sz w:val="20"/>
                <w:szCs w:val="20"/>
              </w:rPr>
            </w:pPr>
            <w:r w:rsidRPr="00BE6461">
              <w:rPr>
                <w:b/>
                <w:bCs/>
                <w:color w:val="333333"/>
                <w:sz w:val="20"/>
                <w:szCs w:val="20"/>
              </w:rPr>
              <w:t>Izvor 3. VLASTITI PRIHODI</w:t>
            </w:r>
          </w:p>
        </w:tc>
        <w:tc>
          <w:tcPr>
            <w:tcW w:w="1503" w:type="dxa"/>
            <w:tcBorders>
              <w:top w:val="nil"/>
              <w:left w:val="nil"/>
              <w:bottom w:val="nil"/>
              <w:right w:val="nil"/>
            </w:tcBorders>
            <w:shd w:val="clear" w:color="auto" w:fill="auto"/>
            <w:noWrap/>
            <w:vAlign w:val="bottom"/>
            <w:hideMark/>
          </w:tcPr>
          <w:p w14:paraId="3A6CD89C" w14:textId="77777777" w:rsidR="00BE6461" w:rsidRPr="00BE6461" w:rsidRDefault="00BE6461" w:rsidP="00BE6461">
            <w:pPr>
              <w:jc w:val="right"/>
              <w:rPr>
                <w:b/>
                <w:bCs/>
                <w:color w:val="333333"/>
                <w:sz w:val="20"/>
                <w:szCs w:val="20"/>
              </w:rPr>
            </w:pPr>
            <w:r w:rsidRPr="00BE6461">
              <w:rPr>
                <w:b/>
                <w:bCs/>
                <w:color w:val="333333"/>
                <w:sz w:val="20"/>
                <w:szCs w:val="20"/>
              </w:rPr>
              <w:t>7.000,00</w:t>
            </w:r>
          </w:p>
        </w:tc>
        <w:tc>
          <w:tcPr>
            <w:tcW w:w="1500" w:type="dxa"/>
            <w:tcBorders>
              <w:top w:val="nil"/>
              <w:left w:val="nil"/>
              <w:bottom w:val="nil"/>
              <w:right w:val="nil"/>
            </w:tcBorders>
            <w:shd w:val="clear" w:color="auto" w:fill="auto"/>
            <w:noWrap/>
            <w:vAlign w:val="bottom"/>
            <w:hideMark/>
          </w:tcPr>
          <w:p w14:paraId="7CBEB02F" w14:textId="77777777" w:rsidR="00BE6461" w:rsidRPr="00BE6461" w:rsidRDefault="00BE6461" w:rsidP="00BE6461">
            <w:pPr>
              <w:jc w:val="right"/>
              <w:rPr>
                <w:b/>
                <w:bCs/>
                <w:color w:val="333333"/>
                <w:sz w:val="20"/>
                <w:szCs w:val="20"/>
              </w:rPr>
            </w:pPr>
            <w:r w:rsidRPr="00BE6461">
              <w:rPr>
                <w:b/>
                <w:bCs/>
                <w:color w:val="333333"/>
                <w:sz w:val="20"/>
                <w:szCs w:val="20"/>
              </w:rPr>
              <w:t>7.000,00</w:t>
            </w:r>
          </w:p>
        </w:tc>
        <w:tc>
          <w:tcPr>
            <w:tcW w:w="1100" w:type="dxa"/>
            <w:tcBorders>
              <w:top w:val="nil"/>
              <w:left w:val="nil"/>
              <w:bottom w:val="nil"/>
              <w:right w:val="nil"/>
            </w:tcBorders>
            <w:shd w:val="clear" w:color="auto" w:fill="auto"/>
            <w:noWrap/>
            <w:vAlign w:val="bottom"/>
            <w:hideMark/>
          </w:tcPr>
          <w:p w14:paraId="3A7A0145"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634431D9"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11B39BF" w14:textId="77777777" w:rsidR="00BE6461" w:rsidRPr="00BE6461" w:rsidRDefault="00BE6461" w:rsidP="00BE6461">
            <w:pPr>
              <w:rPr>
                <w:b/>
                <w:bCs/>
                <w:color w:val="333333"/>
                <w:sz w:val="20"/>
                <w:szCs w:val="20"/>
              </w:rPr>
            </w:pPr>
            <w:r w:rsidRPr="00BE6461">
              <w:rPr>
                <w:b/>
                <w:bCs/>
                <w:color w:val="333333"/>
                <w:sz w:val="20"/>
                <w:szCs w:val="20"/>
              </w:rPr>
              <w:t>Izvor 3.2. VLASTITI PRIHODI - PRORAČUNSKI KORISNICI</w:t>
            </w:r>
          </w:p>
        </w:tc>
        <w:tc>
          <w:tcPr>
            <w:tcW w:w="1503" w:type="dxa"/>
            <w:tcBorders>
              <w:top w:val="nil"/>
              <w:left w:val="nil"/>
              <w:bottom w:val="nil"/>
              <w:right w:val="nil"/>
            </w:tcBorders>
            <w:shd w:val="clear" w:color="auto" w:fill="auto"/>
            <w:noWrap/>
            <w:vAlign w:val="bottom"/>
            <w:hideMark/>
          </w:tcPr>
          <w:p w14:paraId="2C831640" w14:textId="77777777" w:rsidR="00BE6461" w:rsidRPr="00BE6461" w:rsidRDefault="00BE6461" w:rsidP="00BE6461">
            <w:pPr>
              <w:jc w:val="right"/>
              <w:rPr>
                <w:b/>
                <w:bCs/>
                <w:color w:val="333333"/>
                <w:sz w:val="20"/>
                <w:szCs w:val="20"/>
              </w:rPr>
            </w:pPr>
            <w:r w:rsidRPr="00BE6461">
              <w:rPr>
                <w:b/>
                <w:bCs/>
                <w:color w:val="333333"/>
                <w:sz w:val="20"/>
                <w:szCs w:val="20"/>
              </w:rPr>
              <w:t>7.000,00</w:t>
            </w:r>
          </w:p>
        </w:tc>
        <w:tc>
          <w:tcPr>
            <w:tcW w:w="1500" w:type="dxa"/>
            <w:tcBorders>
              <w:top w:val="nil"/>
              <w:left w:val="nil"/>
              <w:bottom w:val="nil"/>
              <w:right w:val="nil"/>
            </w:tcBorders>
            <w:shd w:val="clear" w:color="auto" w:fill="auto"/>
            <w:noWrap/>
            <w:vAlign w:val="bottom"/>
            <w:hideMark/>
          </w:tcPr>
          <w:p w14:paraId="3BF96221" w14:textId="77777777" w:rsidR="00BE6461" w:rsidRPr="00BE6461" w:rsidRDefault="00BE6461" w:rsidP="00BE6461">
            <w:pPr>
              <w:jc w:val="right"/>
              <w:rPr>
                <w:b/>
                <w:bCs/>
                <w:color w:val="333333"/>
                <w:sz w:val="20"/>
                <w:szCs w:val="20"/>
              </w:rPr>
            </w:pPr>
            <w:r w:rsidRPr="00BE6461">
              <w:rPr>
                <w:b/>
                <w:bCs/>
                <w:color w:val="333333"/>
                <w:sz w:val="20"/>
                <w:szCs w:val="20"/>
              </w:rPr>
              <w:t>7.000,00</w:t>
            </w:r>
          </w:p>
        </w:tc>
        <w:tc>
          <w:tcPr>
            <w:tcW w:w="1100" w:type="dxa"/>
            <w:tcBorders>
              <w:top w:val="nil"/>
              <w:left w:val="nil"/>
              <w:bottom w:val="nil"/>
              <w:right w:val="nil"/>
            </w:tcBorders>
            <w:shd w:val="clear" w:color="auto" w:fill="auto"/>
            <w:noWrap/>
            <w:vAlign w:val="bottom"/>
            <w:hideMark/>
          </w:tcPr>
          <w:p w14:paraId="69364D66"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0CDCBEDE" w14:textId="77777777" w:rsidTr="00BE6461">
        <w:trPr>
          <w:trHeight w:val="300"/>
        </w:trPr>
        <w:tc>
          <w:tcPr>
            <w:tcW w:w="1703" w:type="dxa"/>
            <w:tcBorders>
              <w:top w:val="nil"/>
              <w:left w:val="nil"/>
              <w:bottom w:val="nil"/>
              <w:right w:val="nil"/>
            </w:tcBorders>
            <w:shd w:val="clear" w:color="auto" w:fill="auto"/>
            <w:noWrap/>
            <w:vAlign w:val="bottom"/>
            <w:hideMark/>
          </w:tcPr>
          <w:p w14:paraId="4A392BF8" w14:textId="77777777" w:rsidR="00BE6461" w:rsidRPr="00BE6461" w:rsidRDefault="00BE6461" w:rsidP="00BE6461">
            <w:pPr>
              <w:rPr>
                <w:b/>
                <w:bCs/>
                <w:sz w:val="20"/>
                <w:szCs w:val="20"/>
              </w:rPr>
            </w:pPr>
            <w:r w:rsidRPr="00BE6461">
              <w:rPr>
                <w:b/>
                <w:bCs/>
                <w:sz w:val="20"/>
                <w:szCs w:val="20"/>
              </w:rPr>
              <w:t>422</w:t>
            </w:r>
          </w:p>
        </w:tc>
        <w:tc>
          <w:tcPr>
            <w:tcW w:w="8457" w:type="dxa"/>
            <w:tcBorders>
              <w:top w:val="nil"/>
              <w:left w:val="nil"/>
              <w:bottom w:val="nil"/>
              <w:right w:val="nil"/>
            </w:tcBorders>
            <w:shd w:val="clear" w:color="auto" w:fill="auto"/>
            <w:vAlign w:val="bottom"/>
            <w:hideMark/>
          </w:tcPr>
          <w:p w14:paraId="0E58B6A4" w14:textId="77777777" w:rsidR="00BE6461" w:rsidRPr="00BE6461" w:rsidRDefault="00BE6461" w:rsidP="00BE6461">
            <w:pPr>
              <w:rPr>
                <w:b/>
                <w:bCs/>
                <w:sz w:val="20"/>
                <w:szCs w:val="20"/>
              </w:rPr>
            </w:pPr>
            <w:r w:rsidRPr="00BE6461">
              <w:rPr>
                <w:b/>
                <w:bCs/>
                <w:sz w:val="20"/>
                <w:szCs w:val="20"/>
              </w:rPr>
              <w:t xml:space="preserve">Postrojenja i oprema                                                                                </w:t>
            </w:r>
          </w:p>
        </w:tc>
        <w:tc>
          <w:tcPr>
            <w:tcW w:w="1503" w:type="dxa"/>
            <w:tcBorders>
              <w:top w:val="nil"/>
              <w:left w:val="nil"/>
              <w:bottom w:val="nil"/>
              <w:right w:val="nil"/>
            </w:tcBorders>
            <w:shd w:val="clear" w:color="auto" w:fill="auto"/>
            <w:noWrap/>
            <w:vAlign w:val="bottom"/>
            <w:hideMark/>
          </w:tcPr>
          <w:p w14:paraId="7C637A7B" w14:textId="77777777" w:rsidR="00BE6461" w:rsidRPr="00BE6461" w:rsidRDefault="00BE6461" w:rsidP="00BE6461">
            <w:pPr>
              <w:jc w:val="right"/>
              <w:rPr>
                <w:b/>
                <w:bCs/>
                <w:sz w:val="20"/>
                <w:szCs w:val="20"/>
              </w:rPr>
            </w:pPr>
            <w:r w:rsidRPr="00BE6461">
              <w:rPr>
                <w:b/>
                <w:bCs/>
                <w:sz w:val="20"/>
                <w:szCs w:val="20"/>
              </w:rPr>
              <w:t>7.000,00</w:t>
            </w:r>
          </w:p>
        </w:tc>
        <w:tc>
          <w:tcPr>
            <w:tcW w:w="1500" w:type="dxa"/>
            <w:tcBorders>
              <w:top w:val="nil"/>
              <w:left w:val="nil"/>
              <w:bottom w:val="nil"/>
              <w:right w:val="nil"/>
            </w:tcBorders>
            <w:shd w:val="clear" w:color="auto" w:fill="auto"/>
            <w:noWrap/>
            <w:vAlign w:val="bottom"/>
            <w:hideMark/>
          </w:tcPr>
          <w:p w14:paraId="0F5EB6C6" w14:textId="77777777" w:rsidR="00BE6461" w:rsidRPr="00BE6461" w:rsidRDefault="00BE6461" w:rsidP="00BE6461">
            <w:pPr>
              <w:jc w:val="right"/>
              <w:rPr>
                <w:b/>
                <w:bCs/>
                <w:sz w:val="20"/>
                <w:szCs w:val="20"/>
              </w:rPr>
            </w:pPr>
            <w:r w:rsidRPr="00BE6461">
              <w:rPr>
                <w:b/>
                <w:bCs/>
                <w:sz w:val="20"/>
                <w:szCs w:val="20"/>
              </w:rPr>
              <w:t>7.000,00</w:t>
            </w:r>
          </w:p>
        </w:tc>
        <w:tc>
          <w:tcPr>
            <w:tcW w:w="1100" w:type="dxa"/>
            <w:tcBorders>
              <w:top w:val="nil"/>
              <w:left w:val="nil"/>
              <w:bottom w:val="nil"/>
              <w:right w:val="nil"/>
            </w:tcBorders>
            <w:shd w:val="clear" w:color="auto" w:fill="auto"/>
            <w:noWrap/>
            <w:vAlign w:val="bottom"/>
            <w:hideMark/>
          </w:tcPr>
          <w:p w14:paraId="3F968799"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3E4F6C7B" w14:textId="77777777" w:rsidTr="00BE6461">
        <w:trPr>
          <w:trHeight w:val="300"/>
        </w:trPr>
        <w:tc>
          <w:tcPr>
            <w:tcW w:w="1703" w:type="dxa"/>
            <w:tcBorders>
              <w:top w:val="nil"/>
              <w:left w:val="nil"/>
              <w:bottom w:val="nil"/>
              <w:right w:val="nil"/>
            </w:tcBorders>
            <w:shd w:val="clear" w:color="auto" w:fill="auto"/>
            <w:noWrap/>
            <w:vAlign w:val="bottom"/>
            <w:hideMark/>
          </w:tcPr>
          <w:p w14:paraId="0B930CAA" w14:textId="77777777" w:rsidR="00BE6461" w:rsidRPr="00BE6461" w:rsidRDefault="00BE6461" w:rsidP="00BE6461">
            <w:pPr>
              <w:rPr>
                <w:sz w:val="20"/>
                <w:szCs w:val="20"/>
              </w:rPr>
            </w:pPr>
            <w:r w:rsidRPr="00BE6461">
              <w:rPr>
                <w:sz w:val="20"/>
                <w:szCs w:val="20"/>
              </w:rPr>
              <w:t>4226</w:t>
            </w:r>
          </w:p>
        </w:tc>
        <w:tc>
          <w:tcPr>
            <w:tcW w:w="8457" w:type="dxa"/>
            <w:tcBorders>
              <w:top w:val="nil"/>
              <w:left w:val="nil"/>
              <w:bottom w:val="nil"/>
              <w:right w:val="nil"/>
            </w:tcBorders>
            <w:shd w:val="clear" w:color="auto" w:fill="auto"/>
            <w:vAlign w:val="bottom"/>
            <w:hideMark/>
          </w:tcPr>
          <w:p w14:paraId="23598A36" w14:textId="77777777" w:rsidR="00BE6461" w:rsidRPr="00BE6461" w:rsidRDefault="00BE6461" w:rsidP="00BE6461">
            <w:pPr>
              <w:rPr>
                <w:sz w:val="20"/>
                <w:szCs w:val="20"/>
              </w:rPr>
            </w:pPr>
            <w:r w:rsidRPr="00BE6461">
              <w:rPr>
                <w:sz w:val="20"/>
                <w:szCs w:val="20"/>
              </w:rPr>
              <w:t xml:space="preserve">Sportska i glazbena oprema                                                                          </w:t>
            </w:r>
          </w:p>
        </w:tc>
        <w:tc>
          <w:tcPr>
            <w:tcW w:w="1503" w:type="dxa"/>
            <w:tcBorders>
              <w:top w:val="nil"/>
              <w:left w:val="nil"/>
              <w:bottom w:val="nil"/>
              <w:right w:val="nil"/>
            </w:tcBorders>
            <w:shd w:val="clear" w:color="auto" w:fill="auto"/>
            <w:noWrap/>
            <w:vAlign w:val="bottom"/>
            <w:hideMark/>
          </w:tcPr>
          <w:p w14:paraId="3D17F2C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AC9F98F" w14:textId="77777777" w:rsidR="00BE6461" w:rsidRPr="00BE6461" w:rsidRDefault="00BE6461" w:rsidP="00BE6461">
            <w:pPr>
              <w:jc w:val="right"/>
              <w:rPr>
                <w:sz w:val="20"/>
                <w:szCs w:val="20"/>
              </w:rPr>
            </w:pPr>
            <w:r w:rsidRPr="00BE6461">
              <w:rPr>
                <w:sz w:val="20"/>
                <w:szCs w:val="20"/>
              </w:rPr>
              <w:t>7.000,00</w:t>
            </w:r>
          </w:p>
        </w:tc>
        <w:tc>
          <w:tcPr>
            <w:tcW w:w="1100" w:type="dxa"/>
            <w:tcBorders>
              <w:top w:val="nil"/>
              <w:left w:val="nil"/>
              <w:bottom w:val="nil"/>
              <w:right w:val="nil"/>
            </w:tcBorders>
            <w:shd w:val="clear" w:color="auto" w:fill="auto"/>
            <w:noWrap/>
            <w:vAlign w:val="bottom"/>
            <w:hideMark/>
          </w:tcPr>
          <w:p w14:paraId="1177DC69" w14:textId="77777777" w:rsidR="00BE6461" w:rsidRPr="00BE6461" w:rsidRDefault="00BE6461" w:rsidP="00BE6461">
            <w:pPr>
              <w:jc w:val="right"/>
              <w:rPr>
                <w:sz w:val="20"/>
                <w:szCs w:val="20"/>
              </w:rPr>
            </w:pPr>
          </w:p>
        </w:tc>
      </w:tr>
      <w:tr w:rsidR="00BE6461" w:rsidRPr="00BE6461" w14:paraId="1B0F5928"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8017757"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3B4BF11D" w14:textId="77777777" w:rsidR="00BE6461" w:rsidRPr="00BE6461" w:rsidRDefault="00BE6461" w:rsidP="00BE6461">
            <w:pPr>
              <w:jc w:val="right"/>
              <w:rPr>
                <w:b/>
                <w:bCs/>
                <w:color w:val="333333"/>
                <w:sz w:val="20"/>
                <w:szCs w:val="20"/>
              </w:rPr>
            </w:pPr>
            <w:r w:rsidRPr="00BE6461">
              <w:rPr>
                <w:b/>
                <w:bCs/>
                <w:color w:val="333333"/>
                <w:sz w:val="20"/>
                <w:szCs w:val="20"/>
              </w:rPr>
              <w:t>6.000,00</w:t>
            </w:r>
          </w:p>
        </w:tc>
        <w:tc>
          <w:tcPr>
            <w:tcW w:w="1500" w:type="dxa"/>
            <w:tcBorders>
              <w:top w:val="nil"/>
              <w:left w:val="nil"/>
              <w:bottom w:val="nil"/>
              <w:right w:val="nil"/>
            </w:tcBorders>
            <w:shd w:val="clear" w:color="auto" w:fill="auto"/>
            <w:noWrap/>
            <w:vAlign w:val="bottom"/>
            <w:hideMark/>
          </w:tcPr>
          <w:p w14:paraId="6B6DBB53" w14:textId="77777777" w:rsidR="00BE6461" w:rsidRPr="00BE6461" w:rsidRDefault="00BE6461" w:rsidP="00BE6461">
            <w:pPr>
              <w:jc w:val="right"/>
              <w:rPr>
                <w:b/>
                <w:bCs/>
                <w:color w:val="333333"/>
                <w:sz w:val="20"/>
                <w:szCs w:val="20"/>
              </w:rPr>
            </w:pPr>
            <w:r w:rsidRPr="00BE6461">
              <w:rPr>
                <w:b/>
                <w:bCs/>
                <w:color w:val="333333"/>
                <w:sz w:val="20"/>
                <w:szCs w:val="20"/>
              </w:rPr>
              <w:t>2.152,82</w:t>
            </w:r>
          </w:p>
        </w:tc>
        <w:tc>
          <w:tcPr>
            <w:tcW w:w="1100" w:type="dxa"/>
            <w:tcBorders>
              <w:top w:val="nil"/>
              <w:left w:val="nil"/>
              <w:bottom w:val="nil"/>
              <w:right w:val="nil"/>
            </w:tcBorders>
            <w:shd w:val="clear" w:color="auto" w:fill="auto"/>
            <w:noWrap/>
            <w:vAlign w:val="bottom"/>
            <w:hideMark/>
          </w:tcPr>
          <w:p w14:paraId="6BB85E87" w14:textId="77777777" w:rsidR="00BE6461" w:rsidRPr="00BE6461" w:rsidRDefault="00BE6461" w:rsidP="00BE6461">
            <w:pPr>
              <w:jc w:val="right"/>
              <w:rPr>
                <w:b/>
                <w:bCs/>
                <w:color w:val="333333"/>
                <w:sz w:val="20"/>
                <w:szCs w:val="20"/>
              </w:rPr>
            </w:pPr>
            <w:r w:rsidRPr="00BE6461">
              <w:rPr>
                <w:b/>
                <w:bCs/>
                <w:color w:val="333333"/>
                <w:sz w:val="20"/>
                <w:szCs w:val="20"/>
              </w:rPr>
              <w:t>35,88</w:t>
            </w:r>
          </w:p>
        </w:tc>
      </w:tr>
      <w:tr w:rsidR="00BE6461" w:rsidRPr="00BE6461" w14:paraId="4951DDCD"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6DC0D9A" w14:textId="77777777" w:rsidR="00BE6461" w:rsidRPr="00BE6461" w:rsidRDefault="00BE6461" w:rsidP="00BE6461">
            <w:pPr>
              <w:rPr>
                <w:b/>
                <w:bCs/>
                <w:color w:val="333333"/>
                <w:sz w:val="20"/>
                <w:szCs w:val="20"/>
              </w:rPr>
            </w:pPr>
            <w:r w:rsidRPr="00BE6461">
              <w:rPr>
                <w:b/>
                <w:bCs/>
                <w:color w:val="333333"/>
                <w:sz w:val="20"/>
                <w:szCs w:val="20"/>
              </w:rPr>
              <w:t>Izvor 4.7. PRIHODI POSEBNE NAMJENE - PRORAČUNSKI KORISNICI</w:t>
            </w:r>
          </w:p>
        </w:tc>
        <w:tc>
          <w:tcPr>
            <w:tcW w:w="1503" w:type="dxa"/>
            <w:tcBorders>
              <w:top w:val="nil"/>
              <w:left w:val="nil"/>
              <w:bottom w:val="nil"/>
              <w:right w:val="nil"/>
            </w:tcBorders>
            <w:shd w:val="clear" w:color="auto" w:fill="auto"/>
            <w:noWrap/>
            <w:vAlign w:val="bottom"/>
            <w:hideMark/>
          </w:tcPr>
          <w:p w14:paraId="33029E05" w14:textId="77777777" w:rsidR="00BE6461" w:rsidRPr="00BE6461" w:rsidRDefault="00BE6461" w:rsidP="00BE6461">
            <w:pPr>
              <w:jc w:val="right"/>
              <w:rPr>
                <w:b/>
                <w:bCs/>
                <w:color w:val="333333"/>
                <w:sz w:val="20"/>
                <w:szCs w:val="20"/>
              </w:rPr>
            </w:pPr>
            <w:r w:rsidRPr="00BE6461">
              <w:rPr>
                <w:b/>
                <w:bCs/>
                <w:color w:val="333333"/>
                <w:sz w:val="20"/>
                <w:szCs w:val="20"/>
              </w:rPr>
              <w:t>6.000,00</w:t>
            </w:r>
          </w:p>
        </w:tc>
        <w:tc>
          <w:tcPr>
            <w:tcW w:w="1500" w:type="dxa"/>
            <w:tcBorders>
              <w:top w:val="nil"/>
              <w:left w:val="nil"/>
              <w:bottom w:val="nil"/>
              <w:right w:val="nil"/>
            </w:tcBorders>
            <w:shd w:val="clear" w:color="auto" w:fill="auto"/>
            <w:noWrap/>
            <w:vAlign w:val="bottom"/>
            <w:hideMark/>
          </w:tcPr>
          <w:p w14:paraId="0674EDD4" w14:textId="77777777" w:rsidR="00BE6461" w:rsidRPr="00BE6461" w:rsidRDefault="00BE6461" w:rsidP="00BE6461">
            <w:pPr>
              <w:jc w:val="right"/>
              <w:rPr>
                <w:b/>
                <w:bCs/>
                <w:color w:val="333333"/>
                <w:sz w:val="20"/>
                <w:szCs w:val="20"/>
              </w:rPr>
            </w:pPr>
            <w:r w:rsidRPr="00BE6461">
              <w:rPr>
                <w:b/>
                <w:bCs/>
                <w:color w:val="333333"/>
                <w:sz w:val="20"/>
                <w:szCs w:val="20"/>
              </w:rPr>
              <w:t>2.152,82</w:t>
            </w:r>
          </w:p>
        </w:tc>
        <w:tc>
          <w:tcPr>
            <w:tcW w:w="1100" w:type="dxa"/>
            <w:tcBorders>
              <w:top w:val="nil"/>
              <w:left w:val="nil"/>
              <w:bottom w:val="nil"/>
              <w:right w:val="nil"/>
            </w:tcBorders>
            <w:shd w:val="clear" w:color="auto" w:fill="auto"/>
            <w:noWrap/>
            <w:vAlign w:val="bottom"/>
            <w:hideMark/>
          </w:tcPr>
          <w:p w14:paraId="4ED4807B" w14:textId="77777777" w:rsidR="00BE6461" w:rsidRPr="00BE6461" w:rsidRDefault="00BE6461" w:rsidP="00BE6461">
            <w:pPr>
              <w:jc w:val="right"/>
              <w:rPr>
                <w:b/>
                <w:bCs/>
                <w:color w:val="333333"/>
                <w:sz w:val="20"/>
                <w:szCs w:val="20"/>
              </w:rPr>
            </w:pPr>
            <w:r w:rsidRPr="00BE6461">
              <w:rPr>
                <w:b/>
                <w:bCs/>
                <w:color w:val="333333"/>
                <w:sz w:val="20"/>
                <w:szCs w:val="20"/>
              </w:rPr>
              <w:t>35,88</w:t>
            </w:r>
          </w:p>
        </w:tc>
      </w:tr>
      <w:tr w:rsidR="00BE6461" w:rsidRPr="00BE6461" w14:paraId="485FA932" w14:textId="77777777" w:rsidTr="00BE6461">
        <w:trPr>
          <w:trHeight w:val="300"/>
        </w:trPr>
        <w:tc>
          <w:tcPr>
            <w:tcW w:w="1703" w:type="dxa"/>
            <w:tcBorders>
              <w:top w:val="nil"/>
              <w:left w:val="nil"/>
              <w:bottom w:val="nil"/>
              <w:right w:val="nil"/>
            </w:tcBorders>
            <w:shd w:val="clear" w:color="auto" w:fill="auto"/>
            <w:noWrap/>
            <w:vAlign w:val="bottom"/>
            <w:hideMark/>
          </w:tcPr>
          <w:p w14:paraId="64B6E99F" w14:textId="77777777" w:rsidR="00BE6461" w:rsidRPr="00BE6461" w:rsidRDefault="00BE6461" w:rsidP="00BE6461">
            <w:pPr>
              <w:rPr>
                <w:b/>
                <w:bCs/>
                <w:sz w:val="20"/>
                <w:szCs w:val="20"/>
              </w:rPr>
            </w:pPr>
            <w:r w:rsidRPr="00BE6461">
              <w:rPr>
                <w:b/>
                <w:bCs/>
                <w:sz w:val="20"/>
                <w:szCs w:val="20"/>
              </w:rPr>
              <w:t>424</w:t>
            </w:r>
          </w:p>
        </w:tc>
        <w:tc>
          <w:tcPr>
            <w:tcW w:w="8457" w:type="dxa"/>
            <w:tcBorders>
              <w:top w:val="nil"/>
              <w:left w:val="nil"/>
              <w:bottom w:val="nil"/>
              <w:right w:val="nil"/>
            </w:tcBorders>
            <w:shd w:val="clear" w:color="auto" w:fill="auto"/>
            <w:vAlign w:val="bottom"/>
            <w:hideMark/>
          </w:tcPr>
          <w:p w14:paraId="582D6508" w14:textId="77777777" w:rsidR="00BE6461" w:rsidRPr="00BE6461" w:rsidRDefault="00BE6461" w:rsidP="00BE6461">
            <w:pPr>
              <w:rPr>
                <w:b/>
                <w:bCs/>
                <w:sz w:val="20"/>
                <w:szCs w:val="20"/>
              </w:rPr>
            </w:pPr>
            <w:r w:rsidRPr="00BE6461">
              <w:rPr>
                <w:b/>
                <w:bCs/>
                <w:sz w:val="20"/>
                <w:szCs w:val="20"/>
              </w:rPr>
              <w:t>Knjige, umjetnička djela i ostale izložbene vrijednosti</w:t>
            </w:r>
          </w:p>
        </w:tc>
        <w:tc>
          <w:tcPr>
            <w:tcW w:w="1503" w:type="dxa"/>
            <w:tcBorders>
              <w:top w:val="nil"/>
              <w:left w:val="nil"/>
              <w:bottom w:val="nil"/>
              <w:right w:val="nil"/>
            </w:tcBorders>
            <w:shd w:val="clear" w:color="auto" w:fill="auto"/>
            <w:noWrap/>
            <w:vAlign w:val="bottom"/>
            <w:hideMark/>
          </w:tcPr>
          <w:p w14:paraId="6089CFCD" w14:textId="77777777" w:rsidR="00BE6461" w:rsidRPr="00BE6461" w:rsidRDefault="00BE6461" w:rsidP="00BE6461">
            <w:pPr>
              <w:jc w:val="right"/>
              <w:rPr>
                <w:b/>
                <w:bCs/>
                <w:sz w:val="20"/>
                <w:szCs w:val="20"/>
              </w:rPr>
            </w:pPr>
            <w:r w:rsidRPr="00BE6461">
              <w:rPr>
                <w:b/>
                <w:bCs/>
                <w:sz w:val="20"/>
                <w:szCs w:val="20"/>
              </w:rPr>
              <w:t>6.000,00</w:t>
            </w:r>
          </w:p>
        </w:tc>
        <w:tc>
          <w:tcPr>
            <w:tcW w:w="1500" w:type="dxa"/>
            <w:tcBorders>
              <w:top w:val="nil"/>
              <w:left w:val="nil"/>
              <w:bottom w:val="nil"/>
              <w:right w:val="nil"/>
            </w:tcBorders>
            <w:shd w:val="clear" w:color="auto" w:fill="auto"/>
            <w:noWrap/>
            <w:vAlign w:val="bottom"/>
            <w:hideMark/>
          </w:tcPr>
          <w:p w14:paraId="21F5DAE5" w14:textId="77777777" w:rsidR="00BE6461" w:rsidRPr="00BE6461" w:rsidRDefault="00BE6461" w:rsidP="00BE6461">
            <w:pPr>
              <w:jc w:val="right"/>
              <w:rPr>
                <w:b/>
                <w:bCs/>
                <w:sz w:val="20"/>
                <w:szCs w:val="20"/>
              </w:rPr>
            </w:pPr>
            <w:r w:rsidRPr="00BE6461">
              <w:rPr>
                <w:b/>
                <w:bCs/>
                <w:sz w:val="20"/>
                <w:szCs w:val="20"/>
              </w:rPr>
              <w:t>2.152,82</w:t>
            </w:r>
          </w:p>
        </w:tc>
        <w:tc>
          <w:tcPr>
            <w:tcW w:w="1100" w:type="dxa"/>
            <w:tcBorders>
              <w:top w:val="nil"/>
              <w:left w:val="nil"/>
              <w:bottom w:val="nil"/>
              <w:right w:val="nil"/>
            </w:tcBorders>
            <w:shd w:val="clear" w:color="auto" w:fill="auto"/>
            <w:noWrap/>
            <w:vAlign w:val="bottom"/>
            <w:hideMark/>
          </w:tcPr>
          <w:p w14:paraId="6FDB3A7C" w14:textId="77777777" w:rsidR="00BE6461" w:rsidRPr="00BE6461" w:rsidRDefault="00BE6461" w:rsidP="00BE6461">
            <w:pPr>
              <w:jc w:val="right"/>
              <w:rPr>
                <w:b/>
                <w:bCs/>
                <w:sz w:val="20"/>
                <w:szCs w:val="20"/>
              </w:rPr>
            </w:pPr>
            <w:r w:rsidRPr="00BE6461">
              <w:rPr>
                <w:b/>
                <w:bCs/>
                <w:sz w:val="20"/>
                <w:szCs w:val="20"/>
              </w:rPr>
              <w:t>35,88</w:t>
            </w:r>
          </w:p>
        </w:tc>
      </w:tr>
      <w:tr w:rsidR="00BE6461" w:rsidRPr="00BE6461" w14:paraId="25429CB8" w14:textId="77777777" w:rsidTr="00BE6461">
        <w:trPr>
          <w:trHeight w:val="300"/>
        </w:trPr>
        <w:tc>
          <w:tcPr>
            <w:tcW w:w="1703" w:type="dxa"/>
            <w:tcBorders>
              <w:top w:val="nil"/>
              <w:left w:val="nil"/>
              <w:bottom w:val="nil"/>
              <w:right w:val="nil"/>
            </w:tcBorders>
            <w:shd w:val="clear" w:color="auto" w:fill="auto"/>
            <w:noWrap/>
            <w:vAlign w:val="bottom"/>
            <w:hideMark/>
          </w:tcPr>
          <w:p w14:paraId="18EAD0A3" w14:textId="77777777" w:rsidR="00BE6461" w:rsidRPr="00BE6461" w:rsidRDefault="00BE6461" w:rsidP="00BE6461">
            <w:pPr>
              <w:rPr>
                <w:sz w:val="20"/>
                <w:szCs w:val="20"/>
              </w:rPr>
            </w:pPr>
            <w:r w:rsidRPr="00BE6461">
              <w:rPr>
                <w:sz w:val="20"/>
                <w:szCs w:val="20"/>
              </w:rPr>
              <w:t>4241</w:t>
            </w:r>
          </w:p>
        </w:tc>
        <w:tc>
          <w:tcPr>
            <w:tcW w:w="8457" w:type="dxa"/>
            <w:tcBorders>
              <w:top w:val="nil"/>
              <w:left w:val="nil"/>
              <w:bottom w:val="nil"/>
              <w:right w:val="nil"/>
            </w:tcBorders>
            <w:shd w:val="clear" w:color="auto" w:fill="auto"/>
            <w:vAlign w:val="bottom"/>
            <w:hideMark/>
          </w:tcPr>
          <w:p w14:paraId="0352BF28" w14:textId="77777777" w:rsidR="00BE6461" w:rsidRPr="00BE6461" w:rsidRDefault="00BE6461" w:rsidP="00BE6461">
            <w:pPr>
              <w:rPr>
                <w:sz w:val="20"/>
                <w:szCs w:val="20"/>
              </w:rPr>
            </w:pPr>
            <w:r w:rsidRPr="00BE6461">
              <w:rPr>
                <w:sz w:val="20"/>
                <w:szCs w:val="20"/>
              </w:rPr>
              <w:t xml:space="preserve">Knjige                                                                                              </w:t>
            </w:r>
          </w:p>
        </w:tc>
        <w:tc>
          <w:tcPr>
            <w:tcW w:w="1503" w:type="dxa"/>
            <w:tcBorders>
              <w:top w:val="nil"/>
              <w:left w:val="nil"/>
              <w:bottom w:val="nil"/>
              <w:right w:val="nil"/>
            </w:tcBorders>
            <w:shd w:val="clear" w:color="auto" w:fill="auto"/>
            <w:noWrap/>
            <w:vAlign w:val="bottom"/>
            <w:hideMark/>
          </w:tcPr>
          <w:p w14:paraId="187C0F0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A58C9BF" w14:textId="77777777" w:rsidR="00BE6461" w:rsidRPr="00BE6461" w:rsidRDefault="00BE6461" w:rsidP="00BE6461">
            <w:pPr>
              <w:jc w:val="right"/>
              <w:rPr>
                <w:sz w:val="20"/>
                <w:szCs w:val="20"/>
              </w:rPr>
            </w:pPr>
            <w:r w:rsidRPr="00BE6461">
              <w:rPr>
                <w:sz w:val="20"/>
                <w:szCs w:val="20"/>
              </w:rPr>
              <w:t>2.152,82</w:t>
            </w:r>
          </w:p>
        </w:tc>
        <w:tc>
          <w:tcPr>
            <w:tcW w:w="1100" w:type="dxa"/>
            <w:tcBorders>
              <w:top w:val="nil"/>
              <w:left w:val="nil"/>
              <w:bottom w:val="nil"/>
              <w:right w:val="nil"/>
            </w:tcBorders>
            <w:shd w:val="clear" w:color="auto" w:fill="auto"/>
            <w:noWrap/>
            <w:vAlign w:val="bottom"/>
            <w:hideMark/>
          </w:tcPr>
          <w:p w14:paraId="6B408531" w14:textId="77777777" w:rsidR="00BE6461" w:rsidRPr="00BE6461" w:rsidRDefault="00BE6461" w:rsidP="00BE6461">
            <w:pPr>
              <w:jc w:val="right"/>
              <w:rPr>
                <w:sz w:val="20"/>
                <w:szCs w:val="20"/>
              </w:rPr>
            </w:pPr>
          </w:p>
        </w:tc>
      </w:tr>
      <w:tr w:rsidR="00BE6461" w:rsidRPr="00BE6461" w14:paraId="14FB21A5"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782F253" w14:textId="77777777" w:rsidR="00BE6461" w:rsidRPr="00BE6461" w:rsidRDefault="00BE6461" w:rsidP="00BE6461">
            <w:pPr>
              <w:rPr>
                <w:b/>
                <w:bCs/>
                <w:color w:val="333333"/>
                <w:sz w:val="20"/>
                <w:szCs w:val="20"/>
              </w:rPr>
            </w:pPr>
            <w:r w:rsidRPr="00BE6461">
              <w:rPr>
                <w:b/>
                <w:bCs/>
                <w:color w:val="333333"/>
                <w:sz w:val="20"/>
                <w:szCs w:val="20"/>
              </w:rPr>
              <w:t>Izvor 5. POMOĆI</w:t>
            </w:r>
          </w:p>
        </w:tc>
        <w:tc>
          <w:tcPr>
            <w:tcW w:w="1503" w:type="dxa"/>
            <w:tcBorders>
              <w:top w:val="nil"/>
              <w:left w:val="nil"/>
              <w:bottom w:val="nil"/>
              <w:right w:val="nil"/>
            </w:tcBorders>
            <w:shd w:val="clear" w:color="auto" w:fill="auto"/>
            <w:noWrap/>
            <w:vAlign w:val="bottom"/>
            <w:hideMark/>
          </w:tcPr>
          <w:p w14:paraId="45970576" w14:textId="77777777" w:rsidR="00BE6461" w:rsidRPr="00BE6461" w:rsidRDefault="00BE6461" w:rsidP="00BE6461">
            <w:pPr>
              <w:jc w:val="right"/>
              <w:rPr>
                <w:b/>
                <w:bCs/>
                <w:color w:val="333333"/>
                <w:sz w:val="20"/>
                <w:szCs w:val="20"/>
              </w:rPr>
            </w:pPr>
            <w:r w:rsidRPr="00BE6461">
              <w:rPr>
                <w:b/>
                <w:bCs/>
                <w:color w:val="333333"/>
                <w:sz w:val="20"/>
                <w:szCs w:val="20"/>
              </w:rPr>
              <w:t>120.000,00</w:t>
            </w:r>
          </w:p>
        </w:tc>
        <w:tc>
          <w:tcPr>
            <w:tcW w:w="1500" w:type="dxa"/>
            <w:tcBorders>
              <w:top w:val="nil"/>
              <w:left w:val="nil"/>
              <w:bottom w:val="nil"/>
              <w:right w:val="nil"/>
            </w:tcBorders>
            <w:shd w:val="clear" w:color="auto" w:fill="auto"/>
            <w:noWrap/>
            <w:vAlign w:val="bottom"/>
            <w:hideMark/>
          </w:tcPr>
          <w:p w14:paraId="4DB95942" w14:textId="77777777" w:rsidR="00BE6461" w:rsidRPr="00BE6461" w:rsidRDefault="00BE6461" w:rsidP="00BE6461">
            <w:pPr>
              <w:jc w:val="right"/>
              <w:rPr>
                <w:b/>
                <w:bCs/>
                <w:color w:val="333333"/>
                <w:sz w:val="20"/>
                <w:szCs w:val="20"/>
              </w:rPr>
            </w:pPr>
            <w:r w:rsidRPr="00BE6461">
              <w:rPr>
                <w:b/>
                <w:bCs/>
                <w:color w:val="333333"/>
                <w:sz w:val="20"/>
                <w:szCs w:val="20"/>
              </w:rPr>
              <w:t>120.000,00</w:t>
            </w:r>
          </w:p>
        </w:tc>
        <w:tc>
          <w:tcPr>
            <w:tcW w:w="1100" w:type="dxa"/>
            <w:tcBorders>
              <w:top w:val="nil"/>
              <w:left w:val="nil"/>
              <w:bottom w:val="nil"/>
              <w:right w:val="nil"/>
            </w:tcBorders>
            <w:shd w:val="clear" w:color="auto" w:fill="auto"/>
            <w:noWrap/>
            <w:vAlign w:val="bottom"/>
            <w:hideMark/>
          </w:tcPr>
          <w:p w14:paraId="5AA20733"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03AE92DE"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14682EC" w14:textId="77777777" w:rsidR="00BE6461" w:rsidRPr="00BE6461" w:rsidRDefault="00BE6461" w:rsidP="00BE6461">
            <w:pPr>
              <w:rPr>
                <w:b/>
                <w:bCs/>
                <w:color w:val="333333"/>
                <w:sz w:val="20"/>
                <w:szCs w:val="20"/>
              </w:rPr>
            </w:pPr>
            <w:r w:rsidRPr="00BE6461">
              <w:rPr>
                <w:b/>
                <w:bCs/>
                <w:color w:val="333333"/>
                <w:sz w:val="20"/>
                <w:szCs w:val="20"/>
              </w:rPr>
              <w:t>Izvor 5.2. POMOĆI - PRORAČUNSKI KORISNICI (GRAD)</w:t>
            </w:r>
          </w:p>
        </w:tc>
        <w:tc>
          <w:tcPr>
            <w:tcW w:w="1503" w:type="dxa"/>
            <w:tcBorders>
              <w:top w:val="nil"/>
              <w:left w:val="nil"/>
              <w:bottom w:val="nil"/>
              <w:right w:val="nil"/>
            </w:tcBorders>
            <w:shd w:val="clear" w:color="auto" w:fill="auto"/>
            <w:noWrap/>
            <w:vAlign w:val="bottom"/>
            <w:hideMark/>
          </w:tcPr>
          <w:p w14:paraId="09195242" w14:textId="77777777" w:rsidR="00BE6461" w:rsidRPr="00BE6461" w:rsidRDefault="00BE6461" w:rsidP="00BE6461">
            <w:pPr>
              <w:jc w:val="right"/>
              <w:rPr>
                <w:b/>
                <w:bCs/>
                <w:color w:val="333333"/>
                <w:sz w:val="20"/>
                <w:szCs w:val="20"/>
              </w:rPr>
            </w:pPr>
            <w:r w:rsidRPr="00BE6461">
              <w:rPr>
                <w:b/>
                <w:bCs/>
                <w:color w:val="333333"/>
                <w:sz w:val="20"/>
                <w:szCs w:val="20"/>
              </w:rPr>
              <w:t>120.000,00</w:t>
            </w:r>
          </w:p>
        </w:tc>
        <w:tc>
          <w:tcPr>
            <w:tcW w:w="1500" w:type="dxa"/>
            <w:tcBorders>
              <w:top w:val="nil"/>
              <w:left w:val="nil"/>
              <w:bottom w:val="nil"/>
              <w:right w:val="nil"/>
            </w:tcBorders>
            <w:shd w:val="clear" w:color="auto" w:fill="auto"/>
            <w:noWrap/>
            <w:vAlign w:val="bottom"/>
            <w:hideMark/>
          </w:tcPr>
          <w:p w14:paraId="2B755C23" w14:textId="77777777" w:rsidR="00BE6461" w:rsidRPr="00BE6461" w:rsidRDefault="00BE6461" w:rsidP="00BE6461">
            <w:pPr>
              <w:jc w:val="right"/>
              <w:rPr>
                <w:b/>
                <w:bCs/>
                <w:color w:val="333333"/>
                <w:sz w:val="20"/>
                <w:szCs w:val="20"/>
              </w:rPr>
            </w:pPr>
            <w:r w:rsidRPr="00BE6461">
              <w:rPr>
                <w:b/>
                <w:bCs/>
                <w:color w:val="333333"/>
                <w:sz w:val="20"/>
                <w:szCs w:val="20"/>
              </w:rPr>
              <w:t>120.000,00</w:t>
            </w:r>
          </w:p>
        </w:tc>
        <w:tc>
          <w:tcPr>
            <w:tcW w:w="1100" w:type="dxa"/>
            <w:tcBorders>
              <w:top w:val="nil"/>
              <w:left w:val="nil"/>
              <w:bottom w:val="nil"/>
              <w:right w:val="nil"/>
            </w:tcBorders>
            <w:shd w:val="clear" w:color="auto" w:fill="auto"/>
            <w:noWrap/>
            <w:vAlign w:val="bottom"/>
            <w:hideMark/>
          </w:tcPr>
          <w:p w14:paraId="505C657F"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18137D17" w14:textId="77777777" w:rsidTr="00BE6461">
        <w:trPr>
          <w:trHeight w:val="300"/>
        </w:trPr>
        <w:tc>
          <w:tcPr>
            <w:tcW w:w="1703" w:type="dxa"/>
            <w:tcBorders>
              <w:top w:val="nil"/>
              <w:left w:val="nil"/>
              <w:bottom w:val="nil"/>
              <w:right w:val="nil"/>
            </w:tcBorders>
            <w:shd w:val="clear" w:color="auto" w:fill="auto"/>
            <w:noWrap/>
            <w:vAlign w:val="bottom"/>
            <w:hideMark/>
          </w:tcPr>
          <w:p w14:paraId="5B4502A6" w14:textId="77777777" w:rsidR="00BE6461" w:rsidRPr="00BE6461" w:rsidRDefault="00BE6461" w:rsidP="00BE6461">
            <w:pPr>
              <w:rPr>
                <w:b/>
                <w:bCs/>
                <w:sz w:val="20"/>
                <w:szCs w:val="20"/>
              </w:rPr>
            </w:pPr>
            <w:r w:rsidRPr="00BE6461">
              <w:rPr>
                <w:b/>
                <w:bCs/>
                <w:sz w:val="20"/>
                <w:szCs w:val="20"/>
              </w:rPr>
              <w:t>412</w:t>
            </w:r>
          </w:p>
        </w:tc>
        <w:tc>
          <w:tcPr>
            <w:tcW w:w="8457" w:type="dxa"/>
            <w:tcBorders>
              <w:top w:val="nil"/>
              <w:left w:val="nil"/>
              <w:bottom w:val="nil"/>
              <w:right w:val="nil"/>
            </w:tcBorders>
            <w:shd w:val="clear" w:color="auto" w:fill="auto"/>
            <w:vAlign w:val="bottom"/>
            <w:hideMark/>
          </w:tcPr>
          <w:p w14:paraId="01837665" w14:textId="77777777" w:rsidR="00BE6461" w:rsidRPr="00BE6461" w:rsidRDefault="00BE6461" w:rsidP="00BE6461">
            <w:pPr>
              <w:rPr>
                <w:b/>
                <w:bCs/>
                <w:sz w:val="20"/>
                <w:szCs w:val="20"/>
              </w:rPr>
            </w:pPr>
            <w:r w:rsidRPr="00BE6461">
              <w:rPr>
                <w:b/>
                <w:bCs/>
                <w:sz w:val="20"/>
                <w:szCs w:val="20"/>
              </w:rPr>
              <w:t xml:space="preserve">Nematerijalna imovina                                                                               </w:t>
            </w:r>
          </w:p>
        </w:tc>
        <w:tc>
          <w:tcPr>
            <w:tcW w:w="1503" w:type="dxa"/>
            <w:tcBorders>
              <w:top w:val="nil"/>
              <w:left w:val="nil"/>
              <w:bottom w:val="nil"/>
              <w:right w:val="nil"/>
            </w:tcBorders>
            <w:shd w:val="clear" w:color="auto" w:fill="auto"/>
            <w:noWrap/>
            <w:vAlign w:val="bottom"/>
            <w:hideMark/>
          </w:tcPr>
          <w:p w14:paraId="2B61BD3C" w14:textId="77777777" w:rsidR="00BE6461" w:rsidRPr="00BE6461" w:rsidRDefault="00BE6461" w:rsidP="00BE6461">
            <w:pPr>
              <w:jc w:val="right"/>
              <w:rPr>
                <w:b/>
                <w:bCs/>
                <w:sz w:val="20"/>
                <w:szCs w:val="20"/>
              </w:rPr>
            </w:pPr>
            <w:r w:rsidRPr="00BE6461">
              <w:rPr>
                <w:b/>
                <w:bCs/>
                <w:sz w:val="20"/>
                <w:szCs w:val="20"/>
              </w:rPr>
              <w:t>100.000,00</w:t>
            </w:r>
          </w:p>
        </w:tc>
        <w:tc>
          <w:tcPr>
            <w:tcW w:w="1500" w:type="dxa"/>
            <w:tcBorders>
              <w:top w:val="nil"/>
              <w:left w:val="nil"/>
              <w:bottom w:val="nil"/>
              <w:right w:val="nil"/>
            </w:tcBorders>
            <w:shd w:val="clear" w:color="auto" w:fill="auto"/>
            <w:noWrap/>
            <w:vAlign w:val="bottom"/>
            <w:hideMark/>
          </w:tcPr>
          <w:p w14:paraId="5FA577A5" w14:textId="77777777" w:rsidR="00BE6461" w:rsidRPr="00BE6461" w:rsidRDefault="00BE6461" w:rsidP="00BE6461">
            <w:pPr>
              <w:jc w:val="right"/>
              <w:rPr>
                <w:b/>
                <w:bCs/>
                <w:sz w:val="20"/>
                <w:szCs w:val="20"/>
              </w:rPr>
            </w:pPr>
            <w:r w:rsidRPr="00BE6461">
              <w:rPr>
                <w:b/>
                <w:bCs/>
                <w:sz w:val="20"/>
                <w:szCs w:val="20"/>
              </w:rPr>
              <w:t>100.000,00</w:t>
            </w:r>
          </w:p>
        </w:tc>
        <w:tc>
          <w:tcPr>
            <w:tcW w:w="1100" w:type="dxa"/>
            <w:tcBorders>
              <w:top w:val="nil"/>
              <w:left w:val="nil"/>
              <w:bottom w:val="nil"/>
              <w:right w:val="nil"/>
            </w:tcBorders>
            <w:shd w:val="clear" w:color="auto" w:fill="auto"/>
            <w:noWrap/>
            <w:vAlign w:val="bottom"/>
            <w:hideMark/>
          </w:tcPr>
          <w:p w14:paraId="69EBD9E8"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48254AD1" w14:textId="77777777" w:rsidTr="00BE6461">
        <w:trPr>
          <w:trHeight w:val="300"/>
        </w:trPr>
        <w:tc>
          <w:tcPr>
            <w:tcW w:w="1703" w:type="dxa"/>
            <w:tcBorders>
              <w:top w:val="nil"/>
              <w:left w:val="nil"/>
              <w:bottom w:val="nil"/>
              <w:right w:val="nil"/>
            </w:tcBorders>
            <w:shd w:val="clear" w:color="auto" w:fill="auto"/>
            <w:noWrap/>
            <w:vAlign w:val="bottom"/>
            <w:hideMark/>
          </w:tcPr>
          <w:p w14:paraId="3EB28CBC" w14:textId="77777777" w:rsidR="00BE6461" w:rsidRPr="00BE6461" w:rsidRDefault="00BE6461" w:rsidP="00BE6461">
            <w:pPr>
              <w:rPr>
                <w:sz w:val="20"/>
                <w:szCs w:val="20"/>
              </w:rPr>
            </w:pPr>
            <w:r w:rsidRPr="00BE6461">
              <w:rPr>
                <w:sz w:val="20"/>
                <w:szCs w:val="20"/>
              </w:rPr>
              <w:t>4124</w:t>
            </w:r>
          </w:p>
        </w:tc>
        <w:tc>
          <w:tcPr>
            <w:tcW w:w="8457" w:type="dxa"/>
            <w:tcBorders>
              <w:top w:val="nil"/>
              <w:left w:val="nil"/>
              <w:bottom w:val="nil"/>
              <w:right w:val="nil"/>
            </w:tcBorders>
            <w:shd w:val="clear" w:color="auto" w:fill="auto"/>
            <w:vAlign w:val="bottom"/>
            <w:hideMark/>
          </w:tcPr>
          <w:p w14:paraId="62CDD6AC" w14:textId="77777777" w:rsidR="00BE6461" w:rsidRPr="00BE6461" w:rsidRDefault="00BE6461" w:rsidP="00BE6461">
            <w:pPr>
              <w:rPr>
                <w:sz w:val="20"/>
                <w:szCs w:val="20"/>
              </w:rPr>
            </w:pPr>
            <w:r w:rsidRPr="00BE6461">
              <w:rPr>
                <w:sz w:val="20"/>
                <w:szCs w:val="20"/>
              </w:rPr>
              <w:t xml:space="preserve">Ostala prava                                                                                        </w:t>
            </w:r>
          </w:p>
        </w:tc>
        <w:tc>
          <w:tcPr>
            <w:tcW w:w="1503" w:type="dxa"/>
            <w:tcBorders>
              <w:top w:val="nil"/>
              <w:left w:val="nil"/>
              <w:bottom w:val="nil"/>
              <w:right w:val="nil"/>
            </w:tcBorders>
            <w:shd w:val="clear" w:color="auto" w:fill="auto"/>
            <w:noWrap/>
            <w:vAlign w:val="bottom"/>
            <w:hideMark/>
          </w:tcPr>
          <w:p w14:paraId="0DB15E2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876A815" w14:textId="77777777" w:rsidR="00BE6461" w:rsidRPr="00BE6461" w:rsidRDefault="00BE6461" w:rsidP="00BE6461">
            <w:pPr>
              <w:jc w:val="right"/>
              <w:rPr>
                <w:sz w:val="20"/>
                <w:szCs w:val="20"/>
              </w:rPr>
            </w:pPr>
            <w:r w:rsidRPr="00BE6461">
              <w:rPr>
                <w:sz w:val="20"/>
                <w:szCs w:val="20"/>
              </w:rPr>
              <w:t>100.000,00</w:t>
            </w:r>
          </w:p>
        </w:tc>
        <w:tc>
          <w:tcPr>
            <w:tcW w:w="1100" w:type="dxa"/>
            <w:tcBorders>
              <w:top w:val="nil"/>
              <w:left w:val="nil"/>
              <w:bottom w:val="nil"/>
              <w:right w:val="nil"/>
            </w:tcBorders>
            <w:shd w:val="clear" w:color="auto" w:fill="auto"/>
            <w:noWrap/>
            <w:vAlign w:val="bottom"/>
            <w:hideMark/>
          </w:tcPr>
          <w:p w14:paraId="2B1B0F43" w14:textId="77777777" w:rsidR="00BE6461" w:rsidRPr="00BE6461" w:rsidRDefault="00BE6461" w:rsidP="00BE6461">
            <w:pPr>
              <w:jc w:val="right"/>
              <w:rPr>
                <w:sz w:val="20"/>
                <w:szCs w:val="20"/>
              </w:rPr>
            </w:pPr>
          </w:p>
        </w:tc>
      </w:tr>
      <w:tr w:rsidR="00BE6461" w:rsidRPr="00BE6461" w14:paraId="2CD41241" w14:textId="77777777" w:rsidTr="00BE6461">
        <w:trPr>
          <w:trHeight w:val="300"/>
        </w:trPr>
        <w:tc>
          <w:tcPr>
            <w:tcW w:w="1703" w:type="dxa"/>
            <w:tcBorders>
              <w:top w:val="nil"/>
              <w:left w:val="nil"/>
              <w:bottom w:val="nil"/>
              <w:right w:val="nil"/>
            </w:tcBorders>
            <w:shd w:val="clear" w:color="auto" w:fill="auto"/>
            <w:noWrap/>
            <w:vAlign w:val="bottom"/>
            <w:hideMark/>
          </w:tcPr>
          <w:p w14:paraId="59B406B8" w14:textId="77777777" w:rsidR="00BE6461" w:rsidRPr="00BE6461" w:rsidRDefault="00BE6461" w:rsidP="00BE6461">
            <w:pPr>
              <w:rPr>
                <w:b/>
                <w:bCs/>
                <w:sz w:val="20"/>
                <w:szCs w:val="20"/>
              </w:rPr>
            </w:pPr>
            <w:r w:rsidRPr="00BE6461">
              <w:rPr>
                <w:b/>
                <w:bCs/>
                <w:sz w:val="20"/>
                <w:szCs w:val="20"/>
              </w:rPr>
              <w:t>424</w:t>
            </w:r>
          </w:p>
        </w:tc>
        <w:tc>
          <w:tcPr>
            <w:tcW w:w="8457" w:type="dxa"/>
            <w:tcBorders>
              <w:top w:val="nil"/>
              <w:left w:val="nil"/>
              <w:bottom w:val="nil"/>
              <w:right w:val="nil"/>
            </w:tcBorders>
            <w:shd w:val="clear" w:color="auto" w:fill="auto"/>
            <w:vAlign w:val="bottom"/>
            <w:hideMark/>
          </w:tcPr>
          <w:p w14:paraId="6A72B608" w14:textId="77777777" w:rsidR="00BE6461" w:rsidRPr="00BE6461" w:rsidRDefault="00BE6461" w:rsidP="00BE6461">
            <w:pPr>
              <w:rPr>
                <w:b/>
                <w:bCs/>
                <w:sz w:val="20"/>
                <w:szCs w:val="20"/>
              </w:rPr>
            </w:pPr>
            <w:r w:rsidRPr="00BE6461">
              <w:rPr>
                <w:b/>
                <w:bCs/>
                <w:sz w:val="20"/>
                <w:szCs w:val="20"/>
              </w:rPr>
              <w:t>Knjige, umjetnička djela i ostale izložbene vrijednosti</w:t>
            </w:r>
          </w:p>
        </w:tc>
        <w:tc>
          <w:tcPr>
            <w:tcW w:w="1503" w:type="dxa"/>
            <w:tcBorders>
              <w:top w:val="nil"/>
              <w:left w:val="nil"/>
              <w:bottom w:val="nil"/>
              <w:right w:val="nil"/>
            </w:tcBorders>
            <w:shd w:val="clear" w:color="auto" w:fill="auto"/>
            <w:noWrap/>
            <w:vAlign w:val="bottom"/>
            <w:hideMark/>
          </w:tcPr>
          <w:p w14:paraId="4DBE2E0B" w14:textId="77777777" w:rsidR="00BE6461" w:rsidRPr="00BE6461" w:rsidRDefault="00BE6461" w:rsidP="00BE6461">
            <w:pPr>
              <w:jc w:val="right"/>
              <w:rPr>
                <w:b/>
                <w:bCs/>
                <w:sz w:val="20"/>
                <w:szCs w:val="20"/>
              </w:rPr>
            </w:pPr>
            <w:r w:rsidRPr="00BE6461">
              <w:rPr>
                <w:b/>
                <w:bCs/>
                <w:sz w:val="20"/>
                <w:szCs w:val="20"/>
              </w:rPr>
              <w:t>20.000,00</w:t>
            </w:r>
          </w:p>
        </w:tc>
        <w:tc>
          <w:tcPr>
            <w:tcW w:w="1500" w:type="dxa"/>
            <w:tcBorders>
              <w:top w:val="nil"/>
              <w:left w:val="nil"/>
              <w:bottom w:val="nil"/>
              <w:right w:val="nil"/>
            </w:tcBorders>
            <w:shd w:val="clear" w:color="auto" w:fill="auto"/>
            <w:noWrap/>
            <w:vAlign w:val="bottom"/>
            <w:hideMark/>
          </w:tcPr>
          <w:p w14:paraId="13F92D5F" w14:textId="77777777" w:rsidR="00BE6461" w:rsidRPr="00BE6461" w:rsidRDefault="00BE6461" w:rsidP="00BE6461">
            <w:pPr>
              <w:jc w:val="right"/>
              <w:rPr>
                <w:b/>
                <w:bCs/>
                <w:sz w:val="20"/>
                <w:szCs w:val="20"/>
              </w:rPr>
            </w:pPr>
            <w:r w:rsidRPr="00BE6461">
              <w:rPr>
                <w:b/>
                <w:bCs/>
                <w:sz w:val="20"/>
                <w:szCs w:val="20"/>
              </w:rPr>
              <w:t>20.000,00</w:t>
            </w:r>
          </w:p>
        </w:tc>
        <w:tc>
          <w:tcPr>
            <w:tcW w:w="1100" w:type="dxa"/>
            <w:tcBorders>
              <w:top w:val="nil"/>
              <w:left w:val="nil"/>
              <w:bottom w:val="nil"/>
              <w:right w:val="nil"/>
            </w:tcBorders>
            <w:shd w:val="clear" w:color="auto" w:fill="auto"/>
            <w:noWrap/>
            <w:vAlign w:val="bottom"/>
            <w:hideMark/>
          </w:tcPr>
          <w:p w14:paraId="594E5307"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11DD2AC0" w14:textId="77777777" w:rsidTr="00BE6461">
        <w:trPr>
          <w:trHeight w:val="300"/>
        </w:trPr>
        <w:tc>
          <w:tcPr>
            <w:tcW w:w="1703" w:type="dxa"/>
            <w:tcBorders>
              <w:top w:val="nil"/>
              <w:left w:val="nil"/>
              <w:bottom w:val="nil"/>
              <w:right w:val="nil"/>
            </w:tcBorders>
            <w:shd w:val="clear" w:color="auto" w:fill="auto"/>
            <w:noWrap/>
            <w:vAlign w:val="bottom"/>
            <w:hideMark/>
          </w:tcPr>
          <w:p w14:paraId="5ECD11DE" w14:textId="77777777" w:rsidR="00BE6461" w:rsidRPr="00BE6461" w:rsidRDefault="00BE6461" w:rsidP="00BE6461">
            <w:pPr>
              <w:rPr>
                <w:sz w:val="20"/>
                <w:szCs w:val="20"/>
              </w:rPr>
            </w:pPr>
            <w:r w:rsidRPr="00BE6461">
              <w:rPr>
                <w:sz w:val="20"/>
                <w:szCs w:val="20"/>
              </w:rPr>
              <w:t>4241</w:t>
            </w:r>
          </w:p>
        </w:tc>
        <w:tc>
          <w:tcPr>
            <w:tcW w:w="8457" w:type="dxa"/>
            <w:tcBorders>
              <w:top w:val="nil"/>
              <w:left w:val="nil"/>
              <w:bottom w:val="nil"/>
              <w:right w:val="nil"/>
            </w:tcBorders>
            <w:shd w:val="clear" w:color="auto" w:fill="auto"/>
            <w:vAlign w:val="bottom"/>
            <w:hideMark/>
          </w:tcPr>
          <w:p w14:paraId="7C334BB5" w14:textId="77777777" w:rsidR="00BE6461" w:rsidRPr="00BE6461" w:rsidRDefault="00BE6461" w:rsidP="00BE6461">
            <w:pPr>
              <w:rPr>
                <w:sz w:val="20"/>
                <w:szCs w:val="20"/>
              </w:rPr>
            </w:pPr>
            <w:r w:rsidRPr="00BE6461">
              <w:rPr>
                <w:sz w:val="20"/>
                <w:szCs w:val="20"/>
              </w:rPr>
              <w:t xml:space="preserve">Knjige                                                                                              </w:t>
            </w:r>
          </w:p>
        </w:tc>
        <w:tc>
          <w:tcPr>
            <w:tcW w:w="1503" w:type="dxa"/>
            <w:tcBorders>
              <w:top w:val="nil"/>
              <w:left w:val="nil"/>
              <w:bottom w:val="nil"/>
              <w:right w:val="nil"/>
            </w:tcBorders>
            <w:shd w:val="clear" w:color="auto" w:fill="auto"/>
            <w:noWrap/>
            <w:vAlign w:val="bottom"/>
            <w:hideMark/>
          </w:tcPr>
          <w:p w14:paraId="56EC6BB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6EC58C4" w14:textId="77777777" w:rsidR="00BE6461" w:rsidRPr="00BE6461" w:rsidRDefault="00BE6461" w:rsidP="00BE6461">
            <w:pPr>
              <w:jc w:val="right"/>
              <w:rPr>
                <w:sz w:val="20"/>
                <w:szCs w:val="20"/>
              </w:rPr>
            </w:pPr>
            <w:r w:rsidRPr="00BE6461">
              <w:rPr>
                <w:sz w:val="20"/>
                <w:szCs w:val="20"/>
              </w:rPr>
              <w:t>20.000,00</w:t>
            </w:r>
          </w:p>
        </w:tc>
        <w:tc>
          <w:tcPr>
            <w:tcW w:w="1100" w:type="dxa"/>
            <w:tcBorders>
              <w:top w:val="nil"/>
              <w:left w:val="nil"/>
              <w:bottom w:val="nil"/>
              <w:right w:val="nil"/>
            </w:tcBorders>
            <w:shd w:val="clear" w:color="auto" w:fill="auto"/>
            <w:noWrap/>
            <w:vAlign w:val="bottom"/>
            <w:hideMark/>
          </w:tcPr>
          <w:p w14:paraId="74162D85" w14:textId="77777777" w:rsidR="00BE6461" w:rsidRPr="00BE6461" w:rsidRDefault="00BE6461" w:rsidP="00BE6461">
            <w:pPr>
              <w:jc w:val="right"/>
              <w:rPr>
                <w:sz w:val="20"/>
                <w:szCs w:val="20"/>
              </w:rPr>
            </w:pPr>
          </w:p>
        </w:tc>
      </w:tr>
      <w:tr w:rsidR="00BE6461" w:rsidRPr="00BE6461" w14:paraId="12EC263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CBDBCB9" w14:textId="77777777" w:rsidR="00BE6461" w:rsidRPr="00BE6461" w:rsidRDefault="00BE6461" w:rsidP="00BE6461">
            <w:pPr>
              <w:rPr>
                <w:b/>
                <w:bCs/>
                <w:color w:val="333333"/>
                <w:sz w:val="20"/>
                <w:szCs w:val="20"/>
              </w:rPr>
            </w:pPr>
            <w:r w:rsidRPr="00BE6461">
              <w:rPr>
                <w:b/>
                <w:bCs/>
                <w:color w:val="333333"/>
                <w:sz w:val="20"/>
                <w:szCs w:val="20"/>
              </w:rPr>
              <w:t>Izvor 6. DONACIJE</w:t>
            </w:r>
          </w:p>
        </w:tc>
        <w:tc>
          <w:tcPr>
            <w:tcW w:w="1503" w:type="dxa"/>
            <w:tcBorders>
              <w:top w:val="nil"/>
              <w:left w:val="nil"/>
              <w:bottom w:val="nil"/>
              <w:right w:val="nil"/>
            </w:tcBorders>
            <w:shd w:val="clear" w:color="auto" w:fill="auto"/>
            <w:noWrap/>
            <w:vAlign w:val="bottom"/>
            <w:hideMark/>
          </w:tcPr>
          <w:p w14:paraId="45FDEF28" w14:textId="77777777" w:rsidR="00BE6461" w:rsidRPr="00BE6461" w:rsidRDefault="00BE6461" w:rsidP="00BE6461">
            <w:pPr>
              <w:jc w:val="right"/>
              <w:rPr>
                <w:b/>
                <w:bCs/>
                <w:color w:val="333333"/>
                <w:sz w:val="20"/>
                <w:szCs w:val="20"/>
              </w:rPr>
            </w:pPr>
            <w:r w:rsidRPr="00BE6461">
              <w:rPr>
                <w:b/>
                <w:bCs/>
                <w:color w:val="333333"/>
                <w:sz w:val="20"/>
                <w:szCs w:val="20"/>
              </w:rPr>
              <w:t>3.000,00</w:t>
            </w:r>
          </w:p>
        </w:tc>
        <w:tc>
          <w:tcPr>
            <w:tcW w:w="1500" w:type="dxa"/>
            <w:tcBorders>
              <w:top w:val="nil"/>
              <w:left w:val="nil"/>
              <w:bottom w:val="nil"/>
              <w:right w:val="nil"/>
            </w:tcBorders>
            <w:shd w:val="clear" w:color="auto" w:fill="auto"/>
            <w:noWrap/>
            <w:vAlign w:val="bottom"/>
            <w:hideMark/>
          </w:tcPr>
          <w:p w14:paraId="39CCA560" w14:textId="77777777" w:rsidR="00BE6461" w:rsidRPr="00BE6461" w:rsidRDefault="00BE6461" w:rsidP="00BE6461">
            <w:pPr>
              <w:jc w:val="right"/>
              <w:rPr>
                <w:b/>
                <w:bCs/>
                <w:color w:val="333333"/>
                <w:sz w:val="20"/>
                <w:szCs w:val="20"/>
              </w:rPr>
            </w:pPr>
            <w:r w:rsidRPr="00BE6461">
              <w:rPr>
                <w:b/>
                <w:bCs/>
                <w:color w:val="333333"/>
                <w:sz w:val="20"/>
                <w:szCs w:val="20"/>
              </w:rPr>
              <w:t>230,00</w:t>
            </w:r>
          </w:p>
        </w:tc>
        <w:tc>
          <w:tcPr>
            <w:tcW w:w="1100" w:type="dxa"/>
            <w:tcBorders>
              <w:top w:val="nil"/>
              <w:left w:val="nil"/>
              <w:bottom w:val="nil"/>
              <w:right w:val="nil"/>
            </w:tcBorders>
            <w:shd w:val="clear" w:color="auto" w:fill="auto"/>
            <w:noWrap/>
            <w:vAlign w:val="bottom"/>
            <w:hideMark/>
          </w:tcPr>
          <w:p w14:paraId="7AF13787" w14:textId="77777777" w:rsidR="00BE6461" w:rsidRPr="00BE6461" w:rsidRDefault="00BE6461" w:rsidP="00BE6461">
            <w:pPr>
              <w:jc w:val="right"/>
              <w:rPr>
                <w:b/>
                <w:bCs/>
                <w:color w:val="333333"/>
                <w:sz w:val="20"/>
                <w:szCs w:val="20"/>
              </w:rPr>
            </w:pPr>
            <w:r w:rsidRPr="00BE6461">
              <w:rPr>
                <w:b/>
                <w:bCs/>
                <w:color w:val="333333"/>
                <w:sz w:val="20"/>
                <w:szCs w:val="20"/>
              </w:rPr>
              <w:t>7,67</w:t>
            </w:r>
          </w:p>
        </w:tc>
      </w:tr>
      <w:tr w:rsidR="00BE6461" w:rsidRPr="00BE6461" w14:paraId="38D75AB8"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882BC50" w14:textId="77777777" w:rsidR="00BE6461" w:rsidRPr="00BE6461" w:rsidRDefault="00BE6461" w:rsidP="00BE6461">
            <w:pPr>
              <w:rPr>
                <w:b/>
                <w:bCs/>
                <w:color w:val="333333"/>
                <w:sz w:val="20"/>
                <w:szCs w:val="20"/>
              </w:rPr>
            </w:pPr>
            <w:r w:rsidRPr="00BE6461">
              <w:rPr>
                <w:b/>
                <w:bCs/>
                <w:color w:val="333333"/>
                <w:sz w:val="20"/>
                <w:szCs w:val="20"/>
              </w:rPr>
              <w:t>Izvor 6.3. DONACIJE - PRORAČUNSKI KORISNICI (DIREKTNO)</w:t>
            </w:r>
          </w:p>
        </w:tc>
        <w:tc>
          <w:tcPr>
            <w:tcW w:w="1503" w:type="dxa"/>
            <w:tcBorders>
              <w:top w:val="nil"/>
              <w:left w:val="nil"/>
              <w:bottom w:val="nil"/>
              <w:right w:val="nil"/>
            </w:tcBorders>
            <w:shd w:val="clear" w:color="auto" w:fill="auto"/>
            <w:noWrap/>
            <w:vAlign w:val="bottom"/>
            <w:hideMark/>
          </w:tcPr>
          <w:p w14:paraId="1A7F029C" w14:textId="77777777" w:rsidR="00BE6461" w:rsidRPr="00BE6461" w:rsidRDefault="00BE6461" w:rsidP="00BE6461">
            <w:pPr>
              <w:jc w:val="right"/>
              <w:rPr>
                <w:b/>
                <w:bCs/>
                <w:color w:val="333333"/>
                <w:sz w:val="20"/>
                <w:szCs w:val="20"/>
              </w:rPr>
            </w:pPr>
            <w:r w:rsidRPr="00BE6461">
              <w:rPr>
                <w:b/>
                <w:bCs/>
                <w:color w:val="333333"/>
                <w:sz w:val="20"/>
                <w:szCs w:val="20"/>
              </w:rPr>
              <w:t>3.000,00</w:t>
            </w:r>
          </w:p>
        </w:tc>
        <w:tc>
          <w:tcPr>
            <w:tcW w:w="1500" w:type="dxa"/>
            <w:tcBorders>
              <w:top w:val="nil"/>
              <w:left w:val="nil"/>
              <w:bottom w:val="nil"/>
              <w:right w:val="nil"/>
            </w:tcBorders>
            <w:shd w:val="clear" w:color="auto" w:fill="auto"/>
            <w:noWrap/>
            <w:vAlign w:val="bottom"/>
            <w:hideMark/>
          </w:tcPr>
          <w:p w14:paraId="1593E155" w14:textId="77777777" w:rsidR="00BE6461" w:rsidRPr="00BE6461" w:rsidRDefault="00BE6461" w:rsidP="00BE6461">
            <w:pPr>
              <w:jc w:val="right"/>
              <w:rPr>
                <w:b/>
                <w:bCs/>
                <w:color w:val="333333"/>
                <w:sz w:val="20"/>
                <w:szCs w:val="20"/>
              </w:rPr>
            </w:pPr>
            <w:r w:rsidRPr="00BE6461">
              <w:rPr>
                <w:b/>
                <w:bCs/>
                <w:color w:val="333333"/>
                <w:sz w:val="20"/>
                <w:szCs w:val="20"/>
              </w:rPr>
              <w:t>230,00</w:t>
            </w:r>
          </w:p>
        </w:tc>
        <w:tc>
          <w:tcPr>
            <w:tcW w:w="1100" w:type="dxa"/>
            <w:tcBorders>
              <w:top w:val="nil"/>
              <w:left w:val="nil"/>
              <w:bottom w:val="nil"/>
              <w:right w:val="nil"/>
            </w:tcBorders>
            <w:shd w:val="clear" w:color="auto" w:fill="auto"/>
            <w:noWrap/>
            <w:vAlign w:val="bottom"/>
            <w:hideMark/>
          </w:tcPr>
          <w:p w14:paraId="6538385E" w14:textId="77777777" w:rsidR="00BE6461" w:rsidRPr="00BE6461" w:rsidRDefault="00BE6461" w:rsidP="00BE6461">
            <w:pPr>
              <w:jc w:val="right"/>
              <w:rPr>
                <w:b/>
                <w:bCs/>
                <w:color w:val="333333"/>
                <w:sz w:val="20"/>
                <w:szCs w:val="20"/>
              </w:rPr>
            </w:pPr>
            <w:r w:rsidRPr="00BE6461">
              <w:rPr>
                <w:b/>
                <w:bCs/>
                <w:color w:val="333333"/>
                <w:sz w:val="20"/>
                <w:szCs w:val="20"/>
              </w:rPr>
              <w:t>7,67</w:t>
            </w:r>
          </w:p>
        </w:tc>
      </w:tr>
      <w:tr w:rsidR="00BE6461" w:rsidRPr="00BE6461" w14:paraId="580B4691" w14:textId="77777777" w:rsidTr="00BE6461">
        <w:trPr>
          <w:trHeight w:val="300"/>
        </w:trPr>
        <w:tc>
          <w:tcPr>
            <w:tcW w:w="1703" w:type="dxa"/>
            <w:tcBorders>
              <w:top w:val="nil"/>
              <w:left w:val="nil"/>
              <w:bottom w:val="nil"/>
              <w:right w:val="nil"/>
            </w:tcBorders>
            <w:shd w:val="clear" w:color="auto" w:fill="auto"/>
            <w:noWrap/>
            <w:vAlign w:val="bottom"/>
            <w:hideMark/>
          </w:tcPr>
          <w:p w14:paraId="38C02640" w14:textId="77777777" w:rsidR="00BE6461" w:rsidRPr="00BE6461" w:rsidRDefault="00BE6461" w:rsidP="00BE6461">
            <w:pPr>
              <w:rPr>
                <w:b/>
                <w:bCs/>
                <w:sz w:val="20"/>
                <w:szCs w:val="20"/>
              </w:rPr>
            </w:pPr>
            <w:r w:rsidRPr="00BE6461">
              <w:rPr>
                <w:b/>
                <w:bCs/>
                <w:sz w:val="20"/>
                <w:szCs w:val="20"/>
              </w:rPr>
              <w:t>424</w:t>
            </w:r>
          </w:p>
        </w:tc>
        <w:tc>
          <w:tcPr>
            <w:tcW w:w="8457" w:type="dxa"/>
            <w:tcBorders>
              <w:top w:val="nil"/>
              <w:left w:val="nil"/>
              <w:bottom w:val="nil"/>
              <w:right w:val="nil"/>
            </w:tcBorders>
            <w:shd w:val="clear" w:color="auto" w:fill="auto"/>
            <w:vAlign w:val="bottom"/>
            <w:hideMark/>
          </w:tcPr>
          <w:p w14:paraId="3E88442F" w14:textId="77777777" w:rsidR="00BE6461" w:rsidRPr="00BE6461" w:rsidRDefault="00BE6461" w:rsidP="00BE6461">
            <w:pPr>
              <w:rPr>
                <w:b/>
                <w:bCs/>
                <w:sz w:val="20"/>
                <w:szCs w:val="20"/>
              </w:rPr>
            </w:pPr>
            <w:r w:rsidRPr="00BE6461">
              <w:rPr>
                <w:b/>
                <w:bCs/>
                <w:sz w:val="20"/>
                <w:szCs w:val="20"/>
              </w:rPr>
              <w:t>Knjige, umjetnička djela i ostale izložbene vrijednosti</w:t>
            </w:r>
          </w:p>
        </w:tc>
        <w:tc>
          <w:tcPr>
            <w:tcW w:w="1503" w:type="dxa"/>
            <w:tcBorders>
              <w:top w:val="nil"/>
              <w:left w:val="nil"/>
              <w:bottom w:val="nil"/>
              <w:right w:val="nil"/>
            </w:tcBorders>
            <w:shd w:val="clear" w:color="auto" w:fill="auto"/>
            <w:noWrap/>
            <w:vAlign w:val="bottom"/>
            <w:hideMark/>
          </w:tcPr>
          <w:p w14:paraId="0CAC9E3D" w14:textId="77777777" w:rsidR="00BE6461" w:rsidRPr="00BE6461" w:rsidRDefault="00BE6461" w:rsidP="00BE6461">
            <w:pPr>
              <w:jc w:val="right"/>
              <w:rPr>
                <w:b/>
                <w:bCs/>
                <w:sz w:val="20"/>
                <w:szCs w:val="20"/>
              </w:rPr>
            </w:pPr>
            <w:r w:rsidRPr="00BE6461">
              <w:rPr>
                <w:b/>
                <w:bCs/>
                <w:sz w:val="20"/>
                <w:szCs w:val="20"/>
              </w:rPr>
              <w:t>3.000,00</w:t>
            </w:r>
          </w:p>
        </w:tc>
        <w:tc>
          <w:tcPr>
            <w:tcW w:w="1500" w:type="dxa"/>
            <w:tcBorders>
              <w:top w:val="nil"/>
              <w:left w:val="nil"/>
              <w:bottom w:val="nil"/>
              <w:right w:val="nil"/>
            </w:tcBorders>
            <w:shd w:val="clear" w:color="auto" w:fill="auto"/>
            <w:noWrap/>
            <w:vAlign w:val="bottom"/>
            <w:hideMark/>
          </w:tcPr>
          <w:p w14:paraId="553F317F" w14:textId="77777777" w:rsidR="00BE6461" w:rsidRPr="00BE6461" w:rsidRDefault="00BE6461" w:rsidP="00BE6461">
            <w:pPr>
              <w:jc w:val="right"/>
              <w:rPr>
                <w:b/>
                <w:bCs/>
                <w:sz w:val="20"/>
                <w:szCs w:val="20"/>
              </w:rPr>
            </w:pPr>
            <w:r w:rsidRPr="00BE6461">
              <w:rPr>
                <w:b/>
                <w:bCs/>
                <w:sz w:val="20"/>
                <w:szCs w:val="20"/>
              </w:rPr>
              <w:t>230,00</w:t>
            </w:r>
          </w:p>
        </w:tc>
        <w:tc>
          <w:tcPr>
            <w:tcW w:w="1100" w:type="dxa"/>
            <w:tcBorders>
              <w:top w:val="nil"/>
              <w:left w:val="nil"/>
              <w:bottom w:val="nil"/>
              <w:right w:val="nil"/>
            </w:tcBorders>
            <w:shd w:val="clear" w:color="auto" w:fill="auto"/>
            <w:noWrap/>
            <w:vAlign w:val="bottom"/>
            <w:hideMark/>
          </w:tcPr>
          <w:p w14:paraId="745ABCD6" w14:textId="77777777" w:rsidR="00BE6461" w:rsidRPr="00BE6461" w:rsidRDefault="00BE6461" w:rsidP="00BE6461">
            <w:pPr>
              <w:jc w:val="right"/>
              <w:rPr>
                <w:b/>
                <w:bCs/>
                <w:sz w:val="20"/>
                <w:szCs w:val="20"/>
              </w:rPr>
            </w:pPr>
            <w:r w:rsidRPr="00BE6461">
              <w:rPr>
                <w:b/>
                <w:bCs/>
                <w:sz w:val="20"/>
                <w:szCs w:val="20"/>
              </w:rPr>
              <w:t>7,67</w:t>
            </w:r>
          </w:p>
        </w:tc>
      </w:tr>
      <w:tr w:rsidR="00BE6461" w:rsidRPr="00BE6461" w14:paraId="6F19E7AB" w14:textId="77777777" w:rsidTr="00BE6461">
        <w:trPr>
          <w:trHeight w:val="300"/>
        </w:trPr>
        <w:tc>
          <w:tcPr>
            <w:tcW w:w="1703" w:type="dxa"/>
            <w:tcBorders>
              <w:top w:val="nil"/>
              <w:left w:val="nil"/>
              <w:bottom w:val="nil"/>
              <w:right w:val="nil"/>
            </w:tcBorders>
            <w:shd w:val="clear" w:color="auto" w:fill="auto"/>
            <w:noWrap/>
            <w:vAlign w:val="bottom"/>
            <w:hideMark/>
          </w:tcPr>
          <w:p w14:paraId="439F0703" w14:textId="77777777" w:rsidR="00BE6461" w:rsidRPr="00BE6461" w:rsidRDefault="00BE6461" w:rsidP="00BE6461">
            <w:pPr>
              <w:rPr>
                <w:sz w:val="20"/>
                <w:szCs w:val="20"/>
              </w:rPr>
            </w:pPr>
            <w:r w:rsidRPr="00BE6461">
              <w:rPr>
                <w:sz w:val="20"/>
                <w:szCs w:val="20"/>
              </w:rPr>
              <w:t>4241</w:t>
            </w:r>
          </w:p>
        </w:tc>
        <w:tc>
          <w:tcPr>
            <w:tcW w:w="8457" w:type="dxa"/>
            <w:tcBorders>
              <w:top w:val="nil"/>
              <w:left w:val="nil"/>
              <w:bottom w:val="nil"/>
              <w:right w:val="nil"/>
            </w:tcBorders>
            <w:shd w:val="clear" w:color="auto" w:fill="auto"/>
            <w:vAlign w:val="bottom"/>
            <w:hideMark/>
          </w:tcPr>
          <w:p w14:paraId="46DCCBDE" w14:textId="77777777" w:rsidR="00BE6461" w:rsidRPr="00BE6461" w:rsidRDefault="00BE6461" w:rsidP="00BE6461">
            <w:pPr>
              <w:rPr>
                <w:sz w:val="20"/>
                <w:szCs w:val="20"/>
              </w:rPr>
            </w:pPr>
            <w:r w:rsidRPr="00BE6461">
              <w:rPr>
                <w:sz w:val="20"/>
                <w:szCs w:val="20"/>
              </w:rPr>
              <w:t xml:space="preserve">Knjige                                                                                              </w:t>
            </w:r>
          </w:p>
        </w:tc>
        <w:tc>
          <w:tcPr>
            <w:tcW w:w="1503" w:type="dxa"/>
            <w:tcBorders>
              <w:top w:val="nil"/>
              <w:left w:val="nil"/>
              <w:bottom w:val="nil"/>
              <w:right w:val="nil"/>
            </w:tcBorders>
            <w:shd w:val="clear" w:color="auto" w:fill="auto"/>
            <w:noWrap/>
            <w:vAlign w:val="bottom"/>
            <w:hideMark/>
          </w:tcPr>
          <w:p w14:paraId="1F85CBF5"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AEE3458" w14:textId="77777777" w:rsidR="00BE6461" w:rsidRPr="00BE6461" w:rsidRDefault="00BE6461" w:rsidP="00BE6461">
            <w:pPr>
              <w:jc w:val="right"/>
              <w:rPr>
                <w:sz w:val="20"/>
                <w:szCs w:val="20"/>
              </w:rPr>
            </w:pPr>
            <w:r w:rsidRPr="00BE6461">
              <w:rPr>
                <w:sz w:val="20"/>
                <w:szCs w:val="20"/>
              </w:rPr>
              <w:t>230,00</w:t>
            </w:r>
          </w:p>
        </w:tc>
        <w:tc>
          <w:tcPr>
            <w:tcW w:w="1100" w:type="dxa"/>
            <w:tcBorders>
              <w:top w:val="nil"/>
              <w:left w:val="nil"/>
              <w:bottom w:val="nil"/>
              <w:right w:val="nil"/>
            </w:tcBorders>
            <w:shd w:val="clear" w:color="auto" w:fill="auto"/>
            <w:noWrap/>
            <w:vAlign w:val="bottom"/>
            <w:hideMark/>
          </w:tcPr>
          <w:p w14:paraId="4F5AF29A" w14:textId="77777777" w:rsidR="00BE6461" w:rsidRPr="00BE6461" w:rsidRDefault="00BE6461" w:rsidP="00BE6461">
            <w:pPr>
              <w:jc w:val="right"/>
              <w:rPr>
                <w:sz w:val="20"/>
                <w:szCs w:val="20"/>
              </w:rPr>
            </w:pPr>
          </w:p>
        </w:tc>
      </w:tr>
      <w:tr w:rsidR="00BE6461" w:rsidRPr="00BE6461" w14:paraId="61A65EA8"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FD97046" w14:textId="77777777" w:rsidR="00BE6461" w:rsidRPr="00BE6461" w:rsidRDefault="00BE6461" w:rsidP="00BE6461">
            <w:pPr>
              <w:rPr>
                <w:b/>
                <w:bCs/>
                <w:color w:val="333333"/>
                <w:sz w:val="20"/>
                <w:szCs w:val="20"/>
              </w:rPr>
            </w:pPr>
            <w:r w:rsidRPr="00BE6461">
              <w:rPr>
                <w:b/>
                <w:bCs/>
                <w:color w:val="333333"/>
                <w:sz w:val="20"/>
                <w:szCs w:val="20"/>
              </w:rPr>
              <w:t>Izvor 7. PRIHODI OD NEFIN.IMOVINE I NADOKNADE ŠTETA OD OSIG.</w:t>
            </w:r>
          </w:p>
        </w:tc>
        <w:tc>
          <w:tcPr>
            <w:tcW w:w="1503" w:type="dxa"/>
            <w:tcBorders>
              <w:top w:val="nil"/>
              <w:left w:val="nil"/>
              <w:bottom w:val="nil"/>
              <w:right w:val="nil"/>
            </w:tcBorders>
            <w:shd w:val="clear" w:color="auto" w:fill="auto"/>
            <w:noWrap/>
            <w:vAlign w:val="bottom"/>
            <w:hideMark/>
          </w:tcPr>
          <w:p w14:paraId="63B50FA9" w14:textId="77777777" w:rsidR="00BE6461" w:rsidRPr="00BE6461" w:rsidRDefault="00BE6461" w:rsidP="00BE6461">
            <w:pPr>
              <w:jc w:val="right"/>
              <w:rPr>
                <w:b/>
                <w:bCs/>
                <w:color w:val="333333"/>
                <w:sz w:val="20"/>
                <w:szCs w:val="20"/>
              </w:rPr>
            </w:pPr>
            <w:r w:rsidRPr="00BE6461">
              <w:rPr>
                <w:b/>
                <w:bCs/>
                <w:color w:val="333333"/>
                <w:sz w:val="20"/>
                <w:szCs w:val="20"/>
              </w:rPr>
              <w:t>220.000,00</w:t>
            </w:r>
          </w:p>
        </w:tc>
        <w:tc>
          <w:tcPr>
            <w:tcW w:w="1500" w:type="dxa"/>
            <w:tcBorders>
              <w:top w:val="nil"/>
              <w:left w:val="nil"/>
              <w:bottom w:val="nil"/>
              <w:right w:val="nil"/>
            </w:tcBorders>
            <w:shd w:val="clear" w:color="auto" w:fill="auto"/>
            <w:noWrap/>
            <w:vAlign w:val="bottom"/>
            <w:hideMark/>
          </w:tcPr>
          <w:p w14:paraId="3426A541" w14:textId="77777777" w:rsidR="00BE6461" w:rsidRPr="00BE6461" w:rsidRDefault="00BE6461" w:rsidP="00BE6461">
            <w:pPr>
              <w:jc w:val="right"/>
              <w:rPr>
                <w:b/>
                <w:bCs/>
                <w:color w:val="333333"/>
                <w:sz w:val="20"/>
                <w:szCs w:val="20"/>
              </w:rPr>
            </w:pPr>
            <w:r w:rsidRPr="00BE6461">
              <w:rPr>
                <w:b/>
                <w:bCs/>
                <w:color w:val="333333"/>
                <w:sz w:val="20"/>
                <w:szCs w:val="20"/>
              </w:rPr>
              <w:t>215.000,00</w:t>
            </w:r>
          </w:p>
        </w:tc>
        <w:tc>
          <w:tcPr>
            <w:tcW w:w="1100" w:type="dxa"/>
            <w:tcBorders>
              <w:top w:val="nil"/>
              <w:left w:val="nil"/>
              <w:bottom w:val="nil"/>
              <w:right w:val="nil"/>
            </w:tcBorders>
            <w:shd w:val="clear" w:color="auto" w:fill="auto"/>
            <w:noWrap/>
            <w:vAlign w:val="bottom"/>
            <w:hideMark/>
          </w:tcPr>
          <w:p w14:paraId="499E86CE" w14:textId="77777777" w:rsidR="00BE6461" w:rsidRPr="00BE6461" w:rsidRDefault="00BE6461" w:rsidP="00BE6461">
            <w:pPr>
              <w:jc w:val="right"/>
              <w:rPr>
                <w:b/>
                <w:bCs/>
                <w:color w:val="333333"/>
                <w:sz w:val="20"/>
                <w:szCs w:val="20"/>
              </w:rPr>
            </w:pPr>
            <w:r w:rsidRPr="00BE6461">
              <w:rPr>
                <w:b/>
                <w:bCs/>
                <w:color w:val="333333"/>
                <w:sz w:val="20"/>
                <w:szCs w:val="20"/>
              </w:rPr>
              <w:t>97,73</w:t>
            </w:r>
          </w:p>
        </w:tc>
      </w:tr>
      <w:tr w:rsidR="00BE6461" w:rsidRPr="00BE6461" w14:paraId="6BA8182C"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68A3A5B" w14:textId="77777777" w:rsidR="00BE6461" w:rsidRPr="00BE6461" w:rsidRDefault="00BE6461" w:rsidP="00BE6461">
            <w:pPr>
              <w:rPr>
                <w:b/>
                <w:bCs/>
                <w:color w:val="333333"/>
                <w:sz w:val="20"/>
                <w:szCs w:val="20"/>
              </w:rPr>
            </w:pPr>
            <w:r w:rsidRPr="00BE6461">
              <w:rPr>
                <w:b/>
                <w:bCs/>
                <w:color w:val="333333"/>
                <w:sz w:val="20"/>
                <w:szCs w:val="20"/>
              </w:rPr>
              <w:t>Izvor 7.1. PRIHODI OD NEFIN.IMOVINE I NADOKNADE ŠTETA OD OSIG.</w:t>
            </w:r>
          </w:p>
        </w:tc>
        <w:tc>
          <w:tcPr>
            <w:tcW w:w="1503" w:type="dxa"/>
            <w:tcBorders>
              <w:top w:val="nil"/>
              <w:left w:val="nil"/>
              <w:bottom w:val="nil"/>
              <w:right w:val="nil"/>
            </w:tcBorders>
            <w:shd w:val="clear" w:color="auto" w:fill="auto"/>
            <w:noWrap/>
            <w:vAlign w:val="bottom"/>
            <w:hideMark/>
          </w:tcPr>
          <w:p w14:paraId="3FEDA168" w14:textId="77777777" w:rsidR="00BE6461" w:rsidRPr="00BE6461" w:rsidRDefault="00BE6461" w:rsidP="00BE6461">
            <w:pPr>
              <w:jc w:val="right"/>
              <w:rPr>
                <w:b/>
                <w:bCs/>
                <w:color w:val="333333"/>
                <w:sz w:val="20"/>
                <w:szCs w:val="20"/>
              </w:rPr>
            </w:pPr>
            <w:r w:rsidRPr="00BE6461">
              <w:rPr>
                <w:b/>
                <w:bCs/>
                <w:color w:val="333333"/>
                <w:sz w:val="20"/>
                <w:szCs w:val="20"/>
              </w:rPr>
              <w:t>220.000,00</w:t>
            </w:r>
          </w:p>
        </w:tc>
        <w:tc>
          <w:tcPr>
            <w:tcW w:w="1500" w:type="dxa"/>
            <w:tcBorders>
              <w:top w:val="nil"/>
              <w:left w:val="nil"/>
              <w:bottom w:val="nil"/>
              <w:right w:val="nil"/>
            </w:tcBorders>
            <w:shd w:val="clear" w:color="auto" w:fill="auto"/>
            <w:noWrap/>
            <w:vAlign w:val="bottom"/>
            <w:hideMark/>
          </w:tcPr>
          <w:p w14:paraId="1A55DF49" w14:textId="77777777" w:rsidR="00BE6461" w:rsidRPr="00BE6461" w:rsidRDefault="00BE6461" w:rsidP="00BE6461">
            <w:pPr>
              <w:jc w:val="right"/>
              <w:rPr>
                <w:b/>
                <w:bCs/>
                <w:color w:val="333333"/>
                <w:sz w:val="20"/>
                <w:szCs w:val="20"/>
              </w:rPr>
            </w:pPr>
            <w:r w:rsidRPr="00BE6461">
              <w:rPr>
                <w:b/>
                <w:bCs/>
                <w:color w:val="333333"/>
                <w:sz w:val="20"/>
                <w:szCs w:val="20"/>
              </w:rPr>
              <w:t>215.000,00</w:t>
            </w:r>
          </w:p>
        </w:tc>
        <w:tc>
          <w:tcPr>
            <w:tcW w:w="1100" w:type="dxa"/>
            <w:tcBorders>
              <w:top w:val="nil"/>
              <w:left w:val="nil"/>
              <w:bottom w:val="nil"/>
              <w:right w:val="nil"/>
            </w:tcBorders>
            <w:shd w:val="clear" w:color="auto" w:fill="auto"/>
            <w:noWrap/>
            <w:vAlign w:val="bottom"/>
            <w:hideMark/>
          </w:tcPr>
          <w:p w14:paraId="6B63B874" w14:textId="77777777" w:rsidR="00BE6461" w:rsidRPr="00BE6461" w:rsidRDefault="00BE6461" w:rsidP="00BE6461">
            <w:pPr>
              <w:jc w:val="right"/>
              <w:rPr>
                <w:b/>
                <w:bCs/>
                <w:color w:val="333333"/>
                <w:sz w:val="20"/>
                <w:szCs w:val="20"/>
              </w:rPr>
            </w:pPr>
            <w:r w:rsidRPr="00BE6461">
              <w:rPr>
                <w:b/>
                <w:bCs/>
                <w:color w:val="333333"/>
                <w:sz w:val="20"/>
                <w:szCs w:val="20"/>
              </w:rPr>
              <w:t>97,73</w:t>
            </w:r>
          </w:p>
        </w:tc>
      </w:tr>
      <w:tr w:rsidR="00BE6461" w:rsidRPr="00BE6461" w14:paraId="60710EAE" w14:textId="77777777" w:rsidTr="00BE6461">
        <w:trPr>
          <w:trHeight w:val="300"/>
        </w:trPr>
        <w:tc>
          <w:tcPr>
            <w:tcW w:w="1703" w:type="dxa"/>
            <w:tcBorders>
              <w:top w:val="nil"/>
              <w:left w:val="nil"/>
              <w:bottom w:val="nil"/>
              <w:right w:val="nil"/>
            </w:tcBorders>
            <w:shd w:val="clear" w:color="auto" w:fill="auto"/>
            <w:noWrap/>
            <w:vAlign w:val="bottom"/>
            <w:hideMark/>
          </w:tcPr>
          <w:p w14:paraId="2AB44EB1" w14:textId="77777777" w:rsidR="00BE6461" w:rsidRPr="00BE6461" w:rsidRDefault="00BE6461" w:rsidP="00BE6461">
            <w:pPr>
              <w:rPr>
                <w:b/>
                <w:bCs/>
                <w:sz w:val="20"/>
                <w:szCs w:val="20"/>
              </w:rPr>
            </w:pPr>
            <w:r w:rsidRPr="00BE6461">
              <w:rPr>
                <w:b/>
                <w:bCs/>
                <w:sz w:val="20"/>
                <w:szCs w:val="20"/>
              </w:rPr>
              <w:lastRenderedPageBreak/>
              <w:t>412</w:t>
            </w:r>
          </w:p>
        </w:tc>
        <w:tc>
          <w:tcPr>
            <w:tcW w:w="8457" w:type="dxa"/>
            <w:tcBorders>
              <w:top w:val="nil"/>
              <w:left w:val="nil"/>
              <w:bottom w:val="nil"/>
              <w:right w:val="nil"/>
            </w:tcBorders>
            <w:shd w:val="clear" w:color="auto" w:fill="auto"/>
            <w:vAlign w:val="bottom"/>
            <w:hideMark/>
          </w:tcPr>
          <w:p w14:paraId="623B95C5" w14:textId="77777777" w:rsidR="00BE6461" w:rsidRPr="00BE6461" w:rsidRDefault="00BE6461" w:rsidP="00BE6461">
            <w:pPr>
              <w:rPr>
                <w:b/>
                <w:bCs/>
                <w:sz w:val="20"/>
                <w:szCs w:val="20"/>
              </w:rPr>
            </w:pPr>
            <w:r w:rsidRPr="00BE6461">
              <w:rPr>
                <w:b/>
                <w:bCs/>
                <w:sz w:val="20"/>
                <w:szCs w:val="20"/>
              </w:rPr>
              <w:t xml:space="preserve">Nematerijalna imovina                                                                               </w:t>
            </w:r>
          </w:p>
        </w:tc>
        <w:tc>
          <w:tcPr>
            <w:tcW w:w="1503" w:type="dxa"/>
            <w:tcBorders>
              <w:top w:val="nil"/>
              <w:left w:val="nil"/>
              <w:bottom w:val="nil"/>
              <w:right w:val="nil"/>
            </w:tcBorders>
            <w:shd w:val="clear" w:color="auto" w:fill="auto"/>
            <w:noWrap/>
            <w:vAlign w:val="bottom"/>
            <w:hideMark/>
          </w:tcPr>
          <w:p w14:paraId="22ED8C9F" w14:textId="77777777" w:rsidR="00BE6461" w:rsidRPr="00BE6461" w:rsidRDefault="00BE6461" w:rsidP="00BE6461">
            <w:pPr>
              <w:jc w:val="right"/>
              <w:rPr>
                <w:b/>
                <w:bCs/>
                <w:sz w:val="20"/>
                <w:szCs w:val="20"/>
              </w:rPr>
            </w:pPr>
            <w:r w:rsidRPr="00BE6461">
              <w:rPr>
                <w:b/>
                <w:bCs/>
                <w:sz w:val="20"/>
                <w:szCs w:val="20"/>
              </w:rPr>
              <w:t>200.000,00</w:t>
            </w:r>
          </w:p>
        </w:tc>
        <w:tc>
          <w:tcPr>
            <w:tcW w:w="1500" w:type="dxa"/>
            <w:tcBorders>
              <w:top w:val="nil"/>
              <w:left w:val="nil"/>
              <w:bottom w:val="nil"/>
              <w:right w:val="nil"/>
            </w:tcBorders>
            <w:shd w:val="clear" w:color="auto" w:fill="auto"/>
            <w:noWrap/>
            <w:vAlign w:val="bottom"/>
            <w:hideMark/>
          </w:tcPr>
          <w:p w14:paraId="0E387260" w14:textId="77777777" w:rsidR="00BE6461" w:rsidRPr="00BE6461" w:rsidRDefault="00BE6461" w:rsidP="00BE6461">
            <w:pPr>
              <w:jc w:val="right"/>
              <w:rPr>
                <w:b/>
                <w:bCs/>
                <w:sz w:val="20"/>
                <w:szCs w:val="20"/>
              </w:rPr>
            </w:pPr>
            <w:r w:rsidRPr="00BE6461">
              <w:rPr>
                <w:b/>
                <w:bCs/>
                <w:sz w:val="20"/>
                <w:szCs w:val="20"/>
              </w:rPr>
              <w:t>200.000,00</w:t>
            </w:r>
          </w:p>
        </w:tc>
        <w:tc>
          <w:tcPr>
            <w:tcW w:w="1100" w:type="dxa"/>
            <w:tcBorders>
              <w:top w:val="nil"/>
              <w:left w:val="nil"/>
              <w:bottom w:val="nil"/>
              <w:right w:val="nil"/>
            </w:tcBorders>
            <w:shd w:val="clear" w:color="auto" w:fill="auto"/>
            <w:noWrap/>
            <w:vAlign w:val="bottom"/>
            <w:hideMark/>
          </w:tcPr>
          <w:p w14:paraId="268892B6"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130B54A8" w14:textId="77777777" w:rsidTr="00BE6461">
        <w:trPr>
          <w:trHeight w:val="300"/>
        </w:trPr>
        <w:tc>
          <w:tcPr>
            <w:tcW w:w="1703" w:type="dxa"/>
            <w:tcBorders>
              <w:top w:val="nil"/>
              <w:left w:val="nil"/>
              <w:bottom w:val="nil"/>
              <w:right w:val="nil"/>
            </w:tcBorders>
            <w:shd w:val="clear" w:color="auto" w:fill="auto"/>
            <w:noWrap/>
            <w:vAlign w:val="bottom"/>
            <w:hideMark/>
          </w:tcPr>
          <w:p w14:paraId="6C4D1CBF" w14:textId="77777777" w:rsidR="00BE6461" w:rsidRPr="00BE6461" w:rsidRDefault="00BE6461" w:rsidP="00BE6461">
            <w:pPr>
              <w:rPr>
                <w:sz w:val="20"/>
                <w:szCs w:val="20"/>
              </w:rPr>
            </w:pPr>
            <w:r w:rsidRPr="00BE6461">
              <w:rPr>
                <w:sz w:val="20"/>
                <w:szCs w:val="20"/>
              </w:rPr>
              <w:t>4124</w:t>
            </w:r>
          </w:p>
        </w:tc>
        <w:tc>
          <w:tcPr>
            <w:tcW w:w="8457" w:type="dxa"/>
            <w:tcBorders>
              <w:top w:val="nil"/>
              <w:left w:val="nil"/>
              <w:bottom w:val="nil"/>
              <w:right w:val="nil"/>
            </w:tcBorders>
            <w:shd w:val="clear" w:color="auto" w:fill="auto"/>
            <w:vAlign w:val="bottom"/>
            <w:hideMark/>
          </w:tcPr>
          <w:p w14:paraId="6554CF09" w14:textId="77777777" w:rsidR="00BE6461" w:rsidRPr="00BE6461" w:rsidRDefault="00BE6461" w:rsidP="00BE6461">
            <w:pPr>
              <w:rPr>
                <w:sz w:val="20"/>
                <w:szCs w:val="20"/>
              </w:rPr>
            </w:pPr>
            <w:r w:rsidRPr="00BE6461">
              <w:rPr>
                <w:sz w:val="20"/>
                <w:szCs w:val="20"/>
              </w:rPr>
              <w:t xml:space="preserve">Ostala prava                                                                                        </w:t>
            </w:r>
          </w:p>
        </w:tc>
        <w:tc>
          <w:tcPr>
            <w:tcW w:w="1503" w:type="dxa"/>
            <w:tcBorders>
              <w:top w:val="nil"/>
              <w:left w:val="nil"/>
              <w:bottom w:val="nil"/>
              <w:right w:val="nil"/>
            </w:tcBorders>
            <w:shd w:val="clear" w:color="auto" w:fill="auto"/>
            <w:noWrap/>
            <w:vAlign w:val="bottom"/>
            <w:hideMark/>
          </w:tcPr>
          <w:p w14:paraId="01976BA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909C846" w14:textId="77777777" w:rsidR="00BE6461" w:rsidRPr="00BE6461" w:rsidRDefault="00BE6461" w:rsidP="00BE6461">
            <w:pPr>
              <w:jc w:val="right"/>
              <w:rPr>
                <w:sz w:val="20"/>
                <w:szCs w:val="20"/>
              </w:rPr>
            </w:pPr>
            <w:r w:rsidRPr="00BE6461">
              <w:rPr>
                <w:sz w:val="20"/>
                <w:szCs w:val="20"/>
              </w:rPr>
              <w:t>200.000,00</w:t>
            </w:r>
          </w:p>
        </w:tc>
        <w:tc>
          <w:tcPr>
            <w:tcW w:w="1100" w:type="dxa"/>
            <w:tcBorders>
              <w:top w:val="nil"/>
              <w:left w:val="nil"/>
              <w:bottom w:val="nil"/>
              <w:right w:val="nil"/>
            </w:tcBorders>
            <w:shd w:val="clear" w:color="auto" w:fill="auto"/>
            <w:noWrap/>
            <w:vAlign w:val="bottom"/>
            <w:hideMark/>
          </w:tcPr>
          <w:p w14:paraId="775500C4" w14:textId="77777777" w:rsidR="00BE6461" w:rsidRPr="00BE6461" w:rsidRDefault="00BE6461" w:rsidP="00BE6461">
            <w:pPr>
              <w:jc w:val="right"/>
              <w:rPr>
                <w:sz w:val="20"/>
                <w:szCs w:val="20"/>
              </w:rPr>
            </w:pPr>
          </w:p>
        </w:tc>
      </w:tr>
      <w:tr w:rsidR="00BE6461" w:rsidRPr="00BE6461" w14:paraId="5C8D44B0" w14:textId="77777777" w:rsidTr="00BE6461">
        <w:trPr>
          <w:trHeight w:val="300"/>
        </w:trPr>
        <w:tc>
          <w:tcPr>
            <w:tcW w:w="1703" w:type="dxa"/>
            <w:tcBorders>
              <w:top w:val="nil"/>
              <w:left w:val="nil"/>
              <w:bottom w:val="nil"/>
              <w:right w:val="nil"/>
            </w:tcBorders>
            <w:shd w:val="clear" w:color="auto" w:fill="auto"/>
            <w:noWrap/>
            <w:vAlign w:val="bottom"/>
            <w:hideMark/>
          </w:tcPr>
          <w:p w14:paraId="34BB6D0D" w14:textId="77777777" w:rsidR="00BE6461" w:rsidRPr="00BE6461" w:rsidRDefault="00BE6461" w:rsidP="00BE6461">
            <w:pPr>
              <w:rPr>
                <w:b/>
                <w:bCs/>
                <w:sz w:val="20"/>
                <w:szCs w:val="20"/>
              </w:rPr>
            </w:pPr>
            <w:r w:rsidRPr="00BE6461">
              <w:rPr>
                <w:b/>
                <w:bCs/>
                <w:sz w:val="20"/>
                <w:szCs w:val="20"/>
              </w:rPr>
              <w:t>422</w:t>
            </w:r>
          </w:p>
        </w:tc>
        <w:tc>
          <w:tcPr>
            <w:tcW w:w="8457" w:type="dxa"/>
            <w:tcBorders>
              <w:top w:val="nil"/>
              <w:left w:val="nil"/>
              <w:bottom w:val="nil"/>
              <w:right w:val="nil"/>
            </w:tcBorders>
            <w:shd w:val="clear" w:color="auto" w:fill="auto"/>
            <w:vAlign w:val="bottom"/>
            <w:hideMark/>
          </w:tcPr>
          <w:p w14:paraId="15535228" w14:textId="77777777" w:rsidR="00BE6461" w:rsidRPr="00BE6461" w:rsidRDefault="00BE6461" w:rsidP="00BE6461">
            <w:pPr>
              <w:rPr>
                <w:b/>
                <w:bCs/>
                <w:sz w:val="20"/>
                <w:szCs w:val="20"/>
              </w:rPr>
            </w:pPr>
            <w:r w:rsidRPr="00BE6461">
              <w:rPr>
                <w:b/>
                <w:bCs/>
                <w:sz w:val="20"/>
                <w:szCs w:val="20"/>
              </w:rPr>
              <w:t xml:space="preserve">Postrojenja i oprema                                                                                </w:t>
            </w:r>
          </w:p>
        </w:tc>
        <w:tc>
          <w:tcPr>
            <w:tcW w:w="1503" w:type="dxa"/>
            <w:tcBorders>
              <w:top w:val="nil"/>
              <w:left w:val="nil"/>
              <w:bottom w:val="nil"/>
              <w:right w:val="nil"/>
            </w:tcBorders>
            <w:shd w:val="clear" w:color="auto" w:fill="auto"/>
            <w:noWrap/>
            <w:vAlign w:val="bottom"/>
            <w:hideMark/>
          </w:tcPr>
          <w:p w14:paraId="3883987B" w14:textId="77777777" w:rsidR="00BE6461" w:rsidRPr="00BE6461" w:rsidRDefault="00BE6461" w:rsidP="00BE6461">
            <w:pPr>
              <w:jc w:val="right"/>
              <w:rPr>
                <w:b/>
                <w:bCs/>
                <w:sz w:val="20"/>
                <w:szCs w:val="20"/>
              </w:rPr>
            </w:pPr>
            <w:r w:rsidRPr="00BE6461">
              <w:rPr>
                <w:b/>
                <w:bCs/>
                <w:sz w:val="20"/>
                <w:szCs w:val="20"/>
              </w:rPr>
              <w:t>5.000,00</w:t>
            </w:r>
          </w:p>
        </w:tc>
        <w:tc>
          <w:tcPr>
            <w:tcW w:w="1500" w:type="dxa"/>
            <w:tcBorders>
              <w:top w:val="nil"/>
              <w:left w:val="nil"/>
              <w:bottom w:val="nil"/>
              <w:right w:val="nil"/>
            </w:tcBorders>
            <w:shd w:val="clear" w:color="auto" w:fill="auto"/>
            <w:noWrap/>
            <w:vAlign w:val="bottom"/>
            <w:hideMark/>
          </w:tcPr>
          <w:p w14:paraId="2B7D7942"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07A192E6"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5B846285" w14:textId="77777777" w:rsidTr="00BE6461">
        <w:trPr>
          <w:trHeight w:val="300"/>
        </w:trPr>
        <w:tc>
          <w:tcPr>
            <w:tcW w:w="1703" w:type="dxa"/>
            <w:tcBorders>
              <w:top w:val="nil"/>
              <w:left w:val="nil"/>
              <w:bottom w:val="nil"/>
              <w:right w:val="nil"/>
            </w:tcBorders>
            <w:shd w:val="clear" w:color="auto" w:fill="auto"/>
            <w:noWrap/>
            <w:vAlign w:val="bottom"/>
            <w:hideMark/>
          </w:tcPr>
          <w:p w14:paraId="32910A8D" w14:textId="77777777" w:rsidR="00BE6461" w:rsidRPr="00BE6461" w:rsidRDefault="00BE6461" w:rsidP="00BE6461">
            <w:pPr>
              <w:rPr>
                <w:sz w:val="20"/>
                <w:szCs w:val="20"/>
              </w:rPr>
            </w:pPr>
            <w:r w:rsidRPr="00BE6461">
              <w:rPr>
                <w:sz w:val="20"/>
                <w:szCs w:val="20"/>
              </w:rPr>
              <w:t>4227</w:t>
            </w:r>
          </w:p>
        </w:tc>
        <w:tc>
          <w:tcPr>
            <w:tcW w:w="8457" w:type="dxa"/>
            <w:tcBorders>
              <w:top w:val="nil"/>
              <w:left w:val="nil"/>
              <w:bottom w:val="nil"/>
              <w:right w:val="nil"/>
            </w:tcBorders>
            <w:shd w:val="clear" w:color="auto" w:fill="auto"/>
            <w:vAlign w:val="bottom"/>
            <w:hideMark/>
          </w:tcPr>
          <w:p w14:paraId="014E8B4F" w14:textId="77777777" w:rsidR="00BE6461" w:rsidRPr="00BE6461" w:rsidRDefault="00BE6461" w:rsidP="00BE6461">
            <w:pPr>
              <w:rPr>
                <w:sz w:val="20"/>
                <w:szCs w:val="20"/>
              </w:rPr>
            </w:pPr>
            <w:r w:rsidRPr="00BE6461">
              <w:rPr>
                <w:sz w:val="20"/>
                <w:szCs w:val="20"/>
              </w:rPr>
              <w:t xml:space="preserve">Uređaji, strojevi i oprema za ostale namjene                                                        </w:t>
            </w:r>
          </w:p>
        </w:tc>
        <w:tc>
          <w:tcPr>
            <w:tcW w:w="1503" w:type="dxa"/>
            <w:tcBorders>
              <w:top w:val="nil"/>
              <w:left w:val="nil"/>
              <w:bottom w:val="nil"/>
              <w:right w:val="nil"/>
            </w:tcBorders>
            <w:shd w:val="clear" w:color="auto" w:fill="auto"/>
            <w:noWrap/>
            <w:vAlign w:val="bottom"/>
            <w:hideMark/>
          </w:tcPr>
          <w:p w14:paraId="3D42FF2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E42A65A"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6DF49852" w14:textId="77777777" w:rsidR="00BE6461" w:rsidRPr="00BE6461" w:rsidRDefault="00BE6461" w:rsidP="00BE6461">
            <w:pPr>
              <w:jc w:val="right"/>
              <w:rPr>
                <w:sz w:val="20"/>
                <w:szCs w:val="20"/>
              </w:rPr>
            </w:pPr>
          </w:p>
        </w:tc>
      </w:tr>
      <w:tr w:rsidR="00BE6461" w:rsidRPr="00BE6461" w14:paraId="2FEA2A5E" w14:textId="77777777" w:rsidTr="00BE6461">
        <w:trPr>
          <w:trHeight w:val="300"/>
        </w:trPr>
        <w:tc>
          <w:tcPr>
            <w:tcW w:w="1703" w:type="dxa"/>
            <w:tcBorders>
              <w:top w:val="nil"/>
              <w:left w:val="nil"/>
              <w:bottom w:val="nil"/>
              <w:right w:val="nil"/>
            </w:tcBorders>
            <w:shd w:val="clear" w:color="auto" w:fill="auto"/>
            <w:noWrap/>
            <w:vAlign w:val="bottom"/>
            <w:hideMark/>
          </w:tcPr>
          <w:p w14:paraId="00C47557" w14:textId="77777777" w:rsidR="00BE6461" w:rsidRPr="00BE6461" w:rsidRDefault="00BE6461" w:rsidP="00BE6461">
            <w:pPr>
              <w:rPr>
                <w:b/>
                <w:bCs/>
                <w:sz w:val="20"/>
                <w:szCs w:val="20"/>
              </w:rPr>
            </w:pPr>
            <w:r w:rsidRPr="00BE6461">
              <w:rPr>
                <w:b/>
                <w:bCs/>
                <w:sz w:val="20"/>
                <w:szCs w:val="20"/>
              </w:rPr>
              <w:t>424</w:t>
            </w:r>
          </w:p>
        </w:tc>
        <w:tc>
          <w:tcPr>
            <w:tcW w:w="8457" w:type="dxa"/>
            <w:tcBorders>
              <w:top w:val="nil"/>
              <w:left w:val="nil"/>
              <w:bottom w:val="nil"/>
              <w:right w:val="nil"/>
            </w:tcBorders>
            <w:shd w:val="clear" w:color="auto" w:fill="auto"/>
            <w:vAlign w:val="bottom"/>
            <w:hideMark/>
          </w:tcPr>
          <w:p w14:paraId="0BD64919" w14:textId="77777777" w:rsidR="00BE6461" w:rsidRPr="00BE6461" w:rsidRDefault="00BE6461" w:rsidP="00BE6461">
            <w:pPr>
              <w:rPr>
                <w:b/>
                <w:bCs/>
                <w:sz w:val="20"/>
                <w:szCs w:val="20"/>
              </w:rPr>
            </w:pPr>
            <w:r w:rsidRPr="00BE6461">
              <w:rPr>
                <w:b/>
                <w:bCs/>
                <w:sz w:val="20"/>
                <w:szCs w:val="20"/>
              </w:rPr>
              <w:t>Knjige, umjetnička djela i ostale izložbene vrijednosti</w:t>
            </w:r>
          </w:p>
        </w:tc>
        <w:tc>
          <w:tcPr>
            <w:tcW w:w="1503" w:type="dxa"/>
            <w:tcBorders>
              <w:top w:val="nil"/>
              <w:left w:val="nil"/>
              <w:bottom w:val="nil"/>
              <w:right w:val="nil"/>
            </w:tcBorders>
            <w:shd w:val="clear" w:color="auto" w:fill="auto"/>
            <w:noWrap/>
            <w:vAlign w:val="bottom"/>
            <w:hideMark/>
          </w:tcPr>
          <w:p w14:paraId="36BF0A4B" w14:textId="77777777" w:rsidR="00BE6461" w:rsidRPr="00BE6461" w:rsidRDefault="00BE6461" w:rsidP="00BE6461">
            <w:pPr>
              <w:jc w:val="right"/>
              <w:rPr>
                <w:b/>
                <w:bCs/>
                <w:sz w:val="20"/>
                <w:szCs w:val="20"/>
              </w:rPr>
            </w:pPr>
            <w:r w:rsidRPr="00BE6461">
              <w:rPr>
                <w:b/>
                <w:bCs/>
                <w:sz w:val="20"/>
                <w:szCs w:val="20"/>
              </w:rPr>
              <w:t>15.000,00</w:t>
            </w:r>
          </w:p>
        </w:tc>
        <w:tc>
          <w:tcPr>
            <w:tcW w:w="1500" w:type="dxa"/>
            <w:tcBorders>
              <w:top w:val="nil"/>
              <w:left w:val="nil"/>
              <w:bottom w:val="nil"/>
              <w:right w:val="nil"/>
            </w:tcBorders>
            <w:shd w:val="clear" w:color="auto" w:fill="auto"/>
            <w:noWrap/>
            <w:vAlign w:val="bottom"/>
            <w:hideMark/>
          </w:tcPr>
          <w:p w14:paraId="59FAA5CA" w14:textId="77777777" w:rsidR="00BE6461" w:rsidRPr="00BE6461" w:rsidRDefault="00BE6461" w:rsidP="00BE6461">
            <w:pPr>
              <w:jc w:val="right"/>
              <w:rPr>
                <w:b/>
                <w:bCs/>
                <w:sz w:val="20"/>
                <w:szCs w:val="20"/>
              </w:rPr>
            </w:pPr>
            <w:r w:rsidRPr="00BE6461">
              <w:rPr>
                <w:b/>
                <w:bCs/>
                <w:sz w:val="20"/>
                <w:szCs w:val="20"/>
              </w:rPr>
              <w:t>15.000,00</w:t>
            </w:r>
          </w:p>
        </w:tc>
        <w:tc>
          <w:tcPr>
            <w:tcW w:w="1100" w:type="dxa"/>
            <w:tcBorders>
              <w:top w:val="nil"/>
              <w:left w:val="nil"/>
              <w:bottom w:val="nil"/>
              <w:right w:val="nil"/>
            </w:tcBorders>
            <w:shd w:val="clear" w:color="auto" w:fill="auto"/>
            <w:noWrap/>
            <w:vAlign w:val="bottom"/>
            <w:hideMark/>
          </w:tcPr>
          <w:p w14:paraId="7FB723ED"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74F702D6" w14:textId="77777777" w:rsidTr="00BE6461">
        <w:trPr>
          <w:trHeight w:val="300"/>
        </w:trPr>
        <w:tc>
          <w:tcPr>
            <w:tcW w:w="1703" w:type="dxa"/>
            <w:tcBorders>
              <w:top w:val="nil"/>
              <w:left w:val="nil"/>
              <w:bottom w:val="nil"/>
              <w:right w:val="nil"/>
            </w:tcBorders>
            <w:shd w:val="clear" w:color="auto" w:fill="auto"/>
            <w:noWrap/>
            <w:vAlign w:val="bottom"/>
            <w:hideMark/>
          </w:tcPr>
          <w:p w14:paraId="456827F2" w14:textId="77777777" w:rsidR="00BE6461" w:rsidRPr="00BE6461" w:rsidRDefault="00BE6461" w:rsidP="00BE6461">
            <w:pPr>
              <w:rPr>
                <w:sz w:val="20"/>
                <w:szCs w:val="20"/>
              </w:rPr>
            </w:pPr>
            <w:r w:rsidRPr="00BE6461">
              <w:rPr>
                <w:sz w:val="20"/>
                <w:szCs w:val="20"/>
              </w:rPr>
              <w:t>4241</w:t>
            </w:r>
          </w:p>
        </w:tc>
        <w:tc>
          <w:tcPr>
            <w:tcW w:w="8457" w:type="dxa"/>
            <w:tcBorders>
              <w:top w:val="nil"/>
              <w:left w:val="nil"/>
              <w:bottom w:val="nil"/>
              <w:right w:val="nil"/>
            </w:tcBorders>
            <w:shd w:val="clear" w:color="auto" w:fill="auto"/>
            <w:vAlign w:val="bottom"/>
            <w:hideMark/>
          </w:tcPr>
          <w:p w14:paraId="47D159E9" w14:textId="77777777" w:rsidR="00BE6461" w:rsidRPr="00BE6461" w:rsidRDefault="00BE6461" w:rsidP="00BE6461">
            <w:pPr>
              <w:rPr>
                <w:sz w:val="20"/>
                <w:szCs w:val="20"/>
              </w:rPr>
            </w:pPr>
            <w:r w:rsidRPr="00BE6461">
              <w:rPr>
                <w:sz w:val="20"/>
                <w:szCs w:val="20"/>
              </w:rPr>
              <w:t xml:space="preserve">Knjige                                                                                              </w:t>
            </w:r>
          </w:p>
        </w:tc>
        <w:tc>
          <w:tcPr>
            <w:tcW w:w="1503" w:type="dxa"/>
            <w:tcBorders>
              <w:top w:val="nil"/>
              <w:left w:val="nil"/>
              <w:bottom w:val="nil"/>
              <w:right w:val="nil"/>
            </w:tcBorders>
            <w:shd w:val="clear" w:color="auto" w:fill="auto"/>
            <w:noWrap/>
            <w:vAlign w:val="bottom"/>
            <w:hideMark/>
          </w:tcPr>
          <w:p w14:paraId="4573282B"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DD8E25E" w14:textId="77777777" w:rsidR="00BE6461" w:rsidRPr="00BE6461" w:rsidRDefault="00BE6461" w:rsidP="00BE6461">
            <w:pPr>
              <w:jc w:val="right"/>
              <w:rPr>
                <w:sz w:val="20"/>
                <w:szCs w:val="20"/>
              </w:rPr>
            </w:pPr>
            <w:r w:rsidRPr="00BE6461">
              <w:rPr>
                <w:sz w:val="20"/>
                <w:szCs w:val="20"/>
              </w:rPr>
              <w:t>15.000,00</w:t>
            </w:r>
          </w:p>
        </w:tc>
        <w:tc>
          <w:tcPr>
            <w:tcW w:w="1100" w:type="dxa"/>
            <w:tcBorders>
              <w:top w:val="nil"/>
              <w:left w:val="nil"/>
              <w:bottom w:val="nil"/>
              <w:right w:val="nil"/>
            </w:tcBorders>
            <w:shd w:val="clear" w:color="auto" w:fill="auto"/>
            <w:noWrap/>
            <w:vAlign w:val="bottom"/>
            <w:hideMark/>
          </w:tcPr>
          <w:p w14:paraId="34712DCE" w14:textId="77777777" w:rsidR="00BE6461" w:rsidRPr="00BE6461" w:rsidRDefault="00BE6461" w:rsidP="00BE6461">
            <w:pPr>
              <w:jc w:val="right"/>
              <w:rPr>
                <w:sz w:val="20"/>
                <w:szCs w:val="20"/>
              </w:rPr>
            </w:pPr>
          </w:p>
        </w:tc>
      </w:tr>
      <w:tr w:rsidR="00BE6461" w:rsidRPr="00BE6461" w14:paraId="08909EB1" w14:textId="77777777" w:rsidTr="00BE6461">
        <w:trPr>
          <w:trHeight w:val="600"/>
        </w:trPr>
        <w:tc>
          <w:tcPr>
            <w:tcW w:w="10160" w:type="dxa"/>
            <w:gridSpan w:val="2"/>
            <w:tcBorders>
              <w:top w:val="single" w:sz="4" w:space="0" w:color="auto"/>
              <w:left w:val="nil"/>
              <w:bottom w:val="single" w:sz="4" w:space="0" w:color="auto"/>
              <w:right w:val="nil"/>
            </w:tcBorders>
            <w:shd w:val="clear" w:color="auto" w:fill="auto"/>
            <w:noWrap/>
            <w:vAlign w:val="bottom"/>
            <w:hideMark/>
          </w:tcPr>
          <w:p w14:paraId="4334C520" w14:textId="77777777" w:rsidR="00BE6461" w:rsidRPr="00BE6461" w:rsidRDefault="00BE6461" w:rsidP="00BE6461">
            <w:pPr>
              <w:rPr>
                <w:b/>
                <w:bCs/>
                <w:sz w:val="20"/>
                <w:szCs w:val="20"/>
              </w:rPr>
            </w:pPr>
            <w:r w:rsidRPr="00BE6461">
              <w:rPr>
                <w:b/>
                <w:bCs/>
                <w:sz w:val="20"/>
                <w:szCs w:val="20"/>
              </w:rPr>
              <w:t>RAZDJEL 002 UPRAVNI ODJEL ZA KOMUNALNE DJELATNOSTI</w:t>
            </w:r>
          </w:p>
        </w:tc>
        <w:tc>
          <w:tcPr>
            <w:tcW w:w="1503" w:type="dxa"/>
            <w:tcBorders>
              <w:top w:val="single" w:sz="4" w:space="0" w:color="auto"/>
              <w:left w:val="nil"/>
              <w:bottom w:val="single" w:sz="4" w:space="0" w:color="auto"/>
              <w:right w:val="nil"/>
            </w:tcBorders>
            <w:shd w:val="clear" w:color="auto" w:fill="auto"/>
            <w:noWrap/>
            <w:vAlign w:val="bottom"/>
            <w:hideMark/>
          </w:tcPr>
          <w:p w14:paraId="5A7B405A" w14:textId="77777777" w:rsidR="00BE6461" w:rsidRPr="00BE6461" w:rsidRDefault="00BE6461" w:rsidP="00BE6461">
            <w:pPr>
              <w:jc w:val="right"/>
              <w:rPr>
                <w:b/>
                <w:bCs/>
                <w:sz w:val="20"/>
                <w:szCs w:val="20"/>
              </w:rPr>
            </w:pPr>
            <w:r w:rsidRPr="00BE6461">
              <w:rPr>
                <w:b/>
                <w:bCs/>
                <w:sz w:val="20"/>
                <w:szCs w:val="20"/>
              </w:rPr>
              <w:t>17.852.711,10</w:t>
            </w:r>
          </w:p>
        </w:tc>
        <w:tc>
          <w:tcPr>
            <w:tcW w:w="1500" w:type="dxa"/>
            <w:tcBorders>
              <w:top w:val="single" w:sz="4" w:space="0" w:color="auto"/>
              <w:left w:val="nil"/>
              <w:bottom w:val="single" w:sz="4" w:space="0" w:color="auto"/>
              <w:right w:val="nil"/>
            </w:tcBorders>
            <w:shd w:val="clear" w:color="auto" w:fill="auto"/>
            <w:noWrap/>
            <w:vAlign w:val="bottom"/>
            <w:hideMark/>
          </w:tcPr>
          <w:p w14:paraId="4560B3D5" w14:textId="77777777" w:rsidR="00BE6461" w:rsidRPr="00BE6461" w:rsidRDefault="00BE6461" w:rsidP="00BE6461">
            <w:pPr>
              <w:jc w:val="right"/>
              <w:rPr>
                <w:b/>
                <w:bCs/>
                <w:sz w:val="20"/>
                <w:szCs w:val="20"/>
              </w:rPr>
            </w:pPr>
            <w:r w:rsidRPr="00BE6461">
              <w:rPr>
                <w:b/>
                <w:bCs/>
                <w:sz w:val="20"/>
                <w:szCs w:val="20"/>
              </w:rPr>
              <w:t>16.646.528,06</w:t>
            </w:r>
          </w:p>
        </w:tc>
        <w:tc>
          <w:tcPr>
            <w:tcW w:w="1100" w:type="dxa"/>
            <w:tcBorders>
              <w:top w:val="single" w:sz="4" w:space="0" w:color="auto"/>
              <w:left w:val="nil"/>
              <w:bottom w:val="single" w:sz="4" w:space="0" w:color="auto"/>
              <w:right w:val="nil"/>
            </w:tcBorders>
            <w:shd w:val="clear" w:color="auto" w:fill="auto"/>
            <w:noWrap/>
            <w:vAlign w:val="bottom"/>
            <w:hideMark/>
          </w:tcPr>
          <w:p w14:paraId="29DFC4E0" w14:textId="77777777" w:rsidR="00BE6461" w:rsidRPr="00BE6461" w:rsidRDefault="00BE6461" w:rsidP="00BE6461">
            <w:pPr>
              <w:jc w:val="right"/>
              <w:rPr>
                <w:b/>
                <w:bCs/>
                <w:sz w:val="20"/>
                <w:szCs w:val="20"/>
              </w:rPr>
            </w:pPr>
            <w:r w:rsidRPr="00BE6461">
              <w:rPr>
                <w:b/>
                <w:bCs/>
                <w:sz w:val="20"/>
                <w:szCs w:val="20"/>
              </w:rPr>
              <w:t>93,24</w:t>
            </w:r>
          </w:p>
        </w:tc>
      </w:tr>
      <w:tr w:rsidR="00BE6461" w:rsidRPr="00BE6461" w14:paraId="33C1EA94" w14:textId="77777777" w:rsidTr="00BE6461">
        <w:trPr>
          <w:trHeight w:val="495"/>
        </w:trPr>
        <w:tc>
          <w:tcPr>
            <w:tcW w:w="10160" w:type="dxa"/>
            <w:gridSpan w:val="2"/>
            <w:tcBorders>
              <w:top w:val="single" w:sz="4" w:space="0" w:color="auto"/>
              <w:left w:val="nil"/>
              <w:bottom w:val="single" w:sz="4" w:space="0" w:color="auto"/>
              <w:right w:val="nil"/>
            </w:tcBorders>
            <w:shd w:val="clear" w:color="auto" w:fill="auto"/>
            <w:noWrap/>
            <w:vAlign w:val="bottom"/>
            <w:hideMark/>
          </w:tcPr>
          <w:p w14:paraId="2F24B38F" w14:textId="77777777" w:rsidR="00BE6461" w:rsidRPr="00BE6461" w:rsidRDefault="00BE6461" w:rsidP="00BE6461">
            <w:pPr>
              <w:rPr>
                <w:b/>
                <w:bCs/>
                <w:sz w:val="20"/>
                <w:szCs w:val="20"/>
              </w:rPr>
            </w:pPr>
            <w:r w:rsidRPr="00BE6461">
              <w:rPr>
                <w:b/>
                <w:bCs/>
                <w:sz w:val="20"/>
                <w:szCs w:val="20"/>
              </w:rPr>
              <w:t>GLAVA 00201 UPRAVNI ODJEL ZA KOMUNALNE DJELATNOSTI</w:t>
            </w:r>
          </w:p>
        </w:tc>
        <w:tc>
          <w:tcPr>
            <w:tcW w:w="1503" w:type="dxa"/>
            <w:tcBorders>
              <w:top w:val="nil"/>
              <w:left w:val="nil"/>
              <w:bottom w:val="single" w:sz="4" w:space="0" w:color="auto"/>
              <w:right w:val="nil"/>
            </w:tcBorders>
            <w:shd w:val="clear" w:color="auto" w:fill="auto"/>
            <w:noWrap/>
            <w:vAlign w:val="bottom"/>
            <w:hideMark/>
          </w:tcPr>
          <w:p w14:paraId="2E0944D3" w14:textId="77777777" w:rsidR="00BE6461" w:rsidRPr="00BE6461" w:rsidRDefault="00BE6461" w:rsidP="00BE6461">
            <w:pPr>
              <w:jc w:val="right"/>
              <w:rPr>
                <w:b/>
                <w:bCs/>
                <w:sz w:val="20"/>
                <w:szCs w:val="20"/>
              </w:rPr>
            </w:pPr>
            <w:r w:rsidRPr="00BE6461">
              <w:rPr>
                <w:b/>
                <w:bCs/>
                <w:sz w:val="20"/>
                <w:szCs w:val="20"/>
              </w:rPr>
              <w:t>17.852.711,10</w:t>
            </w:r>
          </w:p>
        </w:tc>
        <w:tc>
          <w:tcPr>
            <w:tcW w:w="1500" w:type="dxa"/>
            <w:tcBorders>
              <w:top w:val="nil"/>
              <w:left w:val="nil"/>
              <w:bottom w:val="single" w:sz="4" w:space="0" w:color="auto"/>
              <w:right w:val="nil"/>
            </w:tcBorders>
            <w:shd w:val="clear" w:color="auto" w:fill="auto"/>
            <w:noWrap/>
            <w:vAlign w:val="bottom"/>
            <w:hideMark/>
          </w:tcPr>
          <w:p w14:paraId="34A21E42" w14:textId="77777777" w:rsidR="00BE6461" w:rsidRPr="00BE6461" w:rsidRDefault="00BE6461" w:rsidP="00BE6461">
            <w:pPr>
              <w:jc w:val="right"/>
              <w:rPr>
                <w:b/>
                <w:bCs/>
                <w:sz w:val="20"/>
                <w:szCs w:val="20"/>
              </w:rPr>
            </w:pPr>
            <w:r w:rsidRPr="00BE6461">
              <w:rPr>
                <w:b/>
                <w:bCs/>
                <w:sz w:val="20"/>
                <w:szCs w:val="20"/>
              </w:rPr>
              <w:t>16.646.528,06</w:t>
            </w:r>
          </w:p>
        </w:tc>
        <w:tc>
          <w:tcPr>
            <w:tcW w:w="1100" w:type="dxa"/>
            <w:tcBorders>
              <w:top w:val="nil"/>
              <w:left w:val="nil"/>
              <w:bottom w:val="single" w:sz="4" w:space="0" w:color="auto"/>
              <w:right w:val="nil"/>
            </w:tcBorders>
            <w:shd w:val="clear" w:color="auto" w:fill="auto"/>
            <w:noWrap/>
            <w:vAlign w:val="bottom"/>
            <w:hideMark/>
          </w:tcPr>
          <w:p w14:paraId="4A6F8804" w14:textId="77777777" w:rsidR="00BE6461" w:rsidRPr="00BE6461" w:rsidRDefault="00BE6461" w:rsidP="00BE6461">
            <w:pPr>
              <w:jc w:val="right"/>
              <w:rPr>
                <w:b/>
                <w:bCs/>
                <w:sz w:val="20"/>
                <w:szCs w:val="20"/>
              </w:rPr>
            </w:pPr>
            <w:r w:rsidRPr="00BE6461">
              <w:rPr>
                <w:b/>
                <w:bCs/>
                <w:sz w:val="20"/>
                <w:szCs w:val="20"/>
              </w:rPr>
              <w:t>93,24</w:t>
            </w:r>
          </w:p>
        </w:tc>
      </w:tr>
      <w:tr w:rsidR="00BE6461" w:rsidRPr="00BE6461" w14:paraId="6E565E5A"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1510389"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0C017B76" w14:textId="77777777" w:rsidR="00BE6461" w:rsidRPr="00BE6461" w:rsidRDefault="00BE6461" w:rsidP="00BE6461">
            <w:pPr>
              <w:jc w:val="right"/>
              <w:rPr>
                <w:b/>
                <w:bCs/>
                <w:color w:val="333333"/>
                <w:sz w:val="20"/>
                <w:szCs w:val="20"/>
              </w:rPr>
            </w:pPr>
            <w:r w:rsidRPr="00BE6461">
              <w:rPr>
                <w:b/>
                <w:bCs/>
                <w:color w:val="333333"/>
                <w:sz w:val="20"/>
                <w:szCs w:val="20"/>
              </w:rPr>
              <w:t>2.627.623,85</w:t>
            </w:r>
          </w:p>
        </w:tc>
        <w:tc>
          <w:tcPr>
            <w:tcW w:w="1500" w:type="dxa"/>
            <w:tcBorders>
              <w:top w:val="nil"/>
              <w:left w:val="nil"/>
              <w:bottom w:val="nil"/>
              <w:right w:val="nil"/>
            </w:tcBorders>
            <w:shd w:val="clear" w:color="auto" w:fill="auto"/>
            <w:noWrap/>
            <w:vAlign w:val="bottom"/>
            <w:hideMark/>
          </w:tcPr>
          <w:p w14:paraId="2FEA056E" w14:textId="621D39D0" w:rsidR="00BE6461" w:rsidRPr="00BE6461" w:rsidRDefault="00BE6461" w:rsidP="00BE6461">
            <w:pPr>
              <w:jc w:val="right"/>
              <w:rPr>
                <w:b/>
                <w:bCs/>
                <w:color w:val="333333"/>
                <w:sz w:val="20"/>
                <w:szCs w:val="20"/>
              </w:rPr>
            </w:pPr>
            <w:r w:rsidRPr="00BE6461">
              <w:rPr>
                <w:b/>
                <w:bCs/>
                <w:color w:val="333333"/>
                <w:sz w:val="20"/>
                <w:szCs w:val="20"/>
              </w:rPr>
              <w:t>2.5</w:t>
            </w:r>
            <w:r w:rsidR="00E00EC1">
              <w:rPr>
                <w:b/>
                <w:bCs/>
                <w:color w:val="333333"/>
                <w:sz w:val="20"/>
                <w:szCs w:val="20"/>
              </w:rPr>
              <w:t>50.293,87</w:t>
            </w:r>
          </w:p>
        </w:tc>
        <w:tc>
          <w:tcPr>
            <w:tcW w:w="1100" w:type="dxa"/>
            <w:tcBorders>
              <w:top w:val="nil"/>
              <w:left w:val="nil"/>
              <w:bottom w:val="nil"/>
              <w:right w:val="nil"/>
            </w:tcBorders>
            <w:shd w:val="clear" w:color="auto" w:fill="auto"/>
            <w:noWrap/>
            <w:vAlign w:val="bottom"/>
            <w:hideMark/>
          </w:tcPr>
          <w:p w14:paraId="3FDF2334" w14:textId="332B748E" w:rsidR="00BE6461" w:rsidRPr="00BE6461" w:rsidRDefault="00BE6461" w:rsidP="00BE6461">
            <w:pPr>
              <w:jc w:val="right"/>
              <w:rPr>
                <w:b/>
                <w:bCs/>
                <w:color w:val="333333"/>
                <w:sz w:val="20"/>
                <w:szCs w:val="20"/>
              </w:rPr>
            </w:pPr>
            <w:r w:rsidRPr="00BE6461">
              <w:rPr>
                <w:b/>
                <w:bCs/>
                <w:color w:val="333333"/>
                <w:sz w:val="20"/>
                <w:szCs w:val="20"/>
              </w:rPr>
              <w:t>9</w:t>
            </w:r>
            <w:r w:rsidR="00E00EC1">
              <w:rPr>
                <w:b/>
                <w:bCs/>
                <w:color w:val="333333"/>
                <w:sz w:val="20"/>
                <w:szCs w:val="20"/>
              </w:rPr>
              <w:t>7,06</w:t>
            </w:r>
          </w:p>
        </w:tc>
      </w:tr>
      <w:tr w:rsidR="00BE6461" w:rsidRPr="00BE6461" w14:paraId="2F80235A"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26E8215"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64811BF2" w14:textId="77777777" w:rsidR="00BE6461" w:rsidRPr="00BE6461" w:rsidRDefault="00BE6461" w:rsidP="00BE6461">
            <w:pPr>
              <w:jc w:val="right"/>
              <w:rPr>
                <w:b/>
                <w:bCs/>
                <w:color w:val="333333"/>
                <w:sz w:val="20"/>
                <w:szCs w:val="20"/>
              </w:rPr>
            </w:pPr>
            <w:r w:rsidRPr="00BE6461">
              <w:rPr>
                <w:b/>
                <w:bCs/>
                <w:color w:val="333333"/>
                <w:sz w:val="20"/>
                <w:szCs w:val="20"/>
              </w:rPr>
              <w:t>2.627.623,85</w:t>
            </w:r>
          </w:p>
        </w:tc>
        <w:tc>
          <w:tcPr>
            <w:tcW w:w="1500" w:type="dxa"/>
            <w:tcBorders>
              <w:top w:val="nil"/>
              <w:left w:val="nil"/>
              <w:bottom w:val="nil"/>
              <w:right w:val="nil"/>
            </w:tcBorders>
            <w:shd w:val="clear" w:color="auto" w:fill="auto"/>
            <w:noWrap/>
            <w:vAlign w:val="bottom"/>
            <w:hideMark/>
          </w:tcPr>
          <w:p w14:paraId="4819F539" w14:textId="4F4C31CE" w:rsidR="00BE6461" w:rsidRPr="00BE6461" w:rsidRDefault="00BE6461" w:rsidP="00BE6461">
            <w:pPr>
              <w:jc w:val="right"/>
              <w:rPr>
                <w:b/>
                <w:bCs/>
                <w:color w:val="333333"/>
                <w:sz w:val="20"/>
                <w:szCs w:val="20"/>
              </w:rPr>
            </w:pPr>
            <w:r w:rsidRPr="00BE6461">
              <w:rPr>
                <w:b/>
                <w:bCs/>
                <w:color w:val="333333"/>
                <w:sz w:val="20"/>
                <w:szCs w:val="20"/>
              </w:rPr>
              <w:t>2.5</w:t>
            </w:r>
            <w:r w:rsidR="00E00EC1">
              <w:rPr>
                <w:b/>
                <w:bCs/>
                <w:color w:val="333333"/>
                <w:sz w:val="20"/>
                <w:szCs w:val="20"/>
              </w:rPr>
              <w:t>50.293,87</w:t>
            </w:r>
          </w:p>
        </w:tc>
        <w:tc>
          <w:tcPr>
            <w:tcW w:w="1100" w:type="dxa"/>
            <w:tcBorders>
              <w:top w:val="nil"/>
              <w:left w:val="nil"/>
              <w:bottom w:val="nil"/>
              <w:right w:val="nil"/>
            </w:tcBorders>
            <w:shd w:val="clear" w:color="auto" w:fill="auto"/>
            <w:noWrap/>
            <w:vAlign w:val="bottom"/>
            <w:hideMark/>
          </w:tcPr>
          <w:p w14:paraId="26E1622D" w14:textId="45AAEC45" w:rsidR="00BE6461" w:rsidRPr="00BE6461" w:rsidRDefault="00BE6461" w:rsidP="00BE6461">
            <w:pPr>
              <w:jc w:val="right"/>
              <w:rPr>
                <w:b/>
                <w:bCs/>
                <w:color w:val="333333"/>
                <w:sz w:val="20"/>
                <w:szCs w:val="20"/>
              </w:rPr>
            </w:pPr>
            <w:r w:rsidRPr="00BE6461">
              <w:rPr>
                <w:b/>
                <w:bCs/>
                <w:color w:val="333333"/>
                <w:sz w:val="20"/>
                <w:szCs w:val="20"/>
              </w:rPr>
              <w:t>9</w:t>
            </w:r>
            <w:r w:rsidR="00E00EC1">
              <w:rPr>
                <w:b/>
                <w:bCs/>
                <w:color w:val="333333"/>
                <w:sz w:val="20"/>
                <w:szCs w:val="20"/>
              </w:rPr>
              <w:t>7,06</w:t>
            </w:r>
          </w:p>
        </w:tc>
      </w:tr>
      <w:tr w:rsidR="00BE6461" w:rsidRPr="00BE6461" w14:paraId="496DEC0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1D906B7"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5DE37E35" w14:textId="77777777" w:rsidR="00BE6461" w:rsidRPr="00BE6461" w:rsidRDefault="00BE6461" w:rsidP="00BE6461">
            <w:pPr>
              <w:jc w:val="right"/>
              <w:rPr>
                <w:b/>
                <w:bCs/>
                <w:color w:val="333333"/>
                <w:sz w:val="20"/>
                <w:szCs w:val="20"/>
              </w:rPr>
            </w:pPr>
            <w:r w:rsidRPr="00BE6461">
              <w:rPr>
                <w:b/>
                <w:bCs/>
                <w:color w:val="333333"/>
                <w:sz w:val="20"/>
                <w:szCs w:val="20"/>
              </w:rPr>
              <w:t>13.680.917,25</w:t>
            </w:r>
          </w:p>
        </w:tc>
        <w:tc>
          <w:tcPr>
            <w:tcW w:w="1500" w:type="dxa"/>
            <w:tcBorders>
              <w:top w:val="nil"/>
              <w:left w:val="nil"/>
              <w:bottom w:val="nil"/>
              <w:right w:val="nil"/>
            </w:tcBorders>
            <w:shd w:val="clear" w:color="auto" w:fill="auto"/>
            <w:noWrap/>
            <w:vAlign w:val="bottom"/>
            <w:hideMark/>
          </w:tcPr>
          <w:p w14:paraId="7B6DAE63" w14:textId="72DE7270" w:rsidR="00BE6461" w:rsidRPr="00BE6461" w:rsidRDefault="00BE6461" w:rsidP="00BE6461">
            <w:pPr>
              <w:jc w:val="right"/>
              <w:rPr>
                <w:b/>
                <w:bCs/>
                <w:color w:val="333333"/>
                <w:sz w:val="20"/>
                <w:szCs w:val="20"/>
              </w:rPr>
            </w:pPr>
            <w:r w:rsidRPr="00BE6461">
              <w:rPr>
                <w:b/>
                <w:bCs/>
                <w:color w:val="333333"/>
                <w:sz w:val="20"/>
                <w:szCs w:val="20"/>
              </w:rPr>
              <w:t>12.66</w:t>
            </w:r>
            <w:r w:rsidR="00E00EC1">
              <w:rPr>
                <w:b/>
                <w:bCs/>
                <w:color w:val="333333"/>
                <w:sz w:val="20"/>
                <w:szCs w:val="20"/>
              </w:rPr>
              <w:t>1.484,98</w:t>
            </w:r>
          </w:p>
        </w:tc>
        <w:tc>
          <w:tcPr>
            <w:tcW w:w="1100" w:type="dxa"/>
            <w:tcBorders>
              <w:top w:val="nil"/>
              <w:left w:val="nil"/>
              <w:bottom w:val="nil"/>
              <w:right w:val="nil"/>
            </w:tcBorders>
            <w:shd w:val="clear" w:color="auto" w:fill="auto"/>
            <w:noWrap/>
            <w:vAlign w:val="bottom"/>
            <w:hideMark/>
          </w:tcPr>
          <w:p w14:paraId="39C804D3" w14:textId="6EE93558" w:rsidR="00BE6461" w:rsidRPr="00BE6461" w:rsidRDefault="00BE6461" w:rsidP="00BE6461">
            <w:pPr>
              <w:jc w:val="right"/>
              <w:rPr>
                <w:b/>
                <w:bCs/>
                <w:color w:val="333333"/>
                <w:sz w:val="20"/>
                <w:szCs w:val="20"/>
              </w:rPr>
            </w:pPr>
            <w:r w:rsidRPr="00BE6461">
              <w:rPr>
                <w:b/>
                <w:bCs/>
                <w:color w:val="333333"/>
                <w:sz w:val="20"/>
                <w:szCs w:val="20"/>
              </w:rPr>
              <w:t>92,</w:t>
            </w:r>
            <w:r w:rsidR="00E00EC1">
              <w:rPr>
                <w:b/>
                <w:bCs/>
                <w:color w:val="333333"/>
                <w:sz w:val="20"/>
                <w:szCs w:val="20"/>
              </w:rPr>
              <w:t>55</w:t>
            </w:r>
          </w:p>
        </w:tc>
      </w:tr>
      <w:tr w:rsidR="00BE6461" w:rsidRPr="00BE6461" w14:paraId="1B109BF5"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9053039" w14:textId="77777777" w:rsidR="00BE6461" w:rsidRPr="00BE6461" w:rsidRDefault="00BE6461" w:rsidP="00BE6461">
            <w:pPr>
              <w:rPr>
                <w:b/>
                <w:bCs/>
                <w:color w:val="333333"/>
                <w:sz w:val="20"/>
                <w:szCs w:val="20"/>
              </w:rPr>
            </w:pPr>
            <w:r w:rsidRPr="00BE6461">
              <w:rPr>
                <w:b/>
                <w:bCs/>
                <w:color w:val="333333"/>
                <w:sz w:val="20"/>
                <w:szCs w:val="20"/>
              </w:rPr>
              <w:t>Izvor 4.1. PRIHODI POSEBNE NAMJENE - KOMUNALNA NAKNADA</w:t>
            </w:r>
          </w:p>
        </w:tc>
        <w:tc>
          <w:tcPr>
            <w:tcW w:w="1503" w:type="dxa"/>
            <w:tcBorders>
              <w:top w:val="nil"/>
              <w:left w:val="nil"/>
              <w:bottom w:val="nil"/>
              <w:right w:val="nil"/>
            </w:tcBorders>
            <w:shd w:val="clear" w:color="auto" w:fill="auto"/>
            <w:noWrap/>
            <w:vAlign w:val="bottom"/>
            <w:hideMark/>
          </w:tcPr>
          <w:p w14:paraId="7717C675" w14:textId="77777777" w:rsidR="00BE6461" w:rsidRPr="00BE6461" w:rsidRDefault="00BE6461" w:rsidP="00BE6461">
            <w:pPr>
              <w:jc w:val="right"/>
              <w:rPr>
                <w:b/>
                <w:bCs/>
                <w:color w:val="333333"/>
                <w:sz w:val="20"/>
                <w:szCs w:val="20"/>
              </w:rPr>
            </w:pPr>
            <w:r w:rsidRPr="00BE6461">
              <w:rPr>
                <w:b/>
                <w:bCs/>
                <w:color w:val="333333"/>
                <w:sz w:val="20"/>
                <w:szCs w:val="20"/>
              </w:rPr>
              <w:t>7.727.338,36</w:t>
            </w:r>
          </w:p>
        </w:tc>
        <w:tc>
          <w:tcPr>
            <w:tcW w:w="1500" w:type="dxa"/>
            <w:tcBorders>
              <w:top w:val="nil"/>
              <w:left w:val="nil"/>
              <w:bottom w:val="nil"/>
              <w:right w:val="nil"/>
            </w:tcBorders>
            <w:shd w:val="clear" w:color="auto" w:fill="auto"/>
            <w:noWrap/>
            <w:vAlign w:val="bottom"/>
            <w:hideMark/>
          </w:tcPr>
          <w:p w14:paraId="662568D8" w14:textId="77777777" w:rsidR="00BE6461" w:rsidRPr="00BE6461" w:rsidRDefault="00BE6461" w:rsidP="00BE6461">
            <w:pPr>
              <w:jc w:val="right"/>
              <w:rPr>
                <w:b/>
                <w:bCs/>
                <w:color w:val="333333"/>
                <w:sz w:val="20"/>
                <w:szCs w:val="20"/>
              </w:rPr>
            </w:pPr>
            <w:r w:rsidRPr="00BE6461">
              <w:rPr>
                <w:b/>
                <w:bCs/>
                <w:color w:val="333333"/>
                <w:sz w:val="20"/>
                <w:szCs w:val="20"/>
              </w:rPr>
              <w:t>7.204.004,23</w:t>
            </w:r>
          </w:p>
        </w:tc>
        <w:tc>
          <w:tcPr>
            <w:tcW w:w="1100" w:type="dxa"/>
            <w:tcBorders>
              <w:top w:val="nil"/>
              <w:left w:val="nil"/>
              <w:bottom w:val="nil"/>
              <w:right w:val="nil"/>
            </w:tcBorders>
            <w:shd w:val="clear" w:color="auto" w:fill="auto"/>
            <w:noWrap/>
            <w:vAlign w:val="bottom"/>
            <w:hideMark/>
          </w:tcPr>
          <w:p w14:paraId="44340780" w14:textId="77777777" w:rsidR="00BE6461" w:rsidRPr="00BE6461" w:rsidRDefault="00BE6461" w:rsidP="00BE6461">
            <w:pPr>
              <w:jc w:val="right"/>
              <w:rPr>
                <w:b/>
                <w:bCs/>
                <w:color w:val="333333"/>
                <w:sz w:val="20"/>
                <w:szCs w:val="20"/>
              </w:rPr>
            </w:pPr>
            <w:r w:rsidRPr="00BE6461">
              <w:rPr>
                <w:b/>
                <w:bCs/>
                <w:color w:val="333333"/>
                <w:sz w:val="20"/>
                <w:szCs w:val="20"/>
              </w:rPr>
              <w:t>93,23</w:t>
            </w:r>
          </w:p>
        </w:tc>
      </w:tr>
      <w:tr w:rsidR="00BE6461" w:rsidRPr="00BE6461" w14:paraId="59FD2EA8"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73BD367" w14:textId="77777777" w:rsidR="00BE6461" w:rsidRPr="00BE6461" w:rsidRDefault="00BE6461" w:rsidP="00BE6461">
            <w:pPr>
              <w:rPr>
                <w:b/>
                <w:bCs/>
                <w:color w:val="333333"/>
                <w:sz w:val="20"/>
                <w:szCs w:val="20"/>
              </w:rPr>
            </w:pPr>
            <w:r w:rsidRPr="00BE6461">
              <w:rPr>
                <w:b/>
                <w:bCs/>
                <w:color w:val="333333"/>
                <w:sz w:val="20"/>
                <w:szCs w:val="20"/>
              </w:rPr>
              <w:t>Izvor 4.2. PRIHODI POSEBNE NAMJENE - KOMUNALNI DOPRINOS</w:t>
            </w:r>
          </w:p>
        </w:tc>
        <w:tc>
          <w:tcPr>
            <w:tcW w:w="1503" w:type="dxa"/>
            <w:tcBorders>
              <w:top w:val="nil"/>
              <w:left w:val="nil"/>
              <w:bottom w:val="nil"/>
              <w:right w:val="nil"/>
            </w:tcBorders>
            <w:shd w:val="clear" w:color="auto" w:fill="auto"/>
            <w:noWrap/>
            <w:vAlign w:val="bottom"/>
            <w:hideMark/>
          </w:tcPr>
          <w:p w14:paraId="7D2A089B" w14:textId="77777777" w:rsidR="00BE6461" w:rsidRPr="00BE6461" w:rsidRDefault="00BE6461" w:rsidP="00BE6461">
            <w:pPr>
              <w:jc w:val="right"/>
              <w:rPr>
                <w:b/>
                <w:bCs/>
                <w:color w:val="333333"/>
                <w:sz w:val="20"/>
                <w:szCs w:val="20"/>
              </w:rPr>
            </w:pPr>
            <w:r w:rsidRPr="00BE6461">
              <w:rPr>
                <w:b/>
                <w:bCs/>
                <w:color w:val="333333"/>
                <w:sz w:val="20"/>
                <w:szCs w:val="20"/>
              </w:rPr>
              <w:t>4.273.944,66</w:t>
            </w:r>
          </w:p>
        </w:tc>
        <w:tc>
          <w:tcPr>
            <w:tcW w:w="1500" w:type="dxa"/>
            <w:tcBorders>
              <w:top w:val="nil"/>
              <w:left w:val="nil"/>
              <w:bottom w:val="nil"/>
              <w:right w:val="nil"/>
            </w:tcBorders>
            <w:shd w:val="clear" w:color="auto" w:fill="auto"/>
            <w:noWrap/>
            <w:vAlign w:val="bottom"/>
            <w:hideMark/>
          </w:tcPr>
          <w:p w14:paraId="50991B9E" w14:textId="77777777" w:rsidR="00BE6461" w:rsidRPr="00BE6461" w:rsidRDefault="00BE6461" w:rsidP="00BE6461">
            <w:pPr>
              <w:jc w:val="right"/>
              <w:rPr>
                <w:b/>
                <w:bCs/>
                <w:color w:val="333333"/>
                <w:sz w:val="20"/>
                <w:szCs w:val="20"/>
              </w:rPr>
            </w:pPr>
            <w:r w:rsidRPr="00BE6461">
              <w:rPr>
                <w:b/>
                <w:bCs/>
                <w:color w:val="333333"/>
                <w:sz w:val="20"/>
                <w:szCs w:val="20"/>
              </w:rPr>
              <w:t>3.902.655,15</w:t>
            </w:r>
          </w:p>
        </w:tc>
        <w:tc>
          <w:tcPr>
            <w:tcW w:w="1100" w:type="dxa"/>
            <w:tcBorders>
              <w:top w:val="nil"/>
              <w:left w:val="nil"/>
              <w:bottom w:val="nil"/>
              <w:right w:val="nil"/>
            </w:tcBorders>
            <w:shd w:val="clear" w:color="auto" w:fill="auto"/>
            <w:noWrap/>
            <w:vAlign w:val="bottom"/>
            <w:hideMark/>
          </w:tcPr>
          <w:p w14:paraId="1CC5593D" w14:textId="77777777" w:rsidR="00BE6461" w:rsidRPr="00BE6461" w:rsidRDefault="00BE6461" w:rsidP="00BE6461">
            <w:pPr>
              <w:jc w:val="right"/>
              <w:rPr>
                <w:b/>
                <w:bCs/>
                <w:color w:val="333333"/>
                <w:sz w:val="20"/>
                <w:szCs w:val="20"/>
              </w:rPr>
            </w:pPr>
            <w:r w:rsidRPr="00BE6461">
              <w:rPr>
                <w:b/>
                <w:bCs/>
                <w:color w:val="333333"/>
                <w:sz w:val="20"/>
                <w:szCs w:val="20"/>
              </w:rPr>
              <w:t>91,31</w:t>
            </w:r>
          </w:p>
        </w:tc>
      </w:tr>
      <w:tr w:rsidR="00BE6461" w:rsidRPr="00BE6461" w14:paraId="76190A6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0F3D765" w14:textId="77777777" w:rsidR="00BE6461" w:rsidRPr="00BE6461" w:rsidRDefault="00BE6461" w:rsidP="00BE6461">
            <w:pPr>
              <w:rPr>
                <w:b/>
                <w:bCs/>
                <w:color w:val="333333"/>
                <w:sz w:val="20"/>
                <w:szCs w:val="20"/>
              </w:rPr>
            </w:pPr>
            <w:r w:rsidRPr="00BE6461">
              <w:rPr>
                <w:b/>
                <w:bCs/>
                <w:color w:val="333333"/>
                <w:sz w:val="20"/>
                <w:szCs w:val="20"/>
              </w:rPr>
              <w:t>Izvor 4.3. PRIHODI POSEBNE NAMJENE - BORAVIŠNE PRISTOJBE</w:t>
            </w:r>
          </w:p>
        </w:tc>
        <w:tc>
          <w:tcPr>
            <w:tcW w:w="1503" w:type="dxa"/>
            <w:tcBorders>
              <w:top w:val="nil"/>
              <w:left w:val="nil"/>
              <w:bottom w:val="nil"/>
              <w:right w:val="nil"/>
            </w:tcBorders>
            <w:shd w:val="clear" w:color="auto" w:fill="auto"/>
            <w:noWrap/>
            <w:vAlign w:val="bottom"/>
            <w:hideMark/>
          </w:tcPr>
          <w:p w14:paraId="059B1AE8" w14:textId="77777777" w:rsidR="00BE6461" w:rsidRPr="00BE6461" w:rsidRDefault="00BE6461" w:rsidP="00BE6461">
            <w:pPr>
              <w:jc w:val="right"/>
              <w:rPr>
                <w:b/>
                <w:bCs/>
                <w:color w:val="333333"/>
                <w:sz w:val="20"/>
                <w:szCs w:val="20"/>
              </w:rPr>
            </w:pPr>
            <w:r w:rsidRPr="00BE6461">
              <w:rPr>
                <w:b/>
                <w:bCs/>
                <w:color w:val="333333"/>
                <w:sz w:val="20"/>
                <w:szCs w:val="20"/>
              </w:rPr>
              <w:t>197.056,25</w:t>
            </w:r>
          </w:p>
        </w:tc>
        <w:tc>
          <w:tcPr>
            <w:tcW w:w="1500" w:type="dxa"/>
            <w:tcBorders>
              <w:top w:val="nil"/>
              <w:left w:val="nil"/>
              <w:bottom w:val="nil"/>
              <w:right w:val="nil"/>
            </w:tcBorders>
            <w:shd w:val="clear" w:color="auto" w:fill="auto"/>
            <w:noWrap/>
            <w:vAlign w:val="bottom"/>
            <w:hideMark/>
          </w:tcPr>
          <w:p w14:paraId="2A63E843" w14:textId="77777777" w:rsidR="00BE6461" w:rsidRPr="00BE6461" w:rsidRDefault="00BE6461" w:rsidP="00BE6461">
            <w:pPr>
              <w:jc w:val="right"/>
              <w:rPr>
                <w:b/>
                <w:bCs/>
                <w:color w:val="333333"/>
                <w:sz w:val="20"/>
                <w:szCs w:val="20"/>
              </w:rPr>
            </w:pPr>
            <w:r w:rsidRPr="00BE6461">
              <w:rPr>
                <w:b/>
                <w:bCs/>
                <w:color w:val="333333"/>
                <w:sz w:val="20"/>
                <w:szCs w:val="20"/>
              </w:rPr>
              <w:t>197.081,25</w:t>
            </w:r>
          </w:p>
        </w:tc>
        <w:tc>
          <w:tcPr>
            <w:tcW w:w="1100" w:type="dxa"/>
            <w:tcBorders>
              <w:top w:val="nil"/>
              <w:left w:val="nil"/>
              <w:bottom w:val="nil"/>
              <w:right w:val="nil"/>
            </w:tcBorders>
            <w:shd w:val="clear" w:color="auto" w:fill="auto"/>
            <w:noWrap/>
            <w:vAlign w:val="bottom"/>
            <w:hideMark/>
          </w:tcPr>
          <w:p w14:paraId="55D20BBC" w14:textId="77777777" w:rsidR="00BE6461" w:rsidRPr="00BE6461" w:rsidRDefault="00BE6461" w:rsidP="00BE6461">
            <w:pPr>
              <w:jc w:val="right"/>
              <w:rPr>
                <w:b/>
                <w:bCs/>
                <w:color w:val="333333"/>
                <w:sz w:val="20"/>
                <w:szCs w:val="20"/>
              </w:rPr>
            </w:pPr>
            <w:r w:rsidRPr="00BE6461">
              <w:rPr>
                <w:b/>
                <w:bCs/>
                <w:color w:val="333333"/>
                <w:sz w:val="20"/>
                <w:szCs w:val="20"/>
              </w:rPr>
              <w:t>100,01</w:t>
            </w:r>
          </w:p>
        </w:tc>
      </w:tr>
      <w:tr w:rsidR="00BE6461" w:rsidRPr="00BE6461" w14:paraId="3F0BB5EF"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9B01856" w14:textId="77777777" w:rsidR="00BE6461" w:rsidRPr="00BE6461" w:rsidRDefault="00BE6461" w:rsidP="00BE6461">
            <w:pPr>
              <w:rPr>
                <w:b/>
                <w:bCs/>
                <w:color w:val="333333"/>
                <w:sz w:val="20"/>
                <w:szCs w:val="20"/>
              </w:rPr>
            </w:pPr>
            <w:r w:rsidRPr="00BE6461">
              <w:rPr>
                <w:b/>
                <w:bCs/>
                <w:color w:val="333333"/>
                <w:sz w:val="20"/>
                <w:szCs w:val="20"/>
              </w:rPr>
              <w:t>Izvor 4.4. PRIHODI POSEBNE NAMJENE - SPOMENIČKA RENTA</w:t>
            </w:r>
          </w:p>
        </w:tc>
        <w:tc>
          <w:tcPr>
            <w:tcW w:w="1503" w:type="dxa"/>
            <w:tcBorders>
              <w:top w:val="nil"/>
              <w:left w:val="nil"/>
              <w:bottom w:val="nil"/>
              <w:right w:val="nil"/>
            </w:tcBorders>
            <w:shd w:val="clear" w:color="auto" w:fill="auto"/>
            <w:noWrap/>
            <w:vAlign w:val="bottom"/>
            <w:hideMark/>
          </w:tcPr>
          <w:p w14:paraId="33A260B4" w14:textId="77777777" w:rsidR="00BE6461" w:rsidRPr="00BE6461" w:rsidRDefault="00BE6461" w:rsidP="00BE6461">
            <w:pPr>
              <w:jc w:val="right"/>
              <w:rPr>
                <w:b/>
                <w:bCs/>
                <w:color w:val="333333"/>
                <w:sz w:val="20"/>
                <w:szCs w:val="20"/>
              </w:rPr>
            </w:pPr>
            <w:r w:rsidRPr="00BE6461">
              <w:rPr>
                <w:b/>
                <w:bCs/>
                <w:color w:val="333333"/>
                <w:sz w:val="20"/>
                <w:szCs w:val="20"/>
              </w:rPr>
              <w:t>90.000,00</w:t>
            </w:r>
          </w:p>
        </w:tc>
        <w:tc>
          <w:tcPr>
            <w:tcW w:w="1500" w:type="dxa"/>
            <w:tcBorders>
              <w:top w:val="nil"/>
              <w:left w:val="nil"/>
              <w:bottom w:val="nil"/>
              <w:right w:val="nil"/>
            </w:tcBorders>
            <w:shd w:val="clear" w:color="auto" w:fill="auto"/>
            <w:noWrap/>
            <w:vAlign w:val="bottom"/>
            <w:hideMark/>
          </w:tcPr>
          <w:p w14:paraId="77649B79" w14:textId="77777777" w:rsidR="00BE6461" w:rsidRPr="00BE6461" w:rsidRDefault="00BE6461" w:rsidP="00BE6461">
            <w:pPr>
              <w:jc w:val="right"/>
              <w:rPr>
                <w:b/>
                <w:bCs/>
                <w:color w:val="333333"/>
                <w:sz w:val="20"/>
                <w:szCs w:val="20"/>
              </w:rPr>
            </w:pPr>
            <w:r w:rsidRPr="00BE6461">
              <w:rPr>
                <w:b/>
                <w:bCs/>
                <w:color w:val="333333"/>
                <w:sz w:val="20"/>
                <w:szCs w:val="20"/>
              </w:rPr>
              <w:t>90.331,25</w:t>
            </w:r>
          </w:p>
        </w:tc>
        <w:tc>
          <w:tcPr>
            <w:tcW w:w="1100" w:type="dxa"/>
            <w:tcBorders>
              <w:top w:val="nil"/>
              <w:left w:val="nil"/>
              <w:bottom w:val="nil"/>
              <w:right w:val="nil"/>
            </w:tcBorders>
            <w:shd w:val="clear" w:color="auto" w:fill="auto"/>
            <w:noWrap/>
            <w:vAlign w:val="bottom"/>
            <w:hideMark/>
          </w:tcPr>
          <w:p w14:paraId="69AD7919" w14:textId="77777777" w:rsidR="00BE6461" w:rsidRPr="00BE6461" w:rsidRDefault="00BE6461" w:rsidP="00BE6461">
            <w:pPr>
              <w:jc w:val="right"/>
              <w:rPr>
                <w:b/>
                <w:bCs/>
                <w:color w:val="333333"/>
                <w:sz w:val="20"/>
                <w:szCs w:val="20"/>
              </w:rPr>
            </w:pPr>
            <w:r w:rsidRPr="00BE6461">
              <w:rPr>
                <w:b/>
                <w:bCs/>
                <w:color w:val="333333"/>
                <w:sz w:val="20"/>
                <w:szCs w:val="20"/>
              </w:rPr>
              <w:t>100,37</w:t>
            </w:r>
          </w:p>
        </w:tc>
      </w:tr>
      <w:tr w:rsidR="00BE6461" w:rsidRPr="00BE6461" w14:paraId="1EFF3888"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F4F6359" w14:textId="77777777" w:rsidR="00BE6461" w:rsidRPr="00BE6461" w:rsidRDefault="00BE6461" w:rsidP="00BE6461">
            <w:pPr>
              <w:rPr>
                <w:b/>
                <w:bCs/>
                <w:color w:val="333333"/>
                <w:sz w:val="20"/>
                <w:szCs w:val="20"/>
              </w:rPr>
            </w:pPr>
            <w:r w:rsidRPr="00BE6461">
              <w:rPr>
                <w:b/>
                <w:bCs/>
                <w:color w:val="333333"/>
                <w:sz w:val="20"/>
                <w:szCs w:val="20"/>
              </w:rPr>
              <w:t>Izvor 4.5. PRIHODI POSEBNE NAMJENE - POLJOPRIVREDNO ZEMLJIŠTE RH</w:t>
            </w:r>
          </w:p>
        </w:tc>
        <w:tc>
          <w:tcPr>
            <w:tcW w:w="1503" w:type="dxa"/>
            <w:tcBorders>
              <w:top w:val="nil"/>
              <w:left w:val="nil"/>
              <w:bottom w:val="nil"/>
              <w:right w:val="nil"/>
            </w:tcBorders>
            <w:shd w:val="clear" w:color="auto" w:fill="auto"/>
            <w:noWrap/>
            <w:vAlign w:val="bottom"/>
            <w:hideMark/>
          </w:tcPr>
          <w:p w14:paraId="63A318C8" w14:textId="77777777" w:rsidR="00BE6461" w:rsidRPr="00BE6461" w:rsidRDefault="00BE6461" w:rsidP="00BE6461">
            <w:pPr>
              <w:jc w:val="right"/>
              <w:rPr>
                <w:b/>
                <w:bCs/>
                <w:color w:val="333333"/>
                <w:sz w:val="20"/>
                <w:szCs w:val="20"/>
              </w:rPr>
            </w:pPr>
            <w:r w:rsidRPr="00BE6461">
              <w:rPr>
                <w:b/>
                <w:bCs/>
                <w:color w:val="333333"/>
                <w:sz w:val="20"/>
                <w:szCs w:val="20"/>
              </w:rPr>
              <w:t>60.000,00</w:t>
            </w:r>
          </w:p>
        </w:tc>
        <w:tc>
          <w:tcPr>
            <w:tcW w:w="1500" w:type="dxa"/>
            <w:tcBorders>
              <w:top w:val="nil"/>
              <w:left w:val="nil"/>
              <w:bottom w:val="nil"/>
              <w:right w:val="nil"/>
            </w:tcBorders>
            <w:shd w:val="clear" w:color="auto" w:fill="auto"/>
            <w:noWrap/>
            <w:vAlign w:val="bottom"/>
            <w:hideMark/>
          </w:tcPr>
          <w:p w14:paraId="02FAAD7E" w14:textId="77777777" w:rsidR="00BE6461" w:rsidRPr="00BE6461" w:rsidRDefault="00BE6461" w:rsidP="00BE6461">
            <w:pPr>
              <w:jc w:val="right"/>
              <w:rPr>
                <w:b/>
                <w:bCs/>
                <w:color w:val="333333"/>
                <w:sz w:val="20"/>
                <w:szCs w:val="20"/>
              </w:rPr>
            </w:pPr>
            <w:r w:rsidRPr="00BE6461">
              <w:rPr>
                <w:b/>
                <w:bCs/>
                <w:color w:val="333333"/>
                <w:sz w:val="20"/>
                <w:szCs w:val="20"/>
              </w:rPr>
              <w:t>143.093,75</w:t>
            </w:r>
          </w:p>
        </w:tc>
        <w:tc>
          <w:tcPr>
            <w:tcW w:w="1100" w:type="dxa"/>
            <w:tcBorders>
              <w:top w:val="nil"/>
              <w:left w:val="nil"/>
              <w:bottom w:val="nil"/>
              <w:right w:val="nil"/>
            </w:tcBorders>
            <w:shd w:val="clear" w:color="auto" w:fill="auto"/>
            <w:noWrap/>
            <w:vAlign w:val="bottom"/>
            <w:hideMark/>
          </w:tcPr>
          <w:p w14:paraId="65DE5F69" w14:textId="77777777" w:rsidR="00BE6461" w:rsidRPr="00BE6461" w:rsidRDefault="00BE6461" w:rsidP="00BE6461">
            <w:pPr>
              <w:jc w:val="right"/>
              <w:rPr>
                <w:b/>
                <w:bCs/>
                <w:color w:val="333333"/>
                <w:sz w:val="20"/>
                <w:szCs w:val="20"/>
              </w:rPr>
            </w:pPr>
            <w:r w:rsidRPr="00BE6461">
              <w:rPr>
                <w:b/>
                <w:bCs/>
                <w:color w:val="333333"/>
                <w:sz w:val="20"/>
                <w:szCs w:val="20"/>
              </w:rPr>
              <w:t>238,49</w:t>
            </w:r>
          </w:p>
        </w:tc>
      </w:tr>
      <w:tr w:rsidR="00BE6461" w:rsidRPr="00BE6461" w14:paraId="6035743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0288DC7" w14:textId="77777777" w:rsidR="00BE6461" w:rsidRPr="00BE6461" w:rsidRDefault="00BE6461" w:rsidP="00BE6461">
            <w:pPr>
              <w:rPr>
                <w:b/>
                <w:bCs/>
                <w:color w:val="333333"/>
                <w:sz w:val="20"/>
                <w:szCs w:val="20"/>
              </w:rPr>
            </w:pPr>
            <w:r w:rsidRPr="00BE6461">
              <w:rPr>
                <w:b/>
                <w:bCs/>
                <w:color w:val="333333"/>
                <w:sz w:val="20"/>
                <w:szCs w:val="20"/>
              </w:rPr>
              <w:t>Izvor 4.6. PRIHODI POSEBNE NAMJENE - OSTALI</w:t>
            </w:r>
          </w:p>
        </w:tc>
        <w:tc>
          <w:tcPr>
            <w:tcW w:w="1503" w:type="dxa"/>
            <w:tcBorders>
              <w:top w:val="nil"/>
              <w:left w:val="nil"/>
              <w:bottom w:val="nil"/>
              <w:right w:val="nil"/>
            </w:tcBorders>
            <w:shd w:val="clear" w:color="auto" w:fill="auto"/>
            <w:noWrap/>
            <w:vAlign w:val="bottom"/>
            <w:hideMark/>
          </w:tcPr>
          <w:p w14:paraId="6ED3D2FF" w14:textId="77777777" w:rsidR="00BE6461" w:rsidRPr="00BE6461" w:rsidRDefault="00BE6461" w:rsidP="00BE6461">
            <w:pPr>
              <w:jc w:val="right"/>
              <w:rPr>
                <w:b/>
                <w:bCs/>
                <w:color w:val="333333"/>
                <w:sz w:val="20"/>
                <w:szCs w:val="20"/>
              </w:rPr>
            </w:pPr>
            <w:r w:rsidRPr="00BE6461">
              <w:rPr>
                <w:b/>
                <w:bCs/>
                <w:color w:val="333333"/>
                <w:sz w:val="20"/>
                <w:szCs w:val="20"/>
              </w:rPr>
              <w:t>1.332.577,98</w:t>
            </w:r>
          </w:p>
        </w:tc>
        <w:tc>
          <w:tcPr>
            <w:tcW w:w="1500" w:type="dxa"/>
            <w:tcBorders>
              <w:top w:val="nil"/>
              <w:left w:val="nil"/>
              <w:bottom w:val="nil"/>
              <w:right w:val="nil"/>
            </w:tcBorders>
            <w:shd w:val="clear" w:color="auto" w:fill="auto"/>
            <w:noWrap/>
            <w:vAlign w:val="bottom"/>
            <w:hideMark/>
          </w:tcPr>
          <w:p w14:paraId="4F527A52" w14:textId="40C1AD42" w:rsidR="00BE6461" w:rsidRPr="00BE6461" w:rsidRDefault="00BE6461" w:rsidP="00BE6461">
            <w:pPr>
              <w:jc w:val="right"/>
              <w:rPr>
                <w:b/>
                <w:bCs/>
                <w:color w:val="333333"/>
                <w:sz w:val="20"/>
                <w:szCs w:val="20"/>
              </w:rPr>
            </w:pPr>
            <w:r w:rsidRPr="00BE6461">
              <w:rPr>
                <w:b/>
                <w:bCs/>
                <w:color w:val="333333"/>
                <w:sz w:val="20"/>
                <w:szCs w:val="20"/>
              </w:rPr>
              <w:t>1.1</w:t>
            </w:r>
            <w:r w:rsidR="00E00EC1">
              <w:rPr>
                <w:b/>
                <w:bCs/>
                <w:color w:val="333333"/>
                <w:sz w:val="20"/>
                <w:szCs w:val="20"/>
              </w:rPr>
              <w:t>24.319,35</w:t>
            </w:r>
          </w:p>
        </w:tc>
        <w:tc>
          <w:tcPr>
            <w:tcW w:w="1100" w:type="dxa"/>
            <w:tcBorders>
              <w:top w:val="nil"/>
              <w:left w:val="nil"/>
              <w:bottom w:val="nil"/>
              <w:right w:val="nil"/>
            </w:tcBorders>
            <w:shd w:val="clear" w:color="auto" w:fill="auto"/>
            <w:noWrap/>
            <w:vAlign w:val="bottom"/>
            <w:hideMark/>
          </w:tcPr>
          <w:p w14:paraId="2A2B7508" w14:textId="0B30A172" w:rsidR="00BE6461" w:rsidRPr="00BE6461" w:rsidRDefault="00BE6461" w:rsidP="00BE6461">
            <w:pPr>
              <w:jc w:val="right"/>
              <w:rPr>
                <w:b/>
                <w:bCs/>
                <w:color w:val="333333"/>
                <w:sz w:val="20"/>
                <w:szCs w:val="20"/>
              </w:rPr>
            </w:pPr>
            <w:r w:rsidRPr="00BE6461">
              <w:rPr>
                <w:b/>
                <w:bCs/>
                <w:color w:val="333333"/>
                <w:sz w:val="20"/>
                <w:szCs w:val="20"/>
              </w:rPr>
              <w:t>84,</w:t>
            </w:r>
            <w:r w:rsidR="00E00EC1">
              <w:rPr>
                <w:b/>
                <w:bCs/>
                <w:color w:val="333333"/>
                <w:sz w:val="20"/>
                <w:szCs w:val="20"/>
              </w:rPr>
              <w:t>37</w:t>
            </w:r>
          </w:p>
        </w:tc>
      </w:tr>
      <w:tr w:rsidR="00BE6461" w:rsidRPr="00BE6461" w14:paraId="29A36AD0"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DB77628" w14:textId="77777777" w:rsidR="00BE6461" w:rsidRPr="00BE6461" w:rsidRDefault="00BE6461" w:rsidP="00BE6461">
            <w:pPr>
              <w:rPr>
                <w:b/>
                <w:bCs/>
                <w:color w:val="333333"/>
                <w:sz w:val="20"/>
                <w:szCs w:val="20"/>
              </w:rPr>
            </w:pPr>
            <w:r w:rsidRPr="00BE6461">
              <w:rPr>
                <w:b/>
                <w:bCs/>
                <w:color w:val="333333"/>
                <w:sz w:val="20"/>
                <w:szCs w:val="20"/>
              </w:rPr>
              <w:t>Izvor 5. POMOĆI</w:t>
            </w:r>
          </w:p>
        </w:tc>
        <w:tc>
          <w:tcPr>
            <w:tcW w:w="1503" w:type="dxa"/>
            <w:tcBorders>
              <w:top w:val="nil"/>
              <w:left w:val="nil"/>
              <w:bottom w:val="nil"/>
              <w:right w:val="nil"/>
            </w:tcBorders>
            <w:shd w:val="clear" w:color="auto" w:fill="auto"/>
            <w:noWrap/>
            <w:vAlign w:val="bottom"/>
            <w:hideMark/>
          </w:tcPr>
          <w:p w14:paraId="023CCE20"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500" w:type="dxa"/>
            <w:tcBorders>
              <w:top w:val="nil"/>
              <w:left w:val="nil"/>
              <w:bottom w:val="nil"/>
              <w:right w:val="nil"/>
            </w:tcBorders>
            <w:shd w:val="clear" w:color="auto" w:fill="auto"/>
            <w:noWrap/>
            <w:vAlign w:val="bottom"/>
            <w:hideMark/>
          </w:tcPr>
          <w:p w14:paraId="71BC632F" w14:textId="77777777" w:rsidR="00BE6461" w:rsidRPr="00BE6461" w:rsidRDefault="00BE6461" w:rsidP="00BE6461">
            <w:pPr>
              <w:jc w:val="right"/>
              <w:rPr>
                <w:b/>
                <w:bCs/>
                <w:color w:val="333333"/>
                <w:sz w:val="20"/>
                <w:szCs w:val="20"/>
              </w:rPr>
            </w:pPr>
            <w:r w:rsidRPr="00BE6461">
              <w:rPr>
                <w:b/>
                <w:bCs/>
                <w:color w:val="333333"/>
                <w:sz w:val="20"/>
                <w:szCs w:val="20"/>
              </w:rPr>
              <w:t>212.736,62</w:t>
            </w:r>
          </w:p>
        </w:tc>
        <w:tc>
          <w:tcPr>
            <w:tcW w:w="1100" w:type="dxa"/>
            <w:tcBorders>
              <w:top w:val="nil"/>
              <w:left w:val="nil"/>
              <w:bottom w:val="nil"/>
              <w:right w:val="nil"/>
            </w:tcBorders>
            <w:shd w:val="clear" w:color="auto" w:fill="auto"/>
            <w:noWrap/>
            <w:vAlign w:val="bottom"/>
            <w:hideMark/>
          </w:tcPr>
          <w:p w14:paraId="6335FFCE"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2C7AF50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D457364" w14:textId="77777777" w:rsidR="00BE6461" w:rsidRPr="00BE6461" w:rsidRDefault="00BE6461" w:rsidP="00BE6461">
            <w:pPr>
              <w:rPr>
                <w:b/>
                <w:bCs/>
                <w:color w:val="333333"/>
                <w:sz w:val="20"/>
                <w:szCs w:val="20"/>
              </w:rPr>
            </w:pPr>
            <w:r w:rsidRPr="00BE6461">
              <w:rPr>
                <w:b/>
                <w:bCs/>
                <w:color w:val="333333"/>
                <w:sz w:val="20"/>
                <w:szCs w:val="20"/>
              </w:rPr>
              <w:t>Izvor 5.1. POMOĆI</w:t>
            </w:r>
          </w:p>
        </w:tc>
        <w:tc>
          <w:tcPr>
            <w:tcW w:w="1503" w:type="dxa"/>
            <w:tcBorders>
              <w:top w:val="nil"/>
              <w:left w:val="nil"/>
              <w:bottom w:val="nil"/>
              <w:right w:val="nil"/>
            </w:tcBorders>
            <w:shd w:val="clear" w:color="auto" w:fill="auto"/>
            <w:noWrap/>
            <w:vAlign w:val="bottom"/>
            <w:hideMark/>
          </w:tcPr>
          <w:p w14:paraId="6C68CE9E"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500" w:type="dxa"/>
            <w:tcBorders>
              <w:top w:val="nil"/>
              <w:left w:val="nil"/>
              <w:bottom w:val="nil"/>
              <w:right w:val="nil"/>
            </w:tcBorders>
            <w:shd w:val="clear" w:color="auto" w:fill="auto"/>
            <w:noWrap/>
            <w:vAlign w:val="bottom"/>
            <w:hideMark/>
          </w:tcPr>
          <w:p w14:paraId="0BCB7704" w14:textId="77777777" w:rsidR="00BE6461" w:rsidRPr="00BE6461" w:rsidRDefault="00BE6461" w:rsidP="00BE6461">
            <w:pPr>
              <w:jc w:val="right"/>
              <w:rPr>
                <w:b/>
                <w:bCs/>
                <w:color w:val="333333"/>
                <w:sz w:val="20"/>
                <w:szCs w:val="20"/>
              </w:rPr>
            </w:pPr>
            <w:r w:rsidRPr="00BE6461">
              <w:rPr>
                <w:b/>
                <w:bCs/>
                <w:color w:val="333333"/>
                <w:sz w:val="20"/>
                <w:szCs w:val="20"/>
              </w:rPr>
              <w:t>212.736,62</w:t>
            </w:r>
          </w:p>
        </w:tc>
        <w:tc>
          <w:tcPr>
            <w:tcW w:w="1100" w:type="dxa"/>
            <w:tcBorders>
              <w:top w:val="nil"/>
              <w:left w:val="nil"/>
              <w:bottom w:val="nil"/>
              <w:right w:val="nil"/>
            </w:tcBorders>
            <w:shd w:val="clear" w:color="auto" w:fill="auto"/>
            <w:noWrap/>
            <w:vAlign w:val="bottom"/>
            <w:hideMark/>
          </w:tcPr>
          <w:p w14:paraId="17A1926C"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4F0CA3F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416E570" w14:textId="77777777" w:rsidR="00BE6461" w:rsidRPr="00BE6461" w:rsidRDefault="00BE6461" w:rsidP="00BE6461">
            <w:pPr>
              <w:rPr>
                <w:b/>
                <w:bCs/>
                <w:color w:val="333333"/>
                <w:sz w:val="20"/>
                <w:szCs w:val="20"/>
              </w:rPr>
            </w:pPr>
            <w:r w:rsidRPr="00BE6461">
              <w:rPr>
                <w:b/>
                <w:bCs/>
                <w:color w:val="333333"/>
                <w:sz w:val="20"/>
                <w:szCs w:val="20"/>
              </w:rPr>
              <w:t>Izvor 7. PRIHODI OD NEFIN.IMOVINE I NADOKNADE ŠTETA OD OSIG.</w:t>
            </w:r>
          </w:p>
        </w:tc>
        <w:tc>
          <w:tcPr>
            <w:tcW w:w="1503" w:type="dxa"/>
            <w:tcBorders>
              <w:top w:val="nil"/>
              <w:left w:val="nil"/>
              <w:bottom w:val="nil"/>
              <w:right w:val="nil"/>
            </w:tcBorders>
            <w:shd w:val="clear" w:color="auto" w:fill="auto"/>
            <w:noWrap/>
            <w:vAlign w:val="bottom"/>
            <w:hideMark/>
          </w:tcPr>
          <w:p w14:paraId="7D6CAFA2" w14:textId="77777777" w:rsidR="00BE6461" w:rsidRPr="00BE6461" w:rsidRDefault="00BE6461" w:rsidP="00BE6461">
            <w:pPr>
              <w:jc w:val="right"/>
              <w:rPr>
                <w:b/>
                <w:bCs/>
                <w:color w:val="333333"/>
                <w:sz w:val="20"/>
                <w:szCs w:val="20"/>
              </w:rPr>
            </w:pPr>
            <w:r w:rsidRPr="00BE6461">
              <w:rPr>
                <w:b/>
                <w:bCs/>
                <w:color w:val="333333"/>
                <w:sz w:val="20"/>
                <w:szCs w:val="20"/>
              </w:rPr>
              <w:t>1.544.170,00</w:t>
            </w:r>
          </w:p>
        </w:tc>
        <w:tc>
          <w:tcPr>
            <w:tcW w:w="1500" w:type="dxa"/>
            <w:tcBorders>
              <w:top w:val="nil"/>
              <w:left w:val="nil"/>
              <w:bottom w:val="nil"/>
              <w:right w:val="nil"/>
            </w:tcBorders>
            <w:shd w:val="clear" w:color="auto" w:fill="auto"/>
            <w:noWrap/>
            <w:vAlign w:val="bottom"/>
            <w:hideMark/>
          </w:tcPr>
          <w:p w14:paraId="4D9AD1A9" w14:textId="77777777" w:rsidR="00BE6461" w:rsidRPr="00BE6461" w:rsidRDefault="00BE6461" w:rsidP="00BE6461">
            <w:pPr>
              <w:jc w:val="right"/>
              <w:rPr>
                <w:b/>
                <w:bCs/>
                <w:color w:val="333333"/>
                <w:sz w:val="20"/>
                <w:szCs w:val="20"/>
              </w:rPr>
            </w:pPr>
            <w:r w:rsidRPr="00BE6461">
              <w:rPr>
                <w:b/>
                <w:bCs/>
                <w:color w:val="333333"/>
                <w:sz w:val="20"/>
                <w:szCs w:val="20"/>
              </w:rPr>
              <w:t>1.222.012,59</w:t>
            </w:r>
          </w:p>
        </w:tc>
        <w:tc>
          <w:tcPr>
            <w:tcW w:w="1100" w:type="dxa"/>
            <w:tcBorders>
              <w:top w:val="nil"/>
              <w:left w:val="nil"/>
              <w:bottom w:val="nil"/>
              <w:right w:val="nil"/>
            </w:tcBorders>
            <w:shd w:val="clear" w:color="auto" w:fill="auto"/>
            <w:noWrap/>
            <w:vAlign w:val="bottom"/>
            <w:hideMark/>
          </w:tcPr>
          <w:p w14:paraId="476A2B51" w14:textId="77777777" w:rsidR="00BE6461" w:rsidRPr="00BE6461" w:rsidRDefault="00BE6461" w:rsidP="00BE6461">
            <w:pPr>
              <w:jc w:val="right"/>
              <w:rPr>
                <w:b/>
                <w:bCs/>
                <w:color w:val="333333"/>
                <w:sz w:val="20"/>
                <w:szCs w:val="20"/>
              </w:rPr>
            </w:pPr>
            <w:r w:rsidRPr="00BE6461">
              <w:rPr>
                <w:b/>
                <w:bCs/>
                <w:color w:val="333333"/>
                <w:sz w:val="20"/>
                <w:szCs w:val="20"/>
              </w:rPr>
              <w:t>79,14</w:t>
            </w:r>
          </w:p>
        </w:tc>
      </w:tr>
      <w:tr w:rsidR="00BE6461" w:rsidRPr="00BE6461" w14:paraId="6A2A5B3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2FBC10E" w14:textId="77777777" w:rsidR="00BE6461" w:rsidRPr="00BE6461" w:rsidRDefault="00BE6461" w:rsidP="00BE6461">
            <w:pPr>
              <w:rPr>
                <w:b/>
                <w:bCs/>
                <w:color w:val="333333"/>
                <w:sz w:val="20"/>
                <w:szCs w:val="20"/>
              </w:rPr>
            </w:pPr>
            <w:r w:rsidRPr="00BE6461">
              <w:rPr>
                <w:b/>
                <w:bCs/>
                <w:color w:val="333333"/>
                <w:sz w:val="20"/>
                <w:szCs w:val="20"/>
              </w:rPr>
              <w:t>Izvor 7.1. PRIHODI OD NEFIN.IMOVINE I NADOKNADE ŠTETA OD OSIG.</w:t>
            </w:r>
          </w:p>
        </w:tc>
        <w:tc>
          <w:tcPr>
            <w:tcW w:w="1503" w:type="dxa"/>
            <w:tcBorders>
              <w:top w:val="nil"/>
              <w:left w:val="nil"/>
              <w:bottom w:val="nil"/>
              <w:right w:val="nil"/>
            </w:tcBorders>
            <w:shd w:val="clear" w:color="auto" w:fill="auto"/>
            <w:noWrap/>
            <w:vAlign w:val="bottom"/>
            <w:hideMark/>
          </w:tcPr>
          <w:p w14:paraId="7F2A0D00" w14:textId="77777777" w:rsidR="00BE6461" w:rsidRPr="00BE6461" w:rsidRDefault="00BE6461" w:rsidP="00BE6461">
            <w:pPr>
              <w:jc w:val="right"/>
              <w:rPr>
                <w:b/>
                <w:bCs/>
                <w:color w:val="333333"/>
                <w:sz w:val="20"/>
                <w:szCs w:val="20"/>
              </w:rPr>
            </w:pPr>
            <w:r w:rsidRPr="00BE6461">
              <w:rPr>
                <w:b/>
                <w:bCs/>
                <w:color w:val="333333"/>
                <w:sz w:val="20"/>
                <w:szCs w:val="20"/>
              </w:rPr>
              <w:t>1.544.170,00</w:t>
            </w:r>
          </w:p>
        </w:tc>
        <w:tc>
          <w:tcPr>
            <w:tcW w:w="1500" w:type="dxa"/>
            <w:tcBorders>
              <w:top w:val="nil"/>
              <w:left w:val="nil"/>
              <w:bottom w:val="nil"/>
              <w:right w:val="nil"/>
            </w:tcBorders>
            <w:shd w:val="clear" w:color="auto" w:fill="auto"/>
            <w:noWrap/>
            <w:vAlign w:val="bottom"/>
            <w:hideMark/>
          </w:tcPr>
          <w:p w14:paraId="0B41ADD1" w14:textId="77777777" w:rsidR="00BE6461" w:rsidRPr="00BE6461" w:rsidRDefault="00BE6461" w:rsidP="00BE6461">
            <w:pPr>
              <w:jc w:val="right"/>
              <w:rPr>
                <w:b/>
                <w:bCs/>
                <w:color w:val="333333"/>
                <w:sz w:val="20"/>
                <w:szCs w:val="20"/>
              </w:rPr>
            </w:pPr>
            <w:r w:rsidRPr="00BE6461">
              <w:rPr>
                <w:b/>
                <w:bCs/>
                <w:color w:val="333333"/>
                <w:sz w:val="20"/>
                <w:szCs w:val="20"/>
              </w:rPr>
              <w:t>1.222.012,59</w:t>
            </w:r>
          </w:p>
        </w:tc>
        <w:tc>
          <w:tcPr>
            <w:tcW w:w="1100" w:type="dxa"/>
            <w:tcBorders>
              <w:top w:val="nil"/>
              <w:left w:val="nil"/>
              <w:bottom w:val="nil"/>
              <w:right w:val="nil"/>
            </w:tcBorders>
            <w:shd w:val="clear" w:color="auto" w:fill="auto"/>
            <w:noWrap/>
            <w:vAlign w:val="bottom"/>
            <w:hideMark/>
          </w:tcPr>
          <w:p w14:paraId="71B5E54B" w14:textId="77777777" w:rsidR="00BE6461" w:rsidRPr="00BE6461" w:rsidRDefault="00BE6461" w:rsidP="00BE6461">
            <w:pPr>
              <w:jc w:val="right"/>
              <w:rPr>
                <w:b/>
                <w:bCs/>
                <w:color w:val="333333"/>
                <w:sz w:val="20"/>
                <w:szCs w:val="20"/>
              </w:rPr>
            </w:pPr>
            <w:r w:rsidRPr="00BE6461">
              <w:rPr>
                <w:b/>
                <w:bCs/>
                <w:color w:val="333333"/>
                <w:sz w:val="20"/>
                <w:szCs w:val="20"/>
              </w:rPr>
              <w:t>79,14</w:t>
            </w:r>
          </w:p>
        </w:tc>
      </w:tr>
      <w:tr w:rsidR="00BE6461" w:rsidRPr="00BE6461" w14:paraId="7F4AE9E3" w14:textId="77777777" w:rsidTr="00BE6461">
        <w:trPr>
          <w:trHeight w:val="390"/>
        </w:trPr>
        <w:tc>
          <w:tcPr>
            <w:tcW w:w="1703" w:type="dxa"/>
            <w:tcBorders>
              <w:top w:val="single" w:sz="4" w:space="0" w:color="auto"/>
              <w:left w:val="nil"/>
              <w:bottom w:val="nil"/>
              <w:right w:val="nil"/>
            </w:tcBorders>
            <w:shd w:val="clear" w:color="auto" w:fill="auto"/>
            <w:noWrap/>
            <w:vAlign w:val="bottom"/>
            <w:hideMark/>
          </w:tcPr>
          <w:p w14:paraId="75F944D5" w14:textId="77777777" w:rsidR="00BE6461" w:rsidRPr="00BE6461" w:rsidRDefault="00BE6461" w:rsidP="00BE6461">
            <w:pPr>
              <w:rPr>
                <w:b/>
                <w:bCs/>
                <w:sz w:val="20"/>
                <w:szCs w:val="20"/>
              </w:rPr>
            </w:pPr>
            <w:r w:rsidRPr="00BE6461">
              <w:rPr>
                <w:b/>
                <w:bCs/>
                <w:sz w:val="20"/>
                <w:szCs w:val="20"/>
              </w:rPr>
              <w:t>2001</w:t>
            </w:r>
          </w:p>
        </w:tc>
        <w:tc>
          <w:tcPr>
            <w:tcW w:w="8457" w:type="dxa"/>
            <w:tcBorders>
              <w:top w:val="single" w:sz="4" w:space="0" w:color="auto"/>
              <w:left w:val="nil"/>
              <w:bottom w:val="nil"/>
              <w:right w:val="nil"/>
            </w:tcBorders>
            <w:shd w:val="clear" w:color="auto" w:fill="auto"/>
            <w:vAlign w:val="bottom"/>
            <w:hideMark/>
          </w:tcPr>
          <w:p w14:paraId="76D29E01" w14:textId="77777777" w:rsidR="00BE6461" w:rsidRPr="00BE6461" w:rsidRDefault="00BE6461" w:rsidP="00BE6461">
            <w:pPr>
              <w:rPr>
                <w:b/>
                <w:bCs/>
                <w:sz w:val="20"/>
                <w:szCs w:val="20"/>
              </w:rPr>
            </w:pPr>
            <w:r w:rsidRPr="00BE6461">
              <w:rPr>
                <w:b/>
                <w:bCs/>
                <w:sz w:val="20"/>
                <w:szCs w:val="20"/>
              </w:rPr>
              <w:t>Program: REDOVNA DJELATNOST UPRAVNIH ODJELA</w:t>
            </w:r>
          </w:p>
        </w:tc>
        <w:tc>
          <w:tcPr>
            <w:tcW w:w="1503" w:type="dxa"/>
            <w:tcBorders>
              <w:top w:val="single" w:sz="4" w:space="0" w:color="auto"/>
              <w:left w:val="nil"/>
              <w:bottom w:val="nil"/>
              <w:right w:val="nil"/>
            </w:tcBorders>
            <w:shd w:val="clear" w:color="auto" w:fill="auto"/>
            <w:noWrap/>
            <w:vAlign w:val="bottom"/>
            <w:hideMark/>
          </w:tcPr>
          <w:p w14:paraId="09048BAC" w14:textId="77777777" w:rsidR="00BE6461" w:rsidRPr="00BE6461" w:rsidRDefault="00BE6461" w:rsidP="00BE6461">
            <w:pPr>
              <w:jc w:val="right"/>
              <w:rPr>
                <w:b/>
                <w:bCs/>
                <w:sz w:val="20"/>
                <w:szCs w:val="20"/>
              </w:rPr>
            </w:pPr>
            <w:r w:rsidRPr="00BE6461">
              <w:rPr>
                <w:b/>
                <w:bCs/>
                <w:sz w:val="20"/>
                <w:szCs w:val="20"/>
              </w:rPr>
              <w:t>1.088.325,00</w:t>
            </w:r>
          </w:p>
        </w:tc>
        <w:tc>
          <w:tcPr>
            <w:tcW w:w="1500" w:type="dxa"/>
            <w:tcBorders>
              <w:top w:val="single" w:sz="4" w:space="0" w:color="auto"/>
              <w:left w:val="nil"/>
              <w:bottom w:val="nil"/>
              <w:right w:val="nil"/>
            </w:tcBorders>
            <w:shd w:val="clear" w:color="auto" w:fill="auto"/>
            <w:noWrap/>
            <w:vAlign w:val="bottom"/>
            <w:hideMark/>
          </w:tcPr>
          <w:p w14:paraId="0E6EE9FA" w14:textId="77777777" w:rsidR="00BE6461" w:rsidRPr="00BE6461" w:rsidRDefault="00BE6461" w:rsidP="00BE6461">
            <w:pPr>
              <w:jc w:val="right"/>
              <w:rPr>
                <w:b/>
                <w:bCs/>
                <w:sz w:val="20"/>
                <w:szCs w:val="20"/>
              </w:rPr>
            </w:pPr>
            <w:r w:rsidRPr="00BE6461">
              <w:rPr>
                <w:b/>
                <w:bCs/>
                <w:sz w:val="20"/>
                <w:szCs w:val="20"/>
              </w:rPr>
              <w:t>826.229,57</w:t>
            </w:r>
          </w:p>
        </w:tc>
        <w:tc>
          <w:tcPr>
            <w:tcW w:w="1100" w:type="dxa"/>
            <w:tcBorders>
              <w:top w:val="single" w:sz="4" w:space="0" w:color="auto"/>
              <w:left w:val="nil"/>
              <w:bottom w:val="nil"/>
              <w:right w:val="nil"/>
            </w:tcBorders>
            <w:shd w:val="clear" w:color="auto" w:fill="auto"/>
            <w:noWrap/>
            <w:vAlign w:val="bottom"/>
            <w:hideMark/>
          </w:tcPr>
          <w:p w14:paraId="5012E0E7" w14:textId="77777777" w:rsidR="00BE6461" w:rsidRPr="00BE6461" w:rsidRDefault="00BE6461" w:rsidP="00BE6461">
            <w:pPr>
              <w:jc w:val="right"/>
              <w:rPr>
                <w:b/>
                <w:bCs/>
                <w:sz w:val="20"/>
                <w:szCs w:val="20"/>
              </w:rPr>
            </w:pPr>
            <w:r w:rsidRPr="00BE6461">
              <w:rPr>
                <w:b/>
                <w:bCs/>
                <w:sz w:val="20"/>
                <w:szCs w:val="20"/>
              </w:rPr>
              <w:t>75,92</w:t>
            </w:r>
          </w:p>
        </w:tc>
      </w:tr>
      <w:tr w:rsidR="00BE6461" w:rsidRPr="00BE6461" w14:paraId="7623AFD8"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77FB9FD9" w14:textId="77777777" w:rsidR="00BE6461" w:rsidRPr="00BE6461" w:rsidRDefault="00BE6461" w:rsidP="00BE6461">
            <w:pPr>
              <w:rPr>
                <w:b/>
                <w:bCs/>
                <w:sz w:val="20"/>
                <w:szCs w:val="20"/>
              </w:rPr>
            </w:pPr>
            <w:r w:rsidRPr="00BE6461">
              <w:rPr>
                <w:b/>
                <w:bCs/>
                <w:sz w:val="20"/>
                <w:szCs w:val="20"/>
              </w:rPr>
              <w:t>A200001</w:t>
            </w:r>
          </w:p>
        </w:tc>
        <w:tc>
          <w:tcPr>
            <w:tcW w:w="8457" w:type="dxa"/>
            <w:tcBorders>
              <w:top w:val="single" w:sz="4" w:space="0" w:color="auto"/>
              <w:left w:val="nil"/>
              <w:bottom w:val="single" w:sz="4" w:space="0" w:color="auto"/>
              <w:right w:val="nil"/>
            </w:tcBorders>
            <w:shd w:val="clear" w:color="auto" w:fill="auto"/>
            <w:vAlign w:val="bottom"/>
            <w:hideMark/>
          </w:tcPr>
          <w:p w14:paraId="0B3047BD" w14:textId="77777777" w:rsidR="00BE6461" w:rsidRPr="00BE6461" w:rsidRDefault="00BE6461" w:rsidP="00BE6461">
            <w:pPr>
              <w:rPr>
                <w:b/>
                <w:bCs/>
                <w:sz w:val="20"/>
                <w:szCs w:val="20"/>
              </w:rPr>
            </w:pPr>
            <w:r w:rsidRPr="00BE6461">
              <w:rPr>
                <w:b/>
                <w:bCs/>
                <w:sz w:val="20"/>
                <w:szCs w:val="20"/>
              </w:rPr>
              <w:t>Aktivnost: RASHODI ZA ZAPOSLENE</w:t>
            </w:r>
          </w:p>
        </w:tc>
        <w:tc>
          <w:tcPr>
            <w:tcW w:w="1503" w:type="dxa"/>
            <w:tcBorders>
              <w:top w:val="single" w:sz="4" w:space="0" w:color="auto"/>
              <w:left w:val="nil"/>
              <w:bottom w:val="single" w:sz="4" w:space="0" w:color="auto"/>
              <w:right w:val="nil"/>
            </w:tcBorders>
            <w:shd w:val="clear" w:color="auto" w:fill="auto"/>
            <w:noWrap/>
            <w:vAlign w:val="bottom"/>
            <w:hideMark/>
          </w:tcPr>
          <w:p w14:paraId="563CD388" w14:textId="77777777" w:rsidR="00BE6461" w:rsidRPr="00BE6461" w:rsidRDefault="00BE6461" w:rsidP="00BE6461">
            <w:pPr>
              <w:jc w:val="right"/>
              <w:rPr>
                <w:b/>
                <w:bCs/>
                <w:sz w:val="20"/>
                <w:szCs w:val="20"/>
              </w:rPr>
            </w:pPr>
            <w:r w:rsidRPr="00BE6461">
              <w:rPr>
                <w:b/>
                <w:bCs/>
                <w:sz w:val="20"/>
                <w:szCs w:val="20"/>
              </w:rPr>
              <w:t>888.325,00</w:t>
            </w:r>
          </w:p>
        </w:tc>
        <w:tc>
          <w:tcPr>
            <w:tcW w:w="1500" w:type="dxa"/>
            <w:tcBorders>
              <w:top w:val="single" w:sz="4" w:space="0" w:color="auto"/>
              <w:left w:val="nil"/>
              <w:bottom w:val="single" w:sz="4" w:space="0" w:color="auto"/>
              <w:right w:val="nil"/>
            </w:tcBorders>
            <w:shd w:val="clear" w:color="auto" w:fill="auto"/>
            <w:noWrap/>
            <w:vAlign w:val="bottom"/>
            <w:hideMark/>
          </w:tcPr>
          <w:p w14:paraId="768BF93F" w14:textId="77777777" w:rsidR="00BE6461" w:rsidRPr="00BE6461" w:rsidRDefault="00BE6461" w:rsidP="00BE6461">
            <w:pPr>
              <w:jc w:val="right"/>
              <w:rPr>
                <w:b/>
                <w:bCs/>
                <w:sz w:val="20"/>
                <w:szCs w:val="20"/>
              </w:rPr>
            </w:pPr>
            <w:r w:rsidRPr="00BE6461">
              <w:rPr>
                <w:b/>
                <w:bCs/>
                <w:sz w:val="20"/>
                <w:szCs w:val="20"/>
              </w:rPr>
              <w:t>826.229,57</w:t>
            </w:r>
          </w:p>
        </w:tc>
        <w:tc>
          <w:tcPr>
            <w:tcW w:w="1100" w:type="dxa"/>
            <w:tcBorders>
              <w:top w:val="single" w:sz="4" w:space="0" w:color="auto"/>
              <w:left w:val="nil"/>
              <w:bottom w:val="single" w:sz="4" w:space="0" w:color="auto"/>
              <w:right w:val="nil"/>
            </w:tcBorders>
            <w:shd w:val="clear" w:color="auto" w:fill="auto"/>
            <w:noWrap/>
            <w:vAlign w:val="bottom"/>
            <w:hideMark/>
          </w:tcPr>
          <w:p w14:paraId="72E5D4DA" w14:textId="77777777" w:rsidR="00BE6461" w:rsidRPr="00BE6461" w:rsidRDefault="00BE6461" w:rsidP="00BE6461">
            <w:pPr>
              <w:jc w:val="right"/>
              <w:rPr>
                <w:b/>
                <w:bCs/>
                <w:sz w:val="20"/>
                <w:szCs w:val="20"/>
              </w:rPr>
            </w:pPr>
            <w:r w:rsidRPr="00BE6461">
              <w:rPr>
                <w:b/>
                <w:bCs/>
                <w:sz w:val="20"/>
                <w:szCs w:val="20"/>
              </w:rPr>
              <w:t>93,01</w:t>
            </w:r>
          </w:p>
        </w:tc>
      </w:tr>
      <w:tr w:rsidR="00BE6461" w:rsidRPr="00BE6461" w14:paraId="4ADAF772"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21DED06"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611AED3F" w14:textId="77777777" w:rsidR="00BE6461" w:rsidRPr="00BE6461" w:rsidRDefault="00BE6461" w:rsidP="00BE6461">
            <w:pPr>
              <w:jc w:val="right"/>
              <w:rPr>
                <w:b/>
                <w:bCs/>
                <w:color w:val="333333"/>
                <w:sz w:val="20"/>
                <w:szCs w:val="20"/>
              </w:rPr>
            </w:pPr>
            <w:r w:rsidRPr="00BE6461">
              <w:rPr>
                <w:b/>
                <w:bCs/>
                <w:color w:val="333333"/>
                <w:sz w:val="20"/>
                <w:szCs w:val="20"/>
              </w:rPr>
              <w:t>888.325,00</w:t>
            </w:r>
          </w:p>
        </w:tc>
        <w:tc>
          <w:tcPr>
            <w:tcW w:w="1500" w:type="dxa"/>
            <w:tcBorders>
              <w:top w:val="nil"/>
              <w:left w:val="nil"/>
              <w:bottom w:val="nil"/>
              <w:right w:val="nil"/>
            </w:tcBorders>
            <w:shd w:val="clear" w:color="auto" w:fill="auto"/>
            <w:noWrap/>
            <w:vAlign w:val="bottom"/>
            <w:hideMark/>
          </w:tcPr>
          <w:p w14:paraId="610C8392" w14:textId="77777777" w:rsidR="00BE6461" w:rsidRPr="00BE6461" w:rsidRDefault="00BE6461" w:rsidP="00BE6461">
            <w:pPr>
              <w:jc w:val="right"/>
              <w:rPr>
                <w:b/>
                <w:bCs/>
                <w:color w:val="333333"/>
                <w:sz w:val="20"/>
                <w:szCs w:val="20"/>
              </w:rPr>
            </w:pPr>
            <w:r w:rsidRPr="00BE6461">
              <w:rPr>
                <w:b/>
                <w:bCs/>
                <w:color w:val="333333"/>
                <w:sz w:val="20"/>
                <w:szCs w:val="20"/>
              </w:rPr>
              <w:t>826.229,57</w:t>
            </w:r>
          </w:p>
        </w:tc>
        <w:tc>
          <w:tcPr>
            <w:tcW w:w="1100" w:type="dxa"/>
            <w:tcBorders>
              <w:top w:val="nil"/>
              <w:left w:val="nil"/>
              <w:bottom w:val="nil"/>
              <w:right w:val="nil"/>
            </w:tcBorders>
            <w:shd w:val="clear" w:color="auto" w:fill="auto"/>
            <w:noWrap/>
            <w:vAlign w:val="bottom"/>
            <w:hideMark/>
          </w:tcPr>
          <w:p w14:paraId="38205148" w14:textId="77777777" w:rsidR="00BE6461" w:rsidRPr="00BE6461" w:rsidRDefault="00BE6461" w:rsidP="00BE6461">
            <w:pPr>
              <w:jc w:val="right"/>
              <w:rPr>
                <w:b/>
                <w:bCs/>
                <w:color w:val="333333"/>
                <w:sz w:val="20"/>
                <w:szCs w:val="20"/>
              </w:rPr>
            </w:pPr>
            <w:r w:rsidRPr="00BE6461">
              <w:rPr>
                <w:b/>
                <w:bCs/>
                <w:color w:val="333333"/>
                <w:sz w:val="20"/>
                <w:szCs w:val="20"/>
              </w:rPr>
              <w:t>93,01</w:t>
            </w:r>
          </w:p>
        </w:tc>
      </w:tr>
      <w:tr w:rsidR="00BE6461" w:rsidRPr="00BE6461" w14:paraId="66C0D5FC"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D53A468"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1CD71B60" w14:textId="77777777" w:rsidR="00BE6461" w:rsidRPr="00BE6461" w:rsidRDefault="00BE6461" w:rsidP="00BE6461">
            <w:pPr>
              <w:jc w:val="right"/>
              <w:rPr>
                <w:b/>
                <w:bCs/>
                <w:color w:val="333333"/>
                <w:sz w:val="20"/>
                <w:szCs w:val="20"/>
              </w:rPr>
            </w:pPr>
            <w:r w:rsidRPr="00BE6461">
              <w:rPr>
                <w:b/>
                <w:bCs/>
                <w:color w:val="333333"/>
                <w:sz w:val="20"/>
                <w:szCs w:val="20"/>
              </w:rPr>
              <w:t>888.325,00</w:t>
            </w:r>
          </w:p>
        </w:tc>
        <w:tc>
          <w:tcPr>
            <w:tcW w:w="1500" w:type="dxa"/>
            <w:tcBorders>
              <w:top w:val="nil"/>
              <w:left w:val="nil"/>
              <w:bottom w:val="nil"/>
              <w:right w:val="nil"/>
            </w:tcBorders>
            <w:shd w:val="clear" w:color="auto" w:fill="auto"/>
            <w:noWrap/>
            <w:vAlign w:val="bottom"/>
            <w:hideMark/>
          </w:tcPr>
          <w:p w14:paraId="0341F371" w14:textId="77777777" w:rsidR="00BE6461" w:rsidRPr="00BE6461" w:rsidRDefault="00BE6461" w:rsidP="00BE6461">
            <w:pPr>
              <w:jc w:val="right"/>
              <w:rPr>
                <w:b/>
                <w:bCs/>
                <w:color w:val="333333"/>
                <w:sz w:val="20"/>
                <w:szCs w:val="20"/>
              </w:rPr>
            </w:pPr>
            <w:r w:rsidRPr="00BE6461">
              <w:rPr>
                <w:b/>
                <w:bCs/>
                <w:color w:val="333333"/>
                <w:sz w:val="20"/>
                <w:szCs w:val="20"/>
              </w:rPr>
              <w:t>826.229,57</w:t>
            </w:r>
          </w:p>
        </w:tc>
        <w:tc>
          <w:tcPr>
            <w:tcW w:w="1100" w:type="dxa"/>
            <w:tcBorders>
              <w:top w:val="nil"/>
              <w:left w:val="nil"/>
              <w:bottom w:val="nil"/>
              <w:right w:val="nil"/>
            </w:tcBorders>
            <w:shd w:val="clear" w:color="auto" w:fill="auto"/>
            <w:noWrap/>
            <w:vAlign w:val="bottom"/>
            <w:hideMark/>
          </w:tcPr>
          <w:p w14:paraId="1424E70F" w14:textId="77777777" w:rsidR="00BE6461" w:rsidRPr="00BE6461" w:rsidRDefault="00BE6461" w:rsidP="00BE6461">
            <w:pPr>
              <w:jc w:val="right"/>
              <w:rPr>
                <w:b/>
                <w:bCs/>
                <w:color w:val="333333"/>
                <w:sz w:val="20"/>
                <w:szCs w:val="20"/>
              </w:rPr>
            </w:pPr>
            <w:r w:rsidRPr="00BE6461">
              <w:rPr>
                <w:b/>
                <w:bCs/>
                <w:color w:val="333333"/>
                <w:sz w:val="20"/>
                <w:szCs w:val="20"/>
              </w:rPr>
              <w:t>93,01</w:t>
            </w:r>
          </w:p>
        </w:tc>
      </w:tr>
      <w:tr w:rsidR="00BE6461" w:rsidRPr="00BE6461" w14:paraId="5B6E3A0E" w14:textId="77777777" w:rsidTr="00BE6461">
        <w:trPr>
          <w:trHeight w:val="300"/>
        </w:trPr>
        <w:tc>
          <w:tcPr>
            <w:tcW w:w="1703" w:type="dxa"/>
            <w:tcBorders>
              <w:top w:val="nil"/>
              <w:left w:val="nil"/>
              <w:bottom w:val="nil"/>
              <w:right w:val="nil"/>
            </w:tcBorders>
            <w:shd w:val="clear" w:color="auto" w:fill="auto"/>
            <w:noWrap/>
            <w:vAlign w:val="bottom"/>
            <w:hideMark/>
          </w:tcPr>
          <w:p w14:paraId="0EDE037C" w14:textId="77777777" w:rsidR="00BE6461" w:rsidRPr="00BE6461" w:rsidRDefault="00BE6461" w:rsidP="00BE6461">
            <w:pPr>
              <w:rPr>
                <w:b/>
                <w:bCs/>
                <w:sz w:val="20"/>
                <w:szCs w:val="20"/>
              </w:rPr>
            </w:pPr>
            <w:r w:rsidRPr="00BE6461">
              <w:rPr>
                <w:b/>
                <w:bCs/>
                <w:sz w:val="20"/>
                <w:szCs w:val="20"/>
              </w:rPr>
              <w:t>311</w:t>
            </w:r>
          </w:p>
        </w:tc>
        <w:tc>
          <w:tcPr>
            <w:tcW w:w="8457" w:type="dxa"/>
            <w:tcBorders>
              <w:top w:val="nil"/>
              <w:left w:val="nil"/>
              <w:bottom w:val="nil"/>
              <w:right w:val="nil"/>
            </w:tcBorders>
            <w:shd w:val="clear" w:color="auto" w:fill="auto"/>
            <w:vAlign w:val="bottom"/>
            <w:hideMark/>
          </w:tcPr>
          <w:p w14:paraId="763864D7" w14:textId="77777777" w:rsidR="00BE6461" w:rsidRPr="00BE6461" w:rsidRDefault="00BE6461" w:rsidP="00BE6461">
            <w:pPr>
              <w:rPr>
                <w:b/>
                <w:bCs/>
                <w:sz w:val="20"/>
                <w:szCs w:val="20"/>
              </w:rPr>
            </w:pPr>
            <w:r w:rsidRPr="00BE6461">
              <w:rPr>
                <w:b/>
                <w:bCs/>
                <w:sz w:val="20"/>
                <w:szCs w:val="20"/>
              </w:rPr>
              <w:t xml:space="preserve">Plaće (Bruto)                                                                                       </w:t>
            </w:r>
          </w:p>
        </w:tc>
        <w:tc>
          <w:tcPr>
            <w:tcW w:w="1503" w:type="dxa"/>
            <w:tcBorders>
              <w:top w:val="nil"/>
              <w:left w:val="nil"/>
              <w:bottom w:val="nil"/>
              <w:right w:val="nil"/>
            </w:tcBorders>
            <w:shd w:val="clear" w:color="auto" w:fill="auto"/>
            <w:noWrap/>
            <w:vAlign w:val="bottom"/>
            <w:hideMark/>
          </w:tcPr>
          <w:p w14:paraId="6C81802B" w14:textId="77777777" w:rsidR="00BE6461" w:rsidRPr="00BE6461" w:rsidRDefault="00BE6461" w:rsidP="00BE6461">
            <w:pPr>
              <w:jc w:val="right"/>
              <w:rPr>
                <w:b/>
                <w:bCs/>
                <w:sz w:val="20"/>
                <w:szCs w:val="20"/>
              </w:rPr>
            </w:pPr>
            <w:r w:rsidRPr="00BE6461">
              <w:rPr>
                <w:b/>
                <w:bCs/>
                <w:sz w:val="20"/>
                <w:szCs w:val="20"/>
              </w:rPr>
              <w:t>705.000,00</w:t>
            </w:r>
          </w:p>
        </w:tc>
        <w:tc>
          <w:tcPr>
            <w:tcW w:w="1500" w:type="dxa"/>
            <w:tcBorders>
              <w:top w:val="nil"/>
              <w:left w:val="nil"/>
              <w:bottom w:val="nil"/>
              <w:right w:val="nil"/>
            </w:tcBorders>
            <w:shd w:val="clear" w:color="auto" w:fill="auto"/>
            <w:noWrap/>
            <w:vAlign w:val="bottom"/>
            <w:hideMark/>
          </w:tcPr>
          <w:p w14:paraId="3F1ED966" w14:textId="77777777" w:rsidR="00BE6461" w:rsidRPr="00BE6461" w:rsidRDefault="00BE6461" w:rsidP="00BE6461">
            <w:pPr>
              <w:jc w:val="right"/>
              <w:rPr>
                <w:b/>
                <w:bCs/>
                <w:sz w:val="20"/>
                <w:szCs w:val="20"/>
              </w:rPr>
            </w:pPr>
            <w:r w:rsidRPr="00BE6461">
              <w:rPr>
                <w:b/>
                <w:bCs/>
                <w:sz w:val="20"/>
                <w:szCs w:val="20"/>
              </w:rPr>
              <w:t>659.456,08</w:t>
            </w:r>
          </w:p>
        </w:tc>
        <w:tc>
          <w:tcPr>
            <w:tcW w:w="1100" w:type="dxa"/>
            <w:tcBorders>
              <w:top w:val="nil"/>
              <w:left w:val="nil"/>
              <w:bottom w:val="nil"/>
              <w:right w:val="nil"/>
            </w:tcBorders>
            <w:shd w:val="clear" w:color="auto" w:fill="auto"/>
            <w:noWrap/>
            <w:vAlign w:val="bottom"/>
            <w:hideMark/>
          </w:tcPr>
          <w:p w14:paraId="1D86E790" w14:textId="77777777" w:rsidR="00BE6461" w:rsidRPr="00BE6461" w:rsidRDefault="00BE6461" w:rsidP="00BE6461">
            <w:pPr>
              <w:jc w:val="right"/>
              <w:rPr>
                <w:b/>
                <w:bCs/>
                <w:sz w:val="20"/>
                <w:szCs w:val="20"/>
              </w:rPr>
            </w:pPr>
            <w:r w:rsidRPr="00BE6461">
              <w:rPr>
                <w:b/>
                <w:bCs/>
                <w:sz w:val="20"/>
                <w:szCs w:val="20"/>
              </w:rPr>
              <w:t>93,54</w:t>
            </w:r>
          </w:p>
        </w:tc>
      </w:tr>
      <w:tr w:rsidR="00BE6461" w:rsidRPr="00BE6461" w14:paraId="20A8ECF5" w14:textId="77777777" w:rsidTr="00BE6461">
        <w:trPr>
          <w:trHeight w:val="300"/>
        </w:trPr>
        <w:tc>
          <w:tcPr>
            <w:tcW w:w="1703" w:type="dxa"/>
            <w:tcBorders>
              <w:top w:val="nil"/>
              <w:left w:val="nil"/>
              <w:bottom w:val="nil"/>
              <w:right w:val="nil"/>
            </w:tcBorders>
            <w:shd w:val="clear" w:color="auto" w:fill="auto"/>
            <w:noWrap/>
            <w:vAlign w:val="bottom"/>
            <w:hideMark/>
          </w:tcPr>
          <w:p w14:paraId="2EB61483" w14:textId="77777777" w:rsidR="00BE6461" w:rsidRPr="00BE6461" w:rsidRDefault="00BE6461" w:rsidP="00BE6461">
            <w:pPr>
              <w:rPr>
                <w:sz w:val="20"/>
                <w:szCs w:val="20"/>
              </w:rPr>
            </w:pPr>
            <w:r w:rsidRPr="00BE6461">
              <w:rPr>
                <w:sz w:val="20"/>
                <w:szCs w:val="20"/>
              </w:rPr>
              <w:t>3111</w:t>
            </w:r>
          </w:p>
        </w:tc>
        <w:tc>
          <w:tcPr>
            <w:tcW w:w="8457" w:type="dxa"/>
            <w:tcBorders>
              <w:top w:val="nil"/>
              <w:left w:val="nil"/>
              <w:bottom w:val="nil"/>
              <w:right w:val="nil"/>
            </w:tcBorders>
            <w:shd w:val="clear" w:color="auto" w:fill="auto"/>
            <w:vAlign w:val="bottom"/>
            <w:hideMark/>
          </w:tcPr>
          <w:p w14:paraId="1A3DAEDF" w14:textId="77777777" w:rsidR="00BE6461" w:rsidRPr="00BE6461" w:rsidRDefault="00BE6461" w:rsidP="00BE6461">
            <w:pPr>
              <w:rPr>
                <w:sz w:val="20"/>
                <w:szCs w:val="20"/>
              </w:rPr>
            </w:pPr>
            <w:r w:rsidRPr="00BE6461">
              <w:rPr>
                <w:sz w:val="20"/>
                <w:szCs w:val="20"/>
              </w:rPr>
              <w:t xml:space="preserve">Plaće za redovan rad                                                                                </w:t>
            </w:r>
          </w:p>
        </w:tc>
        <w:tc>
          <w:tcPr>
            <w:tcW w:w="1503" w:type="dxa"/>
            <w:tcBorders>
              <w:top w:val="nil"/>
              <w:left w:val="nil"/>
              <w:bottom w:val="nil"/>
              <w:right w:val="nil"/>
            </w:tcBorders>
            <w:shd w:val="clear" w:color="auto" w:fill="auto"/>
            <w:noWrap/>
            <w:vAlign w:val="bottom"/>
            <w:hideMark/>
          </w:tcPr>
          <w:p w14:paraId="4B6A6D3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CECA667" w14:textId="77777777" w:rsidR="00BE6461" w:rsidRPr="00BE6461" w:rsidRDefault="00BE6461" w:rsidP="00BE6461">
            <w:pPr>
              <w:jc w:val="right"/>
              <w:rPr>
                <w:sz w:val="20"/>
                <w:szCs w:val="20"/>
              </w:rPr>
            </w:pPr>
            <w:r w:rsidRPr="00BE6461">
              <w:rPr>
                <w:sz w:val="20"/>
                <w:szCs w:val="20"/>
              </w:rPr>
              <w:t>620.563,92</w:t>
            </w:r>
          </w:p>
        </w:tc>
        <w:tc>
          <w:tcPr>
            <w:tcW w:w="1100" w:type="dxa"/>
            <w:tcBorders>
              <w:top w:val="nil"/>
              <w:left w:val="nil"/>
              <w:bottom w:val="nil"/>
              <w:right w:val="nil"/>
            </w:tcBorders>
            <w:shd w:val="clear" w:color="auto" w:fill="auto"/>
            <w:noWrap/>
            <w:vAlign w:val="bottom"/>
            <w:hideMark/>
          </w:tcPr>
          <w:p w14:paraId="2DB8ABF0" w14:textId="77777777" w:rsidR="00BE6461" w:rsidRPr="00BE6461" w:rsidRDefault="00BE6461" w:rsidP="00BE6461">
            <w:pPr>
              <w:jc w:val="right"/>
              <w:rPr>
                <w:sz w:val="20"/>
                <w:szCs w:val="20"/>
              </w:rPr>
            </w:pPr>
          </w:p>
        </w:tc>
      </w:tr>
      <w:tr w:rsidR="00BE6461" w:rsidRPr="00BE6461" w14:paraId="30A86299" w14:textId="77777777" w:rsidTr="00BE6461">
        <w:trPr>
          <w:trHeight w:val="300"/>
        </w:trPr>
        <w:tc>
          <w:tcPr>
            <w:tcW w:w="1703" w:type="dxa"/>
            <w:tcBorders>
              <w:top w:val="nil"/>
              <w:left w:val="nil"/>
              <w:bottom w:val="nil"/>
              <w:right w:val="nil"/>
            </w:tcBorders>
            <w:shd w:val="clear" w:color="auto" w:fill="auto"/>
            <w:noWrap/>
            <w:vAlign w:val="bottom"/>
            <w:hideMark/>
          </w:tcPr>
          <w:p w14:paraId="0B973385" w14:textId="77777777" w:rsidR="00BE6461" w:rsidRPr="00BE6461" w:rsidRDefault="00BE6461" w:rsidP="00BE6461">
            <w:pPr>
              <w:rPr>
                <w:sz w:val="20"/>
                <w:szCs w:val="20"/>
              </w:rPr>
            </w:pPr>
            <w:r w:rsidRPr="00BE6461">
              <w:rPr>
                <w:sz w:val="20"/>
                <w:szCs w:val="20"/>
              </w:rPr>
              <w:t>3113</w:t>
            </w:r>
          </w:p>
        </w:tc>
        <w:tc>
          <w:tcPr>
            <w:tcW w:w="8457" w:type="dxa"/>
            <w:tcBorders>
              <w:top w:val="nil"/>
              <w:left w:val="nil"/>
              <w:bottom w:val="nil"/>
              <w:right w:val="nil"/>
            </w:tcBorders>
            <w:shd w:val="clear" w:color="auto" w:fill="auto"/>
            <w:vAlign w:val="bottom"/>
            <w:hideMark/>
          </w:tcPr>
          <w:p w14:paraId="42A037DA" w14:textId="77777777" w:rsidR="00BE6461" w:rsidRPr="00BE6461" w:rsidRDefault="00BE6461" w:rsidP="00BE6461">
            <w:pPr>
              <w:rPr>
                <w:sz w:val="20"/>
                <w:szCs w:val="20"/>
              </w:rPr>
            </w:pPr>
            <w:r w:rsidRPr="00BE6461">
              <w:rPr>
                <w:sz w:val="20"/>
                <w:szCs w:val="20"/>
              </w:rPr>
              <w:t xml:space="preserve">Plaće za prekovremeni rad                                                                           </w:t>
            </w:r>
          </w:p>
        </w:tc>
        <w:tc>
          <w:tcPr>
            <w:tcW w:w="1503" w:type="dxa"/>
            <w:tcBorders>
              <w:top w:val="nil"/>
              <w:left w:val="nil"/>
              <w:bottom w:val="nil"/>
              <w:right w:val="nil"/>
            </w:tcBorders>
            <w:shd w:val="clear" w:color="auto" w:fill="auto"/>
            <w:noWrap/>
            <w:vAlign w:val="bottom"/>
            <w:hideMark/>
          </w:tcPr>
          <w:p w14:paraId="178B8B6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F709748" w14:textId="77777777" w:rsidR="00BE6461" w:rsidRPr="00BE6461" w:rsidRDefault="00BE6461" w:rsidP="00BE6461">
            <w:pPr>
              <w:jc w:val="right"/>
              <w:rPr>
                <w:sz w:val="20"/>
                <w:szCs w:val="20"/>
              </w:rPr>
            </w:pPr>
            <w:r w:rsidRPr="00BE6461">
              <w:rPr>
                <w:sz w:val="20"/>
                <w:szCs w:val="20"/>
              </w:rPr>
              <w:t>38.892,16</w:t>
            </w:r>
          </w:p>
        </w:tc>
        <w:tc>
          <w:tcPr>
            <w:tcW w:w="1100" w:type="dxa"/>
            <w:tcBorders>
              <w:top w:val="nil"/>
              <w:left w:val="nil"/>
              <w:bottom w:val="nil"/>
              <w:right w:val="nil"/>
            </w:tcBorders>
            <w:shd w:val="clear" w:color="auto" w:fill="auto"/>
            <w:noWrap/>
            <w:vAlign w:val="bottom"/>
            <w:hideMark/>
          </w:tcPr>
          <w:p w14:paraId="7D689851" w14:textId="77777777" w:rsidR="00BE6461" w:rsidRPr="00BE6461" w:rsidRDefault="00BE6461" w:rsidP="00BE6461">
            <w:pPr>
              <w:jc w:val="right"/>
              <w:rPr>
                <w:sz w:val="20"/>
                <w:szCs w:val="20"/>
              </w:rPr>
            </w:pPr>
          </w:p>
        </w:tc>
      </w:tr>
      <w:tr w:rsidR="00BE6461" w:rsidRPr="00BE6461" w14:paraId="53E59955" w14:textId="77777777" w:rsidTr="00BE6461">
        <w:trPr>
          <w:trHeight w:val="300"/>
        </w:trPr>
        <w:tc>
          <w:tcPr>
            <w:tcW w:w="1703" w:type="dxa"/>
            <w:tcBorders>
              <w:top w:val="nil"/>
              <w:left w:val="nil"/>
              <w:bottom w:val="nil"/>
              <w:right w:val="nil"/>
            </w:tcBorders>
            <w:shd w:val="clear" w:color="auto" w:fill="auto"/>
            <w:noWrap/>
            <w:vAlign w:val="bottom"/>
            <w:hideMark/>
          </w:tcPr>
          <w:p w14:paraId="46DB5522" w14:textId="77777777" w:rsidR="00BE6461" w:rsidRPr="00BE6461" w:rsidRDefault="00BE6461" w:rsidP="00BE6461">
            <w:pPr>
              <w:rPr>
                <w:b/>
                <w:bCs/>
                <w:sz w:val="20"/>
                <w:szCs w:val="20"/>
              </w:rPr>
            </w:pPr>
            <w:r w:rsidRPr="00BE6461">
              <w:rPr>
                <w:b/>
                <w:bCs/>
                <w:sz w:val="20"/>
                <w:szCs w:val="20"/>
              </w:rPr>
              <w:lastRenderedPageBreak/>
              <w:t>312</w:t>
            </w:r>
          </w:p>
        </w:tc>
        <w:tc>
          <w:tcPr>
            <w:tcW w:w="8457" w:type="dxa"/>
            <w:tcBorders>
              <w:top w:val="nil"/>
              <w:left w:val="nil"/>
              <w:bottom w:val="nil"/>
              <w:right w:val="nil"/>
            </w:tcBorders>
            <w:shd w:val="clear" w:color="auto" w:fill="auto"/>
            <w:vAlign w:val="bottom"/>
            <w:hideMark/>
          </w:tcPr>
          <w:p w14:paraId="675DD31D" w14:textId="77777777" w:rsidR="00BE6461" w:rsidRPr="00BE6461" w:rsidRDefault="00BE6461" w:rsidP="00BE6461">
            <w:pPr>
              <w:rPr>
                <w:b/>
                <w:bCs/>
                <w:sz w:val="20"/>
                <w:szCs w:val="20"/>
              </w:rPr>
            </w:pPr>
            <w:r w:rsidRPr="00BE6461">
              <w:rPr>
                <w:b/>
                <w:bCs/>
                <w:sz w:val="20"/>
                <w:szCs w:val="20"/>
              </w:rPr>
              <w:t xml:space="preserve">Ostali rashodi za zaposlene                                                                         </w:t>
            </w:r>
          </w:p>
        </w:tc>
        <w:tc>
          <w:tcPr>
            <w:tcW w:w="1503" w:type="dxa"/>
            <w:tcBorders>
              <w:top w:val="nil"/>
              <w:left w:val="nil"/>
              <w:bottom w:val="nil"/>
              <w:right w:val="nil"/>
            </w:tcBorders>
            <w:shd w:val="clear" w:color="auto" w:fill="auto"/>
            <w:noWrap/>
            <w:vAlign w:val="bottom"/>
            <w:hideMark/>
          </w:tcPr>
          <w:p w14:paraId="1578F09B" w14:textId="77777777" w:rsidR="00BE6461" w:rsidRPr="00BE6461" w:rsidRDefault="00BE6461" w:rsidP="00BE6461">
            <w:pPr>
              <w:jc w:val="right"/>
              <w:rPr>
                <w:b/>
                <w:bCs/>
                <w:sz w:val="20"/>
                <w:szCs w:val="20"/>
              </w:rPr>
            </w:pPr>
            <w:r w:rsidRPr="00BE6461">
              <w:rPr>
                <w:b/>
                <w:bCs/>
                <w:sz w:val="20"/>
                <w:szCs w:val="20"/>
              </w:rPr>
              <w:t>67.000,00</w:t>
            </w:r>
          </w:p>
        </w:tc>
        <w:tc>
          <w:tcPr>
            <w:tcW w:w="1500" w:type="dxa"/>
            <w:tcBorders>
              <w:top w:val="nil"/>
              <w:left w:val="nil"/>
              <w:bottom w:val="nil"/>
              <w:right w:val="nil"/>
            </w:tcBorders>
            <w:shd w:val="clear" w:color="auto" w:fill="auto"/>
            <w:noWrap/>
            <w:vAlign w:val="bottom"/>
            <w:hideMark/>
          </w:tcPr>
          <w:p w14:paraId="5BB32174" w14:textId="77777777" w:rsidR="00BE6461" w:rsidRPr="00BE6461" w:rsidRDefault="00BE6461" w:rsidP="00BE6461">
            <w:pPr>
              <w:jc w:val="right"/>
              <w:rPr>
                <w:b/>
                <w:bCs/>
                <w:sz w:val="20"/>
                <w:szCs w:val="20"/>
              </w:rPr>
            </w:pPr>
            <w:r w:rsidRPr="00BE6461">
              <w:rPr>
                <w:b/>
                <w:bCs/>
                <w:sz w:val="20"/>
                <w:szCs w:val="20"/>
              </w:rPr>
              <w:t>57.856,53</w:t>
            </w:r>
          </w:p>
        </w:tc>
        <w:tc>
          <w:tcPr>
            <w:tcW w:w="1100" w:type="dxa"/>
            <w:tcBorders>
              <w:top w:val="nil"/>
              <w:left w:val="nil"/>
              <w:bottom w:val="nil"/>
              <w:right w:val="nil"/>
            </w:tcBorders>
            <w:shd w:val="clear" w:color="auto" w:fill="auto"/>
            <w:noWrap/>
            <w:vAlign w:val="bottom"/>
            <w:hideMark/>
          </w:tcPr>
          <w:p w14:paraId="0217535C" w14:textId="77777777" w:rsidR="00BE6461" w:rsidRPr="00BE6461" w:rsidRDefault="00BE6461" w:rsidP="00BE6461">
            <w:pPr>
              <w:jc w:val="right"/>
              <w:rPr>
                <w:b/>
                <w:bCs/>
                <w:sz w:val="20"/>
                <w:szCs w:val="20"/>
              </w:rPr>
            </w:pPr>
            <w:r w:rsidRPr="00BE6461">
              <w:rPr>
                <w:b/>
                <w:bCs/>
                <w:sz w:val="20"/>
                <w:szCs w:val="20"/>
              </w:rPr>
              <w:t>86,35</w:t>
            </w:r>
          </w:p>
        </w:tc>
      </w:tr>
      <w:tr w:rsidR="00BE6461" w:rsidRPr="00BE6461" w14:paraId="09603A16" w14:textId="77777777" w:rsidTr="00BE6461">
        <w:trPr>
          <w:trHeight w:val="300"/>
        </w:trPr>
        <w:tc>
          <w:tcPr>
            <w:tcW w:w="1703" w:type="dxa"/>
            <w:tcBorders>
              <w:top w:val="nil"/>
              <w:left w:val="nil"/>
              <w:bottom w:val="nil"/>
              <w:right w:val="nil"/>
            </w:tcBorders>
            <w:shd w:val="clear" w:color="auto" w:fill="auto"/>
            <w:noWrap/>
            <w:vAlign w:val="bottom"/>
            <w:hideMark/>
          </w:tcPr>
          <w:p w14:paraId="2A383277" w14:textId="77777777" w:rsidR="00BE6461" w:rsidRPr="00BE6461" w:rsidRDefault="00BE6461" w:rsidP="00BE6461">
            <w:pPr>
              <w:rPr>
                <w:sz w:val="20"/>
                <w:szCs w:val="20"/>
              </w:rPr>
            </w:pPr>
            <w:r w:rsidRPr="00BE6461">
              <w:rPr>
                <w:sz w:val="20"/>
                <w:szCs w:val="20"/>
              </w:rPr>
              <w:t>3121</w:t>
            </w:r>
          </w:p>
        </w:tc>
        <w:tc>
          <w:tcPr>
            <w:tcW w:w="8457" w:type="dxa"/>
            <w:tcBorders>
              <w:top w:val="nil"/>
              <w:left w:val="nil"/>
              <w:bottom w:val="nil"/>
              <w:right w:val="nil"/>
            </w:tcBorders>
            <w:shd w:val="clear" w:color="auto" w:fill="auto"/>
            <w:vAlign w:val="bottom"/>
            <w:hideMark/>
          </w:tcPr>
          <w:p w14:paraId="48F4CEE1" w14:textId="77777777" w:rsidR="00BE6461" w:rsidRPr="00BE6461" w:rsidRDefault="00BE6461" w:rsidP="00BE6461">
            <w:pPr>
              <w:rPr>
                <w:sz w:val="20"/>
                <w:szCs w:val="20"/>
              </w:rPr>
            </w:pPr>
            <w:r w:rsidRPr="00BE6461">
              <w:rPr>
                <w:sz w:val="20"/>
                <w:szCs w:val="20"/>
              </w:rPr>
              <w:t xml:space="preserve">Ostali rashodi za zaposlene                                                                         </w:t>
            </w:r>
          </w:p>
        </w:tc>
        <w:tc>
          <w:tcPr>
            <w:tcW w:w="1503" w:type="dxa"/>
            <w:tcBorders>
              <w:top w:val="nil"/>
              <w:left w:val="nil"/>
              <w:bottom w:val="nil"/>
              <w:right w:val="nil"/>
            </w:tcBorders>
            <w:shd w:val="clear" w:color="auto" w:fill="auto"/>
            <w:noWrap/>
            <w:vAlign w:val="bottom"/>
            <w:hideMark/>
          </w:tcPr>
          <w:p w14:paraId="72B16AC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B5B04E1" w14:textId="77777777" w:rsidR="00BE6461" w:rsidRPr="00BE6461" w:rsidRDefault="00BE6461" w:rsidP="00BE6461">
            <w:pPr>
              <w:jc w:val="right"/>
              <w:rPr>
                <w:sz w:val="20"/>
                <w:szCs w:val="20"/>
              </w:rPr>
            </w:pPr>
            <w:r w:rsidRPr="00BE6461">
              <w:rPr>
                <w:sz w:val="20"/>
                <w:szCs w:val="20"/>
              </w:rPr>
              <w:t>57.856,53</w:t>
            </w:r>
          </w:p>
        </w:tc>
        <w:tc>
          <w:tcPr>
            <w:tcW w:w="1100" w:type="dxa"/>
            <w:tcBorders>
              <w:top w:val="nil"/>
              <w:left w:val="nil"/>
              <w:bottom w:val="nil"/>
              <w:right w:val="nil"/>
            </w:tcBorders>
            <w:shd w:val="clear" w:color="auto" w:fill="auto"/>
            <w:noWrap/>
            <w:vAlign w:val="bottom"/>
            <w:hideMark/>
          </w:tcPr>
          <w:p w14:paraId="0DD6ED74" w14:textId="77777777" w:rsidR="00BE6461" w:rsidRPr="00BE6461" w:rsidRDefault="00BE6461" w:rsidP="00BE6461">
            <w:pPr>
              <w:jc w:val="right"/>
              <w:rPr>
                <w:sz w:val="20"/>
                <w:szCs w:val="20"/>
              </w:rPr>
            </w:pPr>
          </w:p>
        </w:tc>
      </w:tr>
      <w:tr w:rsidR="00BE6461" w:rsidRPr="00BE6461" w14:paraId="59DE1711" w14:textId="77777777" w:rsidTr="00BE6461">
        <w:trPr>
          <w:trHeight w:val="300"/>
        </w:trPr>
        <w:tc>
          <w:tcPr>
            <w:tcW w:w="1703" w:type="dxa"/>
            <w:tcBorders>
              <w:top w:val="nil"/>
              <w:left w:val="nil"/>
              <w:bottom w:val="nil"/>
              <w:right w:val="nil"/>
            </w:tcBorders>
            <w:shd w:val="clear" w:color="auto" w:fill="auto"/>
            <w:noWrap/>
            <w:vAlign w:val="bottom"/>
            <w:hideMark/>
          </w:tcPr>
          <w:p w14:paraId="4BA10148" w14:textId="77777777" w:rsidR="00BE6461" w:rsidRPr="00BE6461" w:rsidRDefault="00BE6461" w:rsidP="00BE6461">
            <w:pPr>
              <w:rPr>
                <w:b/>
                <w:bCs/>
                <w:sz w:val="20"/>
                <w:szCs w:val="20"/>
              </w:rPr>
            </w:pPr>
            <w:r w:rsidRPr="00BE6461">
              <w:rPr>
                <w:b/>
                <w:bCs/>
                <w:sz w:val="20"/>
                <w:szCs w:val="20"/>
              </w:rPr>
              <w:t>313</w:t>
            </w:r>
          </w:p>
        </w:tc>
        <w:tc>
          <w:tcPr>
            <w:tcW w:w="8457" w:type="dxa"/>
            <w:tcBorders>
              <w:top w:val="nil"/>
              <w:left w:val="nil"/>
              <w:bottom w:val="nil"/>
              <w:right w:val="nil"/>
            </w:tcBorders>
            <w:shd w:val="clear" w:color="auto" w:fill="auto"/>
            <w:vAlign w:val="bottom"/>
            <w:hideMark/>
          </w:tcPr>
          <w:p w14:paraId="7ABB1632" w14:textId="77777777" w:rsidR="00BE6461" w:rsidRPr="00BE6461" w:rsidRDefault="00BE6461" w:rsidP="00BE6461">
            <w:pPr>
              <w:rPr>
                <w:b/>
                <w:bCs/>
                <w:sz w:val="20"/>
                <w:szCs w:val="20"/>
              </w:rPr>
            </w:pPr>
            <w:r w:rsidRPr="00BE6461">
              <w:rPr>
                <w:b/>
                <w:bCs/>
                <w:sz w:val="20"/>
                <w:szCs w:val="20"/>
              </w:rPr>
              <w:t xml:space="preserve">Doprinosi na plaće                                                                                  </w:t>
            </w:r>
          </w:p>
        </w:tc>
        <w:tc>
          <w:tcPr>
            <w:tcW w:w="1503" w:type="dxa"/>
            <w:tcBorders>
              <w:top w:val="nil"/>
              <w:left w:val="nil"/>
              <w:bottom w:val="nil"/>
              <w:right w:val="nil"/>
            </w:tcBorders>
            <w:shd w:val="clear" w:color="auto" w:fill="auto"/>
            <w:noWrap/>
            <w:vAlign w:val="bottom"/>
            <w:hideMark/>
          </w:tcPr>
          <w:p w14:paraId="764F83B5" w14:textId="77777777" w:rsidR="00BE6461" w:rsidRPr="00BE6461" w:rsidRDefault="00BE6461" w:rsidP="00BE6461">
            <w:pPr>
              <w:jc w:val="right"/>
              <w:rPr>
                <w:b/>
                <w:bCs/>
                <w:sz w:val="20"/>
                <w:szCs w:val="20"/>
              </w:rPr>
            </w:pPr>
            <w:r w:rsidRPr="00BE6461">
              <w:rPr>
                <w:b/>
                <w:bCs/>
                <w:sz w:val="20"/>
                <w:szCs w:val="20"/>
              </w:rPr>
              <w:t>116.325,00</w:t>
            </w:r>
          </w:p>
        </w:tc>
        <w:tc>
          <w:tcPr>
            <w:tcW w:w="1500" w:type="dxa"/>
            <w:tcBorders>
              <w:top w:val="nil"/>
              <w:left w:val="nil"/>
              <w:bottom w:val="nil"/>
              <w:right w:val="nil"/>
            </w:tcBorders>
            <w:shd w:val="clear" w:color="auto" w:fill="auto"/>
            <w:noWrap/>
            <w:vAlign w:val="bottom"/>
            <w:hideMark/>
          </w:tcPr>
          <w:p w14:paraId="637CA738" w14:textId="77777777" w:rsidR="00BE6461" w:rsidRPr="00BE6461" w:rsidRDefault="00BE6461" w:rsidP="00BE6461">
            <w:pPr>
              <w:jc w:val="right"/>
              <w:rPr>
                <w:b/>
                <w:bCs/>
                <w:sz w:val="20"/>
                <w:szCs w:val="20"/>
              </w:rPr>
            </w:pPr>
            <w:r w:rsidRPr="00BE6461">
              <w:rPr>
                <w:b/>
                <w:bCs/>
                <w:sz w:val="20"/>
                <w:szCs w:val="20"/>
              </w:rPr>
              <w:t>108.916,96</w:t>
            </w:r>
          </w:p>
        </w:tc>
        <w:tc>
          <w:tcPr>
            <w:tcW w:w="1100" w:type="dxa"/>
            <w:tcBorders>
              <w:top w:val="nil"/>
              <w:left w:val="nil"/>
              <w:bottom w:val="nil"/>
              <w:right w:val="nil"/>
            </w:tcBorders>
            <w:shd w:val="clear" w:color="auto" w:fill="auto"/>
            <w:noWrap/>
            <w:vAlign w:val="bottom"/>
            <w:hideMark/>
          </w:tcPr>
          <w:p w14:paraId="402801E9" w14:textId="77777777" w:rsidR="00BE6461" w:rsidRPr="00BE6461" w:rsidRDefault="00BE6461" w:rsidP="00BE6461">
            <w:pPr>
              <w:jc w:val="right"/>
              <w:rPr>
                <w:b/>
                <w:bCs/>
                <w:sz w:val="20"/>
                <w:szCs w:val="20"/>
              </w:rPr>
            </w:pPr>
            <w:r w:rsidRPr="00BE6461">
              <w:rPr>
                <w:b/>
                <w:bCs/>
                <w:sz w:val="20"/>
                <w:szCs w:val="20"/>
              </w:rPr>
              <w:t>93,63</w:t>
            </w:r>
          </w:p>
        </w:tc>
      </w:tr>
      <w:tr w:rsidR="00BE6461" w:rsidRPr="00BE6461" w14:paraId="3D2721C7" w14:textId="77777777" w:rsidTr="00BE6461">
        <w:trPr>
          <w:trHeight w:val="300"/>
        </w:trPr>
        <w:tc>
          <w:tcPr>
            <w:tcW w:w="1703" w:type="dxa"/>
            <w:tcBorders>
              <w:top w:val="nil"/>
              <w:left w:val="nil"/>
              <w:bottom w:val="nil"/>
              <w:right w:val="nil"/>
            </w:tcBorders>
            <w:shd w:val="clear" w:color="auto" w:fill="auto"/>
            <w:noWrap/>
            <w:vAlign w:val="bottom"/>
            <w:hideMark/>
          </w:tcPr>
          <w:p w14:paraId="3827D5B2" w14:textId="77777777" w:rsidR="00BE6461" w:rsidRPr="00BE6461" w:rsidRDefault="00BE6461" w:rsidP="00BE6461">
            <w:pPr>
              <w:rPr>
                <w:sz w:val="20"/>
                <w:szCs w:val="20"/>
              </w:rPr>
            </w:pPr>
            <w:r w:rsidRPr="00BE6461">
              <w:rPr>
                <w:sz w:val="20"/>
                <w:szCs w:val="20"/>
              </w:rPr>
              <w:t>3132</w:t>
            </w:r>
          </w:p>
        </w:tc>
        <w:tc>
          <w:tcPr>
            <w:tcW w:w="8457" w:type="dxa"/>
            <w:tcBorders>
              <w:top w:val="nil"/>
              <w:left w:val="nil"/>
              <w:bottom w:val="nil"/>
              <w:right w:val="nil"/>
            </w:tcBorders>
            <w:shd w:val="clear" w:color="auto" w:fill="auto"/>
            <w:vAlign w:val="bottom"/>
            <w:hideMark/>
          </w:tcPr>
          <w:p w14:paraId="6B3DE46E" w14:textId="77777777" w:rsidR="00BE6461" w:rsidRPr="00BE6461" w:rsidRDefault="00BE6461" w:rsidP="00BE6461">
            <w:pPr>
              <w:rPr>
                <w:sz w:val="20"/>
                <w:szCs w:val="20"/>
              </w:rPr>
            </w:pPr>
            <w:r w:rsidRPr="00BE6461">
              <w:rPr>
                <w:sz w:val="20"/>
                <w:szCs w:val="20"/>
              </w:rPr>
              <w:t xml:space="preserve">Doprinosi za obvezno zdravstveno osiguranje                                                         </w:t>
            </w:r>
          </w:p>
        </w:tc>
        <w:tc>
          <w:tcPr>
            <w:tcW w:w="1503" w:type="dxa"/>
            <w:tcBorders>
              <w:top w:val="nil"/>
              <w:left w:val="nil"/>
              <w:bottom w:val="nil"/>
              <w:right w:val="nil"/>
            </w:tcBorders>
            <w:shd w:val="clear" w:color="auto" w:fill="auto"/>
            <w:noWrap/>
            <w:vAlign w:val="bottom"/>
            <w:hideMark/>
          </w:tcPr>
          <w:p w14:paraId="407136D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25198B7" w14:textId="77777777" w:rsidR="00BE6461" w:rsidRPr="00BE6461" w:rsidRDefault="00BE6461" w:rsidP="00BE6461">
            <w:pPr>
              <w:jc w:val="right"/>
              <w:rPr>
                <w:sz w:val="20"/>
                <w:szCs w:val="20"/>
              </w:rPr>
            </w:pPr>
            <w:r w:rsidRPr="00BE6461">
              <w:rPr>
                <w:sz w:val="20"/>
                <w:szCs w:val="20"/>
              </w:rPr>
              <w:t>108.916,96</w:t>
            </w:r>
          </w:p>
        </w:tc>
        <w:tc>
          <w:tcPr>
            <w:tcW w:w="1100" w:type="dxa"/>
            <w:tcBorders>
              <w:top w:val="nil"/>
              <w:left w:val="nil"/>
              <w:bottom w:val="nil"/>
              <w:right w:val="nil"/>
            </w:tcBorders>
            <w:shd w:val="clear" w:color="auto" w:fill="auto"/>
            <w:noWrap/>
            <w:vAlign w:val="bottom"/>
            <w:hideMark/>
          </w:tcPr>
          <w:p w14:paraId="1F5C90AE" w14:textId="77777777" w:rsidR="00BE6461" w:rsidRPr="00BE6461" w:rsidRDefault="00BE6461" w:rsidP="00BE6461">
            <w:pPr>
              <w:jc w:val="right"/>
              <w:rPr>
                <w:sz w:val="20"/>
                <w:szCs w:val="20"/>
              </w:rPr>
            </w:pPr>
          </w:p>
        </w:tc>
      </w:tr>
      <w:tr w:rsidR="00BE6461" w:rsidRPr="00BE6461" w14:paraId="1885362B"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21479C79" w14:textId="77777777" w:rsidR="00BE6461" w:rsidRPr="00BE6461" w:rsidRDefault="00BE6461" w:rsidP="00BE6461">
            <w:pPr>
              <w:rPr>
                <w:b/>
                <w:bCs/>
                <w:sz w:val="20"/>
                <w:szCs w:val="20"/>
              </w:rPr>
            </w:pPr>
            <w:r w:rsidRPr="00BE6461">
              <w:rPr>
                <w:b/>
                <w:bCs/>
                <w:sz w:val="20"/>
                <w:szCs w:val="20"/>
              </w:rPr>
              <w:t>K200013</w:t>
            </w:r>
          </w:p>
        </w:tc>
        <w:tc>
          <w:tcPr>
            <w:tcW w:w="8457" w:type="dxa"/>
            <w:tcBorders>
              <w:top w:val="single" w:sz="4" w:space="0" w:color="auto"/>
              <w:left w:val="nil"/>
              <w:bottom w:val="single" w:sz="4" w:space="0" w:color="auto"/>
              <w:right w:val="nil"/>
            </w:tcBorders>
            <w:shd w:val="clear" w:color="auto" w:fill="auto"/>
            <w:vAlign w:val="bottom"/>
            <w:hideMark/>
          </w:tcPr>
          <w:p w14:paraId="534A84E1" w14:textId="77777777" w:rsidR="00BE6461" w:rsidRPr="00BE6461" w:rsidRDefault="00BE6461" w:rsidP="00BE6461">
            <w:pPr>
              <w:rPr>
                <w:b/>
                <w:bCs/>
                <w:sz w:val="20"/>
                <w:szCs w:val="20"/>
              </w:rPr>
            </w:pPr>
            <w:r w:rsidRPr="00BE6461">
              <w:rPr>
                <w:b/>
                <w:bCs/>
                <w:sz w:val="20"/>
                <w:szCs w:val="20"/>
              </w:rPr>
              <w:t>Kapitalni projekt: DOKAPITALIZACIJA KOMUNALNOG PODUZEĆA I KAPITALNE POMOĆI</w:t>
            </w:r>
          </w:p>
        </w:tc>
        <w:tc>
          <w:tcPr>
            <w:tcW w:w="1503" w:type="dxa"/>
            <w:tcBorders>
              <w:top w:val="single" w:sz="4" w:space="0" w:color="auto"/>
              <w:left w:val="nil"/>
              <w:bottom w:val="single" w:sz="4" w:space="0" w:color="auto"/>
              <w:right w:val="nil"/>
            </w:tcBorders>
            <w:shd w:val="clear" w:color="auto" w:fill="auto"/>
            <w:noWrap/>
            <w:vAlign w:val="bottom"/>
            <w:hideMark/>
          </w:tcPr>
          <w:p w14:paraId="6CD88B0B" w14:textId="77777777" w:rsidR="00BE6461" w:rsidRPr="00BE6461" w:rsidRDefault="00BE6461" w:rsidP="00BE6461">
            <w:pPr>
              <w:jc w:val="right"/>
              <w:rPr>
                <w:b/>
                <w:bCs/>
                <w:sz w:val="20"/>
                <w:szCs w:val="20"/>
              </w:rPr>
            </w:pPr>
            <w:r w:rsidRPr="00BE6461">
              <w:rPr>
                <w:b/>
                <w:bCs/>
                <w:sz w:val="20"/>
                <w:szCs w:val="20"/>
              </w:rPr>
              <w:t>200.000,00</w:t>
            </w:r>
          </w:p>
        </w:tc>
        <w:tc>
          <w:tcPr>
            <w:tcW w:w="1500" w:type="dxa"/>
            <w:tcBorders>
              <w:top w:val="single" w:sz="4" w:space="0" w:color="auto"/>
              <w:left w:val="nil"/>
              <w:bottom w:val="single" w:sz="4" w:space="0" w:color="auto"/>
              <w:right w:val="nil"/>
            </w:tcBorders>
            <w:shd w:val="clear" w:color="auto" w:fill="auto"/>
            <w:noWrap/>
            <w:vAlign w:val="bottom"/>
            <w:hideMark/>
          </w:tcPr>
          <w:p w14:paraId="4A5B26FF"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25F3E42C"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5CF1EDE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97BBC5A" w14:textId="77777777" w:rsidR="00BE6461" w:rsidRPr="00BE6461" w:rsidRDefault="00BE6461" w:rsidP="00BE6461">
            <w:pPr>
              <w:rPr>
                <w:b/>
                <w:bCs/>
                <w:color w:val="333333"/>
                <w:sz w:val="20"/>
                <w:szCs w:val="20"/>
              </w:rPr>
            </w:pPr>
            <w:r w:rsidRPr="00BE6461">
              <w:rPr>
                <w:b/>
                <w:bCs/>
                <w:color w:val="333333"/>
                <w:sz w:val="20"/>
                <w:szCs w:val="20"/>
              </w:rPr>
              <w:t>Izvor 7. PRIHODI OD NEFIN.IMOVINE I NADOKNADE ŠTETA OD OSIG.</w:t>
            </w:r>
          </w:p>
        </w:tc>
        <w:tc>
          <w:tcPr>
            <w:tcW w:w="1503" w:type="dxa"/>
            <w:tcBorders>
              <w:top w:val="nil"/>
              <w:left w:val="nil"/>
              <w:bottom w:val="nil"/>
              <w:right w:val="nil"/>
            </w:tcBorders>
            <w:shd w:val="clear" w:color="auto" w:fill="auto"/>
            <w:noWrap/>
            <w:vAlign w:val="bottom"/>
            <w:hideMark/>
          </w:tcPr>
          <w:p w14:paraId="2AF5B365" w14:textId="77777777" w:rsidR="00BE6461" w:rsidRPr="00BE6461" w:rsidRDefault="00BE6461" w:rsidP="00BE6461">
            <w:pPr>
              <w:jc w:val="right"/>
              <w:rPr>
                <w:b/>
                <w:bCs/>
                <w:color w:val="333333"/>
                <w:sz w:val="20"/>
                <w:szCs w:val="20"/>
              </w:rPr>
            </w:pPr>
            <w:r w:rsidRPr="00BE6461">
              <w:rPr>
                <w:b/>
                <w:bCs/>
                <w:color w:val="333333"/>
                <w:sz w:val="20"/>
                <w:szCs w:val="20"/>
              </w:rPr>
              <w:t>200.000,00</w:t>
            </w:r>
          </w:p>
        </w:tc>
        <w:tc>
          <w:tcPr>
            <w:tcW w:w="1500" w:type="dxa"/>
            <w:tcBorders>
              <w:top w:val="nil"/>
              <w:left w:val="nil"/>
              <w:bottom w:val="nil"/>
              <w:right w:val="nil"/>
            </w:tcBorders>
            <w:shd w:val="clear" w:color="auto" w:fill="auto"/>
            <w:noWrap/>
            <w:vAlign w:val="bottom"/>
            <w:hideMark/>
          </w:tcPr>
          <w:p w14:paraId="2EEFF658"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100" w:type="dxa"/>
            <w:tcBorders>
              <w:top w:val="nil"/>
              <w:left w:val="nil"/>
              <w:bottom w:val="nil"/>
              <w:right w:val="nil"/>
            </w:tcBorders>
            <w:shd w:val="clear" w:color="auto" w:fill="auto"/>
            <w:noWrap/>
            <w:vAlign w:val="bottom"/>
            <w:hideMark/>
          </w:tcPr>
          <w:p w14:paraId="46CA60D7"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35F08D19"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8406992" w14:textId="77777777" w:rsidR="00BE6461" w:rsidRPr="00BE6461" w:rsidRDefault="00BE6461" w:rsidP="00BE6461">
            <w:pPr>
              <w:rPr>
                <w:b/>
                <w:bCs/>
                <w:color w:val="333333"/>
                <w:sz w:val="20"/>
                <w:szCs w:val="20"/>
              </w:rPr>
            </w:pPr>
            <w:r w:rsidRPr="00BE6461">
              <w:rPr>
                <w:b/>
                <w:bCs/>
                <w:color w:val="333333"/>
                <w:sz w:val="20"/>
                <w:szCs w:val="20"/>
              </w:rPr>
              <w:t>Izvor 7.1. PRIHODI OD NEFIN.IMOVINE I NADOKNADE ŠTETA OD OSIG.</w:t>
            </w:r>
          </w:p>
        </w:tc>
        <w:tc>
          <w:tcPr>
            <w:tcW w:w="1503" w:type="dxa"/>
            <w:tcBorders>
              <w:top w:val="nil"/>
              <w:left w:val="nil"/>
              <w:bottom w:val="nil"/>
              <w:right w:val="nil"/>
            </w:tcBorders>
            <w:shd w:val="clear" w:color="auto" w:fill="auto"/>
            <w:noWrap/>
            <w:vAlign w:val="bottom"/>
            <w:hideMark/>
          </w:tcPr>
          <w:p w14:paraId="6A1ED7C9" w14:textId="77777777" w:rsidR="00BE6461" w:rsidRPr="00BE6461" w:rsidRDefault="00BE6461" w:rsidP="00BE6461">
            <w:pPr>
              <w:jc w:val="right"/>
              <w:rPr>
                <w:b/>
                <w:bCs/>
                <w:color w:val="333333"/>
                <w:sz w:val="20"/>
                <w:szCs w:val="20"/>
              </w:rPr>
            </w:pPr>
            <w:r w:rsidRPr="00BE6461">
              <w:rPr>
                <w:b/>
                <w:bCs/>
                <w:color w:val="333333"/>
                <w:sz w:val="20"/>
                <w:szCs w:val="20"/>
              </w:rPr>
              <w:t>200.000,00</w:t>
            </w:r>
          </w:p>
        </w:tc>
        <w:tc>
          <w:tcPr>
            <w:tcW w:w="1500" w:type="dxa"/>
            <w:tcBorders>
              <w:top w:val="nil"/>
              <w:left w:val="nil"/>
              <w:bottom w:val="nil"/>
              <w:right w:val="nil"/>
            </w:tcBorders>
            <w:shd w:val="clear" w:color="auto" w:fill="auto"/>
            <w:noWrap/>
            <w:vAlign w:val="bottom"/>
            <w:hideMark/>
          </w:tcPr>
          <w:p w14:paraId="3C491A61"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100" w:type="dxa"/>
            <w:tcBorders>
              <w:top w:val="nil"/>
              <w:left w:val="nil"/>
              <w:bottom w:val="nil"/>
              <w:right w:val="nil"/>
            </w:tcBorders>
            <w:shd w:val="clear" w:color="auto" w:fill="auto"/>
            <w:noWrap/>
            <w:vAlign w:val="bottom"/>
            <w:hideMark/>
          </w:tcPr>
          <w:p w14:paraId="5B85C557"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53CFFA32" w14:textId="77777777" w:rsidTr="00BE6461">
        <w:trPr>
          <w:trHeight w:val="300"/>
        </w:trPr>
        <w:tc>
          <w:tcPr>
            <w:tcW w:w="1703" w:type="dxa"/>
            <w:tcBorders>
              <w:top w:val="nil"/>
              <w:left w:val="nil"/>
              <w:bottom w:val="nil"/>
              <w:right w:val="nil"/>
            </w:tcBorders>
            <w:shd w:val="clear" w:color="auto" w:fill="auto"/>
            <w:noWrap/>
            <w:vAlign w:val="bottom"/>
            <w:hideMark/>
          </w:tcPr>
          <w:p w14:paraId="6861C089" w14:textId="77777777" w:rsidR="00BE6461" w:rsidRPr="00BE6461" w:rsidRDefault="00BE6461" w:rsidP="00BE6461">
            <w:pPr>
              <w:rPr>
                <w:b/>
                <w:bCs/>
                <w:sz w:val="20"/>
                <w:szCs w:val="20"/>
              </w:rPr>
            </w:pPr>
            <w:r w:rsidRPr="00BE6461">
              <w:rPr>
                <w:b/>
                <w:bCs/>
                <w:sz w:val="20"/>
                <w:szCs w:val="20"/>
              </w:rPr>
              <w:t>386</w:t>
            </w:r>
          </w:p>
        </w:tc>
        <w:tc>
          <w:tcPr>
            <w:tcW w:w="8457" w:type="dxa"/>
            <w:tcBorders>
              <w:top w:val="nil"/>
              <w:left w:val="nil"/>
              <w:bottom w:val="nil"/>
              <w:right w:val="nil"/>
            </w:tcBorders>
            <w:shd w:val="clear" w:color="auto" w:fill="auto"/>
            <w:vAlign w:val="bottom"/>
            <w:hideMark/>
          </w:tcPr>
          <w:p w14:paraId="09243A6A" w14:textId="77777777" w:rsidR="00BE6461" w:rsidRPr="00BE6461" w:rsidRDefault="00BE6461" w:rsidP="00BE6461">
            <w:pPr>
              <w:rPr>
                <w:b/>
                <w:bCs/>
                <w:sz w:val="20"/>
                <w:szCs w:val="20"/>
              </w:rPr>
            </w:pPr>
            <w:r w:rsidRPr="00BE6461">
              <w:rPr>
                <w:b/>
                <w:bCs/>
                <w:sz w:val="20"/>
                <w:szCs w:val="20"/>
              </w:rPr>
              <w:t xml:space="preserve">Kapitalne pomoći                                                                                    </w:t>
            </w:r>
          </w:p>
        </w:tc>
        <w:tc>
          <w:tcPr>
            <w:tcW w:w="1503" w:type="dxa"/>
            <w:tcBorders>
              <w:top w:val="nil"/>
              <w:left w:val="nil"/>
              <w:bottom w:val="nil"/>
              <w:right w:val="nil"/>
            </w:tcBorders>
            <w:shd w:val="clear" w:color="auto" w:fill="auto"/>
            <w:noWrap/>
            <w:vAlign w:val="bottom"/>
            <w:hideMark/>
          </w:tcPr>
          <w:p w14:paraId="4DE1A489" w14:textId="77777777" w:rsidR="00BE6461" w:rsidRPr="00BE6461" w:rsidRDefault="00BE6461" w:rsidP="00BE6461">
            <w:pPr>
              <w:jc w:val="right"/>
              <w:rPr>
                <w:b/>
                <w:bCs/>
                <w:sz w:val="20"/>
                <w:szCs w:val="20"/>
              </w:rPr>
            </w:pPr>
            <w:r w:rsidRPr="00BE6461">
              <w:rPr>
                <w:b/>
                <w:bCs/>
                <w:sz w:val="20"/>
                <w:szCs w:val="20"/>
              </w:rPr>
              <w:t>200.000,00</w:t>
            </w:r>
          </w:p>
        </w:tc>
        <w:tc>
          <w:tcPr>
            <w:tcW w:w="1500" w:type="dxa"/>
            <w:tcBorders>
              <w:top w:val="nil"/>
              <w:left w:val="nil"/>
              <w:bottom w:val="nil"/>
              <w:right w:val="nil"/>
            </w:tcBorders>
            <w:shd w:val="clear" w:color="auto" w:fill="auto"/>
            <w:noWrap/>
            <w:vAlign w:val="bottom"/>
            <w:hideMark/>
          </w:tcPr>
          <w:p w14:paraId="6472062A"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056376C4"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10603CDB" w14:textId="77777777" w:rsidTr="00BE6461">
        <w:trPr>
          <w:trHeight w:val="525"/>
        </w:trPr>
        <w:tc>
          <w:tcPr>
            <w:tcW w:w="1703" w:type="dxa"/>
            <w:tcBorders>
              <w:top w:val="nil"/>
              <w:left w:val="nil"/>
              <w:bottom w:val="nil"/>
              <w:right w:val="nil"/>
            </w:tcBorders>
            <w:shd w:val="clear" w:color="auto" w:fill="auto"/>
            <w:noWrap/>
            <w:vAlign w:val="bottom"/>
            <w:hideMark/>
          </w:tcPr>
          <w:p w14:paraId="6CBE2475" w14:textId="77777777" w:rsidR="00BE6461" w:rsidRPr="00BE6461" w:rsidRDefault="00BE6461" w:rsidP="00BE6461">
            <w:pPr>
              <w:rPr>
                <w:sz w:val="20"/>
                <w:szCs w:val="20"/>
              </w:rPr>
            </w:pPr>
            <w:r w:rsidRPr="00BE6461">
              <w:rPr>
                <w:sz w:val="20"/>
                <w:szCs w:val="20"/>
              </w:rPr>
              <w:t>3861</w:t>
            </w:r>
          </w:p>
        </w:tc>
        <w:tc>
          <w:tcPr>
            <w:tcW w:w="8457" w:type="dxa"/>
            <w:tcBorders>
              <w:top w:val="nil"/>
              <w:left w:val="nil"/>
              <w:bottom w:val="nil"/>
              <w:right w:val="nil"/>
            </w:tcBorders>
            <w:shd w:val="clear" w:color="auto" w:fill="auto"/>
            <w:vAlign w:val="bottom"/>
            <w:hideMark/>
          </w:tcPr>
          <w:p w14:paraId="5589839B" w14:textId="77777777" w:rsidR="00BE6461" w:rsidRPr="00BE6461" w:rsidRDefault="00BE6461" w:rsidP="00BE6461">
            <w:pPr>
              <w:rPr>
                <w:sz w:val="20"/>
                <w:szCs w:val="20"/>
              </w:rPr>
            </w:pPr>
            <w:r w:rsidRPr="00BE6461">
              <w:rPr>
                <w:sz w:val="20"/>
                <w:szCs w:val="20"/>
              </w:rPr>
              <w:t xml:space="preserve">Kapitalne pomoći kreditnim i ostalim financijskim institucijama te trgovačkim društvima u javnom </w:t>
            </w:r>
            <w:proofErr w:type="spellStart"/>
            <w:r w:rsidRPr="00BE6461">
              <w:rPr>
                <w:sz w:val="20"/>
                <w:szCs w:val="20"/>
              </w:rPr>
              <w:t>sek</w:t>
            </w:r>
            <w:proofErr w:type="spellEnd"/>
          </w:p>
        </w:tc>
        <w:tc>
          <w:tcPr>
            <w:tcW w:w="1503" w:type="dxa"/>
            <w:tcBorders>
              <w:top w:val="nil"/>
              <w:left w:val="nil"/>
              <w:bottom w:val="nil"/>
              <w:right w:val="nil"/>
            </w:tcBorders>
            <w:shd w:val="clear" w:color="auto" w:fill="auto"/>
            <w:noWrap/>
            <w:vAlign w:val="bottom"/>
            <w:hideMark/>
          </w:tcPr>
          <w:p w14:paraId="178AA8C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D78A69E"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589CBF35" w14:textId="77777777" w:rsidR="00BE6461" w:rsidRPr="00BE6461" w:rsidRDefault="00BE6461" w:rsidP="00BE6461">
            <w:pPr>
              <w:jc w:val="right"/>
              <w:rPr>
                <w:sz w:val="20"/>
                <w:szCs w:val="20"/>
              </w:rPr>
            </w:pPr>
          </w:p>
        </w:tc>
      </w:tr>
      <w:tr w:rsidR="00BE6461" w:rsidRPr="00BE6461" w14:paraId="226430C8" w14:textId="77777777" w:rsidTr="00BE6461">
        <w:trPr>
          <w:trHeight w:val="390"/>
        </w:trPr>
        <w:tc>
          <w:tcPr>
            <w:tcW w:w="1703" w:type="dxa"/>
            <w:tcBorders>
              <w:top w:val="single" w:sz="4" w:space="0" w:color="auto"/>
              <w:left w:val="nil"/>
              <w:bottom w:val="nil"/>
              <w:right w:val="nil"/>
            </w:tcBorders>
            <w:shd w:val="clear" w:color="auto" w:fill="auto"/>
            <w:noWrap/>
            <w:vAlign w:val="bottom"/>
            <w:hideMark/>
          </w:tcPr>
          <w:p w14:paraId="570B66EA" w14:textId="77777777" w:rsidR="00BE6461" w:rsidRPr="00BE6461" w:rsidRDefault="00BE6461" w:rsidP="00BE6461">
            <w:pPr>
              <w:rPr>
                <w:b/>
                <w:bCs/>
                <w:sz w:val="20"/>
                <w:szCs w:val="20"/>
              </w:rPr>
            </w:pPr>
            <w:r w:rsidRPr="00BE6461">
              <w:rPr>
                <w:b/>
                <w:bCs/>
                <w:sz w:val="20"/>
                <w:szCs w:val="20"/>
              </w:rPr>
              <w:t>2004</w:t>
            </w:r>
          </w:p>
        </w:tc>
        <w:tc>
          <w:tcPr>
            <w:tcW w:w="8457" w:type="dxa"/>
            <w:tcBorders>
              <w:top w:val="single" w:sz="4" w:space="0" w:color="auto"/>
              <w:left w:val="nil"/>
              <w:bottom w:val="nil"/>
              <w:right w:val="nil"/>
            </w:tcBorders>
            <w:shd w:val="clear" w:color="auto" w:fill="auto"/>
            <w:vAlign w:val="bottom"/>
            <w:hideMark/>
          </w:tcPr>
          <w:p w14:paraId="6B77F22D" w14:textId="77777777" w:rsidR="00BE6461" w:rsidRPr="00BE6461" w:rsidRDefault="00BE6461" w:rsidP="00BE6461">
            <w:pPr>
              <w:rPr>
                <w:b/>
                <w:bCs/>
                <w:sz w:val="20"/>
                <w:szCs w:val="20"/>
              </w:rPr>
            </w:pPr>
            <w:r w:rsidRPr="00BE6461">
              <w:rPr>
                <w:b/>
                <w:bCs/>
                <w:sz w:val="20"/>
                <w:szCs w:val="20"/>
              </w:rPr>
              <w:t>Program: ODRŽAVANJE KOMUNALNE INFRASTRUKTURE</w:t>
            </w:r>
          </w:p>
        </w:tc>
        <w:tc>
          <w:tcPr>
            <w:tcW w:w="1503" w:type="dxa"/>
            <w:tcBorders>
              <w:top w:val="single" w:sz="4" w:space="0" w:color="auto"/>
              <w:left w:val="nil"/>
              <w:bottom w:val="nil"/>
              <w:right w:val="nil"/>
            </w:tcBorders>
            <w:shd w:val="clear" w:color="auto" w:fill="auto"/>
            <w:noWrap/>
            <w:vAlign w:val="bottom"/>
            <w:hideMark/>
          </w:tcPr>
          <w:p w14:paraId="73929A03" w14:textId="77777777" w:rsidR="00BE6461" w:rsidRPr="00BE6461" w:rsidRDefault="00BE6461" w:rsidP="00BE6461">
            <w:pPr>
              <w:jc w:val="right"/>
              <w:rPr>
                <w:b/>
                <w:bCs/>
                <w:sz w:val="20"/>
                <w:szCs w:val="20"/>
              </w:rPr>
            </w:pPr>
            <w:r w:rsidRPr="00BE6461">
              <w:rPr>
                <w:b/>
                <w:bCs/>
                <w:sz w:val="20"/>
                <w:szCs w:val="20"/>
              </w:rPr>
              <w:t>10.446.823,47</w:t>
            </w:r>
          </w:p>
        </w:tc>
        <w:tc>
          <w:tcPr>
            <w:tcW w:w="1500" w:type="dxa"/>
            <w:tcBorders>
              <w:top w:val="single" w:sz="4" w:space="0" w:color="auto"/>
              <w:left w:val="nil"/>
              <w:bottom w:val="nil"/>
              <w:right w:val="nil"/>
            </w:tcBorders>
            <w:shd w:val="clear" w:color="auto" w:fill="auto"/>
            <w:noWrap/>
            <w:vAlign w:val="bottom"/>
            <w:hideMark/>
          </w:tcPr>
          <w:p w14:paraId="5A2B540F" w14:textId="77777777" w:rsidR="00BE6461" w:rsidRPr="00BE6461" w:rsidRDefault="00BE6461" w:rsidP="00BE6461">
            <w:pPr>
              <w:jc w:val="right"/>
              <w:rPr>
                <w:b/>
                <w:bCs/>
                <w:sz w:val="20"/>
                <w:szCs w:val="20"/>
              </w:rPr>
            </w:pPr>
            <w:r w:rsidRPr="00BE6461">
              <w:rPr>
                <w:b/>
                <w:bCs/>
                <w:sz w:val="20"/>
                <w:szCs w:val="20"/>
              </w:rPr>
              <w:t>10.022.562,89</w:t>
            </w:r>
          </w:p>
        </w:tc>
        <w:tc>
          <w:tcPr>
            <w:tcW w:w="1100" w:type="dxa"/>
            <w:tcBorders>
              <w:top w:val="single" w:sz="4" w:space="0" w:color="auto"/>
              <w:left w:val="nil"/>
              <w:bottom w:val="nil"/>
              <w:right w:val="nil"/>
            </w:tcBorders>
            <w:shd w:val="clear" w:color="auto" w:fill="auto"/>
            <w:noWrap/>
            <w:vAlign w:val="bottom"/>
            <w:hideMark/>
          </w:tcPr>
          <w:p w14:paraId="4B449DBD" w14:textId="77777777" w:rsidR="00BE6461" w:rsidRPr="00BE6461" w:rsidRDefault="00BE6461" w:rsidP="00BE6461">
            <w:pPr>
              <w:jc w:val="right"/>
              <w:rPr>
                <w:b/>
                <w:bCs/>
                <w:sz w:val="20"/>
                <w:szCs w:val="20"/>
              </w:rPr>
            </w:pPr>
            <w:r w:rsidRPr="00BE6461">
              <w:rPr>
                <w:b/>
                <w:bCs/>
                <w:sz w:val="20"/>
                <w:szCs w:val="20"/>
              </w:rPr>
              <w:t>95,94</w:t>
            </w:r>
          </w:p>
        </w:tc>
      </w:tr>
      <w:tr w:rsidR="00BE6461" w:rsidRPr="00BE6461" w14:paraId="7B11986B"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78B02951" w14:textId="77777777" w:rsidR="00BE6461" w:rsidRPr="00BE6461" w:rsidRDefault="00BE6461" w:rsidP="00BE6461">
            <w:pPr>
              <w:rPr>
                <w:b/>
                <w:bCs/>
                <w:sz w:val="20"/>
                <w:szCs w:val="20"/>
              </w:rPr>
            </w:pPr>
            <w:r w:rsidRPr="00BE6461">
              <w:rPr>
                <w:b/>
                <w:bCs/>
                <w:sz w:val="20"/>
                <w:szCs w:val="20"/>
              </w:rPr>
              <w:t>A200005</w:t>
            </w:r>
          </w:p>
        </w:tc>
        <w:tc>
          <w:tcPr>
            <w:tcW w:w="8457" w:type="dxa"/>
            <w:tcBorders>
              <w:top w:val="single" w:sz="4" w:space="0" w:color="auto"/>
              <w:left w:val="nil"/>
              <w:bottom w:val="single" w:sz="4" w:space="0" w:color="auto"/>
              <w:right w:val="nil"/>
            </w:tcBorders>
            <w:shd w:val="clear" w:color="auto" w:fill="auto"/>
            <w:vAlign w:val="bottom"/>
            <w:hideMark/>
          </w:tcPr>
          <w:p w14:paraId="192DFF44" w14:textId="77777777" w:rsidR="00BE6461" w:rsidRPr="00BE6461" w:rsidRDefault="00BE6461" w:rsidP="00BE6461">
            <w:pPr>
              <w:rPr>
                <w:b/>
                <w:bCs/>
                <w:sz w:val="20"/>
                <w:szCs w:val="20"/>
              </w:rPr>
            </w:pPr>
            <w:r w:rsidRPr="00BE6461">
              <w:rPr>
                <w:b/>
                <w:bCs/>
                <w:sz w:val="20"/>
                <w:szCs w:val="20"/>
              </w:rPr>
              <w:t>Aktivnost: JAVNA RASVJETA</w:t>
            </w:r>
          </w:p>
        </w:tc>
        <w:tc>
          <w:tcPr>
            <w:tcW w:w="1503" w:type="dxa"/>
            <w:tcBorders>
              <w:top w:val="single" w:sz="4" w:space="0" w:color="auto"/>
              <w:left w:val="nil"/>
              <w:bottom w:val="single" w:sz="4" w:space="0" w:color="auto"/>
              <w:right w:val="nil"/>
            </w:tcBorders>
            <w:shd w:val="clear" w:color="auto" w:fill="auto"/>
            <w:noWrap/>
            <w:vAlign w:val="bottom"/>
            <w:hideMark/>
          </w:tcPr>
          <w:p w14:paraId="14A68A7B" w14:textId="77777777" w:rsidR="00BE6461" w:rsidRPr="00BE6461" w:rsidRDefault="00BE6461" w:rsidP="00BE6461">
            <w:pPr>
              <w:jc w:val="right"/>
              <w:rPr>
                <w:b/>
                <w:bCs/>
                <w:sz w:val="20"/>
                <w:szCs w:val="20"/>
              </w:rPr>
            </w:pPr>
            <w:r w:rsidRPr="00BE6461">
              <w:rPr>
                <w:b/>
                <w:bCs/>
                <w:sz w:val="20"/>
                <w:szCs w:val="20"/>
              </w:rPr>
              <w:t>739.062,50</w:t>
            </w:r>
          </w:p>
        </w:tc>
        <w:tc>
          <w:tcPr>
            <w:tcW w:w="1500" w:type="dxa"/>
            <w:tcBorders>
              <w:top w:val="single" w:sz="4" w:space="0" w:color="auto"/>
              <w:left w:val="nil"/>
              <w:bottom w:val="single" w:sz="4" w:space="0" w:color="auto"/>
              <w:right w:val="nil"/>
            </w:tcBorders>
            <w:shd w:val="clear" w:color="auto" w:fill="auto"/>
            <w:noWrap/>
            <w:vAlign w:val="bottom"/>
            <w:hideMark/>
          </w:tcPr>
          <w:p w14:paraId="541B3BB1" w14:textId="77777777" w:rsidR="00BE6461" w:rsidRPr="00BE6461" w:rsidRDefault="00BE6461" w:rsidP="00BE6461">
            <w:pPr>
              <w:jc w:val="right"/>
              <w:rPr>
                <w:b/>
                <w:bCs/>
                <w:sz w:val="20"/>
                <w:szCs w:val="20"/>
              </w:rPr>
            </w:pPr>
            <w:r w:rsidRPr="00BE6461">
              <w:rPr>
                <w:b/>
                <w:bCs/>
                <w:sz w:val="20"/>
                <w:szCs w:val="20"/>
              </w:rPr>
              <w:t>641.926,02</w:t>
            </w:r>
          </w:p>
        </w:tc>
        <w:tc>
          <w:tcPr>
            <w:tcW w:w="1100" w:type="dxa"/>
            <w:tcBorders>
              <w:top w:val="single" w:sz="4" w:space="0" w:color="auto"/>
              <w:left w:val="nil"/>
              <w:bottom w:val="single" w:sz="4" w:space="0" w:color="auto"/>
              <w:right w:val="nil"/>
            </w:tcBorders>
            <w:shd w:val="clear" w:color="auto" w:fill="auto"/>
            <w:noWrap/>
            <w:vAlign w:val="bottom"/>
            <w:hideMark/>
          </w:tcPr>
          <w:p w14:paraId="33CDD92E" w14:textId="77777777" w:rsidR="00BE6461" w:rsidRPr="00BE6461" w:rsidRDefault="00BE6461" w:rsidP="00BE6461">
            <w:pPr>
              <w:jc w:val="right"/>
              <w:rPr>
                <w:b/>
                <w:bCs/>
                <w:sz w:val="20"/>
                <w:szCs w:val="20"/>
              </w:rPr>
            </w:pPr>
            <w:r w:rsidRPr="00BE6461">
              <w:rPr>
                <w:b/>
                <w:bCs/>
                <w:sz w:val="20"/>
                <w:szCs w:val="20"/>
              </w:rPr>
              <w:t>86,86</w:t>
            </w:r>
          </w:p>
        </w:tc>
      </w:tr>
      <w:tr w:rsidR="00BE6461" w:rsidRPr="00BE6461" w14:paraId="1F5CD18E"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D11317C"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47A4628C" w14:textId="77777777" w:rsidR="00BE6461" w:rsidRPr="00BE6461" w:rsidRDefault="00BE6461" w:rsidP="00BE6461">
            <w:pPr>
              <w:jc w:val="right"/>
              <w:rPr>
                <w:b/>
                <w:bCs/>
                <w:color w:val="333333"/>
                <w:sz w:val="20"/>
                <w:szCs w:val="20"/>
              </w:rPr>
            </w:pPr>
            <w:r w:rsidRPr="00BE6461">
              <w:rPr>
                <w:b/>
                <w:bCs/>
                <w:color w:val="333333"/>
                <w:sz w:val="20"/>
                <w:szCs w:val="20"/>
              </w:rPr>
              <w:t>739.062,50</w:t>
            </w:r>
          </w:p>
        </w:tc>
        <w:tc>
          <w:tcPr>
            <w:tcW w:w="1500" w:type="dxa"/>
            <w:tcBorders>
              <w:top w:val="nil"/>
              <w:left w:val="nil"/>
              <w:bottom w:val="nil"/>
              <w:right w:val="nil"/>
            </w:tcBorders>
            <w:shd w:val="clear" w:color="auto" w:fill="auto"/>
            <w:noWrap/>
            <w:vAlign w:val="bottom"/>
            <w:hideMark/>
          </w:tcPr>
          <w:p w14:paraId="0865827C" w14:textId="77777777" w:rsidR="00BE6461" w:rsidRPr="00BE6461" w:rsidRDefault="00BE6461" w:rsidP="00BE6461">
            <w:pPr>
              <w:jc w:val="right"/>
              <w:rPr>
                <w:b/>
                <w:bCs/>
                <w:color w:val="333333"/>
                <w:sz w:val="20"/>
                <w:szCs w:val="20"/>
              </w:rPr>
            </w:pPr>
            <w:r w:rsidRPr="00BE6461">
              <w:rPr>
                <w:b/>
                <w:bCs/>
                <w:color w:val="333333"/>
                <w:sz w:val="20"/>
                <w:szCs w:val="20"/>
              </w:rPr>
              <w:t>631.038,02</w:t>
            </w:r>
          </w:p>
        </w:tc>
        <w:tc>
          <w:tcPr>
            <w:tcW w:w="1100" w:type="dxa"/>
            <w:tcBorders>
              <w:top w:val="nil"/>
              <w:left w:val="nil"/>
              <w:bottom w:val="nil"/>
              <w:right w:val="nil"/>
            </w:tcBorders>
            <w:shd w:val="clear" w:color="auto" w:fill="auto"/>
            <w:noWrap/>
            <w:vAlign w:val="bottom"/>
            <w:hideMark/>
          </w:tcPr>
          <w:p w14:paraId="394B788F" w14:textId="77777777" w:rsidR="00BE6461" w:rsidRPr="00BE6461" w:rsidRDefault="00BE6461" w:rsidP="00BE6461">
            <w:pPr>
              <w:jc w:val="right"/>
              <w:rPr>
                <w:b/>
                <w:bCs/>
                <w:color w:val="333333"/>
                <w:sz w:val="20"/>
                <w:szCs w:val="20"/>
              </w:rPr>
            </w:pPr>
            <w:r w:rsidRPr="00BE6461">
              <w:rPr>
                <w:b/>
                <w:bCs/>
                <w:color w:val="333333"/>
                <w:sz w:val="20"/>
                <w:szCs w:val="20"/>
              </w:rPr>
              <w:t>85,38</w:t>
            </w:r>
          </w:p>
        </w:tc>
      </w:tr>
      <w:tr w:rsidR="00BE6461" w:rsidRPr="00BE6461" w14:paraId="4415D2DD"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6DFF2A0" w14:textId="77777777" w:rsidR="00BE6461" w:rsidRPr="00BE6461" w:rsidRDefault="00BE6461" w:rsidP="00BE6461">
            <w:pPr>
              <w:rPr>
                <w:b/>
                <w:bCs/>
                <w:color w:val="333333"/>
                <w:sz w:val="20"/>
                <w:szCs w:val="20"/>
              </w:rPr>
            </w:pPr>
            <w:r w:rsidRPr="00BE6461">
              <w:rPr>
                <w:b/>
                <w:bCs/>
                <w:color w:val="333333"/>
                <w:sz w:val="20"/>
                <w:szCs w:val="20"/>
              </w:rPr>
              <w:t>Izvor 4.1. PRIHODI POSEBNE NAMJENE - KOMUNALNA NAKNADA</w:t>
            </w:r>
          </w:p>
        </w:tc>
        <w:tc>
          <w:tcPr>
            <w:tcW w:w="1503" w:type="dxa"/>
            <w:tcBorders>
              <w:top w:val="nil"/>
              <w:left w:val="nil"/>
              <w:bottom w:val="nil"/>
              <w:right w:val="nil"/>
            </w:tcBorders>
            <w:shd w:val="clear" w:color="auto" w:fill="auto"/>
            <w:noWrap/>
            <w:vAlign w:val="bottom"/>
            <w:hideMark/>
          </w:tcPr>
          <w:p w14:paraId="186BCD41" w14:textId="77777777" w:rsidR="00BE6461" w:rsidRPr="00BE6461" w:rsidRDefault="00BE6461" w:rsidP="00BE6461">
            <w:pPr>
              <w:jc w:val="right"/>
              <w:rPr>
                <w:b/>
                <w:bCs/>
                <w:color w:val="333333"/>
                <w:sz w:val="20"/>
                <w:szCs w:val="20"/>
              </w:rPr>
            </w:pPr>
            <w:r w:rsidRPr="00BE6461">
              <w:rPr>
                <w:b/>
                <w:bCs/>
                <w:color w:val="333333"/>
                <w:sz w:val="20"/>
                <w:szCs w:val="20"/>
              </w:rPr>
              <w:t>592.006,25</w:t>
            </w:r>
          </w:p>
        </w:tc>
        <w:tc>
          <w:tcPr>
            <w:tcW w:w="1500" w:type="dxa"/>
            <w:tcBorders>
              <w:top w:val="nil"/>
              <w:left w:val="nil"/>
              <w:bottom w:val="nil"/>
              <w:right w:val="nil"/>
            </w:tcBorders>
            <w:shd w:val="clear" w:color="auto" w:fill="auto"/>
            <w:noWrap/>
            <w:vAlign w:val="bottom"/>
            <w:hideMark/>
          </w:tcPr>
          <w:p w14:paraId="7AADE404" w14:textId="77777777" w:rsidR="00BE6461" w:rsidRPr="00BE6461" w:rsidRDefault="00BE6461" w:rsidP="00BE6461">
            <w:pPr>
              <w:jc w:val="right"/>
              <w:rPr>
                <w:b/>
                <w:bCs/>
                <w:color w:val="333333"/>
                <w:sz w:val="20"/>
                <w:szCs w:val="20"/>
              </w:rPr>
            </w:pPr>
            <w:r w:rsidRPr="00BE6461">
              <w:rPr>
                <w:b/>
                <w:bCs/>
                <w:color w:val="333333"/>
                <w:sz w:val="20"/>
                <w:szCs w:val="20"/>
              </w:rPr>
              <w:t>483.981,77</w:t>
            </w:r>
          </w:p>
        </w:tc>
        <w:tc>
          <w:tcPr>
            <w:tcW w:w="1100" w:type="dxa"/>
            <w:tcBorders>
              <w:top w:val="nil"/>
              <w:left w:val="nil"/>
              <w:bottom w:val="nil"/>
              <w:right w:val="nil"/>
            </w:tcBorders>
            <w:shd w:val="clear" w:color="auto" w:fill="auto"/>
            <w:noWrap/>
            <w:vAlign w:val="bottom"/>
            <w:hideMark/>
          </w:tcPr>
          <w:p w14:paraId="7C117080" w14:textId="77777777" w:rsidR="00BE6461" w:rsidRPr="00BE6461" w:rsidRDefault="00BE6461" w:rsidP="00BE6461">
            <w:pPr>
              <w:jc w:val="right"/>
              <w:rPr>
                <w:b/>
                <w:bCs/>
                <w:color w:val="333333"/>
                <w:sz w:val="20"/>
                <w:szCs w:val="20"/>
              </w:rPr>
            </w:pPr>
            <w:r w:rsidRPr="00BE6461">
              <w:rPr>
                <w:b/>
                <w:bCs/>
                <w:color w:val="333333"/>
                <w:sz w:val="20"/>
                <w:szCs w:val="20"/>
              </w:rPr>
              <w:t>81,75</w:t>
            </w:r>
          </w:p>
        </w:tc>
      </w:tr>
      <w:tr w:rsidR="00BE6461" w:rsidRPr="00BE6461" w14:paraId="0C03B268" w14:textId="77777777" w:rsidTr="00BE6461">
        <w:trPr>
          <w:trHeight w:val="300"/>
        </w:trPr>
        <w:tc>
          <w:tcPr>
            <w:tcW w:w="1703" w:type="dxa"/>
            <w:tcBorders>
              <w:top w:val="nil"/>
              <w:left w:val="nil"/>
              <w:bottom w:val="nil"/>
              <w:right w:val="nil"/>
            </w:tcBorders>
            <w:shd w:val="clear" w:color="auto" w:fill="auto"/>
            <w:noWrap/>
            <w:vAlign w:val="bottom"/>
            <w:hideMark/>
          </w:tcPr>
          <w:p w14:paraId="14474593"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0D44D15A"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24201EF9" w14:textId="77777777" w:rsidR="00BE6461" w:rsidRPr="00BE6461" w:rsidRDefault="00BE6461" w:rsidP="00BE6461">
            <w:pPr>
              <w:jc w:val="right"/>
              <w:rPr>
                <w:b/>
                <w:bCs/>
                <w:sz w:val="20"/>
                <w:szCs w:val="20"/>
              </w:rPr>
            </w:pPr>
            <w:r w:rsidRPr="00BE6461">
              <w:rPr>
                <w:b/>
                <w:bCs/>
                <w:sz w:val="20"/>
                <w:szCs w:val="20"/>
              </w:rPr>
              <w:t>480.000,00</w:t>
            </w:r>
          </w:p>
        </w:tc>
        <w:tc>
          <w:tcPr>
            <w:tcW w:w="1500" w:type="dxa"/>
            <w:tcBorders>
              <w:top w:val="nil"/>
              <w:left w:val="nil"/>
              <w:bottom w:val="nil"/>
              <w:right w:val="nil"/>
            </w:tcBorders>
            <w:shd w:val="clear" w:color="auto" w:fill="auto"/>
            <w:noWrap/>
            <w:vAlign w:val="bottom"/>
            <w:hideMark/>
          </w:tcPr>
          <w:p w14:paraId="7F50EF8D" w14:textId="77777777" w:rsidR="00BE6461" w:rsidRPr="00BE6461" w:rsidRDefault="00BE6461" w:rsidP="00BE6461">
            <w:pPr>
              <w:jc w:val="right"/>
              <w:rPr>
                <w:b/>
                <w:bCs/>
                <w:sz w:val="20"/>
                <w:szCs w:val="20"/>
              </w:rPr>
            </w:pPr>
            <w:r w:rsidRPr="00BE6461">
              <w:rPr>
                <w:b/>
                <w:bCs/>
                <w:sz w:val="20"/>
                <w:szCs w:val="20"/>
              </w:rPr>
              <w:t>353.201,02</w:t>
            </w:r>
          </w:p>
        </w:tc>
        <w:tc>
          <w:tcPr>
            <w:tcW w:w="1100" w:type="dxa"/>
            <w:tcBorders>
              <w:top w:val="nil"/>
              <w:left w:val="nil"/>
              <w:bottom w:val="nil"/>
              <w:right w:val="nil"/>
            </w:tcBorders>
            <w:shd w:val="clear" w:color="auto" w:fill="auto"/>
            <w:noWrap/>
            <w:vAlign w:val="bottom"/>
            <w:hideMark/>
          </w:tcPr>
          <w:p w14:paraId="5F02DDCC" w14:textId="77777777" w:rsidR="00BE6461" w:rsidRPr="00BE6461" w:rsidRDefault="00BE6461" w:rsidP="00BE6461">
            <w:pPr>
              <w:jc w:val="right"/>
              <w:rPr>
                <w:b/>
                <w:bCs/>
                <w:sz w:val="20"/>
                <w:szCs w:val="20"/>
              </w:rPr>
            </w:pPr>
            <w:r w:rsidRPr="00BE6461">
              <w:rPr>
                <w:b/>
                <w:bCs/>
                <w:sz w:val="20"/>
                <w:szCs w:val="20"/>
              </w:rPr>
              <w:t>73,58</w:t>
            </w:r>
          </w:p>
        </w:tc>
      </w:tr>
      <w:tr w:rsidR="00BE6461" w:rsidRPr="00BE6461" w14:paraId="28B29EBA" w14:textId="77777777" w:rsidTr="00BE6461">
        <w:trPr>
          <w:trHeight w:val="300"/>
        </w:trPr>
        <w:tc>
          <w:tcPr>
            <w:tcW w:w="1703" w:type="dxa"/>
            <w:tcBorders>
              <w:top w:val="nil"/>
              <w:left w:val="nil"/>
              <w:bottom w:val="nil"/>
              <w:right w:val="nil"/>
            </w:tcBorders>
            <w:shd w:val="clear" w:color="auto" w:fill="auto"/>
            <w:noWrap/>
            <w:vAlign w:val="bottom"/>
            <w:hideMark/>
          </w:tcPr>
          <w:p w14:paraId="04DFE45A" w14:textId="77777777" w:rsidR="00BE6461" w:rsidRPr="00BE6461" w:rsidRDefault="00BE6461" w:rsidP="00BE6461">
            <w:pPr>
              <w:rPr>
                <w:sz w:val="20"/>
                <w:szCs w:val="20"/>
              </w:rPr>
            </w:pPr>
            <w:r w:rsidRPr="00BE6461">
              <w:rPr>
                <w:sz w:val="20"/>
                <w:szCs w:val="20"/>
              </w:rPr>
              <w:t>3223</w:t>
            </w:r>
          </w:p>
        </w:tc>
        <w:tc>
          <w:tcPr>
            <w:tcW w:w="8457" w:type="dxa"/>
            <w:tcBorders>
              <w:top w:val="nil"/>
              <w:left w:val="nil"/>
              <w:bottom w:val="nil"/>
              <w:right w:val="nil"/>
            </w:tcBorders>
            <w:shd w:val="clear" w:color="auto" w:fill="auto"/>
            <w:vAlign w:val="bottom"/>
            <w:hideMark/>
          </w:tcPr>
          <w:p w14:paraId="1C47F663" w14:textId="77777777" w:rsidR="00BE6461" w:rsidRPr="00BE6461" w:rsidRDefault="00BE6461" w:rsidP="00BE6461">
            <w:pPr>
              <w:rPr>
                <w:sz w:val="20"/>
                <w:szCs w:val="20"/>
              </w:rPr>
            </w:pPr>
            <w:r w:rsidRPr="00BE6461">
              <w:rPr>
                <w:sz w:val="20"/>
                <w:szCs w:val="20"/>
              </w:rPr>
              <w:t xml:space="preserve">Energija                                                                                            </w:t>
            </w:r>
          </w:p>
        </w:tc>
        <w:tc>
          <w:tcPr>
            <w:tcW w:w="1503" w:type="dxa"/>
            <w:tcBorders>
              <w:top w:val="nil"/>
              <w:left w:val="nil"/>
              <w:bottom w:val="nil"/>
              <w:right w:val="nil"/>
            </w:tcBorders>
            <w:shd w:val="clear" w:color="auto" w:fill="auto"/>
            <w:noWrap/>
            <w:vAlign w:val="bottom"/>
            <w:hideMark/>
          </w:tcPr>
          <w:p w14:paraId="0FC3F575"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BAC3389" w14:textId="77777777" w:rsidR="00BE6461" w:rsidRPr="00BE6461" w:rsidRDefault="00BE6461" w:rsidP="00BE6461">
            <w:pPr>
              <w:jc w:val="right"/>
              <w:rPr>
                <w:sz w:val="20"/>
                <w:szCs w:val="20"/>
              </w:rPr>
            </w:pPr>
            <w:r w:rsidRPr="00BE6461">
              <w:rPr>
                <w:sz w:val="20"/>
                <w:szCs w:val="20"/>
              </w:rPr>
              <w:t>353.201,02</w:t>
            </w:r>
          </w:p>
        </w:tc>
        <w:tc>
          <w:tcPr>
            <w:tcW w:w="1100" w:type="dxa"/>
            <w:tcBorders>
              <w:top w:val="nil"/>
              <w:left w:val="nil"/>
              <w:bottom w:val="nil"/>
              <w:right w:val="nil"/>
            </w:tcBorders>
            <w:shd w:val="clear" w:color="auto" w:fill="auto"/>
            <w:noWrap/>
            <w:vAlign w:val="bottom"/>
            <w:hideMark/>
          </w:tcPr>
          <w:p w14:paraId="48420B26" w14:textId="77777777" w:rsidR="00BE6461" w:rsidRPr="00BE6461" w:rsidRDefault="00BE6461" w:rsidP="00BE6461">
            <w:pPr>
              <w:jc w:val="right"/>
              <w:rPr>
                <w:sz w:val="20"/>
                <w:szCs w:val="20"/>
              </w:rPr>
            </w:pPr>
          </w:p>
        </w:tc>
      </w:tr>
      <w:tr w:rsidR="00BE6461" w:rsidRPr="00BE6461" w14:paraId="135ACBC2" w14:textId="77777777" w:rsidTr="00BE6461">
        <w:trPr>
          <w:trHeight w:val="300"/>
        </w:trPr>
        <w:tc>
          <w:tcPr>
            <w:tcW w:w="1703" w:type="dxa"/>
            <w:tcBorders>
              <w:top w:val="nil"/>
              <w:left w:val="nil"/>
              <w:bottom w:val="nil"/>
              <w:right w:val="nil"/>
            </w:tcBorders>
            <w:shd w:val="clear" w:color="auto" w:fill="auto"/>
            <w:noWrap/>
            <w:vAlign w:val="bottom"/>
            <w:hideMark/>
          </w:tcPr>
          <w:p w14:paraId="67800AF4"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36311420"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13DDCF2B" w14:textId="77777777" w:rsidR="00BE6461" w:rsidRPr="00BE6461" w:rsidRDefault="00BE6461" w:rsidP="00BE6461">
            <w:pPr>
              <w:jc w:val="right"/>
              <w:rPr>
                <w:b/>
                <w:bCs/>
                <w:sz w:val="20"/>
                <w:szCs w:val="20"/>
              </w:rPr>
            </w:pPr>
            <w:r w:rsidRPr="00BE6461">
              <w:rPr>
                <w:b/>
                <w:bCs/>
                <w:sz w:val="20"/>
                <w:szCs w:val="20"/>
              </w:rPr>
              <w:t>112.006,25</w:t>
            </w:r>
          </w:p>
        </w:tc>
        <w:tc>
          <w:tcPr>
            <w:tcW w:w="1500" w:type="dxa"/>
            <w:tcBorders>
              <w:top w:val="nil"/>
              <w:left w:val="nil"/>
              <w:bottom w:val="nil"/>
              <w:right w:val="nil"/>
            </w:tcBorders>
            <w:shd w:val="clear" w:color="auto" w:fill="auto"/>
            <w:noWrap/>
            <w:vAlign w:val="bottom"/>
            <w:hideMark/>
          </w:tcPr>
          <w:p w14:paraId="3F61594C" w14:textId="77777777" w:rsidR="00BE6461" w:rsidRPr="00BE6461" w:rsidRDefault="00BE6461" w:rsidP="00BE6461">
            <w:pPr>
              <w:jc w:val="right"/>
              <w:rPr>
                <w:b/>
                <w:bCs/>
                <w:sz w:val="20"/>
                <w:szCs w:val="20"/>
              </w:rPr>
            </w:pPr>
            <w:r w:rsidRPr="00BE6461">
              <w:rPr>
                <w:b/>
                <w:bCs/>
                <w:sz w:val="20"/>
                <w:szCs w:val="20"/>
              </w:rPr>
              <w:t>130.780,75</w:t>
            </w:r>
          </w:p>
        </w:tc>
        <w:tc>
          <w:tcPr>
            <w:tcW w:w="1100" w:type="dxa"/>
            <w:tcBorders>
              <w:top w:val="nil"/>
              <w:left w:val="nil"/>
              <w:bottom w:val="nil"/>
              <w:right w:val="nil"/>
            </w:tcBorders>
            <w:shd w:val="clear" w:color="auto" w:fill="auto"/>
            <w:noWrap/>
            <w:vAlign w:val="bottom"/>
            <w:hideMark/>
          </w:tcPr>
          <w:p w14:paraId="14AB86B0" w14:textId="77777777" w:rsidR="00BE6461" w:rsidRPr="00BE6461" w:rsidRDefault="00BE6461" w:rsidP="00BE6461">
            <w:pPr>
              <w:jc w:val="right"/>
              <w:rPr>
                <w:b/>
                <w:bCs/>
                <w:sz w:val="20"/>
                <w:szCs w:val="20"/>
              </w:rPr>
            </w:pPr>
            <w:r w:rsidRPr="00BE6461">
              <w:rPr>
                <w:b/>
                <w:bCs/>
                <w:sz w:val="20"/>
                <w:szCs w:val="20"/>
              </w:rPr>
              <w:t>116,76</w:t>
            </w:r>
          </w:p>
        </w:tc>
      </w:tr>
      <w:tr w:rsidR="00BE6461" w:rsidRPr="00BE6461" w14:paraId="1A17A0EA" w14:textId="77777777" w:rsidTr="00BE6461">
        <w:trPr>
          <w:trHeight w:val="300"/>
        </w:trPr>
        <w:tc>
          <w:tcPr>
            <w:tcW w:w="1703" w:type="dxa"/>
            <w:tcBorders>
              <w:top w:val="nil"/>
              <w:left w:val="nil"/>
              <w:bottom w:val="nil"/>
              <w:right w:val="nil"/>
            </w:tcBorders>
            <w:shd w:val="clear" w:color="auto" w:fill="auto"/>
            <w:noWrap/>
            <w:vAlign w:val="bottom"/>
            <w:hideMark/>
          </w:tcPr>
          <w:p w14:paraId="1D477F56" w14:textId="77777777" w:rsidR="00BE6461" w:rsidRPr="00BE6461" w:rsidRDefault="00BE6461" w:rsidP="00BE6461">
            <w:pPr>
              <w:rPr>
                <w:sz w:val="20"/>
                <w:szCs w:val="20"/>
              </w:rPr>
            </w:pPr>
            <w:r w:rsidRPr="00BE6461">
              <w:rPr>
                <w:sz w:val="20"/>
                <w:szCs w:val="20"/>
              </w:rPr>
              <w:t>3232</w:t>
            </w:r>
          </w:p>
        </w:tc>
        <w:tc>
          <w:tcPr>
            <w:tcW w:w="8457" w:type="dxa"/>
            <w:tcBorders>
              <w:top w:val="nil"/>
              <w:left w:val="nil"/>
              <w:bottom w:val="nil"/>
              <w:right w:val="nil"/>
            </w:tcBorders>
            <w:shd w:val="clear" w:color="auto" w:fill="auto"/>
            <w:vAlign w:val="bottom"/>
            <w:hideMark/>
          </w:tcPr>
          <w:p w14:paraId="5AECC003" w14:textId="77777777" w:rsidR="00BE6461" w:rsidRPr="00BE6461" w:rsidRDefault="00BE6461" w:rsidP="00BE6461">
            <w:pPr>
              <w:rPr>
                <w:sz w:val="20"/>
                <w:szCs w:val="20"/>
              </w:rPr>
            </w:pPr>
            <w:r w:rsidRPr="00BE6461">
              <w:rPr>
                <w:sz w:val="20"/>
                <w:szCs w:val="20"/>
              </w:rPr>
              <w:t xml:space="preserve">Usluge tekućeg i investicijskog održavanja                                                          </w:t>
            </w:r>
          </w:p>
        </w:tc>
        <w:tc>
          <w:tcPr>
            <w:tcW w:w="1503" w:type="dxa"/>
            <w:tcBorders>
              <w:top w:val="nil"/>
              <w:left w:val="nil"/>
              <w:bottom w:val="nil"/>
              <w:right w:val="nil"/>
            </w:tcBorders>
            <w:shd w:val="clear" w:color="auto" w:fill="auto"/>
            <w:noWrap/>
            <w:vAlign w:val="bottom"/>
            <w:hideMark/>
          </w:tcPr>
          <w:p w14:paraId="478F0EA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631F528" w14:textId="77777777" w:rsidR="00BE6461" w:rsidRPr="00BE6461" w:rsidRDefault="00BE6461" w:rsidP="00BE6461">
            <w:pPr>
              <w:jc w:val="right"/>
              <w:rPr>
                <w:sz w:val="20"/>
                <w:szCs w:val="20"/>
              </w:rPr>
            </w:pPr>
            <w:r w:rsidRPr="00BE6461">
              <w:rPr>
                <w:sz w:val="20"/>
                <w:szCs w:val="20"/>
              </w:rPr>
              <w:t>130.780,75</w:t>
            </w:r>
          </w:p>
        </w:tc>
        <w:tc>
          <w:tcPr>
            <w:tcW w:w="1100" w:type="dxa"/>
            <w:tcBorders>
              <w:top w:val="nil"/>
              <w:left w:val="nil"/>
              <w:bottom w:val="nil"/>
              <w:right w:val="nil"/>
            </w:tcBorders>
            <w:shd w:val="clear" w:color="auto" w:fill="auto"/>
            <w:noWrap/>
            <w:vAlign w:val="bottom"/>
            <w:hideMark/>
          </w:tcPr>
          <w:p w14:paraId="5596ED3A" w14:textId="77777777" w:rsidR="00BE6461" w:rsidRPr="00BE6461" w:rsidRDefault="00BE6461" w:rsidP="00BE6461">
            <w:pPr>
              <w:jc w:val="right"/>
              <w:rPr>
                <w:sz w:val="20"/>
                <w:szCs w:val="20"/>
              </w:rPr>
            </w:pPr>
          </w:p>
        </w:tc>
      </w:tr>
      <w:tr w:rsidR="00BE6461" w:rsidRPr="00BE6461" w14:paraId="23015B75"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784F87E" w14:textId="77777777" w:rsidR="00BE6461" w:rsidRPr="00BE6461" w:rsidRDefault="00BE6461" w:rsidP="00BE6461">
            <w:pPr>
              <w:rPr>
                <w:b/>
                <w:bCs/>
                <w:color w:val="333333"/>
                <w:sz w:val="20"/>
                <w:szCs w:val="20"/>
              </w:rPr>
            </w:pPr>
            <w:r w:rsidRPr="00BE6461">
              <w:rPr>
                <w:b/>
                <w:bCs/>
                <w:color w:val="333333"/>
                <w:sz w:val="20"/>
                <w:szCs w:val="20"/>
              </w:rPr>
              <w:t>Izvor 4.3. PRIHODI POSEBNE NAMJENE - BORAVIŠNE PRISTOJBE</w:t>
            </w:r>
          </w:p>
        </w:tc>
        <w:tc>
          <w:tcPr>
            <w:tcW w:w="1503" w:type="dxa"/>
            <w:tcBorders>
              <w:top w:val="nil"/>
              <w:left w:val="nil"/>
              <w:bottom w:val="nil"/>
              <w:right w:val="nil"/>
            </w:tcBorders>
            <w:shd w:val="clear" w:color="auto" w:fill="auto"/>
            <w:noWrap/>
            <w:vAlign w:val="bottom"/>
            <w:hideMark/>
          </w:tcPr>
          <w:p w14:paraId="633DB830" w14:textId="77777777" w:rsidR="00BE6461" w:rsidRPr="00BE6461" w:rsidRDefault="00BE6461" w:rsidP="00BE6461">
            <w:pPr>
              <w:jc w:val="right"/>
              <w:rPr>
                <w:b/>
                <w:bCs/>
                <w:color w:val="333333"/>
                <w:sz w:val="20"/>
                <w:szCs w:val="20"/>
              </w:rPr>
            </w:pPr>
            <w:r w:rsidRPr="00BE6461">
              <w:rPr>
                <w:b/>
                <w:bCs/>
                <w:color w:val="333333"/>
                <w:sz w:val="20"/>
                <w:szCs w:val="20"/>
              </w:rPr>
              <w:t>147.056,25</w:t>
            </w:r>
          </w:p>
        </w:tc>
        <w:tc>
          <w:tcPr>
            <w:tcW w:w="1500" w:type="dxa"/>
            <w:tcBorders>
              <w:top w:val="nil"/>
              <w:left w:val="nil"/>
              <w:bottom w:val="nil"/>
              <w:right w:val="nil"/>
            </w:tcBorders>
            <w:shd w:val="clear" w:color="auto" w:fill="auto"/>
            <w:noWrap/>
            <w:vAlign w:val="bottom"/>
            <w:hideMark/>
          </w:tcPr>
          <w:p w14:paraId="51CFEF0A" w14:textId="77777777" w:rsidR="00BE6461" w:rsidRPr="00BE6461" w:rsidRDefault="00BE6461" w:rsidP="00BE6461">
            <w:pPr>
              <w:jc w:val="right"/>
              <w:rPr>
                <w:b/>
                <w:bCs/>
                <w:color w:val="333333"/>
                <w:sz w:val="20"/>
                <w:szCs w:val="20"/>
              </w:rPr>
            </w:pPr>
            <w:r w:rsidRPr="00BE6461">
              <w:rPr>
                <w:b/>
                <w:bCs/>
                <w:color w:val="333333"/>
                <w:sz w:val="20"/>
                <w:szCs w:val="20"/>
              </w:rPr>
              <w:t>147.056,25</w:t>
            </w:r>
          </w:p>
        </w:tc>
        <w:tc>
          <w:tcPr>
            <w:tcW w:w="1100" w:type="dxa"/>
            <w:tcBorders>
              <w:top w:val="nil"/>
              <w:left w:val="nil"/>
              <w:bottom w:val="nil"/>
              <w:right w:val="nil"/>
            </w:tcBorders>
            <w:shd w:val="clear" w:color="auto" w:fill="auto"/>
            <w:noWrap/>
            <w:vAlign w:val="bottom"/>
            <w:hideMark/>
          </w:tcPr>
          <w:p w14:paraId="31123829"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57348A56" w14:textId="77777777" w:rsidTr="00BE6461">
        <w:trPr>
          <w:trHeight w:val="300"/>
        </w:trPr>
        <w:tc>
          <w:tcPr>
            <w:tcW w:w="1703" w:type="dxa"/>
            <w:tcBorders>
              <w:top w:val="nil"/>
              <w:left w:val="nil"/>
              <w:bottom w:val="nil"/>
              <w:right w:val="nil"/>
            </w:tcBorders>
            <w:shd w:val="clear" w:color="auto" w:fill="auto"/>
            <w:noWrap/>
            <w:vAlign w:val="bottom"/>
            <w:hideMark/>
          </w:tcPr>
          <w:p w14:paraId="061E53D3"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54828198"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2DB28A0C" w14:textId="77777777" w:rsidR="00BE6461" w:rsidRPr="00BE6461" w:rsidRDefault="00BE6461" w:rsidP="00BE6461">
            <w:pPr>
              <w:jc w:val="right"/>
              <w:rPr>
                <w:b/>
                <w:bCs/>
                <w:sz w:val="20"/>
                <w:szCs w:val="20"/>
              </w:rPr>
            </w:pPr>
            <w:r w:rsidRPr="00BE6461">
              <w:rPr>
                <w:b/>
                <w:bCs/>
                <w:sz w:val="20"/>
                <w:szCs w:val="20"/>
              </w:rPr>
              <w:t>147.056,25</w:t>
            </w:r>
          </w:p>
        </w:tc>
        <w:tc>
          <w:tcPr>
            <w:tcW w:w="1500" w:type="dxa"/>
            <w:tcBorders>
              <w:top w:val="nil"/>
              <w:left w:val="nil"/>
              <w:bottom w:val="nil"/>
              <w:right w:val="nil"/>
            </w:tcBorders>
            <w:shd w:val="clear" w:color="auto" w:fill="auto"/>
            <w:noWrap/>
            <w:vAlign w:val="bottom"/>
            <w:hideMark/>
          </w:tcPr>
          <w:p w14:paraId="3566C26E" w14:textId="77777777" w:rsidR="00BE6461" w:rsidRPr="00BE6461" w:rsidRDefault="00BE6461" w:rsidP="00BE6461">
            <w:pPr>
              <w:jc w:val="right"/>
              <w:rPr>
                <w:b/>
                <w:bCs/>
                <w:sz w:val="20"/>
                <w:szCs w:val="20"/>
              </w:rPr>
            </w:pPr>
            <w:r w:rsidRPr="00BE6461">
              <w:rPr>
                <w:b/>
                <w:bCs/>
                <w:sz w:val="20"/>
                <w:szCs w:val="20"/>
              </w:rPr>
              <w:t>147.056,25</w:t>
            </w:r>
          </w:p>
        </w:tc>
        <w:tc>
          <w:tcPr>
            <w:tcW w:w="1100" w:type="dxa"/>
            <w:tcBorders>
              <w:top w:val="nil"/>
              <w:left w:val="nil"/>
              <w:bottom w:val="nil"/>
              <w:right w:val="nil"/>
            </w:tcBorders>
            <w:shd w:val="clear" w:color="auto" w:fill="auto"/>
            <w:noWrap/>
            <w:vAlign w:val="bottom"/>
            <w:hideMark/>
          </w:tcPr>
          <w:p w14:paraId="423DC828"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1DA9FFF5" w14:textId="77777777" w:rsidTr="00BE6461">
        <w:trPr>
          <w:trHeight w:val="300"/>
        </w:trPr>
        <w:tc>
          <w:tcPr>
            <w:tcW w:w="1703" w:type="dxa"/>
            <w:tcBorders>
              <w:top w:val="nil"/>
              <w:left w:val="nil"/>
              <w:bottom w:val="nil"/>
              <w:right w:val="nil"/>
            </w:tcBorders>
            <w:shd w:val="clear" w:color="auto" w:fill="auto"/>
            <w:noWrap/>
            <w:vAlign w:val="bottom"/>
            <w:hideMark/>
          </w:tcPr>
          <w:p w14:paraId="15ABDCFC" w14:textId="77777777" w:rsidR="00BE6461" w:rsidRPr="00BE6461" w:rsidRDefault="00BE6461" w:rsidP="00BE6461">
            <w:pPr>
              <w:rPr>
                <w:sz w:val="20"/>
                <w:szCs w:val="20"/>
              </w:rPr>
            </w:pPr>
            <w:r w:rsidRPr="00BE6461">
              <w:rPr>
                <w:sz w:val="20"/>
                <w:szCs w:val="20"/>
              </w:rPr>
              <w:t>3234</w:t>
            </w:r>
          </w:p>
        </w:tc>
        <w:tc>
          <w:tcPr>
            <w:tcW w:w="8457" w:type="dxa"/>
            <w:tcBorders>
              <w:top w:val="nil"/>
              <w:left w:val="nil"/>
              <w:bottom w:val="nil"/>
              <w:right w:val="nil"/>
            </w:tcBorders>
            <w:shd w:val="clear" w:color="auto" w:fill="auto"/>
            <w:vAlign w:val="bottom"/>
            <w:hideMark/>
          </w:tcPr>
          <w:p w14:paraId="7D497DEB" w14:textId="77777777" w:rsidR="00BE6461" w:rsidRPr="00BE6461" w:rsidRDefault="00BE6461" w:rsidP="00BE6461">
            <w:pPr>
              <w:rPr>
                <w:sz w:val="20"/>
                <w:szCs w:val="20"/>
              </w:rPr>
            </w:pPr>
            <w:r w:rsidRPr="00BE6461">
              <w:rPr>
                <w:sz w:val="20"/>
                <w:szCs w:val="20"/>
              </w:rPr>
              <w:t xml:space="preserve">Komunalne usluge                                                                                    </w:t>
            </w:r>
          </w:p>
        </w:tc>
        <w:tc>
          <w:tcPr>
            <w:tcW w:w="1503" w:type="dxa"/>
            <w:tcBorders>
              <w:top w:val="nil"/>
              <w:left w:val="nil"/>
              <w:bottom w:val="nil"/>
              <w:right w:val="nil"/>
            </w:tcBorders>
            <w:shd w:val="clear" w:color="auto" w:fill="auto"/>
            <w:noWrap/>
            <w:vAlign w:val="bottom"/>
            <w:hideMark/>
          </w:tcPr>
          <w:p w14:paraId="0770A06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6C73969" w14:textId="77777777" w:rsidR="00BE6461" w:rsidRPr="00BE6461" w:rsidRDefault="00BE6461" w:rsidP="00BE6461">
            <w:pPr>
              <w:jc w:val="right"/>
              <w:rPr>
                <w:sz w:val="20"/>
                <w:szCs w:val="20"/>
              </w:rPr>
            </w:pPr>
            <w:r w:rsidRPr="00BE6461">
              <w:rPr>
                <w:sz w:val="20"/>
                <w:szCs w:val="20"/>
              </w:rPr>
              <w:t>147.056,25</w:t>
            </w:r>
          </w:p>
        </w:tc>
        <w:tc>
          <w:tcPr>
            <w:tcW w:w="1100" w:type="dxa"/>
            <w:tcBorders>
              <w:top w:val="nil"/>
              <w:left w:val="nil"/>
              <w:bottom w:val="nil"/>
              <w:right w:val="nil"/>
            </w:tcBorders>
            <w:shd w:val="clear" w:color="auto" w:fill="auto"/>
            <w:noWrap/>
            <w:vAlign w:val="bottom"/>
            <w:hideMark/>
          </w:tcPr>
          <w:p w14:paraId="23F23362" w14:textId="77777777" w:rsidR="00BE6461" w:rsidRPr="00BE6461" w:rsidRDefault="00BE6461" w:rsidP="00BE6461">
            <w:pPr>
              <w:jc w:val="right"/>
              <w:rPr>
                <w:sz w:val="20"/>
                <w:szCs w:val="20"/>
              </w:rPr>
            </w:pPr>
          </w:p>
        </w:tc>
      </w:tr>
      <w:tr w:rsidR="00BE6461" w:rsidRPr="00BE6461" w14:paraId="5DCCAA3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DCD2D2D" w14:textId="77777777" w:rsidR="00BE6461" w:rsidRPr="00BE6461" w:rsidRDefault="00BE6461" w:rsidP="00BE6461">
            <w:pPr>
              <w:rPr>
                <w:b/>
                <w:bCs/>
                <w:color w:val="333333"/>
                <w:sz w:val="20"/>
                <w:szCs w:val="20"/>
              </w:rPr>
            </w:pPr>
            <w:r w:rsidRPr="00BE6461">
              <w:rPr>
                <w:b/>
                <w:bCs/>
                <w:color w:val="333333"/>
                <w:sz w:val="20"/>
                <w:szCs w:val="20"/>
              </w:rPr>
              <w:t>Izvor 7. PRIHODI OD NEFIN.IMOVINE I NADOKNADE ŠTETA OD OSIG.</w:t>
            </w:r>
          </w:p>
        </w:tc>
        <w:tc>
          <w:tcPr>
            <w:tcW w:w="1503" w:type="dxa"/>
            <w:tcBorders>
              <w:top w:val="nil"/>
              <w:left w:val="nil"/>
              <w:bottom w:val="nil"/>
              <w:right w:val="nil"/>
            </w:tcBorders>
            <w:shd w:val="clear" w:color="auto" w:fill="auto"/>
            <w:noWrap/>
            <w:vAlign w:val="bottom"/>
            <w:hideMark/>
          </w:tcPr>
          <w:p w14:paraId="634AE2A6"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500" w:type="dxa"/>
            <w:tcBorders>
              <w:top w:val="nil"/>
              <w:left w:val="nil"/>
              <w:bottom w:val="nil"/>
              <w:right w:val="nil"/>
            </w:tcBorders>
            <w:shd w:val="clear" w:color="auto" w:fill="auto"/>
            <w:noWrap/>
            <w:vAlign w:val="bottom"/>
            <w:hideMark/>
          </w:tcPr>
          <w:p w14:paraId="4AE5E933" w14:textId="77777777" w:rsidR="00BE6461" w:rsidRPr="00BE6461" w:rsidRDefault="00BE6461" w:rsidP="00BE6461">
            <w:pPr>
              <w:jc w:val="right"/>
              <w:rPr>
                <w:b/>
                <w:bCs/>
                <w:color w:val="333333"/>
                <w:sz w:val="20"/>
                <w:szCs w:val="20"/>
              </w:rPr>
            </w:pPr>
            <w:r w:rsidRPr="00BE6461">
              <w:rPr>
                <w:b/>
                <w:bCs/>
                <w:color w:val="333333"/>
                <w:sz w:val="20"/>
                <w:szCs w:val="20"/>
              </w:rPr>
              <w:t>10.888,00</w:t>
            </w:r>
          </w:p>
        </w:tc>
        <w:tc>
          <w:tcPr>
            <w:tcW w:w="1100" w:type="dxa"/>
            <w:tcBorders>
              <w:top w:val="nil"/>
              <w:left w:val="nil"/>
              <w:bottom w:val="nil"/>
              <w:right w:val="nil"/>
            </w:tcBorders>
            <w:shd w:val="clear" w:color="auto" w:fill="auto"/>
            <w:noWrap/>
            <w:vAlign w:val="bottom"/>
            <w:hideMark/>
          </w:tcPr>
          <w:p w14:paraId="71301CC5"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5C387D92"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FAA5174" w14:textId="77777777" w:rsidR="00BE6461" w:rsidRPr="00BE6461" w:rsidRDefault="00BE6461" w:rsidP="00BE6461">
            <w:pPr>
              <w:rPr>
                <w:b/>
                <w:bCs/>
                <w:color w:val="333333"/>
                <w:sz w:val="20"/>
                <w:szCs w:val="20"/>
              </w:rPr>
            </w:pPr>
            <w:r w:rsidRPr="00BE6461">
              <w:rPr>
                <w:b/>
                <w:bCs/>
                <w:color w:val="333333"/>
                <w:sz w:val="20"/>
                <w:szCs w:val="20"/>
              </w:rPr>
              <w:t>Izvor 7.1. PRIHODI OD NEFIN.IMOVINE I NADOKNADE ŠTETA OD OSIG.</w:t>
            </w:r>
          </w:p>
        </w:tc>
        <w:tc>
          <w:tcPr>
            <w:tcW w:w="1503" w:type="dxa"/>
            <w:tcBorders>
              <w:top w:val="nil"/>
              <w:left w:val="nil"/>
              <w:bottom w:val="nil"/>
              <w:right w:val="nil"/>
            </w:tcBorders>
            <w:shd w:val="clear" w:color="auto" w:fill="auto"/>
            <w:noWrap/>
            <w:vAlign w:val="bottom"/>
            <w:hideMark/>
          </w:tcPr>
          <w:p w14:paraId="14038A56"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500" w:type="dxa"/>
            <w:tcBorders>
              <w:top w:val="nil"/>
              <w:left w:val="nil"/>
              <w:bottom w:val="nil"/>
              <w:right w:val="nil"/>
            </w:tcBorders>
            <w:shd w:val="clear" w:color="auto" w:fill="auto"/>
            <w:noWrap/>
            <w:vAlign w:val="bottom"/>
            <w:hideMark/>
          </w:tcPr>
          <w:p w14:paraId="66DECBBF" w14:textId="77777777" w:rsidR="00BE6461" w:rsidRPr="00BE6461" w:rsidRDefault="00BE6461" w:rsidP="00BE6461">
            <w:pPr>
              <w:jc w:val="right"/>
              <w:rPr>
                <w:b/>
                <w:bCs/>
                <w:color w:val="333333"/>
                <w:sz w:val="20"/>
                <w:szCs w:val="20"/>
              </w:rPr>
            </w:pPr>
            <w:r w:rsidRPr="00BE6461">
              <w:rPr>
                <w:b/>
                <w:bCs/>
                <w:color w:val="333333"/>
                <w:sz w:val="20"/>
                <w:szCs w:val="20"/>
              </w:rPr>
              <w:t>10.888,00</w:t>
            </w:r>
          </w:p>
        </w:tc>
        <w:tc>
          <w:tcPr>
            <w:tcW w:w="1100" w:type="dxa"/>
            <w:tcBorders>
              <w:top w:val="nil"/>
              <w:left w:val="nil"/>
              <w:bottom w:val="nil"/>
              <w:right w:val="nil"/>
            </w:tcBorders>
            <w:shd w:val="clear" w:color="auto" w:fill="auto"/>
            <w:noWrap/>
            <w:vAlign w:val="bottom"/>
            <w:hideMark/>
          </w:tcPr>
          <w:p w14:paraId="0C3B5BAC"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29AEEAE3" w14:textId="77777777" w:rsidTr="00BE6461">
        <w:trPr>
          <w:trHeight w:val="300"/>
        </w:trPr>
        <w:tc>
          <w:tcPr>
            <w:tcW w:w="1703" w:type="dxa"/>
            <w:tcBorders>
              <w:top w:val="nil"/>
              <w:left w:val="nil"/>
              <w:bottom w:val="nil"/>
              <w:right w:val="nil"/>
            </w:tcBorders>
            <w:shd w:val="clear" w:color="auto" w:fill="auto"/>
            <w:noWrap/>
            <w:vAlign w:val="bottom"/>
            <w:hideMark/>
          </w:tcPr>
          <w:p w14:paraId="7E362AB1"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7F10D4A3"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43BA79A9" w14:textId="77777777" w:rsidR="00BE6461" w:rsidRPr="00BE6461" w:rsidRDefault="00BE6461" w:rsidP="00BE6461">
            <w:pPr>
              <w:jc w:val="right"/>
              <w:rPr>
                <w:b/>
                <w:bCs/>
                <w:sz w:val="20"/>
                <w:szCs w:val="20"/>
              </w:rPr>
            </w:pPr>
            <w:r w:rsidRPr="00BE6461">
              <w:rPr>
                <w:b/>
                <w:bCs/>
                <w:sz w:val="20"/>
                <w:szCs w:val="20"/>
              </w:rPr>
              <w:t>0,00</w:t>
            </w:r>
          </w:p>
        </w:tc>
        <w:tc>
          <w:tcPr>
            <w:tcW w:w="1500" w:type="dxa"/>
            <w:tcBorders>
              <w:top w:val="nil"/>
              <w:left w:val="nil"/>
              <w:bottom w:val="nil"/>
              <w:right w:val="nil"/>
            </w:tcBorders>
            <w:shd w:val="clear" w:color="auto" w:fill="auto"/>
            <w:noWrap/>
            <w:vAlign w:val="bottom"/>
            <w:hideMark/>
          </w:tcPr>
          <w:p w14:paraId="63DA1964" w14:textId="77777777" w:rsidR="00BE6461" w:rsidRPr="00BE6461" w:rsidRDefault="00BE6461" w:rsidP="00BE6461">
            <w:pPr>
              <w:jc w:val="right"/>
              <w:rPr>
                <w:b/>
                <w:bCs/>
                <w:sz w:val="20"/>
                <w:szCs w:val="20"/>
              </w:rPr>
            </w:pPr>
            <w:r w:rsidRPr="00BE6461">
              <w:rPr>
                <w:b/>
                <w:bCs/>
                <w:sz w:val="20"/>
                <w:szCs w:val="20"/>
              </w:rPr>
              <w:t>10.888,00</w:t>
            </w:r>
          </w:p>
        </w:tc>
        <w:tc>
          <w:tcPr>
            <w:tcW w:w="1100" w:type="dxa"/>
            <w:tcBorders>
              <w:top w:val="nil"/>
              <w:left w:val="nil"/>
              <w:bottom w:val="nil"/>
              <w:right w:val="nil"/>
            </w:tcBorders>
            <w:shd w:val="clear" w:color="auto" w:fill="auto"/>
            <w:noWrap/>
            <w:vAlign w:val="bottom"/>
            <w:hideMark/>
          </w:tcPr>
          <w:p w14:paraId="410CF8BB"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37270004" w14:textId="77777777" w:rsidTr="00BE6461">
        <w:trPr>
          <w:trHeight w:val="300"/>
        </w:trPr>
        <w:tc>
          <w:tcPr>
            <w:tcW w:w="1703" w:type="dxa"/>
            <w:tcBorders>
              <w:top w:val="nil"/>
              <w:left w:val="nil"/>
              <w:bottom w:val="nil"/>
              <w:right w:val="nil"/>
            </w:tcBorders>
            <w:shd w:val="clear" w:color="auto" w:fill="auto"/>
            <w:noWrap/>
            <w:vAlign w:val="bottom"/>
            <w:hideMark/>
          </w:tcPr>
          <w:p w14:paraId="3675CED9" w14:textId="77777777" w:rsidR="00BE6461" w:rsidRPr="00BE6461" w:rsidRDefault="00BE6461" w:rsidP="00BE6461">
            <w:pPr>
              <w:rPr>
                <w:sz w:val="20"/>
                <w:szCs w:val="20"/>
              </w:rPr>
            </w:pPr>
            <w:r w:rsidRPr="00BE6461">
              <w:rPr>
                <w:sz w:val="20"/>
                <w:szCs w:val="20"/>
              </w:rPr>
              <w:t>3232</w:t>
            </w:r>
          </w:p>
        </w:tc>
        <w:tc>
          <w:tcPr>
            <w:tcW w:w="8457" w:type="dxa"/>
            <w:tcBorders>
              <w:top w:val="nil"/>
              <w:left w:val="nil"/>
              <w:bottom w:val="nil"/>
              <w:right w:val="nil"/>
            </w:tcBorders>
            <w:shd w:val="clear" w:color="auto" w:fill="auto"/>
            <w:vAlign w:val="bottom"/>
            <w:hideMark/>
          </w:tcPr>
          <w:p w14:paraId="608D2024" w14:textId="77777777" w:rsidR="00BE6461" w:rsidRPr="00BE6461" w:rsidRDefault="00BE6461" w:rsidP="00BE6461">
            <w:pPr>
              <w:rPr>
                <w:sz w:val="20"/>
                <w:szCs w:val="20"/>
              </w:rPr>
            </w:pPr>
            <w:r w:rsidRPr="00BE6461">
              <w:rPr>
                <w:sz w:val="20"/>
                <w:szCs w:val="20"/>
              </w:rPr>
              <w:t xml:space="preserve">Usluge tekućeg i investicijskog održavanja                                                          </w:t>
            </w:r>
          </w:p>
        </w:tc>
        <w:tc>
          <w:tcPr>
            <w:tcW w:w="1503" w:type="dxa"/>
            <w:tcBorders>
              <w:top w:val="nil"/>
              <w:left w:val="nil"/>
              <w:bottom w:val="nil"/>
              <w:right w:val="nil"/>
            </w:tcBorders>
            <w:shd w:val="clear" w:color="auto" w:fill="auto"/>
            <w:noWrap/>
            <w:vAlign w:val="bottom"/>
            <w:hideMark/>
          </w:tcPr>
          <w:p w14:paraId="2116DF9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58C8DE2" w14:textId="77777777" w:rsidR="00BE6461" w:rsidRPr="00BE6461" w:rsidRDefault="00BE6461" w:rsidP="00BE6461">
            <w:pPr>
              <w:jc w:val="right"/>
              <w:rPr>
                <w:sz w:val="20"/>
                <w:szCs w:val="20"/>
              </w:rPr>
            </w:pPr>
            <w:r w:rsidRPr="00BE6461">
              <w:rPr>
                <w:sz w:val="20"/>
                <w:szCs w:val="20"/>
              </w:rPr>
              <w:t>10.888,00</w:t>
            </w:r>
          </w:p>
        </w:tc>
        <w:tc>
          <w:tcPr>
            <w:tcW w:w="1100" w:type="dxa"/>
            <w:tcBorders>
              <w:top w:val="nil"/>
              <w:left w:val="nil"/>
              <w:bottom w:val="nil"/>
              <w:right w:val="nil"/>
            </w:tcBorders>
            <w:shd w:val="clear" w:color="auto" w:fill="auto"/>
            <w:noWrap/>
            <w:vAlign w:val="bottom"/>
            <w:hideMark/>
          </w:tcPr>
          <w:p w14:paraId="7C2BCB66" w14:textId="77777777" w:rsidR="00BE6461" w:rsidRPr="00BE6461" w:rsidRDefault="00BE6461" w:rsidP="00BE6461">
            <w:pPr>
              <w:jc w:val="right"/>
              <w:rPr>
                <w:sz w:val="20"/>
                <w:szCs w:val="20"/>
              </w:rPr>
            </w:pPr>
          </w:p>
        </w:tc>
      </w:tr>
      <w:tr w:rsidR="00BE6461" w:rsidRPr="00BE6461" w14:paraId="0D1E289C"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6E386BF2" w14:textId="77777777" w:rsidR="00BE6461" w:rsidRPr="00BE6461" w:rsidRDefault="00BE6461" w:rsidP="00BE6461">
            <w:pPr>
              <w:rPr>
                <w:b/>
                <w:bCs/>
                <w:sz w:val="20"/>
                <w:szCs w:val="20"/>
              </w:rPr>
            </w:pPr>
            <w:r w:rsidRPr="00BE6461">
              <w:rPr>
                <w:b/>
                <w:bCs/>
                <w:sz w:val="20"/>
                <w:szCs w:val="20"/>
              </w:rPr>
              <w:t>A200006</w:t>
            </w:r>
          </w:p>
        </w:tc>
        <w:tc>
          <w:tcPr>
            <w:tcW w:w="8457" w:type="dxa"/>
            <w:tcBorders>
              <w:top w:val="single" w:sz="4" w:space="0" w:color="auto"/>
              <w:left w:val="nil"/>
              <w:bottom w:val="single" w:sz="4" w:space="0" w:color="auto"/>
              <w:right w:val="nil"/>
            </w:tcBorders>
            <w:shd w:val="clear" w:color="auto" w:fill="auto"/>
            <w:vAlign w:val="bottom"/>
            <w:hideMark/>
          </w:tcPr>
          <w:p w14:paraId="05922299" w14:textId="77777777" w:rsidR="00BE6461" w:rsidRPr="00BE6461" w:rsidRDefault="00BE6461" w:rsidP="00BE6461">
            <w:pPr>
              <w:rPr>
                <w:b/>
                <w:bCs/>
                <w:sz w:val="20"/>
                <w:szCs w:val="20"/>
              </w:rPr>
            </w:pPr>
            <w:r w:rsidRPr="00BE6461">
              <w:rPr>
                <w:b/>
                <w:bCs/>
                <w:sz w:val="20"/>
                <w:szCs w:val="20"/>
              </w:rPr>
              <w:t>Aktivnost: NERAZVRSTANE CESTE</w:t>
            </w:r>
          </w:p>
        </w:tc>
        <w:tc>
          <w:tcPr>
            <w:tcW w:w="1503" w:type="dxa"/>
            <w:tcBorders>
              <w:top w:val="single" w:sz="4" w:space="0" w:color="auto"/>
              <w:left w:val="nil"/>
              <w:bottom w:val="single" w:sz="4" w:space="0" w:color="auto"/>
              <w:right w:val="nil"/>
            </w:tcBorders>
            <w:shd w:val="clear" w:color="auto" w:fill="auto"/>
            <w:noWrap/>
            <w:vAlign w:val="bottom"/>
            <w:hideMark/>
          </w:tcPr>
          <w:p w14:paraId="5245E87A" w14:textId="77777777" w:rsidR="00BE6461" w:rsidRPr="00BE6461" w:rsidRDefault="00BE6461" w:rsidP="00BE6461">
            <w:pPr>
              <w:jc w:val="right"/>
              <w:rPr>
                <w:b/>
                <w:bCs/>
                <w:sz w:val="20"/>
                <w:szCs w:val="20"/>
              </w:rPr>
            </w:pPr>
            <w:r w:rsidRPr="00BE6461">
              <w:rPr>
                <w:b/>
                <w:bCs/>
                <w:sz w:val="20"/>
                <w:szCs w:val="20"/>
              </w:rPr>
              <w:t>2.380.888,50</w:t>
            </w:r>
          </w:p>
        </w:tc>
        <w:tc>
          <w:tcPr>
            <w:tcW w:w="1500" w:type="dxa"/>
            <w:tcBorders>
              <w:top w:val="single" w:sz="4" w:space="0" w:color="auto"/>
              <w:left w:val="nil"/>
              <w:bottom w:val="single" w:sz="4" w:space="0" w:color="auto"/>
              <w:right w:val="nil"/>
            </w:tcBorders>
            <w:shd w:val="clear" w:color="auto" w:fill="auto"/>
            <w:noWrap/>
            <w:vAlign w:val="bottom"/>
            <w:hideMark/>
          </w:tcPr>
          <w:p w14:paraId="5EF46031" w14:textId="77777777" w:rsidR="00BE6461" w:rsidRPr="00BE6461" w:rsidRDefault="00BE6461" w:rsidP="00BE6461">
            <w:pPr>
              <w:jc w:val="right"/>
              <w:rPr>
                <w:b/>
                <w:bCs/>
                <w:sz w:val="20"/>
                <w:szCs w:val="20"/>
              </w:rPr>
            </w:pPr>
            <w:r w:rsidRPr="00BE6461">
              <w:rPr>
                <w:b/>
                <w:bCs/>
                <w:sz w:val="20"/>
                <w:szCs w:val="20"/>
              </w:rPr>
              <w:t>2.515.645,84</w:t>
            </w:r>
          </w:p>
        </w:tc>
        <w:tc>
          <w:tcPr>
            <w:tcW w:w="1100" w:type="dxa"/>
            <w:tcBorders>
              <w:top w:val="single" w:sz="4" w:space="0" w:color="auto"/>
              <w:left w:val="nil"/>
              <w:bottom w:val="single" w:sz="4" w:space="0" w:color="auto"/>
              <w:right w:val="nil"/>
            </w:tcBorders>
            <w:shd w:val="clear" w:color="auto" w:fill="auto"/>
            <w:noWrap/>
            <w:vAlign w:val="bottom"/>
            <w:hideMark/>
          </w:tcPr>
          <w:p w14:paraId="601B29C4" w14:textId="77777777" w:rsidR="00BE6461" w:rsidRPr="00BE6461" w:rsidRDefault="00BE6461" w:rsidP="00BE6461">
            <w:pPr>
              <w:jc w:val="right"/>
              <w:rPr>
                <w:b/>
                <w:bCs/>
                <w:sz w:val="20"/>
                <w:szCs w:val="20"/>
              </w:rPr>
            </w:pPr>
            <w:r w:rsidRPr="00BE6461">
              <w:rPr>
                <w:b/>
                <w:bCs/>
                <w:sz w:val="20"/>
                <w:szCs w:val="20"/>
              </w:rPr>
              <w:t>105,66</w:t>
            </w:r>
          </w:p>
        </w:tc>
      </w:tr>
      <w:tr w:rsidR="00BE6461" w:rsidRPr="00BE6461" w14:paraId="371AB2FF"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908AB6F"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3CA59518" w14:textId="77777777" w:rsidR="00BE6461" w:rsidRPr="00BE6461" w:rsidRDefault="00BE6461" w:rsidP="00BE6461">
            <w:pPr>
              <w:jc w:val="right"/>
              <w:rPr>
                <w:b/>
                <w:bCs/>
                <w:color w:val="333333"/>
                <w:sz w:val="20"/>
                <w:szCs w:val="20"/>
              </w:rPr>
            </w:pPr>
            <w:r w:rsidRPr="00BE6461">
              <w:rPr>
                <w:b/>
                <w:bCs/>
                <w:color w:val="333333"/>
                <w:sz w:val="20"/>
                <w:szCs w:val="20"/>
              </w:rPr>
              <w:t>2.380.888,50</w:t>
            </w:r>
          </w:p>
        </w:tc>
        <w:tc>
          <w:tcPr>
            <w:tcW w:w="1500" w:type="dxa"/>
            <w:tcBorders>
              <w:top w:val="nil"/>
              <w:left w:val="nil"/>
              <w:bottom w:val="nil"/>
              <w:right w:val="nil"/>
            </w:tcBorders>
            <w:shd w:val="clear" w:color="auto" w:fill="auto"/>
            <w:noWrap/>
            <w:vAlign w:val="bottom"/>
            <w:hideMark/>
          </w:tcPr>
          <w:p w14:paraId="37559668" w14:textId="77777777" w:rsidR="00BE6461" w:rsidRPr="00BE6461" w:rsidRDefault="00BE6461" w:rsidP="00BE6461">
            <w:pPr>
              <w:jc w:val="right"/>
              <w:rPr>
                <w:b/>
                <w:bCs/>
                <w:color w:val="333333"/>
                <w:sz w:val="20"/>
                <w:szCs w:val="20"/>
              </w:rPr>
            </w:pPr>
            <w:r w:rsidRPr="00BE6461">
              <w:rPr>
                <w:b/>
                <w:bCs/>
                <w:color w:val="333333"/>
                <w:sz w:val="20"/>
                <w:szCs w:val="20"/>
              </w:rPr>
              <w:t>2.310.252,59</w:t>
            </w:r>
          </w:p>
        </w:tc>
        <w:tc>
          <w:tcPr>
            <w:tcW w:w="1100" w:type="dxa"/>
            <w:tcBorders>
              <w:top w:val="nil"/>
              <w:left w:val="nil"/>
              <w:bottom w:val="nil"/>
              <w:right w:val="nil"/>
            </w:tcBorders>
            <w:shd w:val="clear" w:color="auto" w:fill="auto"/>
            <w:noWrap/>
            <w:vAlign w:val="bottom"/>
            <w:hideMark/>
          </w:tcPr>
          <w:p w14:paraId="6977E1B4" w14:textId="77777777" w:rsidR="00BE6461" w:rsidRPr="00BE6461" w:rsidRDefault="00BE6461" w:rsidP="00BE6461">
            <w:pPr>
              <w:jc w:val="right"/>
              <w:rPr>
                <w:b/>
                <w:bCs/>
                <w:color w:val="333333"/>
                <w:sz w:val="20"/>
                <w:szCs w:val="20"/>
              </w:rPr>
            </w:pPr>
            <w:r w:rsidRPr="00BE6461">
              <w:rPr>
                <w:b/>
                <w:bCs/>
                <w:color w:val="333333"/>
                <w:sz w:val="20"/>
                <w:szCs w:val="20"/>
              </w:rPr>
              <w:t>97,03</w:t>
            </w:r>
          </w:p>
        </w:tc>
      </w:tr>
      <w:tr w:rsidR="00BE6461" w:rsidRPr="00BE6461" w14:paraId="1F52143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651BD1A" w14:textId="77777777" w:rsidR="00BE6461" w:rsidRPr="00BE6461" w:rsidRDefault="00BE6461" w:rsidP="00BE6461">
            <w:pPr>
              <w:rPr>
                <w:b/>
                <w:bCs/>
                <w:color w:val="333333"/>
                <w:sz w:val="20"/>
                <w:szCs w:val="20"/>
              </w:rPr>
            </w:pPr>
            <w:r w:rsidRPr="00BE6461">
              <w:rPr>
                <w:b/>
                <w:bCs/>
                <w:color w:val="333333"/>
                <w:sz w:val="20"/>
                <w:szCs w:val="20"/>
              </w:rPr>
              <w:t>Izvor 4.1. PRIHODI POSEBNE NAMJENE - KOMUNALNA NAKNADA</w:t>
            </w:r>
          </w:p>
        </w:tc>
        <w:tc>
          <w:tcPr>
            <w:tcW w:w="1503" w:type="dxa"/>
            <w:tcBorders>
              <w:top w:val="nil"/>
              <w:left w:val="nil"/>
              <w:bottom w:val="nil"/>
              <w:right w:val="nil"/>
            </w:tcBorders>
            <w:shd w:val="clear" w:color="auto" w:fill="auto"/>
            <w:noWrap/>
            <w:vAlign w:val="bottom"/>
            <w:hideMark/>
          </w:tcPr>
          <w:p w14:paraId="58D04777" w14:textId="77777777" w:rsidR="00BE6461" w:rsidRPr="00BE6461" w:rsidRDefault="00BE6461" w:rsidP="00BE6461">
            <w:pPr>
              <w:jc w:val="right"/>
              <w:rPr>
                <w:b/>
                <w:bCs/>
                <w:color w:val="333333"/>
                <w:sz w:val="20"/>
                <w:szCs w:val="20"/>
              </w:rPr>
            </w:pPr>
            <w:r w:rsidRPr="00BE6461">
              <w:rPr>
                <w:b/>
                <w:bCs/>
                <w:color w:val="333333"/>
                <w:sz w:val="20"/>
                <w:szCs w:val="20"/>
              </w:rPr>
              <w:t>2.320.888,50</w:t>
            </w:r>
          </w:p>
        </w:tc>
        <w:tc>
          <w:tcPr>
            <w:tcW w:w="1500" w:type="dxa"/>
            <w:tcBorders>
              <w:top w:val="nil"/>
              <w:left w:val="nil"/>
              <w:bottom w:val="nil"/>
              <w:right w:val="nil"/>
            </w:tcBorders>
            <w:shd w:val="clear" w:color="auto" w:fill="auto"/>
            <w:noWrap/>
            <w:vAlign w:val="bottom"/>
            <w:hideMark/>
          </w:tcPr>
          <w:p w14:paraId="495282D6" w14:textId="77777777" w:rsidR="00BE6461" w:rsidRPr="00BE6461" w:rsidRDefault="00BE6461" w:rsidP="00BE6461">
            <w:pPr>
              <w:jc w:val="right"/>
              <w:rPr>
                <w:b/>
                <w:bCs/>
                <w:color w:val="333333"/>
                <w:sz w:val="20"/>
                <w:szCs w:val="20"/>
              </w:rPr>
            </w:pPr>
            <w:r w:rsidRPr="00BE6461">
              <w:rPr>
                <w:b/>
                <w:bCs/>
                <w:color w:val="333333"/>
                <w:sz w:val="20"/>
                <w:szCs w:val="20"/>
              </w:rPr>
              <w:t>2.167.158,84</w:t>
            </w:r>
          </w:p>
        </w:tc>
        <w:tc>
          <w:tcPr>
            <w:tcW w:w="1100" w:type="dxa"/>
            <w:tcBorders>
              <w:top w:val="nil"/>
              <w:left w:val="nil"/>
              <w:bottom w:val="nil"/>
              <w:right w:val="nil"/>
            </w:tcBorders>
            <w:shd w:val="clear" w:color="auto" w:fill="auto"/>
            <w:noWrap/>
            <w:vAlign w:val="bottom"/>
            <w:hideMark/>
          </w:tcPr>
          <w:p w14:paraId="7D722714" w14:textId="77777777" w:rsidR="00BE6461" w:rsidRPr="00BE6461" w:rsidRDefault="00BE6461" w:rsidP="00BE6461">
            <w:pPr>
              <w:jc w:val="right"/>
              <w:rPr>
                <w:b/>
                <w:bCs/>
                <w:color w:val="333333"/>
                <w:sz w:val="20"/>
                <w:szCs w:val="20"/>
              </w:rPr>
            </w:pPr>
            <w:r w:rsidRPr="00BE6461">
              <w:rPr>
                <w:b/>
                <w:bCs/>
                <w:color w:val="333333"/>
                <w:sz w:val="20"/>
                <w:szCs w:val="20"/>
              </w:rPr>
              <w:t>93,38</w:t>
            </w:r>
          </w:p>
        </w:tc>
      </w:tr>
      <w:tr w:rsidR="00BE6461" w:rsidRPr="00BE6461" w14:paraId="736C45E7" w14:textId="77777777" w:rsidTr="00BE6461">
        <w:trPr>
          <w:trHeight w:val="300"/>
        </w:trPr>
        <w:tc>
          <w:tcPr>
            <w:tcW w:w="1703" w:type="dxa"/>
            <w:tcBorders>
              <w:top w:val="nil"/>
              <w:left w:val="nil"/>
              <w:bottom w:val="nil"/>
              <w:right w:val="nil"/>
            </w:tcBorders>
            <w:shd w:val="clear" w:color="auto" w:fill="auto"/>
            <w:noWrap/>
            <w:vAlign w:val="bottom"/>
            <w:hideMark/>
          </w:tcPr>
          <w:p w14:paraId="2ADE55D4"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2E8F634F"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4DE19781" w14:textId="77777777" w:rsidR="00BE6461" w:rsidRPr="00BE6461" w:rsidRDefault="00BE6461" w:rsidP="00BE6461">
            <w:pPr>
              <w:jc w:val="right"/>
              <w:rPr>
                <w:b/>
                <w:bCs/>
                <w:sz w:val="20"/>
                <w:szCs w:val="20"/>
              </w:rPr>
            </w:pPr>
            <w:r w:rsidRPr="00BE6461">
              <w:rPr>
                <w:b/>
                <w:bCs/>
                <w:sz w:val="20"/>
                <w:szCs w:val="20"/>
              </w:rPr>
              <w:t>2.295.888,50</w:t>
            </w:r>
          </w:p>
        </w:tc>
        <w:tc>
          <w:tcPr>
            <w:tcW w:w="1500" w:type="dxa"/>
            <w:tcBorders>
              <w:top w:val="nil"/>
              <w:left w:val="nil"/>
              <w:bottom w:val="nil"/>
              <w:right w:val="nil"/>
            </w:tcBorders>
            <w:shd w:val="clear" w:color="auto" w:fill="auto"/>
            <w:noWrap/>
            <w:vAlign w:val="bottom"/>
            <w:hideMark/>
          </w:tcPr>
          <w:p w14:paraId="627E067B" w14:textId="77777777" w:rsidR="00BE6461" w:rsidRPr="00BE6461" w:rsidRDefault="00BE6461" w:rsidP="00BE6461">
            <w:pPr>
              <w:jc w:val="right"/>
              <w:rPr>
                <w:b/>
                <w:bCs/>
                <w:sz w:val="20"/>
                <w:szCs w:val="20"/>
              </w:rPr>
            </w:pPr>
            <w:r w:rsidRPr="00BE6461">
              <w:rPr>
                <w:b/>
                <w:bCs/>
                <w:sz w:val="20"/>
                <w:szCs w:val="20"/>
              </w:rPr>
              <w:t>2.142.158,84</w:t>
            </w:r>
          </w:p>
        </w:tc>
        <w:tc>
          <w:tcPr>
            <w:tcW w:w="1100" w:type="dxa"/>
            <w:tcBorders>
              <w:top w:val="nil"/>
              <w:left w:val="nil"/>
              <w:bottom w:val="nil"/>
              <w:right w:val="nil"/>
            </w:tcBorders>
            <w:shd w:val="clear" w:color="auto" w:fill="auto"/>
            <w:noWrap/>
            <w:vAlign w:val="bottom"/>
            <w:hideMark/>
          </w:tcPr>
          <w:p w14:paraId="17CB75A0" w14:textId="77777777" w:rsidR="00BE6461" w:rsidRPr="00BE6461" w:rsidRDefault="00BE6461" w:rsidP="00BE6461">
            <w:pPr>
              <w:jc w:val="right"/>
              <w:rPr>
                <w:b/>
                <w:bCs/>
                <w:sz w:val="20"/>
                <w:szCs w:val="20"/>
              </w:rPr>
            </w:pPr>
            <w:r w:rsidRPr="00BE6461">
              <w:rPr>
                <w:b/>
                <w:bCs/>
                <w:sz w:val="20"/>
                <w:szCs w:val="20"/>
              </w:rPr>
              <w:t>93,30</w:t>
            </w:r>
          </w:p>
        </w:tc>
      </w:tr>
      <w:tr w:rsidR="00BE6461" w:rsidRPr="00BE6461" w14:paraId="5218FCD7" w14:textId="77777777" w:rsidTr="00BE6461">
        <w:trPr>
          <w:trHeight w:val="300"/>
        </w:trPr>
        <w:tc>
          <w:tcPr>
            <w:tcW w:w="1703" w:type="dxa"/>
            <w:tcBorders>
              <w:top w:val="nil"/>
              <w:left w:val="nil"/>
              <w:bottom w:val="nil"/>
              <w:right w:val="nil"/>
            </w:tcBorders>
            <w:shd w:val="clear" w:color="auto" w:fill="auto"/>
            <w:noWrap/>
            <w:vAlign w:val="bottom"/>
            <w:hideMark/>
          </w:tcPr>
          <w:p w14:paraId="1BC29366" w14:textId="77777777" w:rsidR="00BE6461" w:rsidRPr="00BE6461" w:rsidRDefault="00BE6461" w:rsidP="00BE6461">
            <w:pPr>
              <w:rPr>
                <w:sz w:val="20"/>
                <w:szCs w:val="20"/>
              </w:rPr>
            </w:pPr>
            <w:r w:rsidRPr="00BE6461">
              <w:rPr>
                <w:sz w:val="20"/>
                <w:szCs w:val="20"/>
              </w:rPr>
              <w:lastRenderedPageBreak/>
              <w:t>3232</w:t>
            </w:r>
          </w:p>
        </w:tc>
        <w:tc>
          <w:tcPr>
            <w:tcW w:w="8457" w:type="dxa"/>
            <w:tcBorders>
              <w:top w:val="nil"/>
              <w:left w:val="nil"/>
              <w:bottom w:val="nil"/>
              <w:right w:val="nil"/>
            </w:tcBorders>
            <w:shd w:val="clear" w:color="auto" w:fill="auto"/>
            <w:vAlign w:val="bottom"/>
            <w:hideMark/>
          </w:tcPr>
          <w:p w14:paraId="129D79DD" w14:textId="77777777" w:rsidR="00BE6461" w:rsidRPr="00BE6461" w:rsidRDefault="00BE6461" w:rsidP="00BE6461">
            <w:pPr>
              <w:rPr>
                <w:sz w:val="20"/>
                <w:szCs w:val="20"/>
              </w:rPr>
            </w:pPr>
            <w:r w:rsidRPr="00BE6461">
              <w:rPr>
                <w:sz w:val="20"/>
                <w:szCs w:val="20"/>
              </w:rPr>
              <w:t xml:space="preserve">Usluge tekućeg i investicijskog održavanja                                                          </w:t>
            </w:r>
          </w:p>
        </w:tc>
        <w:tc>
          <w:tcPr>
            <w:tcW w:w="1503" w:type="dxa"/>
            <w:tcBorders>
              <w:top w:val="nil"/>
              <w:left w:val="nil"/>
              <w:bottom w:val="nil"/>
              <w:right w:val="nil"/>
            </w:tcBorders>
            <w:shd w:val="clear" w:color="auto" w:fill="auto"/>
            <w:noWrap/>
            <w:vAlign w:val="bottom"/>
            <w:hideMark/>
          </w:tcPr>
          <w:p w14:paraId="3E58C38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E525E12" w14:textId="77777777" w:rsidR="00BE6461" w:rsidRPr="00BE6461" w:rsidRDefault="00BE6461" w:rsidP="00BE6461">
            <w:pPr>
              <w:jc w:val="right"/>
              <w:rPr>
                <w:sz w:val="20"/>
                <w:szCs w:val="20"/>
              </w:rPr>
            </w:pPr>
            <w:r w:rsidRPr="00BE6461">
              <w:rPr>
                <w:sz w:val="20"/>
                <w:szCs w:val="20"/>
              </w:rPr>
              <w:t>1.965.746,34</w:t>
            </w:r>
          </w:p>
        </w:tc>
        <w:tc>
          <w:tcPr>
            <w:tcW w:w="1100" w:type="dxa"/>
            <w:tcBorders>
              <w:top w:val="nil"/>
              <w:left w:val="nil"/>
              <w:bottom w:val="nil"/>
              <w:right w:val="nil"/>
            </w:tcBorders>
            <w:shd w:val="clear" w:color="auto" w:fill="auto"/>
            <w:noWrap/>
            <w:vAlign w:val="bottom"/>
            <w:hideMark/>
          </w:tcPr>
          <w:p w14:paraId="68EFC9AE" w14:textId="77777777" w:rsidR="00BE6461" w:rsidRPr="00BE6461" w:rsidRDefault="00BE6461" w:rsidP="00BE6461">
            <w:pPr>
              <w:jc w:val="right"/>
              <w:rPr>
                <w:sz w:val="20"/>
                <w:szCs w:val="20"/>
              </w:rPr>
            </w:pPr>
          </w:p>
        </w:tc>
      </w:tr>
      <w:tr w:rsidR="00BE6461" w:rsidRPr="00BE6461" w14:paraId="4D5A51C2" w14:textId="77777777" w:rsidTr="00BE6461">
        <w:trPr>
          <w:trHeight w:val="300"/>
        </w:trPr>
        <w:tc>
          <w:tcPr>
            <w:tcW w:w="1703" w:type="dxa"/>
            <w:tcBorders>
              <w:top w:val="nil"/>
              <w:left w:val="nil"/>
              <w:bottom w:val="nil"/>
              <w:right w:val="nil"/>
            </w:tcBorders>
            <w:shd w:val="clear" w:color="auto" w:fill="auto"/>
            <w:noWrap/>
            <w:vAlign w:val="bottom"/>
            <w:hideMark/>
          </w:tcPr>
          <w:p w14:paraId="23A89BC6" w14:textId="77777777" w:rsidR="00BE6461" w:rsidRPr="00BE6461" w:rsidRDefault="00BE6461" w:rsidP="00BE6461">
            <w:pPr>
              <w:rPr>
                <w:sz w:val="20"/>
                <w:szCs w:val="20"/>
              </w:rPr>
            </w:pPr>
            <w:r w:rsidRPr="00BE6461">
              <w:rPr>
                <w:sz w:val="20"/>
                <w:szCs w:val="20"/>
              </w:rPr>
              <w:t>3234</w:t>
            </w:r>
          </w:p>
        </w:tc>
        <w:tc>
          <w:tcPr>
            <w:tcW w:w="8457" w:type="dxa"/>
            <w:tcBorders>
              <w:top w:val="nil"/>
              <w:left w:val="nil"/>
              <w:bottom w:val="nil"/>
              <w:right w:val="nil"/>
            </w:tcBorders>
            <w:shd w:val="clear" w:color="auto" w:fill="auto"/>
            <w:vAlign w:val="bottom"/>
            <w:hideMark/>
          </w:tcPr>
          <w:p w14:paraId="166CC257" w14:textId="77777777" w:rsidR="00BE6461" w:rsidRPr="00BE6461" w:rsidRDefault="00BE6461" w:rsidP="00BE6461">
            <w:pPr>
              <w:rPr>
                <w:sz w:val="20"/>
                <w:szCs w:val="20"/>
              </w:rPr>
            </w:pPr>
            <w:r w:rsidRPr="00BE6461">
              <w:rPr>
                <w:sz w:val="20"/>
                <w:szCs w:val="20"/>
              </w:rPr>
              <w:t xml:space="preserve">Komunalne usluge                                                                                    </w:t>
            </w:r>
          </w:p>
        </w:tc>
        <w:tc>
          <w:tcPr>
            <w:tcW w:w="1503" w:type="dxa"/>
            <w:tcBorders>
              <w:top w:val="nil"/>
              <w:left w:val="nil"/>
              <w:bottom w:val="nil"/>
              <w:right w:val="nil"/>
            </w:tcBorders>
            <w:shd w:val="clear" w:color="auto" w:fill="auto"/>
            <w:noWrap/>
            <w:vAlign w:val="bottom"/>
            <w:hideMark/>
          </w:tcPr>
          <w:p w14:paraId="65683B0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AAE4B72" w14:textId="77777777" w:rsidR="00BE6461" w:rsidRPr="00BE6461" w:rsidRDefault="00BE6461" w:rsidP="00BE6461">
            <w:pPr>
              <w:jc w:val="right"/>
              <w:rPr>
                <w:sz w:val="20"/>
                <w:szCs w:val="20"/>
              </w:rPr>
            </w:pPr>
            <w:r w:rsidRPr="00BE6461">
              <w:rPr>
                <w:sz w:val="20"/>
                <w:szCs w:val="20"/>
              </w:rPr>
              <w:t>93.912,50</w:t>
            </w:r>
          </w:p>
        </w:tc>
        <w:tc>
          <w:tcPr>
            <w:tcW w:w="1100" w:type="dxa"/>
            <w:tcBorders>
              <w:top w:val="nil"/>
              <w:left w:val="nil"/>
              <w:bottom w:val="nil"/>
              <w:right w:val="nil"/>
            </w:tcBorders>
            <w:shd w:val="clear" w:color="auto" w:fill="auto"/>
            <w:noWrap/>
            <w:vAlign w:val="bottom"/>
            <w:hideMark/>
          </w:tcPr>
          <w:p w14:paraId="3B913991" w14:textId="77777777" w:rsidR="00BE6461" w:rsidRPr="00BE6461" w:rsidRDefault="00BE6461" w:rsidP="00BE6461">
            <w:pPr>
              <w:jc w:val="right"/>
              <w:rPr>
                <w:sz w:val="20"/>
                <w:szCs w:val="20"/>
              </w:rPr>
            </w:pPr>
          </w:p>
        </w:tc>
      </w:tr>
      <w:tr w:rsidR="00BE6461" w:rsidRPr="00BE6461" w14:paraId="59DE0720" w14:textId="77777777" w:rsidTr="00BE6461">
        <w:trPr>
          <w:trHeight w:val="300"/>
        </w:trPr>
        <w:tc>
          <w:tcPr>
            <w:tcW w:w="1703" w:type="dxa"/>
            <w:tcBorders>
              <w:top w:val="nil"/>
              <w:left w:val="nil"/>
              <w:bottom w:val="nil"/>
              <w:right w:val="nil"/>
            </w:tcBorders>
            <w:shd w:val="clear" w:color="auto" w:fill="auto"/>
            <w:noWrap/>
            <w:vAlign w:val="bottom"/>
            <w:hideMark/>
          </w:tcPr>
          <w:p w14:paraId="1CFF5067"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09BC397E"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14F6417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63AFA0E" w14:textId="77777777" w:rsidR="00BE6461" w:rsidRPr="00BE6461" w:rsidRDefault="00BE6461" w:rsidP="00BE6461">
            <w:pPr>
              <w:jc w:val="right"/>
              <w:rPr>
                <w:sz w:val="20"/>
                <w:szCs w:val="20"/>
              </w:rPr>
            </w:pPr>
            <w:r w:rsidRPr="00BE6461">
              <w:rPr>
                <w:sz w:val="20"/>
                <w:szCs w:val="20"/>
              </w:rPr>
              <w:t>82.500,00</w:t>
            </w:r>
          </w:p>
        </w:tc>
        <w:tc>
          <w:tcPr>
            <w:tcW w:w="1100" w:type="dxa"/>
            <w:tcBorders>
              <w:top w:val="nil"/>
              <w:left w:val="nil"/>
              <w:bottom w:val="nil"/>
              <w:right w:val="nil"/>
            </w:tcBorders>
            <w:shd w:val="clear" w:color="auto" w:fill="auto"/>
            <w:noWrap/>
            <w:vAlign w:val="bottom"/>
            <w:hideMark/>
          </w:tcPr>
          <w:p w14:paraId="5F97B3EA" w14:textId="77777777" w:rsidR="00BE6461" w:rsidRPr="00BE6461" w:rsidRDefault="00BE6461" w:rsidP="00BE6461">
            <w:pPr>
              <w:jc w:val="right"/>
              <w:rPr>
                <w:sz w:val="20"/>
                <w:szCs w:val="20"/>
              </w:rPr>
            </w:pPr>
          </w:p>
        </w:tc>
      </w:tr>
      <w:tr w:rsidR="00BE6461" w:rsidRPr="00BE6461" w14:paraId="63C2224D" w14:textId="77777777" w:rsidTr="00BE6461">
        <w:trPr>
          <w:trHeight w:val="300"/>
        </w:trPr>
        <w:tc>
          <w:tcPr>
            <w:tcW w:w="1703" w:type="dxa"/>
            <w:tcBorders>
              <w:top w:val="nil"/>
              <w:left w:val="nil"/>
              <w:bottom w:val="nil"/>
              <w:right w:val="nil"/>
            </w:tcBorders>
            <w:shd w:val="clear" w:color="auto" w:fill="auto"/>
            <w:noWrap/>
            <w:vAlign w:val="bottom"/>
            <w:hideMark/>
          </w:tcPr>
          <w:p w14:paraId="35C43EC7"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44A91E33"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26F8766D" w14:textId="77777777" w:rsidR="00BE6461" w:rsidRPr="00BE6461" w:rsidRDefault="00BE6461" w:rsidP="00BE6461">
            <w:pPr>
              <w:jc w:val="right"/>
              <w:rPr>
                <w:b/>
                <w:bCs/>
                <w:sz w:val="20"/>
                <w:szCs w:val="20"/>
              </w:rPr>
            </w:pPr>
            <w:r w:rsidRPr="00BE6461">
              <w:rPr>
                <w:b/>
                <w:bCs/>
                <w:sz w:val="20"/>
                <w:szCs w:val="20"/>
              </w:rPr>
              <w:t>25.000,00</w:t>
            </w:r>
          </w:p>
        </w:tc>
        <w:tc>
          <w:tcPr>
            <w:tcW w:w="1500" w:type="dxa"/>
            <w:tcBorders>
              <w:top w:val="nil"/>
              <w:left w:val="nil"/>
              <w:bottom w:val="nil"/>
              <w:right w:val="nil"/>
            </w:tcBorders>
            <w:shd w:val="clear" w:color="auto" w:fill="auto"/>
            <w:noWrap/>
            <w:vAlign w:val="bottom"/>
            <w:hideMark/>
          </w:tcPr>
          <w:p w14:paraId="24E3FCA8" w14:textId="77777777" w:rsidR="00BE6461" w:rsidRPr="00BE6461" w:rsidRDefault="00BE6461" w:rsidP="00BE6461">
            <w:pPr>
              <w:jc w:val="right"/>
              <w:rPr>
                <w:b/>
                <w:bCs/>
                <w:sz w:val="20"/>
                <w:szCs w:val="20"/>
              </w:rPr>
            </w:pPr>
            <w:r w:rsidRPr="00BE6461">
              <w:rPr>
                <w:b/>
                <w:bCs/>
                <w:sz w:val="20"/>
                <w:szCs w:val="20"/>
              </w:rPr>
              <w:t>25.000,00</w:t>
            </w:r>
          </w:p>
        </w:tc>
        <w:tc>
          <w:tcPr>
            <w:tcW w:w="1100" w:type="dxa"/>
            <w:tcBorders>
              <w:top w:val="nil"/>
              <w:left w:val="nil"/>
              <w:bottom w:val="nil"/>
              <w:right w:val="nil"/>
            </w:tcBorders>
            <w:shd w:val="clear" w:color="auto" w:fill="auto"/>
            <w:noWrap/>
            <w:vAlign w:val="bottom"/>
            <w:hideMark/>
          </w:tcPr>
          <w:p w14:paraId="59607054"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7774A525" w14:textId="77777777" w:rsidTr="00BE6461">
        <w:trPr>
          <w:trHeight w:val="300"/>
        </w:trPr>
        <w:tc>
          <w:tcPr>
            <w:tcW w:w="1703" w:type="dxa"/>
            <w:tcBorders>
              <w:top w:val="nil"/>
              <w:left w:val="nil"/>
              <w:bottom w:val="nil"/>
              <w:right w:val="nil"/>
            </w:tcBorders>
            <w:shd w:val="clear" w:color="auto" w:fill="auto"/>
            <w:noWrap/>
            <w:vAlign w:val="bottom"/>
            <w:hideMark/>
          </w:tcPr>
          <w:p w14:paraId="29AAD15F" w14:textId="77777777" w:rsidR="00BE6461" w:rsidRPr="00BE6461" w:rsidRDefault="00BE6461" w:rsidP="00BE6461">
            <w:pPr>
              <w:rPr>
                <w:sz w:val="20"/>
                <w:szCs w:val="20"/>
              </w:rPr>
            </w:pPr>
            <w:r w:rsidRPr="00BE6461">
              <w:rPr>
                <w:sz w:val="20"/>
                <w:szCs w:val="20"/>
              </w:rPr>
              <w:t>3295</w:t>
            </w:r>
          </w:p>
        </w:tc>
        <w:tc>
          <w:tcPr>
            <w:tcW w:w="8457" w:type="dxa"/>
            <w:tcBorders>
              <w:top w:val="nil"/>
              <w:left w:val="nil"/>
              <w:bottom w:val="nil"/>
              <w:right w:val="nil"/>
            </w:tcBorders>
            <w:shd w:val="clear" w:color="auto" w:fill="auto"/>
            <w:vAlign w:val="bottom"/>
            <w:hideMark/>
          </w:tcPr>
          <w:p w14:paraId="192EE47C" w14:textId="77777777" w:rsidR="00BE6461" w:rsidRPr="00BE6461" w:rsidRDefault="00BE6461" w:rsidP="00BE6461">
            <w:pPr>
              <w:rPr>
                <w:sz w:val="20"/>
                <w:szCs w:val="20"/>
              </w:rPr>
            </w:pPr>
            <w:r w:rsidRPr="00BE6461">
              <w:rPr>
                <w:sz w:val="20"/>
                <w:szCs w:val="20"/>
              </w:rPr>
              <w:t xml:space="preserve">Pristojbe i naknade                                                                                 </w:t>
            </w:r>
          </w:p>
        </w:tc>
        <w:tc>
          <w:tcPr>
            <w:tcW w:w="1503" w:type="dxa"/>
            <w:tcBorders>
              <w:top w:val="nil"/>
              <w:left w:val="nil"/>
              <w:bottom w:val="nil"/>
              <w:right w:val="nil"/>
            </w:tcBorders>
            <w:shd w:val="clear" w:color="auto" w:fill="auto"/>
            <w:noWrap/>
            <w:vAlign w:val="bottom"/>
            <w:hideMark/>
          </w:tcPr>
          <w:p w14:paraId="37001AA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A0B3596" w14:textId="77777777" w:rsidR="00BE6461" w:rsidRPr="00BE6461" w:rsidRDefault="00BE6461" w:rsidP="00BE6461">
            <w:pPr>
              <w:jc w:val="right"/>
              <w:rPr>
                <w:sz w:val="20"/>
                <w:szCs w:val="20"/>
              </w:rPr>
            </w:pPr>
            <w:r w:rsidRPr="00BE6461">
              <w:rPr>
                <w:sz w:val="20"/>
                <w:szCs w:val="20"/>
              </w:rPr>
              <w:t>25.000,00</w:t>
            </w:r>
          </w:p>
        </w:tc>
        <w:tc>
          <w:tcPr>
            <w:tcW w:w="1100" w:type="dxa"/>
            <w:tcBorders>
              <w:top w:val="nil"/>
              <w:left w:val="nil"/>
              <w:bottom w:val="nil"/>
              <w:right w:val="nil"/>
            </w:tcBorders>
            <w:shd w:val="clear" w:color="auto" w:fill="auto"/>
            <w:noWrap/>
            <w:vAlign w:val="bottom"/>
            <w:hideMark/>
          </w:tcPr>
          <w:p w14:paraId="3B1388D2" w14:textId="77777777" w:rsidR="00BE6461" w:rsidRPr="00BE6461" w:rsidRDefault="00BE6461" w:rsidP="00BE6461">
            <w:pPr>
              <w:jc w:val="right"/>
              <w:rPr>
                <w:sz w:val="20"/>
                <w:szCs w:val="20"/>
              </w:rPr>
            </w:pPr>
          </w:p>
        </w:tc>
      </w:tr>
      <w:tr w:rsidR="00BE6461" w:rsidRPr="00BE6461" w14:paraId="6749F428"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0F079DF" w14:textId="77777777" w:rsidR="00BE6461" w:rsidRPr="00BE6461" w:rsidRDefault="00BE6461" w:rsidP="00BE6461">
            <w:pPr>
              <w:rPr>
                <w:b/>
                <w:bCs/>
                <w:color w:val="333333"/>
                <w:sz w:val="20"/>
                <w:szCs w:val="20"/>
              </w:rPr>
            </w:pPr>
            <w:r w:rsidRPr="00BE6461">
              <w:rPr>
                <w:b/>
                <w:bCs/>
                <w:color w:val="333333"/>
                <w:sz w:val="20"/>
                <w:szCs w:val="20"/>
              </w:rPr>
              <w:t>Izvor 4.5. PRIHODI POSEBNE NAMJENE - POLJOPRIVREDNO ZEMLJIŠTE RH</w:t>
            </w:r>
          </w:p>
        </w:tc>
        <w:tc>
          <w:tcPr>
            <w:tcW w:w="1503" w:type="dxa"/>
            <w:tcBorders>
              <w:top w:val="nil"/>
              <w:left w:val="nil"/>
              <w:bottom w:val="nil"/>
              <w:right w:val="nil"/>
            </w:tcBorders>
            <w:shd w:val="clear" w:color="auto" w:fill="auto"/>
            <w:noWrap/>
            <w:vAlign w:val="bottom"/>
            <w:hideMark/>
          </w:tcPr>
          <w:p w14:paraId="34803C8D" w14:textId="77777777" w:rsidR="00BE6461" w:rsidRPr="00BE6461" w:rsidRDefault="00BE6461" w:rsidP="00BE6461">
            <w:pPr>
              <w:jc w:val="right"/>
              <w:rPr>
                <w:b/>
                <w:bCs/>
                <w:color w:val="333333"/>
                <w:sz w:val="20"/>
                <w:szCs w:val="20"/>
              </w:rPr>
            </w:pPr>
            <w:r w:rsidRPr="00BE6461">
              <w:rPr>
                <w:b/>
                <w:bCs/>
                <w:color w:val="333333"/>
                <w:sz w:val="20"/>
                <w:szCs w:val="20"/>
              </w:rPr>
              <w:t>60.000,00</w:t>
            </w:r>
          </w:p>
        </w:tc>
        <w:tc>
          <w:tcPr>
            <w:tcW w:w="1500" w:type="dxa"/>
            <w:tcBorders>
              <w:top w:val="nil"/>
              <w:left w:val="nil"/>
              <w:bottom w:val="nil"/>
              <w:right w:val="nil"/>
            </w:tcBorders>
            <w:shd w:val="clear" w:color="auto" w:fill="auto"/>
            <w:noWrap/>
            <w:vAlign w:val="bottom"/>
            <w:hideMark/>
          </w:tcPr>
          <w:p w14:paraId="369FAD36" w14:textId="77777777" w:rsidR="00BE6461" w:rsidRPr="00BE6461" w:rsidRDefault="00BE6461" w:rsidP="00BE6461">
            <w:pPr>
              <w:jc w:val="right"/>
              <w:rPr>
                <w:b/>
                <w:bCs/>
                <w:color w:val="333333"/>
                <w:sz w:val="20"/>
                <w:szCs w:val="20"/>
              </w:rPr>
            </w:pPr>
            <w:r w:rsidRPr="00BE6461">
              <w:rPr>
                <w:b/>
                <w:bCs/>
                <w:color w:val="333333"/>
                <w:sz w:val="20"/>
                <w:szCs w:val="20"/>
              </w:rPr>
              <w:t>143.093,75</w:t>
            </w:r>
          </w:p>
        </w:tc>
        <w:tc>
          <w:tcPr>
            <w:tcW w:w="1100" w:type="dxa"/>
            <w:tcBorders>
              <w:top w:val="nil"/>
              <w:left w:val="nil"/>
              <w:bottom w:val="nil"/>
              <w:right w:val="nil"/>
            </w:tcBorders>
            <w:shd w:val="clear" w:color="auto" w:fill="auto"/>
            <w:noWrap/>
            <w:vAlign w:val="bottom"/>
            <w:hideMark/>
          </w:tcPr>
          <w:p w14:paraId="26C4CF1B" w14:textId="77777777" w:rsidR="00BE6461" w:rsidRPr="00BE6461" w:rsidRDefault="00BE6461" w:rsidP="00BE6461">
            <w:pPr>
              <w:jc w:val="right"/>
              <w:rPr>
                <w:b/>
                <w:bCs/>
                <w:color w:val="333333"/>
                <w:sz w:val="20"/>
                <w:szCs w:val="20"/>
              </w:rPr>
            </w:pPr>
            <w:r w:rsidRPr="00BE6461">
              <w:rPr>
                <w:b/>
                <w:bCs/>
                <w:color w:val="333333"/>
                <w:sz w:val="20"/>
                <w:szCs w:val="20"/>
              </w:rPr>
              <w:t>238,49</w:t>
            </w:r>
          </w:p>
        </w:tc>
      </w:tr>
      <w:tr w:rsidR="00BE6461" w:rsidRPr="00BE6461" w14:paraId="56212F20" w14:textId="77777777" w:rsidTr="00BE6461">
        <w:trPr>
          <w:trHeight w:val="300"/>
        </w:trPr>
        <w:tc>
          <w:tcPr>
            <w:tcW w:w="1703" w:type="dxa"/>
            <w:tcBorders>
              <w:top w:val="nil"/>
              <w:left w:val="nil"/>
              <w:bottom w:val="nil"/>
              <w:right w:val="nil"/>
            </w:tcBorders>
            <w:shd w:val="clear" w:color="auto" w:fill="auto"/>
            <w:noWrap/>
            <w:vAlign w:val="bottom"/>
            <w:hideMark/>
          </w:tcPr>
          <w:p w14:paraId="1B2888F6"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7D1B0474"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1086D419" w14:textId="77777777" w:rsidR="00BE6461" w:rsidRPr="00BE6461" w:rsidRDefault="00BE6461" w:rsidP="00BE6461">
            <w:pPr>
              <w:jc w:val="right"/>
              <w:rPr>
                <w:b/>
                <w:bCs/>
                <w:sz w:val="20"/>
                <w:szCs w:val="20"/>
              </w:rPr>
            </w:pPr>
            <w:r w:rsidRPr="00BE6461">
              <w:rPr>
                <w:b/>
                <w:bCs/>
                <w:sz w:val="20"/>
                <w:szCs w:val="20"/>
              </w:rPr>
              <w:t>60.000,00</w:t>
            </w:r>
          </w:p>
        </w:tc>
        <w:tc>
          <w:tcPr>
            <w:tcW w:w="1500" w:type="dxa"/>
            <w:tcBorders>
              <w:top w:val="nil"/>
              <w:left w:val="nil"/>
              <w:bottom w:val="nil"/>
              <w:right w:val="nil"/>
            </w:tcBorders>
            <w:shd w:val="clear" w:color="auto" w:fill="auto"/>
            <w:noWrap/>
            <w:vAlign w:val="bottom"/>
            <w:hideMark/>
          </w:tcPr>
          <w:p w14:paraId="1F838399" w14:textId="77777777" w:rsidR="00BE6461" w:rsidRPr="00BE6461" w:rsidRDefault="00BE6461" w:rsidP="00BE6461">
            <w:pPr>
              <w:jc w:val="right"/>
              <w:rPr>
                <w:b/>
                <w:bCs/>
                <w:sz w:val="20"/>
                <w:szCs w:val="20"/>
              </w:rPr>
            </w:pPr>
            <w:r w:rsidRPr="00BE6461">
              <w:rPr>
                <w:b/>
                <w:bCs/>
                <w:sz w:val="20"/>
                <w:szCs w:val="20"/>
              </w:rPr>
              <w:t>143.093,75</w:t>
            </w:r>
          </w:p>
        </w:tc>
        <w:tc>
          <w:tcPr>
            <w:tcW w:w="1100" w:type="dxa"/>
            <w:tcBorders>
              <w:top w:val="nil"/>
              <w:left w:val="nil"/>
              <w:bottom w:val="nil"/>
              <w:right w:val="nil"/>
            </w:tcBorders>
            <w:shd w:val="clear" w:color="auto" w:fill="auto"/>
            <w:noWrap/>
            <w:vAlign w:val="bottom"/>
            <w:hideMark/>
          </w:tcPr>
          <w:p w14:paraId="135C471F" w14:textId="77777777" w:rsidR="00BE6461" w:rsidRPr="00BE6461" w:rsidRDefault="00BE6461" w:rsidP="00BE6461">
            <w:pPr>
              <w:jc w:val="right"/>
              <w:rPr>
                <w:b/>
                <w:bCs/>
                <w:sz w:val="20"/>
                <w:szCs w:val="20"/>
              </w:rPr>
            </w:pPr>
            <w:r w:rsidRPr="00BE6461">
              <w:rPr>
                <w:b/>
                <w:bCs/>
                <w:sz w:val="20"/>
                <w:szCs w:val="20"/>
              </w:rPr>
              <w:t>238,49</w:t>
            </w:r>
          </w:p>
        </w:tc>
      </w:tr>
      <w:tr w:rsidR="00BE6461" w:rsidRPr="00BE6461" w14:paraId="439C2D2E" w14:textId="77777777" w:rsidTr="00BE6461">
        <w:trPr>
          <w:trHeight w:val="300"/>
        </w:trPr>
        <w:tc>
          <w:tcPr>
            <w:tcW w:w="1703" w:type="dxa"/>
            <w:tcBorders>
              <w:top w:val="nil"/>
              <w:left w:val="nil"/>
              <w:bottom w:val="nil"/>
              <w:right w:val="nil"/>
            </w:tcBorders>
            <w:shd w:val="clear" w:color="auto" w:fill="auto"/>
            <w:noWrap/>
            <w:vAlign w:val="bottom"/>
            <w:hideMark/>
          </w:tcPr>
          <w:p w14:paraId="5219C7AC" w14:textId="77777777" w:rsidR="00BE6461" w:rsidRPr="00BE6461" w:rsidRDefault="00BE6461" w:rsidP="00BE6461">
            <w:pPr>
              <w:rPr>
                <w:sz w:val="20"/>
                <w:szCs w:val="20"/>
              </w:rPr>
            </w:pPr>
            <w:r w:rsidRPr="00BE6461">
              <w:rPr>
                <w:sz w:val="20"/>
                <w:szCs w:val="20"/>
              </w:rPr>
              <w:t>3232</w:t>
            </w:r>
          </w:p>
        </w:tc>
        <w:tc>
          <w:tcPr>
            <w:tcW w:w="8457" w:type="dxa"/>
            <w:tcBorders>
              <w:top w:val="nil"/>
              <w:left w:val="nil"/>
              <w:bottom w:val="nil"/>
              <w:right w:val="nil"/>
            </w:tcBorders>
            <w:shd w:val="clear" w:color="auto" w:fill="auto"/>
            <w:vAlign w:val="bottom"/>
            <w:hideMark/>
          </w:tcPr>
          <w:p w14:paraId="420E04A6" w14:textId="77777777" w:rsidR="00BE6461" w:rsidRPr="00BE6461" w:rsidRDefault="00BE6461" w:rsidP="00BE6461">
            <w:pPr>
              <w:rPr>
                <w:sz w:val="20"/>
                <w:szCs w:val="20"/>
              </w:rPr>
            </w:pPr>
            <w:r w:rsidRPr="00BE6461">
              <w:rPr>
                <w:sz w:val="20"/>
                <w:szCs w:val="20"/>
              </w:rPr>
              <w:t xml:space="preserve">Usluge tekućeg i investicijskog održavanja                                                          </w:t>
            </w:r>
          </w:p>
        </w:tc>
        <w:tc>
          <w:tcPr>
            <w:tcW w:w="1503" w:type="dxa"/>
            <w:tcBorders>
              <w:top w:val="nil"/>
              <w:left w:val="nil"/>
              <w:bottom w:val="nil"/>
              <w:right w:val="nil"/>
            </w:tcBorders>
            <w:shd w:val="clear" w:color="auto" w:fill="auto"/>
            <w:noWrap/>
            <w:vAlign w:val="bottom"/>
            <w:hideMark/>
          </w:tcPr>
          <w:p w14:paraId="2ED5351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4636716" w14:textId="77777777" w:rsidR="00BE6461" w:rsidRPr="00BE6461" w:rsidRDefault="00BE6461" w:rsidP="00BE6461">
            <w:pPr>
              <w:jc w:val="right"/>
              <w:rPr>
                <w:sz w:val="20"/>
                <w:szCs w:val="20"/>
              </w:rPr>
            </w:pPr>
            <w:r w:rsidRPr="00BE6461">
              <w:rPr>
                <w:sz w:val="20"/>
                <w:szCs w:val="20"/>
              </w:rPr>
              <w:t>58.043,75</w:t>
            </w:r>
          </w:p>
        </w:tc>
        <w:tc>
          <w:tcPr>
            <w:tcW w:w="1100" w:type="dxa"/>
            <w:tcBorders>
              <w:top w:val="nil"/>
              <w:left w:val="nil"/>
              <w:bottom w:val="nil"/>
              <w:right w:val="nil"/>
            </w:tcBorders>
            <w:shd w:val="clear" w:color="auto" w:fill="auto"/>
            <w:noWrap/>
            <w:vAlign w:val="bottom"/>
            <w:hideMark/>
          </w:tcPr>
          <w:p w14:paraId="347690C2" w14:textId="77777777" w:rsidR="00BE6461" w:rsidRPr="00BE6461" w:rsidRDefault="00BE6461" w:rsidP="00BE6461">
            <w:pPr>
              <w:jc w:val="right"/>
              <w:rPr>
                <w:sz w:val="20"/>
                <w:szCs w:val="20"/>
              </w:rPr>
            </w:pPr>
          </w:p>
        </w:tc>
      </w:tr>
      <w:tr w:rsidR="00BE6461" w:rsidRPr="00BE6461" w14:paraId="7ACC1CF4" w14:textId="77777777" w:rsidTr="00BE6461">
        <w:trPr>
          <w:trHeight w:val="300"/>
        </w:trPr>
        <w:tc>
          <w:tcPr>
            <w:tcW w:w="1703" w:type="dxa"/>
            <w:tcBorders>
              <w:top w:val="nil"/>
              <w:left w:val="nil"/>
              <w:bottom w:val="nil"/>
              <w:right w:val="nil"/>
            </w:tcBorders>
            <w:shd w:val="clear" w:color="auto" w:fill="auto"/>
            <w:noWrap/>
            <w:vAlign w:val="bottom"/>
            <w:hideMark/>
          </w:tcPr>
          <w:p w14:paraId="597E1B38" w14:textId="77777777" w:rsidR="00BE6461" w:rsidRPr="00BE6461" w:rsidRDefault="00BE6461" w:rsidP="00BE6461">
            <w:pPr>
              <w:rPr>
                <w:sz w:val="20"/>
                <w:szCs w:val="20"/>
              </w:rPr>
            </w:pPr>
            <w:r w:rsidRPr="00BE6461">
              <w:rPr>
                <w:sz w:val="20"/>
                <w:szCs w:val="20"/>
              </w:rPr>
              <w:t>3234</w:t>
            </w:r>
          </w:p>
        </w:tc>
        <w:tc>
          <w:tcPr>
            <w:tcW w:w="8457" w:type="dxa"/>
            <w:tcBorders>
              <w:top w:val="nil"/>
              <w:left w:val="nil"/>
              <w:bottom w:val="nil"/>
              <w:right w:val="nil"/>
            </w:tcBorders>
            <w:shd w:val="clear" w:color="auto" w:fill="auto"/>
            <w:vAlign w:val="bottom"/>
            <w:hideMark/>
          </w:tcPr>
          <w:p w14:paraId="55E7278E" w14:textId="77777777" w:rsidR="00BE6461" w:rsidRPr="00BE6461" w:rsidRDefault="00BE6461" w:rsidP="00BE6461">
            <w:pPr>
              <w:rPr>
                <w:sz w:val="20"/>
                <w:szCs w:val="20"/>
              </w:rPr>
            </w:pPr>
            <w:r w:rsidRPr="00BE6461">
              <w:rPr>
                <w:sz w:val="20"/>
                <w:szCs w:val="20"/>
              </w:rPr>
              <w:t xml:space="preserve">Komunalne usluge                                                                                    </w:t>
            </w:r>
          </w:p>
        </w:tc>
        <w:tc>
          <w:tcPr>
            <w:tcW w:w="1503" w:type="dxa"/>
            <w:tcBorders>
              <w:top w:val="nil"/>
              <w:left w:val="nil"/>
              <w:bottom w:val="nil"/>
              <w:right w:val="nil"/>
            </w:tcBorders>
            <w:shd w:val="clear" w:color="auto" w:fill="auto"/>
            <w:noWrap/>
            <w:vAlign w:val="bottom"/>
            <w:hideMark/>
          </w:tcPr>
          <w:p w14:paraId="1FE5683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EDC334A" w14:textId="77777777" w:rsidR="00BE6461" w:rsidRPr="00BE6461" w:rsidRDefault="00BE6461" w:rsidP="00BE6461">
            <w:pPr>
              <w:jc w:val="right"/>
              <w:rPr>
                <w:sz w:val="20"/>
                <w:szCs w:val="20"/>
              </w:rPr>
            </w:pPr>
            <w:r w:rsidRPr="00BE6461">
              <w:rPr>
                <w:sz w:val="20"/>
                <w:szCs w:val="20"/>
              </w:rPr>
              <w:t>85.050,00</w:t>
            </w:r>
          </w:p>
        </w:tc>
        <w:tc>
          <w:tcPr>
            <w:tcW w:w="1100" w:type="dxa"/>
            <w:tcBorders>
              <w:top w:val="nil"/>
              <w:left w:val="nil"/>
              <w:bottom w:val="nil"/>
              <w:right w:val="nil"/>
            </w:tcBorders>
            <w:shd w:val="clear" w:color="auto" w:fill="auto"/>
            <w:noWrap/>
            <w:vAlign w:val="bottom"/>
            <w:hideMark/>
          </w:tcPr>
          <w:p w14:paraId="20A87CE5" w14:textId="77777777" w:rsidR="00BE6461" w:rsidRPr="00BE6461" w:rsidRDefault="00BE6461" w:rsidP="00BE6461">
            <w:pPr>
              <w:jc w:val="right"/>
              <w:rPr>
                <w:sz w:val="20"/>
                <w:szCs w:val="20"/>
              </w:rPr>
            </w:pPr>
          </w:p>
        </w:tc>
      </w:tr>
      <w:tr w:rsidR="00BE6461" w:rsidRPr="00BE6461" w14:paraId="0FDA746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37FAC96" w14:textId="77777777" w:rsidR="00BE6461" w:rsidRPr="00BE6461" w:rsidRDefault="00BE6461" w:rsidP="00BE6461">
            <w:pPr>
              <w:rPr>
                <w:b/>
                <w:bCs/>
                <w:color w:val="333333"/>
                <w:sz w:val="20"/>
                <w:szCs w:val="20"/>
              </w:rPr>
            </w:pPr>
            <w:r w:rsidRPr="00BE6461">
              <w:rPr>
                <w:b/>
                <w:bCs/>
                <w:color w:val="333333"/>
                <w:sz w:val="20"/>
                <w:szCs w:val="20"/>
              </w:rPr>
              <w:t>Izvor 5. POMOĆI</w:t>
            </w:r>
          </w:p>
        </w:tc>
        <w:tc>
          <w:tcPr>
            <w:tcW w:w="1503" w:type="dxa"/>
            <w:tcBorders>
              <w:top w:val="nil"/>
              <w:left w:val="nil"/>
              <w:bottom w:val="nil"/>
              <w:right w:val="nil"/>
            </w:tcBorders>
            <w:shd w:val="clear" w:color="auto" w:fill="auto"/>
            <w:noWrap/>
            <w:vAlign w:val="bottom"/>
            <w:hideMark/>
          </w:tcPr>
          <w:p w14:paraId="540CB85A"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500" w:type="dxa"/>
            <w:tcBorders>
              <w:top w:val="nil"/>
              <w:left w:val="nil"/>
              <w:bottom w:val="nil"/>
              <w:right w:val="nil"/>
            </w:tcBorders>
            <w:shd w:val="clear" w:color="auto" w:fill="auto"/>
            <w:noWrap/>
            <w:vAlign w:val="bottom"/>
            <w:hideMark/>
          </w:tcPr>
          <w:p w14:paraId="070947F0" w14:textId="77777777" w:rsidR="00BE6461" w:rsidRPr="00BE6461" w:rsidRDefault="00BE6461" w:rsidP="00BE6461">
            <w:pPr>
              <w:jc w:val="right"/>
              <w:rPr>
                <w:b/>
                <w:bCs/>
                <w:color w:val="333333"/>
                <w:sz w:val="20"/>
                <w:szCs w:val="20"/>
              </w:rPr>
            </w:pPr>
            <w:r w:rsidRPr="00BE6461">
              <w:rPr>
                <w:b/>
                <w:bCs/>
                <w:color w:val="333333"/>
                <w:sz w:val="20"/>
                <w:szCs w:val="20"/>
              </w:rPr>
              <w:t>112.886,62</w:t>
            </w:r>
          </w:p>
        </w:tc>
        <w:tc>
          <w:tcPr>
            <w:tcW w:w="1100" w:type="dxa"/>
            <w:tcBorders>
              <w:top w:val="nil"/>
              <w:left w:val="nil"/>
              <w:bottom w:val="nil"/>
              <w:right w:val="nil"/>
            </w:tcBorders>
            <w:shd w:val="clear" w:color="auto" w:fill="auto"/>
            <w:noWrap/>
            <w:vAlign w:val="bottom"/>
            <w:hideMark/>
          </w:tcPr>
          <w:p w14:paraId="0A19839B"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5E4F429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AAF6103" w14:textId="77777777" w:rsidR="00BE6461" w:rsidRPr="00BE6461" w:rsidRDefault="00BE6461" w:rsidP="00BE6461">
            <w:pPr>
              <w:rPr>
                <w:b/>
                <w:bCs/>
                <w:color w:val="333333"/>
                <w:sz w:val="20"/>
                <w:szCs w:val="20"/>
              </w:rPr>
            </w:pPr>
            <w:r w:rsidRPr="00BE6461">
              <w:rPr>
                <w:b/>
                <w:bCs/>
                <w:color w:val="333333"/>
                <w:sz w:val="20"/>
                <w:szCs w:val="20"/>
              </w:rPr>
              <w:t>Izvor 5.1. POMOĆI</w:t>
            </w:r>
          </w:p>
        </w:tc>
        <w:tc>
          <w:tcPr>
            <w:tcW w:w="1503" w:type="dxa"/>
            <w:tcBorders>
              <w:top w:val="nil"/>
              <w:left w:val="nil"/>
              <w:bottom w:val="nil"/>
              <w:right w:val="nil"/>
            </w:tcBorders>
            <w:shd w:val="clear" w:color="auto" w:fill="auto"/>
            <w:noWrap/>
            <w:vAlign w:val="bottom"/>
            <w:hideMark/>
          </w:tcPr>
          <w:p w14:paraId="45299DA3"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500" w:type="dxa"/>
            <w:tcBorders>
              <w:top w:val="nil"/>
              <w:left w:val="nil"/>
              <w:bottom w:val="nil"/>
              <w:right w:val="nil"/>
            </w:tcBorders>
            <w:shd w:val="clear" w:color="auto" w:fill="auto"/>
            <w:noWrap/>
            <w:vAlign w:val="bottom"/>
            <w:hideMark/>
          </w:tcPr>
          <w:p w14:paraId="68913F1E" w14:textId="77777777" w:rsidR="00BE6461" w:rsidRPr="00BE6461" w:rsidRDefault="00BE6461" w:rsidP="00BE6461">
            <w:pPr>
              <w:jc w:val="right"/>
              <w:rPr>
                <w:b/>
                <w:bCs/>
                <w:color w:val="333333"/>
                <w:sz w:val="20"/>
                <w:szCs w:val="20"/>
              </w:rPr>
            </w:pPr>
            <w:r w:rsidRPr="00BE6461">
              <w:rPr>
                <w:b/>
                <w:bCs/>
                <w:color w:val="333333"/>
                <w:sz w:val="20"/>
                <w:szCs w:val="20"/>
              </w:rPr>
              <w:t>112.886,62</w:t>
            </w:r>
          </w:p>
        </w:tc>
        <w:tc>
          <w:tcPr>
            <w:tcW w:w="1100" w:type="dxa"/>
            <w:tcBorders>
              <w:top w:val="nil"/>
              <w:left w:val="nil"/>
              <w:bottom w:val="nil"/>
              <w:right w:val="nil"/>
            </w:tcBorders>
            <w:shd w:val="clear" w:color="auto" w:fill="auto"/>
            <w:noWrap/>
            <w:vAlign w:val="bottom"/>
            <w:hideMark/>
          </w:tcPr>
          <w:p w14:paraId="272F57FD"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51D7EECA" w14:textId="77777777" w:rsidTr="00BE6461">
        <w:trPr>
          <w:trHeight w:val="300"/>
        </w:trPr>
        <w:tc>
          <w:tcPr>
            <w:tcW w:w="1703" w:type="dxa"/>
            <w:tcBorders>
              <w:top w:val="nil"/>
              <w:left w:val="nil"/>
              <w:bottom w:val="nil"/>
              <w:right w:val="nil"/>
            </w:tcBorders>
            <w:shd w:val="clear" w:color="auto" w:fill="auto"/>
            <w:noWrap/>
            <w:vAlign w:val="bottom"/>
            <w:hideMark/>
          </w:tcPr>
          <w:p w14:paraId="21B9EE0D" w14:textId="77777777" w:rsidR="00BE6461" w:rsidRPr="00BE6461" w:rsidRDefault="00BE6461" w:rsidP="00BE6461">
            <w:pPr>
              <w:rPr>
                <w:b/>
                <w:bCs/>
                <w:sz w:val="20"/>
                <w:szCs w:val="20"/>
              </w:rPr>
            </w:pPr>
            <w:r w:rsidRPr="00BE6461">
              <w:rPr>
                <w:b/>
                <w:bCs/>
                <w:sz w:val="20"/>
                <w:szCs w:val="20"/>
              </w:rPr>
              <w:t>422</w:t>
            </w:r>
          </w:p>
        </w:tc>
        <w:tc>
          <w:tcPr>
            <w:tcW w:w="8457" w:type="dxa"/>
            <w:tcBorders>
              <w:top w:val="nil"/>
              <w:left w:val="nil"/>
              <w:bottom w:val="nil"/>
              <w:right w:val="nil"/>
            </w:tcBorders>
            <w:shd w:val="clear" w:color="auto" w:fill="auto"/>
            <w:vAlign w:val="bottom"/>
            <w:hideMark/>
          </w:tcPr>
          <w:p w14:paraId="74EE2ABB" w14:textId="77777777" w:rsidR="00BE6461" w:rsidRPr="00BE6461" w:rsidRDefault="00BE6461" w:rsidP="00BE6461">
            <w:pPr>
              <w:rPr>
                <w:b/>
                <w:bCs/>
                <w:sz w:val="20"/>
                <w:szCs w:val="20"/>
              </w:rPr>
            </w:pPr>
            <w:r w:rsidRPr="00BE6461">
              <w:rPr>
                <w:b/>
                <w:bCs/>
                <w:sz w:val="20"/>
                <w:szCs w:val="20"/>
              </w:rPr>
              <w:t xml:space="preserve">Postrojenja i oprema                                                                                </w:t>
            </w:r>
          </w:p>
        </w:tc>
        <w:tc>
          <w:tcPr>
            <w:tcW w:w="1503" w:type="dxa"/>
            <w:tcBorders>
              <w:top w:val="nil"/>
              <w:left w:val="nil"/>
              <w:bottom w:val="nil"/>
              <w:right w:val="nil"/>
            </w:tcBorders>
            <w:shd w:val="clear" w:color="auto" w:fill="auto"/>
            <w:noWrap/>
            <w:vAlign w:val="bottom"/>
            <w:hideMark/>
          </w:tcPr>
          <w:p w14:paraId="6FEA491B" w14:textId="77777777" w:rsidR="00BE6461" w:rsidRPr="00BE6461" w:rsidRDefault="00BE6461" w:rsidP="00BE6461">
            <w:pPr>
              <w:jc w:val="right"/>
              <w:rPr>
                <w:b/>
                <w:bCs/>
                <w:sz w:val="20"/>
                <w:szCs w:val="20"/>
              </w:rPr>
            </w:pPr>
            <w:r w:rsidRPr="00BE6461">
              <w:rPr>
                <w:b/>
                <w:bCs/>
                <w:sz w:val="20"/>
                <w:szCs w:val="20"/>
              </w:rPr>
              <w:t>0,00</w:t>
            </w:r>
          </w:p>
        </w:tc>
        <w:tc>
          <w:tcPr>
            <w:tcW w:w="1500" w:type="dxa"/>
            <w:tcBorders>
              <w:top w:val="nil"/>
              <w:left w:val="nil"/>
              <w:bottom w:val="nil"/>
              <w:right w:val="nil"/>
            </w:tcBorders>
            <w:shd w:val="clear" w:color="auto" w:fill="auto"/>
            <w:noWrap/>
            <w:vAlign w:val="bottom"/>
            <w:hideMark/>
          </w:tcPr>
          <w:p w14:paraId="0A0396B6" w14:textId="77777777" w:rsidR="00BE6461" w:rsidRPr="00BE6461" w:rsidRDefault="00BE6461" w:rsidP="00BE6461">
            <w:pPr>
              <w:jc w:val="right"/>
              <w:rPr>
                <w:b/>
                <w:bCs/>
                <w:sz w:val="20"/>
                <w:szCs w:val="20"/>
              </w:rPr>
            </w:pPr>
            <w:r w:rsidRPr="00BE6461">
              <w:rPr>
                <w:b/>
                <w:bCs/>
                <w:sz w:val="20"/>
                <w:szCs w:val="20"/>
              </w:rPr>
              <w:t>112.886,62</w:t>
            </w:r>
          </w:p>
        </w:tc>
        <w:tc>
          <w:tcPr>
            <w:tcW w:w="1100" w:type="dxa"/>
            <w:tcBorders>
              <w:top w:val="nil"/>
              <w:left w:val="nil"/>
              <w:bottom w:val="nil"/>
              <w:right w:val="nil"/>
            </w:tcBorders>
            <w:shd w:val="clear" w:color="auto" w:fill="auto"/>
            <w:noWrap/>
            <w:vAlign w:val="bottom"/>
            <w:hideMark/>
          </w:tcPr>
          <w:p w14:paraId="46B96802"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0A5264DF" w14:textId="77777777" w:rsidTr="00BE6461">
        <w:trPr>
          <w:trHeight w:val="300"/>
        </w:trPr>
        <w:tc>
          <w:tcPr>
            <w:tcW w:w="1703" w:type="dxa"/>
            <w:tcBorders>
              <w:top w:val="nil"/>
              <w:left w:val="nil"/>
              <w:bottom w:val="nil"/>
              <w:right w:val="nil"/>
            </w:tcBorders>
            <w:shd w:val="clear" w:color="auto" w:fill="auto"/>
            <w:noWrap/>
            <w:vAlign w:val="bottom"/>
            <w:hideMark/>
          </w:tcPr>
          <w:p w14:paraId="63F0A1F5" w14:textId="77777777" w:rsidR="00BE6461" w:rsidRPr="00BE6461" w:rsidRDefault="00BE6461" w:rsidP="00BE6461">
            <w:pPr>
              <w:rPr>
                <w:sz w:val="20"/>
                <w:szCs w:val="20"/>
              </w:rPr>
            </w:pPr>
            <w:r w:rsidRPr="00BE6461">
              <w:rPr>
                <w:sz w:val="20"/>
                <w:szCs w:val="20"/>
              </w:rPr>
              <w:t>4227</w:t>
            </w:r>
          </w:p>
        </w:tc>
        <w:tc>
          <w:tcPr>
            <w:tcW w:w="8457" w:type="dxa"/>
            <w:tcBorders>
              <w:top w:val="nil"/>
              <w:left w:val="nil"/>
              <w:bottom w:val="nil"/>
              <w:right w:val="nil"/>
            </w:tcBorders>
            <w:shd w:val="clear" w:color="auto" w:fill="auto"/>
            <w:vAlign w:val="bottom"/>
            <w:hideMark/>
          </w:tcPr>
          <w:p w14:paraId="21822765" w14:textId="77777777" w:rsidR="00BE6461" w:rsidRPr="00BE6461" w:rsidRDefault="00BE6461" w:rsidP="00BE6461">
            <w:pPr>
              <w:rPr>
                <w:sz w:val="20"/>
                <w:szCs w:val="20"/>
              </w:rPr>
            </w:pPr>
            <w:r w:rsidRPr="00BE6461">
              <w:rPr>
                <w:sz w:val="20"/>
                <w:szCs w:val="20"/>
              </w:rPr>
              <w:t xml:space="preserve">Uređaji, strojevi i oprema za ostale namjene                                                        </w:t>
            </w:r>
          </w:p>
        </w:tc>
        <w:tc>
          <w:tcPr>
            <w:tcW w:w="1503" w:type="dxa"/>
            <w:tcBorders>
              <w:top w:val="nil"/>
              <w:left w:val="nil"/>
              <w:bottom w:val="nil"/>
              <w:right w:val="nil"/>
            </w:tcBorders>
            <w:shd w:val="clear" w:color="auto" w:fill="auto"/>
            <w:noWrap/>
            <w:vAlign w:val="bottom"/>
            <w:hideMark/>
          </w:tcPr>
          <w:p w14:paraId="192E1D0B"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91CF030" w14:textId="77777777" w:rsidR="00BE6461" w:rsidRPr="00BE6461" w:rsidRDefault="00BE6461" w:rsidP="00BE6461">
            <w:pPr>
              <w:jc w:val="right"/>
              <w:rPr>
                <w:sz w:val="20"/>
                <w:szCs w:val="20"/>
              </w:rPr>
            </w:pPr>
            <w:r w:rsidRPr="00BE6461">
              <w:rPr>
                <w:sz w:val="20"/>
                <w:szCs w:val="20"/>
              </w:rPr>
              <w:t>112.886,62</w:t>
            </w:r>
          </w:p>
        </w:tc>
        <w:tc>
          <w:tcPr>
            <w:tcW w:w="1100" w:type="dxa"/>
            <w:tcBorders>
              <w:top w:val="nil"/>
              <w:left w:val="nil"/>
              <w:bottom w:val="nil"/>
              <w:right w:val="nil"/>
            </w:tcBorders>
            <w:shd w:val="clear" w:color="auto" w:fill="auto"/>
            <w:noWrap/>
            <w:vAlign w:val="bottom"/>
            <w:hideMark/>
          </w:tcPr>
          <w:p w14:paraId="063715F7" w14:textId="77777777" w:rsidR="00BE6461" w:rsidRPr="00BE6461" w:rsidRDefault="00BE6461" w:rsidP="00BE6461">
            <w:pPr>
              <w:jc w:val="right"/>
              <w:rPr>
                <w:sz w:val="20"/>
                <w:szCs w:val="20"/>
              </w:rPr>
            </w:pPr>
          </w:p>
        </w:tc>
      </w:tr>
      <w:tr w:rsidR="00BE6461" w:rsidRPr="00BE6461" w14:paraId="18E6B54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5F48513" w14:textId="77777777" w:rsidR="00BE6461" w:rsidRPr="00BE6461" w:rsidRDefault="00BE6461" w:rsidP="00BE6461">
            <w:pPr>
              <w:rPr>
                <w:b/>
                <w:bCs/>
                <w:color w:val="333333"/>
                <w:sz w:val="20"/>
                <w:szCs w:val="20"/>
              </w:rPr>
            </w:pPr>
            <w:r w:rsidRPr="00BE6461">
              <w:rPr>
                <w:b/>
                <w:bCs/>
                <w:color w:val="333333"/>
                <w:sz w:val="20"/>
                <w:szCs w:val="20"/>
              </w:rPr>
              <w:t>Izvor 7. PRIHODI OD NEFIN.IMOVINE I NADOKNADE ŠTETA OD OSIG.</w:t>
            </w:r>
          </w:p>
        </w:tc>
        <w:tc>
          <w:tcPr>
            <w:tcW w:w="1503" w:type="dxa"/>
            <w:tcBorders>
              <w:top w:val="nil"/>
              <w:left w:val="nil"/>
              <w:bottom w:val="nil"/>
              <w:right w:val="nil"/>
            </w:tcBorders>
            <w:shd w:val="clear" w:color="auto" w:fill="auto"/>
            <w:noWrap/>
            <w:vAlign w:val="bottom"/>
            <w:hideMark/>
          </w:tcPr>
          <w:p w14:paraId="60A1D702"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500" w:type="dxa"/>
            <w:tcBorders>
              <w:top w:val="nil"/>
              <w:left w:val="nil"/>
              <w:bottom w:val="nil"/>
              <w:right w:val="nil"/>
            </w:tcBorders>
            <w:shd w:val="clear" w:color="auto" w:fill="auto"/>
            <w:noWrap/>
            <w:vAlign w:val="bottom"/>
            <w:hideMark/>
          </w:tcPr>
          <w:p w14:paraId="3BC24EE7" w14:textId="77777777" w:rsidR="00BE6461" w:rsidRPr="00BE6461" w:rsidRDefault="00BE6461" w:rsidP="00BE6461">
            <w:pPr>
              <w:jc w:val="right"/>
              <w:rPr>
                <w:b/>
                <w:bCs/>
                <w:color w:val="333333"/>
                <w:sz w:val="20"/>
                <w:szCs w:val="20"/>
              </w:rPr>
            </w:pPr>
            <w:r w:rsidRPr="00BE6461">
              <w:rPr>
                <w:b/>
                <w:bCs/>
                <w:color w:val="333333"/>
                <w:sz w:val="20"/>
                <w:szCs w:val="20"/>
              </w:rPr>
              <w:t>92.506,63</w:t>
            </w:r>
          </w:p>
        </w:tc>
        <w:tc>
          <w:tcPr>
            <w:tcW w:w="1100" w:type="dxa"/>
            <w:tcBorders>
              <w:top w:val="nil"/>
              <w:left w:val="nil"/>
              <w:bottom w:val="nil"/>
              <w:right w:val="nil"/>
            </w:tcBorders>
            <w:shd w:val="clear" w:color="auto" w:fill="auto"/>
            <w:noWrap/>
            <w:vAlign w:val="bottom"/>
            <w:hideMark/>
          </w:tcPr>
          <w:p w14:paraId="2859D254"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6581899C"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5C48F86" w14:textId="77777777" w:rsidR="00BE6461" w:rsidRPr="00BE6461" w:rsidRDefault="00BE6461" w:rsidP="00BE6461">
            <w:pPr>
              <w:rPr>
                <w:b/>
                <w:bCs/>
                <w:color w:val="333333"/>
                <w:sz w:val="20"/>
                <w:szCs w:val="20"/>
              </w:rPr>
            </w:pPr>
            <w:r w:rsidRPr="00BE6461">
              <w:rPr>
                <w:b/>
                <w:bCs/>
                <w:color w:val="333333"/>
                <w:sz w:val="20"/>
                <w:szCs w:val="20"/>
              </w:rPr>
              <w:t>Izvor 7.1. PRIHODI OD NEFIN.IMOVINE I NADOKNADE ŠTETA OD OSIG.</w:t>
            </w:r>
          </w:p>
        </w:tc>
        <w:tc>
          <w:tcPr>
            <w:tcW w:w="1503" w:type="dxa"/>
            <w:tcBorders>
              <w:top w:val="nil"/>
              <w:left w:val="nil"/>
              <w:bottom w:val="nil"/>
              <w:right w:val="nil"/>
            </w:tcBorders>
            <w:shd w:val="clear" w:color="auto" w:fill="auto"/>
            <w:noWrap/>
            <w:vAlign w:val="bottom"/>
            <w:hideMark/>
          </w:tcPr>
          <w:p w14:paraId="40C2ECC2"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500" w:type="dxa"/>
            <w:tcBorders>
              <w:top w:val="nil"/>
              <w:left w:val="nil"/>
              <w:bottom w:val="nil"/>
              <w:right w:val="nil"/>
            </w:tcBorders>
            <w:shd w:val="clear" w:color="auto" w:fill="auto"/>
            <w:noWrap/>
            <w:vAlign w:val="bottom"/>
            <w:hideMark/>
          </w:tcPr>
          <w:p w14:paraId="1101A998" w14:textId="77777777" w:rsidR="00BE6461" w:rsidRPr="00BE6461" w:rsidRDefault="00BE6461" w:rsidP="00BE6461">
            <w:pPr>
              <w:jc w:val="right"/>
              <w:rPr>
                <w:b/>
                <w:bCs/>
                <w:color w:val="333333"/>
                <w:sz w:val="20"/>
                <w:szCs w:val="20"/>
              </w:rPr>
            </w:pPr>
            <w:r w:rsidRPr="00BE6461">
              <w:rPr>
                <w:b/>
                <w:bCs/>
                <w:color w:val="333333"/>
                <w:sz w:val="20"/>
                <w:szCs w:val="20"/>
              </w:rPr>
              <w:t>92.506,63</w:t>
            </w:r>
          </w:p>
        </w:tc>
        <w:tc>
          <w:tcPr>
            <w:tcW w:w="1100" w:type="dxa"/>
            <w:tcBorders>
              <w:top w:val="nil"/>
              <w:left w:val="nil"/>
              <w:bottom w:val="nil"/>
              <w:right w:val="nil"/>
            </w:tcBorders>
            <w:shd w:val="clear" w:color="auto" w:fill="auto"/>
            <w:noWrap/>
            <w:vAlign w:val="bottom"/>
            <w:hideMark/>
          </w:tcPr>
          <w:p w14:paraId="07D3DAE7"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776E39ED" w14:textId="77777777" w:rsidTr="00BE6461">
        <w:trPr>
          <w:trHeight w:val="300"/>
        </w:trPr>
        <w:tc>
          <w:tcPr>
            <w:tcW w:w="1703" w:type="dxa"/>
            <w:tcBorders>
              <w:top w:val="nil"/>
              <w:left w:val="nil"/>
              <w:bottom w:val="nil"/>
              <w:right w:val="nil"/>
            </w:tcBorders>
            <w:shd w:val="clear" w:color="auto" w:fill="auto"/>
            <w:noWrap/>
            <w:vAlign w:val="bottom"/>
            <w:hideMark/>
          </w:tcPr>
          <w:p w14:paraId="358920A1"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68B59D19"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1A58B568" w14:textId="77777777" w:rsidR="00BE6461" w:rsidRPr="00BE6461" w:rsidRDefault="00BE6461" w:rsidP="00BE6461">
            <w:pPr>
              <w:jc w:val="right"/>
              <w:rPr>
                <w:b/>
                <w:bCs/>
                <w:sz w:val="20"/>
                <w:szCs w:val="20"/>
              </w:rPr>
            </w:pPr>
            <w:r w:rsidRPr="00BE6461">
              <w:rPr>
                <w:b/>
                <w:bCs/>
                <w:sz w:val="20"/>
                <w:szCs w:val="20"/>
              </w:rPr>
              <w:t>0,00</w:t>
            </w:r>
          </w:p>
        </w:tc>
        <w:tc>
          <w:tcPr>
            <w:tcW w:w="1500" w:type="dxa"/>
            <w:tcBorders>
              <w:top w:val="nil"/>
              <w:left w:val="nil"/>
              <w:bottom w:val="nil"/>
              <w:right w:val="nil"/>
            </w:tcBorders>
            <w:shd w:val="clear" w:color="auto" w:fill="auto"/>
            <w:noWrap/>
            <w:vAlign w:val="bottom"/>
            <w:hideMark/>
          </w:tcPr>
          <w:p w14:paraId="58340AC8" w14:textId="77777777" w:rsidR="00BE6461" w:rsidRPr="00BE6461" w:rsidRDefault="00BE6461" w:rsidP="00BE6461">
            <w:pPr>
              <w:jc w:val="right"/>
              <w:rPr>
                <w:b/>
                <w:bCs/>
                <w:sz w:val="20"/>
                <w:szCs w:val="20"/>
              </w:rPr>
            </w:pPr>
            <w:r w:rsidRPr="00BE6461">
              <w:rPr>
                <w:b/>
                <w:bCs/>
                <w:sz w:val="20"/>
                <w:szCs w:val="20"/>
              </w:rPr>
              <w:t>3.810,00</w:t>
            </w:r>
          </w:p>
        </w:tc>
        <w:tc>
          <w:tcPr>
            <w:tcW w:w="1100" w:type="dxa"/>
            <w:tcBorders>
              <w:top w:val="nil"/>
              <w:left w:val="nil"/>
              <w:bottom w:val="nil"/>
              <w:right w:val="nil"/>
            </w:tcBorders>
            <w:shd w:val="clear" w:color="auto" w:fill="auto"/>
            <w:noWrap/>
            <w:vAlign w:val="bottom"/>
            <w:hideMark/>
          </w:tcPr>
          <w:p w14:paraId="5F8E76BE"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0F8CE7C3" w14:textId="77777777" w:rsidTr="00BE6461">
        <w:trPr>
          <w:trHeight w:val="300"/>
        </w:trPr>
        <w:tc>
          <w:tcPr>
            <w:tcW w:w="1703" w:type="dxa"/>
            <w:tcBorders>
              <w:top w:val="nil"/>
              <w:left w:val="nil"/>
              <w:bottom w:val="nil"/>
              <w:right w:val="nil"/>
            </w:tcBorders>
            <w:shd w:val="clear" w:color="auto" w:fill="auto"/>
            <w:noWrap/>
            <w:vAlign w:val="bottom"/>
            <w:hideMark/>
          </w:tcPr>
          <w:p w14:paraId="5AB1304F" w14:textId="77777777" w:rsidR="00BE6461" w:rsidRPr="00BE6461" w:rsidRDefault="00BE6461" w:rsidP="00BE6461">
            <w:pPr>
              <w:rPr>
                <w:sz w:val="20"/>
                <w:szCs w:val="20"/>
              </w:rPr>
            </w:pPr>
            <w:r w:rsidRPr="00BE6461">
              <w:rPr>
                <w:sz w:val="20"/>
                <w:szCs w:val="20"/>
              </w:rPr>
              <w:t>3232</w:t>
            </w:r>
          </w:p>
        </w:tc>
        <w:tc>
          <w:tcPr>
            <w:tcW w:w="8457" w:type="dxa"/>
            <w:tcBorders>
              <w:top w:val="nil"/>
              <w:left w:val="nil"/>
              <w:bottom w:val="nil"/>
              <w:right w:val="nil"/>
            </w:tcBorders>
            <w:shd w:val="clear" w:color="auto" w:fill="auto"/>
            <w:vAlign w:val="bottom"/>
            <w:hideMark/>
          </w:tcPr>
          <w:p w14:paraId="5A97203D" w14:textId="77777777" w:rsidR="00BE6461" w:rsidRPr="00BE6461" w:rsidRDefault="00BE6461" w:rsidP="00BE6461">
            <w:pPr>
              <w:rPr>
                <w:sz w:val="20"/>
                <w:szCs w:val="20"/>
              </w:rPr>
            </w:pPr>
            <w:r w:rsidRPr="00BE6461">
              <w:rPr>
                <w:sz w:val="20"/>
                <w:szCs w:val="20"/>
              </w:rPr>
              <w:t xml:space="preserve">Usluge tekućeg i investicijskog održavanja                                                          </w:t>
            </w:r>
          </w:p>
        </w:tc>
        <w:tc>
          <w:tcPr>
            <w:tcW w:w="1503" w:type="dxa"/>
            <w:tcBorders>
              <w:top w:val="nil"/>
              <w:left w:val="nil"/>
              <w:bottom w:val="nil"/>
              <w:right w:val="nil"/>
            </w:tcBorders>
            <w:shd w:val="clear" w:color="auto" w:fill="auto"/>
            <w:noWrap/>
            <w:vAlign w:val="bottom"/>
            <w:hideMark/>
          </w:tcPr>
          <w:p w14:paraId="72BCA052"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95F53AA" w14:textId="77777777" w:rsidR="00BE6461" w:rsidRPr="00BE6461" w:rsidRDefault="00BE6461" w:rsidP="00BE6461">
            <w:pPr>
              <w:jc w:val="right"/>
              <w:rPr>
                <w:sz w:val="20"/>
                <w:szCs w:val="20"/>
              </w:rPr>
            </w:pPr>
            <w:r w:rsidRPr="00BE6461">
              <w:rPr>
                <w:sz w:val="20"/>
                <w:szCs w:val="20"/>
              </w:rPr>
              <w:t>3.810,00</w:t>
            </w:r>
          </w:p>
        </w:tc>
        <w:tc>
          <w:tcPr>
            <w:tcW w:w="1100" w:type="dxa"/>
            <w:tcBorders>
              <w:top w:val="nil"/>
              <w:left w:val="nil"/>
              <w:bottom w:val="nil"/>
              <w:right w:val="nil"/>
            </w:tcBorders>
            <w:shd w:val="clear" w:color="auto" w:fill="auto"/>
            <w:noWrap/>
            <w:vAlign w:val="bottom"/>
            <w:hideMark/>
          </w:tcPr>
          <w:p w14:paraId="69196D8F" w14:textId="77777777" w:rsidR="00BE6461" w:rsidRPr="00BE6461" w:rsidRDefault="00BE6461" w:rsidP="00BE6461">
            <w:pPr>
              <w:jc w:val="right"/>
              <w:rPr>
                <w:sz w:val="20"/>
                <w:szCs w:val="20"/>
              </w:rPr>
            </w:pPr>
          </w:p>
        </w:tc>
      </w:tr>
      <w:tr w:rsidR="00BE6461" w:rsidRPr="00BE6461" w14:paraId="1EB4EA57" w14:textId="77777777" w:rsidTr="00BE6461">
        <w:trPr>
          <w:trHeight w:val="300"/>
        </w:trPr>
        <w:tc>
          <w:tcPr>
            <w:tcW w:w="1703" w:type="dxa"/>
            <w:tcBorders>
              <w:top w:val="nil"/>
              <w:left w:val="nil"/>
              <w:bottom w:val="nil"/>
              <w:right w:val="nil"/>
            </w:tcBorders>
            <w:shd w:val="clear" w:color="auto" w:fill="auto"/>
            <w:noWrap/>
            <w:vAlign w:val="bottom"/>
            <w:hideMark/>
          </w:tcPr>
          <w:p w14:paraId="2BA3CB07" w14:textId="77777777" w:rsidR="00BE6461" w:rsidRPr="00BE6461" w:rsidRDefault="00BE6461" w:rsidP="00BE6461">
            <w:pPr>
              <w:rPr>
                <w:b/>
                <w:bCs/>
                <w:sz w:val="20"/>
                <w:szCs w:val="20"/>
              </w:rPr>
            </w:pPr>
            <w:r w:rsidRPr="00BE6461">
              <w:rPr>
                <w:b/>
                <w:bCs/>
                <w:sz w:val="20"/>
                <w:szCs w:val="20"/>
              </w:rPr>
              <w:t>422</w:t>
            </w:r>
          </w:p>
        </w:tc>
        <w:tc>
          <w:tcPr>
            <w:tcW w:w="8457" w:type="dxa"/>
            <w:tcBorders>
              <w:top w:val="nil"/>
              <w:left w:val="nil"/>
              <w:bottom w:val="nil"/>
              <w:right w:val="nil"/>
            </w:tcBorders>
            <w:shd w:val="clear" w:color="auto" w:fill="auto"/>
            <w:vAlign w:val="bottom"/>
            <w:hideMark/>
          </w:tcPr>
          <w:p w14:paraId="45B0A54F" w14:textId="77777777" w:rsidR="00BE6461" w:rsidRPr="00BE6461" w:rsidRDefault="00BE6461" w:rsidP="00BE6461">
            <w:pPr>
              <w:rPr>
                <w:b/>
                <w:bCs/>
                <w:sz w:val="20"/>
                <w:szCs w:val="20"/>
              </w:rPr>
            </w:pPr>
            <w:r w:rsidRPr="00BE6461">
              <w:rPr>
                <w:b/>
                <w:bCs/>
                <w:sz w:val="20"/>
                <w:szCs w:val="20"/>
              </w:rPr>
              <w:t xml:space="preserve">Postrojenja i oprema                                                                                </w:t>
            </w:r>
          </w:p>
        </w:tc>
        <w:tc>
          <w:tcPr>
            <w:tcW w:w="1503" w:type="dxa"/>
            <w:tcBorders>
              <w:top w:val="nil"/>
              <w:left w:val="nil"/>
              <w:bottom w:val="nil"/>
              <w:right w:val="nil"/>
            </w:tcBorders>
            <w:shd w:val="clear" w:color="auto" w:fill="auto"/>
            <w:noWrap/>
            <w:vAlign w:val="bottom"/>
            <w:hideMark/>
          </w:tcPr>
          <w:p w14:paraId="24C29268" w14:textId="77777777" w:rsidR="00BE6461" w:rsidRPr="00BE6461" w:rsidRDefault="00BE6461" w:rsidP="00BE6461">
            <w:pPr>
              <w:jc w:val="right"/>
              <w:rPr>
                <w:b/>
                <w:bCs/>
                <w:sz w:val="20"/>
                <w:szCs w:val="20"/>
              </w:rPr>
            </w:pPr>
            <w:r w:rsidRPr="00BE6461">
              <w:rPr>
                <w:b/>
                <w:bCs/>
                <w:sz w:val="20"/>
                <w:szCs w:val="20"/>
              </w:rPr>
              <w:t>0,00</w:t>
            </w:r>
          </w:p>
        </w:tc>
        <w:tc>
          <w:tcPr>
            <w:tcW w:w="1500" w:type="dxa"/>
            <w:tcBorders>
              <w:top w:val="nil"/>
              <w:left w:val="nil"/>
              <w:bottom w:val="nil"/>
              <w:right w:val="nil"/>
            </w:tcBorders>
            <w:shd w:val="clear" w:color="auto" w:fill="auto"/>
            <w:noWrap/>
            <w:vAlign w:val="bottom"/>
            <w:hideMark/>
          </w:tcPr>
          <w:p w14:paraId="577756ED" w14:textId="77777777" w:rsidR="00BE6461" w:rsidRPr="00BE6461" w:rsidRDefault="00BE6461" w:rsidP="00BE6461">
            <w:pPr>
              <w:jc w:val="right"/>
              <w:rPr>
                <w:b/>
                <w:bCs/>
                <w:sz w:val="20"/>
                <w:szCs w:val="20"/>
              </w:rPr>
            </w:pPr>
            <w:r w:rsidRPr="00BE6461">
              <w:rPr>
                <w:b/>
                <w:bCs/>
                <w:sz w:val="20"/>
                <w:szCs w:val="20"/>
              </w:rPr>
              <w:t>88.696,63</w:t>
            </w:r>
          </w:p>
        </w:tc>
        <w:tc>
          <w:tcPr>
            <w:tcW w:w="1100" w:type="dxa"/>
            <w:tcBorders>
              <w:top w:val="nil"/>
              <w:left w:val="nil"/>
              <w:bottom w:val="nil"/>
              <w:right w:val="nil"/>
            </w:tcBorders>
            <w:shd w:val="clear" w:color="auto" w:fill="auto"/>
            <w:noWrap/>
            <w:vAlign w:val="bottom"/>
            <w:hideMark/>
          </w:tcPr>
          <w:p w14:paraId="184EB650"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380FCD07" w14:textId="77777777" w:rsidTr="00BE6461">
        <w:trPr>
          <w:trHeight w:val="300"/>
        </w:trPr>
        <w:tc>
          <w:tcPr>
            <w:tcW w:w="1703" w:type="dxa"/>
            <w:tcBorders>
              <w:top w:val="nil"/>
              <w:left w:val="nil"/>
              <w:bottom w:val="nil"/>
              <w:right w:val="nil"/>
            </w:tcBorders>
            <w:shd w:val="clear" w:color="auto" w:fill="auto"/>
            <w:noWrap/>
            <w:vAlign w:val="bottom"/>
            <w:hideMark/>
          </w:tcPr>
          <w:p w14:paraId="1D8EC5D4" w14:textId="77777777" w:rsidR="00BE6461" w:rsidRPr="00BE6461" w:rsidRDefault="00BE6461" w:rsidP="00BE6461">
            <w:pPr>
              <w:rPr>
                <w:sz w:val="20"/>
                <w:szCs w:val="20"/>
              </w:rPr>
            </w:pPr>
            <w:r w:rsidRPr="00BE6461">
              <w:rPr>
                <w:sz w:val="20"/>
                <w:szCs w:val="20"/>
              </w:rPr>
              <w:t>4227</w:t>
            </w:r>
          </w:p>
        </w:tc>
        <w:tc>
          <w:tcPr>
            <w:tcW w:w="8457" w:type="dxa"/>
            <w:tcBorders>
              <w:top w:val="nil"/>
              <w:left w:val="nil"/>
              <w:bottom w:val="nil"/>
              <w:right w:val="nil"/>
            </w:tcBorders>
            <w:shd w:val="clear" w:color="auto" w:fill="auto"/>
            <w:vAlign w:val="bottom"/>
            <w:hideMark/>
          </w:tcPr>
          <w:p w14:paraId="09480EAA" w14:textId="77777777" w:rsidR="00BE6461" w:rsidRPr="00BE6461" w:rsidRDefault="00BE6461" w:rsidP="00BE6461">
            <w:pPr>
              <w:rPr>
                <w:sz w:val="20"/>
                <w:szCs w:val="20"/>
              </w:rPr>
            </w:pPr>
            <w:r w:rsidRPr="00BE6461">
              <w:rPr>
                <w:sz w:val="20"/>
                <w:szCs w:val="20"/>
              </w:rPr>
              <w:t xml:space="preserve">Uređaji, strojevi i oprema za ostale namjene                                                        </w:t>
            </w:r>
          </w:p>
        </w:tc>
        <w:tc>
          <w:tcPr>
            <w:tcW w:w="1503" w:type="dxa"/>
            <w:tcBorders>
              <w:top w:val="nil"/>
              <w:left w:val="nil"/>
              <w:bottom w:val="nil"/>
              <w:right w:val="nil"/>
            </w:tcBorders>
            <w:shd w:val="clear" w:color="auto" w:fill="auto"/>
            <w:noWrap/>
            <w:vAlign w:val="bottom"/>
            <w:hideMark/>
          </w:tcPr>
          <w:p w14:paraId="2C674F8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2629143" w14:textId="77777777" w:rsidR="00BE6461" w:rsidRPr="00BE6461" w:rsidRDefault="00BE6461" w:rsidP="00BE6461">
            <w:pPr>
              <w:jc w:val="right"/>
              <w:rPr>
                <w:sz w:val="20"/>
                <w:szCs w:val="20"/>
              </w:rPr>
            </w:pPr>
            <w:r w:rsidRPr="00BE6461">
              <w:rPr>
                <w:sz w:val="20"/>
                <w:szCs w:val="20"/>
              </w:rPr>
              <w:t>88.696,63</w:t>
            </w:r>
          </w:p>
        </w:tc>
        <w:tc>
          <w:tcPr>
            <w:tcW w:w="1100" w:type="dxa"/>
            <w:tcBorders>
              <w:top w:val="nil"/>
              <w:left w:val="nil"/>
              <w:bottom w:val="nil"/>
              <w:right w:val="nil"/>
            </w:tcBorders>
            <w:shd w:val="clear" w:color="auto" w:fill="auto"/>
            <w:noWrap/>
            <w:vAlign w:val="bottom"/>
            <w:hideMark/>
          </w:tcPr>
          <w:p w14:paraId="6A6B790D" w14:textId="77777777" w:rsidR="00BE6461" w:rsidRPr="00BE6461" w:rsidRDefault="00BE6461" w:rsidP="00BE6461">
            <w:pPr>
              <w:jc w:val="right"/>
              <w:rPr>
                <w:sz w:val="20"/>
                <w:szCs w:val="20"/>
              </w:rPr>
            </w:pPr>
          </w:p>
        </w:tc>
      </w:tr>
      <w:tr w:rsidR="00BE6461" w:rsidRPr="00BE6461" w14:paraId="51D8D4BA"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51394F32" w14:textId="77777777" w:rsidR="00BE6461" w:rsidRPr="00BE6461" w:rsidRDefault="00BE6461" w:rsidP="00BE6461">
            <w:pPr>
              <w:rPr>
                <w:b/>
                <w:bCs/>
                <w:sz w:val="20"/>
                <w:szCs w:val="20"/>
              </w:rPr>
            </w:pPr>
            <w:r w:rsidRPr="00BE6461">
              <w:rPr>
                <w:b/>
                <w:bCs/>
                <w:sz w:val="20"/>
                <w:szCs w:val="20"/>
              </w:rPr>
              <w:t>A200007</w:t>
            </w:r>
          </w:p>
        </w:tc>
        <w:tc>
          <w:tcPr>
            <w:tcW w:w="8457" w:type="dxa"/>
            <w:tcBorders>
              <w:top w:val="single" w:sz="4" w:space="0" w:color="auto"/>
              <w:left w:val="nil"/>
              <w:bottom w:val="single" w:sz="4" w:space="0" w:color="auto"/>
              <w:right w:val="nil"/>
            </w:tcBorders>
            <w:shd w:val="clear" w:color="auto" w:fill="auto"/>
            <w:vAlign w:val="bottom"/>
            <w:hideMark/>
          </w:tcPr>
          <w:p w14:paraId="1EA02036" w14:textId="77777777" w:rsidR="00BE6461" w:rsidRPr="00BE6461" w:rsidRDefault="00BE6461" w:rsidP="00BE6461">
            <w:pPr>
              <w:rPr>
                <w:b/>
                <w:bCs/>
                <w:sz w:val="20"/>
                <w:szCs w:val="20"/>
              </w:rPr>
            </w:pPr>
            <w:r w:rsidRPr="00BE6461">
              <w:rPr>
                <w:b/>
                <w:bCs/>
                <w:sz w:val="20"/>
                <w:szCs w:val="20"/>
              </w:rPr>
              <w:t>Aktivnost: ČISTOĆA JAVNIH POVRŠINA</w:t>
            </w:r>
          </w:p>
        </w:tc>
        <w:tc>
          <w:tcPr>
            <w:tcW w:w="1503" w:type="dxa"/>
            <w:tcBorders>
              <w:top w:val="single" w:sz="4" w:space="0" w:color="auto"/>
              <w:left w:val="nil"/>
              <w:bottom w:val="single" w:sz="4" w:space="0" w:color="auto"/>
              <w:right w:val="nil"/>
            </w:tcBorders>
            <w:shd w:val="clear" w:color="auto" w:fill="auto"/>
            <w:noWrap/>
            <w:vAlign w:val="bottom"/>
            <w:hideMark/>
          </w:tcPr>
          <w:p w14:paraId="00007271" w14:textId="77777777" w:rsidR="00BE6461" w:rsidRPr="00BE6461" w:rsidRDefault="00BE6461" w:rsidP="00BE6461">
            <w:pPr>
              <w:jc w:val="right"/>
              <w:rPr>
                <w:b/>
                <w:bCs/>
                <w:sz w:val="20"/>
                <w:szCs w:val="20"/>
              </w:rPr>
            </w:pPr>
            <w:r w:rsidRPr="00BE6461">
              <w:rPr>
                <w:b/>
                <w:bCs/>
                <w:sz w:val="20"/>
                <w:szCs w:val="20"/>
              </w:rPr>
              <w:t>1.049.375,00</w:t>
            </w:r>
          </w:p>
        </w:tc>
        <w:tc>
          <w:tcPr>
            <w:tcW w:w="1500" w:type="dxa"/>
            <w:tcBorders>
              <w:top w:val="single" w:sz="4" w:space="0" w:color="auto"/>
              <w:left w:val="nil"/>
              <w:bottom w:val="single" w:sz="4" w:space="0" w:color="auto"/>
              <w:right w:val="nil"/>
            </w:tcBorders>
            <w:shd w:val="clear" w:color="auto" w:fill="auto"/>
            <w:noWrap/>
            <w:vAlign w:val="bottom"/>
            <w:hideMark/>
          </w:tcPr>
          <w:p w14:paraId="2C32FCB8" w14:textId="77777777" w:rsidR="00BE6461" w:rsidRPr="00BE6461" w:rsidRDefault="00BE6461" w:rsidP="00BE6461">
            <w:pPr>
              <w:jc w:val="right"/>
              <w:rPr>
                <w:b/>
                <w:bCs/>
                <w:sz w:val="20"/>
                <w:szCs w:val="20"/>
              </w:rPr>
            </w:pPr>
            <w:r w:rsidRPr="00BE6461">
              <w:rPr>
                <w:b/>
                <w:bCs/>
                <w:sz w:val="20"/>
                <w:szCs w:val="20"/>
              </w:rPr>
              <w:t>1.010.568,21</w:t>
            </w:r>
          </w:p>
        </w:tc>
        <w:tc>
          <w:tcPr>
            <w:tcW w:w="1100" w:type="dxa"/>
            <w:tcBorders>
              <w:top w:val="single" w:sz="4" w:space="0" w:color="auto"/>
              <w:left w:val="nil"/>
              <w:bottom w:val="single" w:sz="4" w:space="0" w:color="auto"/>
              <w:right w:val="nil"/>
            </w:tcBorders>
            <w:shd w:val="clear" w:color="auto" w:fill="auto"/>
            <w:noWrap/>
            <w:vAlign w:val="bottom"/>
            <w:hideMark/>
          </w:tcPr>
          <w:p w14:paraId="3B15E401" w14:textId="77777777" w:rsidR="00BE6461" w:rsidRPr="00BE6461" w:rsidRDefault="00BE6461" w:rsidP="00BE6461">
            <w:pPr>
              <w:jc w:val="right"/>
              <w:rPr>
                <w:b/>
                <w:bCs/>
                <w:sz w:val="20"/>
                <w:szCs w:val="20"/>
              </w:rPr>
            </w:pPr>
            <w:r w:rsidRPr="00BE6461">
              <w:rPr>
                <w:b/>
                <w:bCs/>
                <w:sz w:val="20"/>
                <w:szCs w:val="20"/>
              </w:rPr>
              <w:t>96,30</w:t>
            </w:r>
          </w:p>
        </w:tc>
      </w:tr>
      <w:tr w:rsidR="00BE6461" w:rsidRPr="00BE6461" w14:paraId="49126D7D"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665BFA9"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087672F1" w14:textId="77777777" w:rsidR="00BE6461" w:rsidRPr="00BE6461" w:rsidRDefault="00BE6461" w:rsidP="00BE6461">
            <w:pPr>
              <w:jc w:val="right"/>
              <w:rPr>
                <w:b/>
                <w:bCs/>
                <w:color w:val="333333"/>
                <w:sz w:val="20"/>
                <w:szCs w:val="20"/>
              </w:rPr>
            </w:pPr>
            <w:r w:rsidRPr="00BE6461">
              <w:rPr>
                <w:b/>
                <w:bCs/>
                <w:color w:val="333333"/>
                <w:sz w:val="20"/>
                <w:szCs w:val="20"/>
              </w:rPr>
              <w:t>1.049.375,00</w:t>
            </w:r>
          </w:p>
        </w:tc>
        <w:tc>
          <w:tcPr>
            <w:tcW w:w="1500" w:type="dxa"/>
            <w:tcBorders>
              <w:top w:val="nil"/>
              <w:left w:val="nil"/>
              <w:bottom w:val="nil"/>
              <w:right w:val="nil"/>
            </w:tcBorders>
            <w:shd w:val="clear" w:color="auto" w:fill="auto"/>
            <w:noWrap/>
            <w:vAlign w:val="bottom"/>
            <w:hideMark/>
          </w:tcPr>
          <w:p w14:paraId="43243209" w14:textId="77777777" w:rsidR="00BE6461" w:rsidRPr="00BE6461" w:rsidRDefault="00BE6461" w:rsidP="00BE6461">
            <w:pPr>
              <w:jc w:val="right"/>
              <w:rPr>
                <w:b/>
                <w:bCs/>
                <w:color w:val="333333"/>
                <w:sz w:val="20"/>
                <w:szCs w:val="20"/>
              </w:rPr>
            </w:pPr>
            <w:r w:rsidRPr="00BE6461">
              <w:rPr>
                <w:b/>
                <w:bCs/>
                <w:color w:val="333333"/>
                <w:sz w:val="20"/>
                <w:szCs w:val="20"/>
              </w:rPr>
              <w:t>1.010.568,21</w:t>
            </w:r>
          </w:p>
        </w:tc>
        <w:tc>
          <w:tcPr>
            <w:tcW w:w="1100" w:type="dxa"/>
            <w:tcBorders>
              <w:top w:val="nil"/>
              <w:left w:val="nil"/>
              <w:bottom w:val="nil"/>
              <w:right w:val="nil"/>
            </w:tcBorders>
            <w:shd w:val="clear" w:color="auto" w:fill="auto"/>
            <w:noWrap/>
            <w:vAlign w:val="bottom"/>
            <w:hideMark/>
          </w:tcPr>
          <w:p w14:paraId="5EA05CBB" w14:textId="77777777" w:rsidR="00BE6461" w:rsidRPr="00BE6461" w:rsidRDefault="00BE6461" w:rsidP="00BE6461">
            <w:pPr>
              <w:jc w:val="right"/>
              <w:rPr>
                <w:b/>
                <w:bCs/>
                <w:color w:val="333333"/>
                <w:sz w:val="20"/>
                <w:szCs w:val="20"/>
              </w:rPr>
            </w:pPr>
            <w:r w:rsidRPr="00BE6461">
              <w:rPr>
                <w:b/>
                <w:bCs/>
                <w:color w:val="333333"/>
                <w:sz w:val="20"/>
                <w:szCs w:val="20"/>
              </w:rPr>
              <w:t>96,30</w:t>
            </w:r>
          </w:p>
        </w:tc>
      </w:tr>
      <w:tr w:rsidR="00BE6461" w:rsidRPr="00BE6461" w14:paraId="7D4CDEF2"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2FF4267" w14:textId="77777777" w:rsidR="00BE6461" w:rsidRPr="00BE6461" w:rsidRDefault="00BE6461" w:rsidP="00BE6461">
            <w:pPr>
              <w:rPr>
                <w:b/>
                <w:bCs/>
                <w:color w:val="333333"/>
                <w:sz w:val="20"/>
                <w:szCs w:val="20"/>
              </w:rPr>
            </w:pPr>
            <w:r w:rsidRPr="00BE6461">
              <w:rPr>
                <w:b/>
                <w:bCs/>
                <w:color w:val="333333"/>
                <w:sz w:val="20"/>
                <w:szCs w:val="20"/>
              </w:rPr>
              <w:t>Izvor 4.1. PRIHODI POSEBNE NAMJENE - KOMUNALNA NAKNADA</w:t>
            </w:r>
          </w:p>
        </w:tc>
        <w:tc>
          <w:tcPr>
            <w:tcW w:w="1503" w:type="dxa"/>
            <w:tcBorders>
              <w:top w:val="nil"/>
              <w:left w:val="nil"/>
              <w:bottom w:val="nil"/>
              <w:right w:val="nil"/>
            </w:tcBorders>
            <w:shd w:val="clear" w:color="auto" w:fill="auto"/>
            <w:noWrap/>
            <w:vAlign w:val="bottom"/>
            <w:hideMark/>
          </w:tcPr>
          <w:p w14:paraId="75A35C21" w14:textId="77777777" w:rsidR="00BE6461" w:rsidRPr="00BE6461" w:rsidRDefault="00BE6461" w:rsidP="00BE6461">
            <w:pPr>
              <w:jc w:val="right"/>
              <w:rPr>
                <w:b/>
                <w:bCs/>
                <w:color w:val="333333"/>
                <w:sz w:val="20"/>
                <w:szCs w:val="20"/>
              </w:rPr>
            </w:pPr>
            <w:r w:rsidRPr="00BE6461">
              <w:rPr>
                <w:b/>
                <w:bCs/>
                <w:color w:val="333333"/>
                <w:sz w:val="20"/>
                <w:szCs w:val="20"/>
              </w:rPr>
              <w:t>944.375,00</w:t>
            </w:r>
          </w:p>
        </w:tc>
        <w:tc>
          <w:tcPr>
            <w:tcW w:w="1500" w:type="dxa"/>
            <w:tcBorders>
              <w:top w:val="nil"/>
              <w:left w:val="nil"/>
              <w:bottom w:val="nil"/>
              <w:right w:val="nil"/>
            </w:tcBorders>
            <w:shd w:val="clear" w:color="auto" w:fill="auto"/>
            <w:noWrap/>
            <w:vAlign w:val="bottom"/>
            <w:hideMark/>
          </w:tcPr>
          <w:p w14:paraId="171261B7" w14:textId="77777777" w:rsidR="00BE6461" w:rsidRPr="00BE6461" w:rsidRDefault="00BE6461" w:rsidP="00BE6461">
            <w:pPr>
              <w:jc w:val="right"/>
              <w:rPr>
                <w:b/>
                <w:bCs/>
                <w:color w:val="333333"/>
                <w:sz w:val="20"/>
                <w:szCs w:val="20"/>
              </w:rPr>
            </w:pPr>
            <w:r w:rsidRPr="00BE6461">
              <w:rPr>
                <w:b/>
                <w:bCs/>
                <w:color w:val="333333"/>
                <w:sz w:val="20"/>
                <w:szCs w:val="20"/>
              </w:rPr>
              <w:t>917.668,21</w:t>
            </w:r>
          </w:p>
        </w:tc>
        <w:tc>
          <w:tcPr>
            <w:tcW w:w="1100" w:type="dxa"/>
            <w:tcBorders>
              <w:top w:val="nil"/>
              <w:left w:val="nil"/>
              <w:bottom w:val="nil"/>
              <w:right w:val="nil"/>
            </w:tcBorders>
            <w:shd w:val="clear" w:color="auto" w:fill="auto"/>
            <w:noWrap/>
            <w:vAlign w:val="bottom"/>
            <w:hideMark/>
          </w:tcPr>
          <w:p w14:paraId="373B698C" w14:textId="77777777" w:rsidR="00BE6461" w:rsidRPr="00BE6461" w:rsidRDefault="00BE6461" w:rsidP="00BE6461">
            <w:pPr>
              <w:jc w:val="right"/>
              <w:rPr>
                <w:b/>
                <w:bCs/>
                <w:color w:val="333333"/>
                <w:sz w:val="20"/>
                <w:szCs w:val="20"/>
              </w:rPr>
            </w:pPr>
            <w:r w:rsidRPr="00BE6461">
              <w:rPr>
                <w:b/>
                <w:bCs/>
                <w:color w:val="333333"/>
                <w:sz w:val="20"/>
                <w:szCs w:val="20"/>
              </w:rPr>
              <w:t>97,17</w:t>
            </w:r>
          </w:p>
        </w:tc>
      </w:tr>
      <w:tr w:rsidR="00BE6461" w:rsidRPr="00BE6461" w14:paraId="33E8BB1B" w14:textId="77777777" w:rsidTr="00BE6461">
        <w:trPr>
          <w:trHeight w:val="300"/>
        </w:trPr>
        <w:tc>
          <w:tcPr>
            <w:tcW w:w="1703" w:type="dxa"/>
            <w:tcBorders>
              <w:top w:val="nil"/>
              <w:left w:val="nil"/>
              <w:bottom w:val="nil"/>
              <w:right w:val="nil"/>
            </w:tcBorders>
            <w:shd w:val="clear" w:color="auto" w:fill="auto"/>
            <w:noWrap/>
            <w:vAlign w:val="bottom"/>
            <w:hideMark/>
          </w:tcPr>
          <w:p w14:paraId="0911E7DF"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0EF91687"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04E1FB95" w14:textId="77777777" w:rsidR="00BE6461" w:rsidRPr="00BE6461" w:rsidRDefault="00BE6461" w:rsidP="00BE6461">
            <w:pPr>
              <w:jc w:val="right"/>
              <w:rPr>
                <w:b/>
                <w:bCs/>
                <w:sz w:val="20"/>
                <w:szCs w:val="20"/>
              </w:rPr>
            </w:pPr>
            <w:r w:rsidRPr="00BE6461">
              <w:rPr>
                <w:b/>
                <w:bCs/>
                <w:sz w:val="20"/>
                <w:szCs w:val="20"/>
              </w:rPr>
              <w:t>944.375,00</w:t>
            </w:r>
          </w:p>
        </w:tc>
        <w:tc>
          <w:tcPr>
            <w:tcW w:w="1500" w:type="dxa"/>
            <w:tcBorders>
              <w:top w:val="nil"/>
              <w:left w:val="nil"/>
              <w:bottom w:val="nil"/>
              <w:right w:val="nil"/>
            </w:tcBorders>
            <w:shd w:val="clear" w:color="auto" w:fill="auto"/>
            <w:noWrap/>
            <w:vAlign w:val="bottom"/>
            <w:hideMark/>
          </w:tcPr>
          <w:p w14:paraId="6C7D41FE" w14:textId="77777777" w:rsidR="00BE6461" w:rsidRPr="00BE6461" w:rsidRDefault="00BE6461" w:rsidP="00BE6461">
            <w:pPr>
              <w:jc w:val="right"/>
              <w:rPr>
                <w:b/>
                <w:bCs/>
                <w:sz w:val="20"/>
                <w:szCs w:val="20"/>
              </w:rPr>
            </w:pPr>
            <w:r w:rsidRPr="00BE6461">
              <w:rPr>
                <w:b/>
                <w:bCs/>
                <w:sz w:val="20"/>
                <w:szCs w:val="20"/>
              </w:rPr>
              <w:t>917.668,21</w:t>
            </w:r>
          </w:p>
        </w:tc>
        <w:tc>
          <w:tcPr>
            <w:tcW w:w="1100" w:type="dxa"/>
            <w:tcBorders>
              <w:top w:val="nil"/>
              <w:left w:val="nil"/>
              <w:bottom w:val="nil"/>
              <w:right w:val="nil"/>
            </w:tcBorders>
            <w:shd w:val="clear" w:color="auto" w:fill="auto"/>
            <w:noWrap/>
            <w:vAlign w:val="bottom"/>
            <w:hideMark/>
          </w:tcPr>
          <w:p w14:paraId="1C599653" w14:textId="77777777" w:rsidR="00BE6461" w:rsidRPr="00BE6461" w:rsidRDefault="00BE6461" w:rsidP="00BE6461">
            <w:pPr>
              <w:jc w:val="right"/>
              <w:rPr>
                <w:b/>
                <w:bCs/>
                <w:sz w:val="20"/>
                <w:szCs w:val="20"/>
              </w:rPr>
            </w:pPr>
            <w:r w:rsidRPr="00BE6461">
              <w:rPr>
                <w:b/>
                <w:bCs/>
                <w:sz w:val="20"/>
                <w:szCs w:val="20"/>
              </w:rPr>
              <w:t>97,17</w:t>
            </w:r>
          </w:p>
        </w:tc>
      </w:tr>
      <w:tr w:rsidR="00BE6461" w:rsidRPr="00BE6461" w14:paraId="2DB8F0BB" w14:textId="77777777" w:rsidTr="00BE6461">
        <w:trPr>
          <w:trHeight w:val="300"/>
        </w:trPr>
        <w:tc>
          <w:tcPr>
            <w:tcW w:w="1703" w:type="dxa"/>
            <w:tcBorders>
              <w:top w:val="nil"/>
              <w:left w:val="nil"/>
              <w:bottom w:val="nil"/>
              <w:right w:val="nil"/>
            </w:tcBorders>
            <w:shd w:val="clear" w:color="auto" w:fill="auto"/>
            <w:noWrap/>
            <w:vAlign w:val="bottom"/>
            <w:hideMark/>
          </w:tcPr>
          <w:p w14:paraId="025EC332" w14:textId="77777777" w:rsidR="00BE6461" w:rsidRPr="00BE6461" w:rsidRDefault="00BE6461" w:rsidP="00BE6461">
            <w:pPr>
              <w:rPr>
                <w:sz w:val="20"/>
                <w:szCs w:val="20"/>
              </w:rPr>
            </w:pPr>
            <w:r w:rsidRPr="00BE6461">
              <w:rPr>
                <w:sz w:val="20"/>
                <w:szCs w:val="20"/>
              </w:rPr>
              <w:t>3234</w:t>
            </w:r>
          </w:p>
        </w:tc>
        <w:tc>
          <w:tcPr>
            <w:tcW w:w="8457" w:type="dxa"/>
            <w:tcBorders>
              <w:top w:val="nil"/>
              <w:left w:val="nil"/>
              <w:bottom w:val="nil"/>
              <w:right w:val="nil"/>
            </w:tcBorders>
            <w:shd w:val="clear" w:color="auto" w:fill="auto"/>
            <w:vAlign w:val="bottom"/>
            <w:hideMark/>
          </w:tcPr>
          <w:p w14:paraId="0872F41D" w14:textId="77777777" w:rsidR="00BE6461" w:rsidRPr="00BE6461" w:rsidRDefault="00BE6461" w:rsidP="00BE6461">
            <w:pPr>
              <w:rPr>
                <w:sz w:val="20"/>
                <w:szCs w:val="20"/>
              </w:rPr>
            </w:pPr>
            <w:r w:rsidRPr="00BE6461">
              <w:rPr>
                <w:sz w:val="20"/>
                <w:szCs w:val="20"/>
              </w:rPr>
              <w:t xml:space="preserve">Komunalne usluge                                                                                    </w:t>
            </w:r>
          </w:p>
        </w:tc>
        <w:tc>
          <w:tcPr>
            <w:tcW w:w="1503" w:type="dxa"/>
            <w:tcBorders>
              <w:top w:val="nil"/>
              <w:left w:val="nil"/>
              <w:bottom w:val="nil"/>
              <w:right w:val="nil"/>
            </w:tcBorders>
            <w:shd w:val="clear" w:color="auto" w:fill="auto"/>
            <w:noWrap/>
            <w:vAlign w:val="bottom"/>
            <w:hideMark/>
          </w:tcPr>
          <w:p w14:paraId="3D0BB0B0"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4862A98" w14:textId="77777777" w:rsidR="00BE6461" w:rsidRPr="00BE6461" w:rsidRDefault="00BE6461" w:rsidP="00BE6461">
            <w:pPr>
              <w:jc w:val="right"/>
              <w:rPr>
                <w:sz w:val="20"/>
                <w:szCs w:val="20"/>
              </w:rPr>
            </w:pPr>
            <w:r w:rsidRPr="00BE6461">
              <w:rPr>
                <w:sz w:val="20"/>
                <w:szCs w:val="20"/>
              </w:rPr>
              <w:t>293.128,50</w:t>
            </w:r>
          </w:p>
        </w:tc>
        <w:tc>
          <w:tcPr>
            <w:tcW w:w="1100" w:type="dxa"/>
            <w:tcBorders>
              <w:top w:val="nil"/>
              <w:left w:val="nil"/>
              <w:bottom w:val="nil"/>
              <w:right w:val="nil"/>
            </w:tcBorders>
            <w:shd w:val="clear" w:color="auto" w:fill="auto"/>
            <w:noWrap/>
            <w:vAlign w:val="bottom"/>
            <w:hideMark/>
          </w:tcPr>
          <w:p w14:paraId="2A1CCB88" w14:textId="77777777" w:rsidR="00BE6461" w:rsidRPr="00BE6461" w:rsidRDefault="00BE6461" w:rsidP="00BE6461">
            <w:pPr>
              <w:jc w:val="right"/>
              <w:rPr>
                <w:sz w:val="20"/>
                <w:szCs w:val="20"/>
              </w:rPr>
            </w:pPr>
          </w:p>
        </w:tc>
      </w:tr>
      <w:tr w:rsidR="00BE6461" w:rsidRPr="00BE6461" w14:paraId="15A654C9" w14:textId="77777777" w:rsidTr="00BE6461">
        <w:trPr>
          <w:trHeight w:val="300"/>
        </w:trPr>
        <w:tc>
          <w:tcPr>
            <w:tcW w:w="1703" w:type="dxa"/>
            <w:tcBorders>
              <w:top w:val="nil"/>
              <w:left w:val="nil"/>
              <w:bottom w:val="nil"/>
              <w:right w:val="nil"/>
            </w:tcBorders>
            <w:shd w:val="clear" w:color="auto" w:fill="auto"/>
            <w:noWrap/>
            <w:vAlign w:val="bottom"/>
            <w:hideMark/>
          </w:tcPr>
          <w:p w14:paraId="2AF804FC" w14:textId="77777777" w:rsidR="00BE6461" w:rsidRPr="00BE6461" w:rsidRDefault="00BE6461" w:rsidP="00BE6461">
            <w:pPr>
              <w:rPr>
                <w:sz w:val="20"/>
                <w:szCs w:val="20"/>
              </w:rPr>
            </w:pPr>
            <w:r w:rsidRPr="00BE6461">
              <w:rPr>
                <w:sz w:val="20"/>
                <w:szCs w:val="20"/>
              </w:rPr>
              <w:t>3236</w:t>
            </w:r>
          </w:p>
        </w:tc>
        <w:tc>
          <w:tcPr>
            <w:tcW w:w="8457" w:type="dxa"/>
            <w:tcBorders>
              <w:top w:val="nil"/>
              <w:left w:val="nil"/>
              <w:bottom w:val="nil"/>
              <w:right w:val="nil"/>
            </w:tcBorders>
            <w:shd w:val="clear" w:color="auto" w:fill="auto"/>
            <w:vAlign w:val="bottom"/>
            <w:hideMark/>
          </w:tcPr>
          <w:p w14:paraId="07E4033A" w14:textId="77777777" w:rsidR="00BE6461" w:rsidRPr="00BE6461" w:rsidRDefault="00BE6461" w:rsidP="00BE6461">
            <w:pPr>
              <w:rPr>
                <w:sz w:val="20"/>
                <w:szCs w:val="20"/>
              </w:rPr>
            </w:pPr>
            <w:r w:rsidRPr="00BE6461">
              <w:rPr>
                <w:sz w:val="20"/>
                <w:szCs w:val="20"/>
              </w:rPr>
              <w:t xml:space="preserve">Zdravstvene i veterinarske usluge                                                                   </w:t>
            </w:r>
          </w:p>
        </w:tc>
        <w:tc>
          <w:tcPr>
            <w:tcW w:w="1503" w:type="dxa"/>
            <w:tcBorders>
              <w:top w:val="nil"/>
              <w:left w:val="nil"/>
              <w:bottom w:val="nil"/>
              <w:right w:val="nil"/>
            </w:tcBorders>
            <w:shd w:val="clear" w:color="auto" w:fill="auto"/>
            <w:noWrap/>
            <w:vAlign w:val="bottom"/>
            <w:hideMark/>
          </w:tcPr>
          <w:p w14:paraId="515C8D1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69D1D44" w14:textId="77777777" w:rsidR="00BE6461" w:rsidRPr="00BE6461" w:rsidRDefault="00BE6461" w:rsidP="00BE6461">
            <w:pPr>
              <w:jc w:val="right"/>
              <w:rPr>
                <w:sz w:val="20"/>
                <w:szCs w:val="20"/>
              </w:rPr>
            </w:pPr>
            <w:r w:rsidRPr="00BE6461">
              <w:rPr>
                <w:sz w:val="20"/>
                <w:szCs w:val="20"/>
              </w:rPr>
              <w:t>95.527,19</w:t>
            </w:r>
          </w:p>
        </w:tc>
        <w:tc>
          <w:tcPr>
            <w:tcW w:w="1100" w:type="dxa"/>
            <w:tcBorders>
              <w:top w:val="nil"/>
              <w:left w:val="nil"/>
              <w:bottom w:val="nil"/>
              <w:right w:val="nil"/>
            </w:tcBorders>
            <w:shd w:val="clear" w:color="auto" w:fill="auto"/>
            <w:noWrap/>
            <w:vAlign w:val="bottom"/>
            <w:hideMark/>
          </w:tcPr>
          <w:p w14:paraId="3478B436" w14:textId="77777777" w:rsidR="00BE6461" w:rsidRPr="00BE6461" w:rsidRDefault="00BE6461" w:rsidP="00BE6461">
            <w:pPr>
              <w:jc w:val="right"/>
              <w:rPr>
                <w:sz w:val="20"/>
                <w:szCs w:val="20"/>
              </w:rPr>
            </w:pPr>
          </w:p>
        </w:tc>
      </w:tr>
      <w:tr w:rsidR="00BE6461" w:rsidRPr="00BE6461" w14:paraId="3C8EC649" w14:textId="77777777" w:rsidTr="00BE6461">
        <w:trPr>
          <w:trHeight w:val="300"/>
        </w:trPr>
        <w:tc>
          <w:tcPr>
            <w:tcW w:w="1703" w:type="dxa"/>
            <w:tcBorders>
              <w:top w:val="nil"/>
              <w:left w:val="nil"/>
              <w:bottom w:val="nil"/>
              <w:right w:val="nil"/>
            </w:tcBorders>
            <w:shd w:val="clear" w:color="auto" w:fill="auto"/>
            <w:noWrap/>
            <w:vAlign w:val="bottom"/>
            <w:hideMark/>
          </w:tcPr>
          <w:p w14:paraId="290F5C57"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4D564DB8"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02F07D10"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EFA93E5" w14:textId="77777777" w:rsidR="00BE6461" w:rsidRPr="00BE6461" w:rsidRDefault="00BE6461" w:rsidP="00BE6461">
            <w:pPr>
              <w:jc w:val="right"/>
              <w:rPr>
                <w:sz w:val="20"/>
                <w:szCs w:val="20"/>
              </w:rPr>
            </w:pPr>
            <w:r w:rsidRPr="00BE6461">
              <w:rPr>
                <w:sz w:val="20"/>
                <w:szCs w:val="20"/>
              </w:rPr>
              <w:t>8.250,00</w:t>
            </w:r>
          </w:p>
        </w:tc>
        <w:tc>
          <w:tcPr>
            <w:tcW w:w="1100" w:type="dxa"/>
            <w:tcBorders>
              <w:top w:val="nil"/>
              <w:left w:val="nil"/>
              <w:bottom w:val="nil"/>
              <w:right w:val="nil"/>
            </w:tcBorders>
            <w:shd w:val="clear" w:color="auto" w:fill="auto"/>
            <w:noWrap/>
            <w:vAlign w:val="bottom"/>
            <w:hideMark/>
          </w:tcPr>
          <w:p w14:paraId="4E08A42A" w14:textId="77777777" w:rsidR="00BE6461" w:rsidRPr="00BE6461" w:rsidRDefault="00BE6461" w:rsidP="00BE6461">
            <w:pPr>
              <w:jc w:val="right"/>
              <w:rPr>
                <w:sz w:val="20"/>
                <w:szCs w:val="20"/>
              </w:rPr>
            </w:pPr>
          </w:p>
        </w:tc>
      </w:tr>
      <w:tr w:rsidR="00BE6461" w:rsidRPr="00BE6461" w14:paraId="406886DF" w14:textId="77777777" w:rsidTr="00BE6461">
        <w:trPr>
          <w:trHeight w:val="300"/>
        </w:trPr>
        <w:tc>
          <w:tcPr>
            <w:tcW w:w="1703" w:type="dxa"/>
            <w:tcBorders>
              <w:top w:val="nil"/>
              <w:left w:val="nil"/>
              <w:bottom w:val="nil"/>
              <w:right w:val="nil"/>
            </w:tcBorders>
            <w:shd w:val="clear" w:color="auto" w:fill="auto"/>
            <w:noWrap/>
            <w:vAlign w:val="bottom"/>
            <w:hideMark/>
          </w:tcPr>
          <w:p w14:paraId="4C59AEFE" w14:textId="77777777" w:rsidR="00BE6461" w:rsidRPr="00BE6461" w:rsidRDefault="00BE6461" w:rsidP="00BE6461">
            <w:pPr>
              <w:rPr>
                <w:sz w:val="20"/>
                <w:szCs w:val="20"/>
              </w:rPr>
            </w:pPr>
            <w:r w:rsidRPr="00BE6461">
              <w:rPr>
                <w:sz w:val="20"/>
                <w:szCs w:val="20"/>
              </w:rPr>
              <w:t>3239</w:t>
            </w:r>
          </w:p>
        </w:tc>
        <w:tc>
          <w:tcPr>
            <w:tcW w:w="8457" w:type="dxa"/>
            <w:tcBorders>
              <w:top w:val="nil"/>
              <w:left w:val="nil"/>
              <w:bottom w:val="nil"/>
              <w:right w:val="nil"/>
            </w:tcBorders>
            <w:shd w:val="clear" w:color="auto" w:fill="auto"/>
            <w:vAlign w:val="bottom"/>
            <w:hideMark/>
          </w:tcPr>
          <w:p w14:paraId="279B2343" w14:textId="77777777" w:rsidR="00BE6461" w:rsidRPr="00BE6461" w:rsidRDefault="00BE6461" w:rsidP="00BE6461">
            <w:pPr>
              <w:rPr>
                <w:sz w:val="20"/>
                <w:szCs w:val="20"/>
              </w:rPr>
            </w:pPr>
            <w:r w:rsidRPr="00BE6461">
              <w:rPr>
                <w:sz w:val="20"/>
                <w:szCs w:val="20"/>
              </w:rPr>
              <w:t xml:space="preserve">Ostale usluge                                                                                       </w:t>
            </w:r>
          </w:p>
        </w:tc>
        <w:tc>
          <w:tcPr>
            <w:tcW w:w="1503" w:type="dxa"/>
            <w:tcBorders>
              <w:top w:val="nil"/>
              <w:left w:val="nil"/>
              <w:bottom w:val="nil"/>
              <w:right w:val="nil"/>
            </w:tcBorders>
            <w:shd w:val="clear" w:color="auto" w:fill="auto"/>
            <w:noWrap/>
            <w:vAlign w:val="bottom"/>
            <w:hideMark/>
          </w:tcPr>
          <w:p w14:paraId="05A484C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3868C0E" w14:textId="77777777" w:rsidR="00BE6461" w:rsidRPr="00BE6461" w:rsidRDefault="00BE6461" w:rsidP="00BE6461">
            <w:pPr>
              <w:jc w:val="right"/>
              <w:rPr>
                <w:sz w:val="20"/>
                <w:szCs w:val="20"/>
              </w:rPr>
            </w:pPr>
            <w:r w:rsidRPr="00BE6461">
              <w:rPr>
                <w:sz w:val="20"/>
                <w:szCs w:val="20"/>
              </w:rPr>
              <w:t>520.762,52</w:t>
            </w:r>
          </w:p>
        </w:tc>
        <w:tc>
          <w:tcPr>
            <w:tcW w:w="1100" w:type="dxa"/>
            <w:tcBorders>
              <w:top w:val="nil"/>
              <w:left w:val="nil"/>
              <w:bottom w:val="nil"/>
              <w:right w:val="nil"/>
            </w:tcBorders>
            <w:shd w:val="clear" w:color="auto" w:fill="auto"/>
            <w:noWrap/>
            <w:vAlign w:val="bottom"/>
            <w:hideMark/>
          </w:tcPr>
          <w:p w14:paraId="2BB7ACAF" w14:textId="77777777" w:rsidR="00BE6461" w:rsidRPr="00BE6461" w:rsidRDefault="00BE6461" w:rsidP="00BE6461">
            <w:pPr>
              <w:jc w:val="right"/>
              <w:rPr>
                <w:sz w:val="20"/>
                <w:szCs w:val="20"/>
              </w:rPr>
            </w:pPr>
          </w:p>
        </w:tc>
      </w:tr>
      <w:tr w:rsidR="00BE6461" w:rsidRPr="00BE6461" w14:paraId="6DFCC6E0"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50AF5ED" w14:textId="77777777" w:rsidR="00BE6461" w:rsidRPr="00BE6461" w:rsidRDefault="00BE6461" w:rsidP="00BE6461">
            <w:pPr>
              <w:rPr>
                <w:b/>
                <w:bCs/>
                <w:color w:val="333333"/>
                <w:sz w:val="20"/>
                <w:szCs w:val="20"/>
              </w:rPr>
            </w:pPr>
            <w:r w:rsidRPr="00BE6461">
              <w:rPr>
                <w:b/>
                <w:bCs/>
                <w:color w:val="333333"/>
                <w:sz w:val="20"/>
                <w:szCs w:val="20"/>
              </w:rPr>
              <w:t>Izvor 4.6. PRIHODI POSEBNE NAMJENE - OSTALI</w:t>
            </w:r>
          </w:p>
        </w:tc>
        <w:tc>
          <w:tcPr>
            <w:tcW w:w="1503" w:type="dxa"/>
            <w:tcBorders>
              <w:top w:val="nil"/>
              <w:left w:val="nil"/>
              <w:bottom w:val="nil"/>
              <w:right w:val="nil"/>
            </w:tcBorders>
            <w:shd w:val="clear" w:color="auto" w:fill="auto"/>
            <w:noWrap/>
            <w:vAlign w:val="bottom"/>
            <w:hideMark/>
          </w:tcPr>
          <w:p w14:paraId="10894191" w14:textId="77777777" w:rsidR="00BE6461" w:rsidRPr="00BE6461" w:rsidRDefault="00BE6461" w:rsidP="00BE6461">
            <w:pPr>
              <w:jc w:val="right"/>
              <w:rPr>
                <w:b/>
                <w:bCs/>
                <w:color w:val="333333"/>
                <w:sz w:val="20"/>
                <w:szCs w:val="20"/>
              </w:rPr>
            </w:pPr>
            <w:r w:rsidRPr="00BE6461">
              <w:rPr>
                <w:b/>
                <w:bCs/>
                <w:color w:val="333333"/>
                <w:sz w:val="20"/>
                <w:szCs w:val="20"/>
              </w:rPr>
              <w:t>105.000,00</w:t>
            </w:r>
          </w:p>
        </w:tc>
        <w:tc>
          <w:tcPr>
            <w:tcW w:w="1500" w:type="dxa"/>
            <w:tcBorders>
              <w:top w:val="nil"/>
              <w:left w:val="nil"/>
              <w:bottom w:val="nil"/>
              <w:right w:val="nil"/>
            </w:tcBorders>
            <w:shd w:val="clear" w:color="auto" w:fill="auto"/>
            <w:noWrap/>
            <w:vAlign w:val="bottom"/>
            <w:hideMark/>
          </w:tcPr>
          <w:p w14:paraId="7CA5218D" w14:textId="77777777" w:rsidR="00BE6461" w:rsidRPr="00BE6461" w:rsidRDefault="00BE6461" w:rsidP="00BE6461">
            <w:pPr>
              <w:jc w:val="right"/>
              <w:rPr>
                <w:b/>
                <w:bCs/>
                <w:color w:val="333333"/>
                <w:sz w:val="20"/>
                <w:szCs w:val="20"/>
              </w:rPr>
            </w:pPr>
            <w:r w:rsidRPr="00BE6461">
              <w:rPr>
                <w:b/>
                <w:bCs/>
                <w:color w:val="333333"/>
                <w:sz w:val="20"/>
                <w:szCs w:val="20"/>
              </w:rPr>
              <w:t>92.900,00</w:t>
            </w:r>
          </w:p>
        </w:tc>
        <w:tc>
          <w:tcPr>
            <w:tcW w:w="1100" w:type="dxa"/>
            <w:tcBorders>
              <w:top w:val="nil"/>
              <w:left w:val="nil"/>
              <w:bottom w:val="nil"/>
              <w:right w:val="nil"/>
            </w:tcBorders>
            <w:shd w:val="clear" w:color="auto" w:fill="auto"/>
            <w:noWrap/>
            <w:vAlign w:val="bottom"/>
            <w:hideMark/>
          </w:tcPr>
          <w:p w14:paraId="6605222B" w14:textId="77777777" w:rsidR="00BE6461" w:rsidRPr="00BE6461" w:rsidRDefault="00BE6461" w:rsidP="00BE6461">
            <w:pPr>
              <w:jc w:val="right"/>
              <w:rPr>
                <w:b/>
                <w:bCs/>
                <w:color w:val="333333"/>
                <w:sz w:val="20"/>
                <w:szCs w:val="20"/>
              </w:rPr>
            </w:pPr>
            <w:r w:rsidRPr="00BE6461">
              <w:rPr>
                <w:b/>
                <w:bCs/>
                <w:color w:val="333333"/>
                <w:sz w:val="20"/>
                <w:szCs w:val="20"/>
              </w:rPr>
              <w:t>88,48</w:t>
            </w:r>
          </w:p>
        </w:tc>
      </w:tr>
      <w:tr w:rsidR="00BE6461" w:rsidRPr="00BE6461" w14:paraId="1C63D5A9" w14:textId="77777777" w:rsidTr="00BE6461">
        <w:trPr>
          <w:trHeight w:val="300"/>
        </w:trPr>
        <w:tc>
          <w:tcPr>
            <w:tcW w:w="1703" w:type="dxa"/>
            <w:tcBorders>
              <w:top w:val="nil"/>
              <w:left w:val="nil"/>
              <w:bottom w:val="nil"/>
              <w:right w:val="nil"/>
            </w:tcBorders>
            <w:shd w:val="clear" w:color="auto" w:fill="auto"/>
            <w:noWrap/>
            <w:vAlign w:val="bottom"/>
            <w:hideMark/>
          </w:tcPr>
          <w:p w14:paraId="156677DD"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17110FC3"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04966158" w14:textId="77777777" w:rsidR="00BE6461" w:rsidRPr="00BE6461" w:rsidRDefault="00BE6461" w:rsidP="00BE6461">
            <w:pPr>
              <w:jc w:val="right"/>
              <w:rPr>
                <w:b/>
                <w:bCs/>
                <w:sz w:val="20"/>
                <w:szCs w:val="20"/>
              </w:rPr>
            </w:pPr>
            <w:r w:rsidRPr="00BE6461">
              <w:rPr>
                <w:b/>
                <w:bCs/>
                <w:sz w:val="20"/>
                <w:szCs w:val="20"/>
              </w:rPr>
              <w:t>105.000,00</w:t>
            </w:r>
          </w:p>
        </w:tc>
        <w:tc>
          <w:tcPr>
            <w:tcW w:w="1500" w:type="dxa"/>
            <w:tcBorders>
              <w:top w:val="nil"/>
              <w:left w:val="nil"/>
              <w:bottom w:val="nil"/>
              <w:right w:val="nil"/>
            </w:tcBorders>
            <w:shd w:val="clear" w:color="auto" w:fill="auto"/>
            <w:noWrap/>
            <w:vAlign w:val="bottom"/>
            <w:hideMark/>
          </w:tcPr>
          <w:p w14:paraId="1821149C" w14:textId="77777777" w:rsidR="00BE6461" w:rsidRPr="00BE6461" w:rsidRDefault="00BE6461" w:rsidP="00BE6461">
            <w:pPr>
              <w:jc w:val="right"/>
              <w:rPr>
                <w:b/>
                <w:bCs/>
                <w:sz w:val="20"/>
                <w:szCs w:val="20"/>
              </w:rPr>
            </w:pPr>
            <w:r w:rsidRPr="00BE6461">
              <w:rPr>
                <w:b/>
                <w:bCs/>
                <w:sz w:val="20"/>
                <w:szCs w:val="20"/>
              </w:rPr>
              <w:t>92.900,00</w:t>
            </w:r>
          </w:p>
        </w:tc>
        <w:tc>
          <w:tcPr>
            <w:tcW w:w="1100" w:type="dxa"/>
            <w:tcBorders>
              <w:top w:val="nil"/>
              <w:left w:val="nil"/>
              <w:bottom w:val="nil"/>
              <w:right w:val="nil"/>
            </w:tcBorders>
            <w:shd w:val="clear" w:color="auto" w:fill="auto"/>
            <w:noWrap/>
            <w:vAlign w:val="bottom"/>
            <w:hideMark/>
          </w:tcPr>
          <w:p w14:paraId="48205B85" w14:textId="77777777" w:rsidR="00BE6461" w:rsidRPr="00BE6461" w:rsidRDefault="00BE6461" w:rsidP="00BE6461">
            <w:pPr>
              <w:jc w:val="right"/>
              <w:rPr>
                <w:b/>
                <w:bCs/>
                <w:sz w:val="20"/>
                <w:szCs w:val="20"/>
              </w:rPr>
            </w:pPr>
            <w:r w:rsidRPr="00BE6461">
              <w:rPr>
                <w:b/>
                <w:bCs/>
                <w:sz w:val="20"/>
                <w:szCs w:val="20"/>
              </w:rPr>
              <w:t>88,48</w:t>
            </w:r>
          </w:p>
        </w:tc>
      </w:tr>
      <w:tr w:rsidR="00BE6461" w:rsidRPr="00BE6461" w14:paraId="1A8C8811" w14:textId="77777777" w:rsidTr="00BE6461">
        <w:trPr>
          <w:trHeight w:val="300"/>
        </w:trPr>
        <w:tc>
          <w:tcPr>
            <w:tcW w:w="1703" w:type="dxa"/>
            <w:tcBorders>
              <w:top w:val="nil"/>
              <w:left w:val="nil"/>
              <w:bottom w:val="nil"/>
              <w:right w:val="nil"/>
            </w:tcBorders>
            <w:shd w:val="clear" w:color="auto" w:fill="auto"/>
            <w:noWrap/>
            <w:vAlign w:val="bottom"/>
            <w:hideMark/>
          </w:tcPr>
          <w:p w14:paraId="3D086DCA" w14:textId="77777777" w:rsidR="00BE6461" w:rsidRPr="00BE6461" w:rsidRDefault="00BE6461" w:rsidP="00BE6461">
            <w:pPr>
              <w:rPr>
                <w:sz w:val="20"/>
                <w:szCs w:val="20"/>
              </w:rPr>
            </w:pPr>
            <w:r w:rsidRPr="00BE6461">
              <w:rPr>
                <w:sz w:val="20"/>
                <w:szCs w:val="20"/>
              </w:rPr>
              <w:t>3234</w:t>
            </w:r>
          </w:p>
        </w:tc>
        <w:tc>
          <w:tcPr>
            <w:tcW w:w="8457" w:type="dxa"/>
            <w:tcBorders>
              <w:top w:val="nil"/>
              <w:left w:val="nil"/>
              <w:bottom w:val="nil"/>
              <w:right w:val="nil"/>
            </w:tcBorders>
            <w:shd w:val="clear" w:color="auto" w:fill="auto"/>
            <w:vAlign w:val="bottom"/>
            <w:hideMark/>
          </w:tcPr>
          <w:p w14:paraId="0768BD78" w14:textId="77777777" w:rsidR="00BE6461" w:rsidRPr="00BE6461" w:rsidRDefault="00BE6461" w:rsidP="00BE6461">
            <w:pPr>
              <w:rPr>
                <w:sz w:val="20"/>
                <w:szCs w:val="20"/>
              </w:rPr>
            </w:pPr>
            <w:r w:rsidRPr="00BE6461">
              <w:rPr>
                <w:sz w:val="20"/>
                <w:szCs w:val="20"/>
              </w:rPr>
              <w:t xml:space="preserve">Komunalne usluge                                                                                    </w:t>
            </w:r>
          </w:p>
        </w:tc>
        <w:tc>
          <w:tcPr>
            <w:tcW w:w="1503" w:type="dxa"/>
            <w:tcBorders>
              <w:top w:val="nil"/>
              <w:left w:val="nil"/>
              <w:bottom w:val="nil"/>
              <w:right w:val="nil"/>
            </w:tcBorders>
            <w:shd w:val="clear" w:color="auto" w:fill="auto"/>
            <w:noWrap/>
            <w:vAlign w:val="bottom"/>
            <w:hideMark/>
          </w:tcPr>
          <w:p w14:paraId="58396B5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DD73AFA" w14:textId="77777777" w:rsidR="00BE6461" w:rsidRPr="00BE6461" w:rsidRDefault="00BE6461" w:rsidP="00BE6461">
            <w:pPr>
              <w:jc w:val="right"/>
              <w:rPr>
                <w:sz w:val="20"/>
                <w:szCs w:val="20"/>
              </w:rPr>
            </w:pPr>
            <w:r w:rsidRPr="00BE6461">
              <w:rPr>
                <w:sz w:val="20"/>
                <w:szCs w:val="20"/>
              </w:rPr>
              <w:t>92.900,00</w:t>
            </w:r>
          </w:p>
        </w:tc>
        <w:tc>
          <w:tcPr>
            <w:tcW w:w="1100" w:type="dxa"/>
            <w:tcBorders>
              <w:top w:val="nil"/>
              <w:left w:val="nil"/>
              <w:bottom w:val="nil"/>
              <w:right w:val="nil"/>
            </w:tcBorders>
            <w:shd w:val="clear" w:color="auto" w:fill="auto"/>
            <w:noWrap/>
            <w:vAlign w:val="bottom"/>
            <w:hideMark/>
          </w:tcPr>
          <w:p w14:paraId="34FE4AE8" w14:textId="77777777" w:rsidR="00BE6461" w:rsidRPr="00BE6461" w:rsidRDefault="00BE6461" w:rsidP="00BE6461">
            <w:pPr>
              <w:jc w:val="right"/>
              <w:rPr>
                <w:sz w:val="20"/>
                <w:szCs w:val="20"/>
              </w:rPr>
            </w:pPr>
          </w:p>
        </w:tc>
      </w:tr>
      <w:tr w:rsidR="00BE6461" w:rsidRPr="00BE6461" w14:paraId="26574BA6"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1C4CA93A" w14:textId="77777777" w:rsidR="00BE6461" w:rsidRPr="00BE6461" w:rsidRDefault="00BE6461" w:rsidP="00BE6461">
            <w:pPr>
              <w:rPr>
                <w:b/>
                <w:bCs/>
                <w:sz w:val="20"/>
                <w:szCs w:val="20"/>
              </w:rPr>
            </w:pPr>
            <w:r w:rsidRPr="00BE6461">
              <w:rPr>
                <w:b/>
                <w:bCs/>
                <w:sz w:val="20"/>
                <w:szCs w:val="20"/>
              </w:rPr>
              <w:lastRenderedPageBreak/>
              <w:t>A200008</w:t>
            </w:r>
          </w:p>
        </w:tc>
        <w:tc>
          <w:tcPr>
            <w:tcW w:w="8457" w:type="dxa"/>
            <w:tcBorders>
              <w:top w:val="single" w:sz="4" w:space="0" w:color="auto"/>
              <w:left w:val="nil"/>
              <w:bottom w:val="single" w:sz="4" w:space="0" w:color="auto"/>
              <w:right w:val="nil"/>
            </w:tcBorders>
            <w:shd w:val="clear" w:color="auto" w:fill="auto"/>
            <w:vAlign w:val="bottom"/>
            <w:hideMark/>
          </w:tcPr>
          <w:p w14:paraId="4404E0A0" w14:textId="77777777" w:rsidR="00BE6461" w:rsidRPr="00BE6461" w:rsidRDefault="00BE6461" w:rsidP="00BE6461">
            <w:pPr>
              <w:rPr>
                <w:b/>
                <w:bCs/>
                <w:sz w:val="20"/>
                <w:szCs w:val="20"/>
              </w:rPr>
            </w:pPr>
            <w:r w:rsidRPr="00BE6461">
              <w:rPr>
                <w:b/>
                <w:bCs/>
                <w:sz w:val="20"/>
                <w:szCs w:val="20"/>
              </w:rPr>
              <w:t>Aktivnost: ODRŽAVANJE GRAĐEVINA JAVNE ODVODNJE OBORINSKIH VODA</w:t>
            </w:r>
          </w:p>
        </w:tc>
        <w:tc>
          <w:tcPr>
            <w:tcW w:w="1503" w:type="dxa"/>
            <w:tcBorders>
              <w:top w:val="single" w:sz="4" w:space="0" w:color="auto"/>
              <w:left w:val="nil"/>
              <w:bottom w:val="single" w:sz="4" w:space="0" w:color="auto"/>
              <w:right w:val="nil"/>
            </w:tcBorders>
            <w:shd w:val="clear" w:color="auto" w:fill="auto"/>
            <w:noWrap/>
            <w:vAlign w:val="bottom"/>
            <w:hideMark/>
          </w:tcPr>
          <w:p w14:paraId="0A2A29B4" w14:textId="77777777" w:rsidR="00BE6461" w:rsidRPr="00BE6461" w:rsidRDefault="00BE6461" w:rsidP="00BE6461">
            <w:pPr>
              <w:jc w:val="right"/>
              <w:rPr>
                <w:b/>
                <w:bCs/>
                <w:sz w:val="20"/>
                <w:szCs w:val="20"/>
              </w:rPr>
            </w:pPr>
            <w:r w:rsidRPr="00BE6461">
              <w:rPr>
                <w:b/>
                <w:bCs/>
                <w:sz w:val="20"/>
                <w:szCs w:val="20"/>
              </w:rPr>
              <w:t>405.610,30</w:t>
            </w:r>
          </w:p>
        </w:tc>
        <w:tc>
          <w:tcPr>
            <w:tcW w:w="1500" w:type="dxa"/>
            <w:tcBorders>
              <w:top w:val="single" w:sz="4" w:space="0" w:color="auto"/>
              <w:left w:val="nil"/>
              <w:bottom w:val="single" w:sz="4" w:space="0" w:color="auto"/>
              <w:right w:val="nil"/>
            </w:tcBorders>
            <w:shd w:val="clear" w:color="auto" w:fill="auto"/>
            <w:noWrap/>
            <w:vAlign w:val="bottom"/>
            <w:hideMark/>
          </w:tcPr>
          <w:p w14:paraId="0E8E8E20" w14:textId="77777777" w:rsidR="00BE6461" w:rsidRPr="00BE6461" w:rsidRDefault="00BE6461" w:rsidP="00BE6461">
            <w:pPr>
              <w:jc w:val="right"/>
              <w:rPr>
                <w:b/>
                <w:bCs/>
                <w:sz w:val="20"/>
                <w:szCs w:val="20"/>
              </w:rPr>
            </w:pPr>
            <w:r w:rsidRPr="00BE6461">
              <w:rPr>
                <w:b/>
                <w:bCs/>
                <w:sz w:val="20"/>
                <w:szCs w:val="20"/>
              </w:rPr>
              <w:t>395.503,45</w:t>
            </w:r>
          </w:p>
        </w:tc>
        <w:tc>
          <w:tcPr>
            <w:tcW w:w="1100" w:type="dxa"/>
            <w:tcBorders>
              <w:top w:val="single" w:sz="4" w:space="0" w:color="auto"/>
              <w:left w:val="nil"/>
              <w:bottom w:val="single" w:sz="4" w:space="0" w:color="auto"/>
              <w:right w:val="nil"/>
            </w:tcBorders>
            <w:shd w:val="clear" w:color="auto" w:fill="auto"/>
            <w:noWrap/>
            <w:vAlign w:val="bottom"/>
            <w:hideMark/>
          </w:tcPr>
          <w:p w14:paraId="0DEF09CA" w14:textId="77777777" w:rsidR="00BE6461" w:rsidRPr="00BE6461" w:rsidRDefault="00BE6461" w:rsidP="00BE6461">
            <w:pPr>
              <w:jc w:val="right"/>
              <w:rPr>
                <w:b/>
                <w:bCs/>
                <w:sz w:val="20"/>
                <w:szCs w:val="20"/>
              </w:rPr>
            </w:pPr>
            <w:r w:rsidRPr="00BE6461">
              <w:rPr>
                <w:b/>
                <w:bCs/>
                <w:sz w:val="20"/>
                <w:szCs w:val="20"/>
              </w:rPr>
              <w:t>97,51</w:t>
            </w:r>
          </w:p>
        </w:tc>
      </w:tr>
      <w:tr w:rsidR="00BE6461" w:rsidRPr="00BE6461" w14:paraId="4CDC4A5A"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DFDDACB"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0EBFA67E" w14:textId="77777777" w:rsidR="00BE6461" w:rsidRPr="00BE6461" w:rsidRDefault="00BE6461" w:rsidP="00BE6461">
            <w:pPr>
              <w:jc w:val="right"/>
              <w:rPr>
                <w:b/>
                <w:bCs/>
                <w:color w:val="333333"/>
                <w:sz w:val="20"/>
                <w:szCs w:val="20"/>
              </w:rPr>
            </w:pPr>
            <w:r w:rsidRPr="00BE6461">
              <w:rPr>
                <w:b/>
                <w:bCs/>
                <w:color w:val="333333"/>
                <w:sz w:val="20"/>
                <w:szCs w:val="20"/>
              </w:rPr>
              <w:t>405.610,30</w:t>
            </w:r>
          </w:p>
        </w:tc>
        <w:tc>
          <w:tcPr>
            <w:tcW w:w="1500" w:type="dxa"/>
            <w:tcBorders>
              <w:top w:val="nil"/>
              <w:left w:val="nil"/>
              <w:bottom w:val="nil"/>
              <w:right w:val="nil"/>
            </w:tcBorders>
            <w:shd w:val="clear" w:color="auto" w:fill="auto"/>
            <w:noWrap/>
            <w:vAlign w:val="bottom"/>
            <w:hideMark/>
          </w:tcPr>
          <w:p w14:paraId="6962F647" w14:textId="77777777" w:rsidR="00BE6461" w:rsidRPr="00BE6461" w:rsidRDefault="00BE6461" w:rsidP="00BE6461">
            <w:pPr>
              <w:jc w:val="right"/>
              <w:rPr>
                <w:b/>
                <w:bCs/>
                <w:color w:val="333333"/>
                <w:sz w:val="20"/>
                <w:szCs w:val="20"/>
              </w:rPr>
            </w:pPr>
            <w:r w:rsidRPr="00BE6461">
              <w:rPr>
                <w:b/>
                <w:bCs/>
                <w:color w:val="333333"/>
                <w:sz w:val="20"/>
                <w:szCs w:val="20"/>
              </w:rPr>
              <w:t>395.503,45</w:t>
            </w:r>
          </w:p>
        </w:tc>
        <w:tc>
          <w:tcPr>
            <w:tcW w:w="1100" w:type="dxa"/>
            <w:tcBorders>
              <w:top w:val="nil"/>
              <w:left w:val="nil"/>
              <w:bottom w:val="nil"/>
              <w:right w:val="nil"/>
            </w:tcBorders>
            <w:shd w:val="clear" w:color="auto" w:fill="auto"/>
            <w:noWrap/>
            <w:vAlign w:val="bottom"/>
            <w:hideMark/>
          </w:tcPr>
          <w:p w14:paraId="148EFF13" w14:textId="77777777" w:rsidR="00BE6461" w:rsidRPr="00BE6461" w:rsidRDefault="00BE6461" w:rsidP="00BE6461">
            <w:pPr>
              <w:jc w:val="right"/>
              <w:rPr>
                <w:b/>
                <w:bCs/>
                <w:color w:val="333333"/>
                <w:sz w:val="20"/>
                <w:szCs w:val="20"/>
              </w:rPr>
            </w:pPr>
            <w:r w:rsidRPr="00BE6461">
              <w:rPr>
                <w:b/>
                <w:bCs/>
                <w:color w:val="333333"/>
                <w:sz w:val="20"/>
                <w:szCs w:val="20"/>
              </w:rPr>
              <w:t>97,51</w:t>
            </w:r>
          </w:p>
        </w:tc>
      </w:tr>
      <w:tr w:rsidR="00BE6461" w:rsidRPr="00BE6461" w14:paraId="5CBB241F"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A1D3F5A" w14:textId="77777777" w:rsidR="00BE6461" w:rsidRPr="00BE6461" w:rsidRDefault="00BE6461" w:rsidP="00BE6461">
            <w:pPr>
              <w:rPr>
                <w:b/>
                <w:bCs/>
                <w:color w:val="333333"/>
                <w:sz w:val="20"/>
                <w:szCs w:val="20"/>
              </w:rPr>
            </w:pPr>
            <w:r w:rsidRPr="00BE6461">
              <w:rPr>
                <w:b/>
                <w:bCs/>
                <w:color w:val="333333"/>
                <w:sz w:val="20"/>
                <w:szCs w:val="20"/>
              </w:rPr>
              <w:t>Izvor 4.1. PRIHODI POSEBNE NAMJENE - KOMUNALNA NAKNADA</w:t>
            </w:r>
          </w:p>
        </w:tc>
        <w:tc>
          <w:tcPr>
            <w:tcW w:w="1503" w:type="dxa"/>
            <w:tcBorders>
              <w:top w:val="nil"/>
              <w:left w:val="nil"/>
              <w:bottom w:val="nil"/>
              <w:right w:val="nil"/>
            </w:tcBorders>
            <w:shd w:val="clear" w:color="auto" w:fill="auto"/>
            <w:noWrap/>
            <w:vAlign w:val="bottom"/>
            <w:hideMark/>
          </w:tcPr>
          <w:p w14:paraId="0F1445AD" w14:textId="77777777" w:rsidR="00BE6461" w:rsidRPr="00BE6461" w:rsidRDefault="00BE6461" w:rsidP="00BE6461">
            <w:pPr>
              <w:jc w:val="right"/>
              <w:rPr>
                <w:b/>
                <w:bCs/>
                <w:color w:val="333333"/>
                <w:sz w:val="20"/>
                <w:szCs w:val="20"/>
              </w:rPr>
            </w:pPr>
            <w:r w:rsidRPr="00BE6461">
              <w:rPr>
                <w:b/>
                <w:bCs/>
                <w:color w:val="333333"/>
                <w:sz w:val="20"/>
                <w:szCs w:val="20"/>
              </w:rPr>
              <w:t>405.610,30</w:t>
            </w:r>
          </w:p>
        </w:tc>
        <w:tc>
          <w:tcPr>
            <w:tcW w:w="1500" w:type="dxa"/>
            <w:tcBorders>
              <w:top w:val="nil"/>
              <w:left w:val="nil"/>
              <w:bottom w:val="nil"/>
              <w:right w:val="nil"/>
            </w:tcBorders>
            <w:shd w:val="clear" w:color="auto" w:fill="auto"/>
            <w:noWrap/>
            <w:vAlign w:val="bottom"/>
            <w:hideMark/>
          </w:tcPr>
          <w:p w14:paraId="17C1B97E" w14:textId="77777777" w:rsidR="00BE6461" w:rsidRPr="00BE6461" w:rsidRDefault="00BE6461" w:rsidP="00BE6461">
            <w:pPr>
              <w:jc w:val="right"/>
              <w:rPr>
                <w:b/>
                <w:bCs/>
                <w:color w:val="333333"/>
                <w:sz w:val="20"/>
                <w:szCs w:val="20"/>
              </w:rPr>
            </w:pPr>
            <w:r w:rsidRPr="00BE6461">
              <w:rPr>
                <w:b/>
                <w:bCs/>
                <w:color w:val="333333"/>
                <w:sz w:val="20"/>
                <w:szCs w:val="20"/>
              </w:rPr>
              <w:t>395.503,45</w:t>
            </w:r>
          </w:p>
        </w:tc>
        <w:tc>
          <w:tcPr>
            <w:tcW w:w="1100" w:type="dxa"/>
            <w:tcBorders>
              <w:top w:val="nil"/>
              <w:left w:val="nil"/>
              <w:bottom w:val="nil"/>
              <w:right w:val="nil"/>
            </w:tcBorders>
            <w:shd w:val="clear" w:color="auto" w:fill="auto"/>
            <w:noWrap/>
            <w:vAlign w:val="bottom"/>
            <w:hideMark/>
          </w:tcPr>
          <w:p w14:paraId="7DF5E0B9" w14:textId="77777777" w:rsidR="00BE6461" w:rsidRPr="00BE6461" w:rsidRDefault="00BE6461" w:rsidP="00BE6461">
            <w:pPr>
              <w:jc w:val="right"/>
              <w:rPr>
                <w:b/>
                <w:bCs/>
                <w:color w:val="333333"/>
                <w:sz w:val="20"/>
                <w:szCs w:val="20"/>
              </w:rPr>
            </w:pPr>
            <w:r w:rsidRPr="00BE6461">
              <w:rPr>
                <w:b/>
                <w:bCs/>
                <w:color w:val="333333"/>
                <w:sz w:val="20"/>
                <w:szCs w:val="20"/>
              </w:rPr>
              <w:t>97,51</w:t>
            </w:r>
          </w:p>
        </w:tc>
      </w:tr>
      <w:tr w:rsidR="00BE6461" w:rsidRPr="00BE6461" w14:paraId="6FAEAF66" w14:textId="77777777" w:rsidTr="00BE6461">
        <w:trPr>
          <w:trHeight w:val="300"/>
        </w:trPr>
        <w:tc>
          <w:tcPr>
            <w:tcW w:w="1703" w:type="dxa"/>
            <w:tcBorders>
              <w:top w:val="nil"/>
              <w:left w:val="nil"/>
              <w:bottom w:val="nil"/>
              <w:right w:val="nil"/>
            </w:tcBorders>
            <w:shd w:val="clear" w:color="auto" w:fill="auto"/>
            <w:noWrap/>
            <w:vAlign w:val="bottom"/>
            <w:hideMark/>
          </w:tcPr>
          <w:p w14:paraId="1265B07A"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622FEB6B"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6367636D" w14:textId="77777777" w:rsidR="00BE6461" w:rsidRPr="00BE6461" w:rsidRDefault="00BE6461" w:rsidP="00BE6461">
            <w:pPr>
              <w:jc w:val="right"/>
              <w:rPr>
                <w:b/>
                <w:bCs/>
                <w:sz w:val="20"/>
                <w:szCs w:val="20"/>
              </w:rPr>
            </w:pPr>
            <w:r w:rsidRPr="00BE6461">
              <w:rPr>
                <w:b/>
                <w:bCs/>
                <w:sz w:val="20"/>
                <w:szCs w:val="20"/>
              </w:rPr>
              <w:t>405.610,30</w:t>
            </w:r>
          </w:p>
        </w:tc>
        <w:tc>
          <w:tcPr>
            <w:tcW w:w="1500" w:type="dxa"/>
            <w:tcBorders>
              <w:top w:val="nil"/>
              <w:left w:val="nil"/>
              <w:bottom w:val="nil"/>
              <w:right w:val="nil"/>
            </w:tcBorders>
            <w:shd w:val="clear" w:color="auto" w:fill="auto"/>
            <w:noWrap/>
            <w:vAlign w:val="bottom"/>
            <w:hideMark/>
          </w:tcPr>
          <w:p w14:paraId="105E3A98" w14:textId="77777777" w:rsidR="00BE6461" w:rsidRPr="00BE6461" w:rsidRDefault="00BE6461" w:rsidP="00BE6461">
            <w:pPr>
              <w:jc w:val="right"/>
              <w:rPr>
                <w:b/>
                <w:bCs/>
                <w:sz w:val="20"/>
                <w:szCs w:val="20"/>
              </w:rPr>
            </w:pPr>
            <w:r w:rsidRPr="00BE6461">
              <w:rPr>
                <w:b/>
                <w:bCs/>
                <w:sz w:val="20"/>
                <w:szCs w:val="20"/>
              </w:rPr>
              <w:t>395.503,45</w:t>
            </w:r>
          </w:p>
        </w:tc>
        <w:tc>
          <w:tcPr>
            <w:tcW w:w="1100" w:type="dxa"/>
            <w:tcBorders>
              <w:top w:val="nil"/>
              <w:left w:val="nil"/>
              <w:bottom w:val="nil"/>
              <w:right w:val="nil"/>
            </w:tcBorders>
            <w:shd w:val="clear" w:color="auto" w:fill="auto"/>
            <w:noWrap/>
            <w:vAlign w:val="bottom"/>
            <w:hideMark/>
          </w:tcPr>
          <w:p w14:paraId="09FAA593" w14:textId="77777777" w:rsidR="00BE6461" w:rsidRPr="00BE6461" w:rsidRDefault="00BE6461" w:rsidP="00BE6461">
            <w:pPr>
              <w:jc w:val="right"/>
              <w:rPr>
                <w:b/>
                <w:bCs/>
                <w:sz w:val="20"/>
                <w:szCs w:val="20"/>
              </w:rPr>
            </w:pPr>
            <w:r w:rsidRPr="00BE6461">
              <w:rPr>
                <w:b/>
                <w:bCs/>
                <w:sz w:val="20"/>
                <w:szCs w:val="20"/>
              </w:rPr>
              <w:t>97,51</w:t>
            </w:r>
          </w:p>
        </w:tc>
      </w:tr>
      <w:tr w:rsidR="00BE6461" w:rsidRPr="00BE6461" w14:paraId="36DDBFD9" w14:textId="77777777" w:rsidTr="00BE6461">
        <w:trPr>
          <w:trHeight w:val="300"/>
        </w:trPr>
        <w:tc>
          <w:tcPr>
            <w:tcW w:w="1703" w:type="dxa"/>
            <w:tcBorders>
              <w:top w:val="nil"/>
              <w:left w:val="nil"/>
              <w:bottom w:val="nil"/>
              <w:right w:val="nil"/>
            </w:tcBorders>
            <w:shd w:val="clear" w:color="auto" w:fill="auto"/>
            <w:noWrap/>
            <w:vAlign w:val="bottom"/>
            <w:hideMark/>
          </w:tcPr>
          <w:p w14:paraId="1B8BC256" w14:textId="77777777" w:rsidR="00BE6461" w:rsidRPr="00BE6461" w:rsidRDefault="00BE6461" w:rsidP="00BE6461">
            <w:pPr>
              <w:rPr>
                <w:sz w:val="20"/>
                <w:szCs w:val="20"/>
              </w:rPr>
            </w:pPr>
            <w:r w:rsidRPr="00BE6461">
              <w:rPr>
                <w:sz w:val="20"/>
                <w:szCs w:val="20"/>
              </w:rPr>
              <w:t>3232</w:t>
            </w:r>
          </w:p>
        </w:tc>
        <w:tc>
          <w:tcPr>
            <w:tcW w:w="8457" w:type="dxa"/>
            <w:tcBorders>
              <w:top w:val="nil"/>
              <w:left w:val="nil"/>
              <w:bottom w:val="nil"/>
              <w:right w:val="nil"/>
            </w:tcBorders>
            <w:shd w:val="clear" w:color="auto" w:fill="auto"/>
            <w:vAlign w:val="bottom"/>
            <w:hideMark/>
          </w:tcPr>
          <w:p w14:paraId="5BAB0E78" w14:textId="77777777" w:rsidR="00BE6461" w:rsidRPr="00BE6461" w:rsidRDefault="00BE6461" w:rsidP="00BE6461">
            <w:pPr>
              <w:rPr>
                <w:sz w:val="20"/>
                <w:szCs w:val="20"/>
              </w:rPr>
            </w:pPr>
            <w:r w:rsidRPr="00BE6461">
              <w:rPr>
                <w:sz w:val="20"/>
                <w:szCs w:val="20"/>
              </w:rPr>
              <w:t xml:space="preserve">Usluge tekućeg i investicijskog održavanja                                                          </w:t>
            </w:r>
          </w:p>
        </w:tc>
        <w:tc>
          <w:tcPr>
            <w:tcW w:w="1503" w:type="dxa"/>
            <w:tcBorders>
              <w:top w:val="nil"/>
              <w:left w:val="nil"/>
              <w:bottom w:val="nil"/>
              <w:right w:val="nil"/>
            </w:tcBorders>
            <w:shd w:val="clear" w:color="auto" w:fill="auto"/>
            <w:noWrap/>
            <w:vAlign w:val="bottom"/>
            <w:hideMark/>
          </w:tcPr>
          <w:p w14:paraId="4C56F865"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F841C9F" w14:textId="77777777" w:rsidR="00BE6461" w:rsidRPr="00BE6461" w:rsidRDefault="00BE6461" w:rsidP="00BE6461">
            <w:pPr>
              <w:jc w:val="right"/>
              <w:rPr>
                <w:sz w:val="20"/>
                <w:szCs w:val="20"/>
              </w:rPr>
            </w:pPr>
            <w:r w:rsidRPr="00BE6461">
              <w:rPr>
                <w:sz w:val="20"/>
                <w:szCs w:val="20"/>
              </w:rPr>
              <w:t>395.503,45</w:t>
            </w:r>
          </w:p>
        </w:tc>
        <w:tc>
          <w:tcPr>
            <w:tcW w:w="1100" w:type="dxa"/>
            <w:tcBorders>
              <w:top w:val="nil"/>
              <w:left w:val="nil"/>
              <w:bottom w:val="nil"/>
              <w:right w:val="nil"/>
            </w:tcBorders>
            <w:shd w:val="clear" w:color="auto" w:fill="auto"/>
            <w:noWrap/>
            <w:vAlign w:val="bottom"/>
            <w:hideMark/>
          </w:tcPr>
          <w:p w14:paraId="4A4AE91C" w14:textId="77777777" w:rsidR="00BE6461" w:rsidRPr="00BE6461" w:rsidRDefault="00BE6461" w:rsidP="00BE6461">
            <w:pPr>
              <w:jc w:val="right"/>
              <w:rPr>
                <w:sz w:val="20"/>
                <w:szCs w:val="20"/>
              </w:rPr>
            </w:pPr>
          </w:p>
        </w:tc>
      </w:tr>
      <w:tr w:rsidR="00BE6461" w:rsidRPr="00BE6461" w14:paraId="395B977E"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7415B827" w14:textId="77777777" w:rsidR="00BE6461" w:rsidRPr="00BE6461" w:rsidRDefault="00BE6461" w:rsidP="00BE6461">
            <w:pPr>
              <w:rPr>
                <w:b/>
                <w:bCs/>
                <w:sz w:val="20"/>
                <w:szCs w:val="20"/>
              </w:rPr>
            </w:pPr>
            <w:r w:rsidRPr="00BE6461">
              <w:rPr>
                <w:b/>
                <w:bCs/>
                <w:sz w:val="20"/>
                <w:szCs w:val="20"/>
              </w:rPr>
              <w:t>A200009</w:t>
            </w:r>
          </w:p>
        </w:tc>
        <w:tc>
          <w:tcPr>
            <w:tcW w:w="8457" w:type="dxa"/>
            <w:tcBorders>
              <w:top w:val="single" w:sz="4" w:space="0" w:color="auto"/>
              <w:left w:val="nil"/>
              <w:bottom w:val="single" w:sz="4" w:space="0" w:color="auto"/>
              <w:right w:val="nil"/>
            </w:tcBorders>
            <w:shd w:val="clear" w:color="auto" w:fill="auto"/>
            <w:vAlign w:val="bottom"/>
            <w:hideMark/>
          </w:tcPr>
          <w:p w14:paraId="0046A596" w14:textId="77777777" w:rsidR="00BE6461" w:rsidRPr="00BE6461" w:rsidRDefault="00BE6461" w:rsidP="00BE6461">
            <w:pPr>
              <w:rPr>
                <w:b/>
                <w:bCs/>
                <w:sz w:val="20"/>
                <w:szCs w:val="20"/>
              </w:rPr>
            </w:pPr>
            <w:r w:rsidRPr="00BE6461">
              <w:rPr>
                <w:b/>
                <w:bCs/>
                <w:sz w:val="20"/>
                <w:szCs w:val="20"/>
              </w:rPr>
              <w:t>Aktivnost: JAVNE ZELENE POVRŠINE</w:t>
            </w:r>
          </w:p>
        </w:tc>
        <w:tc>
          <w:tcPr>
            <w:tcW w:w="1503" w:type="dxa"/>
            <w:tcBorders>
              <w:top w:val="single" w:sz="4" w:space="0" w:color="auto"/>
              <w:left w:val="nil"/>
              <w:bottom w:val="single" w:sz="4" w:space="0" w:color="auto"/>
              <w:right w:val="nil"/>
            </w:tcBorders>
            <w:shd w:val="clear" w:color="auto" w:fill="auto"/>
            <w:noWrap/>
            <w:vAlign w:val="bottom"/>
            <w:hideMark/>
          </w:tcPr>
          <w:p w14:paraId="314B10E2" w14:textId="77777777" w:rsidR="00BE6461" w:rsidRPr="00BE6461" w:rsidRDefault="00BE6461" w:rsidP="00BE6461">
            <w:pPr>
              <w:jc w:val="right"/>
              <w:rPr>
                <w:b/>
                <w:bCs/>
                <w:sz w:val="20"/>
                <w:szCs w:val="20"/>
              </w:rPr>
            </w:pPr>
            <w:r w:rsidRPr="00BE6461">
              <w:rPr>
                <w:b/>
                <w:bCs/>
                <w:sz w:val="20"/>
                <w:szCs w:val="20"/>
              </w:rPr>
              <w:t>2.141.958,31</w:t>
            </w:r>
          </w:p>
        </w:tc>
        <w:tc>
          <w:tcPr>
            <w:tcW w:w="1500" w:type="dxa"/>
            <w:tcBorders>
              <w:top w:val="single" w:sz="4" w:space="0" w:color="auto"/>
              <w:left w:val="nil"/>
              <w:bottom w:val="single" w:sz="4" w:space="0" w:color="auto"/>
              <w:right w:val="nil"/>
            </w:tcBorders>
            <w:shd w:val="clear" w:color="auto" w:fill="auto"/>
            <w:noWrap/>
            <w:vAlign w:val="bottom"/>
            <w:hideMark/>
          </w:tcPr>
          <w:p w14:paraId="27D37A15" w14:textId="77777777" w:rsidR="00BE6461" w:rsidRPr="00BE6461" w:rsidRDefault="00BE6461" w:rsidP="00BE6461">
            <w:pPr>
              <w:jc w:val="right"/>
              <w:rPr>
                <w:b/>
                <w:bCs/>
                <w:sz w:val="20"/>
                <w:szCs w:val="20"/>
              </w:rPr>
            </w:pPr>
            <w:r w:rsidRPr="00BE6461">
              <w:rPr>
                <w:b/>
                <w:bCs/>
                <w:sz w:val="20"/>
                <w:szCs w:val="20"/>
              </w:rPr>
              <w:t>2.081.868,84</w:t>
            </w:r>
          </w:p>
        </w:tc>
        <w:tc>
          <w:tcPr>
            <w:tcW w:w="1100" w:type="dxa"/>
            <w:tcBorders>
              <w:top w:val="single" w:sz="4" w:space="0" w:color="auto"/>
              <w:left w:val="nil"/>
              <w:bottom w:val="single" w:sz="4" w:space="0" w:color="auto"/>
              <w:right w:val="nil"/>
            </w:tcBorders>
            <w:shd w:val="clear" w:color="auto" w:fill="auto"/>
            <w:noWrap/>
            <w:vAlign w:val="bottom"/>
            <w:hideMark/>
          </w:tcPr>
          <w:p w14:paraId="76FF4088" w14:textId="77777777" w:rsidR="00BE6461" w:rsidRPr="00BE6461" w:rsidRDefault="00BE6461" w:rsidP="00BE6461">
            <w:pPr>
              <w:jc w:val="right"/>
              <w:rPr>
                <w:b/>
                <w:bCs/>
                <w:sz w:val="20"/>
                <w:szCs w:val="20"/>
              </w:rPr>
            </w:pPr>
            <w:r w:rsidRPr="00BE6461">
              <w:rPr>
                <w:b/>
                <w:bCs/>
                <w:sz w:val="20"/>
                <w:szCs w:val="20"/>
              </w:rPr>
              <w:t>97,19</w:t>
            </w:r>
          </w:p>
        </w:tc>
      </w:tr>
      <w:tr w:rsidR="00BE6461" w:rsidRPr="00BE6461" w14:paraId="07FCB9EE"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9CFA0CE"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7D58C51E" w14:textId="77777777" w:rsidR="00BE6461" w:rsidRPr="00BE6461" w:rsidRDefault="00BE6461" w:rsidP="00BE6461">
            <w:pPr>
              <w:jc w:val="right"/>
              <w:rPr>
                <w:b/>
                <w:bCs/>
                <w:color w:val="333333"/>
                <w:sz w:val="20"/>
                <w:szCs w:val="20"/>
              </w:rPr>
            </w:pPr>
            <w:r w:rsidRPr="00BE6461">
              <w:rPr>
                <w:b/>
                <w:bCs/>
                <w:color w:val="333333"/>
                <w:sz w:val="20"/>
                <w:szCs w:val="20"/>
              </w:rPr>
              <w:t>2.141.958,31</w:t>
            </w:r>
          </w:p>
        </w:tc>
        <w:tc>
          <w:tcPr>
            <w:tcW w:w="1500" w:type="dxa"/>
            <w:tcBorders>
              <w:top w:val="nil"/>
              <w:left w:val="nil"/>
              <w:bottom w:val="nil"/>
              <w:right w:val="nil"/>
            </w:tcBorders>
            <w:shd w:val="clear" w:color="auto" w:fill="auto"/>
            <w:noWrap/>
            <w:vAlign w:val="bottom"/>
            <w:hideMark/>
          </w:tcPr>
          <w:p w14:paraId="518EF846" w14:textId="77777777" w:rsidR="00BE6461" w:rsidRPr="00BE6461" w:rsidRDefault="00BE6461" w:rsidP="00BE6461">
            <w:pPr>
              <w:jc w:val="right"/>
              <w:rPr>
                <w:b/>
                <w:bCs/>
                <w:color w:val="333333"/>
                <w:sz w:val="20"/>
                <w:szCs w:val="20"/>
              </w:rPr>
            </w:pPr>
            <w:r w:rsidRPr="00BE6461">
              <w:rPr>
                <w:b/>
                <w:bCs/>
                <w:color w:val="333333"/>
                <w:sz w:val="20"/>
                <w:szCs w:val="20"/>
              </w:rPr>
              <w:t>2.081.868,84</w:t>
            </w:r>
          </w:p>
        </w:tc>
        <w:tc>
          <w:tcPr>
            <w:tcW w:w="1100" w:type="dxa"/>
            <w:tcBorders>
              <w:top w:val="nil"/>
              <w:left w:val="nil"/>
              <w:bottom w:val="nil"/>
              <w:right w:val="nil"/>
            </w:tcBorders>
            <w:shd w:val="clear" w:color="auto" w:fill="auto"/>
            <w:noWrap/>
            <w:vAlign w:val="bottom"/>
            <w:hideMark/>
          </w:tcPr>
          <w:p w14:paraId="74D77051" w14:textId="77777777" w:rsidR="00BE6461" w:rsidRPr="00BE6461" w:rsidRDefault="00BE6461" w:rsidP="00BE6461">
            <w:pPr>
              <w:jc w:val="right"/>
              <w:rPr>
                <w:b/>
                <w:bCs/>
                <w:color w:val="333333"/>
                <w:sz w:val="20"/>
                <w:szCs w:val="20"/>
              </w:rPr>
            </w:pPr>
            <w:r w:rsidRPr="00BE6461">
              <w:rPr>
                <w:b/>
                <w:bCs/>
                <w:color w:val="333333"/>
                <w:sz w:val="20"/>
                <w:szCs w:val="20"/>
              </w:rPr>
              <w:t>97,19</w:t>
            </w:r>
          </w:p>
        </w:tc>
      </w:tr>
      <w:tr w:rsidR="00BE6461" w:rsidRPr="00BE6461" w14:paraId="2540782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575A586" w14:textId="77777777" w:rsidR="00BE6461" w:rsidRPr="00BE6461" w:rsidRDefault="00BE6461" w:rsidP="00BE6461">
            <w:pPr>
              <w:rPr>
                <w:b/>
                <w:bCs/>
                <w:color w:val="333333"/>
                <w:sz w:val="20"/>
                <w:szCs w:val="20"/>
              </w:rPr>
            </w:pPr>
            <w:r w:rsidRPr="00BE6461">
              <w:rPr>
                <w:b/>
                <w:bCs/>
                <w:color w:val="333333"/>
                <w:sz w:val="20"/>
                <w:szCs w:val="20"/>
              </w:rPr>
              <w:t>Izvor 4.1. PRIHODI POSEBNE NAMJENE - KOMUNALNA NAKNADA</w:t>
            </w:r>
          </w:p>
        </w:tc>
        <w:tc>
          <w:tcPr>
            <w:tcW w:w="1503" w:type="dxa"/>
            <w:tcBorders>
              <w:top w:val="nil"/>
              <w:left w:val="nil"/>
              <w:bottom w:val="nil"/>
              <w:right w:val="nil"/>
            </w:tcBorders>
            <w:shd w:val="clear" w:color="auto" w:fill="auto"/>
            <w:noWrap/>
            <w:vAlign w:val="bottom"/>
            <w:hideMark/>
          </w:tcPr>
          <w:p w14:paraId="0D5BB2CA" w14:textId="77777777" w:rsidR="00BE6461" w:rsidRPr="00BE6461" w:rsidRDefault="00BE6461" w:rsidP="00BE6461">
            <w:pPr>
              <w:jc w:val="right"/>
              <w:rPr>
                <w:b/>
                <w:bCs/>
                <w:color w:val="333333"/>
                <w:sz w:val="20"/>
                <w:szCs w:val="20"/>
              </w:rPr>
            </w:pPr>
            <w:r w:rsidRPr="00BE6461">
              <w:rPr>
                <w:b/>
                <w:bCs/>
                <w:color w:val="333333"/>
                <w:sz w:val="20"/>
                <w:szCs w:val="20"/>
              </w:rPr>
              <w:t>2.051.958,31</w:t>
            </w:r>
          </w:p>
        </w:tc>
        <w:tc>
          <w:tcPr>
            <w:tcW w:w="1500" w:type="dxa"/>
            <w:tcBorders>
              <w:top w:val="nil"/>
              <w:left w:val="nil"/>
              <w:bottom w:val="nil"/>
              <w:right w:val="nil"/>
            </w:tcBorders>
            <w:shd w:val="clear" w:color="auto" w:fill="auto"/>
            <w:noWrap/>
            <w:vAlign w:val="bottom"/>
            <w:hideMark/>
          </w:tcPr>
          <w:p w14:paraId="11E6B033" w14:textId="77777777" w:rsidR="00BE6461" w:rsidRPr="00BE6461" w:rsidRDefault="00BE6461" w:rsidP="00BE6461">
            <w:pPr>
              <w:jc w:val="right"/>
              <w:rPr>
                <w:b/>
                <w:bCs/>
                <w:color w:val="333333"/>
                <w:sz w:val="20"/>
                <w:szCs w:val="20"/>
              </w:rPr>
            </w:pPr>
            <w:r w:rsidRPr="00BE6461">
              <w:rPr>
                <w:b/>
                <w:bCs/>
                <w:color w:val="333333"/>
                <w:sz w:val="20"/>
                <w:szCs w:val="20"/>
              </w:rPr>
              <w:t>1.991.537,59</w:t>
            </w:r>
          </w:p>
        </w:tc>
        <w:tc>
          <w:tcPr>
            <w:tcW w:w="1100" w:type="dxa"/>
            <w:tcBorders>
              <w:top w:val="nil"/>
              <w:left w:val="nil"/>
              <w:bottom w:val="nil"/>
              <w:right w:val="nil"/>
            </w:tcBorders>
            <w:shd w:val="clear" w:color="auto" w:fill="auto"/>
            <w:noWrap/>
            <w:vAlign w:val="bottom"/>
            <w:hideMark/>
          </w:tcPr>
          <w:p w14:paraId="5A024C93" w14:textId="77777777" w:rsidR="00BE6461" w:rsidRPr="00BE6461" w:rsidRDefault="00BE6461" w:rsidP="00BE6461">
            <w:pPr>
              <w:jc w:val="right"/>
              <w:rPr>
                <w:b/>
                <w:bCs/>
                <w:color w:val="333333"/>
                <w:sz w:val="20"/>
                <w:szCs w:val="20"/>
              </w:rPr>
            </w:pPr>
            <w:r w:rsidRPr="00BE6461">
              <w:rPr>
                <w:b/>
                <w:bCs/>
                <w:color w:val="333333"/>
                <w:sz w:val="20"/>
                <w:szCs w:val="20"/>
              </w:rPr>
              <w:t>97,06</w:t>
            </w:r>
          </w:p>
        </w:tc>
      </w:tr>
      <w:tr w:rsidR="00BE6461" w:rsidRPr="00BE6461" w14:paraId="7C9498CB" w14:textId="77777777" w:rsidTr="00BE6461">
        <w:trPr>
          <w:trHeight w:val="300"/>
        </w:trPr>
        <w:tc>
          <w:tcPr>
            <w:tcW w:w="1703" w:type="dxa"/>
            <w:tcBorders>
              <w:top w:val="nil"/>
              <w:left w:val="nil"/>
              <w:bottom w:val="nil"/>
              <w:right w:val="nil"/>
            </w:tcBorders>
            <w:shd w:val="clear" w:color="auto" w:fill="auto"/>
            <w:noWrap/>
            <w:vAlign w:val="bottom"/>
            <w:hideMark/>
          </w:tcPr>
          <w:p w14:paraId="354E0DFE"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0E7B87FE"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341CD006" w14:textId="77777777" w:rsidR="00BE6461" w:rsidRPr="00BE6461" w:rsidRDefault="00BE6461" w:rsidP="00BE6461">
            <w:pPr>
              <w:jc w:val="right"/>
              <w:rPr>
                <w:b/>
                <w:bCs/>
                <w:sz w:val="20"/>
                <w:szCs w:val="20"/>
              </w:rPr>
            </w:pPr>
            <w:r w:rsidRPr="00BE6461">
              <w:rPr>
                <w:b/>
                <w:bCs/>
                <w:sz w:val="20"/>
                <w:szCs w:val="20"/>
              </w:rPr>
              <w:t>2.051.958,31</w:t>
            </w:r>
          </w:p>
        </w:tc>
        <w:tc>
          <w:tcPr>
            <w:tcW w:w="1500" w:type="dxa"/>
            <w:tcBorders>
              <w:top w:val="nil"/>
              <w:left w:val="nil"/>
              <w:bottom w:val="nil"/>
              <w:right w:val="nil"/>
            </w:tcBorders>
            <w:shd w:val="clear" w:color="auto" w:fill="auto"/>
            <w:noWrap/>
            <w:vAlign w:val="bottom"/>
            <w:hideMark/>
          </w:tcPr>
          <w:p w14:paraId="50654B39" w14:textId="77777777" w:rsidR="00BE6461" w:rsidRPr="00BE6461" w:rsidRDefault="00BE6461" w:rsidP="00BE6461">
            <w:pPr>
              <w:jc w:val="right"/>
              <w:rPr>
                <w:b/>
                <w:bCs/>
                <w:sz w:val="20"/>
                <w:szCs w:val="20"/>
              </w:rPr>
            </w:pPr>
            <w:r w:rsidRPr="00BE6461">
              <w:rPr>
                <w:b/>
                <w:bCs/>
                <w:sz w:val="20"/>
                <w:szCs w:val="20"/>
              </w:rPr>
              <w:t>1.991.537,59</w:t>
            </w:r>
          </w:p>
        </w:tc>
        <w:tc>
          <w:tcPr>
            <w:tcW w:w="1100" w:type="dxa"/>
            <w:tcBorders>
              <w:top w:val="nil"/>
              <w:left w:val="nil"/>
              <w:bottom w:val="nil"/>
              <w:right w:val="nil"/>
            </w:tcBorders>
            <w:shd w:val="clear" w:color="auto" w:fill="auto"/>
            <w:noWrap/>
            <w:vAlign w:val="bottom"/>
            <w:hideMark/>
          </w:tcPr>
          <w:p w14:paraId="5903A9C4" w14:textId="77777777" w:rsidR="00BE6461" w:rsidRPr="00BE6461" w:rsidRDefault="00BE6461" w:rsidP="00BE6461">
            <w:pPr>
              <w:jc w:val="right"/>
              <w:rPr>
                <w:b/>
                <w:bCs/>
                <w:sz w:val="20"/>
                <w:szCs w:val="20"/>
              </w:rPr>
            </w:pPr>
            <w:r w:rsidRPr="00BE6461">
              <w:rPr>
                <w:b/>
                <w:bCs/>
                <w:sz w:val="20"/>
                <w:szCs w:val="20"/>
              </w:rPr>
              <w:t>97,06</w:t>
            </w:r>
          </w:p>
        </w:tc>
      </w:tr>
      <w:tr w:rsidR="00BE6461" w:rsidRPr="00BE6461" w14:paraId="52162CB6" w14:textId="77777777" w:rsidTr="00BE6461">
        <w:trPr>
          <w:trHeight w:val="300"/>
        </w:trPr>
        <w:tc>
          <w:tcPr>
            <w:tcW w:w="1703" w:type="dxa"/>
            <w:tcBorders>
              <w:top w:val="nil"/>
              <w:left w:val="nil"/>
              <w:bottom w:val="nil"/>
              <w:right w:val="nil"/>
            </w:tcBorders>
            <w:shd w:val="clear" w:color="auto" w:fill="auto"/>
            <w:noWrap/>
            <w:vAlign w:val="bottom"/>
            <w:hideMark/>
          </w:tcPr>
          <w:p w14:paraId="6BB6A6B8" w14:textId="77777777" w:rsidR="00BE6461" w:rsidRPr="00BE6461" w:rsidRDefault="00BE6461" w:rsidP="00BE6461">
            <w:pPr>
              <w:rPr>
                <w:sz w:val="20"/>
                <w:szCs w:val="20"/>
              </w:rPr>
            </w:pPr>
            <w:r w:rsidRPr="00BE6461">
              <w:rPr>
                <w:sz w:val="20"/>
                <w:szCs w:val="20"/>
              </w:rPr>
              <w:t>3232</w:t>
            </w:r>
          </w:p>
        </w:tc>
        <w:tc>
          <w:tcPr>
            <w:tcW w:w="8457" w:type="dxa"/>
            <w:tcBorders>
              <w:top w:val="nil"/>
              <w:left w:val="nil"/>
              <w:bottom w:val="nil"/>
              <w:right w:val="nil"/>
            </w:tcBorders>
            <w:shd w:val="clear" w:color="auto" w:fill="auto"/>
            <w:vAlign w:val="bottom"/>
            <w:hideMark/>
          </w:tcPr>
          <w:p w14:paraId="5926CE2A" w14:textId="77777777" w:rsidR="00BE6461" w:rsidRPr="00BE6461" w:rsidRDefault="00BE6461" w:rsidP="00BE6461">
            <w:pPr>
              <w:rPr>
                <w:sz w:val="20"/>
                <w:szCs w:val="20"/>
              </w:rPr>
            </w:pPr>
            <w:r w:rsidRPr="00BE6461">
              <w:rPr>
                <w:sz w:val="20"/>
                <w:szCs w:val="20"/>
              </w:rPr>
              <w:t xml:space="preserve">Usluge tekućeg i investicijskog održavanja                                                          </w:t>
            </w:r>
          </w:p>
        </w:tc>
        <w:tc>
          <w:tcPr>
            <w:tcW w:w="1503" w:type="dxa"/>
            <w:tcBorders>
              <w:top w:val="nil"/>
              <w:left w:val="nil"/>
              <w:bottom w:val="nil"/>
              <w:right w:val="nil"/>
            </w:tcBorders>
            <w:shd w:val="clear" w:color="auto" w:fill="auto"/>
            <w:noWrap/>
            <w:vAlign w:val="bottom"/>
            <w:hideMark/>
          </w:tcPr>
          <w:p w14:paraId="40BFFBB2"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027BEB9" w14:textId="77777777" w:rsidR="00BE6461" w:rsidRPr="00BE6461" w:rsidRDefault="00BE6461" w:rsidP="00BE6461">
            <w:pPr>
              <w:jc w:val="right"/>
              <w:rPr>
                <w:sz w:val="20"/>
                <w:szCs w:val="20"/>
              </w:rPr>
            </w:pPr>
            <w:r w:rsidRPr="00BE6461">
              <w:rPr>
                <w:sz w:val="20"/>
                <w:szCs w:val="20"/>
              </w:rPr>
              <w:t>97.901,21</w:t>
            </w:r>
          </w:p>
        </w:tc>
        <w:tc>
          <w:tcPr>
            <w:tcW w:w="1100" w:type="dxa"/>
            <w:tcBorders>
              <w:top w:val="nil"/>
              <w:left w:val="nil"/>
              <w:bottom w:val="nil"/>
              <w:right w:val="nil"/>
            </w:tcBorders>
            <w:shd w:val="clear" w:color="auto" w:fill="auto"/>
            <w:noWrap/>
            <w:vAlign w:val="bottom"/>
            <w:hideMark/>
          </w:tcPr>
          <w:p w14:paraId="2FCC77A1" w14:textId="77777777" w:rsidR="00BE6461" w:rsidRPr="00BE6461" w:rsidRDefault="00BE6461" w:rsidP="00BE6461">
            <w:pPr>
              <w:jc w:val="right"/>
              <w:rPr>
                <w:sz w:val="20"/>
                <w:szCs w:val="20"/>
              </w:rPr>
            </w:pPr>
          </w:p>
        </w:tc>
      </w:tr>
      <w:tr w:rsidR="00BE6461" w:rsidRPr="00BE6461" w14:paraId="15A42BB0" w14:textId="77777777" w:rsidTr="00BE6461">
        <w:trPr>
          <w:trHeight w:val="300"/>
        </w:trPr>
        <w:tc>
          <w:tcPr>
            <w:tcW w:w="1703" w:type="dxa"/>
            <w:tcBorders>
              <w:top w:val="nil"/>
              <w:left w:val="nil"/>
              <w:bottom w:val="nil"/>
              <w:right w:val="nil"/>
            </w:tcBorders>
            <w:shd w:val="clear" w:color="auto" w:fill="auto"/>
            <w:noWrap/>
            <w:vAlign w:val="bottom"/>
            <w:hideMark/>
          </w:tcPr>
          <w:p w14:paraId="37BE1810" w14:textId="77777777" w:rsidR="00BE6461" w:rsidRPr="00BE6461" w:rsidRDefault="00BE6461" w:rsidP="00BE6461">
            <w:pPr>
              <w:rPr>
                <w:sz w:val="20"/>
                <w:szCs w:val="20"/>
              </w:rPr>
            </w:pPr>
            <w:r w:rsidRPr="00BE6461">
              <w:rPr>
                <w:sz w:val="20"/>
                <w:szCs w:val="20"/>
              </w:rPr>
              <w:t>3234</w:t>
            </w:r>
          </w:p>
        </w:tc>
        <w:tc>
          <w:tcPr>
            <w:tcW w:w="8457" w:type="dxa"/>
            <w:tcBorders>
              <w:top w:val="nil"/>
              <w:left w:val="nil"/>
              <w:bottom w:val="nil"/>
              <w:right w:val="nil"/>
            </w:tcBorders>
            <w:shd w:val="clear" w:color="auto" w:fill="auto"/>
            <w:vAlign w:val="bottom"/>
            <w:hideMark/>
          </w:tcPr>
          <w:p w14:paraId="12ADDE67" w14:textId="77777777" w:rsidR="00BE6461" w:rsidRPr="00BE6461" w:rsidRDefault="00BE6461" w:rsidP="00BE6461">
            <w:pPr>
              <w:rPr>
                <w:sz w:val="20"/>
                <w:szCs w:val="20"/>
              </w:rPr>
            </w:pPr>
            <w:r w:rsidRPr="00BE6461">
              <w:rPr>
                <w:sz w:val="20"/>
                <w:szCs w:val="20"/>
              </w:rPr>
              <w:t xml:space="preserve">Komunalne usluge                                                                                    </w:t>
            </w:r>
          </w:p>
        </w:tc>
        <w:tc>
          <w:tcPr>
            <w:tcW w:w="1503" w:type="dxa"/>
            <w:tcBorders>
              <w:top w:val="nil"/>
              <w:left w:val="nil"/>
              <w:bottom w:val="nil"/>
              <w:right w:val="nil"/>
            </w:tcBorders>
            <w:shd w:val="clear" w:color="auto" w:fill="auto"/>
            <w:noWrap/>
            <w:vAlign w:val="bottom"/>
            <w:hideMark/>
          </w:tcPr>
          <w:p w14:paraId="3339DEE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E29E4D7" w14:textId="77777777" w:rsidR="00BE6461" w:rsidRPr="00BE6461" w:rsidRDefault="00BE6461" w:rsidP="00BE6461">
            <w:pPr>
              <w:jc w:val="right"/>
              <w:rPr>
                <w:sz w:val="20"/>
                <w:szCs w:val="20"/>
              </w:rPr>
            </w:pPr>
            <w:r w:rsidRPr="00BE6461">
              <w:rPr>
                <w:sz w:val="20"/>
                <w:szCs w:val="20"/>
              </w:rPr>
              <w:t>1.893.636,38</w:t>
            </w:r>
          </w:p>
        </w:tc>
        <w:tc>
          <w:tcPr>
            <w:tcW w:w="1100" w:type="dxa"/>
            <w:tcBorders>
              <w:top w:val="nil"/>
              <w:left w:val="nil"/>
              <w:bottom w:val="nil"/>
              <w:right w:val="nil"/>
            </w:tcBorders>
            <w:shd w:val="clear" w:color="auto" w:fill="auto"/>
            <w:noWrap/>
            <w:vAlign w:val="bottom"/>
            <w:hideMark/>
          </w:tcPr>
          <w:p w14:paraId="383CF588" w14:textId="77777777" w:rsidR="00BE6461" w:rsidRPr="00BE6461" w:rsidRDefault="00BE6461" w:rsidP="00BE6461">
            <w:pPr>
              <w:jc w:val="right"/>
              <w:rPr>
                <w:sz w:val="20"/>
                <w:szCs w:val="20"/>
              </w:rPr>
            </w:pPr>
          </w:p>
        </w:tc>
      </w:tr>
      <w:tr w:rsidR="00BE6461" w:rsidRPr="00BE6461" w14:paraId="74303D0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62CCB23" w14:textId="77777777" w:rsidR="00BE6461" w:rsidRPr="00BE6461" w:rsidRDefault="00BE6461" w:rsidP="00BE6461">
            <w:pPr>
              <w:rPr>
                <w:b/>
                <w:bCs/>
                <w:color w:val="333333"/>
                <w:sz w:val="20"/>
                <w:szCs w:val="20"/>
              </w:rPr>
            </w:pPr>
            <w:r w:rsidRPr="00BE6461">
              <w:rPr>
                <w:b/>
                <w:bCs/>
                <w:color w:val="333333"/>
                <w:sz w:val="20"/>
                <w:szCs w:val="20"/>
              </w:rPr>
              <w:t>Izvor 4.4. PRIHODI POSEBNE NAMJENE - SPOMENIČKA RENTA</w:t>
            </w:r>
          </w:p>
        </w:tc>
        <w:tc>
          <w:tcPr>
            <w:tcW w:w="1503" w:type="dxa"/>
            <w:tcBorders>
              <w:top w:val="nil"/>
              <w:left w:val="nil"/>
              <w:bottom w:val="nil"/>
              <w:right w:val="nil"/>
            </w:tcBorders>
            <w:shd w:val="clear" w:color="auto" w:fill="auto"/>
            <w:noWrap/>
            <w:vAlign w:val="bottom"/>
            <w:hideMark/>
          </w:tcPr>
          <w:p w14:paraId="0F79F381" w14:textId="77777777" w:rsidR="00BE6461" w:rsidRPr="00BE6461" w:rsidRDefault="00BE6461" w:rsidP="00BE6461">
            <w:pPr>
              <w:jc w:val="right"/>
              <w:rPr>
                <w:b/>
                <w:bCs/>
                <w:color w:val="333333"/>
                <w:sz w:val="20"/>
                <w:szCs w:val="20"/>
              </w:rPr>
            </w:pPr>
            <w:r w:rsidRPr="00BE6461">
              <w:rPr>
                <w:b/>
                <w:bCs/>
                <w:color w:val="333333"/>
                <w:sz w:val="20"/>
                <w:szCs w:val="20"/>
              </w:rPr>
              <w:t>90.000,00</w:t>
            </w:r>
          </w:p>
        </w:tc>
        <w:tc>
          <w:tcPr>
            <w:tcW w:w="1500" w:type="dxa"/>
            <w:tcBorders>
              <w:top w:val="nil"/>
              <w:left w:val="nil"/>
              <w:bottom w:val="nil"/>
              <w:right w:val="nil"/>
            </w:tcBorders>
            <w:shd w:val="clear" w:color="auto" w:fill="auto"/>
            <w:noWrap/>
            <w:vAlign w:val="bottom"/>
            <w:hideMark/>
          </w:tcPr>
          <w:p w14:paraId="547F6405" w14:textId="77777777" w:rsidR="00BE6461" w:rsidRPr="00BE6461" w:rsidRDefault="00BE6461" w:rsidP="00BE6461">
            <w:pPr>
              <w:jc w:val="right"/>
              <w:rPr>
                <w:b/>
                <w:bCs/>
                <w:color w:val="333333"/>
                <w:sz w:val="20"/>
                <w:szCs w:val="20"/>
              </w:rPr>
            </w:pPr>
            <w:r w:rsidRPr="00BE6461">
              <w:rPr>
                <w:b/>
                <w:bCs/>
                <w:color w:val="333333"/>
                <w:sz w:val="20"/>
                <w:szCs w:val="20"/>
              </w:rPr>
              <w:t>90.331,25</w:t>
            </w:r>
          </w:p>
        </w:tc>
        <w:tc>
          <w:tcPr>
            <w:tcW w:w="1100" w:type="dxa"/>
            <w:tcBorders>
              <w:top w:val="nil"/>
              <w:left w:val="nil"/>
              <w:bottom w:val="nil"/>
              <w:right w:val="nil"/>
            </w:tcBorders>
            <w:shd w:val="clear" w:color="auto" w:fill="auto"/>
            <w:noWrap/>
            <w:vAlign w:val="bottom"/>
            <w:hideMark/>
          </w:tcPr>
          <w:p w14:paraId="362CEA96" w14:textId="77777777" w:rsidR="00BE6461" w:rsidRPr="00BE6461" w:rsidRDefault="00BE6461" w:rsidP="00BE6461">
            <w:pPr>
              <w:jc w:val="right"/>
              <w:rPr>
                <w:b/>
                <w:bCs/>
                <w:color w:val="333333"/>
                <w:sz w:val="20"/>
                <w:szCs w:val="20"/>
              </w:rPr>
            </w:pPr>
            <w:r w:rsidRPr="00BE6461">
              <w:rPr>
                <w:b/>
                <w:bCs/>
                <w:color w:val="333333"/>
                <w:sz w:val="20"/>
                <w:szCs w:val="20"/>
              </w:rPr>
              <w:t>100,37</w:t>
            </w:r>
          </w:p>
        </w:tc>
      </w:tr>
      <w:tr w:rsidR="00BE6461" w:rsidRPr="00BE6461" w14:paraId="62C0228A" w14:textId="77777777" w:rsidTr="00BE6461">
        <w:trPr>
          <w:trHeight w:val="300"/>
        </w:trPr>
        <w:tc>
          <w:tcPr>
            <w:tcW w:w="1703" w:type="dxa"/>
            <w:tcBorders>
              <w:top w:val="nil"/>
              <w:left w:val="nil"/>
              <w:bottom w:val="nil"/>
              <w:right w:val="nil"/>
            </w:tcBorders>
            <w:shd w:val="clear" w:color="auto" w:fill="auto"/>
            <w:noWrap/>
            <w:vAlign w:val="bottom"/>
            <w:hideMark/>
          </w:tcPr>
          <w:p w14:paraId="79A13842"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38F84792"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27DE6ECD" w14:textId="77777777" w:rsidR="00BE6461" w:rsidRPr="00BE6461" w:rsidRDefault="00BE6461" w:rsidP="00BE6461">
            <w:pPr>
              <w:jc w:val="right"/>
              <w:rPr>
                <w:b/>
                <w:bCs/>
                <w:sz w:val="20"/>
                <w:szCs w:val="20"/>
              </w:rPr>
            </w:pPr>
            <w:r w:rsidRPr="00BE6461">
              <w:rPr>
                <w:b/>
                <w:bCs/>
                <w:sz w:val="20"/>
                <w:szCs w:val="20"/>
              </w:rPr>
              <w:t>90.000,00</w:t>
            </w:r>
          </w:p>
        </w:tc>
        <w:tc>
          <w:tcPr>
            <w:tcW w:w="1500" w:type="dxa"/>
            <w:tcBorders>
              <w:top w:val="nil"/>
              <w:left w:val="nil"/>
              <w:bottom w:val="nil"/>
              <w:right w:val="nil"/>
            </w:tcBorders>
            <w:shd w:val="clear" w:color="auto" w:fill="auto"/>
            <w:noWrap/>
            <w:vAlign w:val="bottom"/>
            <w:hideMark/>
          </w:tcPr>
          <w:p w14:paraId="1B4D823F" w14:textId="77777777" w:rsidR="00BE6461" w:rsidRPr="00BE6461" w:rsidRDefault="00BE6461" w:rsidP="00BE6461">
            <w:pPr>
              <w:jc w:val="right"/>
              <w:rPr>
                <w:b/>
                <w:bCs/>
                <w:sz w:val="20"/>
                <w:szCs w:val="20"/>
              </w:rPr>
            </w:pPr>
            <w:r w:rsidRPr="00BE6461">
              <w:rPr>
                <w:b/>
                <w:bCs/>
                <w:sz w:val="20"/>
                <w:szCs w:val="20"/>
              </w:rPr>
              <w:t>90.331,25</w:t>
            </w:r>
          </w:p>
        </w:tc>
        <w:tc>
          <w:tcPr>
            <w:tcW w:w="1100" w:type="dxa"/>
            <w:tcBorders>
              <w:top w:val="nil"/>
              <w:left w:val="nil"/>
              <w:bottom w:val="nil"/>
              <w:right w:val="nil"/>
            </w:tcBorders>
            <w:shd w:val="clear" w:color="auto" w:fill="auto"/>
            <w:noWrap/>
            <w:vAlign w:val="bottom"/>
            <w:hideMark/>
          </w:tcPr>
          <w:p w14:paraId="078A6137" w14:textId="77777777" w:rsidR="00BE6461" w:rsidRPr="00BE6461" w:rsidRDefault="00BE6461" w:rsidP="00BE6461">
            <w:pPr>
              <w:jc w:val="right"/>
              <w:rPr>
                <w:b/>
                <w:bCs/>
                <w:sz w:val="20"/>
                <w:szCs w:val="20"/>
              </w:rPr>
            </w:pPr>
            <w:r w:rsidRPr="00BE6461">
              <w:rPr>
                <w:b/>
                <w:bCs/>
                <w:sz w:val="20"/>
                <w:szCs w:val="20"/>
              </w:rPr>
              <w:t>100,37</w:t>
            </w:r>
          </w:p>
        </w:tc>
      </w:tr>
      <w:tr w:rsidR="00BE6461" w:rsidRPr="00BE6461" w14:paraId="69D4E997" w14:textId="77777777" w:rsidTr="00BE6461">
        <w:trPr>
          <w:trHeight w:val="300"/>
        </w:trPr>
        <w:tc>
          <w:tcPr>
            <w:tcW w:w="1703" w:type="dxa"/>
            <w:tcBorders>
              <w:top w:val="nil"/>
              <w:left w:val="nil"/>
              <w:bottom w:val="nil"/>
              <w:right w:val="nil"/>
            </w:tcBorders>
            <w:shd w:val="clear" w:color="auto" w:fill="auto"/>
            <w:noWrap/>
            <w:vAlign w:val="bottom"/>
            <w:hideMark/>
          </w:tcPr>
          <w:p w14:paraId="7FFA04BC" w14:textId="77777777" w:rsidR="00BE6461" w:rsidRPr="00BE6461" w:rsidRDefault="00BE6461" w:rsidP="00BE6461">
            <w:pPr>
              <w:rPr>
                <w:sz w:val="20"/>
                <w:szCs w:val="20"/>
              </w:rPr>
            </w:pPr>
            <w:r w:rsidRPr="00BE6461">
              <w:rPr>
                <w:sz w:val="20"/>
                <w:szCs w:val="20"/>
              </w:rPr>
              <w:t>3232</w:t>
            </w:r>
          </w:p>
        </w:tc>
        <w:tc>
          <w:tcPr>
            <w:tcW w:w="8457" w:type="dxa"/>
            <w:tcBorders>
              <w:top w:val="nil"/>
              <w:left w:val="nil"/>
              <w:bottom w:val="nil"/>
              <w:right w:val="nil"/>
            </w:tcBorders>
            <w:shd w:val="clear" w:color="auto" w:fill="auto"/>
            <w:vAlign w:val="bottom"/>
            <w:hideMark/>
          </w:tcPr>
          <w:p w14:paraId="3594A31F" w14:textId="77777777" w:rsidR="00BE6461" w:rsidRPr="00BE6461" w:rsidRDefault="00BE6461" w:rsidP="00BE6461">
            <w:pPr>
              <w:rPr>
                <w:sz w:val="20"/>
                <w:szCs w:val="20"/>
              </w:rPr>
            </w:pPr>
            <w:r w:rsidRPr="00BE6461">
              <w:rPr>
                <w:sz w:val="20"/>
                <w:szCs w:val="20"/>
              </w:rPr>
              <w:t xml:space="preserve">Usluge tekućeg i investicijskog održavanja                                                          </w:t>
            </w:r>
          </w:p>
        </w:tc>
        <w:tc>
          <w:tcPr>
            <w:tcW w:w="1503" w:type="dxa"/>
            <w:tcBorders>
              <w:top w:val="nil"/>
              <w:left w:val="nil"/>
              <w:bottom w:val="nil"/>
              <w:right w:val="nil"/>
            </w:tcBorders>
            <w:shd w:val="clear" w:color="auto" w:fill="auto"/>
            <w:noWrap/>
            <w:vAlign w:val="bottom"/>
            <w:hideMark/>
          </w:tcPr>
          <w:p w14:paraId="2242BBC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52B4B49" w14:textId="77777777" w:rsidR="00BE6461" w:rsidRPr="00BE6461" w:rsidRDefault="00BE6461" w:rsidP="00BE6461">
            <w:pPr>
              <w:jc w:val="right"/>
              <w:rPr>
                <w:sz w:val="20"/>
                <w:szCs w:val="20"/>
              </w:rPr>
            </w:pPr>
            <w:r w:rsidRPr="00BE6461">
              <w:rPr>
                <w:sz w:val="20"/>
                <w:szCs w:val="20"/>
              </w:rPr>
              <w:t>90.331,25</w:t>
            </w:r>
          </w:p>
        </w:tc>
        <w:tc>
          <w:tcPr>
            <w:tcW w:w="1100" w:type="dxa"/>
            <w:tcBorders>
              <w:top w:val="nil"/>
              <w:left w:val="nil"/>
              <w:bottom w:val="nil"/>
              <w:right w:val="nil"/>
            </w:tcBorders>
            <w:shd w:val="clear" w:color="auto" w:fill="auto"/>
            <w:noWrap/>
            <w:vAlign w:val="bottom"/>
            <w:hideMark/>
          </w:tcPr>
          <w:p w14:paraId="18F428FB" w14:textId="77777777" w:rsidR="00BE6461" w:rsidRPr="00BE6461" w:rsidRDefault="00BE6461" w:rsidP="00BE6461">
            <w:pPr>
              <w:jc w:val="right"/>
              <w:rPr>
                <w:sz w:val="20"/>
                <w:szCs w:val="20"/>
              </w:rPr>
            </w:pPr>
          </w:p>
        </w:tc>
      </w:tr>
      <w:tr w:rsidR="00BE6461" w:rsidRPr="00BE6461" w14:paraId="55C423A8"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28123FD7" w14:textId="77777777" w:rsidR="00BE6461" w:rsidRPr="00BE6461" w:rsidRDefault="00BE6461" w:rsidP="00BE6461">
            <w:pPr>
              <w:rPr>
                <w:b/>
                <w:bCs/>
                <w:sz w:val="20"/>
                <w:szCs w:val="20"/>
              </w:rPr>
            </w:pPr>
            <w:r w:rsidRPr="00BE6461">
              <w:rPr>
                <w:b/>
                <w:bCs/>
                <w:sz w:val="20"/>
                <w:szCs w:val="20"/>
              </w:rPr>
              <w:t>A200010</w:t>
            </w:r>
          </w:p>
        </w:tc>
        <w:tc>
          <w:tcPr>
            <w:tcW w:w="8457" w:type="dxa"/>
            <w:tcBorders>
              <w:top w:val="single" w:sz="4" w:space="0" w:color="auto"/>
              <w:left w:val="nil"/>
              <w:bottom w:val="single" w:sz="4" w:space="0" w:color="auto"/>
              <w:right w:val="nil"/>
            </w:tcBorders>
            <w:shd w:val="clear" w:color="auto" w:fill="auto"/>
            <w:vAlign w:val="bottom"/>
            <w:hideMark/>
          </w:tcPr>
          <w:p w14:paraId="5F27E9DB" w14:textId="77777777" w:rsidR="00BE6461" w:rsidRPr="00BE6461" w:rsidRDefault="00BE6461" w:rsidP="00BE6461">
            <w:pPr>
              <w:rPr>
                <w:b/>
                <w:bCs/>
                <w:sz w:val="20"/>
                <w:szCs w:val="20"/>
              </w:rPr>
            </w:pPr>
            <w:r w:rsidRPr="00BE6461">
              <w:rPr>
                <w:b/>
                <w:bCs/>
                <w:sz w:val="20"/>
                <w:szCs w:val="20"/>
              </w:rPr>
              <w:t>Aktivnost: ODRŽAVANJE GROBLJA</w:t>
            </w:r>
          </w:p>
        </w:tc>
        <w:tc>
          <w:tcPr>
            <w:tcW w:w="1503" w:type="dxa"/>
            <w:tcBorders>
              <w:top w:val="single" w:sz="4" w:space="0" w:color="auto"/>
              <w:left w:val="nil"/>
              <w:bottom w:val="single" w:sz="4" w:space="0" w:color="auto"/>
              <w:right w:val="nil"/>
            </w:tcBorders>
            <w:shd w:val="clear" w:color="auto" w:fill="auto"/>
            <w:noWrap/>
            <w:vAlign w:val="bottom"/>
            <w:hideMark/>
          </w:tcPr>
          <w:p w14:paraId="19434CBB" w14:textId="77777777" w:rsidR="00BE6461" w:rsidRPr="00BE6461" w:rsidRDefault="00BE6461" w:rsidP="00BE6461">
            <w:pPr>
              <w:jc w:val="right"/>
              <w:rPr>
                <w:b/>
                <w:bCs/>
                <w:sz w:val="20"/>
                <w:szCs w:val="20"/>
              </w:rPr>
            </w:pPr>
            <w:r w:rsidRPr="00BE6461">
              <w:rPr>
                <w:b/>
                <w:bCs/>
                <w:sz w:val="20"/>
                <w:szCs w:val="20"/>
              </w:rPr>
              <w:t>660.000,00</w:t>
            </w:r>
          </w:p>
        </w:tc>
        <w:tc>
          <w:tcPr>
            <w:tcW w:w="1500" w:type="dxa"/>
            <w:tcBorders>
              <w:top w:val="single" w:sz="4" w:space="0" w:color="auto"/>
              <w:left w:val="nil"/>
              <w:bottom w:val="single" w:sz="4" w:space="0" w:color="auto"/>
              <w:right w:val="nil"/>
            </w:tcBorders>
            <w:shd w:val="clear" w:color="auto" w:fill="auto"/>
            <w:noWrap/>
            <w:vAlign w:val="bottom"/>
            <w:hideMark/>
          </w:tcPr>
          <w:p w14:paraId="45E35110" w14:textId="77777777" w:rsidR="00BE6461" w:rsidRPr="00BE6461" w:rsidRDefault="00BE6461" w:rsidP="00BE6461">
            <w:pPr>
              <w:jc w:val="right"/>
              <w:rPr>
                <w:b/>
                <w:bCs/>
                <w:sz w:val="20"/>
                <w:szCs w:val="20"/>
              </w:rPr>
            </w:pPr>
            <w:r w:rsidRPr="00BE6461">
              <w:rPr>
                <w:b/>
                <w:bCs/>
                <w:sz w:val="20"/>
                <w:szCs w:val="20"/>
              </w:rPr>
              <w:t>657.678,13</w:t>
            </w:r>
          </w:p>
        </w:tc>
        <w:tc>
          <w:tcPr>
            <w:tcW w:w="1100" w:type="dxa"/>
            <w:tcBorders>
              <w:top w:val="single" w:sz="4" w:space="0" w:color="auto"/>
              <w:left w:val="nil"/>
              <w:bottom w:val="single" w:sz="4" w:space="0" w:color="auto"/>
              <w:right w:val="nil"/>
            </w:tcBorders>
            <w:shd w:val="clear" w:color="auto" w:fill="auto"/>
            <w:noWrap/>
            <w:vAlign w:val="bottom"/>
            <w:hideMark/>
          </w:tcPr>
          <w:p w14:paraId="3CA9B651" w14:textId="77777777" w:rsidR="00BE6461" w:rsidRPr="00BE6461" w:rsidRDefault="00BE6461" w:rsidP="00BE6461">
            <w:pPr>
              <w:jc w:val="right"/>
              <w:rPr>
                <w:b/>
                <w:bCs/>
                <w:sz w:val="20"/>
                <w:szCs w:val="20"/>
              </w:rPr>
            </w:pPr>
            <w:r w:rsidRPr="00BE6461">
              <w:rPr>
                <w:b/>
                <w:bCs/>
                <w:sz w:val="20"/>
                <w:szCs w:val="20"/>
              </w:rPr>
              <w:t>99,65</w:t>
            </w:r>
          </w:p>
        </w:tc>
      </w:tr>
      <w:tr w:rsidR="00BE6461" w:rsidRPr="00BE6461" w14:paraId="40E4687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098C2E4"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5F797D04" w14:textId="77777777" w:rsidR="00BE6461" w:rsidRPr="00BE6461" w:rsidRDefault="00BE6461" w:rsidP="00BE6461">
            <w:pPr>
              <w:jc w:val="right"/>
              <w:rPr>
                <w:b/>
                <w:bCs/>
                <w:color w:val="333333"/>
                <w:sz w:val="20"/>
                <w:szCs w:val="20"/>
              </w:rPr>
            </w:pPr>
            <w:r w:rsidRPr="00BE6461">
              <w:rPr>
                <w:b/>
                <w:bCs/>
                <w:color w:val="333333"/>
                <w:sz w:val="20"/>
                <w:szCs w:val="20"/>
              </w:rPr>
              <w:t>660.000,00</w:t>
            </w:r>
          </w:p>
        </w:tc>
        <w:tc>
          <w:tcPr>
            <w:tcW w:w="1500" w:type="dxa"/>
            <w:tcBorders>
              <w:top w:val="nil"/>
              <w:left w:val="nil"/>
              <w:bottom w:val="nil"/>
              <w:right w:val="nil"/>
            </w:tcBorders>
            <w:shd w:val="clear" w:color="auto" w:fill="auto"/>
            <w:noWrap/>
            <w:vAlign w:val="bottom"/>
            <w:hideMark/>
          </w:tcPr>
          <w:p w14:paraId="52BDFAA3" w14:textId="77777777" w:rsidR="00BE6461" w:rsidRPr="00BE6461" w:rsidRDefault="00BE6461" w:rsidP="00BE6461">
            <w:pPr>
              <w:jc w:val="right"/>
              <w:rPr>
                <w:b/>
                <w:bCs/>
                <w:color w:val="333333"/>
                <w:sz w:val="20"/>
                <w:szCs w:val="20"/>
              </w:rPr>
            </w:pPr>
            <w:r w:rsidRPr="00BE6461">
              <w:rPr>
                <w:b/>
                <w:bCs/>
                <w:color w:val="333333"/>
                <w:sz w:val="20"/>
                <w:szCs w:val="20"/>
              </w:rPr>
              <w:t>657.678,13</w:t>
            </w:r>
          </w:p>
        </w:tc>
        <w:tc>
          <w:tcPr>
            <w:tcW w:w="1100" w:type="dxa"/>
            <w:tcBorders>
              <w:top w:val="nil"/>
              <w:left w:val="nil"/>
              <w:bottom w:val="nil"/>
              <w:right w:val="nil"/>
            </w:tcBorders>
            <w:shd w:val="clear" w:color="auto" w:fill="auto"/>
            <w:noWrap/>
            <w:vAlign w:val="bottom"/>
            <w:hideMark/>
          </w:tcPr>
          <w:p w14:paraId="5D45268A" w14:textId="77777777" w:rsidR="00BE6461" w:rsidRPr="00BE6461" w:rsidRDefault="00BE6461" w:rsidP="00BE6461">
            <w:pPr>
              <w:jc w:val="right"/>
              <w:rPr>
                <w:b/>
                <w:bCs/>
                <w:color w:val="333333"/>
                <w:sz w:val="20"/>
                <w:szCs w:val="20"/>
              </w:rPr>
            </w:pPr>
            <w:r w:rsidRPr="00BE6461">
              <w:rPr>
                <w:b/>
                <w:bCs/>
                <w:color w:val="333333"/>
                <w:sz w:val="20"/>
                <w:szCs w:val="20"/>
              </w:rPr>
              <w:t>99,65</w:t>
            </w:r>
          </w:p>
        </w:tc>
      </w:tr>
      <w:tr w:rsidR="00BE6461" w:rsidRPr="00BE6461" w14:paraId="22CAF66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5890330" w14:textId="77777777" w:rsidR="00BE6461" w:rsidRPr="00BE6461" w:rsidRDefault="00BE6461" w:rsidP="00BE6461">
            <w:pPr>
              <w:rPr>
                <w:b/>
                <w:bCs/>
                <w:color w:val="333333"/>
                <w:sz w:val="20"/>
                <w:szCs w:val="20"/>
              </w:rPr>
            </w:pPr>
            <w:r w:rsidRPr="00BE6461">
              <w:rPr>
                <w:b/>
                <w:bCs/>
                <w:color w:val="333333"/>
                <w:sz w:val="20"/>
                <w:szCs w:val="20"/>
              </w:rPr>
              <w:t>Izvor 4.1. PRIHODI POSEBNE NAMJENE - KOMUNALNA NAKNADA</w:t>
            </w:r>
          </w:p>
        </w:tc>
        <w:tc>
          <w:tcPr>
            <w:tcW w:w="1503" w:type="dxa"/>
            <w:tcBorders>
              <w:top w:val="nil"/>
              <w:left w:val="nil"/>
              <w:bottom w:val="nil"/>
              <w:right w:val="nil"/>
            </w:tcBorders>
            <w:shd w:val="clear" w:color="auto" w:fill="auto"/>
            <w:noWrap/>
            <w:vAlign w:val="bottom"/>
            <w:hideMark/>
          </w:tcPr>
          <w:p w14:paraId="444C0D5F" w14:textId="77777777" w:rsidR="00BE6461" w:rsidRPr="00BE6461" w:rsidRDefault="00BE6461" w:rsidP="00BE6461">
            <w:pPr>
              <w:jc w:val="right"/>
              <w:rPr>
                <w:b/>
                <w:bCs/>
                <w:color w:val="333333"/>
                <w:sz w:val="20"/>
                <w:szCs w:val="20"/>
              </w:rPr>
            </w:pPr>
            <w:r w:rsidRPr="00BE6461">
              <w:rPr>
                <w:b/>
                <w:bCs/>
                <w:color w:val="333333"/>
                <w:sz w:val="20"/>
                <w:szCs w:val="20"/>
              </w:rPr>
              <w:t>660.000,00</w:t>
            </w:r>
          </w:p>
        </w:tc>
        <w:tc>
          <w:tcPr>
            <w:tcW w:w="1500" w:type="dxa"/>
            <w:tcBorders>
              <w:top w:val="nil"/>
              <w:left w:val="nil"/>
              <w:bottom w:val="nil"/>
              <w:right w:val="nil"/>
            </w:tcBorders>
            <w:shd w:val="clear" w:color="auto" w:fill="auto"/>
            <w:noWrap/>
            <w:vAlign w:val="bottom"/>
            <w:hideMark/>
          </w:tcPr>
          <w:p w14:paraId="34A9D38C" w14:textId="77777777" w:rsidR="00BE6461" w:rsidRPr="00BE6461" w:rsidRDefault="00BE6461" w:rsidP="00BE6461">
            <w:pPr>
              <w:jc w:val="right"/>
              <w:rPr>
                <w:b/>
                <w:bCs/>
                <w:color w:val="333333"/>
                <w:sz w:val="20"/>
                <w:szCs w:val="20"/>
              </w:rPr>
            </w:pPr>
            <w:r w:rsidRPr="00BE6461">
              <w:rPr>
                <w:b/>
                <w:bCs/>
                <w:color w:val="333333"/>
                <w:sz w:val="20"/>
                <w:szCs w:val="20"/>
              </w:rPr>
              <w:t>657.678,13</w:t>
            </w:r>
          </w:p>
        </w:tc>
        <w:tc>
          <w:tcPr>
            <w:tcW w:w="1100" w:type="dxa"/>
            <w:tcBorders>
              <w:top w:val="nil"/>
              <w:left w:val="nil"/>
              <w:bottom w:val="nil"/>
              <w:right w:val="nil"/>
            </w:tcBorders>
            <w:shd w:val="clear" w:color="auto" w:fill="auto"/>
            <w:noWrap/>
            <w:vAlign w:val="bottom"/>
            <w:hideMark/>
          </w:tcPr>
          <w:p w14:paraId="72257A1F" w14:textId="77777777" w:rsidR="00BE6461" w:rsidRPr="00BE6461" w:rsidRDefault="00BE6461" w:rsidP="00BE6461">
            <w:pPr>
              <w:jc w:val="right"/>
              <w:rPr>
                <w:b/>
                <w:bCs/>
                <w:color w:val="333333"/>
                <w:sz w:val="20"/>
                <w:szCs w:val="20"/>
              </w:rPr>
            </w:pPr>
            <w:r w:rsidRPr="00BE6461">
              <w:rPr>
                <w:b/>
                <w:bCs/>
                <w:color w:val="333333"/>
                <w:sz w:val="20"/>
                <w:szCs w:val="20"/>
              </w:rPr>
              <w:t>99,65</w:t>
            </w:r>
          </w:p>
        </w:tc>
      </w:tr>
      <w:tr w:rsidR="00BE6461" w:rsidRPr="00BE6461" w14:paraId="5B130D80" w14:textId="77777777" w:rsidTr="00BE6461">
        <w:trPr>
          <w:trHeight w:val="300"/>
        </w:trPr>
        <w:tc>
          <w:tcPr>
            <w:tcW w:w="1703" w:type="dxa"/>
            <w:tcBorders>
              <w:top w:val="nil"/>
              <w:left w:val="nil"/>
              <w:bottom w:val="nil"/>
              <w:right w:val="nil"/>
            </w:tcBorders>
            <w:shd w:val="clear" w:color="auto" w:fill="auto"/>
            <w:noWrap/>
            <w:vAlign w:val="bottom"/>
            <w:hideMark/>
          </w:tcPr>
          <w:p w14:paraId="5F5C23C9"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6CD5C9B5"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60A80FFA" w14:textId="77777777" w:rsidR="00BE6461" w:rsidRPr="00BE6461" w:rsidRDefault="00BE6461" w:rsidP="00BE6461">
            <w:pPr>
              <w:jc w:val="right"/>
              <w:rPr>
                <w:b/>
                <w:bCs/>
                <w:sz w:val="20"/>
                <w:szCs w:val="20"/>
              </w:rPr>
            </w:pPr>
            <w:r w:rsidRPr="00BE6461">
              <w:rPr>
                <w:b/>
                <w:bCs/>
                <w:sz w:val="20"/>
                <w:szCs w:val="20"/>
              </w:rPr>
              <w:t>660.000,00</w:t>
            </w:r>
          </w:p>
        </w:tc>
        <w:tc>
          <w:tcPr>
            <w:tcW w:w="1500" w:type="dxa"/>
            <w:tcBorders>
              <w:top w:val="nil"/>
              <w:left w:val="nil"/>
              <w:bottom w:val="nil"/>
              <w:right w:val="nil"/>
            </w:tcBorders>
            <w:shd w:val="clear" w:color="auto" w:fill="auto"/>
            <w:noWrap/>
            <w:vAlign w:val="bottom"/>
            <w:hideMark/>
          </w:tcPr>
          <w:p w14:paraId="2A79C0F7" w14:textId="77777777" w:rsidR="00BE6461" w:rsidRPr="00BE6461" w:rsidRDefault="00BE6461" w:rsidP="00BE6461">
            <w:pPr>
              <w:jc w:val="right"/>
              <w:rPr>
                <w:b/>
                <w:bCs/>
                <w:sz w:val="20"/>
                <w:szCs w:val="20"/>
              </w:rPr>
            </w:pPr>
            <w:r w:rsidRPr="00BE6461">
              <w:rPr>
                <w:b/>
                <w:bCs/>
                <w:sz w:val="20"/>
                <w:szCs w:val="20"/>
              </w:rPr>
              <w:t>657.678,13</w:t>
            </w:r>
          </w:p>
        </w:tc>
        <w:tc>
          <w:tcPr>
            <w:tcW w:w="1100" w:type="dxa"/>
            <w:tcBorders>
              <w:top w:val="nil"/>
              <w:left w:val="nil"/>
              <w:bottom w:val="nil"/>
              <w:right w:val="nil"/>
            </w:tcBorders>
            <w:shd w:val="clear" w:color="auto" w:fill="auto"/>
            <w:noWrap/>
            <w:vAlign w:val="bottom"/>
            <w:hideMark/>
          </w:tcPr>
          <w:p w14:paraId="1BEC80BA" w14:textId="77777777" w:rsidR="00BE6461" w:rsidRPr="00BE6461" w:rsidRDefault="00BE6461" w:rsidP="00BE6461">
            <w:pPr>
              <w:jc w:val="right"/>
              <w:rPr>
                <w:b/>
                <w:bCs/>
                <w:sz w:val="20"/>
                <w:szCs w:val="20"/>
              </w:rPr>
            </w:pPr>
            <w:r w:rsidRPr="00BE6461">
              <w:rPr>
                <w:b/>
                <w:bCs/>
                <w:sz w:val="20"/>
                <w:szCs w:val="20"/>
              </w:rPr>
              <w:t>99,65</w:t>
            </w:r>
          </w:p>
        </w:tc>
      </w:tr>
      <w:tr w:rsidR="00BE6461" w:rsidRPr="00BE6461" w14:paraId="4DF2ECC5" w14:textId="77777777" w:rsidTr="00BE6461">
        <w:trPr>
          <w:trHeight w:val="300"/>
        </w:trPr>
        <w:tc>
          <w:tcPr>
            <w:tcW w:w="1703" w:type="dxa"/>
            <w:tcBorders>
              <w:top w:val="nil"/>
              <w:left w:val="nil"/>
              <w:bottom w:val="nil"/>
              <w:right w:val="nil"/>
            </w:tcBorders>
            <w:shd w:val="clear" w:color="auto" w:fill="auto"/>
            <w:noWrap/>
            <w:vAlign w:val="bottom"/>
            <w:hideMark/>
          </w:tcPr>
          <w:p w14:paraId="04F9CE9B" w14:textId="77777777" w:rsidR="00BE6461" w:rsidRPr="00BE6461" w:rsidRDefault="00BE6461" w:rsidP="00BE6461">
            <w:pPr>
              <w:rPr>
                <w:sz w:val="20"/>
                <w:szCs w:val="20"/>
              </w:rPr>
            </w:pPr>
            <w:r w:rsidRPr="00BE6461">
              <w:rPr>
                <w:sz w:val="20"/>
                <w:szCs w:val="20"/>
              </w:rPr>
              <w:t>3232</w:t>
            </w:r>
          </w:p>
        </w:tc>
        <w:tc>
          <w:tcPr>
            <w:tcW w:w="8457" w:type="dxa"/>
            <w:tcBorders>
              <w:top w:val="nil"/>
              <w:left w:val="nil"/>
              <w:bottom w:val="nil"/>
              <w:right w:val="nil"/>
            </w:tcBorders>
            <w:shd w:val="clear" w:color="auto" w:fill="auto"/>
            <w:vAlign w:val="bottom"/>
            <w:hideMark/>
          </w:tcPr>
          <w:p w14:paraId="7E77C162" w14:textId="77777777" w:rsidR="00BE6461" w:rsidRPr="00BE6461" w:rsidRDefault="00BE6461" w:rsidP="00BE6461">
            <w:pPr>
              <w:rPr>
                <w:sz w:val="20"/>
                <w:szCs w:val="20"/>
              </w:rPr>
            </w:pPr>
            <w:r w:rsidRPr="00BE6461">
              <w:rPr>
                <w:sz w:val="20"/>
                <w:szCs w:val="20"/>
              </w:rPr>
              <w:t xml:space="preserve">Usluge tekućeg i investicijskog održavanja                                                          </w:t>
            </w:r>
          </w:p>
        </w:tc>
        <w:tc>
          <w:tcPr>
            <w:tcW w:w="1503" w:type="dxa"/>
            <w:tcBorders>
              <w:top w:val="nil"/>
              <w:left w:val="nil"/>
              <w:bottom w:val="nil"/>
              <w:right w:val="nil"/>
            </w:tcBorders>
            <w:shd w:val="clear" w:color="auto" w:fill="auto"/>
            <w:noWrap/>
            <w:vAlign w:val="bottom"/>
            <w:hideMark/>
          </w:tcPr>
          <w:p w14:paraId="5342CBD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4926E57" w14:textId="77777777" w:rsidR="00BE6461" w:rsidRPr="00BE6461" w:rsidRDefault="00BE6461" w:rsidP="00BE6461">
            <w:pPr>
              <w:jc w:val="right"/>
              <w:rPr>
                <w:sz w:val="20"/>
                <w:szCs w:val="20"/>
              </w:rPr>
            </w:pPr>
            <w:r w:rsidRPr="00BE6461">
              <w:rPr>
                <w:sz w:val="20"/>
                <w:szCs w:val="20"/>
              </w:rPr>
              <w:t>657.678,13</w:t>
            </w:r>
          </w:p>
        </w:tc>
        <w:tc>
          <w:tcPr>
            <w:tcW w:w="1100" w:type="dxa"/>
            <w:tcBorders>
              <w:top w:val="nil"/>
              <w:left w:val="nil"/>
              <w:bottom w:val="nil"/>
              <w:right w:val="nil"/>
            </w:tcBorders>
            <w:shd w:val="clear" w:color="auto" w:fill="auto"/>
            <w:noWrap/>
            <w:vAlign w:val="bottom"/>
            <w:hideMark/>
          </w:tcPr>
          <w:p w14:paraId="409FCFC7" w14:textId="77777777" w:rsidR="00BE6461" w:rsidRPr="00BE6461" w:rsidRDefault="00BE6461" w:rsidP="00BE6461">
            <w:pPr>
              <w:jc w:val="right"/>
              <w:rPr>
                <w:sz w:val="20"/>
                <w:szCs w:val="20"/>
              </w:rPr>
            </w:pPr>
          </w:p>
        </w:tc>
      </w:tr>
      <w:tr w:rsidR="00BE6461" w:rsidRPr="00BE6461" w14:paraId="26931EA0"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7B72157C" w14:textId="77777777" w:rsidR="00BE6461" w:rsidRPr="00BE6461" w:rsidRDefault="00BE6461" w:rsidP="00BE6461">
            <w:pPr>
              <w:rPr>
                <w:b/>
                <w:bCs/>
                <w:sz w:val="20"/>
                <w:szCs w:val="20"/>
              </w:rPr>
            </w:pPr>
            <w:r w:rsidRPr="00BE6461">
              <w:rPr>
                <w:b/>
                <w:bCs/>
                <w:sz w:val="20"/>
                <w:szCs w:val="20"/>
              </w:rPr>
              <w:t>A200051</w:t>
            </w:r>
          </w:p>
        </w:tc>
        <w:tc>
          <w:tcPr>
            <w:tcW w:w="8457" w:type="dxa"/>
            <w:tcBorders>
              <w:top w:val="single" w:sz="4" w:space="0" w:color="auto"/>
              <w:left w:val="nil"/>
              <w:bottom w:val="single" w:sz="4" w:space="0" w:color="auto"/>
              <w:right w:val="nil"/>
            </w:tcBorders>
            <w:shd w:val="clear" w:color="auto" w:fill="auto"/>
            <w:vAlign w:val="bottom"/>
            <w:hideMark/>
          </w:tcPr>
          <w:p w14:paraId="62AF20AB" w14:textId="77777777" w:rsidR="00BE6461" w:rsidRPr="00BE6461" w:rsidRDefault="00BE6461" w:rsidP="00BE6461">
            <w:pPr>
              <w:rPr>
                <w:b/>
                <w:bCs/>
                <w:sz w:val="20"/>
                <w:szCs w:val="20"/>
              </w:rPr>
            </w:pPr>
            <w:r w:rsidRPr="00BE6461">
              <w:rPr>
                <w:b/>
                <w:bCs/>
                <w:sz w:val="20"/>
                <w:szCs w:val="20"/>
              </w:rPr>
              <w:t>Aktivnost: PROMETNO REDARSTVO</w:t>
            </w:r>
          </w:p>
        </w:tc>
        <w:tc>
          <w:tcPr>
            <w:tcW w:w="1503" w:type="dxa"/>
            <w:tcBorders>
              <w:top w:val="single" w:sz="4" w:space="0" w:color="auto"/>
              <w:left w:val="nil"/>
              <w:bottom w:val="single" w:sz="4" w:space="0" w:color="auto"/>
              <w:right w:val="nil"/>
            </w:tcBorders>
            <w:shd w:val="clear" w:color="auto" w:fill="auto"/>
            <w:noWrap/>
            <w:vAlign w:val="bottom"/>
            <w:hideMark/>
          </w:tcPr>
          <w:p w14:paraId="73852C3D" w14:textId="77777777" w:rsidR="00BE6461" w:rsidRPr="00BE6461" w:rsidRDefault="00BE6461" w:rsidP="00BE6461">
            <w:pPr>
              <w:jc w:val="right"/>
              <w:rPr>
                <w:b/>
                <w:bCs/>
                <w:sz w:val="20"/>
                <w:szCs w:val="20"/>
              </w:rPr>
            </w:pPr>
            <w:r w:rsidRPr="00BE6461">
              <w:rPr>
                <w:b/>
                <w:bCs/>
                <w:sz w:val="20"/>
                <w:szCs w:val="20"/>
              </w:rPr>
              <w:t>0,00</w:t>
            </w:r>
          </w:p>
        </w:tc>
        <w:tc>
          <w:tcPr>
            <w:tcW w:w="1500" w:type="dxa"/>
            <w:tcBorders>
              <w:top w:val="single" w:sz="4" w:space="0" w:color="auto"/>
              <w:left w:val="nil"/>
              <w:bottom w:val="single" w:sz="4" w:space="0" w:color="auto"/>
              <w:right w:val="nil"/>
            </w:tcBorders>
            <w:shd w:val="clear" w:color="auto" w:fill="auto"/>
            <w:noWrap/>
            <w:vAlign w:val="bottom"/>
            <w:hideMark/>
          </w:tcPr>
          <w:p w14:paraId="56FF247C" w14:textId="77777777" w:rsidR="00BE6461" w:rsidRPr="00BE6461" w:rsidRDefault="00BE6461" w:rsidP="00BE6461">
            <w:pPr>
              <w:jc w:val="right"/>
              <w:rPr>
                <w:b/>
                <w:bCs/>
                <w:sz w:val="20"/>
                <w:szCs w:val="20"/>
              </w:rPr>
            </w:pPr>
            <w:r w:rsidRPr="00BE6461">
              <w:rPr>
                <w:b/>
                <w:bCs/>
                <w:sz w:val="20"/>
                <w:szCs w:val="20"/>
              </w:rPr>
              <w:t>17,94</w:t>
            </w:r>
          </w:p>
        </w:tc>
        <w:tc>
          <w:tcPr>
            <w:tcW w:w="1100" w:type="dxa"/>
            <w:tcBorders>
              <w:top w:val="single" w:sz="4" w:space="0" w:color="auto"/>
              <w:left w:val="nil"/>
              <w:bottom w:val="single" w:sz="4" w:space="0" w:color="auto"/>
              <w:right w:val="nil"/>
            </w:tcBorders>
            <w:shd w:val="clear" w:color="auto" w:fill="auto"/>
            <w:noWrap/>
            <w:vAlign w:val="bottom"/>
            <w:hideMark/>
          </w:tcPr>
          <w:p w14:paraId="15277A7F" w14:textId="77777777" w:rsidR="00BE6461" w:rsidRPr="00BE6461" w:rsidRDefault="00BE6461" w:rsidP="00BE6461">
            <w:pPr>
              <w:jc w:val="right"/>
              <w:rPr>
                <w:b/>
                <w:bCs/>
                <w:sz w:val="20"/>
                <w:szCs w:val="20"/>
              </w:rPr>
            </w:pPr>
            <w:r w:rsidRPr="00BE6461">
              <w:rPr>
                <w:b/>
                <w:bCs/>
                <w:sz w:val="20"/>
                <w:szCs w:val="20"/>
              </w:rPr>
              <w:t>#DIV/0!</w:t>
            </w:r>
          </w:p>
        </w:tc>
      </w:tr>
      <w:tr w:rsidR="00BE6461" w:rsidRPr="00BE6461" w14:paraId="61E22F4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50A9459"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31EA0B53"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500" w:type="dxa"/>
            <w:tcBorders>
              <w:top w:val="nil"/>
              <w:left w:val="nil"/>
              <w:bottom w:val="nil"/>
              <w:right w:val="nil"/>
            </w:tcBorders>
            <w:shd w:val="clear" w:color="auto" w:fill="auto"/>
            <w:noWrap/>
            <w:vAlign w:val="bottom"/>
            <w:hideMark/>
          </w:tcPr>
          <w:p w14:paraId="7AC145B1" w14:textId="77777777" w:rsidR="00BE6461" w:rsidRPr="00BE6461" w:rsidRDefault="00BE6461" w:rsidP="00BE6461">
            <w:pPr>
              <w:jc w:val="right"/>
              <w:rPr>
                <w:b/>
                <w:bCs/>
                <w:color w:val="333333"/>
                <w:sz w:val="20"/>
                <w:szCs w:val="20"/>
              </w:rPr>
            </w:pPr>
            <w:r w:rsidRPr="00BE6461">
              <w:rPr>
                <w:b/>
                <w:bCs/>
                <w:color w:val="333333"/>
                <w:sz w:val="20"/>
                <w:szCs w:val="20"/>
              </w:rPr>
              <w:t>17,94</w:t>
            </w:r>
          </w:p>
        </w:tc>
        <w:tc>
          <w:tcPr>
            <w:tcW w:w="1100" w:type="dxa"/>
            <w:tcBorders>
              <w:top w:val="nil"/>
              <w:left w:val="nil"/>
              <w:bottom w:val="nil"/>
              <w:right w:val="nil"/>
            </w:tcBorders>
            <w:shd w:val="clear" w:color="auto" w:fill="auto"/>
            <w:noWrap/>
            <w:vAlign w:val="bottom"/>
            <w:hideMark/>
          </w:tcPr>
          <w:p w14:paraId="639B8FA2"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686C5970"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D3C0F62"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4426E79C"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500" w:type="dxa"/>
            <w:tcBorders>
              <w:top w:val="nil"/>
              <w:left w:val="nil"/>
              <w:bottom w:val="nil"/>
              <w:right w:val="nil"/>
            </w:tcBorders>
            <w:shd w:val="clear" w:color="auto" w:fill="auto"/>
            <w:noWrap/>
            <w:vAlign w:val="bottom"/>
            <w:hideMark/>
          </w:tcPr>
          <w:p w14:paraId="239030AD" w14:textId="77777777" w:rsidR="00BE6461" w:rsidRPr="00BE6461" w:rsidRDefault="00BE6461" w:rsidP="00BE6461">
            <w:pPr>
              <w:jc w:val="right"/>
              <w:rPr>
                <w:b/>
                <w:bCs/>
                <w:color w:val="333333"/>
                <w:sz w:val="20"/>
                <w:szCs w:val="20"/>
              </w:rPr>
            </w:pPr>
            <w:r w:rsidRPr="00BE6461">
              <w:rPr>
                <w:b/>
                <w:bCs/>
                <w:color w:val="333333"/>
                <w:sz w:val="20"/>
                <w:szCs w:val="20"/>
              </w:rPr>
              <w:t>17,94</w:t>
            </w:r>
          </w:p>
        </w:tc>
        <w:tc>
          <w:tcPr>
            <w:tcW w:w="1100" w:type="dxa"/>
            <w:tcBorders>
              <w:top w:val="nil"/>
              <w:left w:val="nil"/>
              <w:bottom w:val="nil"/>
              <w:right w:val="nil"/>
            </w:tcBorders>
            <w:shd w:val="clear" w:color="auto" w:fill="auto"/>
            <w:noWrap/>
            <w:vAlign w:val="bottom"/>
            <w:hideMark/>
          </w:tcPr>
          <w:p w14:paraId="6DA830FD"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11C22981" w14:textId="77777777" w:rsidTr="00BE6461">
        <w:trPr>
          <w:trHeight w:val="300"/>
        </w:trPr>
        <w:tc>
          <w:tcPr>
            <w:tcW w:w="1703" w:type="dxa"/>
            <w:tcBorders>
              <w:top w:val="nil"/>
              <w:left w:val="nil"/>
              <w:bottom w:val="nil"/>
              <w:right w:val="nil"/>
            </w:tcBorders>
            <w:shd w:val="clear" w:color="auto" w:fill="auto"/>
            <w:noWrap/>
            <w:vAlign w:val="bottom"/>
            <w:hideMark/>
          </w:tcPr>
          <w:p w14:paraId="1FAFFD86"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3D9DBD5F"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6776A81F" w14:textId="77777777" w:rsidR="00BE6461" w:rsidRPr="00BE6461" w:rsidRDefault="00BE6461" w:rsidP="00BE6461">
            <w:pPr>
              <w:jc w:val="right"/>
              <w:rPr>
                <w:b/>
                <w:bCs/>
                <w:sz w:val="20"/>
                <w:szCs w:val="20"/>
              </w:rPr>
            </w:pPr>
            <w:r w:rsidRPr="00BE6461">
              <w:rPr>
                <w:b/>
                <w:bCs/>
                <w:sz w:val="20"/>
                <w:szCs w:val="20"/>
              </w:rPr>
              <w:t>0,00</w:t>
            </w:r>
          </w:p>
        </w:tc>
        <w:tc>
          <w:tcPr>
            <w:tcW w:w="1500" w:type="dxa"/>
            <w:tcBorders>
              <w:top w:val="nil"/>
              <w:left w:val="nil"/>
              <w:bottom w:val="nil"/>
              <w:right w:val="nil"/>
            </w:tcBorders>
            <w:shd w:val="clear" w:color="auto" w:fill="auto"/>
            <w:noWrap/>
            <w:vAlign w:val="bottom"/>
            <w:hideMark/>
          </w:tcPr>
          <w:p w14:paraId="4E1C9975" w14:textId="77777777" w:rsidR="00BE6461" w:rsidRPr="00BE6461" w:rsidRDefault="00BE6461" w:rsidP="00BE6461">
            <w:pPr>
              <w:jc w:val="right"/>
              <w:rPr>
                <w:b/>
                <w:bCs/>
                <w:sz w:val="20"/>
                <w:szCs w:val="20"/>
              </w:rPr>
            </w:pPr>
            <w:r w:rsidRPr="00BE6461">
              <w:rPr>
                <w:b/>
                <w:bCs/>
                <w:sz w:val="20"/>
                <w:szCs w:val="20"/>
              </w:rPr>
              <w:t>17,94</w:t>
            </w:r>
          </w:p>
        </w:tc>
        <w:tc>
          <w:tcPr>
            <w:tcW w:w="1100" w:type="dxa"/>
            <w:tcBorders>
              <w:top w:val="nil"/>
              <w:left w:val="nil"/>
              <w:bottom w:val="nil"/>
              <w:right w:val="nil"/>
            </w:tcBorders>
            <w:shd w:val="clear" w:color="auto" w:fill="auto"/>
            <w:noWrap/>
            <w:vAlign w:val="bottom"/>
            <w:hideMark/>
          </w:tcPr>
          <w:p w14:paraId="3A38026F"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0EEB983F" w14:textId="77777777" w:rsidTr="00BE6461">
        <w:trPr>
          <w:trHeight w:val="300"/>
        </w:trPr>
        <w:tc>
          <w:tcPr>
            <w:tcW w:w="1703" w:type="dxa"/>
            <w:tcBorders>
              <w:top w:val="nil"/>
              <w:left w:val="nil"/>
              <w:bottom w:val="nil"/>
              <w:right w:val="nil"/>
            </w:tcBorders>
            <w:shd w:val="clear" w:color="auto" w:fill="auto"/>
            <w:noWrap/>
            <w:vAlign w:val="bottom"/>
            <w:hideMark/>
          </w:tcPr>
          <w:p w14:paraId="60BEF0C9" w14:textId="77777777" w:rsidR="00BE6461" w:rsidRPr="00BE6461" w:rsidRDefault="00BE6461" w:rsidP="00BE6461">
            <w:pPr>
              <w:rPr>
                <w:sz w:val="20"/>
                <w:szCs w:val="20"/>
              </w:rPr>
            </w:pPr>
            <w:r w:rsidRPr="00BE6461">
              <w:rPr>
                <w:sz w:val="20"/>
                <w:szCs w:val="20"/>
              </w:rPr>
              <w:t>3295</w:t>
            </w:r>
          </w:p>
        </w:tc>
        <w:tc>
          <w:tcPr>
            <w:tcW w:w="8457" w:type="dxa"/>
            <w:tcBorders>
              <w:top w:val="nil"/>
              <w:left w:val="nil"/>
              <w:bottom w:val="nil"/>
              <w:right w:val="nil"/>
            </w:tcBorders>
            <w:shd w:val="clear" w:color="auto" w:fill="auto"/>
            <w:vAlign w:val="bottom"/>
            <w:hideMark/>
          </w:tcPr>
          <w:p w14:paraId="18282E55" w14:textId="77777777" w:rsidR="00BE6461" w:rsidRPr="00BE6461" w:rsidRDefault="00BE6461" w:rsidP="00BE6461">
            <w:pPr>
              <w:rPr>
                <w:sz w:val="20"/>
                <w:szCs w:val="20"/>
              </w:rPr>
            </w:pPr>
            <w:r w:rsidRPr="00BE6461">
              <w:rPr>
                <w:sz w:val="20"/>
                <w:szCs w:val="20"/>
              </w:rPr>
              <w:t xml:space="preserve">Pristojbe i naknade                                                                                 </w:t>
            </w:r>
          </w:p>
        </w:tc>
        <w:tc>
          <w:tcPr>
            <w:tcW w:w="1503" w:type="dxa"/>
            <w:tcBorders>
              <w:top w:val="nil"/>
              <w:left w:val="nil"/>
              <w:bottom w:val="nil"/>
              <w:right w:val="nil"/>
            </w:tcBorders>
            <w:shd w:val="clear" w:color="auto" w:fill="auto"/>
            <w:noWrap/>
            <w:vAlign w:val="bottom"/>
            <w:hideMark/>
          </w:tcPr>
          <w:p w14:paraId="5886282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DBF3FA1" w14:textId="77777777" w:rsidR="00BE6461" w:rsidRPr="00BE6461" w:rsidRDefault="00BE6461" w:rsidP="00BE6461">
            <w:pPr>
              <w:jc w:val="right"/>
              <w:rPr>
                <w:sz w:val="20"/>
                <w:szCs w:val="20"/>
              </w:rPr>
            </w:pPr>
            <w:r w:rsidRPr="00BE6461">
              <w:rPr>
                <w:sz w:val="20"/>
                <w:szCs w:val="20"/>
              </w:rPr>
              <w:t>17,94</w:t>
            </w:r>
          </w:p>
        </w:tc>
        <w:tc>
          <w:tcPr>
            <w:tcW w:w="1100" w:type="dxa"/>
            <w:tcBorders>
              <w:top w:val="nil"/>
              <w:left w:val="nil"/>
              <w:bottom w:val="nil"/>
              <w:right w:val="nil"/>
            </w:tcBorders>
            <w:shd w:val="clear" w:color="auto" w:fill="auto"/>
            <w:noWrap/>
            <w:vAlign w:val="bottom"/>
            <w:hideMark/>
          </w:tcPr>
          <w:p w14:paraId="1CF8C6B4" w14:textId="77777777" w:rsidR="00BE6461" w:rsidRPr="00BE6461" w:rsidRDefault="00BE6461" w:rsidP="00BE6461">
            <w:pPr>
              <w:jc w:val="right"/>
              <w:rPr>
                <w:sz w:val="20"/>
                <w:szCs w:val="20"/>
              </w:rPr>
            </w:pPr>
          </w:p>
        </w:tc>
      </w:tr>
      <w:tr w:rsidR="00BE6461" w:rsidRPr="00BE6461" w14:paraId="1EC1E2ED"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7F3C6CD8" w14:textId="77777777" w:rsidR="00BE6461" w:rsidRPr="00BE6461" w:rsidRDefault="00BE6461" w:rsidP="00BE6461">
            <w:pPr>
              <w:rPr>
                <w:b/>
                <w:bCs/>
                <w:sz w:val="20"/>
                <w:szCs w:val="20"/>
              </w:rPr>
            </w:pPr>
            <w:r w:rsidRPr="00BE6461">
              <w:rPr>
                <w:b/>
                <w:bCs/>
                <w:sz w:val="20"/>
                <w:szCs w:val="20"/>
              </w:rPr>
              <w:t>A200052</w:t>
            </w:r>
          </w:p>
        </w:tc>
        <w:tc>
          <w:tcPr>
            <w:tcW w:w="8457" w:type="dxa"/>
            <w:tcBorders>
              <w:top w:val="single" w:sz="4" w:space="0" w:color="auto"/>
              <w:left w:val="nil"/>
              <w:bottom w:val="single" w:sz="4" w:space="0" w:color="auto"/>
              <w:right w:val="nil"/>
            </w:tcBorders>
            <w:shd w:val="clear" w:color="auto" w:fill="auto"/>
            <w:vAlign w:val="bottom"/>
            <w:hideMark/>
          </w:tcPr>
          <w:p w14:paraId="4C289101" w14:textId="77777777" w:rsidR="00BE6461" w:rsidRPr="00BE6461" w:rsidRDefault="00BE6461" w:rsidP="00BE6461">
            <w:pPr>
              <w:rPr>
                <w:b/>
                <w:bCs/>
                <w:sz w:val="20"/>
                <w:szCs w:val="20"/>
              </w:rPr>
            </w:pPr>
            <w:r w:rsidRPr="00BE6461">
              <w:rPr>
                <w:b/>
                <w:bCs/>
                <w:sz w:val="20"/>
                <w:szCs w:val="20"/>
              </w:rPr>
              <w:t>Aktivnost: JAVNE PROMETNE POVRŠINE NA KOJIMA NIJE DOPUŠTEN PROMET MOTORNIM VOZILIMA</w:t>
            </w:r>
          </w:p>
        </w:tc>
        <w:tc>
          <w:tcPr>
            <w:tcW w:w="1503" w:type="dxa"/>
            <w:tcBorders>
              <w:top w:val="single" w:sz="4" w:space="0" w:color="auto"/>
              <w:left w:val="nil"/>
              <w:bottom w:val="single" w:sz="4" w:space="0" w:color="auto"/>
              <w:right w:val="nil"/>
            </w:tcBorders>
            <w:shd w:val="clear" w:color="auto" w:fill="auto"/>
            <w:noWrap/>
            <w:vAlign w:val="bottom"/>
            <w:hideMark/>
          </w:tcPr>
          <w:p w14:paraId="4B4FBAFD" w14:textId="77777777" w:rsidR="00BE6461" w:rsidRPr="00BE6461" w:rsidRDefault="00BE6461" w:rsidP="00BE6461">
            <w:pPr>
              <w:jc w:val="right"/>
              <w:rPr>
                <w:b/>
                <w:bCs/>
                <w:sz w:val="20"/>
                <w:szCs w:val="20"/>
              </w:rPr>
            </w:pPr>
            <w:r w:rsidRPr="00BE6461">
              <w:rPr>
                <w:b/>
                <w:bCs/>
                <w:sz w:val="20"/>
                <w:szCs w:val="20"/>
              </w:rPr>
              <w:t>50.000,00</w:t>
            </w:r>
          </w:p>
        </w:tc>
        <w:tc>
          <w:tcPr>
            <w:tcW w:w="1500" w:type="dxa"/>
            <w:tcBorders>
              <w:top w:val="single" w:sz="4" w:space="0" w:color="auto"/>
              <w:left w:val="nil"/>
              <w:bottom w:val="single" w:sz="4" w:space="0" w:color="auto"/>
              <w:right w:val="nil"/>
            </w:tcBorders>
            <w:shd w:val="clear" w:color="auto" w:fill="auto"/>
            <w:noWrap/>
            <w:vAlign w:val="bottom"/>
            <w:hideMark/>
          </w:tcPr>
          <w:p w14:paraId="4CC55DC4" w14:textId="77777777" w:rsidR="00BE6461" w:rsidRPr="00BE6461" w:rsidRDefault="00BE6461" w:rsidP="00BE6461">
            <w:pPr>
              <w:jc w:val="right"/>
              <w:rPr>
                <w:b/>
                <w:bCs/>
                <w:sz w:val="20"/>
                <w:szCs w:val="20"/>
              </w:rPr>
            </w:pPr>
            <w:r w:rsidRPr="00BE6461">
              <w:rPr>
                <w:b/>
                <w:bCs/>
                <w:sz w:val="20"/>
                <w:szCs w:val="20"/>
              </w:rPr>
              <w:t>50.025,00</w:t>
            </w:r>
          </w:p>
        </w:tc>
        <w:tc>
          <w:tcPr>
            <w:tcW w:w="1100" w:type="dxa"/>
            <w:tcBorders>
              <w:top w:val="single" w:sz="4" w:space="0" w:color="auto"/>
              <w:left w:val="nil"/>
              <w:bottom w:val="single" w:sz="4" w:space="0" w:color="auto"/>
              <w:right w:val="nil"/>
            </w:tcBorders>
            <w:shd w:val="clear" w:color="auto" w:fill="auto"/>
            <w:noWrap/>
            <w:vAlign w:val="bottom"/>
            <w:hideMark/>
          </w:tcPr>
          <w:p w14:paraId="4AAB0A95" w14:textId="77777777" w:rsidR="00BE6461" w:rsidRPr="00BE6461" w:rsidRDefault="00BE6461" w:rsidP="00BE6461">
            <w:pPr>
              <w:jc w:val="right"/>
              <w:rPr>
                <w:b/>
                <w:bCs/>
                <w:sz w:val="20"/>
                <w:szCs w:val="20"/>
              </w:rPr>
            </w:pPr>
            <w:r w:rsidRPr="00BE6461">
              <w:rPr>
                <w:b/>
                <w:bCs/>
                <w:sz w:val="20"/>
                <w:szCs w:val="20"/>
              </w:rPr>
              <w:t>100,05</w:t>
            </w:r>
          </w:p>
        </w:tc>
      </w:tr>
      <w:tr w:rsidR="00BE6461" w:rsidRPr="00BE6461" w14:paraId="0B23BCEE"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F2B6E0D"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102994EF" w14:textId="77777777" w:rsidR="00BE6461" w:rsidRPr="00BE6461" w:rsidRDefault="00BE6461" w:rsidP="00BE6461">
            <w:pPr>
              <w:jc w:val="right"/>
              <w:rPr>
                <w:b/>
                <w:bCs/>
                <w:color w:val="333333"/>
                <w:sz w:val="20"/>
                <w:szCs w:val="20"/>
              </w:rPr>
            </w:pPr>
            <w:r w:rsidRPr="00BE6461">
              <w:rPr>
                <w:b/>
                <w:bCs/>
                <w:color w:val="333333"/>
                <w:sz w:val="20"/>
                <w:szCs w:val="20"/>
              </w:rPr>
              <w:t>50.000,00</w:t>
            </w:r>
          </w:p>
        </w:tc>
        <w:tc>
          <w:tcPr>
            <w:tcW w:w="1500" w:type="dxa"/>
            <w:tcBorders>
              <w:top w:val="nil"/>
              <w:left w:val="nil"/>
              <w:bottom w:val="nil"/>
              <w:right w:val="nil"/>
            </w:tcBorders>
            <w:shd w:val="clear" w:color="auto" w:fill="auto"/>
            <w:noWrap/>
            <w:vAlign w:val="bottom"/>
            <w:hideMark/>
          </w:tcPr>
          <w:p w14:paraId="26434EBF" w14:textId="77777777" w:rsidR="00BE6461" w:rsidRPr="00BE6461" w:rsidRDefault="00BE6461" w:rsidP="00BE6461">
            <w:pPr>
              <w:jc w:val="right"/>
              <w:rPr>
                <w:b/>
                <w:bCs/>
                <w:color w:val="333333"/>
                <w:sz w:val="20"/>
                <w:szCs w:val="20"/>
              </w:rPr>
            </w:pPr>
            <w:r w:rsidRPr="00BE6461">
              <w:rPr>
                <w:b/>
                <w:bCs/>
                <w:color w:val="333333"/>
                <w:sz w:val="20"/>
                <w:szCs w:val="20"/>
              </w:rPr>
              <w:t>50.025,00</w:t>
            </w:r>
          </w:p>
        </w:tc>
        <w:tc>
          <w:tcPr>
            <w:tcW w:w="1100" w:type="dxa"/>
            <w:tcBorders>
              <w:top w:val="nil"/>
              <w:left w:val="nil"/>
              <w:bottom w:val="nil"/>
              <w:right w:val="nil"/>
            </w:tcBorders>
            <w:shd w:val="clear" w:color="auto" w:fill="auto"/>
            <w:noWrap/>
            <w:vAlign w:val="bottom"/>
            <w:hideMark/>
          </w:tcPr>
          <w:p w14:paraId="7F30B885" w14:textId="77777777" w:rsidR="00BE6461" w:rsidRPr="00BE6461" w:rsidRDefault="00BE6461" w:rsidP="00BE6461">
            <w:pPr>
              <w:jc w:val="right"/>
              <w:rPr>
                <w:b/>
                <w:bCs/>
                <w:color w:val="333333"/>
                <w:sz w:val="20"/>
                <w:szCs w:val="20"/>
              </w:rPr>
            </w:pPr>
            <w:r w:rsidRPr="00BE6461">
              <w:rPr>
                <w:b/>
                <w:bCs/>
                <w:color w:val="333333"/>
                <w:sz w:val="20"/>
                <w:szCs w:val="20"/>
              </w:rPr>
              <w:t>100,05</w:t>
            </w:r>
          </w:p>
        </w:tc>
      </w:tr>
      <w:tr w:rsidR="00BE6461" w:rsidRPr="00BE6461" w14:paraId="56B6A142"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513BE9D" w14:textId="77777777" w:rsidR="00BE6461" w:rsidRPr="00BE6461" w:rsidRDefault="00BE6461" w:rsidP="00BE6461">
            <w:pPr>
              <w:rPr>
                <w:b/>
                <w:bCs/>
                <w:color w:val="333333"/>
                <w:sz w:val="20"/>
                <w:szCs w:val="20"/>
              </w:rPr>
            </w:pPr>
            <w:r w:rsidRPr="00BE6461">
              <w:rPr>
                <w:b/>
                <w:bCs/>
                <w:color w:val="333333"/>
                <w:sz w:val="20"/>
                <w:szCs w:val="20"/>
              </w:rPr>
              <w:t>Izvor 4.3. PRIHODI POSEBNE NAMJENE - BORAVIŠNE PRISTOJBE</w:t>
            </w:r>
          </w:p>
        </w:tc>
        <w:tc>
          <w:tcPr>
            <w:tcW w:w="1503" w:type="dxa"/>
            <w:tcBorders>
              <w:top w:val="nil"/>
              <w:left w:val="nil"/>
              <w:bottom w:val="nil"/>
              <w:right w:val="nil"/>
            </w:tcBorders>
            <w:shd w:val="clear" w:color="auto" w:fill="auto"/>
            <w:noWrap/>
            <w:vAlign w:val="bottom"/>
            <w:hideMark/>
          </w:tcPr>
          <w:p w14:paraId="11848A2B" w14:textId="77777777" w:rsidR="00BE6461" w:rsidRPr="00BE6461" w:rsidRDefault="00BE6461" w:rsidP="00BE6461">
            <w:pPr>
              <w:jc w:val="right"/>
              <w:rPr>
                <w:b/>
                <w:bCs/>
                <w:color w:val="333333"/>
                <w:sz w:val="20"/>
                <w:szCs w:val="20"/>
              </w:rPr>
            </w:pPr>
            <w:r w:rsidRPr="00BE6461">
              <w:rPr>
                <w:b/>
                <w:bCs/>
                <w:color w:val="333333"/>
                <w:sz w:val="20"/>
                <w:szCs w:val="20"/>
              </w:rPr>
              <w:t>50.000,00</w:t>
            </w:r>
          </w:p>
        </w:tc>
        <w:tc>
          <w:tcPr>
            <w:tcW w:w="1500" w:type="dxa"/>
            <w:tcBorders>
              <w:top w:val="nil"/>
              <w:left w:val="nil"/>
              <w:bottom w:val="nil"/>
              <w:right w:val="nil"/>
            </w:tcBorders>
            <w:shd w:val="clear" w:color="auto" w:fill="auto"/>
            <w:noWrap/>
            <w:vAlign w:val="bottom"/>
            <w:hideMark/>
          </w:tcPr>
          <w:p w14:paraId="24B55449" w14:textId="77777777" w:rsidR="00BE6461" w:rsidRPr="00BE6461" w:rsidRDefault="00BE6461" w:rsidP="00BE6461">
            <w:pPr>
              <w:jc w:val="right"/>
              <w:rPr>
                <w:b/>
                <w:bCs/>
                <w:color w:val="333333"/>
                <w:sz w:val="20"/>
                <w:szCs w:val="20"/>
              </w:rPr>
            </w:pPr>
            <w:r w:rsidRPr="00BE6461">
              <w:rPr>
                <w:b/>
                <w:bCs/>
                <w:color w:val="333333"/>
                <w:sz w:val="20"/>
                <w:szCs w:val="20"/>
              </w:rPr>
              <w:t>50.025,00</w:t>
            </w:r>
          </w:p>
        </w:tc>
        <w:tc>
          <w:tcPr>
            <w:tcW w:w="1100" w:type="dxa"/>
            <w:tcBorders>
              <w:top w:val="nil"/>
              <w:left w:val="nil"/>
              <w:bottom w:val="nil"/>
              <w:right w:val="nil"/>
            </w:tcBorders>
            <w:shd w:val="clear" w:color="auto" w:fill="auto"/>
            <w:noWrap/>
            <w:vAlign w:val="bottom"/>
            <w:hideMark/>
          </w:tcPr>
          <w:p w14:paraId="5B6F44FE" w14:textId="77777777" w:rsidR="00BE6461" w:rsidRPr="00BE6461" w:rsidRDefault="00BE6461" w:rsidP="00BE6461">
            <w:pPr>
              <w:jc w:val="right"/>
              <w:rPr>
                <w:b/>
                <w:bCs/>
                <w:color w:val="333333"/>
                <w:sz w:val="20"/>
                <w:szCs w:val="20"/>
              </w:rPr>
            </w:pPr>
            <w:r w:rsidRPr="00BE6461">
              <w:rPr>
                <w:b/>
                <w:bCs/>
                <w:color w:val="333333"/>
                <w:sz w:val="20"/>
                <w:szCs w:val="20"/>
              </w:rPr>
              <w:t>100,05</w:t>
            </w:r>
          </w:p>
        </w:tc>
      </w:tr>
      <w:tr w:rsidR="00BE6461" w:rsidRPr="00BE6461" w14:paraId="769B6F6F" w14:textId="77777777" w:rsidTr="00BE6461">
        <w:trPr>
          <w:trHeight w:val="300"/>
        </w:trPr>
        <w:tc>
          <w:tcPr>
            <w:tcW w:w="1703" w:type="dxa"/>
            <w:tcBorders>
              <w:top w:val="nil"/>
              <w:left w:val="nil"/>
              <w:bottom w:val="nil"/>
              <w:right w:val="nil"/>
            </w:tcBorders>
            <w:shd w:val="clear" w:color="auto" w:fill="auto"/>
            <w:noWrap/>
            <w:vAlign w:val="bottom"/>
            <w:hideMark/>
          </w:tcPr>
          <w:p w14:paraId="37554AC7"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5E227A0D"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6BB122AE" w14:textId="77777777" w:rsidR="00BE6461" w:rsidRPr="00BE6461" w:rsidRDefault="00BE6461" w:rsidP="00BE6461">
            <w:pPr>
              <w:jc w:val="right"/>
              <w:rPr>
                <w:b/>
                <w:bCs/>
                <w:sz w:val="20"/>
                <w:szCs w:val="20"/>
              </w:rPr>
            </w:pPr>
            <w:r w:rsidRPr="00BE6461">
              <w:rPr>
                <w:b/>
                <w:bCs/>
                <w:sz w:val="20"/>
                <w:szCs w:val="20"/>
              </w:rPr>
              <w:t>50.000,00</w:t>
            </w:r>
          </w:p>
        </w:tc>
        <w:tc>
          <w:tcPr>
            <w:tcW w:w="1500" w:type="dxa"/>
            <w:tcBorders>
              <w:top w:val="nil"/>
              <w:left w:val="nil"/>
              <w:bottom w:val="nil"/>
              <w:right w:val="nil"/>
            </w:tcBorders>
            <w:shd w:val="clear" w:color="auto" w:fill="auto"/>
            <w:noWrap/>
            <w:vAlign w:val="bottom"/>
            <w:hideMark/>
          </w:tcPr>
          <w:p w14:paraId="058C64E0" w14:textId="77777777" w:rsidR="00BE6461" w:rsidRPr="00BE6461" w:rsidRDefault="00BE6461" w:rsidP="00BE6461">
            <w:pPr>
              <w:jc w:val="right"/>
              <w:rPr>
                <w:b/>
                <w:bCs/>
                <w:sz w:val="20"/>
                <w:szCs w:val="20"/>
              </w:rPr>
            </w:pPr>
            <w:r w:rsidRPr="00BE6461">
              <w:rPr>
                <w:b/>
                <w:bCs/>
                <w:sz w:val="20"/>
                <w:szCs w:val="20"/>
              </w:rPr>
              <w:t>50.025,00</w:t>
            </w:r>
          </w:p>
        </w:tc>
        <w:tc>
          <w:tcPr>
            <w:tcW w:w="1100" w:type="dxa"/>
            <w:tcBorders>
              <w:top w:val="nil"/>
              <w:left w:val="nil"/>
              <w:bottom w:val="nil"/>
              <w:right w:val="nil"/>
            </w:tcBorders>
            <w:shd w:val="clear" w:color="auto" w:fill="auto"/>
            <w:noWrap/>
            <w:vAlign w:val="bottom"/>
            <w:hideMark/>
          </w:tcPr>
          <w:p w14:paraId="76069BFF" w14:textId="77777777" w:rsidR="00BE6461" w:rsidRPr="00BE6461" w:rsidRDefault="00BE6461" w:rsidP="00BE6461">
            <w:pPr>
              <w:jc w:val="right"/>
              <w:rPr>
                <w:b/>
                <w:bCs/>
                <w:sz w:val="20"/>
                <w:szCs w:val="20"/>
              </w:rPr>
            </w:pPr>
            <w:r w:rsidRPr="00BE6461">
              <w:rPr>
                <w:b/>
                <w:bCs/>
                <w:sz w:val="20"/>
                <w:szCs w:val="20"/>
              </w:rPr>
              <w:t>100,05</w:t>
            </w:r>
          </w:p>
        </w:tc>
      </w:tr>
      <w:tr w:rsidR="00BE6461" w:rsidRPr="00BE6461" w14:paraId="3FD9336E" w14:textId="77777777" w:rsidTr="00BE6461">
        <w:trPr>
          <w:trHeight w:val="300"/>
        </w:trPr>
        <w:tc>
          <w:tcPr>
            <w:tcW w:w="1703" w:type="dxa"/>
            <w:tcBorders>
              <w:top w:val="nil"/>
              <w:left w:val="nil"/>
              <w:bottom w:val="nil"/>
              <w:right w:val="nil"/>
            </w:tcBorders>
            <w:shd w:val="clear" w:color="auto" w:fill="auto"/>
            <w:noWrap/>
            <w:vAlign w:val="bottom"/>
            <w:hideMark/>
          </w:tcPr>
          <w:p w14:paraId="440EE172" w14:textId="77777777" w:rsidR="00BE6461" w:rsidRPr="00BE6461" w:rsidRDefault="00BE6461" w:rsidP="00BE6461">
            <w:pPr>
              <w:rPr>
                <w:sz w:val="20"/>
                <w:szCs w:val="20"/>
              </w:rPr>
            </w:pPr>
            <w:r w:rsidRPr="00BE6461">
              <w:rPr>
                <w:sz w:val="20"/>
                <w:szCs w:val="20"/>
              </w:rPr>
              <w:lastRenderedPageBreak/>
              <w:t>3232</w:t>
            </w:r>
          </w:p>
        </w:tc>
        <w:tc>
          <w:tcPr>
            <w:tcW w:w="8457" w:type="dxa"/>
            <w:tcBorders>
              <w:top w:val="nil"/>
              <w:left w:val="nil"/>
              <w:bottom w:val="nil"/>
              <w:right w:val="nil"/>
            </w:tcBorders>
            <w:shd w:val="clear" w:color="auto" w:fill="auto"/>
            <w:vAlign w:val="bottom"/>
            <w:hideMark/>
          </w:tcPr>
          <w:p w14:paraId="09EBB074" w14:textId="77777777" w:rsidR="00BE6461" w:rsidRPr="00BE6461" w:rsidRDefault="00BE6461" w:rsidP="00BE6461">
            <w:pPr>
              <w:rPr>
                <w:sz w:val="20"/>
                <w:szCs w:val="20"/>
              </w:rPr>
            </w:pPr>
            <w:r w:rsidRPr="00BE6461">
              <w:rPr>
                <w:sz w:val="20"/>
                <w:szCs w:val="20"/>
              </w:rPr>
              <w:t xml:space="preserve">Usluge tekućeg i investicijskog održavanja                                                          </w:t>
            </w:r>
          </w:p>
        </w:tc>
        <w:tc>
          <w:tcPr>
            <w:tcW w:w="1503" w:type="dxa"/>
            <w:tcBorders>
              <w:top w:val="nil"/>
              <w:left w:val="nil"/>
              <w:bottom w:val="nil"/>
              <w:right w:val="nil"/>
            </w:tcBorders>
            <w:shd w:val="clear" w:color="auto" w:fill="auto"/>
            <w:noWrap/>
            <w:vAlign w:val="bottom"/>
            <w:hideMark/>
          </w:tcPr>
          <w:p w14:paraId="31DD040B"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6F0F2CA" w14:textId="77777777" w:rsidR="00BE6461" w:rsidRPr="00BE6461" w:rsidRDefault="00BE6461" w:rsidP="00BE6461">
            <w:pPr>
              <w:jc w:val="right"/>
              <w:rPr>
                <w:sz w:val="20"/>
                <w:szCs w:val="20"/>
              </w:rPr>
            </w:pPr>
            <w:r w:rsidRPr="00BE6461">
              <w:rPr>
                <w:sz w:val="20"/>
                <w:szCs w:val="20"/>
              </w:rPr>
              <w:t>50.025,00</w:t>
            </w:r>
          </w:p>
        </w:tc>
        <w:tc>
          <w:tcPr>
            <w:tcW w:w="1100" w:type="dxa"/>
            <w:tcBorders>
              <w:top w:val="nil"/>
              <w:left w:val="nil"/>
              <w:bottom w:val="nil"/>
              <w:right w:val="nil"/>
            </w:tcBorders>
            <w:shd w:val="clear" w:color="auto" w:fill="auto"/>
            <w:noWrap/>
            <w:vAlign w:val="bottom"/>
            <w:hideMark/>
          </w:tcPr>
          <w:p w14:paraId="649EEC39" w14:textId="77777777" w:rsidR="00BE6461" w:rsidRPr="00BE6461" w:rsidRDefault="00BE6461" w:rsidP="00BE6461">
            <w:pPr>
              <w:jc w:val="right"/>
              <w:rPr>
                <w:sz w:val="20"/>
                <w:szCs w:val="20"/>
              </w:rPr>
            </w:pPr>
          </w:p>
        </w:tc>
      </w:tr>
      <w:tr w:rsidR="00BE6461" w:rsidRPr="00BE6461" w14:paraId="73A21CD6"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0A96CBF2" w14:textId="77777777" w:rsidR="00BE6461" w:rsidRPr="00BE6461" w:rsidRDefault="00BE6461" w:rsidP="00BE6461">
            <w:pPr>
              <w:rPr>
                <w:b/>
                <w:bCs/>
                <w:sz w:val="20"/>
                <w:szCs w:val="20"/>
              </w:rPr>
            </w:pPr>
            <w:r w:rsidRPr="00BE6461">
              <w:rPr>
                <w:b/>
                <w:bCs/>
                <w:sz w:val="20"/>
                <w:szCs w:val="20"/>
              </w:rPr>
              <w:t>A200053</w:t>
            </w:r>
          </w:p>
        </w:tc>
        <w:tc>
          <w:tcPr>
            <w:tcW w:w="8457" w:type="dxa"/>
            <w:tcBorders>
              <w:top w:val="single" w:sz="4" w:space="0" w:color="auto"/>
              <w:left w:val="nil"/>
              <w:bottom w:val="single" w:sz="4" w:space="0" w:color="auto"/>
              <w:right w:val="nil"/>
            </w:tcBorders>
            <w:shd w:val="clear" w:color="auto" w:fill="auto"/>
            <w:vAlign w:val="bottom"/>
            <w:hideMark/>
          </w:tcPr>
          <w:p w14:paraId="561AB33E" w14:textId="77777777" w:rsidR="00BE6461" w:rsidRPr="00BE6461" w:rsidRDefault="00BE6461" w:rsidP="00BE6461">
            <w:pPr>
              <w:rPr>
                <w:b/>
                <w:bCs/>
                <w:sz w:val="20"/>
                <w:szCs w:val="20"/>
              </w:rPr>
            </w:pPr>
            <w:r w:rsidRPr="00BE6461">
              <w:rPr>
                <w:b/>
                <w:bCs/>
                <w:sz w:val="20"/>
                <w:szCs w:val="20"/>
              </w:rPr>
              <w:t>Aktivnost: GRAĐEVINE, UREĐAJI I PREDMETI JAVNE NAMJENE</w:t>
            </w:r>
          </w:p>
        </w:tc>
        <w:tc>
          <w:tcPr>
            <w:tcW w:w="1503" w:type="dxa"/>
            <w:tcBorders>
              <w:top w:val="single" w:sz="4" w:space="0" w:color="auto"/>
              <w:left w:val="nil"/>
              <w:bottom w:val="single" w:sz="4" w:space="0" w:color="auto"/>
              <w:right w:val="nil"/>
            </w:tcBorders>
            <w:shd w:val="clear" w:color="auto" w:fill="auto"/>
            <w:noWrap/>
            <w:vAlign w:val="bottom"/>
            <w:hideMark/>
          </w:tcPr>
          <w:p w14:paraId="595B316E" w14:textId="77777777" w:rsidR="00BE6461" w:rsidRPr="00BE6461" w:rsidRDefault="00BE6461" w:rsidP="00BE6461">
            <w:pPr>
              <w:jc w:val="right"/>
              <w:rPr>
                <w:b/>
                <w:bCs/>
                <w:sz w:val="20"/>
                <w:szCs w:val="20"/>
              </w:rPr>
            </w:pPr>
            <w:r w:rsidRPr="00BE6461">
              <w:rPr>
                <w:b/>
                <w:bCs/>
                <w:sz w:val="20"/>
                <w:szCs w:val="20"/>
              </w:rPr>
              <w:t>2.932.428,86</w:t>
            </w:r>
          </w:p>
        </w:tc>
        <w:tc>
          <w:tcPr>
            <w:tcW w:w="1500" w:type="dxa"/>
            <w:tcBorders>
              <w:top w:val="single" w:sz="4" w:space="0" w:color="auto"/>
              <w:left w:val="nil"/>
              <w:bottom w:val="single" w:sz="4" w:space="0" w:color="auto"/>
              <w:right w:val="nil"/>
            </w:tcBorders>
            <w:shd w:val="clear" w:color="auto" w:fill="auto"/>
            <w:noWrap/>
            <w:vAlign w:val="bottom"/>
            <w:hideMark/>
          </w:tcPr>
          <w:p w14:paraId="1A8435FC" w14:textId="77777777" w:rsidR="00BE6461" w:rsidRPr="00BE6461" w:rsidRDefault="00BE6461" w:rsidP="00BE6461">
            <w:pPr>
              <w:jc w:val="right"/>
              <w:rPr>
                <w:b/>
                <w:bCs/>
                <w:sz w:val="20"/>
                <w:szCs w:val="20"/>
              </w:rPr>
            </w:pPr>
            <w:r w:rsidRPr="00BE6461">
              <w:rPr>
                <w:b/>
                <w:bCs/>
                <w:sz w:val="20"/>
                <w:szCs w:val="20"/>
              </w:rPr>
              <w:t>2.581.739,96</w:t>
            </w:r>
          </w:p>
        </w:tc>
        <w:tc>
          <w:tcPr>
            <w:tcW w:w="1100" w:type="dxa"/>
            <w:tcBorders>
              <w:top w:val="single" w:sz="4" w:space="0" w:color="auto"/>
              <w:left w:val="nil"/>
              <w:bottom w:val="single" w:sz="4" w:space="0" w:color="auto"/>
              <w:right w:val="nil"/>
            </w:tcBorders>
            <w:shd w:val="clear" w:color="auto" w:fill="auto"/>
            <w:noWrap/>
            <w:vAlign w:val="bottom"/>
            <w:hideMark/>
          </w:tcPr>
          <w:p w14:paraId="5D17C309" w14:textId="77777777" w:rsidR="00BE6461" w:rsidRPr="00BE6461" w:rsidRDefault="00BE6461" w:rsidP="00BE6461">
            <w:pPr>
              <w:jc w:val="right"/>
              <w:rPr>
                <w:b/>
                <w:bCs/>
                <w:sz w:val="20"/>
                <w:szCs w:val="20"/>
              </w:rPr>
            </w:pPr>
            <w:r w:rsidRPr="00BE6461">
              <w:rPr>
                <w:b/>
                <w:bCs/>
                <w:sz w:val="20"/>
                <w:szCs w:val="20"/>
              </w:rPr>
              <w:t>88,04</w:t>
            </w:r>
          </w:p>
        </w:tc>
      </w:tr>
      <w:tr w:rsidR="00BE6461" w:rsidRPr="00BE6461" w14:paraId="18B1378A"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D394584"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092C9187" w14:textId="77777777" w:rsidR="00BE6461" w:rsidRPr="00BE6461" w:rsidRDefault="00BE6461" w:rsidP="00BE6461">
            <w:pPr>
              <w:jc w:val="right"/>
              <w:rPr>
                <w:b/>
                <w:bCs/>
                <w:color w:val="333333"/>
                <w:sz w:val="20"/>
                <w:szCs w:val="20"/>
              </w:rPr>
            </w:pPr>
            <w:r w:rsidRPr="00BE6461">
              <w:rPr>
                <w:b/>
                <w:bCs/>
                <w:color w:val="333333"/>
                <w:sz w:val="20"/>
                <w:szCs w:val="20"/>
              </w:rPr>
              <w:t>558.680,88</w:t>
            </w:r>
          </w:p>
        </w:tc>
        <w:tc>
          <w:tcPr>
            <w:tcW w:w="1500" w:type="dxa"/>
            <w:tcBorders>
              <w:top w:val="nil"/>
              <w:left w:val="nil"/>
              <w:bottom w:val="nil"/>
              <w:right w:val="nil"/>
            </w:tcBorders>
            <w:shd w:val="clear" w:color="auto" w:fill="auto"/>
            <w:noWrap/>
            <w:vAlign w:val="bottom"/>
            <w:hideMark/>
          </w:tcPr>
          <w:p w14:paraId="0DD7A0D8" w14:textId="240A34D6" w:rsidR="00BE6461" w:rsidRPr="00BE6461" w:rsidRDefault="00BE6461" w:rsidP="00BE6461">
            <w:pPr>
              <w:jc w:val="right"/>
              <w:rPr>
                <w:b/>
                <w:bCs/>
                <w:color w:val="333333"/>
                <w:sz w:val="20"/>
                <w:szCs w:val="20"/>
              </w:rPr>
            </w:pPr>
            <w:r w:rsidRPr="00BE6461">
              <w:rPr>
                <w:b/>
                <w:bCs/>
                <w:color w:val="333333"/>
                <w:sz w:val="20"/>
                <w:szCs w:val="20"/>
              </w:rPr>
              <w:t>5</w:t>
            </w:r>
            <w:r w:rsidR="003779CB">
              <w:rPr>
                <w:b/>
                <w:bCs/>
                <w:color w:val="333333"/>
                <w:sz w:val="20"/>
                <w:szCs w:val="20"/>
              </w:rPr>
              <w:t>14.984,91</w:t>
            </w:r>
          </w:p>
        </w:tc>
        <w:tc>
          <w:tcPr>
            <w:tcW w:w="1100" w:type="dxa"/>
            <w:tcBorders>
              <w:top w:val="nil"/>
              <w:left w:val="nil"/>
              <w:bottom w:val="nil"/>
              <w:right w:val="nil"/>
            </w:tcBorders>
            <w:shd w:val="clear" w:color="auto" w:fill="auto"/>
            <w:noWrap/>
            <w:vAlign w:val="bottom"/>
            <w:hideMark/>
          </w:tcPr>
          <w:p w14:paraId="244225CF" w14:textId="1C41883E" w:rsidR="00BE6461" w:rsidRPr="00BE6461" w:rsidRDefault="00BE6461" w:rsidP="00BE6461">
            <w:pPr>
              <w:jc w:val="right"/>
              <w:rPr>
                <w:b/>
                <w:bCs/>
                <w:color w:val="333333"/>
                <w:sz w:val="20"/>
                <w:szCs w:val="20"/>
              </w:rPr>
            </w:pPr>
            <w:r w:rsidRPr="00BE6461">
              <w:rPr>
                <w:b/>
                <w:bCs/>
                <w:color w:val="333333"/>
                <w:sz w:val="20"/>
                <w:szCs w:val="20"/>
              </w:rPr>
              <w:t>9</w:t>
            </w:r>
            <w:r w:rsidR="003779CB">
              <w:rPr>
                <w:b/>
                <w:bCs/>
                <w:color w:val="333333"/>
                <w:sz w:val="20"/>
                <w:szCs w:val="20"/>
              </w:rPr>
              <w:t>2,18</w:t>
            </w:r>
          </w:p>
        </w:tc>
      </w:tr>
      <w:tr w:rsidR="00BE6461" w:rsidRPr="00BE6461" w14:paraId="6676EFD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1AC6B98"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2EA8847B" w14:textId="77777777" w:rsidR="00BE6461" w:rsidRPr="00BE6461" w:rsidRDefault="00BE6461" w:rsidP="00BE6461">
            <w:pPr>
              <w:jc w:val="right"/>
              <w:rPr>
                <w:b/>
                <w:bCs/>
                <w:color w:val="333333"/>
                <w:sz w:val="20"/>
                <w:szCs w:val="20"/>
              </w:rPr>
            </w:pPr>
            <w:r w:rsidRPr="00BE6461">
              <w:rPr>
                <w:b/>
                <w:bCs/>
                <w:color w:val="333333"/>
                <w:sz w:val="20"/>
                <w:szCs w:val="20"/>
              </w:rPr>
              <w:t>558.680,88</w:t>
            </w:r>
          </w:p>
        </w:tc>
        <w:tc>
          <w:tcPr>
            <w:tcW w:w="1500" w:type="dxa"/>
            <w:tcBorders>
              <w:top w:val="nil"/>
              <w:left w:val="nil"/>
              <w:bottom w:val="nil"/>
              <w:right w:val="nil"/>
            </w:tcBorders>
            <w:shd w:val="clear" w:color="auto" w:fill="auto"/>
            <w:noWrap/>
            <w:vAlign w:val="bottom"/>
            <w:hideMark/>
          </w:tcPr>
          <w:p w14:paraId="11EF297E" w14:textId="0B633496" w:rsidR="00BE6461" w:rsidRPr="00BE6461" w:rsidRDefault="00BE6461" w:rsidP="00BE6461">
            <w:pPr>
              <w:jc w:val="right"/>
              <w:rPr>
                <w:b/>
                <w:bCs/>
                <w:color w:val="333333"/>
                <w:sz w:val="20"/>
                <w:szCs w:val="20"/>
              </w:rPr>
            </w:pPr>
            <w:r w:rsidRPr="00BE6461">
              <w:rPr>
                <w:b/>
                <w:bCs/>
                <w:color w:val="333333"/>
                <w:sz w:val="20"/>
                <w:szCs w:val="20"/>
              </w:rPr>
              <w:t>5</w:t>
            </w:r>
            <w:r w:rsidR="003779CB">
              <w:rPr>
                <w:b/>
                <w:bCs/>
                <w:color w:val="333333"/>
                <w:sz w:val="20"/>
                <w:szCs w:val="20"/>
              </w:rPr>
              <w:t>14.984,91</w:t>
            </w:r>
          </w:p>
        </w:tc>
        <w:tc>
          <w:tcPr>
            <w:tcW w:w="1100" w:type="dxa"/>
            <w:tcBorders>
              <w:top w:val="nil"/>
              <w:left w:val="nil"/>
              <w:bottom w:val="nil"/>
              <w:right w:val="nil"/>
            </w:tcBorders>
            <w:shd w:val="clear" w:color="auto" w:fill="auto"/>
            <w:noWrap/>
            <w:vAlign w:val="bottom"/>
            <w:hideMark/>
          </w:tcPr>
          <w:p w14:paraId="1F179334" w14:textId="51516854" w:rsidR="00BE6461" w:rsidRPr="00BE6461" w:rsidRDefault="00BE6461" w:rsidP="00BE6461">
            <w:pPr>
              <w:jc w:val="right"/>
              <w:rPr>
                <w:b/>
                <w:bCs/>
                <w:color w:val="333333"/>
                <w:sz w:val="20"/>
                <w:szCs w:val="20"/>
              </w:rPr>
            </w:pPr>
            <w:r w:rsidRPr="00BE6461">
              <w:rPr>
                <w:b/>
                <w:bCs/>
                <w:color w:val="333333"/>
                <w:sz w:val="20"/>
                <w:szCs w:val="20"/>
              </w:rPr>
              <w:t>9</w:t>
            </w:r>
            <w:r w:rsidR="003779CB">
              <w:rPr>
                <w:b/>
                <w:bCs/>
                <w:color w:val="333333"/>
                <w:sz w:val="20"/>
                <w:szCs w:val="20"/>
              </w:rPr>
              <w:t>2,18</w:t>
            </w:r>
          </w:p>
        </w:tc>
      </w:tr>
      <w:tr w:rsidR="00BE6461" w:rsidRPr="00BE6461" w14:paraId="2C473441" w14:textId="77777777" w:rsidTr="00BE6461">
        <w:trPr>
          <w:trHeight w:val="300"/>
        </w:trPr>
        <w:tc>
          <w:tcPr>
            <w:tcW w:w="1703" w:type="dxa"/>
            <w:tcBorders>
              <w:top w:val="nil"/>
              <w:left w:val="nil"/>
              <w:bottom w:val="nil"/>
              <w:right w:val="nil"/>
            </w:tcBorders>
            <w:shd w:val="clear" w:color="auto" w:fill="auto"/>
            <w:noWrap/>
            <w:vAlign w:val="bottom"/>
            <w:hideMark/>
          </w:tcPr>
          <w:p w14:paraId="7BDC86B6"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5628F25F"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7BE702E5" w14:textId="77777777" w:rsidR="00BE6461" w:rsidRPr="00BE6461" w:rsidRDefault="00BE6461" w:rsidP="00BE6461">
            <w:pPr>
              <w:jc w:val="right"/>
              <w:rPr>
                <w:b/>
                <w:bCs/>
                <w:sz w:val="20"/>
                <w:szCs w:val="20"/>
              </w:rPr>
            </w:pPr>
            <w:r w:rsidRPr="00BE6461">
              <w:rPr>
                <w:b/>
                <w:bCs/>
                <w:sz w:val="20"/>
                <w:szCs w:val="20"/>
              </w:rPr>
              <w:t>340.000,00</w:t>
            </w:r>
          </w:p>
        </w:tc>
        <w:tc>
          <w:tcPr>
            <w:tcW w:w="1500" w:type="dxa"/>
            <w:tcBorders>
              <w:top w:val="nil"/>
              <w:left w:val="nil"/>
              <w:bottom w:val="nil"/>
              <w:right w:val="nil"/>
            </w:tcBorders>
            <w:shd w:val="clear" w:color="auto" w:fill="auto"/>
            <w:noWrap/>
            <w:vAlign w:val="bottom"/>
            <w:hideMark/>
          </w:tcPr>
          <w:p w14:paraId="686709F8" w14:textId="77777777" w:rsidR="00BE6461" w:rsidRPr="00BE6461" w:rsidRDefault="00BE6461" w:rsidP="00BE6461">
            <w:pPr>
              <w:jc w:val="right"/>
              <w:rPr>
                <w:b/>
                <w:bCs/>
                <w:sz w:val="20"/>
                <w:szCs w:val="20"/>
              </w:rPr>
            </w:pPr>
            <w:r w:rsidRPr="00BE6461">
              <w:rPr>
                <w:b/>
                <w:bCs/>
                <w:sz w:val="20"/>
                <w:szCs w:val="20"/>
              </w:rPr>
              <w:t>317.356,42</w:t>
            </w:r>
          </w:p>
        </w:tc>
        <w:tc>
          <w:tcPr>
            <w:tcW w:w="1100" w:type="dxa"/>
            <w:tcBorders>
              <w:top w:val="nil"/>
              <w:left w:val="nil"/>
              <w:bottom w:val="nil"/>
              <w:right w:val="nil"/>
            </w:tcBorders>
            <w:shd w:val="clear" w:color="auto" w:fill="auto"/>
            <w:noWrap/>
            <w:vAlign w:val="bottom"/>
            <w:hideMark/>
          </w:tcPr>
          <w:p w14:paraId="53F655D2" w14:textId="77777777" w:rsidR="00BE6461" w:rsidRPr="00BE6461" w:rsidRDefault="00BE6461" w:rsidP="00BE6461">
            <w:pPr>
              <w:jc w:val="right"/>
              <w:rPr>
                <w:b/>
                <w:bCs/>
                <w:sz w:val="20"/>
                <w:szCs w:val="20"/>
              </w:rPr>
            </w:pPr>
            <w:r w:rsidRPr="00BE6461">
              <w:rPr>
                <w:b/>
                <w:bCs/>
                <w:sz w:val="20"/>
                <w:szCs w:val="20"/>
              </w:rPr>
              <w:t>93,34</w:t>
            </w:r>
          </w:p>
        </w:tc>
      </w:tr>
      <w:tr w:rsidR="00BE6461" w:rsidRPr="00BE6461" w14:paraId="58F482AD" w14:textId="77777777" w:rsidTr="00BE6461">
        <w:trPr>
          <w:trHeight w:val="300"/>
        </w:trPr>
        <w:tc>
          <w:tcPr>
            <w:tcW w:w="1703" w:type="dxa"/>
            <w:tcBorders>
              <w:top w:val="nil"/>
              <w:left w:val="nil"/>
              <w:bottom w:val="nil"/>
              <w:right w:val="nil"/>
            </w:tcBorders>
            <w:shd w:val="clear" w:color="auto" w:fill="auto"/>
            <w:noWrap/>
            <w:vAlign w:val="bottom"/>
            <w:hideMark/>
          </w:tcPr>
          <w:p w14:paraId="42AC68B8" w14:textId="77777777" w:rsidR="00BE6461" w:rsidRPr="00BE6461" w:rsidRDefault="00BE6461" w:rsidP="00BE6461">
            <w:pPr>
              <w:rPr>
                <w:sz w:val="20"/>
                <w:szCs w:val="20"/>
              </w:rPr>
            </w:pPr>
            <w:r w:rsidRPr="00BE6461">
              <w:rPr>
                <w:sz w:val="20"/>
                <w:szCs w:val="20"/>
              </w:rPr>
              <w:t>3223</w:t>
            </w:r>
          </w:p>
        </w:tc>
        <w:tc>
          <w:tcPr>
            <w:tcW w:w="8457" w:type="dxa"/>
            <w:tcBorders>
              <w:top w:val="nil"/>
              <w:left w:val="nil"/>
              <w:bottom w:val="nil"/>
              <w:right w:val="nil"/>
            </w:tcBorders>
            <w:shd w:val="clear" w:color="auto" w:fill="auto"/>
            <w:vAlign w:val="bottom"/>
            <w:hideMark/>
          </w:tcPr>
          <w:p w14:paraId="6B3A4324" w14:textId="77777777" w:rsidR="00BE6461" w:rsidRPr="00BE6461" w:rsidRDefault="00BE6461" w:rsidP="00BE6461">
            <w:pPr>
              <w:rPr>
                <w:sz w:val="20"/>
                <w:szCs w:val="20"/>
              </w:rPr>
            </w:pPr>
            <w:r w:rsidRPr="00BE6461">
              <w:rPr>
                <w:sz w:val="20"/>
                <w:szCs w:val="20"/>
              </w:rPr>
              <w:t xml:space="preserve">Energija                                                                                            </w:t>
            </w:r>
          </w:p>
        </w:tc>
        <w:tc>
          <w:tcPr>
            <w:tcW w:w="1503" w:type="dxa"/>
            <w:tcBorders>
              <w:top w:val="nil"/>
              <w:left w:val="nil"/>
              <w:bottom w:val="nil"/>
              <w:right w:val="nil"/>
            </w:tcBorders>
            <w:shd w:val="clear" w:color="auto" w:fill="auto"/>
            <w:noWrap/>
            <w:vAlign w:val="bottom"/>
            <w:hideMark/>
          </w:tcPr>
          <w:p w14:paraId="352EB64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C13F23F" w14:textId="77777777" w:rsidR="00BE6461" w:rsidRPr="00BE6461" w:rsidRDefault="00BE6461" w:rsidP="00BE6461">
            <w:pPr>
              <w:jc w:val="right"/>
              <w:rPr>
                <w:sz w:val="20"/>
                <w:szCs w:val="20"/>
              </w:rPr>
            </w:pPr>
            <w:r w:rsidRPr="00BE6461">
              <w:rPr>
                <w:sz w:val="20"/>
                <w:szCs w:val="20"/>
              </w:rPr>
              <w:t>317.356,42</w:t>
            </w:r>
          </w:p>
        </w:tc>
        <w:tc>
          <w:tcPr>
            <w:tcW w:w="1100" w:type="dxa"/>
            <w:tcBorders>
              <w:top w:val="nil"/>
              <w:left w:val="nil"/>
              <w:bottom w:val="nil"/>
              <w:right w:val="nil"/>
            </w:tcBorders>
            <w:shd w:val="clear" w:color="auto" w:fill="auto"/>
            <w:noWrap/>
            <w:vAlign w:val="bottom"/>
            <w:hideMark/>
          </w:tcPr>
          <w:p w14:paraId="04415207" w14:textId="77777777" w:rsidR="00BE6461" w:rsidRPr="00BE6461" w:rsidRDefault="00BE6461" w:rsidP="00BE6461">
            <w:pPr>
              <w:jc w:val="right"/>
              <w:rPr>
                <w:sz w:val="20"/>
                <w:szCs w:val="20"/>
              </w:rPr>
            </w:pPr>
          </w:p>
        </w:tc>
      </w:tr>
      <w:tr w:rsidR="00BE6461" w:rsidRPr="00BE6461" w14:paraId="1E800399" w14:textId="77777777" w:rsidTr="00BE6461">
        <w:trPr>
          <w:trHeight w:val="300"/>
        </w:trPr>
        <w:tc>
          <w:tcPr>
            <w:tcW w:w="1703" w:type="dxa"/>
            <w:tcBorders>
              <w:top w:val="nil"/>
              <w:left w:val="nil"/>
              <w:bottom w:val="nil"/>
              <w:right w:val="nil"/>
            </w:tcBorders>
            <w:shd w:val="clear" w:color="auto" w:fill="auto"/>
            <w:noWrap/>
            <w:vAlign w:val="bottom"/>
            <w:hideMark/>
          </w:tcPr>
          <w:p w14:paraId="3746002A"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13811285"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59B021D3" w14:textId="77777777" w:rsidR="00BE6461" w:rsidRPr="00BE6461" w:rsidRDefault="00BE6461" w:rsidP="00BE6461">
            <w:pPr>
              <w:jc w:val="right"/>
              <w:rPr>
                <w:b/>
                <w:bCs/>
                <w:sz w:val="20"/>
                <w:szCs w:val="20"/>
              </w:rPr>
            </w:pPr>
            <w:r w:rsidRPr="00BE6461">
              <w:rPr>
                <w:b/>
                <w:bCs/>
                <w:sz w:val="20"/>
                <w:szCs w:val="20"/>
              </w:rPr>
              <w:t>218.680,88</w:t>
            </w:r>
          </w:p>
        </w:tc>
        <w:tc>
          <w:tcPr>
            <w:tcW w:w="1500" w:type="dxa"/>
            <w:tcBorders>
              <w:top w:val="nil"/>
              <w:left w:val="nil"/>
              <w:bottom w:val="nil"/>
              <w:right w:val="nil"/>
            </w:tcBorders>
            <w:shd w:val="clear" w:color="auto" w:fill="auto"/>
            <w:noWrap/>
            <w:vAlign w:val="bottom"/>
            <w:hideMark/>
          </w:tcPr>
          <w:p w14:paraId="550E8D9E" w14:textId="074975B1" w:rsidR="00BE6461" w:rsidRPr="00BE6461" w:rsidRDefault="00BE6461" w:rsidP="00BE6461">
            <w:pPr>
              <w:jc w:val="right"/>
              <w:rPr>
                <w:b/>
                <w:bCs/>
                <w:sz w:val="20"/>
                <w:szCs w:val="20"/>
              </w:rPr>
            </w:pPr>
            <w:r w:rsidRPr="00BE6461">
              <w:rPr>
                <w:b/>
                <w:bCs/>
                <w:sz w:val="20"/>
                <w:szCs w:val="20"/>
              </w:rPr>
              <w:t>19</w:t>
            </w:r>
            <w:r w:rsidR="003779CB">
              <w:rPr>
                <w:b/>
                <w:bCs/>
                <w:sz w:val="20"/>
                <w:szCs w:val="20"/>
              </w:rPr>
              <w:t>7.628,49</w:t>
            </w:r>
          </w:p>
        </w:tc>
        <w:tc>
          <w:tcPr>
            <w:tcW w:w="1100" w:type="dxa"/>
            <w:tcBorders>
              <w:top w:val="nil"/>
              <w:left w:val="nil"/>
              <w:bottom w:val="nil"/>
              <w:right w:val="nil"/>
            </w:tcBorders>
            <w:shd w:val="clear" w:color="auto" w:fill="auto"/>
            <w:noWrap/>
            <w:vAlign w:val="bottom"/>
            <w:hideMark/>
          </w:tcPr>
          <w:p w14:paraId="2A5BCACE" w14:textId="5DDDC056" w:rsidR="00BE6461" w:rsidRPr="00BE6461" w:rsidRDefault="003779CB" w:rsidP="00BE6461">
            <w:pPr>
              <w:jc w:val="right"/>
              <w:rPr>
                <w:b/>
                <w:bCs/>
                <w:sz w:val="20"/>
                <w:szCs w:val="20"/>
              </w:rPr>
            </w:pPr>
            <w:r>
              <w:rPr>
                <w:b/>
                <w:bCs/>
                <w:sz w:val="20"/>
                <w:szCs w:val="20"/>
              </w:rPr>
              <w:t>90,37</w:t>
            </w:r>
          </w:p>
        </w:tc>
      </w:tr>
      <w:tr w:rsidR="00BE6461" w:rsidRPr="00BE6461" w14:paraId="5EEC03B7" w14:textId="77777777" w:rsidTr="00BE6461">
        <w:trPr>
          <w:trHeight w:val="300"/>
        </w:trPr>
        <w:tc>
          <w:tcPr>
            <w:tcW w:w="1703" w:type="dxa"/>
            <w:tcBorders>
              <w:top w:val="nil"/>
              <w:left w:val="nil"/>
              <w:bottom w:val="nil"/>
              <w:right w:val="nil"/>
            </w:tcBorders>
            <w:shd w:val="clear" w:color="auto" w:fill="auto"/>
            <w:noWrap/>
            <w:vAlign w:val="bottom"/>
            <w:hideMark/>
          </w:tcPr>
          <w:p w14:paraId="3016D85A" w14:textId="77777777" w:rsidR="00BE6461" w:rsidRPr="00BE6461" w:rsidRDefault="00BE6461" w:rsidP="00BE6461">
            <w:pPr>
              <w:rPr>
                <w:sz w:val="20"/>
                <w:szCs w:val="20"/>
              </w:rPr>
            </w:pPr>
            <w:r w:rsidRPr="00BE6461">
              <w:rPr>
                <w:sz w:val="20"/>
                <w:szCs w:val="20"/>
              </w:rPr>
              <w:t>3232</w:t>
            </w:r>
          </w:p>
        </w:tc>
        <w:tc>
          <w:tcPr>
            <w:tcW w:w="8457" w:type="dxa"/>
            <w:tcBorders>
              <w:top w:val="nil"/>
              <w:left w:val="nil"/>
              <w:bottom w:val="nil"/>
              <w:right w:val="nil"/>
            </w:tcBorders>
            <w:shd w:val="clear" w:color="auto" w:fill="auto"/>
            <w:vAlign w:val="bottom"/>
            <w:hideMark/>
          </w:tcPr>
          <w:p w14:paraId="7776D161" w14:textId="77777777" w:rsidR="00BE6461" w:rsidRPr="00BE6461" w:rsidRDefault="00BE6461" w:rsidP="00BE6461">
            <w:pPr>
              <w:rPr>
                <w:sz w:val="20"/>
                <w:szCs w:val="20"/>
              </w:rPr>
            </w:pPr>
            <w:r w:rsidRPr="00BE6461">
              <w:rPr>
                <w:sz w:val="20"/>
                <w:szCs w:val="20"/>
              </w:rPr>
              <w:t xml:space="preserve">Usluge tekućeg i investicijskog održavanja                                                          </w:t>
            </w:r>
          </w:p>
        </w:tc>
        <w:tc>
          <w:tcPr>
            <w:tcW w:w="1503" w:type="dxa"/>
            <w:tcBorders>
              <w:top w:val="nil"/>
              <w:left w:val="nil"/>
              <w:bottom w:val="nil"/>
              <w:right w:val="nil"/>
            </w:tcBorders>
            <w:shd w:val="clear" w:color="auto" w:fill="auto"/>
            <w:noWrap/>
            <w:vAlign w:val="bottom"/>
            <w:hideMark/>
          </w:tcPr>
          <w:p w14:paraId="244B6A8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C429348" w14:textId="19F2CD10" w:rsidR="00BE6461" w:rsidRPr="00BE6461" w:rsidRDefault="003779CB" w:rsidP="00BE6461">
            <w:pPr>
              <w:jc w:val="right"/>
              <w:rPr>
                <w:sz w:val="20"/>
                <w:szCs w:val="20"/>
              </w:rPr>
            </w:pPr>
            <w:r>
              <w:rPr>
                <w:sz w:val="20"/>
                <w:szCs w:val="20"/>
              </w:rPr>
              <w:t>10.906,75</w:t>
            </w:r>
          </w:p>
        </w:tc>
        <w:tc>
          <w:tcPr>
            <w:tcW w:w="1100" w:type="dxa"/>
            <w:tcBorders>
              <w:top w:val="nil"/>
              <w:left w:val="nil"/>
              <w:bottom w:val="nil"/>
              <w:right w:val="nil"/>
            </w:tcBorders>
            <w:shd w:val="clear" w:color="auto" w:fill="auto"/>
            <w:noWrap/>
            <w:vAlign w:val="bottom"/>
            <w:hideMark/>
          </w:tcPr>
          <w:p w14:paraId="211933FC" w14:textId="77777777" w:rsidR="00BE6461" w:rsidRPr="00BE6461" w:rsidRDefault="00BE6461" w:rsidP="00BE6461">
            <w:pPr>
              <w:jc w:val="right"/>
              <w:rPr>
                <w:sz w:val="20"/>
                <w:szCs w:val="20"/>
              </w:rPr>
            </w:pPr>
          </w:p>
        </w:tc>
      </w:tr>
      <w:tr w:rsidR="00BE6461" w:rsidRPr="00BE6461" w14:paraId="7A8AC291" w14:textId="77777777" w:rsidTr="00BE6461">
        <w:trPr>
          <w:trHeight w:val="300"/>
        </w:trPr>
        <w:tc>
          <w:tcPr>
            <w:tcW w:w="1703" w:type="dxa"/>
            <w:tcBorders>
              <w:top w:val="nil"/>
              <w:left w:val="nil"/>
              <w:bottom w:val="nil"/>
              <w:right w:val="nil"/>
            </w:tcBorders>
            <w:shd w:val="clear" w:color="auto" w:fill="auto"/>
            <w:noWrap/>
            <w:vAlign w:val="bottom"/>
            <w:hideMark/>
          </w:tcPr>
          <w:p w14:paraId="1F577406" w14:textId="77777777" w:rsidR="00BE6461" w:rsidRPr="00BE6461" w:rsidRDefault="00BE6461" w:rsidP="00BE6461">
            <w:pPr>
              <w:rPr>
                <w:sz w:val="20"/>
                <w:szCs w:val="20"/>
              </w:rPr>
            </w:pPr>
            <w:r w:rsidRPr="00BE6461">
              <w:rPr>
                <w:sz w:val="20"/>
                <w:szCs w:val="20"/>
              </w:rPr>
              <w:t>3234</w:t>
            </w:r>
          </w:p>
        </w:tc>
        <w:tc>
          <w:tcPr>
            <w:tcW w:w="8457" w:type="dxa"/>
            <w:tcBorders>
              <w:top w:val="nil"/>
              <w:left w:val="nil"/>
              <w:bottom w:val="nil"/>
              <w:right w:val="nil"/>
            </w:tcBorders>
            <w:shd w:val="clear" w:color="auto" w:fill="auto"/>
            <w:vAlign w:val="bottom"/>
            <w:hideMark/>
          </w:tcPr>
          <w:p w14:paraId="790ADD46" w14:textId="77777777" w:rsidR="00BE6461" w:rsidRPr="00BE6461" w:rsidRDefault="00BE6461" w:rsidP="00BE6461">
            <w:pPr>
              <w:rPr>
                <w:sz w:val="20"/>
                <w:szCs w:val="20"/>
              </w:rPr>
            </w:pPr>
            <w:r w:rsidRPr="00BE6461">
              <w:rPr>
                <w:sz w:val="20"/>
                <w:szCs w:val="20"/>
              </w:rPr>
              <w:t xml:space="preserve">Komunalne usluge                                                                                    </w:t>
            </w:r>
          </w:p>
        </w:tc>
        <w:tc>
          <w:tcPr>
            <w:tcW w:w="1503" w:type="dxa"/>
            <w:tcBorders>
              <w:top w:val="nil"/>
              <w:left w:val="nil"/>
              <w:bottom w:val="nil"/>
              <w:right w:val="nil"/>
            </w:tcBorders>
            <w:shd w:val="clear" w:color="auto" w:fill="auto"/>
            <w:noWrap/>
            <w:vAlign w:val="bottom"/>
            <w:hideMark/>
          </w:tcPr>
          <w:p w14:paraId="30D7B12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DB30BA3" w14:textId="77777777" w:rsidR="00BE6461" w:rsidRPr="00BE6461" w:rsidRDefault="00BE6461" w:rsidP="00BE6461">
            <w:pPr>
              <w:jc w:val="right"/>
              <w:rPr>
                <w:sz w:val="20"/>
                <w:szCs w:val="20"/>
              </w:rPr>
            </w:pPr>
            <w:r w:rsidRPr="00BE6461">
              <w:rPr>
                <w:sz w:val="20"/>
                <w:szCs w:val="20"/>
              </w:rPr>
              <w:t>173.670,13</w:t>
            </w:r>
          </w:p>
        </w:tc>
        <w:tc>
          <w:tcPr>
            <w:tcW w:w="1100" w:type="dxa"/>
            <w:tcBorders>
              <w:top w:val="nil"/>
              <w:left w:val="nil"/>
              <w:bottom w:val="nil"/>
              <w:right w:val="nil"/>
            </w:tcBorders>
            <w:shd w:val="clear" w:color="auto" w:fill="auto"/>
            <w:noWrap/>
            <w:vAlign w:val="bottom"/>
            <w:hideMark/>
          </w:tcPr>
          <w:p w14:paraId="38D26573" w14:textId="77777777" w:rsidR="00BE6461" w:rsidRPr="00BE6461" w:rsidRDefault="00BE6461" w:rsidP="00BE6461">
            <w:pPr>
              <w:jc w:val="right"/>
              <w:rPr>
                <w:sz w:val="20"/>
                <w:szCs w:val="20"/>
              </w:rPr>
            </w:pPr>
          </w:p>
        </w:tc>
      </w:tr>
      <w:tr w:rsidR="00BE6461" w:rsidRPr="00BE6461" w14:paraId="06764557" w14:textId="77777777" w:rsidTr="00BE6461">
        <w:trPr>
          <w:trHeight w:val="300"/>
        </w:trPr>
        <w:tc>
          <w:tcPr>
            <w:tcW w:w="1703" w:type="dxa"/>
            <w:tcBorders>
              <w:top w:val="nil"/>
              <w:left w:val="nil"/>
              <w:bottom w:val="nil"/>
              <w:right w:val="nil"/>
            </w:tcBorders>
            <w:shd w:val="clear" w:color="auto" w:fill="auto"/>
            <w:noWrap/>
            <w:vAlign w:val="bottom"/>
            <w:hideMark/>
          </w:tcPr>
          <w:p w14:paraId="3857340E"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0474CED6"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102FA1B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E5C99C5" w14:textId="77777777" w:rsidR="00BE6461" w:rsidRPr="00BE6461" w:rsidRDefault="00BE6461" w:rsidP="00BE6461">
            <w:pPr>
              <w:jc w:val="right"/>
              <w:rPr>
                <w:sz w:val="20"/>
                <w:szCs w:val="20"/>
              </w:rPr>
            </w:pPr>
            <w:r w:rsidRPr="00BE6461">
              <w:rPr>
                <w:sz w:val="20"/>
                <w:szCs w:val="20"/>
              </w:rPr>
              <w:t>5.750,05</w:t>
            </w:r>
          </w:p>
        </w:tc>
        <w:tc>
          <w:tcPr>
            <w:tcW w:w="1100" w:type="dxa"/>
            <w:tcBorders>
              <w:top w:val="nil"/>
              <w:left w:val="nil"/>
              <w:bottom w:val="nil"/>
              <w:right w:val="nil"/>
            </w:tcBorders>
            <w:shd w:val="clear" w:color="auto" w:fill="auto"/>
            <w:noWrap/>
            <w:vAlign w:val="bottom"/>
            <w:hideMark/>
          </w:tcPr>
          <w:p w14:paraId="1183C055" w14:textId="77777777" w:rsidR="00BE6461" w:rsidRPr="00BE6461" w:rsidRDefault="00BE6461" w:rsidP="00BE6461">
            <w:pPr>
              <w:jc w:val="right"/>
              <w:rPr>
                <w:sz w:val="20"/>
                <w:szCs w:val="20"/>
              </w:rPr>
            </w:pPr>
          </w:p>
        </w:tc>
      </w:tr>
      <w:tr w:rsidR="00BE6461" w:rsidRPr="00BE6461" w14:paraId="5511D8E3" w14:textId="77777777" w:rsidTr="00BE6461">
        <w:trPr>
          <w:trHeight w:val="300"/>
        </w:trPr>
        <w:tc>
          <w:tcPr>
            <w:tcW w:w="1703" w:type="dxa"/>
            <w:tcBorders>
              <w:top w:val="nil"/>
              <w:left w:val="nil"/>
              <w:bottom w:val="nil"/>
              <w:right w:val="nil"/>
            </w:tcBorders>
            <w:shd w:val="clear" w:color="auto" w:fill="auto"/>
            <w:noWrap/>
            <w:vAlign w:val="bottom"/>
            <w:hideMark/>
          </w:tcPr>
          <w:p w14:paraId="024EC086" w14:textId="77777777" w:rsidR="00BE6461" w:rsidRPr="00BE6461" w:rsidRDefault="00BE6461" w:rsidP="00BE6461">
            <w:pPr>
              <w:rPr>
                <w:sz w:val="20"/>
                <w:szCs w:val="20"/>
              </w:rPr>
            </w:pPr>
            <w:r w:rsidRPr="00BE6461">
              <w:rPr>
                <w:sz w:val="20"/>
                <w:szCs w:val="20"/>
              </w:rPr>
              <w:t>3238</w:t>
            </w:r>
          </w:p>
        </w:tc>
        <w:tc>
          <w:tcPr>
            <w:tcW w:w="8457" w:type="dxa"/>
            <w:tcBorders>
              <w:top w:val="nil"/>
              <w:left w:val="nil"/>
              <w:bottom w:val="nil"/>
              <w:right w:val="nil"/>
            </w:tcBorders>
            <w:shd w:val="clear" w:color="auto" w:fill="auto"/>
            <w:vAlign w:val="bottom"/>
            <w:hideMark/>
          </w:tcPr>
          <w:p w14:paraId="223C84B6" w14:textId="77777777" w:rsidR="00BE6461" w:rsidRPr="00BE6461" w:rsidRDefault="00BE6461" w:rsidP="00BE6461">
            <w:pPr>
              <w:rPr>
                <w:sz w:val="20"/>
                <w:szCs w:val="20"/>
              </w:rPr>
            </w:pPr>
            <w:r w:rsidRPr="00BE6461">
              <w:rPr>
                <w:sz w:val="20"/>
                <w:szCs w:val="20"/>
              </w:rPr>
              <w:t xml:space="preserve">Računalne usluge                                                                                    </w:t>
            </w:r>
          </w:p>
        </w:tc>
        <w:tc>
          <w:tcPr>
            <w:tcW w:w="1503" w:type="dxa"/>
            <w:tcBorders>
              <w:top w:val="nil"/>
              <w:left w:val="nil"/>
              <w:bottom w:val="nil"/>
              <w:right w:val="nil"/>
            </w:tcBorders>
            <w:shd w:val="clear" w:color="auto" w:fill="auto"/>
            <w:noWrap/>
            <w:vAlign w:val="bottom"/>
            <w:hideMark/>
          </w:tcPr>
          <w:p w14:paraId="06BBFE29"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5120C4F" w14:textId="77777777" w:rsidR="00BE6461" w:rsidRPr="00BE6461" w:rsidRDefault="00BE6461" w:rsidP="00BE6461">
            <w:pPr>
              <w:jc w:val="right"/>
              <w:rPr>
                <w:sz w:val="20"/>
                <w:szCs w:val="20"/>
              </w:rPr>
            </w:pPr>
            <w:r w:rsidRPr="00BE6461">
              <w:rPr>
                <w:sz w:val="20"/>
                <w:szCs w:val="20"/>
              </w:rPr>
              <w:t>2.950,00</w:t>
            </w:r>
          </w:p>
        </w:tc>
        <w:tc>
          <w:tcPr>
            <w:tcW w:w="1100" w:type="dxa"/>
            <w:tcBorders>
              <w:top w:val="nil"/>
              <w:left w:val="nil"/>
              <w:bottom w:val="nil"/>
              <w:right w:val="nil"/>
            </w:tcBorders>
            <w:shd w:val="clear" w:color="auto" w:fill="auto"/>
            <w:noWrap/>
            <w:vAlign w:val="bottom"/>
            <w:hideMark/>
          </w:tcPr>
          <w:p w14:paraId="506F335A" w14:textId="77777777" w:rsidR="00BE6461" w:rsidRPr="00BE6461" w:rsidRDefault="00BE6461" w:rsidP="00BE6461">
            <w:pPr>
              <w:jc w:val="right"/>
              <w:rPr>
                <w:sz w:val="20"/>
                <w:szCs w:val="20"/>
              </w:rPr>
            </w:pPr>
          </w:p>
        </w:tc>
      </w:tr>
      <w:tr w:rsidR="00BE6461" w:rsidRPr="00BE6461" w14:paraId="73B7710C" w14:textId="77777777" w:rsidTr="00BE6461">
        <w:trPr>
          <w:trHeight w:val="300"/>
        </w:trPr>
        <w:tc>
          <w:tcPr>
            <w:tcW w:w="1703" w:type="dxa"/>
            <w:tcBorders>
              <w:top w:val="nil"/>
              <w:left w:val="nil"/>
              <w:bottom w:val="nil"/>
              <w:right w:val="nil"/>
            </w:tcBorders>
            <w:shd w:val="clear" w:color="auto" w:fill="auto"/>
            <w:noWrap/>
            <w:vAlign w:val="bottom"/>
            <w:hideMark/>
          </w:tcPr>
          <w:p w14:paraId="28BA6A76" w14:textId="77777777" w:rsidR="00BE6461" w:rsidRPr="00BE6461" w:rsidRDefault="00BE6461" w:rsidP="00BE6461">
            <w:pPr>
              <w:rPr>
                <w:sz w:val="20"/>
                <w:szCs w:val="20"/>
              </w:rPr>
            </w:pPr>
            <w:r w:rsidRPr="00BE6461">
              <w:rPr>
                <w:sz w:val="20"/>
                <w:szCs w:val="20"/>
              </w:rPr>
              <w:t>3239</w:t>
            </w:r>
          </w:p>
        </w:tc>
        <w:tc>
          <w:tcPr>
            <w:tcW w:w="8457" w:type="dxa"/>
            <w:tcBorders>
              <w:top w:val="nil"/>
              <w:left w:val="nil"/>
              <w:bottom w:val="nil"/>
              <w:right w:val="nil"/>
            </w:tcBorders>
            <w:shd w:val="clear" w:color="auto" w:fill="auto"/>
            <w:vAlign w:val="bottom"/>
            <w:hideMark/>
          </w:tcPr>
          <w:p w14:paraId="1292FD39" w14:textId="77777777" w:rsidR="00BE6461" w:rsidRPr="00BE6461" w:rsidRDefault="00BE6461" w:rsidP="00BE6461">
            <w:pPr>
              <w:rPr>
                <w:sz w:val="20"/>
                <w:szCs w:val="20"/>
              </w:rPr>
            </w:pPr>
            <w:r w:rsidRPr="00BE6461">
              <w:rPr>
                <w:sz w:val="20"/>
                <w:szCs w:val="20"/>
              </w:rPr>
              <w:t xml:space="preserve">Ostale usluge                                                                                       </w:t>
            </w:r>
          </w:p>
        </w:tc>
        <w:tc>
          <w:tcPr>
            <w:tcW w:w="1503" w:type="dxa"/>
            <w:tcBorders>
              <w:top w:val="nil"/>
              <w:left w:val="nil"/>
              <w:bottom w:val="nil"/>
              <w:right w:val="nil"/>
            </w:tcBorders>
            <w:shd w:val="clear" w:color="auto" w:fill="auto"/>
            <w:noWrap/>
            <w:vAlign w:val="bottom"/>
            <w:hideMark/>
          </w:tcPr>
          <w:p w14:paraId="2C092AB5"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6B821AA" w14:textId="77777777" w:rsidR="00BE6461" w:rsidRPr="00BE6461" w:rsidRDefault="00BE6461" w:rsidP="00BE6461">
            <w:pPr>
              <w:jc w:val="right"/>
              <w:rPr>
                <w:sz w:val="20"/>
                <w:szCs w:val="20"/>
              </w:rPr>
            </w:pPr>
            <w:r w:rsidRPr="00BE6461">
              <w:rPr>
                <w:sz w:val="20"/>
                <w:szCs w:val="20"/>
              </w:rPr>
              <w:t>4.351,56</w:t>
            </w:r>
          </w:p>
        </w:tc>
        <w:tc>
          <w:tcPr>
            <w:tcW w:w="1100" w:type="dxa"/>
            <w:tcBorders>
              <w:top w:val="nil"/>
              <w:left w:val="nil"/>
              <w:bottom w:val="nil"/>
              <w:right w:val="nil"/>
            </w:tcBorders>
            <w:shd w:val="clear" w:color="auto" w:fill="auto"/>
            <w:noWrap/>
            <w:vAlign w:val="bottom"/>
            <w:hideMark/>
          </w:tcPr>
          <w:p w14:paraId="10F074A4" w14:textId="77777777" w:rsidR="00BE6461" w:rsidRPr="00BE6461" w:rsidRDefault="00BE6461" w:rsidP="00BE6461">
            <w:pPr>
              <w:jc w:val="right"/>
              <w:rPr>
                <w:sz w:val="20"/>
                <w:szCs w:val="20"/>
              </w:rPr>
            </w:pPr>
          </w:p>
        </w:tc>
      </w:tr>
      <w:tr w:rsidR="00BE6461" w:rsidRPr="00BE6461" w14:paraId="28D9E1E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F78BF69"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36540845" w14:textId="77777777" w:rsidR="00BE6461" w:rsidRPr="00BE6461" w:rsidRDefault="00BE6461" w:rsidP="00BE6461">
            <w:pPr>
              <w:jc w:val="right"/>
              <w:rPr>
                <w:b/>
                <w:bCs/>
                <w:color w:val="333333"/>
                <w:sz w:val="20"/>
                <w:szCs w:val="20"/>
              </w:rPr>
            </w:pPr>
            <w:r w:rsidRPr="00BE6461">
              <w:rPr>
                <w:b/>
                <w:bCs/>
                <w:color w:val="333333"/>
                <w:sz w:val="20"/>
                <w:szCs w:val="20"/>
              </w:rPr>
              <w:t>1.117.077,98</w:t>
            </w:r>
          </w:p>
        </w:tc>
        <w:tc>
          <w:tcPr>
            <w:tcW w:w="1500" w:type="dxa"/>
            <w:tcBorders>
              <w:top w:val="nil"/>
              <w:left w:val="nil"/>
              <w:bottom w:val="nil"/>
              <w:right w:val="nil"/>
            </w:tcBorders>
            <w:shd w:val="clear" w:color="auto" w:fill="auto"/>
            <w:noWrap/>
            <w:vAlign w:val="bottom"/>
            <w:hideMark/>
          </w:tcPr>
          <w:p w14:paraId="50CE12D6" w14:textId="367CF994" w:rsidR="00BE6461" w:rsidRPr="00BE6461" w:rsidRDefault="00BE6461" w:rsidP="00BE6461">
            <w:pPr>
              <w:jc w:val="right"/>
              <w:rPr>
                <w:b/>
                <w:bCs/>
                <w:color w:val="333333"/>
                <w:sz w:val="20"/>
                <w:szCs w:val="20"/>
              </w:rPr>
            </w:pPr>
            <w:r w:rsidRPr="00BE6461">
              <w:rPr>
                <w:b/>
                <w:bCs/>
                <w:color w:val="333333"/>
                <w:sz w:val="20"/>
                <w:szCs w:val="20"/>
              </w:rPr>
              <w:t>9</w:t>
            </w:r>
            <w:r w:rsidR="003779CB">
              <w:rPr>
                <w:b/>
                <w:bCs/>
                <w:color w:val="333333"/>
                <w:sz w:val="20"/>
                <w:szCs w:val="20"/>
              </w:rPr>
              <w:t>35.876,59</w:t>
            </w:r>
          </w:p>
        </w:tc>
        <w:tc>
          <w:tcPr>
            <w:tcW w:w="1100" w:type="dxa"/>
            <w:tcBorders>
              <w:top w:val="nil"/>
              <w:left w:val="nil"/>
              <w:bottom w:val="nil"/>
              <w:right w:val="nil"/>
            </w:tcBorders>
            <w:shd w:val="clear" w:color="auto" w:fill="auto"/>
            <w:noWrap/>
            <w:vAlign w:val="bottom"/>
            <w:hideMark/>
          </w:tcPr>
          <w:p w14:paraId="0CB5786F" w14:textId="3829A49C" w:rsidR="00BE6461" w:rsidRPr="00BE6461" w:rsidRDefault="00BE6461" w:rsidP="00BE6461">
            <w:pPr>
              <w:jc w:val="right"/>
              <w:rPr>
                <w:b/>
                <w:bCs/>
                <w:color w:val="333333"/>
                <w:sz w:val="20"/>
                <w:szCs w:val="20"/>
              </w:rPr>
            </w:pPr>
            <w:r w:rsidRPr="00BE6461">
              <w:rPr>
                <w:b/>
                <w:bCs/>
                <w:color w:val="333333"/>
                <w:sz w:val="20"/>
                <w:szCs w:val="20"/>
              </w:rPr>
              <w:t>8</w:t>
            </w:r>
            <w:r w:rsidR="003779CB">
              <w:rPr>
                <w:b/>
                <w:bCs/>
                <w:color w:val="333333"/>
                <w:sz w:val="20"/>
                <w:szCs w:val="20"/>
              </w:rPr>
              <w:t>3,78</w:t>
            </w:r>
          </w:p>
        </w:tc>
      </w:tr>
      <w:tr w:rsidR="00BE6461" w:rsidRPr="00BE6461" w14:paraId="709219AA"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9BB97B5" w14:textId="77777777" w:rsidR="00BE6461" w:rsidRPr="00BE6461" w:rsidRDefault="00BE6461" w:rsidP="00BE6461">
            <w:pPr>
              <w:rPr>
                <w:b/>
                <w:bCs/>
                <w:color w:val="333333"/>
                <w:sz w:val="20"/>
                <w:szCs w:val="20"/>
              </w:rPr>
            </w:pPr>
            <w:r w:rsidRPr="00BE6461">
              <w:rPr>
                <w:b/>
                <w:bCs/>
                <w:color w:val="333333"/>
                <w:sz w:val="20"/>
                <w:szCs w:val="20"/>
              </w:rPr>
              <w:t>Izvor 4.1. PRIHODI POSEBNE NAMJENE - KOMUNALNA NAKNADA</w:t>
            </w:r>
          </w:p>
        </w:tc>
        <w:tc>
          <w:tcPr>
            <w:tcW w:w="1503" w:type="dxa"/>
            <w:tcBorders>
              <w:top w:val="nil"/>
              <w:left w:val="nil"/>
              <w:bottom w:val="nil"/>
              <w:right w:val="nil"/>
            </w:tcBorders>
            <w:shd w:val="clear" w:color="auto" w:fill="auto"/>
            <w:noWrap/>
            <w:vAlign w:val="bottom"/>
            <w:hideMark/>
          </w:tcPr>
          <w:p w14:paraId="3CB7D737" w14:textId="77777777" w:rsidR="00BE6461" w:rsidRPr="00BE6461" w:rsidRDefault="00BE6461" w:rsidP="00BE6461">
            <w:pPr>
              <w:jc w:val="right"/>
              <w:rPr>
                <w:b/>
                <w:bCs/>
                <w:color w:val="333333"/>
                <w:sz w:val="20"/>
                <w:szCs w:val="20"/>
              </w:rPr>
            </w:pPr>
            <w:r w:rsidRPr="00BE6461">
              <w:rPr>
                <w:b/>
                <w:bCs/>
                <w:color w:val="333333"/>
                <w:sz w:val="20"/>
                <w:szCs w:val="20"/>
              </w:rPr>
              <w:t>752.500,00</w:t>
            </w:r>
          </w:p>
        </w:tc>
        <w:tc>
          <w:tcPr>
            <w:tcW w:w="1500" w:type="dxa"/>
            <w:tcBorders>
              <w:top w:val="nil"/>
              <w:left w:val="nil"/>
              <w:bottom w:val="nil"/>
              <w:right w:val="nil"/>
            </w:tcBorders>
            <w:shd w:val="clear" w:color="auto" w:fill="auto"/>
            <w:noWrap/>
            <w:vAlign w:val="bottom"/>
            <w:hideMark/>
          </w:tcPr>
          <w:p w14:paraId="73C8385D" w14:textId="77777777" w:rsidR="00BE6461" w:rsidRPr="00BE6461" w:rsidRDefault="00BE6461" w:rsidP="00BE6461">
            <w:pPr>
              <w:jc w:val="right"/>
              <w:rPr>
                <w:b/>
                <w:bCs/>
                <w:color w:val="333333"/>
                <w:sz w:val="20"/>
                <w:szCs w:val="20"/>
              </w:rPr>
            </w:pPr>
            <w:r w:rsidRPr="00BE6461">
              <w:rPr>
                <w:b/>
                <w:bCs/>
                <w:color w:val="333333"/>
                <w:sz w:val="20"/>
                <w:szCs w:val="20"/>
              </w:rPr>
              <w:t>590.476,24</w:t>
            </w:r>
          </w:p>
        </w:tc>
        <w:tc>
          <w:tcPr>
            <w:tcW w:w="1100" w:type="dxa"/>
            <w:tcBorders>
              <w:top w:val="nil"/>
              <w:left w:val="nil"/>
              <w:bottom w:val="nil"/>
              <w:right w:val="nil"/>
            </w:tcBorders>
            <w:shd w:val="clear" w:color="auto" w:fill="auto"/>
            <w:noWrap/>
            <w:vAlign w:val="bottom"/>
            <w:hideMark/>
          </w:tcPr>
          <w:p w14:paraId="63272A64" w14:textId="77777777" w:rsidR="00BE6461" w:rsidRPr="00BE6461" w:rsidRDefault="00BE6461" w:rsidP="00BE6461">
            <w:pPr>
              <w:jc w:val="right"/>
              <w:rPr>
                <w:b/>
                <w:bCs/>
                <w:color w:val="333333"/>
                <w:sz w:val="20"/>
                <w:szCs w:val="20"/>
              </w:rPr>
            </w:pPr>
            <w:r w:rsidRPr="00BE6461">
              <w:rPr>
                <w:b/>
                <w:bCs/>
                <w:color w:val="333333"/>
                <w:sz w:val="20"/>
                <w:szCs w:val="20"/>
              </w:rPr>
              <w:t>78,47</w:t>
            </w:r>
          </w:p>
        </w:tc>
      </w:tr>
      <w:tr w:rsidR="00BE6461" w:rsidRPr="00BE6461" w14:paraId="5AF20645" w14:textId="77777777" w:rsidTr="00BE6461">
        <w:trPr>
          <w:trHeight w:val="300"/>
        </w:trPr>
        <w:tc>
          <w:tcPr>
            <w:tcW w:w="1703" w:type="dxa"/>
            <w:tcBorders>
              <w:top w:val="nil"/>
              <w:left w:val="nil"/>
              <w:bottom w:val="nil"/>
              <w:right w:val="nil"/>
            </w:tcBorders>
            <w:shd w:val="clear" w:color="auto" w:fill="auto"/>
            <w:noWrap/>
            <w:vAlign w:val="bottom"/>
            <w:hideMark/>
          </w:tcPr>
          <w:p w14:paraId="2FEF78B5"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10F68B9A"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5D56503C" w14:textId="77777777" w:rsidR="00BE6461" w:rsidRPr="00BE6461" w:rsidRDefault="00BE6461" w:rsidP="00BE6461">
            <w:pPr>
              <w:jc w:val="right"/>
              <w:rPr>
                <w:b/>
                <w:bCs/>
                <w:sz w:val="20"/>
                <w:szCs w:val="20"/>
              </w:rPr>
            </w:pPr>
            <w:r w:rsidRPr="00BE6461">
              <w:rPr>
                <w:b/>
                <w:bCs/>
                <w:sz w:val="20"/>
                <w:szCs w:val="20"/>
              </w:rPr>
              <w:t>623.500,00</w:t>
            </w:r>
          </w:p>
        </w:tc>
        <w:tc>
          <w:tcPr>
            <w:tcW w:w="1500" w:type="dxa"/>
            <w:tcBorders>
              <w:top w:val="nil"/>
              <w:left w:val="nil"/>
              <w:bottom w:val="nil"/>
              <w:right w:val="nil"/>
            </w:tcBorders>
            <w:shd w:val="clear" w:color="auto" w:fill="auto"/>
            <w:noWrap/>
            <w:vAlign w:val="bottom"/>
            <w:hideMark/>
          </w:tcPr>
          <w:p w14:paraId="5350FDF7" w14:textId="77777777" w:rsidR="00BE6461" w:rsidRPr="00BE6461" w:rsidRDefault="00BE6461" w:rsidP="00BE6461">
            <w:pPr>
              <w:jc w:val="right"/>
              <w:rPr>
                <w:b/>
                <w:bCs/>
                <w:sz w:val="20"/>
                <w:szCs w:val="20"/>
              </w:rPr>
            </w:pPr>
            <w:r w:rsidRPr="00BE6461">
              <w:rPr>
                <w:b/>
                <w:bCs/>
                <w:sz w:val="20"/>
                <w:szCs w:val="20"/>
              </w:rPr>
              <w:t>534.629,99</w:t>
            </w:r>
          </w:p>
        </w:tc>
        <w:tc>
          <w:tcPr>
            <w:tcW w:w="1100" w:type="dxa"/>
            <w:tcBorders>
              <w:top w:val="nil"/>
              <w:left w:val="nil"/>
              <w:bottom w:val="nil"/>
              <w:right w:val="nil"/>
            </w:tcBorders>
            <w:shd w:val="clear" w:color="auto" w:fill="auto"/>
            <w:noWrap/>
            <w:vAlign w:val="bottom"/>
            <w:hideMark/>
          </w:tcPr>
          <w:p w14:paraId="652BC358" w14:textId="77777777" w:rsidR="00BE6461" w:rsidRPr="00BE6461" w:rsidRDefault="00BE6461" w:rsidP="00BE6461">
            <w:pPr>
              <w:jc w:val="right"/>
              <w:rPr>
                <w:b/>
                <w:bCs/>
                <w:sz w:val="20"/>
                <w:szCs w:val="20"/>
              </w:rPr>
            </w:pPr>
            <w:r w:rsidRPr="00BE6461">
              <w:rPr>
                <w:b/>
                <w:bCs/>
                <w:sz w:val="20"/>
                <w:szCs w:val="20"/>
              </w:rPr>
              <w:t>85,75</w:t>
            </w:r>
          </w:p>
        </w:tc>
      </w:tr>
      <w:tr w:rsidR="00BE6461" w:rsidRPr="00BE6461" w14:paraId="382C79B1" w14:textId="77777777" w:rsidTr="00BE6461">
        <w:trPr>
          <w:trHeight w:val="300"/>
        </w:trPr>
        <w:tc>
          <w:tcPr>
            <w:tcW w:w="1703" w:type="dxa"/>
            <w:tcBorders>
              <w:top w:val="nil"/>
              <w:left w:val="nil"/>
              <w:bottom w:val="nil"/>
              <w:right w:val="nil"/>
            </w:tcBorders>
            <w:shd w:val="clear" w:color="auto" w:fill="auto"/>
            <w:noWrap/>
            <w:vAlign w:val="bottom"/>
            <w:hideMark/>
          </w:tcPr>
          <w:p w14:paraId="11E77636" w14:textId="77777777" w:rsidR="00BE6461" w:rsidRPr="00BE6461" w:rsidRDefault="00BE6461" w:rsidP="00BE6461">
            <w:pPr>
              <w:rPr>
                <w:sz w:val="20"/>
                <w:szCs w:val="20"/>
              </w:rPr>
            </w:pPr>
            <w:r w:rsidRPr="00BE6461">
              <w:rPr>
                <w:sz w:val="20"/>
                <w:szCs w:val="20"/>
              </w:rPr>
              <w:t>3231</w:t>
            </w:r>
          </w:p>
        </w:tc>
        <w:tc>
          <w:tcPr>
            <w:tcW w:w="8457" w:type="dxa"/>
            <w:tcBorders>
              <w:top w:val="nil"/>
              <w:left w:val="nil"/>
              <w:bottom w:val="nil"/>
              <w:right w:val="nil"/>
            </w:tcBorders>
            <w:shd w:val="clear" w:color="auto" w:fill="auto"/>
            <w:vAlign w:val="bottom"/>
            <w:hideMark/>
          </w:tcPr>
          <w:p w14:paraId="77AEB3BB" w14:textId="77777777" w:rsidR="00BE6461" w:rsidRPr="00BE6461" w:rsidRDefault="00BE6461" w:rsidP="00BE6461">
            <w:pPr>
              <w:rPr>
                <w:sz w:val="20"/>
                <w:szCs w:val="20"/>
              </w:rPr>
            </w:pPr>
            <w:r w:rsidRPr="00BE6461">
              <w:rPr>
                <w:sz w:val="20"/>
                <w:szCs w:val="20"/>
              </w:rPr>
              <w:t xml:space="preserve">Usluge telefona, pošte i prijevoza                                                                  </w:t>
            </w:r>
          </w:p>
        </w:tc>
        <w:tc>
          <w:tcPr>
            <w:tcW w:w="1503" w:type="dxa"/>
            <w:tcBorders>
              <w:top w:val="nil"/>
              <w:left w:val="nil"/>
              <w:bottom w:val="nil"/>
              <w:right w:val="nil"/>
            </w:tcBorders>
            <w:shd w:val="clear" w:color="auto" w:fill="auto"/>
            <w:noWrap/>
            <w:vAlign w:val="bottom"/>
            <w:hideMark/>
          </w:tcPr>
          <w:p w14:paraId="0431FD0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CC4C532" w14:textId="77777777" w:rsidR="00BE6461" w:rsidRPr="00BE6461" w:rsidRDefault="00BE6461" w:rsidP="00BE6461">
            <w:pPr>
              <w:jc w:val="right"/>
              <w:rPr>
                <w:sz w:val="20"/>
                <w:szCs w:val="20"/>
              </w:rPr>
            </w:pPr>
            <w:r w:rsidRPr="00BE6461">
              <w:rPr>
                <w:sz w:val="20"/>
                <w:szCs w:val="20"/>
              </w:rPr>
              <w:t>55.434,49</w:t>
            </w:r>
          </w:p>
        </w:tc>
        <w:tc>
          <w:tcPr>
            <w:tcW w:w="1100" w:type="dxa"/>
            <w:tcBorders>
              <w:top w:val="nil"/>
              <w:left w:val="nil"/>
              <w:bottom w:val="nil"/>
              <w:right w:val="nil"/>
            </w:tcBorders>
            <w:shd w:val="clear" w:color="auto" w:fill="auto"/>
            <w:noWrap/>
            <w:vAlign w:val="bottom"/>
            <w:hideMark/>
          </w:tcPr>
          <w:p w14:paraId="73CDC5DC" w14:textId="77777777" w:rsidR="00BE6461" w:rsidRPr="00BE6461" w:rsidRDefault="00BE6461" w:rsidP="00BE6461">
            <w:pPr>
              <w:jc w:val="right"/>
              <w:rPr>
                <w:sz w:val="20"/>
                <w:szCs w:val="20"/>
              </w:rPr>
            </w:pPr>
          </w:p>
        </w:tc>
      </w:tr>
      <w:tr w:rsidR="00BE6461" w:rsidRPr="00BE6461" w14:paraId="52EA0F75" w14:textId="77777777" w:rsidTr="00BE6461">
        <w:trPr>
          <w:trHeight w:val="300"/>
        </w:trPr>
        <w:tc>
          <w:tcPr>
            <w:tcW w:w="1703" w:type="dxa"/>
            <w:tcBorders>
              <w:top w:val="nil"/>
              <w:left w:val="nil"/>
              <w:bottom w:val="nil"/>
              <w:right w:val="nil"/>
            </w:tcBorders>
            <w:shd w:val="clear" w:color="auto" w:fill="auto"/>
            <w:noWrap/>
            <w:vAlign w:val="bottom"/>
            <w:hideMark/>
          </w:tcPr>
          <w:p w14:paraId="1D453D04" w14:textId="77777777" w:rsidR="00BE6461" w:rsidRPr="00BE6461" w:rsidRDefault="00BE6461" w:rsidP="00BE6461">
            <w:pPr>
              <w:rPr>
                <w:sz w:val="20"/>
                <w:szCs w:val="20"/>
              </w:rPr>
            </w:pPr>
            <w:r w:rsidRPr="00BE6461">
              <w:rPr>
                <w:sz w:val="20"/>
                <w:szCs w:val="20"/>
              </w:rPr>
              <w:t>3232</w:t>
            </w:r>
          </w:p>
        </w:tc>
        <w:tc>
          <w:tcPr>
            <w:tcW w:w="8457" w:type="dxa"/>
            <w:tcBorders>
              <w:top w:val="nil"/>
              <w:left w:val="nil"/>
              <w:bottom w:val="nil"/>
              <w:right w:val="nil"/>
            </w:tcBorders>
            <w:shd w:val="clear" w:color="auto" w:fill="auto"/>
            <w:vAlign w:val="bottom"/>
            <w:hideMark/>
          </w:tcPr>
          <w:p w14:paraId="04428166" w14:textId="77777777" w:rsidR="00BE6461" w:rsidRPr="00BE6461" w:rsidRDefault="00BE6461" w:rsidP="00BE6461">
            <w:pPr>
              <w:rPr>
                <w:sz w:val="20"/>
                <w:szCs w:val="20"/>
              </w:rPr>
            </w:pPr>
            <w:r w:rsidRPr="00BE6461">
              <w:rPr>
                <w:sz w:val="20"/>
                <w:szCs w:val="20"/>
              </w:rPr>
              <w:t xml:space="preserve">Usluge tekućeg i investicijskog održavanja                                                          </w:t>
            </w:r>
          </w:p>
        </w:tc>
        <w:tc>
          <w:tcPr>
            <w:tcW w:w="1503" w:type="dxa"/>
            <w:tcBorders>
              <w:top w:val="nil"/>
              <w:left w:val="nil"/>
              <w:bottom w:val="nil"/>
              <w:right w:val="nil"/>
            </w:tcBorders>
            <w:shd w:val="clear" w:color="auto" w:fill="auto"/>
            <w:noWrap/>
            <w:vAlign w:val="bottom"/>
            <w:hideMark/>
          </w:tcPr>
          <w:p w14:paraId="066AC95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9BB2403" w14:textId="77777777" w:rsidR="00BE6461" w:rsidRPr="00BE6461" w:rsidRDefault="00BE6461" w:rsidP="00BE6461">
            <w:pPr>
              <w:jc w:val="right"/>
              <w:rPr>
                <w:sz w:val="20"/>
                <w:szCs w:val="20"/>
              </w:rPr>
            </w:pPr>
            <w:r w:rsidRPr="00BE6461">
              <w:rPr>
                <w:sz w:val="20"/>
                <w:szCs w:val="20"/>
              </w:rPr>
              <w:t>479.195,50</w:t>
            </w:r>
          </w:p>
        </w:tc>
        <w:tc>
          <w:tcPr>
            <w:tcW w:w="1100" w:type="dxa"/>
            <w:tcBorders>
              <w:top w:val="nil"/>
              <w:left w:val="nil"/>
              <w:bottom w:val="nil"/>
              <w:right w:val="nil"/>
            </w:tcBorders>
            <w:shd w:val="clear" w:color="auto" w:fill="auto"/>
            <w:noWrap/>
            <w:vAlign w:val="bottom"/>
            <w:hideMark/>
          </w:tcPr>
          <w:p w14:paraId="2B616846" w14:textId="77777777" w:rsidR="00BE6461" w:rsidRPr="00BE6461" w:rsidRDefault="00BE6461" w:rsidP="00BE6461">
            <w:pPr>
              <w:jc w:val="right"/>
              <w:rPr>
                <w:sz w:val="20"/>
                <w:szCs w:val="20"/>
              </w:rPr>
            </w:pPr>
          </w:p>
        </w:tc>
      </w:tr>
      <w:tr w:rsidR="00BE6461" w:rsidRPr="00BE6461" w14:paraId="4D6F65CC" w14:textId="77777777" w:rsidTr="00BE6461">
        <w:trPr>
          <w:trHeight w:val="300"/>
        </w:trPr>
        <w:tc>
          <w:tcPr>
            <w:tcW w:w="1703" w:type="dxa"/>
            <w:tcBorders>
              <w:top w:val="nil"/>
              <w:left w:val="nil"/>
              <w:bottom w:val="nil"/>
              <w:right w:val="nil"/>
            </w:tcBorders>
            <w:shd w:val="clear" w:color="auto" w:fill="auto"/>
            <w:noWrap/>
            <w:vAlign w:val="bottom"/>
            <w:hideMark/>
          </w:tcPr>
          <w:p w14:paraId="785FE706" w14:textId="77777777" w:rsidR="00BE6461" w:rsidRPr="00BE6461" w:rsidRDefault="00BE6461" w:rsidP="00BE6461">
            <w:pPr>
              <w:rPr>
                <w:b/>
                <w:bCs/>
                <w:sz w:val="20"/>
                <w:szCs w:val="20"/>
              </w:rPr>
            </w:pPr>
            <w:r w:rsidRPr="00BE6461">
              <w:rPr>
                <w:b/>
                <w:bCs/>
                <w:sz w:val="20"/>
                <w:szCs w:val="20"/>
              </w:rPr>
              <w:t>382</w:t>
            </w:r>
          </w:p>
        </w:tc>
        <w:tc>
          <w:tcPr>
            <w:tcW w:w="8457" w:type="dxa"/>
            <w:tcBorders>
              <w:top w:val="nil"/>
              <w:left w:val="nil"/>
              <w:bottom w:val="nil"/>
              <w:right w:val="nil"/>
            </w:tcBorders>
            <w:shd w:val="clear" w:color="auto" w:fill="auto"/>
            <w:vAlign w:val="bottom"/>
            <w:hideMark/>
          </w:tcPr>
          <w:p w14:paraId="122EC41F" w14:textId="77777777" w:rsidR="00BE6461" w:rsidRPr="00BE6461" w:rsidRDefault="00BE6461" w:rsidP="00BE6461">
            <w:pPr>
              <w:rPr>
                <w:b/>
                <w:bCs/>
                <w:sz w:val="20"/>
                <w:szCs w:val="20"/>
              </w:rPr>
            </w:pPr>
            <w:r w:rsidRPr="00BE6461">
              <w:rPr>
                <w:b/>
                <w:bCs/>
                <w:sz w:val="20"/>
                <w:szCs w:val="20"/>
              </w:rPr>
              <w:t xml:space="preserve">Kapitalne donacije                                                                                  </w:t>
            </w:r>
          </w:p>
        </w:tc>
        <w:tc>
          <w:tcPr>
            <w:tcW w:w="1503" w:type="dxa"/>
            <w:tcBorders>
              <w:top w:val="nil"/>
              <w:left w:val="nil"/>
              <w:bottom w:val="nil"/>
              <w:right w:val="nil"/>
            </w:tcBorders>
            <w:shd w:val="clear" w:color="auto" w:fill="auto"/>
            <w:noWrap/>
            <w:vAlign w:val="bottom"/>
            <w:hideMark/>
          </w:tcPr>
          <w:p w14:paraId="2726A551" w14:textId="77777777" w:rsidR="00BE6461" w:rsidRPr="00BE6461" w:rsidRDefault="00BE6461" w:rsidP="00BE6461">
            <w:pPr>
              <w:jc w:val="right"/>
              <w:rPr>
                <w:b/>
                <w:bCs/>
                <w:sz w:val="20"/>
                <w:szCs w:val="20"/>
              </w:rPr>
            </w:pPr>
            <w:r w:rsidRPr="00BE6461">
              <w:rPr>
                <w:b/>
                <w:bCs/>
                <w:sz w:val="20"/>
                <w:szCs w:val="20"/>
              </w:rPr>
              <w:t>60.000,00</w:t>
            </w:r>
          </w:p>
        </w:tc>
        <w:tc>
          <w:tcPr>
            <w:tcW w:w="1500" w:type="dxa"/>
            <w:tcBorders>
              <w:top w:val="nil"/>
              <w:left w:val="nil"/>
              <w:bottom w:val="nil"/>
              <w:right w:val="nil"/>
            </w:tcBorders>
            <w:shd w:val="clear" w:color="auto" w:fill="auto"/>
            <w:noWrap/>
            <w:vAlign w:val="bottom"/>
            <w:hideMark/>
          </w:tcPr>
          <w:p w14:paraId="10A0D5EB"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053B4269"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4FFE40E5" w14:textId="77777777" w:rsidTr="00BE6461">
        <w:trPr>
          <w:trHeight w:val="300"/>
        </w:trPr>
        <w:tc>
          <w:tcPr>
            <w:tcW w:w="1703" w:type="dxa"/>
            <w:tcBorders>
              <w:top w:val="nil"/>
              <w:left w:val="nil"/>
              <w:bottom w:val="nil"/>
              <w:right w:val="nil"/>
            </w:tcBorders>
            <w:shd w:val="clear" w:color="auto" w:fill="auto"/>
            <w:noWrap/>
            <w:vAlign w:val="bottom"/>
            <w:hideMark/>
          </w:tcPr>
          <w:p w14:paraId="45A13107" w14:textId="77777777" w:rsidR="00BE6461" w:rsidRPr="00BE6461" w:rsidRDefault="00BE6461" w:rsidP="00BE6461">
            <w:pPr>
              <w:rPr>
                <w:sz w:val="20"/>
                <w:szCs w:val="20"/>
              </w:rPr>
            </w:pPr>
            <w:r w:rsidRPr="00BE6461">
              <w:rPr>
                <w:sz w:val="20"/>
                <w:szCs w:val="20"/>
              </w:rPr>
              <w:t>3822</w:t>
            </w:r>
          </w:p>
        </w:tc>
        <w:tc>
          <w:tcPr>
            <w:tcW w:w="8457" w:type="dxa"/>
            <w:tcBorders>
              <w:top w:val="nil"/>
              <w:left w:val="nil"/>
              <w:bottom w:val="nil"/>
              <w:right w:val="nil"/>
            </w:tcBorders>
            <w:shd w:val="clear" w:color="auto" w:fill="auto"/>
            <w:vAlign w:val="bottom"/>
            <w:hideMark/>
          </w:tcPr>
          <w:p w14:paraId="53E2C54A" w14:textId="77777777" w:rsidR="00BE6461" w:rsidRPr="00BE6461" w:rsidRDefault="00BE6461" w:rsidP="00BE6461">
            <w:pPr>
              <w:rPr>
                <w:sz w:val="20"/>
                <w:szCs w:val="20"/>
              </w:rPr>
            </w:pPr>
            <w:r w:rsidRPr="00BE6461">
              <w:rPr>
                <w:sz w:val="20"/>
                <w:szCs w:val="20"/>
              </w:rPr>
              <w:t xml:space="preserve">Kapitalne donacije građanima i kućanstvima                                                          </w:t>
            </w:r>
          </w:p>
        </w:tc>
        <w:tc>
          <w:tcPr>
            <w:tcW w:w="1503" w:type="dxa"/>
            <w:tcBorders>
              <w:top w:val="nil"/>
              <w:left w:val="nil"/>
              <w:bottom w:val="nil"/>
              <w:right w:val="nil"/>
            </w:tcBorders>
            <w:shd w:val="clear" w:color="auto" w:fill="auto"/>
            <w:noWrap/>
            <w:vAlign w:val="bottom"/>
            <w:hideMark/>
          </w:tcPr>
          <w:p w14:paraId="3DB7895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51D9AB0"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1BC42CFA" w14:textId="77777777" w:rsidR="00BE6461" w:rsidRPr="00BE6461" w:rsidRDefault="00BE6461" w:rsidP="00BE6461">
            <w:pPr>
              <w:jc w:val="right"/>
              <w:rPr>
                <w:sz w:val="20"/>
                <w:szCs w:val="20"/>
              </w:rPr>
            </w:pPr>
          </w:p>
        </w:tc>
      </w:tr>
      <w:tr w:rsidR="00BE6461" w:rsidRPr="00BE6461" w14:paraId="1E04FC94" w14:textId="77777777" w:rsidTr="00BE6461">
        <w:trPr>
          <w:trHeight w:val="300"/>
        </w:trPr>
        <w:tc>
          <w:tcPr>
            <w:tcW w:w="1703" w:type="dxa"/>
            <w:tcBorders>
              <w:top w:val="nil"/>
              <w:left w:val="nil"/>
              <w:bottom w:val="nil"/>
              <w:right w:val="nil"/>
            </w:tcBorders>
            <w:shd w:val="clear" w:color="auto" w:fill="auto"/>
            <w:noWrap/>
            <w:vAlign w:val="bottom"/>
            <w:hideMark/>
          </w:tcPr>
          <w:p w14:paraId="680C755E" w14:textId="77777777" w:rsidR="00BE6461" w:rsidRPr="00BE6461" w:rsidRDefault="00BE6461" w:rsidP="00BE6461">
            <w:pPr>
              <w:rPr>
                <w:b/>
                <w:bCs/>
                <w:sz w:val="20"/>
                <w:szCs w:val="20"/>
              </w:rPr>
            </w:pPr>
            <w:r w:rsidRPr="00BE6461">
              <w:rPr>
                <w:b/>
                <w:bCs/>
                <w:sz w:val="20"/>
                <w:szCs w:val="20"/>
              </w:rPr>
              <w:t>422</w:t>
            </w:r>
          </w:p>
        </w:tc>
        <w:tc>
          <w:tcPr>
            <w:tcW w:w="8457" w:type="dxa"/>
            <w:tcBorders>
              <w:top w:val="nil"/>
              <w:left w:val="nil"/>
              <w:bottom w:val="nil"/>
              <w:right w:val="nil"/>
            </w:tcBorders>
            <w:shd w:val="clear" w:color="auto" w:fill="auto"/>
            <w:vAlign w:val="bottom"/>
            <w:hideMark/>
          </w:tcPr>
          <w:p w14:paraId="40FF91BB" w14:textId="77777777" w:rsidR="00BE6461" w:rsidRPr="00BE6461" w:rsidRDefault="00BE6461" w:rsidP="00BE6461">
            <w:pPr>
              <w:rPr>
                <w:b/>
                <w:bCs/>
                <w:sz w:val="20"/>
                <w:szCs w:val="20"/>
              </w:rPr>
            </w:pPr>
            <w:r w:rsidRPr="00BE6461">
              <w:rPr>
                <w:b/>
                <w:bCs/>
                <w:sz w:val="20"/>
                <w:szCs w:val="20"/>
              </w:rPr>
              <w:t xml:space="preserve">Postrojenja i oprema                                                                                </w:t>
            </w:r>
          </w:p>
        </w:tc>
        <w:tc>
          <w:tcPr>
            <w:tcW w:w="1503" w:type="dxa"/>
            <w:tcBorders>
              <w:top w:val="nil"/>
              <w:left w:val="nil"/>
              <w:bottom w:val="nil"/>
              <w:right w:val="nil"/>
            </w:tcBorders>
            <w:shd w:val="clear" w:color="auto" w:fill="auto"/>
            <w:noWrap/>
            <w:vAlign w:val="bottom"/>
            <w:hideMark/>
          </w:tcPr>
          <w:p w14:paraId="27869312" w14:textId="77777777" w:rsidR="00BE6461" w:rsidRPr="00BE6461" w:rsidRDefault="00BE6461" w:rsidP="00BE6461">
            <w:pPr>
              <w:jc w:val="right"/>
              <w:rPr>
                <w:b/>
                <w:bCs/>
                <w:sz w:val="20"/>
                <w:szCs w:val="20"/>
              </w:rPr>
            </w:pPr>
            <w:r w:rsidRPr="00BE6461">
              <w:rPr>
                <w:b/>
                <w:bCs/>
                <w:sz w:val="20"/>
                <w:szCs w:val="20"/>
              </w:rPr>
              <w:t>69.000,00</w:t>
            </w:r>
          </w:p>
        </w:tc>
        <w:tc>
          <w:tcPr>
            <w:tcW w:w="1500" w:type="dxa"/>
            <w:tcBorders>
              <w:top w:val="nil"/>
              <w:left w:val="nil"/>
              <w:bottom w:val="nil"/>
              <w:right w:val="nil"/>
            </w:tcBorders>
            <w:shd w:val="clear" w:color="auto" w:fill="auto"/>
            <w:noWrap/>
            <w:vAlign w:val="bottom"/>
            <w:hideMark/>
          </w:tcPr>
          <w:p w14:paraId="70C4CEBC" w14:textId="77777777" w:rsidR="00BE6461" w:rsidRPr="00BE6461" w:rsidRDefault="00BE6461" w:rsidP="00BE6461">
            <w:pPr>
              <w:jc w:val="right"/>
              <w:rPr>
                <w:b/>
                <w:bCs/>
                <w:sz w:val="20"/>
                <w:szCs w:val="20"/>
              </w:rPr>
            </w:pPr>
            <w:r w:rsidRPr="00BE6461">
              <w:rPr>
                <w:b/>
                <w:bCs/>
                <w:sz w:val="20"/>
                <w:szCs w:val="20"/>
              </w:rPr>
              <w:t>55.846,25</w:t>
            </w:r>
          </w:p>
        </w:tc>
        <w:tc>
          <w:tcPr>
            <w:tcW w:w="1100" w:type="dxa"/>
            <w:tcBorders>
              <w:top w:val="nil"/>
              <w:left w:val="nil"/>
              <w:bottom w:val="nil"/>
              <w:right w:val="nil"/>
            </w:tcBorders>
            <w:shd w:val="clear" w:color="auto" w:fill="auto"/>
            <w:noWrap/>
            <w:vAlign w:val="bottom"/>
            <w:hideMark/>
          </w:tcPr>
          <w:p w14:paraId="493C0126" w14:textId="77777777" w:rsidR="00BE6461" w:rsidRPr="00BE6461" w:rsidRDefault="00BE6461" w:rsidP="00BE6461">
            <w:pPr>
              <w:jc w:val="right"/>
              <w:rPr>
                <w:b/>
                <w:bCs/>
                <w:sz w:val="20"/>
                <w:szCs w:val="20"/>
              </w:rPr>
            </w:pPr>
            <w:r w:rsidRPr="00BE6461">
              <w:rPr>
                <w:b/>
                <w:bCs/>
                <w:sz w:val="20"/>
                <w:szCs w:val="20"/>
              </w:rPr>
              <w:t>80,94</w:t>
            </w:r>
          </w:p>
        </w:tc>
      </w:tr>
      <w:tr w:rsidR="00BE6461" w:rsidRPr="00BE6461" w14:paraId="549C7972" w14:textId="77777777" w:rsidTr="00BE6461">
        <w:trPr>
          <w:trHeight w:val="300"/>
        </w:trPr>
        <w:tc>
          <w:tcPr>
            <w:tcW w:w="1703" w:type="dxa"/>
            <w:tcBorders>
              <w:top w:val="nil"/>
              <w:left w:val="nil"/>
              <w:bottom w:val="nil"/>
              <w:right w:val="nil"/>
            </w:tcBorders>
            <w:shd w:val="clear" w:color="auto" w:fill="auto"/>
            <w:noWrap/>
            <w:vAlign w:val="bottom"/>
            <w:hideMark/>
          </w:tcPr>
          <w:p w14:paraId="405A7136" w14:textId="77777777" w:rsidR="00BE6461" w:rsidRPr="00BE6461" w:rsidRDefault="00BE6461" w:rsidP="00BE6461">
            <w:pPr>
              <w:rPr>
                <w:sz w:val="20"/>
                <w:szCs w:val="20"/>
              </w:rPr>
            </w:pPr>
            <w:r w:rsidRPr="00BE6461">
              <w:rPr>
                <w:sz w:val="20"/>
                <w:szCs w:val="20"/>
              </w:rPr>
              <w:t>4222</w:t>
            </w:r>
          </w:p>
        </w:tc>
        <w:tc>
          <w:tcPr>
            <w:tcW w:w="8457" w:type="dxa"/>
            <w:tcBorders>
              <w:top w:val="nil"/>
              <w:left w:val="nil"/>
              <w:bottom w:val="nil"/>
              <w:right w:val="nil"/>
            </w:tcBorders>
            <w:shd w:val="clear" w:color="auto" w:fill="auto"/>
            <w:vAlign w:val="bottom"/>
            <w:hideMark/>
          </w:tcPr>
          <w:p w14:paraId="68B60E57" w14:textId="77777777" w:rsidR="00BE6461" w:rsidRPr="00BE6461" w:rsidRDefault="00BE6461" w:rsidP="00BE6461">
            <w:pPr>
              <w:rPr>
                <w:sz w:val="20"/>
                <w:szCs w:val="20"/>
              </w:rPr>
            </w:pPr>
            <w:r w:rsidRPr="00BE6461">
              <w:rPr>
                <w:sz w:val="20"/>
                <w:szCs w:val="20"/>
              </w:rPr>
              <w:t xml:space="preserve">Komunikacijska oprema                                                                               </w:t>
            </w:r>
          </w:p>
        </w:tc>
        <w:tc>
          <w:tcPr>
            <w:tcW w:w="1503" w:type="dxa"/>
            <w:tcBorders>
              <w:top w:val="nil"/>
              <w:left w:val="nil"/>
              <w:bottom w:val="nil"/>
              <w:right w:val="nil"/>
            </w:tcBorders>
            <w:shd w:val="clear" w:color="auto" w:fill="auto"/>
            <w:noWrap/>
            <w:vAlign w:val="bottom"/>
            <w:hideMark/>
          </w:tcPr>
          <w:p w14:paraId="2B5104C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E30688E" w14:textId="77777777" w:rsidR="00BE6461" w:rsidRPr="00BE6461" w:rsidRDefault="00BE6461" w:rsidP="00BE6461">
            <w:pPr>
              <w:jc w:val="right"/>
              <w:rPr>
                <w:sz w:val="20"/>
                <w:szCs w:val="20"/>
              </w:rPr>
            </w:pPr>
            <w:r w:rsidRPr="00BE6461">
              <w:rPr>
                <w:sz w:val="20"/>
                <w:szCs w:val="20"/>
              </w:rPr>
              <w:t>55.846,25</w:t>
            </w:r>
          </w:p>
        </w:tc>
        <w:tc>
          <w:tcPr>
            <w:tcW w:w="1100" w:type="dxa"/>
            <w:tcBorders>
              <w:top w:val="nil"/>
              <w:left w:val="nil"/>
              <w:bottom w:val="nil"/>
              <w:right w:val="nil"/>
            </w:tcBorders>
            <w:shd w:val="clear" w:color="auto" w:fill="auto"/>
            <w:noWrap/>
            <w:vAlign w:val="bottom"/>
            <w:hideMark/>
          </w:tcPr>
          <w:p w14:paraId="022806E0" w14:textId="77777777" w:rsidR="00BE6461" w:rsidRPr="00BE6461" w:rsidRDefault="00BE6461" w:rsidP="00BE6461">
            <w:pPr>
              <w:jc w:val="right"/>
              <w:rPr>
                <w:sz w:val="20"/>
                <w:szCs w:val="20"/>
              </w:rPr>
            </w:pPr>
          </w:p>
        </w:tc>
      </w:tr>
      <w:tr w:rsidR="00BE6461" w:rsidRPr="00BE6461" w14:paraId="58618ED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1EBDB7E" w14:textId="77777777" w:rsidR="00BE6461" w:rsidRPr="00BE6461" w:rsidRDefault="00BE6461" w:rsidP="00BE6461">
            <w:pPr>
              <w:rPr>
                <w:b/>
                <w:bCs/>
                <w:color w:val="333333"/>
                <w:sz w:val="20"/>
                <w:szCs w:val="20"/>
              </w:rPr>
            </w:pPr>
            <w:r w:rsidRPr="00BE6461">
              <w:rPr>
                <w:b/>
                <w:bCs/>
                <w:color w:val="333333"/>
                <w:sz w:val="20"/>
                <w:szCs w:val="20"/>
              </w:rPr>
              <w:t>Izvor 4.6. PRIHODI POSEBNE NAMJENE - OSTALI</w:t>
            </w:r>
          </w:p>
        </w:tc>
        <w:tc>
          <w:tcPr>
            <w:tcW w:w="1503" w:type="dxa"/>
            <w:tcBorders>
              <w:top w:val="nil"/>
              <w:left w:val="nil"/>
              <w:bottom w:val="nil"/>
              <w:right w:val="nil"/>
            </w:tcBorders>
            <w:shd w:val="clear" w:color="auto" w:fill="auto"/>
            <w:noWrap/>
            <w:vAlign w:val="bottom"/>
            <w:hideMark/>
          </w:tcPr>
          <w:p w14:paraId="2050296C" w14:textId="77777777" w:rsidR="00BE6461" w:rsidRPr="00BE6461" w:rsidRDefault="00BE6461" w:rsidP="00BE6461">
            <w:pPr>
              <w:jc w:val="right"/>
              <w:rPr>
                <w:b/>
                <w:bCs/>
                <w:color w:val="333333"/>
                <w:sz w:val="20"/>
                <w:szCs w:val="20"/>
              </w:rPr>
            </w:pPr>
            <w:r w:rsidRPr="00BE6461">
              <w:rPr>
                <w:b/>
                <w:bCs/>
                <w:color w:val="333333"/>
                <w:sz w:val="20"/>
                <w:szCs w:val="20"/>
              </w:rPr>
              <w:t>364.577,98</w:t>
            </w:r>
          </w:p>
        </w:tc>
        <w:tc>
          <w:tcPr>
            <w:tcW w:w="1500" w:type="dxa"/>
            <w:tcBorders>
              <w:top w:val="nil"/>
              <w:left w:val="nil"/>
              <w:bottom w:val="nil"/>
              <w:right w:val="nil"/>
            </w:tcBorders>
            <w:shd w:val="clear" w:color="auto" w:fill="auto"/>
            <w:noWrap/>
            <w:vAlign w:val="bottom"/>
            <w:hideMark/>
          </w:tcPr>
          <w:p w14:paraId="3E51D400" w14:textId="773B3C28" w:rsidR="00BE6461" w:rsidRPr="00BE6461" w:rsidRDefault="00BE6461" w:rsidP="00BE6461">
            <w:pPr>
              <w:jc w:val="right"/>
              <w:rPr>
                <w:b/>
                <w:bCs/>
                <w:color w:val="333333"/>
                <w:sz w:val="20"/>
                <w:szCs w:val="20"/>
              </w:rPr>
            </w:pPr>
            <w:r w:rsidRPr="00BE6461">
              <w:rPr>
                <w:b/>
                <w:bCs/>
                <w:color w:val="333333"/>
                <w:sz w:val="20"/>
                <w:szCs w:val="20"/>
              </w:rPr>
              <w:t>3</w:t>
            </w:r>
            <w:r w:rsidR="003779CB">
              <w:rPr>
                <w:b/>
                <w:bCs/>
                <w:color w:val="333333"/>
                <w:sz w:val="20"/>
                <w:szCs w:val="20"/>
              </w:rPr>
              <w:t>45.400,35</w:t>
            </w:r>
          </w:p>
        </w:tc>
        <w:tc>
          <w:tcPr>
            <w:tcW w:w="1100" w:type="dxa"/>
            <w:tcBorders>
              <w:top w:val="nil"/>
              <w:left w:val="nil"/>
              <w:bottom w:val="nil"/>
              <w:right w:val="nil"/>
            </w:tcBorders>
            <w:shd w:val="clear" w:color="auto" w:fill="auto"/>
            <w:noWrap/>
            <w:vAlign w:val="bottom"/>
            <w:hideMark/>
          </w:tcPr>
          <w:p w14:paraId="643ECD94" w14:textId="177902FC" w:rsidR="00BE6461" w:rsidRPr="00BE6461" w:rsidRDefault="00BE6461" w:rsidP="00BE6461">
            <w:pPr>
              <w:jc w:val="right"/>
              <w:rPr>
                <w:b/>
                <w:bCs/>
                <w:color w:val="333333"/>
                <w:sz w:val="20"/>
                <w:szCs w:val="20"/>
              </w:rPr>
            </w:pPr>
            <w:r w:rsidRPr="00BE6461">
              <w:rPr>
                <w:b/>
                <w:bCs/>
                <w:color w:val="333333"/>
                <w:sz w:val="20"/>
                <w:szCs w:val="20"/>
              </w:rPr>
              <w:t>9</w:t>
            </w:r>
            <w:r w:rsidR="003779CB">
              <w:rPr>
                <w:b/>
                <w:bCs/>
                <w:color w:val="333333"/>
                <w:sz w:val="20"/>
                <w:szCs w:val="20"/>
              </w:rPr>
              <w:t>4,74</w:t>
            </w:r>
          </w:p>
        </w:tc>
      </w:tr>
      <w:tr w:rsidR="00BE6461" w:rsidRPr="00BE6461" w14:paraId="33C7049A" w14:textId="77777777" w:rsidTr="00BE6461">
        <w:trPr>
          <w:trHeight w:val="300"/>
        </w:trPr>
        <w:tc>
          <w:tcPr>
            <w:tcW w:w="1703" w:type="dxa"/>
            <w:tcBorders>
              <w:top w:val="nil"/>
              <w:left w:val="nil"/>
              <w:bottom w:val="nil"/>
              <w:right w:val="nil"/>
            </w:tcBorders>
            <w:shd w:val="clear" w:color="auto" w:fill="auto"/>
            <w:noWrap/>
            <w:vAlign w:val="bottom"/>
            <w:hideMark/>
          </w:tcPr>
          <w:p w14:paraId="31B1B369"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093C8CCD"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72F25D26" w14:textId="77777777" w:rsidR="00BE6461" w:rsidRPr="00BE6461" w:rsidRDefault="00BE6461" w:rsidP="00BE6461">
            <w:pPr>
              <w:jc w:val="right"/>
              <w:rPr>
                <w:b/>
                <w:bCs/>
                <w:sz w:val="20"/>
                <w:szCs w:val="20"/>
              </w:rPr>
            </w:pPr>
            <w:r w:rsidRPr="00BE6461">
              <w:rPr>
                <w:b/>
                <w:bCs/>
                <w:sz w:val="20"/>
                <w:szCs w:val="20"/>
              </w:rPr>
              <w:t>364.577,98</w:t>
            </w:r>
          </w:p>
        </w:tc>
        <w:tc>
          <w:tcPr>
            <w:tcW w:w="1500" w:type="dxa"/>
            <w:tcBorders>
              <w:top w:val="nil"/>
              <w:left w:val="nil"/>
              <w:bottom w:val="nil"/>
              <w:right w:val="nil"/>
            </w:tcBorders>
            <w:shd w:val="clear" w:color="auto" w:fill="auto"/>
            <w:noWrap/>
            <w:vAlign w:val="bottom"/>
            <w:hideMark/>
          </w:tcPr>
          <w:p w14:paraId="56EC8259" w14:textId="2E437F44" w:rsidR="00BE6461" w:rsidRPr="00BE6461" w:rsidRDefault="00BE6461" w:rsidP="00BE6461">
            <w:pPr>
              <w:jc w:val="right"/>
              <w:rPr>
                <w:b/>
                <w:bCs/>
                <w:sz w:val="20"/>
                <w:szCs w:val="20"/>
              </w:rPr>
            </w:pPr>
            <w:r w:rsidRPr="00BE6461">
              <w:rPr>
                <w:b/>
                <w:bCs/>
                <w:sz w:val="20"/>
                <w:szCs w:val="20"/>
              </w:rPr>
              <w:t>3</w:t>
            </w:r>
            <w:r w:rsidR="003779CB">
              <w:rPr>
                <w:b/>
                <w:bCs/>
                <w:sz w:val="20"/>
                <w:szCs w:val="20"/>
              </w:rPr>
              <w:t>45.400,35</w:t>
            </w:r>
          </w:p>
        </w:tc>
        <w:tc>
          <w:tcPr>
            <w:tcW w:w="1100" w:type="dxa"/>
            <w:tcBorders>
              <w:top w:val="nil"/>
              <w:left w:val="nil"/>
              <w:bottom w:val="nil"/>
              <w:right w:val="nil"/>
            </w:tcBorders>
            <w:shd w:val="clear" w:color="auto" w:fill="auto"/>
            <w:noWrap/>
            <w:vAlign w:val="bottom"/>
            <w:hideMark/>
          </w:tcPr>
          <w:p w14:paraId="4A5180CD" w14:textId="0F08FD69" w:rsidR="00BE6461" w:rsidRPr="00BE6461" w:rsidRDefault="00BE6461" w:rsidP="00BE6461">
            <w:pPr>
              <w:jc w:val="right"/>
              <w:rPr>
                <w:b/>
                <w:bCs/>
                <w:sz w:val="20"/>
                <w:szCs w:val="20"/>
              </w:rPr>
            </w:pPr>
            <w:r w:rsidRPr="00BE6461">
              <w:rPr>
                <w:b/>
                <w:bCs/>
                <w:sz w:val="20"/>
                <w:szCs w:val="20"/>
              </w:rPr>
              <w:t>9</w:t>
            </w:r>
            <w:r w:rsidR="003779CB">
              <w:rPr>
                <w:b/>
                <w:bCs/>
                <w:sz w:val="20"/>
                <w:szCs w:val="20"/>
              </w:rPr>
              <w:t>4,74</w:t>
            </w:r>
          </w:p>
        </w:tc>
      </w:tr>
      <w:tr w:rsidR="00BE6461" w:rsidRPr="00BE6461" w14:paraId="47781633" w14:textId="77777777" w:rsidTr="00BE6461">
        <w:trPr>
          <w:trHeight w:val="300"/>
        </w:trPr>
        <w:tc>
          <w:tcPr>
            <w:tcW w:w="1703" w:type="dxa"/>
            <w:tcBorders>
              <w:top w:val="nil"/>
              <w:left w:val="nil"/>
              <w:bottom w:val="nil"/>
              <w:right w:val="nil"/>
            </w:tcBorders>
            <w:shd w:val="clear" w:color="auto" w:fill="auto"/>
            <w:noWrap/>
            <w:vAlign w:val="bottom"/>
            <w:hideMark/>
          </w:tcPr>
          <w:p w14:paraId="75085066" w14:textId="77777777" w:rsidR="00BE6461" w:rsidRPr="00BE6461" w:rsidRDefault="00BE6461" w:rsidP="00BE6461">
            <w:pPr>
              <w:rPr>
                <w:sz w:val="20"/>
                <w:szCs w:val="20"/>
              </w:rPr>
            </w:pPr>
            <w:r w:rsidRPr="00BE6461">
              <w:rPr>
                <w:sz w:val="20"/>
                <w:szCs w:val="20"/>
              </w:rPr>
              <w:t>3232</w:t>
            </w:r>
          </w:p>
        </w:tc>
        <w:tc>
          <w:tcPr>
            <w:tcW w:w="8457" w:type="dxa"/>
            <w:tcBorders>
              <w:top w:val="nil"/>
              <w:left w:val="nil"/>
              <w:bottom w:val="nil"/>
              <w:right w:val="nil"/>
            </w:tcBorders>
            <w:shd w:val="clear" w:color="auto" w:fill="auto"/>
            <w:vAlign w:val="bottom"/>
            <w:hideMark/>
          </w:tcPr>
          <w:p w14:paraId="5B014BB2" w14:textId="77777777" w:rsidR="00BE6461" w:rsidRPr="00BE6461" w:rsidRDefault="00BE6461" w:rsidP="00BE6461">
            <w:pPr>
              <w:rPr>
                <w:sz w:val="20"/>
                <w:szCs w:val="20"/>
              </w:rPr>
            </w:pPr>
            <w:r w:rsidRPr="00BE6461">
              <w:rPr>
                <w:sz w:val="20"/>
                <w:szCs w:val="20"/>
              </w:rPr>
              <w:t xml:space="preserve">Usluge tekućeg i investicijskog održavanja                                                          </w:t>
            </w:r>
          </w:p>
        </w:tc>
        <w:tc>
          <w:tcPr>
            <w:tcW w:w="1503" w:type="dxa"/>
            <w:tcBorders>
              <w:top w:val="nil"/>
              <w:left w:val="nil"/>
              <w:bottom w:val="nil"/>
              <w:right w:val="nil"/>
            </w:tcBorders>
            <w:shd w:val="clear" w:color="auto" w:fill="auto"/>
            <w:noWrap/>
            <w:vAlign w:val="bottom"/>
            <w:hideMark/>
          </w:tcPr>
          <w:p w14:paraId="5BC1C23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3443D3A" w14:textId="3AB97E48" w:rsidR="00BE6461" w:rsidRPr="00BE6461" w:rsidRDefault="00BE6461" w:rsidP="00BE6461">
            <w:pPr>
              <w:jc w:val="right"/>
              <w:rPr>
                <w:sz w:val="20"/>
                <w:szCs w:val="20"/>
              </w:rPr>
            </w:pPr>
            <w:r w:rsidRPr="00BE6461">
              <w:rPr>
                <w:sz w:val="20"/>
                <w:szCs w:val="20"/>
              </w:rPr>
              <w:t>2</w:t>
            </w:r>
            <w:r w:rsidR="003779CB">
              <w:rPr>
                <w:sz w:val="20"/>
                <w:szCs w:val="20"/>
              </w:rPr>
              <w:t>68.162,23</w:t>
            </w:r>
          </w:p>
        </w:tc>
        <w:tc>
          <w:tcPr>
            <w:tcW w:w="1100" w:type="dxa"/>
            <w:tcBorders>
              <w:top w:val="nil"/>
              <w:left w:val="nil"/>
              <w:bottom w:val="nil"/>
              <w:right w:val="nil"/>
            </w:tcBorders>
            <w:shd w:val="clear" w:color="auto" w:fill="auto"/>
            <w:noWrap/>
            <w:vAlign w:val="bottom"/>
            <w:hideMark/>
          </w:tcPr>
          <w:p w14:paraId="5BEDA8F8" w14:textId="77777777" w:rsidR="00BE6461" w:rsidRPr="00BE6461" w:rsidRDefault="00BE6461" w:rsidP="00BE6461">
            <w:pPr>
              <w:jc w:val="right"/>
              <w:rPr>
                <w:sz w:val="20"/>
                <w:szCs w:val="20"/>
              </w:rPr>
            </w:pPr>
          </w:p>
        </w:tc>
      </w:tr>
      <w:tr w:rsidR="00BE6461" w:rsidRPr="00BE6461" w14:paraId="358437BF" w14:textId="77777777" w:rsidTr="00BE6461">
        <w:trPr>
          <w:trHeight w:val="300"/>
        </w:trPr>
        <w:tc>
          <w:tcPr>
            <w:tcW w:w="1703" w:type="dxa"/>
            <w:tcBorders>
              <w:top w:val="nil"/>
              <w:left w:val="nil"/>
              <w:bottom w:val="nil"/>
              <w:right w:val="nil"/>
            </w:tcBorders>
            <w:shd w:val="clear" w:color="auto" w:fill="auto"/>
            <w:noWrap/>
            <w:vAlign w:val="bottom"/>
            <w:hideMark/>
          </w:tcPr>
          <w:p w14:paraId="64F86FC7" w14:textId="77777777" w:rsidR="00BE6461" w:rsidRPr="00BE6461" w:rsidRDefault="00BE6461" w:rsidP="00BE6461">
            <w:pPr>
              <w:rPr>
                <w:sz w:val="20"/>
                <w:szCs w:val="20"/>
              </w:rPr>
            </w:pPr>
            <w:r w:rsidRPr="00BE6461">
              <w:rPr>
                <w:sz w:val="20"/>
                <w:szCs w:val="20"/>
              </w:rPr>
              <w:t>3234</w:t>
            </w:r>
          </w:p>
        </w:tc>
        <w:tc>
          <w:tcPr>
            <w:tcW w:w="8457" w:type="dxa"/>
            <w:tcBorders>
              <w:top w:val="nil"/>
              <w:left w:val="nil"/>
              <w:bottom w:val="nil"/>
              <w:right w:val="nil"/>
            </w:tcBorders>
            <w:shd w:val="clear" w:color="auto" w:fill="auto"/>
            <w:vAlign w:val="bottom"/>
            <w:hideMark/>
          </w:tcPr>
          <w:p w14:paraId="29E5098C" w14:textId="77777777" w:rsidR="00BE6461" w:rsidRPr="00BE6461" w:rsidRDefault="00BE6461" w:rsidP="00BE6461">
            <w:pPr>
              <w:rPr>
                <w:sz w:val="20"/>
                <w:szCs w:val="20"/>
              </w:rPr>
            </w:pPr>
            <w:r w:rsidRPr="00BE6461">
              <w:rPr>
                <w:sz w:val="20"/>
                <w:szCs w:val="20"/>
              </w:rPr>
              <w:t xml:space="preserve">Komunalne usluge                                                                                    </w:t>
            </w:r>
          </w:p>
        </w:tc>
        <w:tc>
          <w:tcPr>
            <w:tcW w:w="1503" w:type="dxa"/>
            <w:tcBorders>
              <w:top w:val="nil"/>
              <w:left w:val="nil"/>
              <w:bottom w:val="nil"/>
              <w:right w:val="nil"/>
            </w:tcBorders>
            <w:shd w:val="clear" w:color="auto" w:fill="auto"/>
            <w:noWrap/>
            <w:vAlign w:val="bottom"/>
            <w:hideMark/>
          </w:tcPr>
          <w:p w14:paraId="52AC1B0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F96775F" w14:textId="77777777" w:rsidR="00BE6461" w:rsidRPr="00BE6461" w:rsidRDefault="00BE6461" w:rsidP="00BE6461">
            <w:pPr>
              <w:jc w:val="right"/>
              <w:rPr>
                <w:sz w:val="20"/>
                <w:szCs w:val="20"/>
              </w:rPr>
            </w:pPr>
            <w:r w:rsidRPr="00BE6461">
              <w:rPr>
                <w:sz w:val="20"/>
                <w:szCs w:val="20"/>
              </w:rPr>
              <w:t>77.238,12</w:t>
            </w:r>
          </w:p>
        </w:tc>
        <w:tc>
          <w:tcPr>
            <w:tcW w:w="1100" w:type="dxa"/>
            <w:tcBorders>
              <w:top w:val="nil"/>
              <w:left w:val="nil"/>
              <w:bottom w:val="nil"/>
              <w:right w:val="nil"/>
            </w:tcBorders>
            <w:shd w:val="clear" w:color="auto" w:fill="auto"/>
            <w:noWrap/>
            <w:vAlign w:val="bottom"/>
            <w:hideMark/>
          </w:tcPr>
          <w:p w14:paraId="3A6E5373" w14:textId="77777777" w:rsidR="00BE6461" w:rsidRPr="00BE6461" w:rsidRDefault="00BE6461" w:rsidP="00BE6461">
            <w:pPr>
              <w:jc w:val="right"/>
              <w:rPr>
                <w:sz w:val="20"/>
                <w:szCs w:val="20"/>
              </w:rPr>
            </w:pPr>
          </w:p>
        </w:tc>
      </w:tr>
      <w:tr w:rsidR="00BE6461" w:rsidRPr="00BE6461" w14:paraId="7CCE89A2" w14:textId="77777777" w:rsidTr="00BE6461">
        <w:trPr>
          <w:trHeight w:val="300"/>
        </w:trPr>
        <w:tc>
          <w:tcPr>
            <w:tcW w:w="1703" w:type="dxa"/>
            <w:tcBorders>
              <w:top w:val="nil"/>
              <w:left w:val="nil"/>
              <w:bottom w:val="nil"/>
              <w:right w:val="nil"/>
            </w:tcBorders>
            <w:shd w:val="clear" w:color="auto" w:fill="auto"/>
            <w:noWrap/>
            <w:vAlign w:val="bottom"/>
            <w:hideMark/>
          </w:tcPr>
          <w:p w14:paraId="2C5B737A" w14:textId="77777777" w:rsidR="00BE6461" w:rsidRPr="00BE6461" w:rsidRDefault="00BE6461" w:rsidP="00BE6461">
            <w:pPr>
              <w:rPr>
                <w:sz w:val="20"/>
                <w:szCs w:val="20"/>
              </w:rPr>
            </w:pPr>
            <w:r w:rsidRPr="00BE6461">
              <w:rPr>
                <w:sz w:val="20"/>
                <w:szCs w:val="20"/>
              </w:rPr>
              <w:t>3239</w:t>
            </w:r>
          </w:p>
        </w:tc>
        <w:tc>
          <w:tcPr>
            <w:tcW w:w="8457" w:type="dxa"/>
            <w:tcBorders>
              <w:top w:val="nil"/>
              <w:left w:val="nil"/>
              <w:bottom w:val="nil"/>
              <w:right w:val="nil"/>
            </w:tcBorders>
            <w:shd w:val="clear" w:color="auto" w:fill="auto"/>
            <w:vAlign w:val="bottom"/>
            <w:hideMark/>
          </w:tcPr>
          <w:p w14:paraId="4B69E809" w14:textId="77777777" w:rsidR="00BE6461" w:rsidRPr="00BE6461" w:rsidRDefault="00BE6461" w:rsidP="00BE6461">
            <w:pPr>
              <w:rPr>
                <w:sz w:val="20"/>
                <w:szCs w:val="20"/>
              </w:rPr>
            </w:pPr>
            <w:r w:rsidRPr="00BE6461">
              <w:rPr>
                <w:sz w:val="20"/>
                <w:szCs w:val="20"/>
              </w:rPr>
              <w:t xml:space="preserve">Ostale usluge                                                                                       </w:t>
            </w:r>
          </w:p>
        </w:tc>
        <w:tc>
          <w:tcPr>
            <w:tcW w:w="1503" w:type="dxa"/>
            <w:tcBorders>
              <w:top w:val="nil"/>
              <w:left w:val="nil"/>
              <w:bottom w:val="nil"/>
              <w:right w:val="nil"/>
            </w:tcBorders>
            <w:shd w:val="clear" w:color="auto" w:fill="auto"/>
            <w:noWrap/>
            <w:vAlign w:val="bottom"/>
            <w:hideMark/>
          </w:tcPr>
          <w:p w14:paraId="38F77D82"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996AEB5"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74B91E5B" w14:textId="77777777" w:rsidR="00BE6461" w:rsidRPr="00BE6461" w:rsidRDefault="00BE6461" w:rsidP="00BE6461">
            <w:pPr>
              <w:jc w:val="right"/>
              <w:rPr>
                <w:sz w:val="20"/>
                <w:szCs w:val="20"/>
              </w:rPr>
            </w:pPr>
          </w:p>
        </w:tc>
      </w:tr>
      <w:tr w:rsidR="00BE6461" w:rsidRPr="00BE6461" w14:paraId="5133DAD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A83005E" w14:textId="77777777" w:rsidR="00BE6461" w:rsidRPr="00BE6461" w:rsidRDefault="00BE6461" w:rsidP="00BE6461">
            <w:pPr>
              <w:rPr>
                <w:b/>
                <w:bCs/>
                <w:color w:val="333333"/>
                <w:sz w:val="20"/>
                <w:szCs w:val="20"/>
              </w:rPr>
            </w:pPr>
            <w:r w:rsidRPr="00BE6461">
              <w:rPr>
                <w:b/>
                <w:bCs/>
                <w:color w:val="333333"/>
                <w:sz w:val="20"/>
                <w:szCs w:val="20"/>
              </w:rPr>
              <w:t>Izvor 5. POMOĆI</w:t>
            </w:r>
          </w:p>
        </w:tc>
        <w:tc>
          <w:tcPr>
            <w:tcW w:w="1503" w:type="dxa"/>
            <w:tcBorders>
              <w:top w:val="nil"/>
              <w:left w:val="nil"/>
              <w:bottom w:val="nil"/>
              <w:right w:val="nil"/>
            </w:tcBorders>
            <w:shd w:val="clear" w:color="auto" w:fill="auto"/>
            <w:noWrap/>
            <w:vAlign w:val="bottom"/>
            <w:hideMark/>
          </w:tcPr>
          <w:p w14:paraId="2EB1DB02"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500" w:type="dxa"/>
            <w:tcBorders>
              <w:top w:val="nil"/>
              <w:left w:val="nil"/>
              <w:bottom w:val="nil"/>
              <w:right w:val="nil"/>
            </w:tcBorders>
            <w:shd w:val="clear" w:color="auto" w:fill="auto"/>
            <w:noWrap/>
            <w:vAlign w:val="bottom"/>
            <w:hideMark/>
          </w:tcPr>
          <w:p w14:paraId="782BB2CA" w14:textId="77777777" w:rsidR="00BE6461" w:rsidRPr="00BE6461" w:rsidRDefault="00BE6461" w:rsidP="00BE6461">
            <w:pPr>
              <w:jc w:val="right"/>
              <w:rPr>
                <w:b/>
                <w:bCs/>
                <w:color w:val="333333"/>
                <w:sz w:val="20"/>
                <w:szCs w:val="20"/>
              </w:rPr>
            </w:pPr>
            <w:r w:rsidRPr="00BE6461">
              <w:rPr>
                <w:b/>
                <w:bCs/>
                <w:color w:val="333333"/>
                <w:sz w:val="20"/>
                <w:szCs w:val="20"/>
              </w:rPr>
              <w:t>99.850,00</w:t>
            </w:r>
          </w:p>
        </w:tc>
        <w:tc>
          <w:tcPr>
            <w:tcW w:w="1100" w:type="dxa"/>
            <w:tcBorders>
              <w:top w:val="nil"/>
              <w:left w:val="nil"/>
              <w:bottom w:val="nil"/>
              <w:right w:val="nil"/>
            </w:tcBorders>
            <w:shd w:val="clear" w:color="auto" w:fill="auto"/>
            <w:noWrap/>
            <w:vAlign w:val="bottom"/>
            <w:hideMark/>
          </w:tcPr>
          <w:p w14:paraId="3F76F222"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2330162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D5F57CD" w14:textId="77777777" w:rsidR="00BE6461" w:rsidRPr="00BE6461" w:rsidRDefault="00BE6461" w:rsidP="00BE6461">
            <w:pPr>
              <w:rPr>
                <w:b/>
                <w:bCs/>
                <w:color w:val="333333"/>
                <w:sz w:val="20"/>
                <w:szCs w:val="20"/>
              </w:rPr>
            </w:pPr>
            <w:r w:rsidRPr="00BE6461">
              <w:rPr>
                <w:b/>
                <w:bCs/>
                <w:color w:val="333333"/>
                <w:sz w:val="20"/>
                <w:szCs w:val="20"/>
              </w:rPr>
              <w:t>Izvor 5.1. POMOĆI</w:t>
            </w:r>
          </w:p>
        </w:tc>
        <w:tc>
          <w:tcPr>
            <w:tcW w:w="1503" w:type="dxa"/>
            <w:tcBorders>
              <w:top w:val="nil"/>
              <w:left w:val="nil"/>
              <w:bottom w:val="nil"/>
              <w:right w:val="nil"/>
            </w:tcBorders>
            <w:shd w:val="clear" w:color="auto" w:fill="auto"/>
            <w:noWrap/>
            <w:vAlign w:val="bottom"/>
            <w:hideMark/>
          </w:tcPr>
          <w:p w14:paraId="5DB82A50"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500" w:type="dxa"/>
            <w:tcBorders>
              <w:top w:val="nil"/>
              <w:left w:val="nil"/>
              <w:bottom w:val="nil"/>
              <w:right w:val="nil"/>
            </w:tcBorders>
            <w:shd w:val="clear" w:color="auto" w:fill="auto"/>
            <w:noWrap/>
            <w:vAlign w:val="bottom"/>
            <w:hideMark/>
          </w:tcPr>
          <w:p w14:paraId="7D3C2CE7" w14:textId="77777777" w:rsidR="00BE6461" w:rsidRPr="00BE6461" w:rsidRDefault="00BE6461" w:rsidP="00BE6461">
            <w:pPr>
              <w:jc w:val="right"/>
              <w:rPr>
                <w:b/>
                <w:bCs/>
                <w:color w:val="333333"/>
                <w:sz w:val="20"/>
                <w:szCs w:val="20"/>
              </w:rPr>
            </w:pPr>
            <w:r w:rsidRPr="00BE6461">
              <w:rPr>
                <w:b/>
                <w:bCs/>
                <w:color w:val="333333"/>
                <w:sz w:val="20"/>
                <w:szCs w:val="20"/>
              </w:rPr>
              <w:t>99.850,00</w:t>
            </w:r>
          </w:p>
        </w:tc>
        <w:tc>
          <w:tcPr>
            <w:tcW w:w="1100" w:type="dxa"/>
            <w:tcBorders>
              <w:top w:val="nil"/>
              <w:left w:val="nil"/>
              <w:bottom w:val="nil"/>
              <w:right w:val="nil"/>
            </w:tcBorders>
            <w:shd w:val="clear" w:color="auto" w:fill="auto"/>
            <w:noWrap/>
            <w:vAlign w:val="bottom"/>
            <w:hideMark/>
          </w:tcPr>
          <w:p w14:paraId="0893A510"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6B20C1E0" w14:textId="77777777" w:rsidTr="00BE6461">
        <w:trPr>
          <w:trHeight w:val="300"/>
        </w:trPr>
        <w:tc>
          <w:tcPr>
            <w:tcW w:w="1703" w:type="dxa"/>
            <w:tcBorders>
              <w:top w:val="nil"/>
              <w:left w:val="nil"/>
              <w:bottom w:val="nil"/>
              <w:right w:val="nil"/>
            </w:tcBorders>
            <w:shd w:val="clear" w:color="auto" w:fill="auto"/>
            <w:noWrap/>
            <w:vAlign w:val="bottom"/>
            <w:hideMark/>
          </w:tcPr>
          <w:p w14:paraId="06CDB620"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1CD09DB4"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0A3EBF16" w14:textId="77777777" w:rsidR="00BE6461" w:rsidRPr="00BE6461" w:rsidRDefault="00BE6461" w:rsidP="00BE6461">
            <w:pPr>
              <w:jc w:val="right"/>
              <w:rPr>
                <w:b/>
                <w:bCs/>
                <w:sz w:val="20"/>
                <w:szCs w:val="20"/>
              </w:rPr>
            </w:pPr>
            <w:r w:rsidRPr="00BE6461">
              <w:rPr>
                <w:b/>
                <w:bCs/>
                <w:sz w:val="20"/>
                <w:szCs w:val="20"/>
              </w:rPr>
              <w:t>0,00</w:t>
            </w:r>
          </w:p>
        </w:tc>
        <w:tc>
          <w:tcPr>
            <w:tcW w:w="1500" w:type="dxa"/>
            <w:tcBorders>
              <w:top w:val="nil"/>
              <w:left w:val="nil"/>
              <w:bottom w:val="nil"/>
              <w:right w:val="nil"/>
            </w:tcBorders>
            <w:shd w:val="clear" w:color="auto" w:fill="auto"/>
            <w:noWrap/>
            <w:vAlign w:val="bottom"/>
            <w:hideMark/>
          </w:tcPr>
          <w:p w14:paraId="2435676A" w14:textId="77777777" w:rsidR="00BE6461" w:rsidRPr="00BE6461" w:rsidRDefault="00BE6461" w:rsidP="00BE6461">
            <w:pPr>
              <w:jc w:val="right"/>
              <w:rPr>
                <w:b/>
                <w:bCs/>
                <w:sz w:val="20"/>
                <w:szCs w:val="20"/>
              </w:rPr>
            </w:pPr>
            <w:r w:rsidRPr="00BE6461">
              <w:rPr>
                <w:b/>
                <w:bCs/>
                <w:sz w:val="20"/>
                <w:szCs w:val="20"/>
              </w:rPr>
              <w:t>99.850,00</w:t>
            </w:r>
          </w:p>
        </w:tc>
        <w:tc>
          <w:tcPr>
            <w:tcW w:w="1100" w:type="dxa"/>
            <w:tcBorders>
              <w:top w:val="nil"/>
              <w:left w:val="nil"/>
              <w:bottom w:val="nil"/>
              <w:right w:val="nil"/>
            </w:tcBorders>
            <w:shd w:val="clear" w:color="auto" w:fill="auto"/>
            <w:noWrap/>
            <w:vAlign w:val="bottom"/>
            <w:hideMark/>
          </w:tcPr>
          <w:p w14:paraId="2FCD1EBB"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579FDF49" w14:textId="77777777" w:rsidTr="00BE6461">
        <w:trPr>
          <w:trHeight w:val="300"/>
        </w:trPr>
        <w:tc>
          <w:tcPr>
            <w:tcW w:w="1703" w:type="dxa"/>
            <w:tcBorders>
              <w:top w:val="nil"/>
              <w:left w:val="nil"/>
              <w:bottom w:val="nil"/>
              <w:right w:val="nil"/>
            </w:tcBorders>
            <w:shd w:val="clear" w:color="auto" w:fill="auto"/>
            <w:noWrap/>
            <w:vAlign w:val="bottom"/>
            <w:hideMark/>
          </w:tcPr>
          <w:p w14:paraId="62BA9553" w14:textId="77777777" w:rsidR="00BE6461" w:rsidRPr="00BE6461" w:rsidRDefault="00BE6461" w:rsidP="00BE6461">
            <w:pPr>
              <w:rPr>
                <w:sz w:val="20"/>
                <w:szCs w:val="20"/>
              </w:rPr>
            </w:pPr>
            <w:r w:rsidRPr="00BE6461">
              <w:rPr>
                <w:sz w:val="20"/>
                <w:szCs w:val="20"/>
              </w:rPr>
              <w:lastRenderedPageBreak/>
              <w:t>3232</w:t>
            </w:r>
          </w:p>
        </w:tc>
        <w:tc>
          <w:tcPr>
            <w:tcW w:w="8457" w:type="dxa"/>
            <w:tcBorders>
              <w:top w:val="nil"/>
              <w:left w:val="nil"/>
              <w:bottom w:val="nil"/>
              <w:right w:val="nil"/>
            </w:tcBorders>
            <w:shd w:val="clear" w:color="auto" w:fill="auto"/>
            <w:vAlign w:val="bottom"/>
            <w:hideMark/>
          </w:tcPr>
          <w:p w14:paraId="2AFF812C" w14:textId="77777777" w:rsidR="00BE6461" w:rsidRPr="00BE6461" w:rsidRDefault="00BE6461" w:rsidP="00BE6461">
            <w:pPr>
              <w:rPr>
                <w:sz w:val="20"/>
                <w:szCs w:val="20"/>
              </w:rPr>
            </w:pPr>
            <w:r w:rsidRPr="00BE6461">
              <w:rPr>
                <w:sz w:val="20"/>
                <w:szCs w:val="20"/>
              </w:rPr>
              <w:t xml:space="preserve">Usluge tekućeg i investicijskog održavanja                                                          </w:t>
            </w:r>
          </w:p>
        </w:tc>
        <w:tc>
          <w:tcPr>
            <w:tcW w:w="1503" w:type="dxa"/>
            <w:tcBorders>
              <w:top w:val="nil"/>
              <w:left w:val="nil"/>
              <w:bottom w:val="nil"/>
              <w:right w:val="nil"/>
            </w:tcBorders>
            <w:shd w:val="clear" w:color="auto" w:fill="auto"/>
            <w:noWrap/>
            <w:vAlign w:val="bottom"/>
            <w:hideMark/>
          </w:tcPr>
          <w:p w14:paraId="270B3DAB"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54983F0" w14:textId="77777777" w:rsidR="00BE6461" w:rsidRPr="00BE6461" w:rsidRDefault="00BE6461" w:rsidP="00BE6461">
            <w:pPr>
              <w:jc w:val="right"/>
              <w:rPr>
                <w:sz w:val="20"/>
                <w:szCs w:val="20"/>
              </w:rPr>
            </w:pPr>
            <w:r w:rsidRPr="00BE6461">
              <w:rPr>
                <w:sz w:val="20"/>
                <w:szCs w:val="20"/>
              </w:rPr>
              <w:t>99.850,00</w:t>
            </w:r>
          </w:p>
        </w:tc>
        <w:tc>
          <w:tcPr>
            <w:tcW w:w="1100" w:type="dxa"/>
            <w:tcBorders>
              <w:top w:val="nil"/>
              <w:left w:val="nil"/>
              <w:bottom w:val="nil"/>
              <w:right w:val="nil"/>
            </w:tcBorders>
            <w:shd w:val="clear" w:color="auto" w:fill="auto"/>
            <w:noWrap/>
            <w:vAlign w:val="bottom"/>
            <w:hideMark/>
          </w:tcPr>
          <w:p w14:paraId="20577E95" w14:textId="77777777" w:rsidR="00BE6461" w:rsidRPr="00BE6461" w:rsidRDefault="00BE6461" w:rsidP="00BE6461">
            <w:pPr>
              <w:jc w:val="right"/>
              <w:rPr>
                <w:sz w:val="20"/>
                <w:szCs w:val="20"/>
              </w:rPr>
            </w:pPr>
          </w:p>
        </w:tc>
      </w:tr>
      <w:tr w:rsidR="00BE6461" w:rsidRPr="00BE6461" w14:paraId="2FEACF6C"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B45E676" w14:textId="77777777" w:rsidR="00BE6461" w:rsidRPr="00BE6461" w:rsidRDefault="00BE6461" w:rsidP="00BE6461">
            <w:pPr>
              <w:rPr>
                <w:b/>
                <w:bCs/>
                <w:color w:val="333333"/>
                <w:sz w:val="20"/>
                <w:szCs w:val="20"/>
              </w:rPr>
            </w:pPr>
            <w:r w:rsidRPr="00BE6461">
              <w:rPr>
                <w:b/>
                <w:bCs/>
                <w:color w:val="333333"/>
                <w:sz w:val="20"/>
                <w:szCs w:val="20"/>
              </w:rPr>
              <w:t>Izvor 7. PRIHODI OD NEFIN.IMOVINE I NADOKNADE ŠTETA OD OSIG.</w:t>
            </w:r>
          </w:p>
        </w:tc>
        <w:tc>
          <w:tcPr>
            <w:tcW w:w="1503" w:type="dxa"/>
            <w:tcBorders>
              <w:top w:val="nil"/>
              <w:left w:val="nil"/>
              <w:bottom w:val="nil"/>
              <w:right w:val="nil"/>
            </w:tcBorders>
            <w:shd w:val="clear" w:color="auto" w:fill="auto"/>
            <w:noWrap/>
            <w:vAlign w:val="bottom"/>
            <w:hideMark/>
          </w:tcPr>
          <w:p w14:paraId="33A708C5" w14:textId="77777777" w:rsidR="00BE6461" w:rsidRPr="00BE6461" w:rsidRDefault="00BE6461" w:rsidP="00BE6461">
            <w:pPr>
              <w:jc w:val="right"/>
              <w:rPr>
                <w:b/>
                <w:bCs/>
                <w:color w:val="333333"/>
                <w:sz w:val="20"/>
                <w:szCs w:val="20"/>
              </w:rPr>
            </w:pPr>
            <w:r w:rsidRPr="00BE6461">
              <w:rPr>
                <w:b/>
                <w:bCs/>
                <w:color w:val="333333"/>
                <w:sz w:val="20"/>
                <w:szCs w:val="20"/>
              </w:rPr>
              <w:t>1.256.670,00</w:t>
            </w:r>
          </w:p>
        </w:tc>
        <w:tc>
          <w:tcPr>
            <w:tcW w:w="1500" w:type="dxa"/>
            <w:tcBorders>
              <w:top w:val="nil"/>
              <w:left w:val="nil"/>
              <w:bottom w:val="nil"/>
              <w:right w:val="nil"/>
            </w:tcBorders>
            <w:shd w:val="clear" w:color="auto" w:fill="auto"/>
            <w:noWrap/>
            <w:vAlign w:val="bottom"/>
            <w:hideMark/>
          </w:tcPr>
          <w:p w14:paraId="2A08477B" w14:textId="77777777" w:rsidR="00BE6461" w:rsidRPr="00BE6461" w:rsidRDefault="00BE6461" w:rsidP="00BE6461">
            <w:pPr>
              <w:jc w:val="right"/>
              <w:rPr>
                <w:b/>
                <w:bCs/>
                <w:color w:val="333333"/>
                <w:sz w:val="20"/>
                <w:szCs w:val="20"/>
              </w:rPr>
            </w:pPr>
            <w:r w:rsidRPr="00BE6461">
              <w:rPr>
                <w:b/>
                <w:bCs/>
                <w:color w:val="333333"/>
                <w:sz w:val="20"/>
                <w:szCs w:val="20"/>
              </w:rPr>
              <w:t>1.031.028,46</w:t>
            </w:r>
          </w:p>
        </w:tc>
        <w:tc>
          <w:tcPr>
            <w:tcW w:w="1100" w:type="dxa"/>
            <w:tcBorders>
              <w:top w:val="nil"/>
              <w:left w:val="nil"/>
              <w:bottom w:val="nil"/>
              <w:right w:val="nil"/>
            </w:tcBorders>
            <w:shd w:val="clear" w:color="auto" w:fill="auto"/>
            <w:noWrap/>
            <w:vAlign w:val="bottom"/>
            <w:hideMark/>
          </w:tcPr>
          <w:p w14:paraId="1AAB1254" w14:textId="77777777" w:rsidR="00BE6461" w:rsidRPr="00BE6461" w:rsidRDefault="00BE6461" w:rsidP="00BE6461">
            <w:pPr>
              <w:jc w:val="right"/>
              <w:rPr>
                <w:b/>
                <w:bCs/>
                <w:color w:val="333333"/>
                <w:sz w:val="20"/>
                <w:szCs w:val="20"/>
              </w:rPr>
            </w:pPr>
            <w:r w:rsidRPr="00BE6461">
              <w:rPr>
                <w:b/>
                <w:bCs/>
                <w:color w:val="333333"/>
                <w:sz w:val="20"/>
                <w:szCs w:val="20"/>
              </w:rPr>
              <w:t>82,04</w:t>
            </w:r>
          </w:p>
        </w:tc>
      </w:tr>
      <w:tr w:rsidR="00BE6461" w:rsidRPr="00BE6461" w14:paraId="01B6CDDD"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E2430D5" w14:textId="77777777" w:rsidR="00BE6461" w:rsidRPr="00BE6461" w:rsidRDefault="00BE6461" w:rsidP="00BE6461">
            <w:pPr>
              <w:rPr>
                <w:b/>
                <w:bCs/>
                <w:color w:val="333333"/>
                <w:sz w:val="20"/>
                <w:szCs w:val="20"/>
              </w:rPr>
            </w:pPr>
            <w:r w:rsidRPr="00BE6461">
              <w:rPr>
                <w:b/>
                <w:bCs/>
                <w:color w:val="333333"/>
                <w:sz w:val="20"/>
                <w:szCs w:val="20"/>
              </w:rPr>
              <w:t>Izvor 7.1. PRIHODI OD NEFIN.IMOVINE I NADOKNADE ŠTETA OD OSIG.</w:t>
            </w:r>
          </w:p>
        </w:tc>
        <w:tc>
          <w:tcPr>
            <w:tcW w:w="1503" w:type="dxa"/>
            <w:tcBorders>
              <w:top w:val="nil"/>
              <w:left w:val="nil"/>
              <w:bottom w:val="nil"/>
              <w:right w:val="nil"/>
            </w:tcBorders>
            <w:shd w:val="clear" w:color="auto" w:fill="auto"/>
            <w:noWrap/>
            <w:vAlign w:val="bottom"/>
            <w:hideMark/>
          </w:tcPr>
          <w:p w14:paraId="2D7249F9" w14:textId="77777777" w:rsidR="00BE6461" w:rsidRPr="00BE6461" w:rsidRDefault="00BE6461" w:rsidP="00BE6461">
            <w:pPr>
              <w:jc w:val="right"/>
              <w:rPr>
                <w:b/>
                <w:bCs/>
                <w:color w:val="333333"/>
                <w:sz w:val="20"/>
                <w:szCs w:val="20"/>
              </w:rPr>
            </w:pPr>
            <w:r w:rsidRPr="00BE6461">
              <w:rPr>
                <w:b/>
                <w:bCs/>
                <w:color w:val="333333"/>
                <w:sz w:val="20"/>
                <w:szCs w:val="20"/>
              </w:rPr>
              <w:t>1.256.670,00</w:t>
            </w:r>
          </w:p>
        </w:tc>
        <w:tc>
          <w:tcPr>
            <w:tcW w:w="1500" w:type="dxa"/>
            <w:tcBorders>
              <w:top w:val="nil"/>
              <w:left w:val="nil"/>
              <w:bottom w:val="nil"/>
              <w:right w:val="nil"/>
            </w:tcBorders>
            <w:shd w:val="clear" w:color="auto" w:fill="auto"/>
            <w:noWrap/>
            <w:vAlign w:val="bottom"/>
            <w:hideMark/>
          </w:tcPr>
          <w:p w14:paraId="148CB332" w14:textId="77777777" w:rsidR="00BE6461" w:rsidRPr="00BE6461" w:rsidRDefault="00BE6461" w:rsidP="00BE6461">
            <w:pPr>
              <w:jc w:val="right"/>
              <w:rPr>
                <w:b/>
                <w:bCs/>
                <w:color w:val="333333"/>
                <w:sz w:val="20"/>
                <w:szCs w:val="20"/>
              </w:rPr>
            </w:pPr>
            <w:r w:rsidRPr="00BE6461">
              <w:rPr>
                <w:b/>
                <w:bCs/>
                <w:color w:val="333333"/>
                <w:sz w:val="20"/>
                <w:szCs w:val="20"/>
              </w:rPr>
              <w:t>1.031.028,46</w:t>
            </w:r>
          </w:p>
        </w:tc>
        <w:tc>
          <w:tcPr>
            <w:tcW w:w="1100" w:type="dxa"/>
            <w:tcBorders>
              <w:top w:val="nil"/>
              <w:left w:val="nil"/>
              <w:bottom w:val="nil"/>
              <w:right w:val="nil"/>
            </w:tcBorders>
            <w:shd w:val="clear" w:color="auto" w:fill="auto"/>
            <w:noWrap/>
            <w:vAlign w:val="bottom"/>
            <w:hideMark/>
          </w:tcPr>
          <w:p w14:paraId="74C3418E" w14:textId="77777777" w:rsidR="00BE6461" w:rsidRPr="00BE6461" w:rsidRDefault="00BE6461" w:rsidP="00BE6461">
            <w:pPr>
              <w:jc w:val="right"/>
              <w:rPr>
                <w:b/>
                <w:bCs/>
                <w:color w:val="333333"/>
                <w:sz w:val="20"/>
                <w:szCs w:val="20"/>
              </w:rPr>
            </w:pPr>
            <w:r w:rsidRPr="00BE6461">
              <w:rPr>
                <w:b/>
                <w:bCs/>
                <w:color w:val="333333"/>
                <w:sz w:val="20"/>
                <w:szCs w:val="20"/>
              </w:rPr>
              <w:t>82,04</w:t>
            </w:r>
          </w:p>
        </w:tc>
      </w:tr>
      <w:tr w:rsidR="00BE6461" w:rsidRPr="00BE6461" w14:paraId="63A241DD" w14:textId="77777777" w:rsidTr="00BE6461">
        <w:trPr>
          <w:trHeight w:val="300"/>
        </w:trPr>
        <w:tc>
          <w:tcPr>
            <w:tcW w:w="1703" w:type="dxa"/>
            <w:tcBorders>
              <w:top w:val="nil"/>
              <w:left w:val="nil"/>
              <w:bottom w:val="nil"/>
              <w:right w:val="nil"/>
            </w:tcBorders>
            <w:shd w:val="clear" w:color="auto" w:fill="auto"/>
            <w:noWrap/>
            <w:vAlign w:val="bottom"/>
            <w:hideMark/>
          </w:tcPr>
          <w:p w14:paraId="5D0452B4"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09E59ECF"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490A2664" w14:textId="77777777" w:rsidR="00BE6461" w:rsidRPr="00BE6461" w:rsidRDefault="00BE6461" w:rsidP="00BE6461">
            <w:pPr>
              <w:jc w:val="right"/>
              <w:rPr>
                <w:b/>
                <w:bCs/>
                <w:sz w:val="20"/>
                <w:szCs w:val="20"/>
              </w:rPr>
            </w:pPr>
            <w:r w:rsidRPr="00BE6461">
              <w:rPr>
                <w:b/>
                <w:bCs/>
                <w:sz w:val="20"/>
                <w:szCs w:val="20"/>
              </w:rPr>
              <w:t>670.000,00</w:t>
            </w:r>
          </w:p>
        </w:tc>
        <w:tc>
          <w:tcPr>
            <w:tcW w:w="1500" w:type="dxa"/>
            <w:tcBorders>
              <w:top w:val="nil"/>
              <w:left w:val="nil"/>
              <w:bottom w:val="nil"/>
              <w:right w:val="nil"/>
            </w:tcBorders>
            <w:shd w:val="clear" w:color="auto" w:fill="auto"/>
            <w:noWrap/>
            <w:vAlign w:val="bottom"/>
            <w:hideMark/>
          </w:tcPr>
          <w:p w14:paraId="256FB733" w14:textId="77777777" w:rsidR="00BE6461" w:rsidRPr="00BE6461" w:rsidRDefault="00BE6461" w:rsidP="00BE6461">
            <w:pPr>
              <w:jc w:val="right"/>
              <w:rPr>
                <w:b/>
                <w:bCs/>
                <w:sz w:val="20"/>
                <w:szCs w:val="20"/>
              </w:rPr>
            </w:pPr>
            <w:r w:rsidRPr="00BE6461">
              <w:rPr>
                <w:b/>
                <w:bCs/>
                <w:sz w:val="20"/>
                <w:szCs w:val="20"/>
              </w:rPr>
              <w:t>501.902,83</w:t>
            </w:r>
          </w:p>
        </w:tc>
        <w:tc>
          <w:tcPr>
            <w:tcW w:w="1100" w:type="dxa"/>
            <w:tcBorders>
              <w:top w:val="nil"/>
              <w:left w:val="nil"/>
              <w:bottom w:val="nil"/>
              <w:right w:val="nil"/>
            </w:tcBorders>
            <w:shd w:val="clear" w:color="auto" w:fill="auto"/>
            <w:noWrap/>
            <w:vAlign w:val="bottom"/>
            <w:hideMark/>
          </w:tcPr>
          <w:p w14:paraId="49D3F672" w14:textId="77777777" w:rsidR="00BE6461" w:rsidRPr="00BE6461" w:rsidRDefault="00BE6461" w:rsidP="00BE6461">
            <w:pPr>
              <w:jc w:val="right"/>
              <w:rPr>
                <w:b/>
                <w:bCs/>
                <w:sz w:val="20"/>
                <w:szCs w:val="20"/>
              </w:rPr>
            </w:pPr>
            <w:r w:rsidRPr="00BE6461">
              <w:rPr>
                <w:b/>
                <w:bCs/>
                <w:sz w:val="20"/>
                <w:szCs w:val="20"/>
              </w:rPr>
              <w:t>74,91</w:t>
            </w:r>
          </w:p>
        </w:tc>
      </w:tr>
      <w:tr w:rsidR="00BE6461" w:rsidRPr="00BE6461" w14:paraId="1FE44C1E" w14:textId="77777777" w:rsidTr="00BE6461">
        <w:trPr>
          <w:trHeight w:val="300"/>
        </w:trPr>
        <w:tc>
          <w:tcPr>
            <w:tcW w:w="1703" w:type="dxa"/>
            <w:tcBorders>
              <w:top w:val="nil"/>
              <w:left w:val="nil"/>
              <w:bottom w:val="nil"/>
              <w:right w:val="nil"/>
            </w:tcBorders>
            <w:shd w:val="clear" w:color="auto" w:fill="auto"/>
            <w:noWrap/>
            <w:vAlign w:val="bottom"/>
            <w:hideMark/>
          </w:tcPr>
          <w:p w14:paraId="62C59BF1" w14:textId="77777777" w:rsidR="00BE6461" w:rsidRPr="00BE6461" w:rsidRDefault="00BE6461" w:rsidP="00BE6461">
            <w:pPr>
              <w:rPr>
                <w:sz w:val="20"/>
                <w:szCs w:val="20"/>
              </w:rPr>
            </w:pPr>
            <w:r w:rsidRPr="00BE6461">
              <w:rPr>
                <w:sz w:val="20"/>
                <w:szCs w:val="20"/>
              </w:rPr>
              <w:t>3232</w:t>
            </w:r>
          </w:p>
        </w:tc>
        <w:tc>
          <w:tcPr>
            <w:tcW w:w="8457" w:type="dxa"/>
            <w:tcBorders>
              <w:top w:val="nil"/>
              <w:left w:val="nil"/>
              <w:bottom w:val="nil"/>
              <w:right w:val="nil"/>
            </w:tcBorders>
            <w:shd w:val="clear" w:color="auto" w:fill="auto"/>
            <w:vAlign w:val="bottom"/>
            <w:hideMark/>
          </w:tcPr>
          <w:p w14:paraId="51FC5287" w14:textId="77777777" w:rsidR="00BE6461" w:rsidRPr="00BE6461" w:rsidRDefault="00BE6461" w:rsidP="00BE6461">
            <w:pPr>
              <w:rPr>
                <w:sz w:val="20"/>
                <w:szCs w:val="20"/>
              </w:rPr>
            </w:pPr>
            <w:r w:rsidRPr="00BE6461">
              <w:rPr>
                <w:sz w:val="20"/>
                <w:szCs w:val="20"/>
              </w:rPr>
              <w:t xml:space="preserve">Usluge tekućeg i investicijskog održavanja                                                          </w:t>
            </w:r>
          </w:p>
        </w:tc>
        <w:tc>
          <w:tcPr>
            <w:tcW w:w="1503" w:type="dxa"/>
            <w:tcBorders>
              <w:top w:val="nil"/>
              <w:left w:val="nil"/>
              <w:bottom w:val="nil"/>
              <w:right w:val="nil"/>
            </w:tcBorders>
            <w:shd w:val="clear" w:color="auto" w:fill="auto"/>
            <w:noWrap/>
            <w:vAlign w:val="bottom"/>
            <w:hideMark/>
          </w:tcPr>
          <w:p w14:paraId="57F6E70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60AA7AE" w14:textId="77777777" w:rsidR="00BE6461" w:rsidRPr="00BE6461" w:rsidRDefault="00BE6461" w:rsidP="00BE6461">
            <w:pPr>
              <w:jc w:val="right"/>
              <w:rPr>
                <w:sz w:val="20"/>
                <w:szCs w:val="20"/>
              </w:rPr>
            </w:pPr>
            <w:r w:rsidRPr="00BE6461">
              <w:rPr>
                <w:sz w:val="20"/>
                <w:szCs w:val="20"/>
              </w:rPr>
              <w:t>501.902,83</w:t>
            </w:r>
          </w:p>
        </w:tc>
        <w:tc>
          <w:tcPr>
            <w:tcW w:w="1100" w:type="dxa"/>
            <w:tcBorders>
              <w:top w:val="nil"/>
              <w:left w:val="nil"/>
              <w:bottom w:val="nil"/>
              <w:right w:val="nil"/>
            </w:tcBorders>
            <w:shd w:val="clear" w:color="auto" w:fill="auto"/>
            <w:noWrap/>
            <w:vAlign w:val="bottom"/>
            <w:hideMark/>
          </w:tcPr>
          <w:p w14:paraId="51CF7C67" w14:textId="77777777" w:rsidR="00BE6461" w:rsidRPr="00BE6461" w:rsidRDefault="00BE6461" w:rsidP="00BE6461">
            <w:pPr>
              <w:jc w:val="right"/>
              <w:rPr>
                <w:sz w:val="20"/>
                <w:szCs w:val="20"/>
              </w:rPr>
            </w:pPr>
          </w:p>
        </w:tc>
      </w:tr>
      <w:tr w:rsidR="00BE6461" w:rsidRPr="00BE6461" w14:paraId="09CB68DA" w14:textId="77777777" w:rsidTr="00BE6461">
        <w:trPr>
          <w:trHeight w:val="300"/>
        </w:trPr>
        <w:tc>
          <w:tcPr>
            <w:tcW w:w="1703" w:type="dxa"/>
            <w:tcBorders>
              <w:top w:val="nil"/>
              <w:left w:val="nil"/>
              <w:bottom w:val="nil"/>
              <w:right w:val="nil"/>
            </w:tcBorders>
            <w:shd w:val="clear" w:color="auto" w:fill="auto"/>
            <w:noWrap/>
            <w:vAlign w:val="bottom"/>
            <w:hideMark/>
          </w:tcPr>
          <w:p w14:paraId="1448E66E" w14:textId="77777777" w:rsidR="00BE6461" w:rsidRPr="00BE6461" w:rsidRDefault="00BE6461" w:rsidP="00BE6461">
            <w:pPr>
              <w:rPr>
                <w:b/>
                <w:bCs/>
                <w:sz w:val="20"/>
                <w:szCs w:val="20"/>
              </w:rPr>
            </w:pPr>
            <w:r w:rsidRPr="00BE6461">
              <w:rPr>
                <w:b/>
                <w:bCs/>
                <w:sz w:val="20"/>
                <w:szCs w:val="20"/>
              </w:rPr>
              <w:t>422</w:t>
            </w:r>
          </w:p>
        </w:tc>
        <w:tc>
          <w:tcPr>
            <w:tcW w:w="8457" w:type="dxa"/>
            <w:tcBorders>
              <w:top w:val="nil"/>
              <w:left w:val="nil"/>
              <w:bottom w:val="nil"/>
              <w:right w:val="nil"/>
            </w:tcBorders>
            <w:shd w:val="clear" w:color="auto" w:fill="auto"/>
            <w:vAlign w:val="bottom"/>
            <w:hideMark/>
          </w:tcPr>
          <w:p w14:paraId="4BBCC108" w14:textId="77777777" w:rsidR="00BE6461" w:rsidRPr="00BE6461" w:rsidRDefault="00BE6461" w:rsidP="00BE6461">
            <w:pPr>
              <w:rPr>
                <w:b/>
                <w:bCs/>
                <w:sz w:val="20"/>
                <w:szCs w:val="20"/>
              </w:rPr>
            </w:pPr>
            <w:r w:rsidRPr="00BE6461">
              <w:rPr>
                <w:b/>
                <w:bCs/>
                <w:sz w:val="20"/>
                <w:szCs w:val="20"/>
              </w:rPr>
              <w:t xml:space="preserve">Postrojenja i oprema                                                                                </w:t>
            </w:r>
          </w:p>
        </w:tc>
        <w:tc>
          <w:tcPr>
            <w:tcW w:w="1503" w:type="dxa"/>
            <w:tcBorders>
              <w:top w:val="nil"/>
              <w:left w:val="nil"/>
              <w:bottom w:val="nil"/>
              <w:right w:val="nil"/>
            </w:tcBorders>
            <w:shd w:val="clear" w:color="auto" w:fill="auto"/>
            <w:noWrap/>
            <w:vAlign w:val="bottom"/>
            <w:hideMark/>
          </w:tcPr>
          <w:p w14:paraId="23463D27" w14:textId="77777777" w:rsidR="00BE6461" w:rsidRPr="00BE6461" w:rsidRDefault="00BE6461" w:rsidP="00BE6461">
            <w:pPr>
              <w:jc w:val="right"/>
              <w:rPr>
                <w:b/>
                <w:bCs/>
                <w:sz w:val="20"/>
                <w:szCs w:val="20"/>
              </w:rPr>
            </w:pPr>
            <w:r w:rsidRPr="00BE6461">
              <w:rPr>
                <w:b/>
                <w:bCs/>
                <w:sz w:val="20"/>
                <w:szCs w:val="20"/>
              </w:rPr>
              <w:t>5.670,00</w:t>
            </w:r>
          </w:p>
        </w:tc>
        <w:tc>
          <w:tcPr>
            <w:tcW w:w="1500" w:type="dxa"/>
            <w:tcBorders>
              <w:top w:val="nil"/>
              <w:left w:val="nil"/>
              <w:bottom w:val="nil"/>
              <w:right w:val="nil"/>
            </w:tcBorders>
            <w:shd w:val="clear" w:color="auto" w:fill="auto"/>
            <w:noWrap/>
            <w:vAlign w:val="bottom"/>
            <w:hideMark/>
          </w:tcPr>
          <w:p w14:paraId="58A4D490" w14:textId="77777777" w:rsidR="00BE6461" w:rsidRPr="00BE6461" w:rsidRDefault="00BE6461" w:rsidP="00BE6461">
            <w:pPr>
              <w:jc w:val="right"/>
              <w:rPr>
                <w:b/>
                <w:bCs/>
                <w:sz w:val="20"/>
                <w:szCs w:val="20"/>
              </w:rPr>
            </w:pPr>
            <w:r w:rsidRPr="00BE6461">
              <w:rPr>
                <w:b/>
                <w:bCs/>
                <w:sz w:val="20"/>
                <w:szCs w:val="20"/>
              </w:rPr>
              <w:t>5.670,00</w:t>
            </w:r>
          </w:p>
        </w:tc>
        <w:tc>
          <w:tcPr>
            <w:tcW w:w="1100" w:type="dxa"/>
            <w:tcBorders>
              <w:top w:val="nil"/>
              <w:left w:val="nil"/>
              <w:bottom w:val="nil"/>
              <w:right w:val="nil"/>
            </w:tcBorders>
            <w:shd w:val="clear" w:color="auto" w:fill="auto"/>
            <w:noWrap/>
            <w:vAlign w:val="bottom"/>
            <w:hideMark/>
          </w:tcPr>
          <w:p w14:paraId="467B7885"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78FEFE11" w14:textId="77777777" w:rsidTr="00BE6461">
        <w:trPr>
          <w:trHeight w:val="300"/>
        </w:trPr>
        <w:tc>
          <w:tcPr>
            <w:tcW w:w="1703" w:type="dxa"/>
            <w:tcBorders>
              <w:top w:val="nil"/>
              <w:left w:val="nil"/>
              <w:bottom w:val="nil"/>
              <w:right w:val="nil"/>
            </w:tcBorders>
            <w:shd w:val="clear" w:color="auto" w:fill="auto"/>
            <w:noWrap/>
            <w:vAlign w:val="bottom"/>
            <w:hideMark/>
          </w:tcPr>
          <w:p w14:paraId="5B822133" w14:textId="77777777" w:rsidR="00BE6461" w:rsidRPr="00BE6461" w:rsidRDefault="00BE6461" w:rsidP="00BE6461">
            <w:pPr>
              <w:rPr>
                <w:sz w:val="20"/>
                <w:szCs w:val="20"/>
              </w:rPr>
            </w:pPr>
            <w:r w:rsidRPr="00BE6461">
              <w:rPr>
                <w:sz w:val="20"/>
                <w:szCs w:val="20"/>
              </w:rPr>
              <w:t>4223</w:t>
            </w:r>
          </w:p>
        </w:tc>
        <w:tc>
          <w:tcPr>
            <w:tcW w:w="8457" w:type="dxa"/>
            <w:tcBorders>
              <w:top w:val="nil"/>
              <w:left w:val="nil"/>
              <w:bottom w:val="nil"/>
              <w:right w:val="nil"/>
            </w:tcBorders>
            <w:shd w:val="clear" w:color="auto" w:fill="auto"/>
            <w:vAlign w:val="bottom"/>
            <w:hideMark/>
          </w:tcPr>
          <w:p w14:paraId="2A408F99" w14:textId="77777777" w:rsidR="00BE6461" w:rsidRPr="00BE6461" w:rsidRDefault="00BE6461" w:rsidP="00BE6461">
            <w:pPr>
              <w:rPr>
                <w:sz w:val="20"/>
                <w:szCs w:val="20"/>
              </w:rPr>
            </w:pPr>
            <w:r w:rsidRPr="00BE6461">
              <w:rPr>
                <w:sz w:val="20"/>
                <w:szCs w:val="20"/>
              </w:rPr>
              <w:t xml:space="preserve">Oprema za održavanje i zaštitu                                                                      </w:t>
            </w:r>
          </w:p>
        </w:tc>
        <w:tc>
          <w:tcPr>
            <w:tcW w:w="1503" w:type="dxa"/>
            <w:tcBorders>
              <w:top w:val="nil"/>
              <w:left w:val="nil"/>
              <w:bottom w:val="nil"/>
              <w:right w:val="nil"/>
            </w:tcBorders>
            <w:shd w:val="clear" w:color="auto" w:fill="auto"/>
            <w:noWrap/>
            <w:vAlign w:val="bottom"/>
            <w:hideMark/>
          </w:tcPr>
          <w:p w14:paraId="09D1B3E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CEF7E28" w14:textId="77777777" w:rsidR="00BE6461" w:rsidRPr="00BE6461" w:rsidRDefault="00BE6461" w:rsidP="00BE6461">
            <w:pPr>
              <w:jc w:val="right"/>
              <w:rPr>
                <w:sz w:val="20"/>
                <w:szCs w:val="20"/>
              </w:rPr>
            </w:pPr>
            <w:r w:rsidRPr="00BE6461">
              <w:rPr>
                <w:sz w:val="20"/>
                <w:szCs w:val="20"/>
              </w:rPr>
              <w:t>5.670,00</w:t>
            </w:r>
          </w:p>
        </w:tc>
        <w:tc>
          <w:tcPr>
            <w:tcW w:w="1100" w:type="dxa"/>
            <w:tcBorders>
              <w:top w:val="nil"/>
              <w:left w:val="nil"/>
              <w:bottom w:val="nil"/>
              <w:right w:val="nil"/>
            </w:tcBorders>
            <w:shd w:val="clear" w:color="auto" w:fill="auto"/>
            <w:noWrap/>
            <w:vAlign w:val="bottom"/>
            <w:hideMark/>
          </w:tcPr>
          <w:p w14:paraId="1AC7AB30" w14:textId="77777777" w:rsidR="00BE6461" w:rsidRPr="00BE6461" w:rsidRDefault="00BE6461" w:rsidP="00BE6461">
            <w:pPr>
              <w:jc w:val="right"/>
              <w:rPr>
                <w:sz w:val="20"/>
                <w:szCs w:val="20"/>
              </w:rPr>
            </w:pPr>
          </w:p>
        </w:tc>
      </w:tr>
      <w:tr w:rsidR="00BE6461" w:rsidRPr="00BE6461" w14:paraId="32332683" w14:textId="77777777" w:rsidTr="00BE6461">
        <w:trPr>
          <w:trHeight w:val="300"/>
        </w:trPr>
        <w:tc>
          <w:tcPr>
            <w:tcW w:w="1703" w:type="dxa"/>
            <w:tcBorders>
              <w:top w:val="nil"/>
              <w:left w:val="nil"/>
              <w:bottom w:val="nil"/>
              <w:right w:val="nil"/>
            </w:tcBorders>
            <w:shd w:val="clear" w:color="auto" w:fill="auto"/>
            <w:noWrap/>
            <w:vAlign w:val="bottom"/>
            <w:hideMark/>
          </w:tcPr>
          <w:p w14:paraId="6965C3C4" w14:textId="77777777" w:rsidR="00BE6461" w:rsidRPr="00BE6461" w:rsidRDefault="00BE6461" w:rsidP="00BE6461">
            <w:pPr>
              <w:rPr>
                <w:b/>
                <w:bCs/>
                <w:sz w:val="20"/>
                <w:szCs w:val="20"/>
              </w:rPr>
            </w:pPr>
            <w:r w:rsidRPr="00BE6461">
              <w:rPr>
                <w:b/>
                <w:bCs/>
                <w:sz w:val="20"/>
                <w:szCs w:val="20"/>
              </w:rPr>
              <w:t>451</w:t>
            </w:r>
          </w:p>
        </w:tc>
        <w:tc>
          <w:tcPr>
            <w:tcW w:w="8457" w:type="dxa"/>
            <w:tcBorders>
              <w:top w:val="nil"/>
              <w:left w:val="nil"/>
              <w:bottom w:val="nil"/>
              <w:right w:val="nil"/>
            </w:tcBorders>
            <w:shd w:val="clear" w:color="auto" w:fill="auto"/>
            <w:vAlign w:val="bottom"/>
            <w:hideMark/>
          </w:tcPr>
          <w:p w14:paraId="00141E22" w14:textId="77777777" w:rsidR="00BE6461" w:rsidRPr="00BE6461" w:rsidRDefault="00BE6461" w:rsidP="00BE6461">
            <w:pPr>
              <w:rPr>
                <w:b/>
                <w:bCs/>
                <w:sz w:val="20"/>
                <w:szCs w:val="20"/>
              </w:rPr>
            </w:pPr>
            <w:r w:rsidRPr="00BE6461">
              <w:rPr>
                <w:b/>
                <w:bCs/>
                <w:sz w:val="20"/>
                <w:szCs w:val="20"/>
              </w:rPr>
              <w:t xml:space="preserve">Dodatna ulaganja na građevinskim objektima                                                          </w:t>
            </w:r>
          </w:p>
        </w:tc>
        <w:tc>
          <w:tcPr>
            <w:tcW w:w="1503" w:type="dxa"/>
            <w:tcBorders>
              <w:top w:val="nil"/>
              <w:left w:val="nil"/>
              <w:bottom w:val="nil"/>
              <w:right w:val="nil"/>
            </w:tcBorders>
            <w:shd w:val="clear" w:color="auto" w:fill="auto"/>
            <w:noWrap/>
            <w:vAlign w:val="bottom"/>
            <w:hideMark/>
          </w:tcPr>
          <w:p w14:paraId="1ED4AF5B" w14:textId="77777777" w:rsidR="00BE6461" w:rsidRPr="00BE6461" w:rsidRDefault="00BE6461" w:rsidP="00BE6461">
            <w:pPr>
              <w:jc w:val="right"/>
              <w:rPr>
                <w:b/>
                <w:bCs/>
                <w:sz w:val="20"/>
                <w:szCs w:val="20"/>
              </w:rPr>
            </w:pPr>
            <w:r w:rsidRPr="00BE6461">
              <w:rPr>
                <w:b/>
                <w:bCs/>
                <w:sz w:val="20"/>
                <w:szCs w:val="20"/>
              </w:rPr>
              <w:t>581.000,00</w:t>
            </w:r>
          </w:p>
        </w:tc>
        <w:tc>
          <w:tcPr>
            <w:tcW w:w="1500" w:type="dxa"/>
            <w:tcBorders>
              <w:top w:val="nil"/>
              <w:left w:val="nil"/>
              <w:bottom w:val="nil"/>
              <w:right w:val="nil"/>
            </w:tcBorders>
            <w:shd w:val="clear" w:color="auto" w:fill="auto"/>
            <w:noWrap/>
            <w:vAlign w:val="bottom"/>
            <w:hideMark/>
          </w:tcPr>
          <w:p w14:paraId="605807F4" w14:textId="77777777" w:rsidR="00BE6461" w:rsidRPr="00BE6461" w:rsidRDefault="00BE6461" w:rsidP="00BE6461">
            <w:pPr>
              <w:jc w:val="right"/>
              <w:rPr>
                <w:b/>
                <w:bCs/>
                <w:sz w:val="20"/>
                <w:szCs w:val="20"/>
              </w:rPr>
            </w:pPr>
            <w:r w:rsidRPr="00BE6461">
              <w:rPr>
                <w:b/>
                <w:bCs/>
                <w:sz w:val="20"/>
                <w:szCs w:val="20"/>
              </w:rPr>
              <w:t>523.455,63</w:t>
            </w:r>
          </w:p>
        </w:tc>
        <w:tc>
          <w:tcPr>
            <w:tcW w:w="1100" w:type="dxa"/>
            <w:tcBorders>
              <w:top w:val="nil"/>
              <w:left w:val="nil"/>
              <w:bottom w:val="nil"/>
              <w:right w:val="nil"/>
            </w:tcBorders>
            <w:shd w:val="clear" w:color="auto" w:fill="auto"/>
            <w:noWrap/>
            <w:vAlign w:val="bottom"/>
            <w:hideMark/>
          </w:tcPr>
          <w:p w14:paraId="2C361793" w14:textId="77777777" w:rsidR="00BE6461" w:rsidRPr="00BE6461" w:rsidRDefault="00BE6461" w:rsidP="00BE6461">
            <w:pPr>
              <w:jc w:val="right"/>
              <w:rPr>
                <w:b/>
                <w:bCs/>
                <w:sz w:val="20"/>
                <w:szCs w:val="20"/>
              </w:rPr>
            </w:pPr>
            <w:r w:rsidRPr="00BE6461">
              <w:rPr>
                <w:b/>
                <w:bCs/>
                <w:sz w:val="20"/>
                <w:szCs w:val="20"/>
              </w:rPr>
              <w:t>90,10</w:t>
            </w:r>
          </w:p>
        </w:tc>
      </w:tr>
      <w:tr w:rsidR="00BE6461" w:rsidRPr="00BE6461" w14:paraId="7DC6EDB5" w14:textId="77777777" w:rsidTr="00BE6461">
        <w:trPr>
          <w:trHeight w:val="300"/>
        </w:trPr>
        <w:tc>
          <w:tcPr>
            <w:tcW w:w="1703" w:type="dxa"/>
            <w:tcBorders>
              <w:top w:val="nil"/>
              <w:left w:val="nil"/>
              <w:bottom w:val="nil"/>
              <w:right w:val="nil"/>
            </w:tcBorders>
            <w:shd w:val="clear" w:color="auto" w:fill="auto"/>
            <w:noWrap/>
            <w:vAlign w:val="bottom"/>
            <w:hideMark/>
          </w:tcPr>
          <w:p w14:paraId="6F594DB2" w14:textId="77777777" w:rsidR="00BE6461" w:rsidRPr="00BE6461" w:rsidRDefault="00BE6461" w:rsidP="00BE6461">
            <w:pPr>
              <w:rPr>
                <w:sz w:val="20"/>
                <w:szCs w:val="20"/>
              </w:rPr>
            </w:pPr>
            <w:r w:rsidRPr="00BE6461">
              <w:rPr>
                <w:sz w:val="20"/>
                <w:szCs w:val="20"/>
              </w:rPr>
              <w:t>4511</w:t>
            </w:r>
          </w:p>
        </w:tc>
        <w:tc>
          <w:tcPr>
            <w:tcW w:w="8457" w:type="dxa"/>
            <w:tcBorders>
              <w:top w:val="nil"/>
              <w:left w:val="nil"/>
              <w:bottom w:val="nil"/>
              <w:right w:val="nil"/>
            </w:tcBorders>
            <w:shd w:val="clear" w:color="auto" w:fill="auto"/>
            <w:vAlign w:val="bottom"/>
            <w:hideMark/>
          </w:tcPr>
          <w:p w14:paraId="5006AB43" w14:textId="77777777" w:rsidR="00BE6461" w:rsidRPr="00BE6461" w:rsidRDefault="00BE6461" w:rsidP="00BE6461">
            <w:pPr>
              <w:rPr>
                <w:sz w:val="20"/>
                <w:szCs w:val="20"/>
              </w:rPr>
            </w:pPr>
            <w:r w:rsidRPr="00BE6461">
              <w:rPr>
                <w:sz w:val="20"/>
                <w:szCs w:val="20"/>
              </w:rPr>
              <w:t xml:space="preserve">Dodatna ulaganja na građevinskim objektima                                                          </w:t>
            </w:r>
          </w:p>
        </w:tc>
        <w:tc>
          <w:tcPr>
            <w:tcW w:w="1503" w:type="dxa"/>
            <w:tcBorders>
              <w:top w:val="nil"/>
              <w:left w:val="nil"/>
              <w:bottom w:val="nil"/>
              <w:right w:val="nil"/>
            </w:tcBorders>
            <w:shd w:val="clear" w:color="auto" w:fill="auto"/>
            <w:noWrap/>
            <w:vAlign w:val="bottom"/>
            <w:hideMark/>
          </w:tcPr>
          <w:p w14:paraId="2AE4FE1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DF4562E" w14:textId="77777777" w:rsidR="00BE6461" w:rsidRPr="00BE6461" w:rsidRDefault="00BE6461" w:rsidP="00BE6461">
            <w:pPr>
              <w:jc w:val="right"/>
              <w:rPr>
                <w:sz w:val="20"/>
                <w:szCs w:val="20"/>
              </w:rPr>
            </w:pPr>
            <w:r w:rsidRPr="00BE6461">
              <w:rPr>
                <w:sz w:val="20"/>
                <w:szCs w:val="20"/>
              </w:rPr>
              <w:t>523.455,63</w:t>
            </w:r>
          </w:p>
        </w:tc>
        <w:tc>
          <w:tcPr>
            <w:tcW w:w="1100" w:type="dxa"/>
            <w:tcBorders>
              <w:top w:val="nil"/>
              <w:left w:val="nil"/>
              <w:bottom w:val="nil"/>
              <w:right w:val="nil"/>
            </w:tcBorders>
            <w:shd w:val="clear" w:color="auto" w:fill="auto"/>
            <w:noWrap/>
            <w:vAlign w:val="bottom"/>
            <w:hideMark/>
          </w:tcPr>
          <w:p w14:paraId="119AE16E" w14:textId="77777777" w:rsidR="00BE6461" w:rsidRPr="00BE6461" w:rsidRDefault="00BE6461" w:rsidP="00BE6461">
            <w:pPr>
              <w:jc w:val="right"/>
              <w:rPr>
                <w:sz w:val="20"/>
                <w:szCs w:val="20"/>
              </w:rPr>
            </w:pPr>
          </w:p>
        </w:tc>
      </w:tr>
      <w:tr w:rsidR="00BE6461" w:rsidRPr="00BE6461" w14:paraId="5D8CB92D"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539A3429" w14:textId="77777777" w:rsidR="00BE6461" w:rsidRPr="00BE6461" w:rsidRDefault="00BE6461" w:rsidP="00BE6461">
            <w:pPr>
              <w:rPr>
                <w:b/>
                <w:bCs/>
                <w:sz w:val="20"/>
                <w:szCs w:val="20"/>
              </w:rPr>
            </w:pPr>
            <w:r w:rsidRPr="00BE6461">
              <w:rPr>
                <w:b/>
                <w:bCs/>
                <w:sz w:val="20"/>
                <w:szCs w:val="20"/>
              </w:rPr>
              <w:t>K200020</w:t>
            </w:r>
          </w:p>
        </w:tc>
        <w:tc>
          <w:tcPr>
            <w:tcW w:w="8457" w:type="dxa"/>
            <w:tcBorders>
              <w:top w:val="single" w:sz="4" w:space="0" w:color="auto"/>
              <w:left w:val="nil"/>
              <w:bottom w:val="single" w:sz="4" w:space="0" w:color="auto"/>
              <w:right w:val="nil"/>
            </w:tcBorders>
            <w:shd w:val="clear" w:color="auto" w:fill="auto"/>
            <w:vAlign w:val="bottom"/>
            <w:hideMark/>
          </w:tcPr>
          <w:p w14:paraId="5DCFE907" w14:textId="77777777" w:rsidR="00BE6461" w:rsidRPr="00BE6461" w:rsidRDefault="00BE6461" w:rsidP="00BE6461">
            <w:pPr>
              <w:rPr>
                <w:b/>
                <w:bCs/>
                <w:sz w:val="20"/>
                <w:szCs w:val="20"/>
              </w:rPr>
            </w:pPr>
            <w:r w:rsidRPr="00BE6461">
              <w:rPr>
                <w:b/>
                <w:bCs/>
                <w:sz w:val="20"/>
                <w:szCs w:val="20"/>
              </w:rPr>
              <w:t>Kapitalni projekt: ŽUPANIJSKI CENTAR ZA GOSPODARENJE OTPADOM - KAŠTIJUN</w:t>
            </w:r>
          </w:p>
        </w:tc>
        <w:tc>
          <w:tcPr>
            <w:tcW w:w="1503" w:type="dxa"/>
            <w:tcBorders>
              <w:top w:val="single" w:sz="4" w:space="0" w:color="auto"/>
              <w:left w:val="nil"/>
              <w:bottom w:val="single" w:sz="4" w:space="0" w:color="auto"/>
              <w:right w:val="nil"/>
            </w:tcBorders>
            <w:shd w:val="clear" w:color="auto" w:fill="auto"/>
            <w:noWrap/>
            <w:vAlign w:val="bottom"/>
            <w:hideMark/>
          </w:tcPr>
          <w:p w14:paraId="0C2B8D1C" w14:textId="77777777" w:rsidR="00BE6461" w:rsidRPr="00BE6461" w:rsidRDefault="00BE6461" w:rsidP="00BE6461">
            <w:pPr>
              <w:jc w:val="right"/>
              <w:rPr>
                <w:b/>
                <w:bCs/>
                <w:sz w:val="20"/>
                <w:szCs w:val="20"/>
              </w:rPr>
            </w:pPr>
            <w:r w:rsidRPr="00BE6461">
              <w:rPr>
                <w:b/>
                <w:bCs/>
                <w:sz w:val="20"/>
                <w:szCs w:val="20"/>
              </w:rPr>
              <w:t>87.500,00</w:t>
            </w:r>
          </w:p>
        </w:tc>
        <w:tc>
          <w:tcPr>
            <w:tcW w:w="1500" w:type="dxa"/>
            <w:tcBorders>
              <w:top w:val="single" w:sz="4" w:space="0" w:color="auto"/>
              <w:left w:val="nil"/>
              <w:bottom w:val="single" w:sz="4" w:space="0" w:color="auto"/>
              <w:right w:val="nil"/>
            </w:tcBorders>
            <w:shd w:val="clear" w:color="auto" w:fill="auto"/>
            <w:noWrap/>
            <w:vAlign w:val="bottom"/>
            <w:hideMark/>
          </w:tcPr>
          <w:p w14:paraId="7DD11D4C" w14:textId="77777777" w:rsidR="00BE6461" w:rsidRPr="00BE6461" w:rsidRDefault="00BE6461" w:rsidP="00BE6461">
            <w:pPr>
              <w:jc w:val="right"/>
              <w:rPr>
                <w:b/>
                <w:bCs/>
                <w:sz w:val="20"/>
                <w:szCs w:val="20"/>
              </w:rPr>
            </w:pPr>
            <w:r w:rsidRPr="00BE6461">
              <w:rPr>
                <w:b/>
                <w:bCs/>
                <w:sz w:val="20"/>
                <w:szCs w:val="20"/>
              </w:rPr>
              <w:t>87.589,50</w:t>
            </w:r>
          </w:p>
        </w:tc>
        <w:tc>
          <w:tcPr>
            <w:tcW w:w="1100" w:type="dxa"/>
            <w:tcBorders>
              <w:top w:val="single" w:sz="4" w:space="0" w:color="auto"/>
              <w:left w:val="nil"/>
              <w:bottom w:val="single" w:sz="4" w:space="0" w:color="auto"/>
              <w:right w:val="nil"/>
            </w:tcBorders>
            <w:shd w:val="clear" w:color="auto" w:fill="auto"/>
            <w:noWrap/>
            <w:vAlign w:val="bottom"/>
            <w:hideMark/>
          </w:tcPr>
          <w:p w14:paraId="5A5DDA4E" w14:textId="77777777" w:rsidR="00BE6461" w:rsidRPr="00BE6461" w:rsidRDefault="00BE6461" w:rsidP="00BE6461">
            <w:pPr>
              <w:jc w:val="right"/>
              <w:rPr>
                <w:b/>
                <w:bCs/>
                <w:sz w:val="20"/>
                <w:szCs w:val="20"/>
              </w:rPr>
            </w:pPr>
            <w:r w:rsidRPr="00BE6461">
              <w:rPr>
                <w:b/>
                <w:bCs/>
                <w:sz w:val="20"/>
                <w:szCs w:val="20"/>
              </w:rPr>
              <w:t>100,10</w:t>
            </w:r>
          </w:p>
        </w:tc>
      </w:tr>
      <w:tr w:rsidR="00BE6461" w:rsidRPr="00BE6461" w14:paraId="44B92C4C"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AA8E130" w14:textId="77777777" w:rsidR="00BE6461" w:rsidRPr="00BE6461" w:rsidRDefault="00BE6461" w:rsidP="00BE6461">
            <w:pPr>
              <w:rPr>
                <w:b/>
                <w:bCs/>
                <w:color w:val="333333"/>
                <w:sz w:val="20"/>
                <w:szCs w:val="20"/>
              </w:rPr>
            </w:pPr>
            <w:r w:rsidRPr="00BE6461">
              <w:rPr>
                <w:b/>
                <w:bCs/>
                <w:color w:val="333333"/>
                <w:sz w:val="20"/>
                <w:szCs w:val="20"/>
              </w:rPr>
              <w:t>Izvor 7. PRIHODI OD NEFIN.IMOVINE I NADOKNADE ŠTETA OD OSIG.</w:t>
            </w:r>
          </w:p>
        </w:tc>
        <w:tc>
          <w:tcPr>
            <w:tcW w:w="1503" w:type="dxa"/>
            <w:tcBorders>
              <w:top w:val="nil"/>
              <w:left w:val="nil"/>
              <w:bottom w:val="nil"/>
              <w:right w:val="nil"/>
            </w:tcBorders>
            <w:shd w:val="clear" w:color="auto" w:fill="auto"/>
            <w:noWrap/>
            <w:vAlign w:val="bottom"/>
            <w:hideMark/>
          </w:tcPr>
          <w:p w14:paraId="3BD3F994" w14:textId="77777777" w:rsidR="00BE6461" w:rsidRPr="00BE6461" w:rsidRDefault="00BE6461" w:rsidP="00BE6461">
            <w:pPr>
              <w:jc w:val="right"/>
              <w:rPr>
                <w:b/>
                <w:bCs/>
                <w:color w:val="333333"/>
                <w:sz w:val="20"/>
                <w:szCs w:val="20"/>
              </w:rPr>
            </w:pPr>
            <w:r w:rsidRPr="00BE6461">
              <w:rPr>
                <w:b/>
                <w:bCs/>
                <w:color w:val="333333"/>
                <w:sz w:val="20"/>
                <w:szCs w:val="20"/>
              </w:rPr>
              <w:t>87.500,00</w:t>
            </w:r>
          </w:p>
        </w:tc>
        <w:tc>
          <w:tcPr>
            <w:tcW w:w="1500" w:type="dxa"/>
            <w:tcBorders>
              <w:top w:val="nil"/>
              <w:left w:val="nil"/>
              <w:bottom w:val="nil"/>
              <w:right w:val="nil"/>
            </w:tcBorders>
            <w:shd w:val="clear" w:color="auto" w:fill="auto"/>
            <w:noWrap/>
            <w:vAlign w:val="bottom"/>
            <w:hideMark/>
          </w:tcPr>
          <w:p w14:paraId="4E1A8871" w14:textId="77777777" w:rsidR="00BE6461" w:rsidRPr="00BE6461" w:rsidRDefault="00BE6461" w:rsidP="00BE6461">
            <w:pPr>
              <w:jc w:val="right"/>
              <w:rPr>
                <w:b/>
                <w:bCs/>
                <w:color w:val="333333"/>
                <w:sz w:val="20"/>
                <w:szCs w:val="20"/>
              </w:rPr>
            </w:pPr>
            <w:r w:rsidRPr="00BE6461">
              <w:rPr>
                <w:b/>
                <w:bCs/>
                <w:color w:val="333333"/>
                <w:sz w:val="20"/>
                <w:szCs w:val="20"/>
              </w:rPr>
              <w:t>87.589,50</w:t>
            </w:r>
          </w:p>
        </w:tc>
        <w:tc>
          <w:tcPr>
            <w:tcW w:w="1100" w:type="dxa"/>
            <w:tcBorders>
              <w:top w:val="nil"/>
              <w:left w:val="nil"/>
              <w:bottom w:val="nil"/>
              <w:right w:val="nil"/>
            </w:tcBorders>
            <w:shd w:val="clear" w:color="auto" w:fill="auto"/>
            <w:noWrap/>
            <w:vAlign w:val="bottom"/>
            <w:hideMark/>
          </w:tcPr>
          <w:p w14:paraId="6AF1438B" w14:textId="77777777" w:rsidR="00BE6461" w:rsidRPr="00BE6461" w:rsidRDefault="00BE6461" w:rsidP="00BE6461">
            <w:pPr>
              <w:jc w:val="right"/>
              <w:rPr>
                <w:b/>
                <w:bCs/>
                <w:color w:val="333333"/>
                <w:sz w:val="20"/>
                <w:szCs w:val="20"/>
              </w:rPr>
            </w:pPr>
            <w:r w:rsidRPr="00BE6461">
              <w:rPr>
                <w:b/>
                <w:bCs/>
                <w:color w:val="333333"/>
                <w:sz w:val="20"/>
                <w:szCs w:val="20"/>
              </w:rPr>
              <w:t>100,10</w:t>
            </w:r>
          </w:p>
        </w:tc>
      </w:tr>
      <w:tr w:rsidR="00BE6461" w:rsidRPr="00BE6461" w14:paraId="695DCC5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EE542BE" w14:textId="77777777" w:rsidR="00BE6461" w:rsidRPr="00BE6461" w:rsidRDefault="00BE6461" w:rsidP="00BE6461">
            <w:pPr>
              <w:rPr>
                <w:b/>
                <w:bCs/>
                <w:color w:val="333333"/>
                <w:sz w:val="20"/>
                <w:szCs w:val="20"/>
              </w:rPr>
            </w:pPr>
            <w:r w:rsidRPr="00BE6461">
              <w:rPr>
                <w:b/>
                <w:bCs/>
                <w:color w:val="333333"/>
                <w:sz w:val="20"/>
                <w:szCs w:val="20"/>
              </w:rPr>
              <w:t>Izvor 7.1. PRIHODI OD NEFIN.IMOVINE I NADOKNADE ŠTETA OD OSIG.</w:t>
            </w:r>
          </w:p>
        </w:tc>
        <w:tc>
          <w:tcPr>
            <w:tcW w:w="1503" w:type="dxa"/>
            <w:tcBorders>
              <w:top w:val="nil"/>
              <w:left w:val="nil"/>
              <w:bottom w:val="nil"/>
              <w:right w:val="nil"/>
            </w:tcBorders>
            <w:shd w:val="clear" w:color="auto" w:fill="auto"/>
            <w:noWrap/>
            <w:vAlign w:val="bottom"/>
            <w:hideMark/>
          </w:tcPr>
          <w:p w14:paraId="0C3E326B" w14:textId="77777777" w:rsidR="00BE6461" w:rsidRPr="00BE6461" w:rsidRDefault="00BE6461" w:rsidP="00BE6461">
            <w:pPr>
              <w:jc w:val="right"/>
              <w:rPr>
                <w:b/>
                <w:bCs/>
                <w:color w:val="333333"/>
                <w:sz w:val="20"/>
                <w:szCs w:val="20"/>
              </w:rPr>
            </w:pPr>
            <w:r w:rsidRPr="00BE6461">
              <w:rPr>
                <w:b/>
                <w:bCs/>
                <w:color w:val="333333"/>
                <w:sz w:val="20"/>
                <w:szCs w:val="20"/>
              </w:rPr>
              <w:t>87.500,00</w:t>
            </w:r>
          </w:p>
        </w:tc>
        <w:tc>
          <w:tcPr>
            <w:tcW w:w="1500" w:type="dxa"/>
            <w:tcBorders>
              <w:top w:val="nil"/>
              <w:left w:val="nil"/>
              <w:bottom w:val="nil"/>
              <w:right w:val="nil"/>
            </w:tcBorders>
            <w:shd w:val="clear" w:color="auto" w:fill="auto"/>
            <w:noWrap/>
            <w:vAlign w:val="bottom"/>
            <w:hideMark/>
          </w:tcPr>
          <w:p w14:paraId="4920D99C" w14:textId="77777777" w:rsidR="00BE6461" w:rsidRPr="00BE6461" w:rsidRDefault="00BE6461" w:rsidP="00BE6461">
            <w:pPr>
              <w:jc w:val="right"/>
              <w:rPr>
                <w:b/>
                <w:bCs/>
                <w:color w:val="333333"/>
                <w:sz w:val="20"/>
                <w:szCs w:val="20"/>
              </w:rPr>
            </w:pPr>
            <w:r w:rsidRPr="00BE6461">
              <w:rPr>
                <w:b/>
                <w:bCs/>
                <w:color w:val="333333"/>
                <w:sz w:val="20"/>
                <w:szCs w:val="20"/>
              </w:rPr>
              <w:t>87.589,50</w:t>
            </w:r>
          </w:p>
        </w:tc>
        <w:tc>
          <w:tcPr>
            <w:tcW w:w="1100" w:type="dxa"/>
            <w:tcBorders>
              <w:top w:val="nil"/>
              <w:left w:val="nil"/>
              <w:bottom w:val="nil"/>
              <w:right w:val="nil"/>
            </w:tcBorders>
            <w:shd w:val="clear" w:color="auto" w:fill="auto"/>
            <w:noWrap/>
            <w:vAlign w:val="bottom"/>
            <w:hideMark/>
          </w:tcPr>
          <w:p w14:paraId="0C490BFE" w14:textId="77777777" w:rsidR="00BE6461" w:rsidRPr="00BE6461" w:rsidRDefault="00BE6461" w:rsidP="00BE6461">
            <w:pPr>
              <w:jc w:val="right"/>
              <w:rPr>
                <w:b/>
                <w:bCs/>
                <w:color w:val="333333"/>
                <w:sz w:val="20"/>
                <w:szCs w:val="20"/>
              </w:rPr>
            </w:pPr>
            <w:r w:rsidRPr="00BE6461">
              <w:rPr>
                <w:b/>
                <w:bCs/>
                <w:color w:val="333333"/>
                <w:sz w:val="20"/>
                <w:szCs w:val="20"/>
              </w:rPr>
              <w:t>100,10</w:t>
            </w:r>
          </w:p>
        </w:tc>
      </w:tr>
      <w:tr w:rsidR="00BE6461" w:rsidRPr="00BE6461" w14:paraId="5C5720C4" w14:textId="77777777" w:rsidTr="00BE6461">
        <w:trPr>
          <w:trHeight w:val="300"/>
        </w:trPr>
        <w:tc>
          <w:tcPr>
            <w:tcW w:w="1703" w:type="dxa"/>
            <w:tcBorders>
              <w:top w:val="nil"/>
              <w:left w:val="nil"/>
              <w:bottom w:val="nil"/>
              <w:right w:val="nil"/>
            </w:tcBorders>
            <w:shd w:val="clear" w:color="auto" w:fill="auto"/>
            <w:noWrap/>
            <w:vAlign w:val="bottom"/>
            <w:hideMark/>
          </w:tcPr>
          <w:p w14:paraId="4E7500DE" w14:textId="77777777" w:rsidR="00BE6461" w:rsidRPr="00BE6461" w:rsidRDefault="00BE6461" w:rsidP="00BE6461">
            <w:pPr>
              <w:rPr>
                <w:b/>
                <w:bCs/>
                <w:sz w:val="20"/>
                <w:szCs w:val="20"/>
              </w:rPr>
            </w:pPr>
            <w:r w:rsidRPr="00BE6461">
              <w:rPr>
                <w:b/>
                <w:bCs/>
                <w:sz w:val="20"/>
                <w:szCs w:val="20"/>
              </w:rPr>
              <w:t>532</w:t>
            </w:r>
          </w:p>
        </w:tc>
        <w:tc>
          <w:tcPr>
            <w:tcW w:w="8457" w:type="dxa"/>
            <w:tcBorders>
              <w:top w:val="nil"/>
              <w:left w:val="nil"/>
              <w:bottom w:val="nil"/>
              <w:right w:val="nil"/>
            </w:tcBorders>
            <w:shd w:val="clear" w:color="auto" w:fill="auto"/>
            <w:vAlign w:val="bottom"/>
            <w:hideMark/>
          </w:tcPr>
          <w:p w14:paraId="79AF27A0" w14:textId="77777777" w:rsidR="00BE6461" w:rsidRPr="00BE6461" w:rsidRDefault="00BE6461" w:rsidP="00BE6461">
            <w:pPr>
              <w:rPr>
                <w:b/>
                <w:bCs/>
                <w:sz w:val="20"/>
                <w:szCs w:val="20"/>
              </w:rPr>
            </w:pPr>
            <w:r w:rsidRPr="00BE6461">
              <w:rPr>
                <w:b/>
                <w:bCs/>
                <w:sz w:val="20"/>
                <w:szCs w:val="20"/>
              </w:rPr>
              <w:t xml:space="preserve">Dionice i udjeli u glavnici trgovačkih društava u javnom sektoru                                    </w:t>
            </w:r>
          </w:p>
        </w:tc>
        <w:tc>
          <w:tcPr>
            <w:tcW w:w="1503" w:type="dxa"/>
            <w:tcBorders>
              <w:top w:val="nil"/>
              <w:left w:val="nil"/>
              <w:bottom w:val="nil"/>
              <w:right w:val="nil"/>
            </w:tcBorders>
            <w:shd w:val="clear" w:color="auto" w:fill="auto"/>
            <w:noWrap/>
            <w:vAlign w:val="bottom"/>
            <w:hideMark/>
          </w:tcPr>
          <w:p w14:paraId="4F90234E" w14:textId="77777777" w:rsidR="00BE6461" w:rsidRPr="00BE6461" w:rsidRDefault="00BE6461" w:rsidP="00BE6461">
            <w:pPr>
              <w:jc w:val="right"/>
              <w:rPr>
                <w:b/>
                <w:bCs/>
                <w:sz w:val="20"/>
                <w:szCs w:val="20"/>
              </w:rPr>
            </w:pPr>
            <w:r w:rsidRPr="00BE6461">
              <w:rPr>
                <w:b/>
                <w:bCs/>
                <w:sz w:val="20"/>
                <w:szCs w:val="20"/>
              </w:rPr>
              <w:t>87.500,00</w:t>
            </w:r>
          </w:p>
        </w:tc>
        <w:tc>
          <w:tcPr>
            <w:tcW w:w="1500" w:type="dxa"/>
            <w:tcBorders>
              <w:top w:val="nil"/>
              <w:left w:val="nil"/>
              <w:bottom w:val="nil"/>
              <w:right w:val="nil"/>
            </w:tcBorders>
            <w:shd w:val="clear" w:color="auto" w:fill="auto"/>
            <w:noWrap/>
            <w:vAlign w:val="bottom"/>
            <w:hideMark/>
          </w:tcPr>
          <w:p w14:paraId="67A73CAD" w14:textId="77777777" w:rsidR="00BE6461" w:rsidRPr="00BE6461" w:rsidRDefault="00BE6461" w:rsidP="00BE6461">
            <w:pPr>
              <w:jc w:val="right"/>
              <w:rPr>
                <w:b/>
                <w:bCs/>
                <w:sz w:val="20"/>
                <w:szCs w:val="20"/>
              </w:rPr>
            </w:pPr>
            <w:r w:rsidRPr="00BE6461">
              <w:rPr>
                <w:b/>
                <w:bCs/>
                <w:sz w:val="20"/>
                <w:szCs w:val="20"/>
              </w:rPr>
              <w:t>87.589,50</w:t>
            </w:r>
          </w:p>
        </w:tc>
        <w:tc>
          <w:tcPr>
            <w:tcW w:w="1100" w:type="dxa"/>
            <w:tcBorders>
              <w:top w:val="nil"/>
              <w:left w:val="nil"/>
              <w:bottom w:val="nil"/>
              <w:right w:val="nil"/>
            </w:tcBorders>
            <w:shd w:val="clear" w:color="auto" w:fill="auto"/>
            <w:noWrap/>
            <w:vAlign w:val="bottom"/>
            <w:hideMark/>
          </w:tcPr>
          <w:p w14:paraId="15CFB4C8" w14:textId="77777777" w:rsidR="00BE6461" w:rsidRPr="00BE6461" w:rsidRDefault="00BE6461" w:rsidP="00BE6461">
            <w:pPr>
              <w:jc w:val="right"/>
              <w:rPr>
                <w:b/>
                <w:bCs/>
                <w:sz w:val="20"/>
                <w:szCs w:val="20"/>
              </w:rPr>
            </w:pPr>
            <w:r w:rsidRPr="00BE6461">
              <w:rPr>
                <w:b/>
                <w:bCs/>
                <w:sz w:val="20"/>
                <w:szCs w:val="20"/>
              </w:rPr>
              <w:t>100,10</w:t>
            </w:r>
          </w:p>
        </w:tc>
      </w:tr>
      <w:tr w:rsidR="00BE6461" w:rsidRPr="00BE6461" w14:paraId="7FA4B1A2" w14:textId="77777777" w:rsidTr="00BE6461">
        <w:trPr>
          <w:trHeight w:val="300"/>
        </w:trPr>
        <w:tc>
          <w:tcPr>
            <w:tcW w:w="1703" w:type="dxa"/>
            <w:tcBorders>
              <w:top w:val="nil"/>
              <w:left w:val="nil"/>
              <w:bottom w:val="nil"/>
              <w:right w:val="nil"/>
            </w:tcBorders>
            <w:shd w:val="clear" w:color="auto" w:fill="auto"/>
            <w:noWrap/>
            <w:vAlign w:val="bottom"/>
            <w:hideMark/>
          </w:tcPr>
          <w:p w14:paraId="1590DD51" w14:textId="77777777" w:rsidR="00BE6461" w:rsidRPr="00BE6461" w:rsidRDefault="00BE6461" w:rsidP="00BE6461">
            <w:pPr>
              <w:rPr>
                <w:sz w:val="20"/>
                <w:szCs w:val="20"/>
              </w:rPr>
            </w:pPr>
            <w:r w:rsidRPr="00BE6461">
              <w:rPr>
                <w:sz w:val="20"/>
                <w:szCs w:val="20"/>
              </w:rPr>
              <w:t>5321</w:t>
            </w:r>
          </w:p>
        </w:tc>
        <w:tc>
          <w:tcPr>
            <w:tcW w:w="8457" w:type="dxa"/>
            <w:tcBorders>
              <w:top w:val="nil"/>
              <w:left w:val="nil"/>
              <w:bottom w:val="nil"/>
              <w:right w:val="nil"/>
            </w:tcBorders>
            <w:shd w:val="clear" w:color="auto" w:fill="auto"/>
            <w:vAlign w:val="bottom"/>
            <w:hideMark/>
          </w:tcPr>
          <w:p w14:paraId="7187254B" w14:textId="77777777" w:rsidR="00BE6461" w:rsidRPr="00BE6461" w:rsidRDefault="00BE6461" w:rsidP="00BE6461">
            <w:pPr>
              <w:rPr>
                <w:sz w:val="20"/>
                <w:szCs w:val="20"/>
              </w:rPr>
            </w:pPr>
            <w:r w:rsidRPr="00BE6461">
              <w:rPr>
                <w:sz w:val="20"/>
                <w:szCs w:val="20"/>
              </w:rPr>
              <w:t xml:space="preserve">Dionice i udjeli u glavnici trgovačkih društava u javnom sektoru                                    </w:t>
            </w:r>
          </w:p>
        </w:tc>
        <w:tc>
          <w:tcPr>
            <w:tcW w:w="1503" w:type="dxa"/>
            <w:tcBorders>
              <w:top w:val="nil"/>
              <w:left w:val="nil"/>
              <w:bottom w:val="nil"/>
              <w:right w:val="nil"/>
            </w:tcBorders>
            <w:shd w:val="clear" w:color="auto" w:fill="auto"/>
            <w:noWrap/>
            <w:vAlign w:val="bottom"/>
            <w:hideMark/>
          </w:tcPr>
          <w:p w14:paraId="68AEA94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FA0EC87" w14:textId="77777777" w:rsidR="00BE6461" w:rsidRPr="00BE6461" w:rsidRDefault="00BE6461" w:rsidP="00BE6461">
            <w:pPr>
              <w:jc w:val="right"/>
              <w:rPr>
                <w:sz w:val="20"/>
                <w:szCs w:val="20"/>
              </w:rPr>
            </w:pPr>
            <w:r w:rsidRPr="00BE6461">
              <w:rPr>
                <w:sz w:val="20"/>
                <w:szCs w:val="20"/>
              </w:rPr>
              <w:t>87.589,50</w:t>
            </w:r>
          </w:p>
        </w:tc>
        <w:tc>
          <w:tcPr>
            <w:tcW w:w="1100" w:type="dxa"/>
            <w:tcBorders>
              <w:top w:val="nil"/>
              <w:left w:val="nil"/>
              <w:bottom w:val="nil"/>
              <w:right w:val="nil"/>
            </w:tcBorders>
            <w:shd w:val="clear" w:color="auto" w:fill="auto"/>
            <w:noWrap/>
            <w:vAlign w:val="bottom"/>
            <w:hideMark/>
          </w:tcPr>
          <w:p w14:paraId="2B9EA174" w14:textId="77777777" w:rsidR="00BE6461" w:rsidRPr="00BE6461" w:rsidRDefault="00BE6461" w:rsidP="00BE6461">
            <w:pPr>
              <w:jc w:val="right"/>
              <w:rPr>
                <w:sz w:val="20"/>
                <w:szCs w:val="20"/>
              </w:rPr>
            </w:pPr>
          </w:p>
        </w:tc>
      </w:tr>
      <w:tr w:rsidR="00BE6461" w:rsidRPr="00BE6461" w14:paraId="7CFC8990" w14:textId="77777777" w:rsidTr="00BE6461">
        <w:trPr>
          <w:trHeight w:val="390"/>
        </w:trPr>
        <w:tc>
          <w:tcPr>
            <w:tcW w:w="1703" w:type="dxa"/>
            <w:tcBorders>
              <w:top w:val="single" w:sz="4" w:space="0" w:color="auto"/>
              <w:left w:val="nil"/>
              <w:bottom w:val="nil"/>
              <w:right w:val="nil"/>
            </w:tcBorders>
            <w:shd w:val="clear" w:color="auto" w:fill="auto"/>
            <w:noWrap/>
            <w:vAlign w:val="bottom"/>
            <w:hideMark/>
          </w:tcPr>
          <w:p w14:paraId="6C3F9387" w14:textId="77777777" w:rsidR="00BE6461" w:rsidRPr="00BE6461" w:rsidRDefault="00BE6461" w:rsidP="00BE6461">
            <w:pPr>
              <w:rPr>
                <w:b/>
                <w:bCs/>
                <w:sz w:val="20"/>
                <w:szCs w:val="20"/>
              </w:rPr>
            </w:pPr>
            <w:r w:rsidRPr="00BE6461">
              <w:rPr>
                <w:b/>
                <w:bCs/>
                <w:sz w:val="20"/>
                <w:szCs w:val="20"/>
              </w:rPr>
              <w:t>2005</w:t>
            </w:r>
          </w:p>
        </w:tc>
        <w:tc>
          <w:tcPr>
            <w:tcW w:w="8457" w:type="dxa"/>
            <w:tcBorders>
              <w:top w:val="single" w:sz="4" w:space="0" w:color="auto"/>
              <w:left w:val="nil"/>
              <w:bottom w:val="nil"/>
              <w:right w:val="nil"/>
            </w:tcBorders>
            <w:shd w:val="clear" w:color="auto" w:fill="auto"/>
            <w:vAlign w:val="bottom"/>
            <w:hideMark/>
          </w:tcPr>
          <w:p w14:paraId="5E0B8FA9" w14:textId="77777777" w:rsidR="00BE6461" w:rsidRPr="00BE6461" w:rsidRDefault="00BE6461" w:rsidP="00BE6461">
            <w:pPr>
              <w:rPr>
                <w:b/>
                <w:bCs/>
                <w:sz w:val="20"/>
                <w:szCs w:val="20"/>
              </w:rPr>
            </w:pPr>
            <w:r w:rsidRPr="00BE6461">
              <w:rPr>
                <w:b/>
                <w:bCs/>
                <w:sz w:val="20"/>
                <w:szCs w:val="20"/>
              </w:rPr>
              <w:t>Program: GRADNJA KOMUNALNE INFRASTRUKTURE</w:t>
            </w:r>
          </w:p>
        </w:tc>
        <w:tc>
          <w:tcPr>
            <w:tcW w:w="1503" w:type="dxa"/>
            <w:tcBorders>
              <w:top w:val="single" w:sz="4" w:space="0" w:color="auto"/>
              <w:left w:val="nil"/>
              <w:bottom w:val="nil"/>
              <w:right w:val="nil"/>
            </w:tcBorders>
            <w:shd w:val="clear" w:color="auto" w:fill="auto"/>
            <w:noWrap/>
            <w:vAlign w:val="bottom"/>
            <w:hideMark/>
          </w:tcPr>
          <w:p w14:paraId="7C933CB4" w14:textId="77777777" w:rsidR="00BE6461" w:rsidRPr="00BE6461" w:rsidRDefault="00BE6461" w:rsidP="00BE6461">
            <w:pPr>
              <w:jc w:val="right"/>
              <w:rPr>
                <w:b/>
                <w:bCs/>
                <w:sz w:val="20"/>
                <w:szCs w:val="20"/>
              </w:rPr>
            </w:pPr>
            <w:r w:rsidRPr="00BE6461">
              <w:rPr>
                <w:b/>
                <w:bCs/>
                <w:sz w:val="20"/>
                <w:szCs w:val="20"/>
              </w:rPr>
              <w:t>4.441.944,66</w:t>
            </w:r>
          </w:p>
        </w:tc>
        <w:tc>
          <w:tcPr>
            <w:tcW w:w="1500" w:type="dxa"/>
            <w:tcBorders>
              <w:top w:val="single" w:sz="4" w:space="0" w:color="auto"/>
              <w:left w:val="nil"/>
              <w:bottom w:val="nil"/>
              <w:right w:val="nil"/>
            </w:tcBorders>
            <w:shd w:val="clear" w:color="auto" w:fill="auto"/>
            <w:noWrap/>
            <w:vAlign w:val="bottom"/>
            <w:hideMark/>
          </w:tcPr>
          <w:p w14:paraId="378CBE53" w14:textId="77777777" w:rsidR="00BE6461" w:rsidRPr="00BE6461" w:rsidRDefault="00BE6461" w:rsidP="00BE6461">
            <w:pPr>
              <w:jc w:val="right"/>
              <w:rPr>
                <w:b/>
                <w:bCs/>
                <w:sz w:val="20"/>
                <w:szCs w:val="20"/>
              </w:rPr>
            </w:pPr>
            <w:r w:rsidRPr="00BE6461">
              <w:rPr>
                <w:b/>
                <w:bCs/>
                <w:sz w:val="20"/>
                <w:szCs w:val="20"/>
              </w:rPr>
              <w:t>3.922.655,15</w:t>
            </w:r>
          </w:p>
        </w:tc>
        <w:tc>
          <w:tcPr>
            <w:tcW w:w="1100" w:type="dxa"/>
            <w:tcBorders>
              <w:top w:val="single" w:sz="4" w:space="0" w:color="auto"/>
              <w:left w:val="nil"/>
              <w:bottom w:val="nil"/>
              <w:right w:val="nil"/>
            </w:tcBorders>
            <w:shd w:val="clear" w:color="auto" w:fill="auto"/>
            <w:noWrap/>
            <w:vAlign w:val="bottom"/>
            <w:hideMark/>
          </w:tcPr>
          <w:p w14:paraId="2D6E5696" w14:textId="77777777" w:rsidR="00BE6461" w:rsidRPr="00BE6461" w:rsidRDefault="00BE6461" w:rsidP="00BE6461">
            <w:pPr>
              <w:jc w:val="right"/>
              <w:rPr>
                <w:b/>
                <w:bCs/>
                <w:sz w:val="20"/>
                <w:szCs w:val="20"/>
              </w:rPr>
            </w:pPr>
            <w:r w:rsidRPr="00BE6461">
              <w:rPr>
                <w:b/>
                <w:bCs/>
                <w:sz w:val="20"/>
                <w:szCs w:val="20"/>
              </w:rPr>
              <w:t>88,31</w:t>
            </w:r>
          </w:p>
        </w:tc>
      </w:tr>
      <w:tr w:rsidR="00BE6461" w:rsidRPr="00BE6461" w14:paraId="22FCB80C"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7F3647AE" w14:textId="77777777" w:rsidR="00BE6461" w:rsidRPr="00BE6461" w:rsidRDefault="00BE6461" w:rsidP="00BE6461">
            <w:pPr>
              <w:rPr>
                <w:b/>
                <w:bCs/>
                <w:sz w:val="20"/>
                <w:szCs w:val="20"/>
              </w:rPr>
            </w:pPr>
            <w:r w:rsidRPr="00BE6461">
              <w:rPr>
                <w:b/>
                <w:bCs/>
                <w:sz w:val="20"/>
                <w:szCs w:val="20"/>
              </w:rPr>
              <w:t>K200026</w:t>
            </w:r>
          </w:p>
        </w:tc>
        <w:tc>
          <w:tcPr>
            <w:tcW w:w="8457" w:type="dxa"/>
            <w:tcBorders>
              <w:top w:val="single" w:sz="4" w:space="0" w:color="auto"/>
              <w:left w:val="nil"/>
              <w:bottom w:val="single" w:sz="4" w:space="0" w:color="auto"/>
              <w:right w:val="nil"/>
            </w:tcBorders>
            <w:shd w:val="clear" w:color="auto" w:fill="auto"/>
            <w:vAlign w:val="bottom"/>
            <w:hideMark/>
          </w:tcPr>
          <w:p w14:paraId="6068CD7A" w14:textId="77777777" w:rsidR="00BE6461" w:rsidRPr="00BE6461" w:rsidRDefault="00BE6461" w:rsidP="00BE6461">
            <w:pPr>
              <w:rPr>
                <w:b/>
                <w:bCs/>
                <w:sz w:val="20"/>
                <w:szCs w:val="20"/>
              </w:rPr>
            </w:pPr>
            <w:r w:rsidRPr="00BE6461">
              <w:rPr>
                <w:b/>
                <w:bCs/>
                <w:sz w:val="20"/>
                <w:szCs w:val="20"/>
              </w:rPr>
              <w:t>Kapitalni projekt: SUSTAV ZA OPSKRBU PITKOM VODOM - NEUREĐENI DIJELOVI GRAĐEVINSKOG PODRUČJA</w:t>
            </w:r>
          </w:p>
        </w:tc>
        <w:tc>
          <w:tcPr>
            <w:tcW w:w="1503" w:type="dxa"/>
            <w:tcBorders>
              <w:top w:val="single" w:sz="4" w:space="0" w:color="auto"/>
              <w:left w:val="nil"/>
              <w:bottom w:val="single" w:sz="4" w:space="0" w:color="auto"/>
              <w:right w:val="nil"/>
            </w:tcBorders>
            <w:shd w:val="clear" w:color="auto" w:fill="auto"/>
            <w:noWrap/>
            <w:vAlign w:val="bottom"/>
            <w:hideMark/>
          </w:tcPr>
          <w:p w14:paraId="2F9FB77C" w14:textId="77777777" w:rsidR="00BE6461" w:rsidRPr="00BE6461" w:rsidRDefault="00BE6461" w:rsidP="00BE6461">
            <w:pPr>
              <w:jc w:val="right"/>
              <w:rPr>
                <w:b/>
                <w:bCs/>
                <w:sz w:val="20"/>
                <w:szCs w:val="20"/>
              </w:rPr>
            </w:pPr>
            <w:r w:rsidRPr="00BE6461">
              <w:rPr>
                <w:b/>
                <w:bCs/>
                <w:sz w:val="20"/>
                <w:szCs w:val="20"/>
              </w:rPr>
              <w:t>148.000,00</w:t>
            </w:r>
          </w:p>
        </w:tc>
        <w:tc>
          <w:tcPr>
            <w:tcW w:w="1500" w:type="dxa"/>
            <w:tcBorders>
              <w:top w:val="single" w:sz="4" w:space="0" w:color="auto"/>
              <w:left w:val="nil"/>
              <w:bottom w:val="single" w:sz="4" w:space="0" w:color="auto"/>
              <w:right w:val="nil"/>
            </w:tcBorders>
            <w:shd w:val="clear" w:color="auto" w:fill="auto"/>
            <w:noWrap/>
            <w:vAlign w:val="bottom"/>
            <w:hideMark/>
          </w:tcPr>
          <w:p w14:paraId="1D4ED4AF" w14:textId="77777777" w:rsidR="00BE6461" w:rsidRPr="00BE6461" w:rsidRDefault="00BE6461" w:rsidP="00BE6461">
            <w:pPr>
              <w:jc w:val="right"/>
              <w:rPr>
                <w:b/>
                <w:bCs/>
                <w:sz w:val="20"/>
                <w:szCs w:val="20"/>
              </w:rPr>
            </w:pPr>
            <w:r w:rsidRPr="00BE6461">
              <w:rPr>
                <w:b/>
                <w:bCs/>
                <w:sz w:val="20"/>
                <w:szCs w:val="20"/>
              </w:rPr>
              <w:t>147.716,25</w:t>
            </w:r>
          </w:p>
        </w:tc>
        <w:tc>
          <w:tcPr>
            <w:tcW w:w="1100" w:type="dxa"/>
            <w:tcBorders>
              <w:top w:val="single" w:sz="4" w:space="0" w:color="auto"/>
              <w:left w:val="nil"/>
              <w:bottom w:val="single" w:sz="4" w:space="0" w:color="auto"/>
              <w:right w:val="nil"/>
            </w:tcBorders>
            <w:shd w:val="clear" w:color="auto" w:fill="auto"/>
            <w:noWrap/>
            <w:vAlign w:val="bottom"/>
            <w:hideMark/>
          </w:tcPr>
          <w:p w14:paraId="7441FFBC" w14:textId="77777777" w:rsidR="00BE6461" w:rsidRPr="00BE6461" w:rsidRDefault="00BE6461" w:rsidP="00BE6461">
            <w:pPr>
              <w:jc w:val="right"/>
              <w:rPr>
                <w:b/>
                <w:bCs/>
                <w:sz w:val="20"/>
                <w:szCs w:val="20"/>
              </w:rPr>
            </w:pPr>
            <w:r w:rsidRPr="00BE6461">
              <w:rPr>
                <w:b/>
                <w:bCs/>
                <w:sz w:val="20"/>
                <w:szCs w:val="20"/>
              </w:rPr>
              <w:t>99,81</w:t>
            </w:r>
          </w:p>
        </w:tc>
      </w:tr>
      <w:tr w:rsidR="00BE6461" w:rsidRPr="00BE6461" w14:paraId="7B06CF65"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42D7BCD"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6FF34056" w14:textId="77777777" w:rsidR="00BE6461" w:rsidRPr="00BE6461" w:rsidRDefault="00BE6461" w:rsidP="00BE6461">
            <w:pPr>
              <w:jc w:val="right"/>
              <w:rPr>
                <w:b/>
                <w:bCs/>
                <w:color w:val="333333"/>
                <w:sz w:val="20"/>
                <w:szCs w:val="20"/>
              </w:rPr>
            </w:pPr>
            <w:r w:rsidRPr="00BE6461">
              <w:rPr>
                <w:b/>
                <w:bCs/>
                <w:color w:val="333333"/>
                <w:sz w:val="20"/>
                <w:szCs w:val="20"/>
              </w:rPr>
              <w:t>148.000,00</w:t>
            </w:r>
          </w:p>
        </w:tc>
        <w:tc>
          <w:tcPr>
            <w:tcW w:w="1500" w:type="dxa"/>
            <w:tcBorders>
              <w:top w:val="nil"/>
              <w:left w:val="nil"/>
              <w:bottom w:val="nil"/>
              <w:right w:val="nil"/>
            </w:tcBorders>
            <w:shd w:val="clear" w:color="auto" w:fill="auto"/>
            <w:noWrap/>
            <w:vAlign w:val="bottom"/>
            <w:hideMark/>
          </w:tcPr>
          <w:p w14:paraId="61F80D6A" w14:textId="77777777" w:rsidR="00BE6461" w:rsidRPr="00BE6461" w:rsidRDefault="00BE6461" w:rsidP="00BE6461">
            <w:pPr>
              <w:jc w:val="right"/>
              <w:rPr>
                <w:b/>
                <w:bCs/>
                <w:color w:val="333333"/>
                <w:sz w:val="20"/>
                <w:szCs w:val="20"/>
              </w:rPr>
            </w:pPr>
            <w:r w:rsidRPr="00BE6461">
              <w:rPr>
                <w:b/>
                <w:bCs/>
                <w:color w:val="333333"/>
                <w:sz w:val="20"/>
                <w:szCs w:val="20"/>
              </w:rPr>
              <w:t>147.716,25</w:t>
            </w:r>
          </w:p>
        </w:tc>
        <w:tc>
          <w:tcPr>
            <w:tcW w:w="1100" w:type="dxa"/>
            <w:tcBorders>
              <w:top w:val="nil"/>
              <w:left w:val="nil"/>
              <w:bottom w:val="nil"/>
              <w:right w:val="nil"/>
            </w:tcBorders>
            <w:shd w:val="clear" w:color="auto" w:fill="auto"/>
            <w:noWrap/>
            <w:vAlign w:val="bottom"/>
            <w:hideMark/>
          </w:tcPr>
          <w:p w14:paraId="04278430" w14:textId="77777777" w:rsidR="00BE6461" w:rsidRPr="00BE6461" w:rsidRDefault="00BE6461" w:rsidP="00BE6461">
            <w:pPr>
              <w:jc w:val="right"/>
              <w:rPr>
                <w:b/>
                <w:bCs/>
                <w:color w:val="333333"/>
                <w:sz w:val="20"/>
                <w:szCs w:val="20"/>
              </w:rPr>
            </w:pPr>
            <w:r w:rsidRPr="00BE6461">
              <w:rPr>
                <w:b/>
                <w:bCs/>
                <w:color w:val="333333"/>
                <w:sz w:val="20"/>
                <w:szCs w:val="20"/>
              </w:rPr>
              <w:t>99,81</w:t>
            </w:r>
          </w:p>
        </w:tc>
      </w:tr>
      <w:tr w:rsidR="00BE6461" w:rsidRPr="00BE6461" w14:paraId="3B9BBCB9"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F4F4B1A" w14:textId="77777777" w:rsidR="00BE6461" w:rsidRPr="00BE6461" w:rsidRDefault="00BE6461" w:rsidP="00BE6461">
            <w:pPr>
              <w:rPr>
                <w:b/>
                <w:bCs/>
                <w:color w:val="333333"/>
                <w:sz w:val="20"/>
                <w:szCs w:val="20"/>
              </w:rPr>
            </w:pPr>
            <w:r w:rsidRPr="00BE6461">
              <w:rPr>
                <w:b/>
                <w:bCs/>
                <w:color w:val="333333"/>
                <w:sz w:val="20"/>
                <w:szCs w:val="20"/>
              </w:rPr>
              <w:t>Izvor 4.2. PRIHODI POSEBNE NAMJENE - KOMUNALNI DOPRINOS</w:t>
            </w:r>
          </w:p>
        </w:tc>
        <w:tc>
          <w:tcPr>
            <w:tcW w:w="1503" w:type="dxa"/>
            <w:tcBorders>
              <w:top w:val="nil"/>
              <w:left w:val="nil"/>
              <w:bottom w:val="nil"/>
              <w:right w:val="nil"/>
            </w:tcBorders>
            <w:shd w:val="clear" w:color="auto" w:fill="auto"/>
            <w:noWrap/>
            <w:vAlign w:val="bottom"/>
            <w:hideMark/>
          </w:tcPr>
          <w:p w14:paraId="30011690"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500" w:type="dxa"/>
            <w:tcBorders>
              <w:top w:val="nil"/>
              <w:left w:val="nil"/>
              <w:bottom w:val="nil"/>
              <w:right w:val="nil"/>
            </w:tcBorders>
            <w:shd w:val="clear" w:color="auto" w:fill="auto"/>
            <w:noWrap/>
            <w:vAlign w:val="bottom"/>
            <w:hideMark/>
          </w:tcPr>
          <w:p w14:paraId="34CB5E4A" w14:textId="77777777" w:rsidR="00BE6461" w:rsidRPr="00BE6461" w:rsidRDefault="00BE6461" w:rsidP="00BE6461">
            <w:pPr>
              <w:jc w:val="right"/>
              <w:rPr>
                <w:b/>
                <w:bCs/>
                <w:color w:val="333333"/>
                <w:sz w:val="20"/>
                <w:szCs w:val="20"/>
              </w:rPr>
            </w:pPr>
            <w:r w:rsidRPr="00BE6461">
              <w:rPr>
                <w:b/>
                <w:bCs/>
                <w:color w:val="333333"/>
                <w:sz w:val="20"/>
                <w:szCs w:val="20"/>
              </w:rPr>
              <w:t>147.716,25</w:t>
            </w:r>
          </w:p>
        </w:tc>
        <w:tc>
          <w:tcPr>
            <w:tcW w:w="1100" w:type="dxa"/>
            <w:tcBorders>
              <w:top w:val="nil"/>
              <w:left w:val="nil"/>
              <w:bottom w:val="nil"/>
              <w:right w:val="nil"/>
            </w:tcBorders>
            <w:shd w:val="clear" w:color="auto" w:fill="auto"/>
            <w:noWrap/>
            <w:vAlign w:val="bottom"/>
            <w:hideMark/>
          </w:tcPr>
          <w:p w14:paraId="78ED1DC3"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7CA7A06D" w14:textId="77777777" w:rsidTr="00BE6461">
        <w:trPr>
          <w:trHeight w:val="300"/>
        </w:trPr>
        <w:tc>
          <w:tcPr>
            <w:tcW w:w="1703" w:type="dxa"/>
            <w:tcBorders>
              <w:top w:val="nil"/>
              <w:left w:val="nil"/>
              <w:bottom w:val="nil"/>
              <w:right w:val="nil"/>
            </w:tcBorders>
            <w:shd w:val="clear" w:color="auto" w:fill="auto"/>
            <w:noWrap/>
            <w:vAlign w:val="bottom"/>
            <w:hideMark/>
          </w:tcPr>
          <w:p w14:paraId="60A3DAD9"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090FA847"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38B75F6B" w14:textId="77777777" w:rsidR="00BE6461" w:rsidRPr="00BE6461" w:rsidRDefault="00BE6461" w:rsidP="00BE6461">
            <w:pPr>
              <w:jc w:val="right"/>
              <w:rPr>
                <w:b/>
                <w:bCs/>
                <w:sz w:val="20"/>
                <w:szCs w:val="20"/>
              </w:rPr>
            </w:pPr>
            <w:r w:rsidRPr="00BE6461">
              <w:rPr>
                <w:b/>
                <w:bCs/>
                <w:sz w:val="20"/>
                <w:szCs w:val="20"/>
              </w:rPr>
              <w:t>0,00</w:t>
            </w:r>
          </w:p>
        </w:tc>
        <w:tc>
          <w:tcPr>
            <w:tcW w:w="1500" w:type="dxa"/>
            <w:tcBorders>
              <w:top w:val="nil"/>
              <w:left w:val="nil"/>
              <w:bottom w:val="nil"/>
              <w:right w:val="nil"/>
            </w:tcBorders>
            <w:shd w:val="clear" w:color="auto" w:fill="auto"/>
            <w:noWrap/>
            <w:vAlign w:val="bottom"/>
            <w:hideMark/>
          </w:tcPr>
          <w:p w14:paraId="6DD46B7A" w14:textId="77777777" w:rsidR="00BE6461" w:rsidRPr="00BE6461" w:rsidRDefault="00BE6461" w:rsidP="00BE6461">
            <w:pPr>
              <w:jc w:val="right"/>
              <w:rPr>
                <w:b/>
                <w:bCs/>
                <w:sz w:val="20"/>
                <w:szCs w:val="20"/>
              </w:rPr>
            </w:pPr>
            <w:r w:rsidRPr="00BE6461">
              <w:rPr>
                <w:b/>
                <w:bCs/>
                <w:sz w:val="20"/>
                <w:szCs w:val="20"/>
              </w:rPr>
              <w:t>147.716,25</w:t>
            </w:r>
          </w:p>
        </w:tc>
        <w:tc>
          <w:tcPr>
            <w:tcW w:w="1100" w:type="dxa"/>
            <w:tcBorders>
              <w:top w:val="nil"/>
              <w:left w:val="nil"/>
              <w:bottom w:val="nil"/>
              <w:right w:val="nil"/>
            </w:tcBorders>
            <w:shd w:val="clear" w:color="auto" w:fill="auto"/>
            <w:noWrap/>
            <w:vAlign w:val="bottom"/>
            <w:hideMark/>
          </w:tcPr>
          <w:p w14:paraId="092C1ED6"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78FDD935" w14:textId="77777777" w:rsidTr="00BE6461">
        <w:trPr>
          <w:trHeight w:val="300"/>
        </w:trPr>
        <w:tc>
          <w:tcPr>
            <w:tcW w:w="1703" w:type="dxa"/>
            <w:tcBorders>
              <w:top w:val="nil"/>
              <w:left w:val="nil"/>
              <w:bottom w:val="nil"/>
              <w:right w:val="nil"/>
            </w:tcBorders>
            <w:shd w:val="clear" w:color="auto" w:fill="auto"/>
            <w:noWrap/>
            <w:vAlign w:val="bottom"/>
            <w:hideMark/>
          </w:tcPr>
          <w:p w14:paraId="45C267A3" w14:textId="77777777" w:rsidR="00BE6461" w:rsidRPr="00BE6461" w:rsidRDefault="00BE6461" w:rsidP="00BE6461">
            <w:pPr>
              <w:rPr>
                <w:sz w:val="20"/>
                <w:szCs w:val="20"/>
              </w:rPr>
            </w:pPr>
            <w:r w:rsidRPr="00BE6461">
              <w:rPr>
                <w:sz w:val="20"/>
                <w:szCs w:val="20"/>
              </w:rPr>
              <w:t>3232</w:t>
            </w:r>
          </w:p>
        </w:tc>
        <w:tc>
          <w:tcPr>
            <w:tcW w:w="8457" w:type="dxa"/>
            <w:tcBorders>
              <w:top w:val="nil"/>
              <w:left w:val="nil"/>
              <w:bottom w:val="nil"/>
              <w:right w:val="nil"/>
            </w:tcBorders>
            <w:shd w:val="clear" w:color="auto" w:fill="auto"/>
            <w:vAlign w:val="bottom"/>
            <w:hideMark/>
          </w:tcPr>
          <w:p w14:paraId="4E0EC3BD" w14:textId="77777777" w:rsidR="00BE6461" w:rsidRPr="00BE6461" w:rsidRDefault="00BE6461" w:rsidP="00BE6461">
            <w:pPr>
              <w:rPr>
                <w:sz w:val="20"/>
                <w:szCs w:val="20"/>
              </w:rPr>
            </w:pPr>
            <w:r w:rsidRPr="00BE6461">
              <w:rPr>
                <w:sz w:val="20"/>
                <w:szCs w:val="20"/>
              </w:rPr>
              <w:t xml:space="preserve">Usluge tekućeg i investicijskog održavanja                                                          </w:t>
            </w:r>
          </w:p>
        </w:tc>
        <w:tc>
          <w:tcPr>
            <w:tcW w:w="1503" w:type="dxa"/>
            <w:tcBorders>
              <w:top w:val="nil"/>
              <w:left w:val="nil"/>
              <w:bottom w:val="nil"/>
              <w:right w:val="nil"/>
            </w:tcBorders>
            <w:shd w:val="clear" w:color="auto" w:fill="auto"/>
            <w:noWrap/>
            <w:vAlign w:val="bottom"/>
            <w:hideMark/>
          </w:tcPr>
          <w:p w14:paraId="2777F63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02E4E10" w14:textId="77777777" w:rsidR="00BE6461" w:rsidRPr="00BE6461" w:rsidRDefault="00BE6461" w:rsidP="00BE6461">
            <w:pPr>
              <w:jc w:val="right"/>
              <w:rPr>
                <w:sz w:val="20"/>
                <w:szCs w:val="20"/>
              </w:rPr>
            </w:pPr>
            <w:r w:rsidRPr="00BE6461">
              <w:rPr>
                <w:sz w:val="20"/>
                <w:szCs w:val="20"/>
              </w:rPr>
              <w:t>147.716,25</w:t>
            </w:r>
          </w:p>
        </w:tc>
        <w:tc>
          <w:tcPr>
            <w:tcW w:w="1100" w:type="dxa"/>
            <w:tcBorders>
              <w:top w:val="nil"/>
              <w:left w:val="nil"/>
              <w:bottom w:val="nil"/>
              <w:right w:val="nil"/>
            </w:tcBorders>
            <w:shd w:val="clear" w:color="auto" w:fill="auto"/>
            <w:noWrap/>
            <w:vAlign w:val="bottom"/>
            <w:hideMark/>
          </w:tcPr>
          <w:p w14:paraId="4B7595BA" w14:textId="77777777" w:rsidR="00BE6461" w:rsidRPr="00BE6461" w:rsidRDefault="00BE6461" w:rsidP="00BE6461">
            <w:pPr>
              <w:jc w:val="right"/>
              <w:rPr>
                <w:sz w:val="20"/>
                <w:szCs w:val="20"/>
              </w:rPr>
            </w:pPr>
          </w:p>
        </w:tc>
      </w:tr>
      <w:tr w:rsidR="00BE6461" w:rsidRPr="00BE6461" w14:paraId="6956B61D"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D82C1E3" w14:textId="77777777" w:rsidR="00BE6461" w:rsidRPr="00BE6461" w:rsidRDefault="00BE6461" w:rsidP="00BE6461">
            <w:pPr>
              <w:rPr>
                <w:b/>
                <w:bCs/>
                <w:color w:val="333333"/>
                <w:sz w:val="20"/>
                <w:szCs w:val="20"/>
              </w:rPr>
            </w:pPr>
            <w:r w:rsidRPr="00BE6461">
              <w:rPr>
                <w:b/>
                <w:bCs/>
                <w:color w:val="333333"/>
                <w:sz w:val="20"/>
                <w:szCs w:val="20"/>
              </w:rPr>
              <w:t>Izvor 4.6. PRIHODI POSEBNE NAMJENE - OSTALI</w:t>
            </w:r>
          </w:p>
        </w:tc>
        <w:tc>
          <w:tcPr>
            <w:tcW w:w="1503" w:type="dxa"/>
            <w:tcBorders>
              <w:top w:val="nil"/>
              <w:left w:val="nil"/>
              <w:bottom w:val="nil"/>
              <w:right w:val="nil"/>
            </w:tcBorders>
            <w:shd w:val="clear" w:color="auto" w:fill="auto"/>
            <w:noWrap/>
            <w:vAlign w:val="bottom"/>
            <w:hideMark/>
          </w:tcPr>
          <w:p w14:paraId="5C54F037" w14:textId="77777777" w:rsidR="00BE6461" w:rsidRPr="00BE6461" w:rsidRDefault="00BE6461" w:rsidP="00BE6461">
            <w:pPr>
              <w:jc w:val="right"/>
              <w:rPr>
                <w:b/>
                <w:bCs/>
                <w:color w:val="333333"/>
                <w:sz w:val="20"/>
                <w:szCs w:val="20"/>
              </w:rPr>
            </w:pPr>
            <w:r w:rsidRPr="00BE6461">
              <w:rPr>
                <w:b/>
                <w:bCs/>
                <w:color w:val="333333"/>
                <w:sz w:val="20"/>
                <w:szCs w:val="20"/>
              </w:rPr>
              <w:t>148.000,00</w:t>
            </w:r>
          </w:p>
        </w:tc>
        <w:tc>
          <w:tcPr>
            <w:tcW w:w="1500" w:type="dxa"/>
            <w:tcBorders>
              <w:top w:val="nil"/>
              <w:left w:val="nil"/>
              <w:bottom w:val="nil"/>
              <w:right w:val="nil"/>
            </w:tcBorders>
            <w:shd w:val="clear" w:color="auto" w:fill="auto"/>
            <w:noWrap/>
            <w:vAlign w:val="bottom"/>
            <w:hideMark/>
          </w:tcPr>
          <w:p w14:paraId="41904426"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100" w:type="dxa"/>
            <w:tcBorders>
              <w:top w:val="nil"/>
              <w:left w:val="nil"/>
              <w:bottom w:val="nil"/>
              <w:right w:val="nil"/>
            </w:tcBorders>
            <w:shd w:val="clear" w:color="auto" w:fill="auto"/>
            <w:noWrap/>
            <w:vAlign w:val="bottom"/>
            <w:hideMark/>
          </w:tcPr>
          <w:p w14:paraId="56933B4C"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260D9BB3" w14:textId="77777777" w:rsidTr="00BE6461">
        <w:trPr>
          <w:trHeight w:val="300"/>
        </w:trPr>
        <w:tc>
          <w:tcPr>
            <w:tcW w:w="1703" w:type="dxa"/>
            <w:tcBorders>
              <w:top w:val="nil"/>
              <w:left w:val="nil"/>
              <w:bottom w:val="nil"/>
              <w:right w:val="nil"/>
            </w:tcBorders>
            <w:shd w:val="clear" w:color="auto" w:fill="auto"/>
            <w:noWrap/>
            <w:vAlign w:val="bottom"/>
            <w:hideMark/>
          </w:tcPr>
          <w:p w14:paraId="3E9558C4" w14:textId="77777777" w:rsidR="00BE6461" w:rsidRPr="00BE6461" w:rsidRDefault="00BE6461" w:rsidP="00BE6461">
            <w:pPr>
              <w:rPr>
                <w:b/>
                <w:bCs/>
                <w:sz w:val="20"/>
                <w:szCs w:val="20"/>
              </w:rPr>
            </w:pPr>
            <w:r w:rsidRPr="00BE6461">
              <w:rPr>
                <w:b/>
                <w:bCs/>
                <w:sz w:val="20"/>
                <w:szCs w:val="20"/>
              </w:rPr>
              <w:t>386</w:t>
            </w:r>
          </w:p>
        </w:tc>
        <w:tc>
          <w:tcPr>
            <w:tcW w:w="8457" w:type="dxa"/>
            <w:tcBorders>
              <w:top w:val="nil"/>
              <w:left w:val="nil"/>
              <w:bottom w:val="nil"/>
              <w:right w:val="nil"/>
            </w:tcBorders>
            <w:shd w:val="clear" w:color="auto" w:fill="auto"/>
            <w:vAlign w:val="bottom"/>
            <w:hideMark/>
          </w:tcPr>
          <w:p w14:paraId="027B3611" w14:textId="77777777" w:rsidR="00BE6461" w:rsidRPr="00BE6461" w:rsidRDefault="00BE6461" w:rsidP="00BE6461">
            <w:pPr>
              <w:rPr>
                <w:b/>
                <w:bCs/>
                <w:sz w:val="20"/>
                <w:szCs w:val="20"/>
              </w:rPr>
            </w:pPr>
            <w:r w:rsidRPr="00BE6461">
              <w:rPr>
                <w:b/>
                <w:bCs/>
                <w:sz w:val="20"/>
                <w:szCs w:val="20"/>
              </w:rPr>
              <w:t xml:space="preserve">Kapitalne pomoći                                                                                    </w:t>
            </w:r>
          </w:p>
        </w:tc>
        <w:tc>
          <w:tcPr>
            <w:tcW w:w="1503" w:type="dxa"/>
            <w:tcBorders>
              <w:top w:val="nil"/>
              <w:left w:val="nil"/>
              <w:bottom w:val="nil"/>
              <w:right w:val="nil"/>
            </w:tcBorders>
            <w:shd w:val="clear" w:color="auto" w:fill="auto"/>
            <w:noWrap/>
            <w:vAlign w:val="bottom"/>
            <w:hideMark/>
          </w:tcPr>
          <w:p w14:paraId="4BD5DC01" w14:textId="77777777" w:rsidR="00BE6461" w:rsidRPr="00BE6461" w:rsidRDefault="00BE6461" w:rsidP="00BE6461">
            <w:pPr>
              <w:jc w:val="right"/>
              <w:rPr>
                <w:b/>
                <w:bCs/>
                <w:sz w:val="20"/>
                <w:szCs w:val="20"/>
              </w:rPr>
            </w:pPr>
            <w:r w:rsidRPr="00BE6461">
              <w:rPr>
                <w:b/>
                <w:bCs/>
                <w:sz w:val="20"/>
                <w:szCs w:val="20"/>
              </w:rPr>
              <w:t>148.000,00</w:t>
            </w:r>
          </w:p>
        </w:tc>
        <w:tc>
          <w:tcPr>
            <w:tcW w:w="1500" w:type="dxa"/>
            <w:tcBorders>
              <w:top w:val="nil"/>
              <w:left w:val="nil"/>
              <w:bottom w:val="nil"/>
              <w:right w:val="nil"/>
            </w:tcBorders>
            <w:shd w:val="clear" w:color="auto" w:fill="auto"/>
            <w:noWrap/>
            <w:vAlign w:val="bottom"/>
            <w:hideMark/>
          </w:tcPr>
          <w:p w14:paraId="6665E42F"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6DEFDD67"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492930F3" w14:textId="77777777" w:rsidTr="00BE6461">
        <w:trPr>
          <w:trHeight w:val="525"/>
        </w:trPr>
        <w:tc>
          <w:tcPr>
            <w:tcW w:w="1703" w:type="dxa"/>
            <w:tcBorders>
              <w:top w:val="nil"/>
              <w:left w:val="nil"/>
              <w:bottom w:val="nil"/>
              <w:right w:val="nil"/>
            </w:tcBorders>
            <w:shd w:val="clear" w:color="auto" w:fill="auto"/>
            <w:noWrap/>
            <w:vAlign w:val="bottom"/>
            <w:hideMark/>
          </w:tcPr>
          <w:p w14:paraId="731AEF6D" w14:textId="77777777" w:rsidR="00BE6461" w:rsidRPr="00BE6461" w:rsidRDefault="00BE6461" w:rsidP="00BE6461">
            <w:pPr>
              <w:rPr>
                <w:sz w:val="20"/>
                <w:szCs w:val="20"/>
              </w:rPr>
            </w:pPr>
            <w:r w:rsidRPr="00BE6461">
              <w:rPr>
                <w:sz w:val="20"/>
                <w:szCs w:val="20"/>
              </w:rPr>
              <w:t>3861</w:t>
            </w:r>
          </w:p>
        </w:tc>
        <w:tc>
          <w:tcPr>
            <w:tcW w:w="8457" w:type="dxa"/>
            <w:tcBorders>
              <w:top w:val="nil"/>
              <w:left w:val="nil"/>
              <w:bottom w:val="nil"/>
              <w:right w:val="nil"/>
            </w:tcBorders>
            <w:shd w:val="clear" w:color="auto" w:fill="auto"/>
            <w:vAlign w:val="bottom"/>
            <w:hideMark/>
          </w:tcPr>
          <w:p w14:paraId="6B601AC9" w14:textId="77777777" w:rsidR="00BE6461" w:rsidRPr="00BE6461" w:rsidRDefault="00BE6461" w:rsidP="00BE6461">
            <w:pPr>
              <w:rPr>
                <w:sz w:val="20"/>
                <w:szCs w:val="20"/>
              </w:rPr>
            </w:pPr>
            <w:r w:rsidRPr="00BE6461">
              <w:rPr>
                <w:sz w:val="20"/>
                <w:szCs w:val="20"/>
              </w:rPr>
              <w:t xml:space="preserve">Kapitalne pomoći kreditnim i ostalim financijskim institucijama te trgovačkim društvima u javnom </w:t>
            </w:r>
            <w:proofErr w:type="spellStart"/>
            <w:r w:rsidRPr="00BE6461">
              <w:rPr>
                <w:sz w:val="20"/>
                <w:szCs w:val="20"/>
              </w:rPr>
              <w:t>sek</w:t>
            </w:r>
            <w:proofErr w:type="spellEnd"/>
          </w:p>
        </w:tc>
        <w:tc>
          <w:tcPr>
            <w:tcW w:w="1503" w:type="dxa"/>
            <w:tcBorders>
              <w:top w:val="nil"/>
              <w:left w:val="nil"/>
              <w:bottom w:val="nil"/>
              <w:right w:val="nil"/>
            </w:tcBorders>
            <w:shd w:val="clear" w:color="auto" w:fill="auto"/>
            <w:noWrap/>
            <w:vAlign w:val="bottom"/>
            <w:hideMark/>
          </w:tcPr>
          <w:p w14:paraId="60F08A5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6F7955B"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6329798E" w14:textId="77777777" w:rsidR="00BE6461" w:rsidRPr="00BE6461" w:rsidRDefault="00BE6461" w:rsidP="00BE6461">
            <w:pPr>
              <w:jc w:val="right"/>
              <w:rPr>
                <w:sz w:val="20"/>
                <w:szCs w:val="20"/>
              </w:rPr>
            </w:pPr>
            <w:r w:rsidRPr="00BE6461">
              <w:rPr>
                <w:sz w:val="20"/>
                <w:szCs w:val="20"/>
              </w:rPr>
              <w:t>0,00</w:t>
            </w:r>
          </w:p>
        </w:tc>
      </w:tr>
      <w:tr w:rsidR="00BE6461" w:rsidRPr="00BE6461" w14:paraId="44EE5359"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4C47B77D" w14:textId="77777777" w:rsidR="00BE6461" w:rsidRPr="00BE6461" w:rsidRDefault="00BE6461" w:rsidP="00BE6461">
            <w:pPr>
              <w:rPr>
                <w:b/>
                <w:bCs/>
                <w:sz w:val="20"/>
                <w:szCs w:val="20"/>
              </w:rPr>
            </w:pPr>
            <w:r w:rsidRPr="00BE6461">
              <w:rPr>
                <w:b/>
                <w:bCs/>
                <w:sz w:val="20"/>
                <w:szCs w:val="20"/>
              </w:rPr>
              <w:t>K200027</w:t>
            </w:r>
          </w:p>
        </w:tc>
        <w:tc>
          <w:tcPr>
            <w:tcW w:w="8457" w:type="dxa"/>
            <w:tcBorders>
              <w:top w:val="single" w:sz="4" w:space="0" w:color="auto"/>
              <w:left w:val="nil"/>
              <w:bottom w:val="single" w:sz="4" w:space="0" w:color="auto"/>
              <w:right w:val="nil"/>
            </w:tcBorders>
            <w:shd w:val="clear" w:color="auto" w:fill="auto"/>
            <w:vAlign w:val="bottom"/>
            <w:hideMark/>
          </w:tcPr>
          <w:p w14:paraId="76570EBF" w14:textId="77777777" w:rsidR="00BE6461" w:rsidRPr="00BE6461" w:rsidRDefault="00BE6461" w:rsidP="00BE6461">
            <w:pPr>
              <w:rPr>
                <w:b/>
                <w:bCs/>
                <w:sz w:val="20"/>
                <w:szCs w:val="20"/>
              </w:rPr>
            </w:pPr>
            <w:r w:rsidRPr="00BE6461">
              <w:rPr>
                <w:b/>
                <w:bCs/>
                <w:sz w:val="20"/>
                <w:szCs w:val="20"/>
              </w:rPr>
              <w:t>Kapitalni projekt: NERAZVRSTANE CESTE - UREĐENI DIJELOVI GRAĐEVINSKOG PODRUČJA</w:t>
            </w:r>
          </w:p>
        </w:tc>
        <w:tc>
          <w:tcPr>
            <w:tcW w:w="1503" w:type="dxa"/>
            <w:tcBorders>
              <w:top w:val="single" w:sz="4" w:space="0" w:color="auto"/>
              <w:left w:val="nil"/>
              <w:bottom w:val="single" w:sz="4" w:space="0" w:color="auto"/>
              <w:right w:val="nil"/>
            </w:tcBorders>
            <w:shd w:val="clear" w:color="auto" w:fill="auto"/>
            <w:noWrap/>
            <w:vAlign w:val="bottom"/>
            <w:hideMark/>
          </w:tcPr>
          <w:p w14:paraId="04DDBB83" w14:textId="77777777" w:rsidR="00BE6461" w:rsidRPr="00BE6461" w:rsidRDefault="00BE6461" w:rsidP="00BE6461">
            <w:pPr>
              <w:jc w:val="right"/>
              <w:rPr>
                <w:b/>
                <w:bCs/>
                <w:sz w:val="20"/>
                <w:szCs w:val="20"/>
              </w:rPr>
            </w:pPr>
            <w:r w:rsidRPr="00BE6461">
              <w:rPr>
                <w:b/>
                <w:bCs/>
                <w:sz w:val="20"/>
                <w:szCs w:val="20"/>
              </w:rPr>
              <w:t>412.500,00</w:t>
            </w:r>
          </w:p>
        </w:tc>
        <w:tc>
          <w:tcPr>
            <w:tcW w:w="1500" w:type="dxa"/>
            <w:tcBorders>
              <w:top w:val="single" w:sz="4" w:space="0" w:color="auto"/>
              <w:left w:val="nil"/>
              <w:bottom w:val="single" w:sz="4" w:space="0" w:color="auto"/>
              <w:right w:val="nil"/>
            </w:tcBorders>
            <w:shd w:val="clear" w:color="auto" w:fill="auto"/>
            <w:noWrap/>
            <w:vAlign w:val="bottom"/>
            <w:hideMark/>
          </w:tcPr>
          <w:p w14:paraId="496F4976" w14:textId="77777777" w:rsidR="00BE6461" w:rsidRPr="00BE6461" w:rsidRDefault="00BE6461" w:rsidP="00BE6461">
            <w:pPr>
              <w:jc w:val="right"/>
              <w:rPr>
                <w:b/>
                <w:bCs/>
                <w:sz w:val="20"/>
                <w:szCs w:val="20"/>
              </w:rPr>
            </w:pPr>
            <w:r w:rsidRPr="00BE6461">
              <w:rPr>
                <w:b/>
                <w:bCs/>
                <w:sz w:val="20"/>
                <w:szCs w:val="20"/>
              </w:rPr>
              <w:t>295.560,07</w:t>
            </w:r>
          </w:p>
        </w:tc>
        <w:tc>
          <w:tcPr>
            <w:tcW w:w="1100" w:type="dxa"/>
            <w:tcBorders>
              <w:top w:val="single" w:sz="4" w:space="0" w:color="auto"/>
              <w:left w:val="nil"/>
              <w:bottom w:val="single" w:sz="4" w:space="0" w:color="auto"/>
              <w:right w:val="nil"/>
            </w:tcBorders>
            <w:shd w:val="clear" w:color="auto" w:fill="auto"/>
            <w:noWrap/>
            <w:vAlign w:val="bottom"/>
            <w:hideMark/>
          </w:tcPr>
          <w:p w14:paraId="4D620889" w14:textId="77777777" w:rsidR="00BE6461" w:rsidRPr="00BE6461" w:rsidRDefault="00BE6461" w:rsidP="00BE6461">
            <w:pPr>
              <w:jc w:val="right"/>
              <w:rPr>
                <w:b/>
                <w:bCs/>
                <w:sz w:val="20"/>
                <w:szCs w:val="20"/>
              </w:rPr>
            </w:pPr>
            <w:r w:rsidRPr="00BE6461">
              <w:rPr>
                <w:b/>
                <w:bCs/>
                <w:sz w:val="20"/>
                <w:szCs w:val="20"/>
              </w:rPr>
              <w:t>71,65</w:t>
            </w:r>
          </w:p>
        </w:tc>
      </w:tr>
      <w:tr w:rsidR="00BE6461" w:rsidRPr="00BE6461" w14:paraId="13FAA445"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6006689"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586A4A25" w14:textId="77777777" w:rsidR="00BE6461" w:rsidRPr="00BE6461" w:rsidRDefault="00BE6461" w:rsidP="00BE6461">
            <w:pPr>
              <w:jc w:val="right"/>
              <w:rPr>
                <w:b/>
                <w:bCs/>
                <w:color w:val="333333"/>
                <w:sz w:val="20"/>
                <w:szCs w:val="20"/>
              </w:rPr>
            </w:pPr>
            <w:r w:rsidRPr="00BE6461">
              <w:rPr>
                <w:b/>
                <w:bCs/>
                <w:color w:val="333333"/>
                <w:sz w:val="20"/>
                <w:szCs w:val="20"/>
              </w:rPr>
              <w:t>412.500,00</w:t>
            </w:r>
          </w:p>
        </w:tc>
        <w:tc>
          <w:tcPr>
            <w:tcW w:w="1500" w:type="dxa"/>
            <w:tcBorders>
              <w:top w:val="nil"/>
              <w:left w:val="nil"/>
              <w:bottom w:val="nil"/>
              <w:right w:val="nil"/>
            </w:tcBorders>
            <w:shd w:val="clear" w:color="auto" w:fill="auto"/>
            <w:noWrap/>
            <w:vAlign w:val="bottom"/>
            <w:hideMark/>
          </w:tcPr>
          <w:p w14:paraId="00AB4603" w14:textId="77777777" w:rsidR="00BE6461" w:rsidRPr="00BE6461" w:rsidRDefault="00BE6461" w:rsidP="00BE6461">
            <w:pPr>
              <w:jc w:val="right"/>
              <w:rPr>
                <w:b/>
                <w:bCs/>
                <w:color w:val="333333"/>
                <w:sz w:val="20"/>
                <w:szCs w:val="20"/>
              </w:rPr>
            </w:pPr>
            <w:r w:rsidRPr="00BE6461">
              <w:rPr>
                <w:b/>
                <w:bCs/>
                <w:color w:val="333333"/>
                <w:sz w:val="20"/>
                <w:szCs w:val="20"/>
              </w:rPr>
              <w:t>295.560,07</w:t>
            </w:r>
          </w:p>
        </w:tc>
        <w:tc>
          <w:tcPr>
            <w:tcW w:w="1100" w:type="dxa"/>
            <w:tcBorders>
              <w:top w:val="nil"/>
              <w:left w:val="nil"/>
              <w:bottom w:val="nil"/>
              <w:right w:val="nil"/>
            </w:tcBorders>
            <w:shd w:val="clear" w:color="auto" w:fill="auto"/>
            <w:noWrap/>
            <w:vAlign w:val="bottom"/>
            <w:hideMark/>
          </w:tcPr>
          <w:p w14:paraId="45A98907" w14:textId="77777777" w:rsidR="00BE6461" w:rsidRPr="00BE6461" w:rsidRDefault="00BE6461" w:rsidP="00BE6461">
            <w:pPr>
              <w:jc w:val="right"/>
              <w:rPr>
                <w:b/>
                <w:bCs/>
                <w:color w:val="333333"/>
                <w:sz w:val="20"/>
                <w:szCs w:val="20"/>
              </w:rPr>
            </w:pPr>
            <w:r w:rsidRPr="00BE6461">
              <w:rPr>
                <w:b/>
                <w:bCs/>
                <w:color w:val="333333"/>
                <w:sz w:val="20"/>
                <w:szCs w:val="20"/>
              </w:rPr>
              <w:t>71,65</w:t>
            </w:r>
          </w:p>
        </w:tc>
      </w:tr>
      <w:tr w:rsidR="00BE6461" w:rsidRPr="00BE6461" w14:paraId="691839D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17C9807" w14:textId="77777777" w:rsidR="00BE6461" w:rsidRPr="00BE6461" w:rsidRDefault="00BE6461" w:rsidP="00BE6461">
            <w:pPr>
              <w:rPr>
                <w:b/>
                <w:bCs/>
                <w:color w:val="333333"/>
                <w:sz w:val="20"/>
                <w:szCs w:val="20"/>
              </w:rPr>
            </w:pPr>
            <w:r w:rsidRPr="00BE6461">
              <w:rPr>
                <w:b/>
                <w:bCs/>
                <w:color w:val="333333"/>
                <w:sz w:val="20"/>
                <w:szCs w:val="20"/>
              </w:rPr>
              <w:t>Izvor 4.2. PRIHODI POSEBNE NAMJENE - KOMUNALNI DOPRINOS</w:t>
            </w:r>
          </w:p>
        </w:tc>
        <w:tc>
          <w:tcPr>
            <w:tcW w:w="1503" w:type="dxa"/>
            <w:tcBorders>
              <w:top w:val="nil"/>
              <w:left w:val="nil"/>
              <w:bottom w:val="nil"/>
              <w:right w:val="nil"/>
            </w:tcBorders>
            <w:shd w:val="clear" w:color="auto" w:fill="auto"/>
            <w:noWrap/>
            <w:vAlign w:val="bottom"/>
            <w:hideMark/>
          </w:tcPr>
          <w:p w14:paraId="73E0F76B" w14:textId="77777777" w:rsidR="00BE6461" w:rsidRPr="00BE6461" w:rsidRDefault="00BE6461" w:rsidP="00BE6461">
            <w:pPr>
              <w:jc w:val="right"/>
              <w:rPr>
                <w:b/>
                <w:bCs/>
                <w:color w:val="333333"/>
                <w:sz w:val="20"/>
                <w:szCs w:val="20"/>
              </w:rPr>
            </w:pPr>
            <w:r w:rsidRPr="00BE6461">
              <w:rPr>
                <w:b/>
                <w:bCs/>
                <w:color w:val="333333"/>
                <w:sz w:val="20"/>
                <w:szCs w:val="20"/>
              </w:rPr>
              <w:t>412.500,00</w:t>
            </w:r>
          </w:p>
        </w:tc>
        <w:tc>
          <w:tcPr>
            <w:tcW w:w="1500" w:type="dxa"/>
            <w:tcBorders>
              <w:top w:val="nil"/>
              <w:left w:val="nil"/>
              <w:bottom w:val="nil"/>
              <w:right w:val="nil"/>
            </w:tcBorders>
            <w:shd w:val="clear" w:color="auto" w:fill="auto"/>
            <w:noWrap/>
            <w:vAlign w:val="bottom"/>
            <w:hideMark/>
          </w:tcPr>
          <w:p w14:paraId="1880AA87" w14:textId="77777777" w:rsidR="00BE6461" w:rsidRPr="00BE6461" w:rsidRDefault="00BE6461" w:rsidP="00BE6461">
            <w:pPr>
              <w:jc w:val="right"/>
              <w:rPr>
                <w:b/>
                <w:bCs/>
                <w:color w:val="333333"/>
                <w:sz w:val="20"/>
                <w:szCs w:val="20"/>
              </w:rPr>
            </w:pPr>
            <w:r w:rsidRPr="00BE6461">
              <w:rPr>
                <w:b/>
                <w:bCs/>
                <w:color w:val="333333"/>
                <w:sz w:val="20"/>
                <w:szCs w:val="20"/>
              </w:rPr>
              <w:t>295.560,07</w:t>
            </w:r>
          </w:p>
        </w:tc>
        <w:tc>
          <w:tcPr>
            <w:tcW w:w="1100" w:type="dxa"/>
            <w:tcBorders>
              <w:top w:val="nil"/>
              <w:left w:val="nil"/>
              <w:bottom w:val="nil"/>
              <w:right w:val="nil"/>
            </w:tcBorders>
            <w:shd w:val="clear" w:color="auto" w:fill="auto"/>
            <w:noWrap/>
            <w:vAlign w:val="bottom"/>
            <w:hideMark/>
          </w:tcPr>
          <w:p w14:paraId="1B1AAAD4" w14:textId="77777777" w:rsidR="00BE6461" w:rsidRPr="00BE6461" w:rsidRDefault="00BE6461" w:rsidP="00BE6461">
            <w:pPr>
              <w:jc w:val="right"/>
              <w:rPr>
                <w:b/>
                <w:bCs/>
                <w:color w:val="333333"/>
                <w:sz w:val="20"/>
                <w:szCs w:val="20"/>
              </w:rPr>
            </w:pPr>
            <w:r w:rsidRPr="00BE6461">
              <w:rPr>
                <w:b/>
                <w:bCs/>
                <w:color w:val="333333"/>
                <w:sz w:val="20"/>
                <w:szCs w:val="20"/>
              </w:rPr>
              <w:t>71,65</w:t>
            </w:r>
          </w:p>
        </w:tc>
      </w:tr>
      <w:tr w:rsidR="00BE6461" w:rsidRPr="00BE6461" w14:paraId="04B8C70E" w14:textId="77777777" w:rsidTr="00BE6461">
        <w:trPr>
          <w:trHeight w:val="300"/>
        </w:trPr>
        <w:tc>
          <w:tcPr>
            <w:tcW w:w="1703" w:type="dxa"/>
            <w:tcBorders>
              <w:top w:val="nil"/>
              <w:left w:val="nil"/>
              <w:bottom w:val="nil"/>
              <w:right w:val="nil"/>
            </w:tcBorders>
            <w:shd w:val="clear" w:color="auto" w:fill="auto"/>
            <w:noWrap/>
            <w:vAlign w:val="bottom"/>
            <w:hideMark/>
          </w:tcPr>
          <w:p w14:paraId="616EE69C" w14:textId="77777777" w:rsidR="00BE6461" w:rsidRPr="00BE6461" w:rsidRDefault="00BE6461" w:rsidP="00BE6461">
            <w:pPr>
              <w:rPr>
                <w:b/>
                <w:bCs/>
                <w:sz w:val="20"/>
                <w:szCs w:val="20"/>
              </w:rPr>
            </w:pPr>
            <w:r w:rsidRPr="00BE6461">
              <w:rPr>
                <w:b/>
                <w:bCs/>
                <w:sz w:val="20"/>
                <w:szCs w:val="20"/>
              </w:rPr>
              <w:lastRenderedPageBreak/>
              <w:t>421</w:t>
            </w:r>
          </w:p>
        </w:tc>
        <w:tc>
          <w:tcPr>
            <w:tcW w:w="8457" w:type="dxa"/>
            <w:tcBorders>
              <w:top w:val="nil"/>
              <w:left w:val="nil"/>
              <w:bottom w:val="nil"/>
              <w:right w:val="nil"/>
            </w:tcBorders>
            <w:shd w:val="clear" w:color="auto" w:fill="auto"/>
            <w:vAlign w:val="bottom"/>
            <w:hideMark/>
          </w:tcPr>
          <w:p w14:paraId="7691C6C9" w14:textId="77777777" w:rsidR="00BE6461" w:rsidRPr="00BE6461" w:rsidRDefault="00BE6461" w:rsidP="00BE6461">
            <w:pPr>
              <w:rPr>
                <w:b/>
                <w:bCs/>
                <w:sz w:val="20"/>
                <w:szCs w:val="20"/>
              </w:rPr>
            </w:pPr>
            <w:r w:rsidRPr="00BE6461">
              <w:rPr>
                <w:b/>
                <w:bCs/>
                <w:sz w:val="20"/>
                <w:szCs w:val="20"/>
              </w:rPr>
              <w:t xml:space="preserve">Građevinski objekti                                                                                 </w:t>
            </w:r>
          </w:p>
        </w:tc>
        <w:tc>
          <w:tcPr>
            <w:tcW w:w="1503" w:type="dxa"/>
            <w:tcBorders>
              <w:top w:val="nil"/>
              <w:left w:val="nil"/>
              <w:bottom w:val="nil"/>
              <w:right w:val="nil"/>
            </w:tcBorders>
            <w:shd w:val="clear" w:color="auto" w:fill="auto"/>
            <w:noWrap/>
            <w:vAlign w:val="bottom"/>
            <w:hideMark/>
          </w:tcPr>
          <w:p w14:paraId="5183FE3C" w14:textId="77777777" w:rsidR="00BE6461" w:rsidRPr="00BE6461" w:rsidRDefault="00BE6461" w:rsidP="00BE6461">
            <w:pPr>
              <w:jc w:val="right"/>
              <w:rPr>
                <w:b/>
                <w:bCs/>
                <w:sz w:val="20"/>
                <w:szCs w:val="20"/>
              </w:rPr>
            </w:pPr>
            <w:r w:rsidRPr="00BE6461">
              <w:rPr>
                <w:b/>
                <w:bCs/>
                <w:sz w:val="20"/>
                <w:szCs w:val="20"/>
              </w:rPr>
              <w:t>412.500,00</w:t>
            </w:r>
          </w:p>
        </w:tc>
        <w:tc>
          <w:tcPr>
            <w:tcW w:w="1500" w:type="dxa"/>
            <w:tcBorders>
              <w:top w:val="nil"/>
              <w:left w:val="nil"/>
              <w:bottom w:val="nil"/>
              <w:right w:val="nil"/>
            </w:tcBorders>
            <w:shd w:val="clear" w:color="auto" w:fill="auto"/>
            <w:noWrap/>
            <w:vAlign w:val="bottom"/>
            <w:hideMark/>
          </w:tcPr>
          <w:p w14:paraId="4FBD2F51" w14:textId="77777777" w:rsidR="00BE6461" w:rsidRPr="00BE6461" w:rsidRDefault="00BE6461" w:rsidP="00BE6461">
            <w:pPr>
              <w:jc w:val="right"/>
              <w:rPr>
                <w:b/>
                <w:bCs/>
                <w:sz w:val="20"/>
                <w:szCs w:val="20"/>
              </w:rPr>
            </w:pPr>
            <w:r w:rsidRPr="00BE6461">
              <w:rPr>
                <w:b/>
                <w:bCs/>
                <w:sz w:val="20"/>
                <w:szCs w:val="20"/>
              </w:rPr>
              <w:t>295.560,07</w:t>
            </w:r>
          </w:p>
        </w:tc>
        <w:tc>
          <w:tcPr>
            <w:tcW w:w="1100" w:type="dxa"/>
            <w:tcBorders>
              <w:top w:val="nil"/>
              <w:left w:val="nil"/>
              <w:bottom w:val="nil"/>
              <w:right w:val="nil"/>
            </w:tcBorders>
            <w:shd w:val="clear" w:color="auto" w:fill="auto"/>
            <w:noWrap/>
            <w:vAlign w:val="bottom"/>
            <w:hideMark/>
          </w:tcPr>
          <w:p w14:paraId="27CD295E" w14:textId="77777777" w:rsidR="00BE6461" w:rsidRPr="00BE6461" w:rsidRDefault="00BE6461" w:rsidP="00BE6461">
            <w:pPr>
              <w:jc w:val="right"/>
              <w:rPr>
                <w:b/>
                <w:bCs/>
                <w:sz w:val="20"/>
                <w:szCs w:val="20"/>
              </w:rPr>
            </w:pPr>
            <w:r w:rsidRPr="00BE6461">
              <w:rPr>
                <w:b/>
                <w:bCs/>
                <w:sz w:val="20"/>
                <w:szCs w:val="20"/>
              </w:rPr>
              <w:t>71,65</w:t>
            </w:r>
          </w:p>
        </w:tc>
      </w:tr>
      <w:tr w:rsidR="00BE6461" w:rsidRPr="00BE6461" w14:paraId="254AC83A" w14:textId="77777777" w:rsidTr="00BE6461">
        <w:trPr>
          <w:trHeight w:val="300"/>
        </w:trPr>
        <w:tc>
          <w:tcPr>
            <w:tcW w:w="1703" w:type="dxa"/>
            <w:tcBorders>
              <w:top w:val="nil"/>
              <w:left w:val="nil"/>
              <w:bottom w:val="nil"/>
              <w:right w:val="nil"/>
            </w:tcBorders>
            <w:shd w:val="clear" w:color="auto" w:fill="auto"/>
            <w:noWrap/>
            <w:vAlign w:val="bottom"/>
            <w:hideMark/>
          </w:tcPr>
          <w:p w14:paraId="3FB917A3" w14:textId="77777777" w:rsidR="00BE6461" w:rsidRPr="00BE6461" w:rsidRDefault="00BE6461" w:rsidP="00BE6461">
            <w:pPr>
              <w:rPr>
                <w:sz w:val="20"/>
                <w:szCs w:val="20"/>
              </w:rPr>
            </w:pPr>
            <w:r w:rsidRPr="00BE6461">
              <w:rPr>
                <w:sz w:val="20"/>
                <w:szCs w:val="20"/>
              </w:rPr>
              <w:t>4213</w:t>
            </w:r>
          </w:p>
        </w:tc>
        <w:tc>
          <w:tcPr>
            <w:tcW w:w="8457" w:type="dxa"/>
            <w:tcBorders>
              <w:top w:val="nil"/>
              <w:left w:val="nil"/>
              <w:bottom w:val="nil"/>
              <w:right w:val="nil"/>
            </w:tcBorders>
            <w:shd w:val="clear" w:color="auto" w:fill="auto"/>
            <w:vAlign w:val="bottom"/>
            <w:hideMark/>
          </w:tcPr>
          <w:p w14:paraId="3ACCA0DB" w14:textId="77777777" w:rsidR="00BE6461" w:rsidRPr="00BE6461" w:rsidRDefault="00BE6461" w:rsidP="00BE6461">
            <w:pPr>
              <w:rPr>
                <w:sz w:val="20"/>
                <w:szCs w:val="20"/>
              </w:rPr>
            </w:pPr>
            <w:r w:rsidRPr="00BE6461">
              <w:rPr>
                <w:sz w:val="20"/>
                <w:szCs w:val="20"/>
              </w:rPr>
              <w:t xml:space="preserve">Ceste, željeznice i ostali prometni objekti                                                         </w:t>
            </w:r>
          </w:p>
        </w:tc>
        <w:tc>
          <w:tcPr>
            <w:tcW w:w="1503" w:type="dxa"/>
            <w:tcBorders>
              <w:top w:val="nil"/>
              <w:left w:val="nil"/>
              <w:bottom w:val="nil"/>
              <w:right w:val="nil"/>
            </w:tcBorders>
            <w:shd w:val="clear" w:color="auto" w:fill="auto"/>
            <w:noWrap/>
            <w:vAlign w:val="bottom"/>
            <w:hideMark/>
          </w:tcPr>
          <w:p w14:paraId="5743C6D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E2F819D" w14:textId="77777777" w:rsidR="00BE6461" w:rsidRPr="00BE6461" w:rsidRDefault="00BE6461" w:rsidP="00BE6461">
            <w:pPr>
              <w:jc w:val="right"/>
              <w:rPr>
                <w:sz w:val="20"/>
                <w:szCs w:val="20"/>
              </w:rPr>
            </w:pPr>
            <w:r w:rsidRPr="00BE6461">
              <w:rPr>
                <w:sz w:val="20"/>
                <w:szCs w:val="20"/>
              </w:rPr>
              <w:t>295.560,07</w:t>
            </w:r>
          </w:p>
        </w:tc>
        <w:tc>
          <w:tcPr>
            <w:tcW w:w="1100" w:type="dxa"/>
            <w:tcBorders>
              <w:top w:val="nil"/>
              <w:left w:val="nil"/>
              <w:bottom w:val="nil"/>
              <w:right w:val="nil"/>
            </w:tcBorders>
            <w:shd w:val="clear" w:color="auto" w:fill="auto"/>
            <w:noWrap/>
            <w:vAlign w:val="bottom"/>
            <w:hideMark/>
          </w:tcPr>
          <w:p w14:paraId="5F8C52A1" w14:textId="77777777" w:rsidR="00BE6461" w:rsidRPr="00BE6461" w:rsidRDefault="00BE6461" w:rsidP="00BE6461">
            <w:pPr>
              <w:jc w:val="right"/>
              <w:rPr>
                <w:sz w:val="20"/>
                <w:szCs w:val="20"/>
              </w:rPr>
            </w:pPr>
          </w:p>
        </w:tc>
      </w:tr>
      <w:tr w:rsidR="00BE6461" w:rsidRPr="00BE6461" w14:paraId="7F7F7C7A"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40F01576" w14:textId="77777777" w:rsidR="00BE6461" w:rsidRPr="00BE6461" w:rsidRDefault="00BE6461" w:rsidP="00BE6461">
            <w:pPr>
              <w:rPr>
                <w:b/>
                <w:bCs/>
                <w:sz w:val="20"/>
                <w:szCs w:val="20"/>
              </w:rPr>
            </w:pPr>
            <w:r w:rsidRPr="00BE6461">
              <w:rPr>
                <w:b/>
                <w:bCs/>
                <w:sz w:val="20"/>
                <w:szCs w:val="20"/>
              </w:rPr>
              <w:t>K200028</w:t>
            </w:r>
          </w:p>
        </w:tc>
        <w:tc>
          <w:tcPr>
            <w:tcW w:w="8457" w:type="dxa"/>
            <w:tcBorders>
              <w:top w:val="single" w:sz="4" w:space="0" w:color="auto"/>
              <w:left w:val="nil"/>
              <w:bottom w:val="single" w:sz="4" w:space="0" w:color="auto"/>
              <w:right w:val="nil"/>
            </w:tcBorders>
            <w:shd w:val="clear" w:color="auto" w:fill="auto"/>
            <w:vAlign w:val="bottom"/>
            <w:hideMark/>
          </w:tcPr>
          <w:p w14:paraId="55743924" w14:textId="77777777" w:rsidR="00BE6461" w:rsidRPr="00BE6461" w:rsidRDefault="00BE6461" w:rsidP="00BE6461">
            <w:pPr>
              <w:rPr>
                <w:b/>
                <w:bCs/>
                <w:sz w:val="20"/>
                <w:szCs w:val="20"/>
              </w:rPr>
            </w:pPr>
            <w:r w:rsidRPr="00BE6461">
              <w:rPr>
                <w:b/>
                <w:bCs/>
                <w:sz w:val="20"/>
                <w:szCs w:val="20"/>
              </w:rPr>
              <w:t>Kapitalni projekt: JAVNA PARKIRALIŠTA - UREĐENI DIJELOVI GRAĐEVINSKOG PODRUČJA</w:t>
            </w:r>
          </w:p>
        </w:tc>
        <w:tc>
          <w:tcPr>
            <w:tcW w:w="1503" w:type="dxa"/>
            <w:tcBorders>
              <w:top w:val="single" w:sz="4" w:space="0" w:color="auto"/>
              <w:left w:val="nil"/>
              <w:bottom w:val="single" w:sz="4" w:space="0" w:color="auto"/>
              <w:right w:val="nil"/>
            </w:tcBorders>
            <w:shd w:val="clear" w:color="auto" w:fill="auto"/>
            <w:noWrap/>
            <w:vAlign w:val="bottom"/>
            <w:hideMark/>
          </w:tcPr>
          <w:p w14:paraId="66C0FBC8" w14:textId="77777777" w:rsidR="00BE6461" w:rsidRPr="00BE6461" w:rsidRDefault="00BE6461" w:rsidP="00BE6461">
            <w:pPr>
              <w:jc w:val="right"/>
              <w:rPr>
                <w:b/>
                <w:bCs/>
                <w:sz w:val="20"/>
                <w:szCs w:val="20"/>
              </w:rPr>
            </w:pPr>
            <w:r w:rsidRPr="00BE6461">
              <w:rPr>
                <w:b/>
                <w:bCs/>
                <w:sz w:val="20"/>
                <w:szCs w:val="20"/>
              </w:rPr>
              <w:t>623.137,50</w:t>
            </w:r>
          </w:p>
        </w:tc>
        <w:tc>
          <w:tcPr>
            <w:tcW w:w="1500" w:type="dxa"/>
            <w:tcBorders>
              <w:top w:val="single" w:sz="4" w:space="0" w:color="auto"/>
              <w:left w:val="nil"/>
              <w:bottom w:val="single" w:sz="4" w:space="0" w:color="auto"/>
              <w:right w:val="nil"/>
            </w:tcBorders>
            <w:shd w:val="clear" w:color="auto" w:fill="auto"/>
            <w:noWrap/>
            <w:vAlign w:val="bottom"/>
            <w:hideMark/>
          </w:tcPr>
          <w:p w14:paraId="14882277" w14:textId="77777777" w:rsidR="00BE6461" w:rsidRPr="00BE6461" w:rsidRDefault="00BE6461" w:rsidP="00BE6461">
            <w:pPr>
              <w:jc w:val="right"/>
              <w:rPr>
                <w:b/>
                <w:bCs/>
                <w:sz w:val="20"/>
                <w:szCs w:val="20"/>
              </w:rPr>
            </w:pPr>
            <w:r w:rsidRPr="00BE6461">
              <w:rPr>
                <w:b/>
                <w:bCs/>
                <w:sz w:val="20"/>
                <w:szCs w:val="20"/>
              </w:rPr>
              <w:t>623.137,50</w:t>
            </w:r>
          </w:p>
        </w:tc>
        <w:tc>
          <w:tcPr>
            <w:tcW w:w="1100" w:type="dxa"/>
            <w:tcBorders>
              <w:top w:val="single" w:sz="4" w:space="0" w:color="auto"/>
              <w:left w:val="nil"/>
              <w:bottom w:val="single" w:sz="4" w:space="0" w:color="auto"/>
              <w:right w:val="nil"/>
            </w:tcBorders>
            <w:shd w:val="clear" w:color="auto" w:fill="auto"/>
            <w:noWrap/>
            <w:vAlign w:val="bottom"/>
            <w:hideMark/>
          </w:tcPr>
          <w:p w14:paraId="459EFDE8"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1AFFB41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8D7544C"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57C9CABD" w14:textId="77777777" w:rsidR="00BE6461" w:rsidRPr="00BE6461" w:rsidRDefault="00BE6461" w:rsidP="00BE6461">
            <w:pPr>
              <w:jc w:val="right"/>
              <w:rPr>
                <w:b/>
                <w:bCs/>
                <w:color w:val="333333"/>
                <w:sz w:val="20"/>
                <w:szCs w:val="20"/>
              </w:rPr>
            </w:pPr>
            <w:r w:rsidRPr="00BE6461">
              <w:rPr>
                <w:b/>
                <w:bCs/>
                <w:color w:val="333333"/>
                <w:sz w:val="20"/>
                <w:szCs w:val="20"/>
              </w:rPr>
              <w:t>623.137,50</w:t>
            </w:r>
          </w:p>
        </w:tc>
        <w:tc>
          <w:tcPr>
            <w:tcW w:w="1500" w:type="dxa"/>
            <w:tcBorders>
              <w:top w:val="nil"/>
              <w:left w:val="nil"/>
              <w:bottom w:val="nil"/>
              <w:right w:val="nil"/>
            </w:tcBorders>
            <w:shd w:val="clear" w:color="auto" w:fill="auto"/>
            <w:noWrap/>
            <w:vAlign w:val="bottom"/>
            <w:hideMark/>
          </w:tcPr>
          <w:p w14:paraId="73739A69" w14:textId="77777777" w:rsidR="00BE6461" w:rsidRPr="00BE6461" w:rsidRDefault="00BE6461" w:rsidP="00BE6461">
            <w:pPr>
              <w:jc w:val="right"/>
              <w:rPr>
                <w:b/>
                <w:bCs/>
                <w:color w:val="333333"/>
                <w:sz w:val="20"/>
                <w:szCs w:val="20"/>
              </w:rPr>
            </w:pPr>
            <w:r w:rsidRPr="00BE6461">
              <w:rPr>
                <w:b/>
                <w:bCs/>
                <w:color w:val="333333"/>
                <w:sz w:val="20"/>
                <w:szCs w:val="20"/>
              </w:rPr>
              <w:t>623.137,50</w:t>
            </w:r>
          </w:p>
        </w:tc>
        <w:tc>
          <w:tcPr>
            <w:tcW w:w="1100" w:type="dxa"/>
            <w:tcBorders>
              <w:top w:val="nil"/>
              <w:left w:val="nil"/>
              <w:bottom w:val="nil"/>
              <w:right w:val="nil"/>
            </w:tcBorders>
            <w:shd w:val="clear" w:color="auto" w:fill="auto"/>
            <w:noWrap/>
            <w:vAlign w:val="bottom"/>
            <w:hideMark/>
          </w:tcPr>
          <w:p w14:paraId="34F7A19C"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228CC76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EABB436" w14:textId="77777777" w:rsidR="00BE6461" w:rsidRPr="00BE6461" w:rsidRDefault="00BE6461" w:rsidP="00BE6461">
            <w:pPr>
              <w:rPr>
                <w:b/>
                <w:bCs/>
                <w:color w:val="333333"/>
                <w:sz w:val="20"/>
                <w:szCs w:val="20"/>
              </w:rPr>
            </w:pPr>
            <w:r w:rsidRPr="00BE6461">
              <w:rPr>
                <w:b/>
                <w:bCs/>
                <w:color w:val="333333"/>
                <w:sz w:val="20"/>
                <w:szCs w:val="20"/>
              </w:rPr>
              <w:t>Izvor 4.2. PRIHODI POSEBNE NAMJENE - KOMUNALNI DOPRINOS</w:t>
            </w:r>
          </w:p>
        </w:tc>
        <w:tc>
          <w:tcPr>
            <w:tcW w:w="1503" w:type="dxa"/>
            <w:tcBorders>
              <w:top w:val="nil"/>
              <w:left w:val="nil"/>
              <w:bottom w:val="nil"/>
              <w:right w:val="nil"/>
            </w:tcBorders>
            <w:shd w:val="clear" w:color="auto" w:fill="auto"/>
            <w:noWrap/>
            <w:vAlign w:val="bottom"/>
            <w:hideMark/>
          </w:tcPr>
          <w:p w14:paraId="7C2D52C1" w14:textId="77777777" w:rsidR="00BE6461" w:rsidRPr="00BE6461" w:rsidRDefault="00BE6461" w:rsidP="00BE6461">
            <w:pPr>
              <w:jc w:val="right"/>
              <w:rPr>
                <w:b/>
                <w:bCs/>
                <w:color w:val="333333"/>
                <w:sz w:val="20"/>
                <w:szCs w:val="20"/>
              </w:rPr>
            </w:pPr>
            <w:r w:rsidRPr="00BE6461">
              <w:rPr>
                <w:b/>
                <w:bCs/>
                <w:color w:val="333333"/>
                <w:sz w:val="20"/>
                <w:szCs w:val="20"/>
              </w:rPr>
              <w:t>623.137,50</w:t>
            </w:r>
          </w:p>
        </w:tc>
        <w:tc>
          <w:tcPr>
            <w:tcW w:w="1500" w:type="dxa"/>
            <w:tcBorders>
              <w:top w:val="nil"/>
              <w:left w:val="nil"/>
              <w:bottom w:val="nil"/>
              <w:right w:val="nil"/>
            </w:tcBorders>
            <w:shd w:val="clear" w:color="auto" w:fill="auto"/>
            <w:noWrap/>
            <w:vAlign w:val="bottom"/>
            <w:hideMark/>
          </w:tcPr>
          <w:p w14:paraId="71CCBFD4" w14:textId="77777777" w:rsidR="00BE6461" w:rsidRPr="00BE6461" w:rsidRDefault="00BE6461" w:rsidP="00BE6461">
            <w:pPr>
              <w:jc w:val="right"/>
              <w:rPr>
                <w:b/>
                <w:bCs/>
                <w:color w:val="333333"/>
                <w:sz w:val="20"/>
                <w:szCs w:val="20"/>
              </w:rPr>
            </w:pPr>
            <w:r w:rsidRPr="00BE6461">
              <w:rPr>
                <w:b/>
                <w:bCs/>
                <w:color w:val="333333"/>
                <w:sz w:val="20"/>
                <w:szCs w:val="20"/>
              </w:rPr>
              <w:t>623.137,50</w:t>
            </w:r>
          </w:p>
        </w:tc>
        <w:tc>
          <w:tcPr>
            <w:tcW w:w="1100" w:type="dxa"/>
            <w:tcBorders>
              <w:top w:val="nil"/>
              <w:left w:val="nil"/>
              <w:bottom w:val="nil"/>
              <w:right w:val="nil"/>
            </w:tcBorders>
            <w:shd w:val="clear" w:color="auto" w:fill="auto"/>
            <w:noWrap/>
            <w:vAlign w:val="bottom"/>
            <w:hideMark/>
          </w:tcPr>
          <w:p w14:paraId="56E822D2"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1210DFB2" w14:textId="77777777" w:rsidTr="00BE6461">
        <w:trPr>
          <w:trHeight w:val="300"/>
        </w:trPr>
        <w:tc>
          <w:tcPr>
            <w:tcW w:w="1703" w:type="dxa"/>
            <w:tcBorders>
              <w:top w:val="nil"/>
              <w:left w:val="nil"/>
              <w:bottom w:val="nil"/>
              <w:right w:val="nil"/>
            </w:tcBorders>
            <w:shd w:val="clear" w:color="auto" w:fill="auto"/>
            <w:noWrap/>
            <w:vAlign w:val="bottom"/>
            <w:hideMark/>
          </w:tcPr>
          <w:p w14:paraId="0DCA9097" w14:textId="77777777" w:rsidR="00BE6461" w:rsidRPr="00BE6461" w:rsidRDefault="00BE6461" w:rsidP="00BE6461">
            <w:pPr>
              <w:rPr>
                <w:b/>
                <w:bCs/>
                <w:sz w:val="20"/>
                <w:szCs w:val="20"/>
              </w:rPr>
            </w:pPr>
            <w:r w:rsidRPr="00BE6461">
              <w:rPr>
                <w:b/>
                <w:bCs/>
                <w:sz w:val="20"/>
                <w:szCs w:val="20"/>
              </w:rPr>
              <w:t>421</w:t>
            </w:r>
          </w:p>
        </w:tc>
        <w:tc>
          <w:tcPr>
            <w:tcW w:w="8457" w:type="dxa"/>
            <w:tcBorders>
              <w:top w:val="nil"/>
              <w:left w:val="nil"/>
              <w:bottom w:val="nil"/>
              <w:right w:val="nil"/>
            </w:tcBorders>
            <w:shd w:val="clear" w:color="auto" w:fill="auto"/>
            <w:vAlign w:val="bottom"/>
            <w:hideMark/>
          </w:tcPr>
          <w:p w14:paraId="2F199FFD" w14:textId="77777777" w:rsidR="00BE6461" w:rsidRPr="00BE6461" w:rsidRDefault="00BE6461" w:rsidP="00BE6461">
            <w:pPr>
              <w:rPr>
                <w:b/>
                <w:bCs/>
                <w:sz w:val="20"/>
                <w:szCs w:val="20"/>
              </w:rPr>
            </w:pPr>
            <w:r w:rsidRPr="00BE6461">
              <w:rPr>
                <w:b/>
                <w:bCs/>
                <w:sz w:val="20"/>
                <w:szCs w:val="20"/>
              </w:rPr>
              <w:t xml:space="preserve">Građevinski objekti                                                                                 </w:t>
            </w:r>
          </w:p>
        </w:tc>
        <w:tc>
          <w:tcPr>
            <w:tcW w:w="1503" w:type="dxa"/>
            <w:tcBorders>
              <w:top w:val="nil"/>
              <w:left w:val="nil"/>
              <w:bottom w:val="nil"/>
              <w:right w:val="nil"/>
            </w:tcBorders>
            <w:shd w:val="clear" w:color="auto" w:fill="auto"/>
            <w:noWrap/>
            <w:vAlign w:val="bottom"/>
            <w:hideMark/>
          </w:tcPr>
          <w:p w14:paraId="051B6A0E" w14:textId="77777777" w:rsidR="00BE6461" w:rsidRPr="00BE6461" w:rsidRDefault="00BE6461" w:rsidP="00BE6461">
            <w:pPr>
              <w:jc w:val="right"/>
              <w:rPr>
                <w:b/>
                <w:bCs/>
                <w:sz w:val="20"/>
                <w:szCs w:val="20"/>
              </w:rPr>
            </w:pPr>
            <w:r w:rsidRPr="00BE6461">
              <w:rPr>
                <w:b/>
                <w:bCs/>
                <w:sz w:val="20"/>
                <w:szCs w:val="20"/>
              </w:rPr>
              <w:t>623.137,50</w:t>
            </w:r>
          </w:p>
        </w:tc>
        <w:tc>
          <w:tcPr>
            <w:tcW w:w="1500" w:type="dxa"/>
            <w:tcBorders>
              <w:top w:val="nil"/>
              <w:left w:val="nil"/>
              <w:bottom w:val="nil"/>
              <w:right w:val="nil"/>
            </w:tcBorders>
            <w:shd w:val="clear" w:color="auto" w:fill="auto"/>
            <w:noWrap/>
            <w:vAlign w:val="bottom"/>
            <w:hideMark/>
          </w:tcPr>
          <w:p w14:paraId="07C056F5" w14:textId="77777777" w:rsidR="00BE6461" w:rsidRPr="00BE6461" w:rsidRDefault="00BE6461" w:rsidP="00BE6461">
            <w:pPr>
              <w:jc w:val="right"/>
              <w:rPr>
                <w:b/>
                <w:bCs/>
                <w:sz w:val="20"/>
                <w:szCs w:val="20"/>
              </w:rPr>
            </w:pPr>
            <w:r w:rsidRPr="00BE6461">
              <w:rPr>
                <w:b/>
                <w:bCs/>
                <w:sz w:val="20"/>
                <w:szCs w:val="20"/>
              </w:rPr>
              <w:t>623.137,50</w:t>
            </w:r>
          </w:p>
        </w:tc>
        <w:tc>
          <w:tcPr>
            <w:tcW w:w="1100" w:type="dxa"/>
            <w:tcBorders>
              <w:top w:val="nil"/>
              <w:left w:val="nil"/>
              <w:bottom w:val="nil"/>
              <w:right w:val="nil"/>
            </w:tcBorders>
            <w:shd w:val="clear" w:color="auto" w:fill="auto"/>
            <w:noWrap/>
            <w:vAlign w:val="bottom"/>
            <w:hideMark/>
          </w:tcPr>
          <w:p w14:paraId="78D4AD7F"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41607940" w14:textId="77777777" w:rsidTr="00BE6461">
        <w:trPr>
          <w:trHeight w:val="300"/>
        </w:trPr>
        <w:tc>
          <w:tcPr>
            <w:tcW w:w="1703" w:type="dxa"/>
            <w:tcBorders>
              <w:top w:val="nil"/>
              <w:left w:val="nil"/>
              <w:bottom w:val="nil"/>
              <w:right w:val="nil"/>
            </w:tcBorders>
            <w:shd w:val="clear" w:color="auto" w:fill="auto"/>
            <w:noWrap/>
            <w:vAlign w:val="bottom"/>
            <w:hideMark/>
          </w:tcPr>
          <w:p w14:paraId="2C625B33" w14:textId="77777777" w:rsidR="00BE6461" w:rsidRPr="00BE6461" w:rsidRDefault="00BE6461" w:rsidP="00BE6461">
            <w:pPr>
              <w:rPr>
                <w:sz w:val="20"/>
                <w:szCs w:val="20"/>
              </w:rPr>
            </w:pPr>
            <w:r w:rsidRPr="00BE6461">
              <w:rPr>
                <w:sz w:val="20"/>
                <w:szCs w:val="20"/>
              </w:rPr>
              <w:t>4213</w:t>
            </w:r>
          </w:p>
        </w:tc>
        <w:tc>
          <w:tcPr>
            <w:tcW w:w="8457" w:type="dxa"/>
            <w:tcBorders>
              <w:top w:val="nil"/>
              <w:left w:val="nil"/>
              <w:bottom w:val="nil"/>
              <w:right w:val="nil"/>
            </w:tcBorders>
            <w:shd w:val="clear" w:color="auto" w:fill="auto"/>
            <w:vAlign w:val="bottom"/>
            <w:hideMark/>
          </w:tcPr>
          <w:p w14:paraId="54517B75" w14:textId="77777777" w:rsidR="00BE6461" w:rsidRPr="00BE6461" w:rsidRDefault="00BE6461" w:rsidP="00BE6461">
            <w:pPr>
              <w:rPr>
                <w:sz w:val="20"/>
                <w:szCs w:val="20"/>
              </w:rPr>
            </w:pPr>
            <w:r w:rsidRPr="00BE6461">
              <w:rPr>
                <w:sz w:val="20"/>
                <w:szCs w:val="20"/>
              </w:rPr>
              <w:t xml:space="preserve">Ceste, željeznice i ostali prometni objekti                                                         </w:t>
            </w:r>
          </w:p>
        </w:tc>
        <w:tc>
          <w:tcPr>
            <w:tcW w:w="1503" w:type="dxa"/>
            <w:tcBorders>
              <w:top w:val="nil"/>
              <w:left w:val="nil"/>
              <w:bottom w:val="nil"/>
              <w:right w:val="nil"/>
            </w:tcBorders>
            <w:shd w:val="clear" w:color="auto" w:fill="auto"/>
            <w:noWrap/>
            <w:vAlign w:val="bottom"/>
            <w:hideMark/>
          </w:tcPr>
          <w:p w14:paraId="54FA1FB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AA015D0" w14:textId="77777777" w:rsidR="00BE6461" w:rsidRPr="00BE6461" w:rsidRDefault="00BE6461" w:rsidP="00BE6461">
            <w:pPr>
              <w:jc w:val="right"/>
              <w:rPr>
                <w:sz w:val="20"/>
                <w:szCs w:val="20"/>
              </w:rPr>
            </w:pPr>
            <w:r w:rsidRPr="00BE6461">
              <w:rPr>
                <w:sz w:val="20"/>
                <w:szCs w:val="20"/>
              </w:rPr>
              <w:t>623.137,50</w:t>
            </w:r>
          </w:p>
        </w:tc>
        <w:tc>
          <w:tcPr>
            <w:tcW w:w="1100" w:type="dxa"/>
            <w:tcBorders>
              <w:top w:val="nil"/>
              <w:left w:val="nil"/>
              <w:bottom w:val="nil"/>
              <w:right w:val="nil"/>
            </w:tcBorders>
            <w:shd w:val="clear" w:color="auto" w:fill="auto"/>
            <w:noWrap/>
            <w:vAlign w:val="bottom"/>
            <w:hideMark/>
          </w:tcPr>
          <w:p w14:paraId="0A718DFA" w14:textId="77777777" w:rsidR="00BE6461" w:rsidRPr="00BE6461" w:rsidRDefault="00BE6461" w:rsidP="00BE6461">
            <w:pPr>
              <w:jc w:val="right"/>
              <w:rPr>
                <w:sz w:val="20"/>
                <w:szCs w:val="20"/>
              </w:rPr>
            </w:pPr>
          </w:p>
        </w:tc>
      </w:tr>
      <w:tr w:rsidR="00BE6461" w:rsidRPr="00BE6461" w14:paraId="642667EC"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2D186664" w14:textId="77777777" w:rsidR="00BE6461" w:rsidRPr="00BE6461" w:rsidRDefault="00BE6461" w:rsidP="00BE6461">
            <w:pPr>
              <w:rPr>
                <w:b/>
                <w:bCs/>
                <w:sz w:val="20"/>
                <w:szCs w:val="20"/>
              </w:rPr>
            </w:pPr>
            <w:r w:rsidRPr="00BE6461">
              <w:rPr>
                <w:b/>
                <w:bCs/>
                <w:sz w:val="20"/>
                <w:szCs w:val="20"/>
              </w:rPr>
              <w:t>K200029</w:t>
            </w:r>
          </w:p>
        </w:tc>
        <w:tc>
          <w:tcPr>
            <w:tcW w:w="8457" w:type="dxa"/>
            <w:tcBorders>
              <w:top w:val="single" w:sz="4" w:space="0" w:color="auto"/>
              <w:left w:val="nil"/>
              <w:bottom w:val="single" w:sz="4" w:space="0" w:color="auto"/>
              <w:right w:val="nil"/>
            </w:tcBorders>
            <w:shd w:val="clear" w:color="auto" w:fill="auto"/>
            <w:vAlign w:val="bottom"/>
            <w:hideMark/>
          </w:tcPr>
          <w:p w14:paraId="1C1CD183" w14:textId="77777777" w:rsidR="00BE6461" w:rsidRPr="00BE6461" w:rsidRDefault="00BE6461" w:rsidP="00BE6461">
            <w:pPr>
              <w:rPr>
                <w:b/>
                <w:bCs/>
                <w:sz w:val="20"/>
                <w:szCs w:val="20"/>
              </w:rPr>
            </w:pPr>
            <w:r w:rsidRPr="00BE6461">
              <w:rPr>
                <w:b/>
                <w:bCs/>
                <w:sz w:val="20"/>
                <w:szCs w:val="20"/>
              </w:rPr>
              <w:t>Kapitalni projekt: JAVNE ZELENE POVRŠINE - UREĐENI DIJELOVI GRAĐEVINSKOG PODRUČJA</w:t>
            </w:r>
          </w:p>
        </w:tc>
        <w:tc>
          <w:tcPr>
            <w:tcW w:w="1503" w:type="dxa"/>
            <w:tcBorders>
              <w:top w:val="single" w:sz="4" w:space="0" w:color="auto"/>
              <w:left w:val="nil"/>
              <w:bottom w:val="single" w:sz="4" w:space="0" w:color="auto"/>
              <w:right w:val="nil"/>
            </w:tcBorders>
            <w:shd w:val="clear" w:color="auto" w:fill="auto"/>
            <w:noWrap/>
            <w:vAlign w:val="bottom"/>
            <w:hideMark/>
          </w:tcPr>
          <w:p w14:paraId="189E577F" w14:textId="77777777" w:rsidR="00BE6461" w:rsidRPr="00BE6461" w:rsidRDefault="00BE6461" w:rsidP="00BE6461">
            <w:pPr>
              <w:jc w:val="right"/>
              <w:rPr>
                <w:b/>
                <w:bCs/>
                <w:sz w:val="20"/>
                <w:szCs w:val="20"/>
              </w:rPr>
            </w:pPr>
            <w:r w:rsidRPr="00BE6461">
              <w:rPr>
                <w:b/>
                <w:bCs/>
                <w:sz w:val="20"/>
                <w:szCs w:val="20"/>
              </w:rPr>
              <w:t>180.118,75</w:t>
            </w:r>
          </w:p>
        </w:tc>
        <w:tc>
          <w:tcPr>
            <w:tcW w:w="1500" w:type="dxa"/>
            <w:tcBorders>
              <w:top w:val="single" w:sz="4" w:space="0" w:color="auto"/>
              <w:left w:val="nil"/>
              <w:bottom w:val="single" w:sz="4" w:space="0" w:color="auto"/>
              <w:right w:val="nil"/>
            </w:tcBorders>
            <w:shd w:val="clear" w:color="auto" w:fill="auto"/>
            <w:noWrap/>
            <w:vAlign w:val="bottom"/>
            <w:hideMark/>
          </w:tcPr>
          <w:p w14:paraId="0D8F72DD" w14:textId="77777777" w:rsidR="00BE6461" w:rsidRPr="00BE6461" w:rsidRDefault="00BE6461" w:rsidP="00BE6461">
            <w:pPr>
              <w:jc w:val="right"/>
              <w:rPr>
                <w:b/>
                <w:bCs/>
                <w:sz w:val="20"/>
                <w:szCs w:val="20"/>
              </w:rPr>
            </w:pPr>
            <w:r w:rsidRPr="00BE6461">
              <w:rPr>
                <w:b/>
                <w:bCs/>
                <w:sz w:val="20"/>
                <w:szCs w:val="20"/>
              </w:rPr>
              <w:t>180.118,75</w:t>
            </w:r>
          </w:p>
        </w:tc>
        <w:tc>
          <w:tcPr>
            <w:tcW w:w="1100" w:type="dxa"/>
            <w:tcBorders>
              <w:top w:val="single" w:sz="4" w:space="0" w:color="auto"/>
              <w:left w:val="nil"/>
              <w:bottom w:val="single" w:sz="4" w:space="0" w:color="auto"/>
              <w:right w:val="nil"/>
            </w:tcBorders>
            <w:shd w:val="clear" w:color="auto" w:fill="auto"/>
            <w:noWrap/>
            <w:vAlign w:val="bottom"/>
            <w:hideMark/>
          </w:tcPr>
          <w:p w14:paraId="533645F3"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3005432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06DB11C"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7B3059FB" w14:textId="77777777" w:rsidR="00BE6461" w:rsidRPr="00BE6461" w:rsidRDefault="00BE6461" w:rsidP="00BE6461">
            <w:pPr>
              <w:jc w:val="right"/>
              <w:rPr>
                <w:b/>
                <w:bCs/>
                <w:color w:val="333333"/>
                <w:sz w:val="20"/>
                <w:szCs w:val="20"/>
              </w:rPr>
            </w:pPr>
            <w:r w:rsidRPr="00BE6461">
              <w:rPr>
                <w:b/>
                <w:bCs/>
                <w:color w:val="333333"/>
                <w:sz w:val="20"/>
                <w:szCs w:val="20"/>
              </w:rPr>
              <w:t>180.118,75</w:t>
            </w:r>
          </w:p>
        </w:tc>
        <w:tc>
          <w:tcPr>
            <w:tcW w:w="1500" w:type="dxa"/>
            <w:tcBorders>
              <w:top w:val="nil"/>
              <w:left w:val="nil"/>
              <w:bottom w:val="nil"/>
              <w:right w:val="nil"/>
            </w:tcBorders>
            <w:shd w:val="clear" w:color="auto" w:fill="auto"/>
            <w:noWrap/>
            <w:vAlign w:val="bottom"/>
            <w:hideMark/>
          </w:tcPr>
          <w:p w14:paraId="08F8F816" w14:textId="77777777" w:rsidR="00BE6461" w:rsidRPr="00BE6461" w:rsidRDefault="00BE6461" w:rsidP="00BE6461">
            <w:pPr>
              <w:jc w:val="right"/>
              <w:rPr>
                <w:b/>
                <w:bCs/>
                <w:color w:val="333333"/>
                <w:sz w:val="20"/>
                <w:szCs w:val="20"/>
              </w:rPr>
            </w:pPr>
            <w:r w:rsidRPr="00BE6461">
              <w:rPr>
                <w:b/>
                <w:bCs/>
                <w:color w:val="333333"/>
                <w:sz w:val="20"/>
                <w:szCs w:val="20"/>
              </w:rPr>
              <w:t>180.118,75</w:t>
            </w:r>
          </w:p>
        </w:tc>
        <w:tc>
          <w:tcPr>
            <w:tcW w:w="1100" w:type="dxa"/>
            <w:tcBorders>
              <w:top w:val="nil"/>
              <w:left w:val="nil"/>
              <w:bottom w:val="nil"/>
              <w:right w:val="nil"/>
            </w:tcBorders>
            <w:shd w:val="clear" w:color="auto" w:fill="auto"/>
            <w:noWrap/>
            <w:vAlign w:val="bottom"/>
            <w:hideMark/>
          </w:tcPr>
          <w:p w14:paraId="525207E2"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3964B2D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4EE88D5" w14:textId="77777777" w:rsidR="00BE6461" w:rsidRPr="00BE6461" w:rsidRDefault="00BE6461" w:rsidP="00BE6461">
            <w:pPr>
              <w:rPr>
                <w:b/>
                <w:bCs/>
                <w:color w:val="333333"/>
                <w:sz w:val="20"/>
                <w:szCs w:val="20"/>
              </w:rPr>
            </w:pPr>
            <w:r w:rsidRPr="00BE6461">
              <w:rPr>
                <w:b/>
                <w:bCs/>
                <w:color w:val="333333"/>
                <w:sz w:val="20"/>
                <w:szCs w:val="20"/>
              </w:rPr>
              <w:t>Izvor 4.2. PRIHODI POSEBNE NAMJENE - KOMUNALNI DOPRINOS</w:t>
            </w:r>
          </w:p>
        </w:tc>
        <w:tc>
          <w:tcPr>
            <w:tcW w:w="1503" w:type="dxa"/>
            <w:tcBorders>
              <w:top w:val="nil"/>
              <w:left w:val="nil"/>
              <w:bottom w:val="nil"/>
              <w:right w:val="nil"/>
            </w:tcBorders>
            <w:shd w:val="clear" w:color="auto" w:fill="auto"/>
            <w:noWrap/>
            <w:vAlign w:val="bottom"/>
            <w:hideMark/>
          </w:tcPr>
          <w:p w14:paraId="5E0446C4" w14:textId="77777777" w:rsidR="00BE6461" w:rsidRPr="00BE6461" w:rsidRDefault="00BE6461" w:rsidP="00BE6461">
            <w:pPr>
              <w:jc w:val="right"/>
              <w:rPr>
                <w:b/>
                <w:bCs/>
                <w:color w:val="333333"/>
                <w:sz w:val="20"/>
                <w:szCs w:val="20"/>
              </w:rPr>
            </w:pPr>
            <w:r w:rsidRPr="00BE6461">
              <w:rPr>
                <w:b/>
                <w:bCs/>
                <w:color w:val="333333"/>
                <w:sz w:val="20"/>
                <w:szCs w:val="20"/>
              </w:rPr>
              <w:t>180.118,75</w:t>
            </w:r>
          </w:p>
        </w:tc>
        <w:tc>
          <w:tcPr>
            <w:tcW w:w="1500" w:type="dxa"/>
            <w:tcBorders>
              <w:top w:val="nil"/>
              <w:left w:val="nil"/>
              <w:bottom w:val="nil"/>
              <w:right w:val="nil"/>
            </w:tcBorders>
            <w:shd w:val="clear" w:color="auto" w:fill="auto"/>
            <w:noWrap/>
            <w:vAlign w:val="bottom"/>
            <w:hideMark/>
          </w:tcPr>
          <w:p w14:paraId="651BC2EA" w14:textId="77777777" w:rsidR="00BE6461" w:rsidRPr="00BE6461" w:rsidRDefault="00BE6461" w:rsidP="00BE6461">
            <w:pPr>
              <w:jc w:val="right"/>
              <w:rPr>
                <w:b/>
                <w:bCs/>
                <w:color w:val="333333"/>
                <w:sz w:val="20"/>
                <w:szCs w:val="20"/>
              </w:rPr>
            </w:pPr>
            <w:r w:rsidRPr="00BE6461">
              <w:rPr>
                <w:b/>
                <w:bCs/>
                <w:color w:val="333333"/>
                <w:sz w:val="20"/>
                <w:szCs w:val="20"/>
              </w:rPr>
              <w:t>180.118,75</w:t>
            </w:r>
          </w:p>
        </w:tc>
        <w:tc>
          <w:tcPr>
            <w:tcW w:w="1100" w:type="dxa"/>
            <w:tcBorders>
              <w:top w:val="nil"/>
              <w:left w:val="nil"/>
              <w:bottom w:val="nil"/>
              <w:right w:val="nil"/>
            </w:tcBorders>
            <w:shd w:val="clear" w:color="auto" w:fill="auto"/>
            <w:noWrap/>
            <w:vAlign w:val="bottom"/>
            <w:hideMark/>
          </w:tcPr>
          <w:p w14:paraId="7511728E"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70974A1D" w14:textId="77777777" w:rsidTr="00BE6461">
        <w:trPr>
          <w:trHeight w:val="300"/>
        </w:trPr>
        <w:tc>
          <w:tcPr>
            <w:tcW w:w="1703" w:type="dxa"/>
            <w:tcBorders>
              <w:top w:val="nil"/>
              <w:left w:val="nil"/>
              <w:bottom w:val="nil"/>
              <w:right w:val="nil"/>
            </w:tcBorders>
            <w:shd w:val="clear" w:color="auto" w:fill="auto"/>
            <w:noWrap/>
            <w:vAlign w:val="bottom"/>
            <w:hideMark/>
          </w:tcPr>
          <w:p w14:paraId="672DA251" w14:textId="77777777" w:rsidR="00BE6461" w:rsidRPr="00BE6461" w:rsidRDefault="00BE6461" w:rsidP="00BE6461">
            <w:pPr>
              <w:rPr>
                <w:b/>
                <w:bCs/>
                <w:sz w:val="20"/>
                <w:szCs w:val="20"/>
              </w:rPr>
            </w:pPr>
            <w:r w:rsidRPr="00BE6461">
              <w:rPr>
                <w:b/>
                <w:bCs/>
                <w:sz w:val="20"/>
                <w:szCs w:val="20"/>
              </w:rPr>
              <w:t>422</w:t>
            </w:r>
          </w:p>
        </w:tc>
        <w:tc>
          <w:tcPr>
            <w:tcW w:w="8457" w:type="dxa"/>
            <w:tcBorders>
              <w:top w:val="nil"/>
              <w:left w:val="nil"/>
              <w:bottom w:val="nil"/>
              <w:right w:val="nil"/>
            </w:tcBorders>
            <w:shd w:val="clear" w:color="auto" w:fill="auto"/>
            <w:vAlign w:val="bottom"/>
            <w:hideMark/>
          </w:tcPr>
          <w:p w14:paraId="5CB8F0D0" w14:textId="77777777" w:rsidR="00BE6461" w:rsidRPr="00BE6461" w:rsidRDefault="00BE6461" w:rsidP="00BE6461">
            <w:pPr>
              <w:rPr>
                <w:b/>
                <w:bCs/>
                <w:sz w:val="20"/>
                <w:szCs w:val="20"/>
              </w:rPr>
            </w:pPr>
            <w:r w:rsidRPr="00BE6461">
              <w:rPr>
                <w:b/>
                <w:bCs/>
                <w:sz w:val="20"/>
                <w:szCs w:val="20"/>
              </w:rPr>
              <w:t xml:space="preserve">Postrojenja i oprema                                                                                </w:t>
            </w:r>
          </w:p>
        </w:tc>
        <w:tc>
          <w:tcPr>
            <w:tcW w:w="1503" w:type="dxa"/>
            <w:tcBorders>
              <w:top w:val="nil"/>
              <w:left w:val="nil"/>
              <w:bottom w:val="nil"/>
              <w:right w:val="nil"/>
            </w:tcBorders>
            <w:shd w:val="clear" w:color="auto" w:fill="auto"/>
            <w:noWrap/>
            <w:vAlign w:val="bottom"/>
            <w:hideMark/>
          </w:tcPr>
          <w:p w14:paraId="3DFB5146" w14:textId="77777777" w:rsidR="00BE6461" w:rsidRPr="00BE6461" w:rsidRDefault="00BE6461" w:rsidP="00BE6461">
            <w:pPr>
              <w:jc w:val="right"/>
              <w:rPr>
                <w:b/>
                <w:bCs/>
                <w:sz w:val="20"/>
                <w:szCs w:val="20"/>
              </w:rPr>
            </w:pPr>
            <w:r w:rsidRPr="00BE6461">
              <w:rPr>
                <w:b/>
                <w:bCs/>
                <w:sz w:val="20"/>
                <w:szCs w:val="20"/>
              </w:rPr>
              <w:t>180.118,75</w:t>
            </w:r>
          </w:p>
        </w:tc>
        <w:tc>
          <w:tcPr>
            <w:tcW w:w="1500" w:type="dxa"/>
            <w:tcBorders>
              <w:top w:val="nil"/>
              <w:left w:val="nil"/>
              <w:bottom w:val="nil"/>
              <w:right w:val="nil"/>
            </w:tcBorders>
            <w:shd w:val="clear" w:color="auto" w:fill="auto"/>
            <w:noWrap/>
            <w:vAlign w:val="bottom"/>
            <w:hideMark/>
          </w:tcPr>
          <w:p w14:paraId="6D69D1FA" w14:textId="77777777" w:rsidR="00BE6461" w:rsidRPr="00BE6461" w:rsidRDefault="00BE6461" w:rsidP="00BE6461">
            <w:pPr>
              <w:jc w:val="right"/>
              <w:rPr>
                <w:b/>
                <w:bCs/>
                <w:sz w:val="20"/>
                <w:szCs w:val="20"/>
              </w:rPr>
            </w:pPr>
            <w:r w:rsidRPr="00BE6461">
              <w:rPr>
                <w:b/>
                <w:bCs/>
                <w:sz w:val="20"/>
                <w:szCs w:val="20"/>
              </w:rPr>
              <w:t>180.118,75</w:t>
            </w:r>
          </w:p>
        </w:tc>
        <w:tc>
          <w:tcPr>
            <w:tcW w:w="1100" w:type="dxa"/>
            <w:tcBorders>
              <w:top w:val="nil"/>
              <w:left w:val="nil"/>
              <w:bottom w:val="nil"/>
              <w:right w:val="nil"/>
            </w:tcBorders>
            <w:shd w:val="clear" w:color="auto" w:fill="auto"/>
            <w:noWrap/>
            <w:vAlign w:val="bottom"/>
            <w:hideMark/>
          </w:tcPr>
          <w:p w14:paraId="0FA96513"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7AEFC12D" w14:textId="77777777" w:rsidTr="00BE6461">
        <w:trPr>
          <w:trHeight w:val="300"/>
        </w:trPr>
        <w:tc>
          <w:tcPr>
            <w:tcW w:w="1703" w:type="dxa"/>
            <w:tcBorders>
              <w:top w:val="nil"/>
              <w:left w:val="nil"/>
              <w:bottom w:val="nil"/>
              <w:right w:val="nil"/>
            </w:tcBorders>
            <w:shd w:val="clear" w:color="auto" w:fill="auto"/>
            <w:noWrap/>
            <w:vAlign w:val="bottom"/>
            <w:hideMark/>
          </w:tcPr>
          <w:p w14:paraId="77032DEC" w14:textId="77777777" w:rsidR="00BE6461" w:rsidRPr="00BE6461" w:rsidRDefault="00BE6461" w:rsidP="00BE6461">
            <w:pPr>
              <w:rPr>
                <w:sz w:val="20"/>
                <w:szCs w:val="20"/>
              </w:rPr>
            </w:pPr>
            <w:r w:rsidRPr="00BE6461">
              <w:rPr>
                <w:sz w:val="20"/>
                <w:szCs w:val="20"/>
              </w:rPr>
              <w:t>4227</w:t>
            </w:r>
          </w:p>
        </w:tc>
        <w:tc>
          <w:tcPr>
            <w:tcW w:w="8457" w:type="dxa"/>
            <w:tcBorders>
              <w:top w:val="nil"/>
              <w:left w:val="nil"/>
              <w:bottom w:val="nil"/>
              <w:right w:val="nil"/>
            </w:tcBorders>
            <w:shd w:val="clear" w:color="auto" w:fill="auto"/>
            <w:vAlign w:val="bottom"/>
            <w:hideMark/>
          </w:tcPr>
          <w:p w14:paraId="5005AC72" w14:textId="77777777" w:rsidR="00BE6461" w:rsidRPr="00BE6461" w:rsidRDefault="00BE6461" w:rsidP="00BE6461">
            <w:pPr>
              <w:rPr>
                <w:sz w:val="20"/>
                <w:szCs w:val="20"/>
              </w:rPr>
            </w:pPr>
            <w:r w:rsidRPr="00BE6461">
              <w:rPr>
                <w:sz w:val="20"/>
                <w:szCs w:val="20"/>
              </w:rPr>
              <w:t xml:space="preserve">Uređaji, strojevi i oprema za ostale namjene                                                        </w:t>
            </w:r>
          </w:p>
        </w:tc>
        <w:tc>
          <w:tcPr>
            <w:tcW w:w="1503" w:type="dxa"/>
            <w:tcBorders>
              <w:top w:val="nil"/>
              <w:left w:val="nil"/>
              <w:bottom w:val="nil"/>
              <w:right w:val="nil"/>
            </w:tcBorders>
            <w:shd w:val="clear" w:color="auto" w:fill="auto"/>
            <w:noWrap/>
            <w:vAlign w:val="bottom"/>
            <w:hideMark/>
          </w:tcPr>
          <w:p w14:paraId="04B5790B"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0F1567D" w14:textId="77777777" w:rsidR="00BE6461" w:rsidRPr="00BE6461" w:rsidRDefault="00BE6461" w:rsidP="00BE6461">
            <w:pPr>
              <w:jc w:val="right"/>
              <w:rPr>
                <w:sz w:val="20"/>
                <w:szCs w:val="20"/>
              </w:rPr>
            </w:pPr>
            <w:r w:rsidRPr="00BE6461">
              <w:rPr>
                <w:sz w:val="20"/>
                <w:szCs w:val="20"/>
              </w:rPr>
              <w:t>180.118,75</w:t>
            </w:r>
          </w:p>
        </w:tc>
        <w:tc>
          <w:tcPr>
            <w:tcW w:w="1100" w:type="dxa"/>
            <w:tcBorders>
              <w:top w:val="nil"/>
              <w:left w:val="nil"/>
              <w:bottom w:val="nil"/>
              <w:right w:val="nil"/>
            </w:tcBorders>
            <w:shd w:val="clear" w:color="auto" w:fill="auto"/>
            <w:noWrap/>
            <w:vAlign w:val="bottom"/>
            <w:hideMark/>
          </w:tcPr>
          <w:p w14:paraId="058FDBCB" w14:textId="77777777" w:rsidR="00BE6461" w:rsidRPr="00BE6461" w:rsidRDefault="00BE6461" w:rsidP="00BE6461">
            <w:pPr>
              <w:jc w:val="right"/>
              <w:rPr>
                <w:sz w:val="20"/>
                <w:szCs w:val="20"/>
              </w:rPr>
            </w:pPr>
          </w:p>
        </w:tc>
      </w:tr>
      <w:tr w:rsidR="00BE6461" w:rsidRPr="00BE6461" w14:paraId="04891A43"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5AD2D1A8" w14:textId="77777777" w:rsidR="00BE6461" w:rsidRPr="00BE6461" w:rsidRDefault="00BE6461" w:rsidP="00BE6461">
            <w:pPr>
              <w:rPr>
                <w:b/>
                <w:bCs/>
                <w:sz w:val="20"/>
                <w:szCs w:val="20"/>
              </w:rPr>
            </w:pPr>
            <w:r w:rsidRPr="00BE6461">
              <w:rPr>
                <w:b/>
                <w:bCs/>
                <w:sz w:val="20"/>
                <w:szCs w:val="20"/>
              </w:rPr>
              <w:t>K200030</w:t>
            </w:r>
          </w:p>
        </w:tc>
        <w:tc>
          <w:tcPr>
            <w:tcW w:w="8457" w:type="dxa"/>
            <w:tcBorders>
              <w:top w:val="single" w:sz="4" w:space="0" w:color="auto"/>
              <w:left w:val="nil"/>
              <w:bottom w:val="single" w:sz="4" w:space="0" w:color="auto"/>
              <w:right w:val="nil"/>
            </w:tcBorders>
            <w:shd w:val="clear" w:color="auto" w:fill="auto"/>
            <w:vAlign w:val="bottom"/>
            <w:hideMark/>
          </w:tcPr>
          <w:p w14:paraId="64C2130A" w14:textId="77777777" w:rsidR="00BE6461" w:rsidRPr="00BE6461" w:rsidRDefault="00BE6461" w:rsidP="00BE6461">
            <w:pPr>
              <w:rPr>
                <w:b/>
                <w:bCs/>
                <w:sz w:val="20"/>
                <w:szCs w:val="20"/>
              </w:rPr>
            </w:pPr>
            <w:r w:rsidRPr="00BE6461">
              <w:rPr>
                <w:b/>
                <w:bCs/>
                <w:sz w:val="20"/>
                <w:szCs w:val="20"/>
              </w:rPr>
              <w:t>Kapitalni projekt: JAVNA RASVJETA - UREĐENI DIJELOVI GRAĐEVINSKOG PODRUČJA</w:t>
            </w:r>
          </w:p>
        </w:tc>
        <w:tc>
          <w:tcPr>
            <w:tcW w:w="1503" w:type="dxa"/>
            <w:tcBorders>
              <w:top w:val="single" w:sz="4" w:space="0" w:color="auto"/>
              <w:left w:val="nil"/>
              <w:bottom w:val="single" w:sz="4" w:space="0" w:color="auto"/>
              <w:right w:val="nil"/>
            </w:tcBorders>
            <w:shd w:val="clear" w:color="auto" w:fill="auto"/>
            <w:noWrap/>
            <w:vAlign w:val="bottom"/>
            <w:hideMark/>
          </w:tcPr>
          <w:p w14:paraId="04614DE3" w14:textId="77777777" w:rsidR="00BE6461" w:rsidRPr="00BE6461" w:rsidRDefault="00BE6461" w:rsidP="00BE6461">
            <w:pPr>
              <w:jc w:val="right"/>
              <w:rPr>
                <w:b/>
                <w:bCs/>
                <w:sz w:val="20"/>
                <w:szCs w:val="20"/>
              </w:rPr>
            </w:pPr>
            <w:r w:rsidRPr="00BE6461">
              <w:rPr>
                <w:b/>
                <w:bCs/>
                <w:sz w:val="20"/>
                <w:szCs w:val="20"/>
              </w:rPr>
              <w:t>442.953,98</w:t>
            </w:r>
          </w:p>
        </w:tc>
        <w:tc>
          <w:tcPr>
            <w:tcW w:w="1500" w:type="dxa"/>
            <w:tcBorders>
              <w:top w:val="single" w:sz="4" w:space="0" w:color="auto"/>
              <w:left w:val="nil"/>
              <w:bottom w:val="single" w:sz="4" w:space="0" w:color="auto"/>
              <w:right w:val="nil"/>
            </w:tcBorders>
            <w:shd w:val="clear" w:color="auto" w:fill="auto"/>
            <w:noWrap/>
            <w:vAlign w:val="bottom"/>
            <w:hideMark/>
          </w:tcPr>
          <w:p w14:paraId="23F5BC7B" w14:textId="77777777" w:rsidR="00BE6461" w:rsidRPr="00BE6461" w:rsidRDefault="00BE6461" w:rsidP="00BE6461">
            <w:pPr>
              <w:jc w:val="right"/>
              <w:rPr>
                <w:b/>
                <w:bCs/>
                <w:sz w:val="20"/>
                <w:szCs w:val="20"/>
              </w:rPr>
            </w:pPr>
            <w:r w:rsidRPr="00BE6461">
              <w:rPr>
                <w:b/>
                <w:bCs/>
                <w:sz w:val="20"/>
                <w:szCs w:val="20"/>
              </w:rPr>
              <w:t>442.953,98</w:t>
            </w:r>
          </w:p>
        </w:tc>
        <w:tc>
          <w:tcPr>
            <w:tcW w:w="1100" w:type="dxa"/>
            <w:tcBorders>
              <w:top w:val="single" w:sz="4" w:space="0" w:color="auto"/>
              <w:left w:val="nil"/>
              <w:bottom w:val="single" w:sz="4" w:space="0" w:color="auto"/>
              <w:right w:val="nil"/>
            </w:tcBorders>
            <w:shd w:val="clear" w:color="auto" w:fill="auto"/>
            <w:noWrap/>
            <w:vAlign w:val="bottom"/>
            <w:hideMark/>
          </w:tcPr>
          <w:p w14:paraId="254C8B4F"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57A021D5"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AC13789"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017C4948" w14:textId="77777777" w:rsidR="00BE6461" w:rsidRPr="00BE6461" w:rsidRDefault="00BE6461" w:rsidP="00BE6461">
            <w:pPr>
              <w:jc w:val="right"/>
              <w:rPr>
                <w:b/>
                <w:bCs/>
                <w:color w:val="333333"/>
                <w:sz w:val="20"/>
                <w:szCs w:val="20"/>
              </w:rPr>
            </w:pPr>
            <w:r w:rsidRPr="00BE6461">
              <w:rPr>
                <w:b/>
                <w:bCs/>
                <w:color w:val="333333"/>
                <w:sz w:val="20"/>
                <w:szCs w:val="20"/>
              </w:rPr>
              <w:t>442.953,98</w:t>
            </w:r>
          </w:p>
        </w:tc>
        <w:tc>
          <w:tcPr>
            <w:tcW w:w="1500" w:type="dxa"/>
            <w:tcBorders>
              <w:top w:val="nil"/>
              <w:left w:val="nil"/>
              <w:bottom w:val="nil"/>
              <w:right w:val="nil"/>
            </w:tcBorders>
            <w:shd w:val="clear" w:color="auto" w:fill="auto"/>
            <w:noWrap/>
            <w:vAlign w:val="bottom"/>
            <w:hideMark/>
          </w:tcPr>
          <w:p w14:paraId="1813FFB6" w14:textId="77777777" w:rsidR="00BE6461" w:rsidRPr="00BE6461" w:rsidRDefault="00BE6461" w:rsidP="00BE6461">
            <w:pPr>
              <w:jc w:val="right"/>
              <w:rPr>
                <w:b/>
                <w:bCs/>
                <w:color w:val="333333"/>
                <w:sz w:val="20"/>
                <w:szCs w:val="20"/>
              </w:rPr>
            </w:pPr>
            <w:r w:rsidRPr="00BE6461">
              <w:rPr>
                <w:b/>
                <w:bCs/>
                <w:color w:val="333333"/>
                <w:sz w:val="20"/>
                <w:szCs w:val="20"/>
              </w:rPr>
              <w:t>442.953,98</w:t>
            </w:r>
          </w:p>
        </w:tc>
        <w:tc>
          <w:tcPr>
            <w:tcW w:w="1100" w:type="dxa"/>
            <w:tcBorders>
              <w:top w:val="nil"/>
              <w:left w:val="nil"/>
              <w:bottom w:val="nil"/>
              <w:right w:val="nil"/>
            </w:tcBorders>
            <w:shd w:val="clear" w:color="auto" w:fill="auto"/>
            <w:noWrap/>
            <w:vAlign w:val="bottom"/>
            <w:hideMark/>
          </w:tcPr>
          <w:p w14:paraId="5245B791"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3A01BD2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53EDCF8" w14:textId="77777777" w:rsidR="00BE6461" w:rsidRPr="00BE6461" w:rsidRDefault="00BE6461" w:rsidP="00BE6461">
            <w:pPr>
              <w:rPr>
                <w:b/>
                <w:bCs/>
                <w:color w:val="333333"/>
                <w:sz w:val="20"/>
                <w:szCs w:val="20"/>
              </w:rPr>
            </w:pPr>
            <w:r w:rsidRPr="00BE6461">
              <w:rPr>
                <w:b/>
                <w:bCs/>
                <w:color w:val="333333"/>
                <w:sz w:val="20"/>
                <w:szCs w:val="20"/>
              </w:rPr>
              <w:t>Izvor 4.2. PRIHODI POSEBNE NAMJENE - KOMUNALNI DOPRINOS</w:t>
            </w:r>
          </w:p>
        </w:tc>
        <w:tc>
          <w:tcPr>
            <w:tcW w:w="1503" w:type="dxa"/>
            <w:tcBorders>
              <w:top w:val="nil"/>
              <w:left w:val="nil"/>
              <w:bottom w:val="nil"/>
              <w:right w:val="nil"/>
            </w:tcBorders>
            <w:shd w:val="clear" w:color="auto" w:fill="auto"/>
            <w:noWrap/>
            <w:vAlign w:val="bottom"/>
            <w:hideMark/>
          </w:tcPr>
          <w:p w14:paraId="47AFE1D9" w14:textId="77777777" w:rsidR="00BE6461" w:rsidRPr="00BE6461" w:rsidRDefault="00BE6461" w:rsidP="00BE6461">
            <w:pPr>
              <w:jc w:val="right"/>
              <w:rPr>
                <w:b/>
                <w:bCs/>
                <w:color w:val="333333"/>
                <w:sz w:val="20"/>
                <w:szCs w:val="20"/>
              </w:rPr>
            </w:pPr>
            <w:r w:rsidRPr="00BE6461">
              <w:rPr>
                <w:b/>
                <w:bCs/>
                <w:color w:val="333333"/>
                <w:sz w:val="20"/>
                <w:szCs w:val="20"/>
              </w:rPr>
              <w:t>442.953,98</w:t>
            </w:r>
          </w:p>
        </w:tc>
        <w:tc>
          <w:tcPr>
            <w:tcW w:w="1500" w:type="dxa"/>
            <w:tcBorders>
              <w:top w:val="nil"/>
              <w:left w:val="nil"/>
              <w:bottom w:val="nil"/>
              <w:right w:val="nil"/>
            </w:tcBorders>
            <w:shd w:val="clear" w:color="auto" w:fill="auto"/>
            <w:noWrap/>
            <w:vAlign w:val="bottom"/>
            <w:hideMark/>
          </w:tcPr>
          <w:p w14:paraId="41780DCF" w14:textId="77777777" w:rsidR="00BE6461" w:rsidRPr="00BE6461" w:rsidRDefault="00BE6461" w:rsidP="00BE6461">
            <w:pPr>
              <w:jc w:val="right"/>
              <w:rPr>
                <w:b/>
                <w:bCs/>
                <w:color w:val="333333"/>
                <w:sz w:val="20"/>
                <w:szCs w:val="20"/>
              </w:rPr>
            </w:pPr>
            <w:r w:rsidRPr="00BE6461">
              <w:rPr>
                <w:b/>
                <w:bCs/>
                <w:color w:val="333333"/>
                <w:sz w:val="20"/>
                <w:szCs w:val="20"/>
              </w:rPr>
              <w:t>442.953,98</w:t>
            </w:r>
          </w:p>
        </w:tc>
        <w:tc>
          <w:tcPr>
            <w:tcW w:w="1100" w:type="dxa"/>
            <w:tcBorders>
              <w:top w:val="nil"/>
              <w:left w:val="nil"/>
              <w:bottom w:val="nil"/>
              <w:right w:val="nil"/>
            </w:tcBorders>
            <w:shd w:val="clear" w:color="auto" w:fill="auto"/>
            <w:noWrap/>
            <w:vAlign w:val="bottom"/>
            <w:hideMark/>
          </w:tcPr>
          <w:p w14:paraId="35B69F15"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502FDB67" w14:textId="77777777" w:rsidTr="00BE6461">
        <w:trPr>
          <w:trHeight w:val="300"/>
        </w:trPr>
        <w:tc>
          <w:tcPr>
            <w:tcW w:w="1703" w:type="dxa"/>
            <w:tcBorders>
              <w:top w:val="nil"/>
              <w:left w:val="nil"/>
              <w:bottom w:val="nil"/>
              <w:right w:val="nil"/>
            </w:tcBorders>
            <w:shd w:val="clear" w:color="auto" w:fill="auto"/>
            <w:noWrap/>
            <w:vAlign w:val="bottom"/>
            <w:hideMark/>
          </w:tcPr>
          <w:p w14:paraId="6FC23072" w14:textId="77777777" w:rsidR="00BE6461" w:rsidRPr="00BE6461" w:rsidRDefault="00BE6461" w:rsidP="00BE6461">
            <w:pPr>
              <w:rPr>
                <w:b/>
                <w:bCs/>
                <w:sz w:val="20"/>
                <w:szCs w:val="20"/>
              </w:rPr>
            </w:pPr>
            <w:r w:rsidRPr="00BE6461">
              <w:rPr>
                <w:b/>
                <w:bCs/>
                <w:sz w:val="20"/>
                <w:szCs w:val="20"/>
              </w:rPr>
              <w:t>451</w:t>
            </w:r>
          </w:p>
        </w:tc>
        <w:tc>
          <w:tcPr>
            <w:tcW w:w="8457" w:type="dxa"/>
            <w:tcBorders>
              <w:top w:val="nil"/>
              <w:left w:val="nil"/>
              <w:bottom w:val="nil"/>
              <w:right w:val="nil"/>
            </w:tcBorders>
            <w:shd w:val="clear" w:color="auto" w:fill="auto"/>
            <w:vAlign w:val="bottom"/>
            <w:hideMark/>
          </w:tcPr>
          <w:p w14:paraId="07C976DC" w14:textId="77777777" w:rsidR="00BE6461" w:rsidRPr="00BE6461" w:rsidRDefault="00BE6461" w:rsidP="00BE6461">
            <w:pPr>
              <w:rPr>
                <w:b/>
                <w:bCs/>
                <w:sz w:val="20"/>
                <w:szCs w:val="20"/>
              </w:rPr>
            </w:pPr>
            <w:r w:rsidRPr="00BE6461">
              <w:rPr>
                <w:b/>
                <w:bCs/>
                <w:sz w:val="20"/>
                <w:szCs w:val="20"/>
              </w:rPr>
              <w:t xml:space="preserve">Dodatna ulaganja na građevinskim objektima                                                          </w:t>
            </w:r>
          </w:p>
        </w:tc>
        <w:tc>
          <w:tcPr>
            <w:tcW w:w="1503" w:type="dxa"/>
            <w:tcBorders>
              <w:top w:val="nil"/>
              <w:left w:val="nil"/>
              <w:bottom w:val="nil"/>
              <w:right w:val="nil"/>
            </w:tcBorders>
            <w:shd w:val="clear" w:color="auto" w:fill="auto"/>
            <w:noWrap/>
            <w:vAlign w:val="bottom"/>
            <w:hideMark/>
          </w:tcPr>
          <w:p w14:paraId="56E189B2" w14:textId="77777777" w:rsidR="00BE6461" w:rsidRPr="00BE6461" w:rsidRDefault="00BE6461" w:rsidP="00BE6461">
            <w:pPr>
              <w:jc w:val="right"/>
              <w:rPr>
                <w:b/>
                <w:bCs/>
                <w:sz w:val="20"/>
                <w:szCs w:val="20"/>
              </w:rPr>
            </w:pPr>
            <w:r w:rsidRPr="00BE6461">
              <w:rPr>
                <w:b/>
                <w:bCs/>
                <w:sz w:val="20"/>
                <w:szCs w:val="20"/>
              </w:rPr>
              <w:t>442.953,98</w:t>
            </w:r>
          </w:p>
        </w:tc>
        <w:tc>
          <w:tcPr>
            <w:tcW w:w="1500" w:type="dxa"/>
            <w:tcBorders>
              <w:top w:val="nil"/>
              <w:left w:val="nil"/>
              <w:bottom w:val="nil"/>
              <w:right w:val="nil"/>
            </w:tcBorders>
            <w:shd w:val="clear" w:color="auto" w:fill="auto"/>
            <w:noWrap/>
            <w:vAlign w:val="bottom"/>
            <w:hideMark/>
          </w:tcPr>
          <w:p w14:paraId="256C5F36" w14:textId="77777777" w:rsidR="00BE6461" w:rsidRPr="00BE6461" w:rsidRDefault="00BE6461" w:rsidP="00BE6461">
            <w:pPr>
              <w:jc w:val="right"/>
              <w:rPr>
                <w:b/>
                <w:bCs/>
                <w:sz w:val="20"/>
                <w:szCs w:val="20"/>
              </w:rPr>
            </w:pPr>
            <w:r w:rsidRPr="00BE6461">
              <w:rPr>
                <w:b/>
                <w:bCs/>
                <w:sz w:val="20"/>
                <w:szCs w:val="20"/>
              </w:rPr>
              <w:t>442.953,98</w:t>
            </w:r>
          </w:p>
        </w:tc>
        <w:tc>
          <w:tcPr>
            <w:tcW w:w="1100" w:type="dxa"/>
            <w:tcBorders>
              <w:top w:val="nil"/>
              <w:left w:val="nil"/>
              <w:bottom w:val="nil"/>
              <w:right w:val="nil"/>
            </w:tcBorders>
            <w:shd w:val="clear" w:color="auto" w:fill="auto"/>
            <w:noWrap/>
            <w:vAlign w:val="bottom"/>
            <w:hideMark/>
          </w:tcPr>
          <w:p w14:paraId="498D6386"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3D242D62" w14:textId="77777777" w:rsidTr="00BE6461">
        <w:trPr>
          <w:trHeight w:val="300"/>
        </w:trPr>
        <w:tc>
          <w:tcPr>
            <w:tcW w:w="1703" w:type="dxa"/>
            <w:tcBorders>
              <w:top w:val="nil"/>
              <w:left w:val="nil"/>
              <w:bottom w:val="nil"/>
              <w:right w:val="nil"/>
            </w:tcBorders>
            <w:shd w:val="clear" w:color="auto" w:fill="auto"/>
            <w:noWrap/>
            <w:vAlign w:val="bottom"/>
            <w:hideMark/>
          </w:tcPr>
          <w:p w14:paraId="5700E272" w14:textId="77777777" w:rsidR="00BE6461" w:rsidRPr="00BE6461" w:rsidRDefault="00BE6461" w:rsidP="00BE6461">
            <w:pPr>
              <w:rPr>
                <w:sz w:val="20"/>
                <w:szCs w:val="20"/>
              </w:rPr>
            </w:pPr>
            <w:r w:rsidRPr="00BE6461">
              <w:rPr>
                <w:sz w:val="20"/>
                <w:szCs w:val="20"/>
              </w:rPr>
              <w:t>4511</w:t>
            </w:r>
          </w:p>
        </w:tc>
        <w:tc>
          <w:tcPr>
            <w:tcW w:w="8457" w:type="dxa"/>
            <w:tcBorders>
              <w:top w:val="nil"/>
              <w:left w:val="nil"/>
              <w:bottom w:val="nil"/>
              <w:right w:val="nil"/>
            </w:tcBorders>
            <w:shd w:val="clear" w:color="auto" w:fill="auto"/>
            <w:vAlign w:val="bottom"/>
            <w:hideMark/>
          </w:tcPr>
          <w:p w14:paraId="57FC1C0F" w14:textId="77777777" w:rsidR="00BE6461" w:rsidRPr="00BE6461" w:rsidRDefault="00BE6461" w:rsidP="00BE6461">
            <w:pPr>
              <w:rPr>
                <w:sz w:val="20"/>
                <w:szCs w:val="20"/>
              </w:rPr>
            </w:pPr>
            <w:r w:rsidRPr="00BE6461">
              <w:rPr>
                <w:sz w:val="20"/>
                <w:szCs w:val="20"/>
              </w:rPr>
              <w:t xml:space="preserve">Dodatna ulaganja na građevinskim objektima                                                          </w:t>
            </w:r>
          </w:p>
        </w:tc>
        <w:tc>
          <w:tcPr>
            <w:tcW w:w="1503" w:type="dxa"/>
            <w:tcBorders>
              <w:top w:val="nil"/>
              <w:left w:val="nil"/>
              <w:bottom w:val="nil"/>
              <w:right w:val="nil"/>
            </w:tcBorders>
            <w:shd w:val="clear" w:color="auto" w:fill="auto"/>
            <w:noWrap/>
            <w:vAlign w:val="bottom"/>
            <w:hideMark/>
          </w:tcPr>
          <w:p w14:paraId="7DCD53D2"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915A077" w14:textId="77777777" w:rsidR="00BE6461" w:rsidRPr="00BE6461" w:rsidRDefault="00BE6461" w:rsidP="00BE6461">
            <w:pPr>
              <w:jc w:val="right"/>
              <w:rPr>
                <w:sz w:val="20"/>
                <w:szCs w:val="20"/>
              </w:rPr>
            </w:pPr>
            <w:r w:rsidRPr="00BE6461">
              <w:rPr>
                <w:sz w:val="20"/>
                <w:szCs w:val="20"/>
              </w:rPr>
              <w:t>442.953,98</w:t>
            </w:r>
          </w:p>
        </w:tc>
        <w:tc>
          <w:tcPr>
            <w:tcW w:w="1100" w:type="dxa"/>
            <w:tcBorders>
              <w:top w:val="nil"/>
              <w:left w:val="nil"/>
              <w:bottom w:val="nil"/>
              <w:right w:val="nil"/>
            </w:tcBorders>
            <w:shd w:val="clear" w:color="auto" w:fill="auto"/>
            <w:noWrap/>
            <w:vAlign w:val="bottom"/>
            <w:hideMark/>
          </w:tcPr>
          <w:p w14:paraId="5DB9D4C3" w14:textId="77777777" w:rsidR="00BE6461" w:rsidRPr="00BE6461" w:rsidRDefault="00BE6461" w:rsidP="00BE6461">
            <w:pPr>
              <w:jc w:val="right"/>
              <w:rPr>
                <w:sz w:val="20"/>
                <w:szCs w:val="20"/>
              </w:rPr>
            </w:pPr>
          </w:p>
        </w:tc>
      </w:tr>
      <w:tr w:rsidR="00BE6461" w:rsidRPr="00BE6461" w14:paraId="14C1CDC8"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2FEDDBB3" w14:textId="77777777" w:rsidR="00BE6461" w:rsidRPr="00BE6461" w:rsidRDefault="00BE6461" w:rsidP="00BE6461">
            <w:pPr>
              <w:rPr>
                <w:b/>
                <w:bCs/>
                <w:sz w:val="20"/>
                <w:szCs w:val="20"/>
              </w:rPr>
            </w:pPr>
            <w:r w:rsidRPr="00BE6461">
              <w:rPr>
                <w:b/>
                <w:bCs/>
                <w:sz w:val="20"/>
                <w:szCs w:val="20"/>
              </w:rPr>
              <w:t>K200032</w:t>
            </w:r>
          </w:p>
        </w:tc>
        <w:tc>
          <w:tcPr>
            <w:tcW w:w="8457" w:type="dxa"/>
            <w:tcBorders>
              <w:top w:val="single" w:sz="4" w:space="0" w:color="auto"/>
              <w:left w:val="nil"/>
              <w:bottom w:val="single" w:sz="4" w:space="0" w:color="auto"/>
              <w:right w:val="nil"/>
            </w:tcBorders>
            <w:shd w:val="clear" w:color="auto" w:fill="auto"/>
            <w:vAlign w:val="bottom"/>
            <w:hideMark/>
          </w:tcPr>
          <w:p w14:paraId="5312265C" w14:textId="77777777" w:rsidR="00BE6461" w:rsidRPr="00BE6461" w:rsidRDefault="00BE6461" w:rsidP="00BE6461">
            <w:pPr>
              <w:rPr>
                <w:b/>
                <w:bCs/>
                <w:sz w:val="20"/>
                <w:szCs w:val="20"/>
              </w:rPr>
            </w:pPr>
            <w:r w:rsidRPr="00BE6461">
              <w:rPr>
                <w:b/>
                <w:bCs/>
                <w:sz w:val="20"/>
                <w:szCs w:val="20"/>
              </w:rPr>
              <w:t>Kapitalni projekt: PLANSKA DOKUMENTACIJA I OSTALO</w:t>
            </w:r>
          </w:p>
        </w:tc>
        <w:tc>
          <w:tcPr>
            <w:tcW w:w="1503" w:type="dxa"/>
            <w:tcBorders>
              <w:top w:val="single" w:sz="4" w:space="0" w:color="auto"/>
              <w:left w:val="nil"/>
              <w:bottom w:val="single" w:sz="4" w:space="0" w:color="auto"/>
              <w:right w:val="nil"/>
            </w:tcBorders>
            <w:shd w:val="clear" w:color="auto" w:fill="auto"/>
            <w:noWrap/>
            <w:vAlign w:val="bottom"/>
            <w:hideMark/>
          </w:tcPr>
          <w:p w14:paraId="7A568A6F" w14:textId="77777777" w:rsidR="00BE6461" w:rsidRPr="00BE6461" w:rsidRDefault="00BE6461" w:rsidP="00BE6461">
            <w:pPr>
              <w:jc w:val="right"/>
              <w:rPr>
                <w:b/>
                <w:bCs/>
                <w:sz w:val="20"/>
                <w:szCs w:val="20"/>
              </w:rPr>
            </w:pPr>
            <w:r w:rsidRPr="00BE6461">
              <w:rPr>
                <w:b/>
                <w:bCs/>
                <w:sz w:val="20"/>
                <w:szCs w:val="20"/>
              </w:rPr>
              <w:t>86.000,00</w:t>
            </w:r>
          </w:p>
        </w:tc>
        <w:tc>
          <w:tcPr>
            <w:tcW w:w="1500" w:type="dxa"/>
            <w:tcBorders>
              <w:top w:val="single" w:sz="4" w:space="0" w:color="auto"/>
              <w:left w:val="nil"/>
              <w:bottom w:val="single" w:sz="4" w:space="0" w:color="auto"/>
              <w:right w:val="nil"/>
            </w:tcBorders>
            <w:shd w:val="clear" w:color="auto" w:fill="auto"/>
            <w:noWrap/>
            <w:vAlign w:val="bottom"/>
            <w:hideMark/>
          </w:tcPr>
          <w:p w14:paraId="6509BD8E"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41B9ECE4"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3B5AA3F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A003B29"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25EA7501" w14:textId="77777777" w:rsidR="00BE6461" w:rsidRPr="00BE6461" w:rsidRDefault="00BE6461" w:rsidP="00BE6461">
            <w:pPr>
              <w:jc w:val="right"/>
              <w:rPr>
                <w:b/>
                <w:bCs/>
                <w:color w:val="333333"/>
                <w:sz w:val="20"/>
                <w:szCs w:val="20"/>
              </w:rPr>
            </w:pPr>
            <w:r w:rsidRPr="00BE6461">
              <w:rPr>
                <w:b/>
                <w:bCs/>
                <w:color w:val="333333"/>
                <w:sz w:val="20"/>
                <w:szCs w:val="20"/>
              </w:rPr>
              <w:t>86.000,00</w:t>
            </w:r>
          </w:p>
        </w:tc>
        <w:tc>
          <w:tcPr>
            <w:tcW w:w="1500" w:type="dxa"/>
            <w:tcBorders>
              <w:top w:val="nil"/>
              <w:left w:val="nil"/>
              <w:bottom w:val="nil"/>
              <w:right w:val="nil"/>
            </w:tcBorders>
            <w:shd w:val="clear" w:color="auto" w:fill="auto"/>
            <w:noWrap/>
            <w:vAlign w:val="bottom"/>
            <w:hideMark/>
          </w:tcPr>
          <w:p w14:paraId="2E976A6D"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100" w:type="dxa"/>
            <w:tcBorders>
              <w:top w:val="nil"/>
              <w:left w:val="nil"/>
              <w:bottom w:val="nil"/>
              <w:right w:val="nil"/>
            </w:tcBorders>
            <w:shd w:val="clear" w:color="auto" w:fill="auto"/>
            <w:noWrap/>
            <w:vAlign w:val="bottom"/>
            <w:hideMark/>
          </w:tcPr>
          <w:p w14:paraId="01DAA0E2"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2D23A84C"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F5023FB" w14:textId="77777777" w:rsidR="00BE6461" w:rsidRPr="00BE6461" w:rsidRDefault="00BE6461" w:rsidP="00BE6461">
            <w:pPr>
              <w:rPr>
                <w:b/>
                <w:bCs/>
                <w:color w:val="333333"/>
                <w:sz w:val="20"/>
                <w:szCs w:val="20"/>
              </w:rPr>
            </w:pPr>
            <w:r w:rsidRPr="00BE6461">
              <w:rPr>
                <w:b/>
                <w:bCs/>
                <w:color w:val="333333"/>
                <w:sz w:val="20"/>
                <w:szCs w:val="20"/>
              </w:rPr>
              <w:t>Izvor 4.2. PRIHODI POSEBNE NAMJENE - KOMUNALNI DOPRINOS</w:t>
            </w:r>
          </w:p>
        </w:tc>
        <w:tc>
          <w:tcPr>
            <w:tcW w:w="1503" w:type="dxa"/>
            <w:tcBorders>
              <w:top w:val="nil"/>
              <w:left w:val="nil"/>
              <w:bottom w:val="nil"/>
              <w:right w:val="nil"/>
            </w:tcBorders>
            <w:shd w:val="clear" w:color="auto" w:fill="auto"/>
            <w:noWrap/>
            <w:vAlign w:val="bottom"/>
            <w:hideMark/>
          </w:tcPr>
          <w:p w14:paraId="60810CFA" w14:textId="77777777" w:rsidR="00BE6461" w:rsidRPr="00BE6461" w:rsidRDefault="00BE6461" w:rsidP="00BE6461">
            <w:pPr>
              <w:jc w:val="right"/>
              <w:rPr>
                <w:b/>
                <w:bCs/>
                <w:color w:val="333333"/>
                <w:sz w:val="20"/>
                <w:szCs w:val="20"/>
              </w:rPr>
            </w:pPr>
            <w:r w:rsidRPr="00BE6461">
              <w:rPr>
                <w:b/>
                <w:bCs/>
                <w:color w:val="333333"/>
                <w:sz w:val="20"/>
                <w:szCs w:val="20"/>
              </w:rPr>
              <w:t>86.000,00</w:t>
            </w:r>
          </w:p>
        </w:tc>
        <w:tc>
          <w:tcPr>
            <w:tcW w:w="1500" w:type="dxa"/>
            <w:tcBorders>
              <w:top w:val="nil"/>
              <w:left w:val="nil"/>
              <w:bottom w:val="nil"/>
              <w:right w:val="nil"/>
            </w:tcBorders>
            <w:shd w:val="clear" w:color="auto" w:fill="auto"/>
            <w:noWrap/>
            <w:vAlign w:val="bottom"/>
            <w:hideMark/>
          </w:tcPr>
          <w:p w14:paraId="51DBC6E2" w14:textId="77777777" w:rsidR="00BE6461" w:rsidRPr="00BE6461" w:rsidRDefault="00BE6461" w:rsidP="00BE6461">
            <w:pPr>
              <w:jc w:val="right"/>
              <w:rPr>
                <w:b/>
                <w:bCs/>
                <w:color w:val="333333"/>
                <w:sz w:val="20"/>
                <w:szCs w:val="20"/>
              </w:rPr>
            </w:pPr>
            <w:r w:rsidRPr="00BE6461">
              <w:rPr>
                <w:b/>
                <w:bCs/>
                <w:color w:val="333333"/>
                <w:sz w:val="20"/>
                <w:szCs w:val="20"/>
              </w:rPr>
              <w:t>0,00</w:t>
            </w:r>
          </w:p>
        </w:tc>
        <w:tc>
          <w:tcPr>
            <w:tcW w:w="1100" w:type="dxa"/>
            <w:tcBorders>
              <w:top w:val="nil"/>
              <w:left w:val="nil"/>
              <w:bottom w:val="nil"/>
              <w:right w:val="nil"/>
            </w:tcBorders>
            <w:shd w:val="clear" w:color="auto" w:fill="auto"/>
            <w:noWrap/>
            <w:vAlign w:val="bottom"/>
            <w:hideMark/>
          </w:tcPr>
          <w:p w14:paraId="7769B3CD" w14:textId="77777777" w:rsidR="00BE6461" w:rsidRPr="00BE6461" w:rsidRDefault="00BE6461" w:rsidP="00BE6461">
            <w:pPr>
              <w:jc w:val="right"/>
              <w:rPr>
                <w:b/>
                <w:bCs/>
                <w:color w:val="333333"/>
                <w:sz w:val="20"/>
                <w:szCs w:val="20"/>
              </w:rPr>
            </w:pPr>
            <w:r w:rsidRPr="00BE6461">
              <w:rPr>
                <w:b/>
                <w:bCs/>
                <w:color w:val="333333"/>
                <w:sz w:val="20"/>
                <w:szCs w:val="20"/>
              </w:rPr>
              <w:t>0,00</w:t>
            </w:r>
          </w:p>
        </w:tc>
      </w:tr>
      <w:tr w:rsidR="00BE6461" w:rsidRPr="00BE6461" w14:paraId="580A62DB" w14:textId="77777777" w:rsidTr="00BE6461">
        <w:trPr>
          <w:trHeight w:val="300"/>
        </w:trPr>
        <w:tc>
          <w:tcPr>
            <w:tcW w:w="1703" w:type="dxa"/>
            <w:tcBorders>
              <w:top w:val="nil"/>
              <w:left w:val="nil"/>
              <w:bottom w:val="nil"/>
              <w:right w:val="nil"/>
            </w:tcBorders>
            <w:shd w:val="clear" w:color="auto" w:fill="auto"/>
            <w:noWrap/>
            <w:vAlign w:val="bottom"/>
            <w:hideMark/>
          </w:tcPr>
          <w:p w14:paraId="4BFC49F2" w14:textId="77777777" w:rsidR="00BE6461" w:rsidRPr="00BE6461" w:rsidRDefault="00BE6461" w:rsidP="00BE6461">
            <w:pPr>
              <w:rPr>
                <w:b/>
                <w:bCs/>
                <w:sz w:val="20"/>
                <w:szCs w:val="20"/>
              </w:rPr>
            </w:pPr>
            <w:r w:rsidRPr="00BE6461">
              <w:rPr>
                <w:b/>
                <w:bCs/>
                <w:sz w:val="20"/>
                <w:szCs w:val="20"/>
              </w:rPr>
              <w:t>426</w:t>
            </w:r>
          </w:p>
        </w:tc>
        <w:tc>
          <w:tcPr>
            <w:tcW w:w="8457" w:type="dxa"/>
            <w:tcBorders>
              <w:top w:val="nil"/>
              <w:left w:val="nil"/>
              <w:bottom w:val="nil"/>
              <w:right w:val="nil"/>
            </w:tcBorders>
            <w:shd w:val="clear" w:color="auto" w:fill="auto"/>
            <w:vAlign w:val="bottom"/>
            <w:hideMark/>
          </w:tcPr>
          <w:p w14:paraId="28AD96B1" w14:textId="77777777" w:rsidR="00BE6461" w:rsidRPr="00BE6461" w:rsidRDefault="00BE6461" w:rsidP="00BE6461">
            <w:pPr>
              <w:rPr>
                <w:b/>
                <w:bCs/>
                <w:sz w:val="20"/>
                <w:szCs w:val="20"/>
              </w:rPr>
            </w:pPr>
            <w:r w:rsidRPr="00BE6461">
              <w:rPr>
                <w:b/>
                <w:bCs/>
                <w:sz w:val="20"/>
                <w:szCs w:val="20"/>
              </w:rPr>
              <w:t xml:space="preserve">Nematerijalna proizvedena imovina                                                                   </w:t>
            </w:r>
          </w:p>
        </w:tc>
        <w:tc>
          <w:tcPr>
            <w:tcW w:w="1503" w:type="dxa"/>
            <w:tcBorders>
              <w:top w:val="nil"/>
              <w:left w:val="nil"/>
              <w:bottom w:val="nil"/>
              <w:right w:val="nil"/>
            </w:tcBorders>
            <w:shd w:val="clear" w:color="auto" w:fill="auto"/>
            <w:noWrap/>
            <w:vAlign w:val="bottom"/>
            <w:hideMark/>
          </w:tcPr>
          <w:p w14:paraId="267ACC9C" w14:textId="77777777" w:rsidR="00BE6461" w:rsidRPr="00BE6461" w:rsidRDefault="00BE6461" w:rsidP="00BE6461">
            <w:pPr>
              <w:jc w:val="right"/>
              <w:rPr>
                <w:b/>
                <w:bCs/>
                <w:sz w:val="20"/>
                <w:szCs w:val="20"/>
              </w:rPr>
            </w:pPr>
            <w:r w:rsidRPr="00BE6461">
              <w:rPr>
                <w:b/>
                <w:bCs/>
                <w:sz w:val="20"/>
                <w:szCs w:val="20"/>
              </w:rPr>
              <w:t>86.000,00</w:t>
            </w:r>
          </w:p>
        </w:tc>
        <w:tc>
          <w:tcPr>
            <w:tcW w:w="1500" w:type="dxa"/>
            <w:tcBorders>
              <w:top w:val="nil"/>
              <w:left w:val="nil"/>
              <w:bottom w:val="nil"/>
              <w:right w:val="nil"/>
            </w:tcBorders>
            <w:shd w:val="clear" w:color="auto" w:fill="auto"/>
            <w:noWrap/>
            <w:vAlign w:val="bottom"/>
            <w:hideMark/>
          </w:tcPr>
          <w:p w14:paraId="50083B03"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66CCC0B9"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4FA54502" w14:textId="77777777" w:rsidTr="00BE6461">
        <w:trPr>
          <w:trHeight w:val="300"/>
        </w:trPr>
        <w:tc>
          <w:tcPr>
            <w:tcW w:w="1703" w:type="dxa"/>
            <w:tcBorders>
              <w:top w:val="nil"/>
              <w:left w:val="nil"/>
              <w:bottom w:val="nil"/>
              <w:right w:val="nil"/>
            </w:tcBorders>
            <w:shd w:val="clear" w:color="auto" w:fill="auto"/>
            <w:noWrap/>
            <w:vAlign w:val="bottom"/>
            <w:hideMark/>
          </w:tcPr>
          <w:p w14:paraId="217F49BF" w14:textId="77777777" w:rsidR="00BE6461" w:rsidRPr="00BE6461" w:rsidRDefault="00BE6461" w:rsidP="00BE6461">
            <w:pPr>
              <w:rPr>
                <w:sz w:val="20"/>
                <w:szCs w:val="20"/>
              </w:rPr>
            </w:pPr>
            <w:r w:rsidRPr="00BE6461">
              <w:rPr>
                <w:sz w:val="20"/>
                <w:szCs w:val="20"/>
              </w:rPr>
              <w:t>4262</w:t>
            </w:r>
          </w:p>
        </w:tc>
        <w:tc>
          <w:tcPr>
            <w:tcW w:w="8457" w:type="dxa"/>
            <w:tcBorders>
              <w:top w:val="nil"/>
              <w:left w:val="nil"/>
              <w:bottom w:val="nil"/>
              <w:right w:val="nil"/>
            </w:tcBorders>
            <w:shd w:val="clear" w:color="auto" w:fill="auto"/>
            <w:vAlign w:val="bottom"/>
            <w:hideMark/>
          </w:tcPr>
          <w:p w14:paraId="2B3CE43A" w14:textId="77777777" w:rsidR="00BE6461" w:rsidRPr="00BE6461" w:rsidRDefault="00BE6461" w:rsidP="00BE6461">
            <w:pPr>
              <w:rPr>
                <w:sz w:val="20"/>
                <w:szCs w:val="20"/>
              </w:rPr>
            </w:pPr>
            <w:r w:rsidRPr="00BE6461">
              <w:rPr>
                <w:sz w:val="20"/>
                <w:szCs w:val="20"/>
              </w:rPr>
              <w:t xml:space="preserve">Ulaganja u računalne programe                                                                       </w:t>
            </w:r>
          </w:p>
        </w:tc>
        <w:tc>
          <w:tcPr>
            <w:tcW w:w="1503" w:type="dxa"/>
            <w:tcBorders>
              <w:top w:val="nil"/>
              <w:left w:val="nil"/>
              <w:bottom w:val="nil"/>
              <w:right w:val="nil"/>
            </w:tcBorders>
            <w:shd w:val="clear" w:color="auto" w:fill="auto"/>
            <w:noWrap/>
            <w:vAlign w:val="bottom"/>
            <w:hideMark/>
          </w:tcPr>
          <w:p w14:paraId="5A0C559E"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63D725B"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1E58CC60" w14:textId="77777777" w:rsidR="00BE6461" w:rsidRPr="00BE6461" w:rsidRDefault="00BE6461" w:rsidP="00BE6461">
            <w:pPr>
              <w:jc w:val="right"/>
              <w:rPr>
                <w:sz w:val="20"/>
                <w:szCs w:val="20"/>
              </w:rPr>
            </w:pPr>
          </w:p>
        </w:tc>
      </w:tr>
      <w:tr w:rsidR="00BE6461" w:rsidRPr="00BE6461" w14:paraId="43CEF992" w14:textId="77777777" w:rsidTr="00BE6461">
        <w:trPr>
          <w:trHeight w:val="765"/>
        </w:trPr>
        <w:tc>
          <w:tcPr>
            <w:tcW w:w="1703" w:type="dxa"/>
            <w:tcBorders>
              <w:top w:val="single" w:sz="4" w:space="0" w:color="auto"/>
              <w:left w:val="nil"/>
              <w:bottom w:val="single" w:sz="4" w:space="0" w:color="auto"/>
              <w:right w:val="nil"/>
            </w:tcBorders>
            <w:shd w:val="clear" w:color="auto" w:fill="auto"/>
            <w:noWrap/>
            <w:vAlign w:val="bottom"/>
            <w:hideMark/>
          </w:tcPr>
          <w:p w14:paraId="1255382B" w14:textId="77777777" w:rsidR="00BE6461" w:rsidRPr="00BE6461" w:rsidRDefault="00BE6461" w:rsidP="00BE6461">
            <w:pPr>
              <w:rPr>
                <w:b/>
                <w:bCs/>
                <w:sz w:val="20"/>
                <w:szCs w:val="20"/>
              </w:rPr>
            </w:pPr>
            <w:r w:rsidRPr="00BE6461">
              <w:rPr>
                <w:b/>
                <w:bCs/>
                <w:sz w:val="20"/>
                <w:szCs w:val="20"/>
              </w:rPr>
              <w:t>K200033</w:t>
            </w:r>
          </w:p>
        </w:tc>
        <w:tc>
          <w:tcPr>
            <w:tcW w:w="8457" w:type="dxa"/>
            <w:tcBorders>
              <w:top w:val="single" w:sz="4" w:space="0" w:color="auto"/>
              <w:left w:val="nil"/>
              <w:bottom w:val="single" w:sz="4" w:space="0" w:color="auto"/>
              <w:right w:val="nil"/>
            </w:tcBorders>
            <w:shd w:val="clear" w:color="auto" w:fill="auto"/>
            <w:vAlign w:val="bottom"/>
            <w:hideMark/>
          </w:tcPr>
          <w:p w14:paraId="6A588650" w14:textId="77777777" w:rsidR="00BE6461" w:rsidRPr="00BE6461" w:rsidRDefault="00BE6461" w:rsidP="00BE6461">
            <w:pPr>
              <w:rPr>
                <w:b/>
                <w:bCs/>
                <w:sz w:val="20"/>
                <w:szCs w:val="20"/>
              </w:rPr>
            </w:pPr>
            <w:r w:rsidRPr="00BE6461">
              <w:rPr>
                <w:b/>
                <w:bCs/>
                <w:sz w:val="20"/>
                <w:szCs w:val="20"/>
              </w:rPr>
              <w:t>Kapitalni projekt: NERAZVRSTANE CESTE - REKONSTRUKCIJA POSTOJEĆIH GRAĐEVINA KOMUNALNE INFRASTRUKTURE</w:t>
            </w:r>
          </w:p>
        </w:tc>
        <w:tc>
          <w:tcPr>
            <w:tcW w:w="1503" w:type="dxa"/>
            <w:tcBorders>
              <w:top w:val="single" w:sz="4" w:space="0" w:color="auto"/>
              <w:left w:val="nil"/>
              <w:bottom w:val="single" w:sz="4" w:space="0" w:color="auto"/>
              <w:right w:val="nil"/>
            </w:tcBorders>
            <w:shd w:val="clear" w:color="auto" w:fill="auto"/>
            <w:noWrap/>
            <w:vAlign w:val="bottom"/>
            <w:hideMark/>
          </w:tcPr>
          <w:p w14:paraId="612589D8" w14:textId="77777777" w:rsidR="00BE6461" w:rsidRPr="00BE6461" w:rsidRDefault="00BE6461" w:rsidP="00BE6461">
            <w:pPr>
              <w:jc w:val="right"/>
              <w:rPr>
                <w:b/>
                <w:bCs/>
                <w:sz w:val="20"/>
                <w:szCs w:val="20"/>
              </w:rPr>
            </w:pPr>
            <w:r w:rsidRPr="00BE6461">
              <w:rPr>
                <w:b/>
                <w:bCs/>
                <w:sz w:val="20"/>
                <w:szCs w:val="20"/>
              </w:rPr>
              <w:t>2.395.500,68</w:t>
            </w:r>
          </w:p>
        </w:tc>
        <w:tc>
          <w:tcPr>
            <w:tcW w:w="1500" w:type="dxa"/>
            <w:tcBorders>
              <w:top w:val="single" w:sz="4" w:space="0" w:color="auto"/>
              <w:left w:val="nil"/>
              <w:bottom w:val="single" w:sz="4" w:space="0" w:color="auto"/>
              <w:right w:val="nil"/>
            </w:tcBorders>
            <w:shd w:val="clear" w:color="auto" w:fill="auto"/>
            <w:noWrap/>
            <w:vAlign w:val="bottom"/>
            <w:hideMark/>
          </w:tcPr>
          <w:p w14:paraId="78261B0D" w14:textId="77777777" w:rsidR="00BE6461" w:rsidRPr="00BE6461" w:rsidRDefault="00BE6461" w:rsidP="00BE6461">
            <w:pPr>
              <w:jc w:val="right"/>
              <w:rPr>
                <w:b/>
                <w:bCs/>
                <w:sz w:val="20"/>
                <w:szCs w:val="20"/>
              </w:rPr>
            </w:pPr>
            <w:r w:rsidRPr="00BE6461">
              <w:rPr>
                <w:b/>
                <w:bCs/>
                <w:sz w:val="20"/>
                <w:szCs w:val="20"/>
              </w:rPr>
              <w:t>2.079.434,85</w:t>
            </w:r>
          </w:p>
        </w:tc>
        <w:tc>
          <w:tcPr>
            <w:tcW w:w="1100" w:type="dxa"/>
            <w:tcBorders>
              <w:top w:val="single" w:sz="4" w:space="0" w:color="auto"/>
              <w:left w:val="nil"/>
              <w:bottom w:val="single" w:sz="4" w:space="0" w:color="auto"/>
              <w:right w:val="nil"/>
            </w:tcBorders>
            <w:shd w:val="clear" w:color="auto" w:fill="auto"/>
            <w:noWrap/>
            <w:vAlign w:val="bottom"/>
            <w:hideMark/>
          </w:tcPr>
          <w:p w14:paraId="68E8BE07" w14:textId="77777777" w:rsidR="00BE6461" w:rsidRPr="00BE6461" w:rsidRDefault="00BE6461" w:rsidP="00BE6461">
            <w:pPr>
              <w:jc w:val="right"/>
              <w:rPr>
                <w:b/>
                <w:bCs/>
                <w:sz w:val="20"/>
                <w:szCs w:val="20"/>
              </w:rPr>
            </w:pPr>
            <w:r w:rsidRPr="00BE6461">
              <w:rPr>
                <w:b/>
                <w:bCs/>
                <w:sz w:val="20"/>
                <w:szCs w:val="20"/>
              </w:rPr>
              <w:t>86,81</w:t>
            </w:r>
          </w:p>
        </w:tc>
      </w:tr>
      <w:tr w:rsidR="00BE6461" w:rsidRPr="00BE6461" w14:paraId="5AB80D0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6492682"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6F574C93" w14:textId="77777777" w:rsidR="00BE6461" w:rsidRPr="00BE6461" w:rsidRDefault="00BE6461" w:rsidP="00BE6461">
            <w:pPr>
              <w:jc w:val="right"/>
              <w:rPr>
                <w:b/>
                <w:bCs/>
                <w:color w:val="333333"/>
                <w:sz w:val="20"/>
                <w:szCs w:val="20"/>
              </w:rPr>
            </w:pPr>
            <w:r w:rsidRPr="00BE6461">
              <w:rPr>
                <w:b/>
                <w:bCs/>
                <w:color w:val="333333"/>
                <w:sz w:val="20"/>
                <w:szCs w:val="20"/>
              </w:rPr>
              <w:t>2.395.500,68</w:t>
            </w:r>
          </w:p>
        </w:tc>
        <w:tc>
          <w:tcPr>
            <w:tcW w:w="1500" w:type="dxa"/>
            <w:tcBorders>
              <w:top w:val="nil"/>
              <w:left w:val="nil"/>
              <w:bottom w:val="nil"/>
              <w:right w:val="nil"/>
            </w:tcBorders>
            <w:shd w:val="clear" w:color="auto" w:fill="auto"/>
            <w:noWrap/>
            <w:vAlign w:val="bottom"/>
            <w:hideMark/>
          </w:tcPr>
          <w:p w14:paraId="03218D48" w14:textId="77777777" w:rsidR="00BE6461" w:rsidRPr="00BE6461" w:rsidRDefault="00BE6461" w:rsidP="00BE6461">
            <w:pPr>
              <w:jc w:val="right"/>
              <w:rPr>
                <w:b/>
                <w:bCs/>
                <w:color w:val="333333"/>
                <w:sz w:val="20"/>
                <w:szCs w:val="20"/>
              </w:rPr>
            </w:pPr>
            <w:r w:rsidRPr="00BE6461">
              <w:rPr>
                <w:b/>
                <w:bCs/>
                <w:color w:val="333333"/>
                <w:sz w:val="20"/>
                <w:szCs w:val="20"/>
              </w:rPr>
              <w:t>2.079.434,85</w:t>
            </w:r>
          </w:p>
        </w:tc>
        <w:tc>
          <w:tcPr>
            <w:tcW w:w="1100" w:type="dxa"/>
            <w:tcBorders>
              <w:top w:val="nil"/>
              <w:left w:val="nil"/>
              <w:bottom w:val="nil"/>
              <w:right w:val="nil"/>
            </w:tcBorders>
            <w:shd w:val="clear" w:color="auto" w:fill="auto"/>
            <w:noWrap/>
            <w:vAlign w:val="bottom"/>
            <w:hideMark/>
          </w:tcPr>
          <w:p w14:paraId="3935A998" w14:textId="77777777" w:rsidR="00BE6461" w:rsidRPr="00BE6461" w:rsidRDefault="00BE6461" w:rsidP="00BE6461">
            <w:pPr>
              <w:jc w:val="right"/>
              <w:rPr>
                <w:b/>
                <w:bCs/>
                <w:color w:val="333333"/>
                <w:sz w:val="20"/>
                <w:szCs w:val="20"/>
              </w:rPr>
            </w:pPr>
            <w:r w:rsidRPr="00BE6461">
              <w:rPr>
                <w:b/>
                <w:bCs/>
                <w:color w:val="333333"/>
                <w:sz w:val="20"/>
                <w:szCs w:val="20"/>
              </w:rPr>
              <w:t>86,81</w:t>
            </w:r>
          </w:p>
        </w:tc>
      </w:tr>
      <w:tr w:rsidR="00BE6461" w:rsidRPr="00BE6461" w14:paraId="2B672979"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1D8AA18" w14:textId="77777777" w:rsidR="00BE6461" w:rsidRPr="00BE6461" w:rsidRDefault="00BE6461" w:rsidP="00BE6461">
            <w:pPr>
              <w:rPr>
                <w:b/>
                <w:bCs/>
                <w:color w:val="333333"/>
                <w:sz w:val="20"/>
                <w:szCs w:val="20"/>
              </w:rPr>
            </w:pPr>
            <w:r w:rsidRPr="00BE6461">
              <w:rPr>
                <w:b/>
                <w:bCs/>
                <w:color w:val="333333"/>
                <w:sz w:val="20"/>
                <w:szCs w:val="20"/>
              </w:rPr>
              <w:t>Izvor 4.2. PRIHODI POSEBNE NAMJENE - KOMUNALNI DOPRINOS</w:t>
            </w:r>
          </w:p>
        </w:tc>
        <w:tc>
          <w:tcPr>
            <w:tcW w:w="1503" w:type="dxa"/>
            <w:tcBorders>
              <w:top w:val="nil"/>
              <w:left w:val="nil"/>
              <w:bottom w:val="nil"/>
              <w:right w:val="nil"/>
            </w:tcBorders>
            <w:shd w:val="clear" w:color="auto" w:fill="auto"/>
            <w:noWrap/>
            <w:vAlign w:val="bottom"/>
            <w:hideMark/>
          </w:tcPr>
          <w:p w14:paraId="500251C7" w14:textId="77777777" w:rsidR="00BE6461" w:rsidRPr="00BE6461" w:rsidRDefault="00BE6461" w:rsidP="00BE6461">
            <w:pPr>
              <w:jc w:val="right"/>
              <w:rPr>
                <w:b/>
                <w:bCs/>
                <w:color w:val="333333"/>
                <w:sz w:val="20"/>
                <w:szCs w:val="20"/>
              </w:rPr>
            </w:pPr>
            <w:r w:rsidRPr="00BE6461">
              <w:rPr>
                <w:b/>
                <w:bCs/>
                <w:color w:val="333333"/>
                <w:sz w:val="20"/>
                <w:szCs w:val="20"/>
              </w:rPr>
              <w:t>2.395.500,68</w:t>
            </w:r>
          </w:p>
        </w:tc>
        <w:tc>
          <w:tcPr>
            <w:tcW w:w="1500" w:type="dxa"/>
            <w:tcBorders>
              <w:top w:val="nil"/>
              <w:left w:val="nil"/>
              <w:bottom w:val="nil"/>
              <w:right w:val="nil"/>
            </w:tcBorders>
            <w:shd w:val="clear" w:color="auto" w:fill="auto"/>
            <w:noWrap/>
            <w:vAlign w:val="bottom"/>
            <w:hideMark/>
          </w:tcPr>
          <w:p w14:paraId="04083130" w14:textId="77777777" w:rsidR="00BE6461" w:rsidRPr="00BE6461" w:rsidRDefault="00BE6461" w:rsidP="00BE6461">
            <w:pPr>
              <w:jc w:val="right"/>
              <w:rPr>
                <w:b/>
                <w:bCs/>
                <w:color w:val="333333"/>
                <w:sz w:val="20"/>
                <w:szCs w:val="20"/>
              </w:rPr>
            </w:pPr>
            <w:r w:rsidRPr="00BE6461">
              <w:rPr>
                <w:b/>
                <w:bCs/>
                <w:color w:val="333333"/>
                <w:sz w:val="20"/>
                <w:szCs w:val="20"/>
              </w:rPr>
              <w:t>2.079.434,85</w:t>
            </w:r>
          </w:p>
        </w:tc>
        <w:tc>
          <w:tcPr>
            <w:tcW w:w="1100" w:type="dxa"/>
            <w:tcBorders>
              <w:top w:val="nil"/>
              <w:left w:val="nil"/>
              <w:bottom w:val="nil"/>
              <w:right w:val="nil"/>
            </w:tcBorders>
            <w:shd w:val="clear" w:color="auto" w:fill="auto"/>
            <w:noWrap/>
            <w:vAlign w:val="bottom"/>
            <w:hideMark/>
          </w:tcPr>
          <w:p w14:paraId="4953B582" w14:textId="77777777" w:rsidR="00BE6461" w:rsidRPr="00BE6461" w:rsidRDefault="00BE6461" w:rsidP="00BE6461">
            <w:pPr>
              <w:jc w:val="right"/>
              <w:rPr>
                <w:b/>
                <w:bCs/>
                <w:color w:val="333333"/>
                <w:sz w:val="20"/>
                <w:szCs w:val="20"/>
              </w:rPr>
            </w:pPr>
            <w:r w:rsidRPr="00BE6461">
              <w:rPr>
                <w:b/>
                <w:bCs/>
                <w:color w:val="333333"/>
                <w:sz w:val="20"/>
                <w:szCs w:val="20"/>
              </w:rPr>
              <w:t>86,81</w:t>
            </w:r>
          </w:p>
        </w:tc>
      </w:tr>
      <w:tr w:rsidR="00BE6461" w:rsidRPr="00BE6461" w14:paraId="33A567E9" w14:textId="77777777" w:rsidTr="00BE6461">
        <w:trPr>
          <w:trHeight w:val="300"/>
        </w:trPr>
        <w:tc>
          <w:tcPr>
            <w:tcW w:w="1703" w:type="dxa"/>
            <w:tcBorders>
              <w:top w:val="nil"/>
              <w:left w:val="nil"/>
              <w:bottom w:val="nil"/>
              <w:right w:val="nil"/>
            </w:tcBorders>
            <w:shd w:val="clear" w:color="auto" w:fill="auto"/>
            <w:noWrap/>
            <w:vAlign w:val="bottom"/>
            <w:hideMark/>
          </w:tcPr>
          <w:p w14:paraId="2FAEDA5B" w14:textId="77777777" w:rsidR="00BE6461" w:rsidRPr="00BE6461" w:rsidRDefault="00BE6461" w:rsidP="00BE6461">
            <w:pPr>
              <w:rPr>
                <w:b/>
                <w:bCs/>
                <w:sz w:val="20"/>
                <w:szCs w:val="20"/>
              </w:rPr>
            </w:pPr>
            <w:r w:rsidRPr="00BE6461">
              <w:rPr>
                <w:b/>
                <w:bCs/>
                <w:sz w:val="20"/>
                <w:szCs w:val="20"/>
              </w:rPr>
              <w:t>421</w:t>
            </w:r>
          </w:p>
        </w:tc>
        <w:tc>
          <w:tcPr>
            <w:tcW w:w="8457" w:type="dxa"/>
            <w:tcBorders>
              <w:top w:val="nil"/>
              <w:left w:val="nil"/>
              <w:bottom w:val="nil"/>
              <w:right w:val="nil"/>
            </w:tcBorders>
            <w:shd w:val="clear" w:color="auto" w:fill="auto"/>
            <w:vAlign w:val="bottom"/>
            <w:hideMark/>
          </w:tcPr>
          <w:p w14:paraId="61FB8EE7" w14:textId="77777777" w:rsidR="00BE6461" w:rsidRPr="00BE6461" w:rsidRDefault="00BE6461" w:rsidP="00BE6461">
            <w:pPr>
              <w:rPr>
                <w:b/>
                <w:bCs/>
                <w:sz w:val="20"/>
                <w:szCs w:val="20"/>
              </w:rPr>
            </w:pPr>
            <w:r w:rsidRPr="00BE6461">
              <w:rPr>
                <w:b/>
                <w:bCs/>
                <w:sz w:val="20"/>
                <w:szCs w:val="20"/>
              </w:rPr>
              <w:t xml:space="preserve">Građevinski objekti                                                                                 </w:t>
            </w:r>
          </w:p>
        </w:tc>
        <w:tc>
          <w:tcPr>
            <w:tcW w:w="1503" w:type="dxa"/>
            <w:tcBorders>
              <w:top w:val="nil"/>
              <w:left w:val="nil"/>
              <w:bottom w:val="nil"/>
              <w:right w:val="nil"/>
            </w:tcBorders>
            <w:shd w:val="clear" w:color="auto" w:fill="auto"/>
            <w:noWrap/>
            <w:vAlign w:val="bottom"/>
            <w:hideMark/>
          </w:tcPr>
          <w:p w14:paraId="0AA61674" w14:textId="77777777" w:rsidR="00BE6461" w:rsidRPr="00BE6461" w:rsidRDefault="00BE6461" w:rsidP="00BE6461">
            <w:pPr>
              <w:jc w:val="right"/>
              <w:rPr>
                <w:b/>
                <w:bCs/>
                <w:sz w:val="20"/>
                <w:szCs w:val="20"/>
              </w:rPr>
            </w:pPr>
            <w:r w:rsidRPr="00BE6461">
              <w:rPr>
                <w:b/>
                <w:bCs/>
                <w:sz w:val="20"/>
                <w:szCs w:val="20"/>
              </w:rPr>
              <w:t>2.395.500,68</w:t>
            </w:r>
          </w:p>
        </w:tc>
        <w:tc>
          <w:tcPr>
            <w:tcW w:w="1500" w:type="dxa"/>
            <w:tcBorders>
              <w:top w:val="nil"/>
              <w:left w:val="nil"/>
              <w:bottom w:val="nil"/>
              <w:right w:val="nil"/>
            </w:tcBorders>
            <w:shd w:val="clear" w:color="auto" w:fill="auto"/>
            <w:noWrap/>
            <w:vAlign w:val="bottom"/>
            <w:hideMark/>
          </w:tcPr>
          <w:p w14:paraId="20B80E26" w14:textId="77777777" w:rsidR="00BE6461" w:rsidRPr="00BE6461" w:rsidRDefault="00BE6461" w:rsidP="00BE6461">
            <w:pPr>
              <w:jc w:val="right"/>
              <w:rPr>
                <w:b/>
                <w:bCs/>
                <w:sz w:val="20"/>
                <w:szCs w:val="20"/>
              </w:rPr>
            </w:pPr>
            <w:r w:rsidRPr="00BE6461">
              <w:rPr>
                <w:b/>
                <w:bCs/>
                <w:sz w:val="20"/>
                <w:szCs w:val="20"/>
              </w:rPr>
              <w:t>2.079.434,85</w:t>
            </w:r>
          </w:p>
        </w:tc>
        <w:tc>
          <w:tcPr>
            <w:tcW w:w="1100" w:type="dxa"/>
            <w:tcBorders>
              <w:top w:val="nil"/>
              <w:left w:val="nil"/>
              <w:bottom w:val="nil"/>
              <w:right w:val="nil"/>
            </w:tcBorders>
            <w:shd w:val="clear" w:color="auto" w:fill="auto"/>
            <w:noWrap/>
            <w:vAlign w:val="bottom"/>
            <w:hideMark/>
          </w:tcPr>
          <w:p w14:paraId="50038F83" w14:textId="77777777" w:rsidR="00BE6461" w:rsidRPr="00BE6461" w:rsidRDefault="00BE6461" w:rsidP="00BE6461">
            <w:pPr>
              <w:jc w:val="right"/>
              <w:rPr>
                <w:b/>
                <w:bCs/>
                <w:sz w:val="20"/>
                <w:szCs w:val="20"/>
              </w:rPr>
            </w:pPr>
            <w:r w:rsidRPr="00BE6461">
              <w:rPr>
                <w:b/>
                <w:bCs/>
                <w:sz w:val="20"/>
                <w:szCs w:val="20"/>
              </w:rPr>
              <w:t>86,81</w:t>
            </w:r>
          </w:p>
        </w:tc>
      </w:tr>
      <w:tr w:rsidR="00BE6461" w:rsidRPr="00BE6461" w14:paraId="5A658407" w14:textId="77777777" w:rsidTr="00BE6461">
        <w:trPr>
          <w:trHeight w:val="300"/>
        </w:trPr>
        <w:tc>
          <w:tcPr>
            <w:tcW w:w="1703" w:type="dxa"/>
            <w:tcBorders>
              <w:top w:val="nil"/>
              <w:left w:val="nil"/>
              <w:bottom w:val="nil"/>
              <w:right w:val="nil"/>
            </w:tcBorders>
            <w:shd w:val="clear" w:color="auto" w:fill="auto"/>
            <w:noWrap/>
            <w:vAlign w:val="bottom"/>
            <w:hideMark/>
          </w:tcPr>
          <w:p w14:paraId="6B902EE2" w14:textId="77777777" w:rsidR="00BE6461" w:rsidRPr="00BE6461" w:rsidRDefault="00BE6461" w:rsidP="00BE6461">
            <w:pPr>
              <w:rPr>
                <w:sz w:val="20"/>
                <w:szCs w:val="20"/>
              </w:rPr>
            </w:pPr>
            <w:r w:rsidRPr="00BE6461">
              <w:rPr>
                <w:sz w:val="20"/>
                <w:szCs w:val="20"/>
              </w:rPr>
              <w:lastRenderedPageBreak/>
              <w:t>4213</w:t>
            </w:r>
          </w:p>
        </w:tc>
        <w:tc>
          <w:tcPr>
            <w:tcW w:w="8457" w:type="dxa"/>
            <w:tcBorders>
              <w:top w:val="nil"/>
              <w:left w:val="nil"/>
              <w:bottom w:val="nil"/>
              <w:right w:val="nil"/>
            </w:tcBorders>
            <w:shd w:val="clear" w:color="auto" w:fill="auto"/>
            <w:vAlign w:val="bottom"/>
            <w:hideMark/>
          </w:tcPr>
          <w:p w14:paraId="15637AC2" w14:textId="77777777" w:rsidR="00BE6461" w:rsidRPr="00BE6461" w:rsidRDefault="00BE6461" w:rsidP="00BE6461">
            <w:pPr>
              <w:rPr>
                <w:sz w:val="20"/>
                <w:szCs w:val="20"/>
              </w:rPr>
            </w:pPr>
            <w:r w:rsidRPr="00BE6461">
              <w:rPr>
                <w:sz w:val="20"/>
                <w:szCs w:val="20"/>
              </w:rPr>
              <w:t xml:space="preserve">Ceste, željeznice i ostali prometni objekti                                                         </w:t>
            </w:r>
          </w:p>
        </w:tc>
        <w:tc>
          <w:tcPr>
            <w:tcW w:w="1503" w:type="dxa"/>
            <w:tcBorders>
              <w:top w:val="nil"/>
              <w:left w:val="nil"/>
              <w:bottom w:val="nil"/>
              <w:right w:val="nil"/>
            </w:tcBorders>
            <w:shd w:val="clear" w:color="auto" w:fill="auto"/>
            <w:noWrap/>
            <w:vAlign w:val="bottom"/>
            <w:hideMark/>
          </w:tcPr>
          <w:p w14:paraId="24691242"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DEE4724" w14:textId="77777777" w:rsidR="00BE6461" w:rsidRPr="00BE6461" w:rsidRDefault="00BE6461" w:rsidP="00BE6461">
            <w:pPr>
              <w:jc w:val="right"/>
              <w:rPr>
                <w:sz w:val="20"/>
                <w:szCs w:val="20"/>
              </w:rPr>
            </w:pPr>
            <w:r w:rsidRPr="00BE6461">
              <w:rPr>
                <w:sz w:val="20"/>
                <w:szCs w:val="20"/>
              </w:rPr>
              <w:t>2.079.434,85</w:t>
            </w:r>
          </w:p>
        </w:tc>
        <w:tc>
          <w:tcPr>
            <w:tcW w:w="1100" w:type="dxa"/>
            <w:tcBorders>
              <w:top w:val="nil"/>
              <w:left w:val="nil"/>
              <w:bottom w:val="nil"/>
              <w:right w:val="nil"/>
            </w:tcBorders>
            <w:shd w:val="clear" w:color="auto" w:fill="auto"/>
            <w:noWrap/>
            <w:vAlign w:val="bottom"/>
            <w:hideMark/>
          </w:tcPr>
          <w:p w14:paraId="692C0FC2" w14:textId="77777777" w:rsidR="00BE6461" w:rsidRPr="00BE6461" w:rsidRDefault="00BE6461" w:rsidP="00BE6461">
            <w:pPr>
              <w:jc w:val="right"/>
              <w:rPr>
                <w:sz w:val="20"/>
                <w:szCs w:val="20"/>
              </w:rPr>
            </w:pPr>
          </w:p>
        </w:tc>
      </w:tr>
      <w:tr w:rsidR="00BE6461" w:rsidRPr="00BE6461" w14:paraId="6087A67D" w14:textId="77777777" w:rsidTr="00BE6461">
        <w:trPr>
          <w:trHeight w:val="765"/>
        </w:trPr>
        <w:tc>
          <w:tcPr>
            <w:tcW w:w="1703" w:type="dxa"/>
            <w:tcBorders>
              <w:top w:val="single" w:sz="4" w:space="0" w:color="auto"/>
              <w:left w:val="nil"/>
              <w:bottom w:val="single" w:sz="4" w:space="0" w:color="auto"/>
              <w:right w:val="nil"/>
            </w:tcBorders>
            <w:shd w:val="clear" w:color="auto" w:fill="auto"/>
            <w:noWrap/>
            <w:vAlign w:val="bottom"/>
            <w:hideMark/>
          </w:tcPr>
          <w:p w14:paraId="0386F8BB" w14:textId="77777777" w:rsidR="00BE6461" w:rsidRPr="00BE6461" w:rsidRDefault="00BE6461" w:rsidP="00BE6461">
            <w:pPr>
              <w:rPr>
                <w:b/>
                <w:bCs/>
                <w:sz w:val="20"/>
                <w:szCs w:val="20"/>
              </w:rPr>
            </w:pPr>
            <w:r w:rsidRPr="00BE6461">
              <w:rPr>
                <w:b/>
                <w:bCs/>
                <w:sz w:val="20"/>
                <w:szCs w:val="20"/>
              </w:rPr>
              <w:t>K200034</w:t>
            </w:r>
          </w:p>
        </w:tc>
        <w:tc>
          <w:tcPr>
            <w:tcW w:w="8457" w:type="dxa"/>
            <w:tcBorders>
              <w:top w:val="single" w:sz="4" w:space="0" w:color="auto"/>
              <w:left w:val="nil"/>
              <w:bottom w:val="single" w:sz="4" w:space="0" w:color="auto"/>
              <w:right w:val="nil"/>
            </w:tcBorders>
            <w:shd w:val="clear" w:color="auto" w:fill="auto"/>
            <w:vAlign w:val="bottom"/>
            <w:hideMark/>
          </w:tcPr>
          <w:p w14:paraId="6C00DEE5" w14:textId="77777777" w:rsidR="00BE6461" w:rsidRPr="00BE6461" w:rsidRDefault="00BE6461" w:rsidP="00BE6461">
            <w:pPr>
              <w:rPr>
                <w:b/>
                <w:bCs/>
                <w:sz w:val="20"/>
                <w:szCs w:val="20"/>
              </w:rPr>
            </w:pPr>
            <w:r w:rsidRPr="00BE6461">
              <w:rPr>
                <w:b/>
                <w:bCs/>
                <w:sz w:val="20"/>
                <w:szCs w:val="20"/>
              </w:rPr>
              <w:t>Kapitalni projekt: GRAĐEVINE I UREĐAJI JAVNE NAMJENE - REKONSTRUKCIJA POSTOJEĆIH GRAĐEVINA KOMUNALNE INFRASTRUKTURE</w:t>
            </w:r>
          </w:p>
        </w:tc>
        <w:tc>
          <w:tcPr>
            <w:tcW w:w="1503" w:type="dxa"/>
            <w:tcBorders>
              <w:top w:val="single" w:sz="4" w:space="0" w:color="auto"/>
              <w:left w:val="nil"/>
              <w:bottom w:val="single" w:sz="4" w:space="0" w:color="auto"/>
              <w:right w:val="nil"/>
            </w:tcBorders>
            <w:shd w:val="clear" w:color="auto" w:fill="auto"/>
            <w:noWrap/>
            <w:vAlign w:val="bottom"/>
            <w:hideMark/>
          </w:tcPr>
          <w:p w14:paraId="7873E389" w14:textId="77777777" w:rsidR="00BE6461" w:rsidRPr="00BE6461" w:rsidRDefault="00BE6461" w:rsidP="00BE6461">
            <w:pPr>
              <w:jc w:val="right"/>
              <w:rPr>
                <w:b/>
                <w:bCs/>
                <w:sz w:val="20"/>
                <w:szCs w:val="20"/>
              </w:rPr>
            </w:pPr>
            <w:r w:rsidRPr="00BE6461">
              <w:rPr>
                <w:b/>
                <w:bCs/>
                <w:sz w:val="20"/>
                <w:szCs w:val="20"/>
              </w:rPr>
              <w:t>153.733,75</w:t>
            </w:r>
          </w:p>
        </w:tc>
        <w:tc>
          <w:tcPr>
            <w:tcW w:w="1500" w:type="dxa"/>
            <w:tcBorders>
              <w:top w:val="single" w:sz="4" w:space="0" w:color="auto"/>
              <w:left w:val="nil"/>
              <w:bottom w:val="single" w:sz="4" w:space="0" w:color="auto"/>
              <w:right w:val="nil"/>
            </w:tcBorders>
            <w:shd w:val="clear" w:color="auto" w:fill="auto"/>
            <w:noWrap/>
            <w:vAlign w:val="bottom"/>
            <w:hideMark/>
          </w:tcPr>
          <w:p w14:paraId="10ECF1CA" w14:textId="77777777" w:rsidR="00BE6461" w:rsidRPr="00BE6461" w:rsidRDefault="00BE6461" w:rsidP="00BE6461">
            <w:pPr>
              <w:jc w:val="right"/>
              <w:rPr>
                <w:b/>
                <w:bCs/>
                <w:sz w:val="20"/>
                <w:szCs w:val="20"/>
              </w:rPr>
            </w:pPr>
            <w:r w:rsidRPr="00BE6461">
              <w:rPr>
                <w:b/>
                <w:bCs/>
                <w:sz w:val="20"/>
                <w:szCs w:val="20"/>
              </w:rPr>
              <w:t>153.733,75</w:t>
            </w:r>
          </w:p>
        </w:tc>
        <w:tc>
          <w:tcPr>
            <w:tcW w:w="1100" w:type="dxa"/>
            <w:tcBorders>
              <w:top w:val="single" w:sz="4" w:space="0" w:color="auto"/>
              <w:left w:val="nil"/>
              <w:bottom w:val="single" w:sz="4" w:space="0" w:color="auto"/>
              <w:right w:val="nil"/>
            </w:tcBorders>
            <w:shd w:val="clear" w:color="auto" w:fill="auto"/>
            <w:noWrap/>
            <w:vAlign w:val="bottom"/>
            <w:hideMark/>
          </w:tcPr>
          <w:p w14:paraId="6D047EF6"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2B225B2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F0B04D1"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74C4A5FB" w14:textId="77777777" w:rsidR="00BE6461" w:rsidRPr="00BE6461" w:rsidRDefault="00BE6461" w:rsidP="00BE6461">
            <w:pPr>
              <w:jc w:val="right"/>
              <w:rPr>
                <w:b/>
                <w:bCs/>
                <w:color w:val="333333"/>
                <w:sz w:val="20"/>
                <w:szCs w:val="20"/>
              </w:rPr>
            </w:pPr>
            <w:r w:rsidRPr="00BE6461">
              <w:rPr>
                <w:b/>
                <w:bCs/>
                <w:color w:val="333333"/>
                <w:sz w:val="20"/>
                <w:szCs w:val="20"/>
              </w:rPr>
              <w:t>20.000,00</w:t>
            </w:r>
          </w:p>
        </w:tc>
        <w:tc>
          <w:tcPr>
            <w:tcW w:w="1500" w:type="dxa"/>
            <w:tcBorders>
              <w:top w:val="nil"/>
              <w:left w:val="nil"/>
              <w:bottom w:val="nil"/>
              <w:right w:val="nil"/>
            </w:tcBorders>
            <w:shd w:val="clear" w:color="auto" w:fill="auto"/>
            <w:noWrap/>
            <w:vAlign w:val="bottom"/>
            <w:hideMark/>
          </w:tcPr>
          <w:p w14:paraId="37208924" w14:textId="77777777" w:rsidR="00BE6461" w:rsidRPr="00BE6461" w:rsidRDefault="00BE6461" w:rsidP="00BE6461">
            <w:pPr>
              <w:jc w:val="right"/>
              <w:rPr>
                <w:b/>
                <w:bCs/>
                <w:color w:val="333333"/>
                <w:sz w:val="20"/>
                <w:szCs w:val="20"/>
              </w:rPr>
            </w:pPr>
            <w:r w:rsidRPr="00BE6461">
              <w:rPr>
                <w:b/>
                <w:bCs/>
                <w:color w:val="333333"/>
                <w:sz w:val="20"/>
                <w:szCs w:val="20"/>
              </w:rPr>
              <w:t>20.000,00</w:t>
            </w:r>
          </w:p>
        </w:tc>
        <w:tc>
          <w:tcPr>
            <w:tcW w:w="1100" w:type="dxa"/>
            <w:tcBorders>
              <w:top w:val="nil"/>
              <w:left w:val="nil"/>
              <w:bottom w:val="nil"/>
              <w:right w:val="nil"/>
            </w:tcBorders>
            <w:shd w:val="clear" w:color="auto" w:fill="auto"/>
            <w:noWrap/>
            <w:vAlign w:val="bottom"/>
            <w:hideMark/>
          </w:tcPr>
          <w:p w14:paraId="763A06C3"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6CD7E010"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00ED73B"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3463CEE5" w14:textId="77777777" w:rsidR="00BE6461" w:rsidRPr="00BE6461" w:rsidRDefault="00BE6461" w:rsidP="00BE6461">
            <w:pPr>
              <w:jc w:val="right"/>
              <w:rPr>
                <w:b/>
                <w:bCs/>
                <w:color w:val="333333"/>
                <w:sz w:val="20"/>
                <w:szCs w:val="20"/>
              </w:rPr>
            </w:pPr>
            <w:r w:rsidRPr="00BE6461">
              <w:rPr>
                <w:b/>
                <w:bCs/>
                <w:color w:val="333333"/>
                <w:sz w:val="20"/>
                <w:szCs w:val="20"/>
              </w:rPr>
              <w:t>20.000,00</w:t>
            </w:r>
          </w:p>
        </w:tc>
        <w:tc>
          <w:tcPr>
            <w:tcW w:w="1500" w:type="dxa"/>
            <w:tcBorders>
              <w:top w:val="nil"/>
              <w:left w:val="nil"/>
              <w:bottom w:val="nil"/>
              <w:right w:val="nil"/>
            </w:tcBorders>
            <w:shd w:val="clear" w:color="auto" w:fill="auto"/>
            <w:noWrap/>
            <w:vAlign w:val="bottom"/>
            <w:hideMark/>
          </w:tcPr>
          <w:p w14:paraId="74050693" w14:textId="77777777" w:rsidR="00BE6461" w:rsidRPr="00BE6461" w:rsidRDefault="00BE6461" w:rsidP="00BE6461">
            <w:pPr>
              <w:jc w:val="right"/>
              <w:rPr>
                <w:b/>
                <w:bCs/>
                <w:color w:val="333333"/>
                <w:sz w:val="20"/>
                <w:szCs w:val="20"/>
              </w:rPr>
            </w:pPr>
            <w:r w:rsidRPr="00BE6461">
              <w:rPr>
                <w:b/>
                <w:bCs/>
                <w:color w:val="333333"/>
                <w:sz w:val="20"/>
                <w:szCs w:val="20"/>
              </w:rPr>
              <w:t>20.000,00</w:t>
            </w:r>
          </w:p>
        </w:tc>
        <w:tc>
          <w:tcPr>
            <w:tcW w:w="1100" w:type="dxa"/>
            <w:tcBorders>
              <w:top w:val="nil"/>
              <w:left w:val="nil"/>
              <w:bottom w:val="nil"/>
              <w:right w:val="nil"/>
            </w:tcBorders>
            <w:shd w:val="clear" w:color="auto" w:fill="auto"/>
            <w:noWrap/>
            <w:vAlign w:val="bottom"/>
            <w:hideMark/>
          </w:tcPr>
          <w:p w14:paraId="7FDA1801"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4BB8B1C5" w14:textId="77777777" w:rsidTr="00BE6461">
        <w:trPr>
          <w:trHeight w:val="300"/>
        </w:trPr>
        <w:tc>
          <w:tcPr>
            <w:tcW w:w="1703" w:type="dxa"/>
            <w:tcBorders>
              <w:top w:val="nil"/>
              <w:left w:val="nil"/>
              <w:bottom w:val="nil"/>
              <w:right w:val="nil"/>
            </w:tcBorders>
            <w:shd w:val="clear" w:color="auto" w:fill="auto"/>
            <w:noWrap/>
            <w:vAlign w:val="bottom"/>
            <w:hideMark/>
          </w:tcPr>
          <w:p w14:paraId="30BBAFD6" w14:textId="77777777" w:rsidR="00BE6461" w:rsidRPr="00BE6461" w:rsidRDefault="00BE6461" w:rsidP="00BE6461">
            <w:pPr>
              <w:rPr>
                <w:b/>
                <w:bCs/>
                <w:sz w:val="20"/>
                <w:szCs w:val="20"/>
              </w:rPr>
            </w:pPr>
            <w:r w:rsidRPr="00BE6461">
              <w:rPr>
                <w:b/>
                <w:bCs/>
                <w:sz w:val="20"/>
                <w:szCs w:val="20"/>
              </w:rPr>
              <w:t>366</w:t>
            </w:r>
          </w:p>
        </w:tc>
        <w:tc>
          <w:tcPr>
            <w:tcW w:w="8457" w:type="dxa"/>
            <w:tcBorders>
              <w:top w:val="nil"/>
              <w:left w:val="nil"/>
              <w:bottom w:val="nil"/>
              <w:right w:val="nil"/>
            </w:tcBorders>
            <w:shd w:val="clear" w:color="auto" w:fill="auto"/>
            <w:vAlign w:val="bottom"/>
            <w:hideMark/>
          </w:tcPr>
          <w:p w14:paraId="2B557F7B" w14:textId="77777777" w:rsidR="00BE6461" w:rsidRPr="00BE6461" w:rsidRDefault="00BE6461" w:rsidP="00BE6461">
            <w:pPr>
              <w:rPr>
                <w:b/>
                <w:bCs/>
                <w:sz w:val="20"/>
                <w:szCs w:val="20"/>
              </w:rPr>
            </w:pPr>
            <w:r w:rsidRPr="00BE6461">
              <w:rPr>
                <w:b/>
                <w:bCs/>
                <w:sz w:val="20"/>
                <w:szCs w:val="20"/>
              </w:rPr>
              <w:t>Pomoći proračunskim korisnicima drugih proračuna</w:t>
            </w:r>
          </w:p>
        </w:tc>
        <w:tc>
          <w:tcPr>
            <w:tcW w:w="1503" w:type="dxa"/>
            <w:tcBorders>
              <w:top w:val="nil"/>
              <w:left w:val="nil"/>
              <w:bottom w:val="nil"/>
              <w:right w:val="nil"/>
            </w:tcBorders>
            <w:shd w:val="clear" w:color="auto" w:fill="auto"/>
            <w:noWrap/>
            <w:vAlign w:val="bottom"/>
            <w:hideMark/>
          </w:tcPr>
          <w:p w14:paraId="0A086A41" w14:textId="77777777" w:rsidR="00BE6461" w:rsidRPr="00BE6461" w:rsidRDefault="00BE6461" w:rsidP="00BE6461">
            <w:pPr>
              <w:jc w:val="right"/>
              <w:rPr>
                <w:b/>
                <w:bCs/>
                <w:sz w:val="20"/>
                <w:szCs w:val="20"/>
              </w:rPr>
            </w:pPr>
            <w:r w:rsidRPr="00BE6461">
              <w:rPr>
                <w:b/>
                <w:bCs/>
                <w:sz w:val="20"/>
                <w:szCs w:val="20"/>
              </w:rPr>
              <w:t>20.000,00</w:t>
            </w:r>
          </w:p>
        </w:tc>
        <w:tc>
          <w:tcPr>
            <w:tcW w:w="1500" w:type="dxa"/>
            <w:tcBorders>
              <w:top w:val="nil"/>
              <w:left w:val="nil"/>
              <w:bottom w:val="nil"/>
              <w:right w:val="nil"/>
            </w:tcBorders>
            <w:shd w:val="clear" w:color="auto" w:fill="auto"/>
            <w:noWrap/>
            <w:vAlign w:val="bottom"/>
            <w:hideMark/>
          </w:tcPr>
          <w:p w14:paraId="7FE0E78C" w14:textId="77777777" w:rsidR="00BE6461" w:rsidRPr="00BE6461" w:rsidRDefault="00BE6461" w:rsidP="00BE6461">
            <w:pPr>
              <w:jc w:val="right"/>
              <w:rPr>
                <w:b/>
                <w:bCs/>
                <w:sz w:val="20"/>
                <w:szCs w:val="20"/>
              </w:rPr>
            </w:pPr>
            <w:r w:rsidRPr="00BE6461">
              <w:rPr>
                <w:b/>
                <w:bCs/>
                <w:sz w:val="20"/>
                <w:szCs w:val="20"/>
              </w:rPr>
              <w:t>20.000,00</w:t>
            </w:r>
          </w:p>
        </w:tc>
        <w:tc>
          <w:tcPr>
            <w:tcW w:w="1100" w:type="dxa"/>
            <w:tcBorders>
              <w:top w:val="nil"/>
              <w:left w:val="nil"/>
              <w:bottom w:val="nil"/>
              <w:right w:val="nil"/>
            </w:tcBorders>
            <w:shd w:val="clear" w:color="auto" w:fill="auto"/>
            <w:noWrap/>
            <w:vAlign w:val="bottom"/>
            <w:hideMark/>
          </w:tcPr>
          <w:p w14:paraId="721FDEF1"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142213EF" w14:textId="77777777" w:rsidTr="00BE6461">
        <w:trPr>
          <w:trHeight w:val="300"/>
        </w:trPr>
        <w:tc>
          <w:tcPr>
            <w:tcW w:w="1703" w:type="dxa"/>
            <w:tcBorders>
              <w:top w:val="nil"/>
              <w:left w:val="nil"/>
              <w:bottom w:val="nil"/>
              <w:right w:val="nil"/>
            </w:tcBorders>
            <w:shd w:val="clear" w:color="auto" w:fill="auto"/>
            <w:noWrap/>
            <w:vAlign w:val="bottom"/>
            <w:hideMark/>
          </w:tcPr>
          <w:p w14:paraId="0788B3E7" w14:textId="77777777" w:rsidR="00BE6461" w:rsidRPr="00BE6461" w:rsidRDefault="00BE6461" w:rsidP="00BE6461">
            <w:pPr>
              <w:rPr>
                <w:sz w:val="20"/>
                <w:szCs w:val="20"/>
              </w:rPr>
            </w:pPr>
            <w:r w:rsidRPr="00BE6461">
              <w:rPr>
                <w:sz w:val="20"/>
                <w:szCs w:val="20"/>
              </w:rPr>
              <w:t>3661</w:t>
            </w:r>
          </w:p>
        </w:tc>
        <w:tc>
          <w:tcPr>
            <w:tcW w:w="8457" w:type="dxa"/>
            <w:tcBorders>
              <w:top w:val="nil"/>
              <w:left w:val="nil"/>
              <w:bottom w:val="nil"/>
              <w:right w:val="nil"/>
            </w:tcBorders>
            <w:shd w:val="clear" w:color="auto" w:fill="auto"/>
            <w:vAlign w:val="bottom"/>
            <w:hideMark/>
          </w:tcPr>
          <w:p w14:paraId="226A5686" w14:textId="77777777" w:rsidR="00BE6461" w:rsidRPr="00BE6461" w:rsidRDefault="00BE6461" w:rsidP="00BE6461">
            <w:pPr>
              <w:rPr>
                <w:sz w:val="20"/>
                <w:szCs w:val="20"/>
              </w:rPr>
            </w:pPr>
            <w:r w:rsidRPr="00BE6461">
              <w:rPr>
                <w:sz w:val="20"/>
                <w:szCs w:val="20"/>
              </w:rPr>
              <w:t>Tekuće pomoći proračunskim korisnicima drugih proračuna</w:t>
            </w:r>
          </w:p>
        </w:tc>
        <w:tc>
          <w:tcPr>
            <w:tcW w:w="1503" w:type="dxa"/>
            <w:tcBorders>
              <w:top w:val="nil"/>
              <w:left w:val="nil"/>
              <w:bottom w:val="nil"/>
              <w:right w:val="nil"/>
            </w:tcBorders>
            <w:shd w:val="clear" w:color="auto" w:fill="auto"/>
            <w:noWrap/>
            <w:vAlign w:val="bottom"/>
            <w:hideMark/>
          </w:tcPr>
          <w:p w14:paraId="64860F9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6112DE9" w14:textId="77777777" w:rsidR="00BE6461" w:rsidRPr="00BE6461" w:rsidRDefault="00BE6461" w:rsidP="00BE6461">
            <w:pPr>
              <w:jc w:val="right"/>
              <w:rPr>
                <w:sz w:val="20"/>
                <w:szCs w:val="20"/>
              </w:rPr>
            </w:pPr>
            <w:r w:rsidRPr="00BE6461">
              <w:rPr>
                <w:sz w:val="20"/>
                <w:szCs w:val="20"/>
              </w:rPr>
              <w:t>20.000,00</w:t>
            </w:r>
          </w:p>
        </w:tc>
        <w:tc>
          <w:tcPr>
            <w:tcW w:w="1100" w:type="dxa"/>
            <w:tcBorders>
              <w:top w:val="nil"/>
              <w:left w:val="nil"/>
              <w:bottom w:val="nil"/>
              <w:right w:val="nil"/>
            </w:tcBorders>
            <w:shd w:val="clear" w:color="auto" w:fill="auto"/>
            <w:noWrap/>
            <w:vAlign w:val="bottom"/>
            <w:hideMark/>
          </w:tcPr>
          <w:p w14:paraId="5C1B0881" w14:textId="77777777" w:rsidR="00BE6461" w:rsidRPr="00BE6461" w:rsidRDefault="00BE6461" w:rsidP="00BE6461">
            <w:pPr>
              <w:jc w:val="right"/>
              <w:rPr>
                <w:sz w:val="20"/>
                <w:szCs w:val="20"/>
              </w:rPr>
            </w:pPr>
          </w:p>
        </w:tc>
      </w:tr>
      <w:tr w:rsidR="00BE6461" w:rsidRPr="00BE6461" w14:paraId="35277E1C"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A636DD8"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5379F63F" w14:textId="77777777" w:rsidR="00BE6461" w:rsidRPr="00BE6461" w:rsidRDefault="00BE6461" w:rsidP="00BE6461">
            <w:pPr>
              <w:jc w:val="right"/>
              <w:rPr>
                <w:b/>
                <w:bCs/>
                <w:color w:val="333333"/>
                <w:sz w:val="20"/>
                <w:szCs w:val="20"/>
              </w:rPr>
            </w:pPr>
            <w:r w:rsidRPr="00BE6461">
              <w:rPr>
                <w:b/>
                <w:bCs/>
                <w:color w:val="333333"/>
                <w:sz w:val="20"/>
                <w:szCs w:val="20"/>
              </w:rPr>
              <w:t>133.733,75</w:t>
            </w:r>
          </w:p>
        </w:tc>
        <w:tc>
          <w:tcPr>
            <w:tcW w:w="1500" w:type="dxa"/>
            <w:tcBorders>
              <w:top w:val="nil"/>
              <w:left w:val="nil"/>
              <w:bottom w:val="nil"/>
              <w:right w:val="nil"/>
            </w:tcBorders>
            <w:shd w:val="clear" w:color="auto" w:fill="auto"/>
            <w:noWrap/>
            <w:vAlign w:val="bottom"/>
            <w:hideMark/>
          </w:tcPr>
          <w:p w14:paraId="08E8B59E" w14:textId="77777777" w:rsidR="00BE6461" w:rsidRPr="00BE6461" w:rsidRDefault="00BE6461" w:rsidP="00BE6461">
            <w:pPr>
              <w:jc w:val="right"/>
              <w:rPr>
                <w:b/>
                <w:bCs/>
                <w:color w:val="333333"/>
                <w:sz w:val="20"/>
                <w:szCs w:val="20"/>
              </w:rPr>
            </w:pPr>
            <w:r w:rsidRPr="00BE6461">
              <w:rPr>
                <w:b/>
                <w:bCs/>
                <w:color w:val="333333"/>
                <w:sz w:val="20"/>
                <w:szCs w:val="20"/>
              </w:rPr>
              <w:t>133.733,75</w:t>
            </w:r>
          </w:p>
        </w:tc>
        <w:tc>
          <w:tcPr>
            <w:tcW w:w="1100" w:type="dxa"/>
            <w:tcBorders>
              <w:top w:val="nil"/>
              <w:left w:val="nil"/>
              <w:bottom w:val="nil"/>
              <w:right w:val="nil"/>
            </w:tcBorders>
            <w:shd w:val="clear" w:color="auto" w:fill="auto"/>
            <w:noWrap/>
            <w:vAlign w:val="bottom"/>
            <w:hideMark/>
          </w:tcPr>
          <w:p w14:paraId="628C22FF"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769F996F"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71DBA1C" w14:textId="77777777" w:rsidR="00BE6461" w:rsidRPr="00BE6461" w:rsidRDefault="00BE6461" w:rsidP="00BE6461">
            <w:pPr>
              <w:rPr>
                <w:b/>
                <w:bCs/>
                <w:color w:val="333333"/>
                <w:sz w:val="20"/>
                <w:szCs w:val="20"/>
              </w:rPr>
            </w:pPr>
            <w:r w:rsidRPr="00BE6461">
              <w:rPr>
                <w:b/>
                <w:bCs/>
                <w:color w:val="333333"/>
                <w:sz w:val="20"/>
                <w:szCs w:val="20"/>
              </w:rPr>
              <w:t>Izvor 4.2. PRIHODI POSEBNE NAMJENE - KOMUNALNI DOPRINOS</w:t>
            </w:r>
          </w:p>
        </w:tc>
        <w:tc>
          <w:tcPr>
            <w:tcW w:w="1503" w:type="dxa"/>
            <w:tcBorders>
              <w:top w:val="nil"/>
              <w:left w:val="nil"/>
              <w:bottom w:val="nil"/>
              <w:right w:val="nil"/>
            </w:tcBorders>
            <w:shd w:val="clear" w:color="auto" w:fill="auto"/>
            <w:noWrap/>
            <w:vAlign w:val="bottom"/>
            <w:hideMark/>
          </w:tcPr>
          <w:p w14:paraId="5A799804" w14:textId="77777777" w:rsidR="00BE6461" w:rsidRPr="00BE6461" w:rsidRDefault="00BE6461" w:rsidP="00BE6461">
            <w:pPr>
              <w:jc w:val="right"/>
              <w:rPr>
                <w:b/>
                <w:bCs/>
                <w:color w:val="333333"/>
                <w:sz w:val="20"/>
                <w:szCs w:val="20"/>
              </w:rPr>
            </w:pPr>
            <w:r w:rsidRPr="00BE6461">
              <w:rPr>
                <w:b/>
                <w:bCs/>
                <w:color w:val="333333"/>
                <w:sz w:val="20"/>
                <w:szCs w:val="20"/>
              </w:rPr>
              <w:t>133.733,75</w:t>
            </w:r>
          </w:p>
        </w:tc>
        <w:tc>
          <w:tcPr>
            <w:tcW w:w="1500" w:type="dxa"/>
            <w:tcBorders>
              <w:top w:val="nil"/>
              <w:left w:val="nil"/>
              <w:bottom w:val="nil"/>
              <w:right w:val="nil"/>
            </w:tcBorders>
            <w:shd w:val="clear" w:color="auto" w:fill="auto"/>
            <w:noWrap/>
            <w:vAlign w:val="bottom"/>
            <w:hideMark/>
          </w:tcPr>
          <w:p w14:paraId="05C9B51D" w14:textId="77777777" w:rsidR="00BE6461" w:rsidRPr="00BE6461" w:rsidRDefault="00BE6461" w:rsidP="00BE6461">
            <w:pPr>
              <w:jc w:val="right"/>
              <w:rPr>
                <w:b/>
                <w:bCs/>
                <w:color w:val="333333"/>
                <w:sz w:val="20"/>
                <w:szCs w:val="20"/>
              </w:rPr>
            </w:pPr>
            <w:r w:rsidRPr="00BE6461">
              <w:rPr>
                <w:b/>
                <w:bCs/>
                <w:color w:val="333333"/>
                <w:sz w:val="20"/>
                <w:szCs w:val="20"/>
              </w:rPr>
              <w:t>133.733,75</w:t>
            </w:r>
          </w:p>
        </w:tc>
        <w:tc>
          <w:tcPr>
            <w:tcW w:w="1100" w:type="dxa"/>
            <w:tcBorders>
              <w:top w:val="nil"/>
              <w:left w:val="nil"/>
              <w:bottom w:val="nil"/>
              <w:right w:val="nil"/>
            </w:tcBorders>
            <w:shd w:val="clear" w:color="auto" w:fill="auto"/>
            <w:noWrap/>
            <w:vAlign w:val="bottom"/>
            <w:hideMark/>
          </w:tcPr>
          <w:p w14:paraId="2635BCFA"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37310942" w14:textId="77777777" w:rsidTr="00BE6461">
        <w:trPr>
          <w:trHeight w:val="300"/>
        </w:trPr>
        <w:tc>
          <w:tcPr>
            <w:tcW w:w="1703" w:type="dxa"/>
            <w:tcBorders>
              <w:top w:val="nil"/>
              <w:left w:val="nil"/>
              <w:bottom w:val="nil"/>
              <w:right w:val="nil"/>
            </w:tcBorders>
            <w:shd w:val="clear" w:color="auto" w:fill="auto"/>
            <w:noWrap/>
            <w:vAlign w:val="bottom"/>
            <w:hideMark/>
          </w:tcPr>
          <w:p w14:paraId="63CE36A0" w14:textId="77777777" w:rsidR="00BE6461" w:rsidRPr="00BE6461" w:rsidRDefault="00BE6461" w:rsidP="00BE6461">
            <w:pPr>
              <w:rPr>
                <w:b/>
                <w:bCs/>
                <w:sz w:val="20"/>
                <w:szCs w:val="20"/>
              </w:rPr>
            </w:pPr>
            <w:r w:rsidRPr="00BE6461">
              <w:rPr>
                <w:b/>
                <w:bCs/>
                <w:sz w:val="20"/>
                <w:szCs w:val="20"/>
              </w:rPr>
              <w:t>421</w:t>
            </w:r>
          </w:p>
        </w:tc>
        <w:tc>
          <w:tcPr>
            <w:tcW w:w="8457" w:type="dxa"/>
            <w:tcBorders>
              <w:top w:val="nil"/>
              <w:left w:val="nil"/>
              <w:bottom w:val="nil"/>
              <w:right w:val="nil"/>
            </w:tcBorders>
            <w:shd w:val="clear" w:color="auto" w:fill="auto"/>
            <w:vAlign w:val="bottom"/>
            <w:hideMark/>
          </w:tcPr>
          <w:p w14:paraId="79128957" w14:textId="77777777" w:rsidR="00BE6461" w:rsidRPr="00BE6461" w:rsidRDefault="00BE6461" w:rsidP="00BE6461">
            <w:pPr>
              <w:rPr>
                <w:b/>
                <w:bCs/>
                <w:sz w:val="20"/>
                <w:szCs w:val="20"/>
              </w:rPr>
            </w:pPr>
            <w:r w:rsidRPr="00BE6461">
              <w:rPr>
                <w:b/>
                <w:bCs/>
                <w:sz w:val="20"/>
                <w:szCs w:val="20"/>
              </w:rPr>
              <w:t xml:space="preserve">Građevinski objekti                                                                                 </w:t>
            </w:r>
          </w:p>
        </w:tc>
        <w:tc>
          <w:tcPr>
            <w:tcW w:w="1503" w:type="dxa"/>
            <w:tcBorders>
              <w:top w:val="nil"/>
              <w:left w:val="nil"/>
              <w:bottom w:val="nil"/>
              <w:right w:val="nil"/>
            </w:tcBorders>
            <w:shd w:val="clear" w:color="auto" w:fill="auto"/>
            <w:noWrap/>
            <w:vAlign w:val="bottom"/>
            <w:hideMark/>
          </w:tcPr>
          <w:p w14:paraId="572BBA0D" w14:textId="77777777" w:rsidR="00BE6461" w:rsidRPr="00BE6461" w:rsidRDefault="00BE6461" w:rsidP="00BE6461">
            <w:pPr>
              <w:jc w:val="right"/>
              <w:rPr>
                <w:b/>
                <w:bCs/>
                <w:sz w:val="20"/>
                <w:szCs w:val="20"/>
              </w:rPr>
            </w:pPr>
            <w:r w:rsidRPr="00BE6461">
              <w:rPr>
                <w:b/>
                <w:bCs/>
                <w:sz w:val="20"/>
                <w:szCs w:val="20"/>
              </w:rPr>
              <w:t>55.562,50</w:t>
            </w:r>
          </w:p>
        </w:tc>
        <w:tc>
          <w:tcPr>
            <w:tcW w:w="1500" w:type="dxa"/>
            <w:tcBorders>
              <w:top w:val="nil"/>
              <w:left w:val="nil"/>
              <w:bottom w:val="nil"/>
              <w:right w:val="nil"/>
            </w:tcBorders>
            <w:shd w:val="clear" w:color="auto" w:fill="auto"/>
            <w:noWrap/>
            <w:vAlign w:val="bottom"/>
            <w:hideMark/>
          </w:tcPr>
          <w:p w14:paraId="438D70D8" w14:textId="77777777" w:rsidR="00BE6461" w:rsidRPr="00BE6461" w:rsidRDefault="00BE6461" w:rsidP="00BE6461">
            <w:pPr>
              <w:jc w:val="right"/>
              <w:rPr>
                <w:b/>
                <w:bCs/>
                <w:sz w:val="20"/>
                <w:szCs w:val="20"/>
              </w:rPr>
            </w:pPr>
            <w:r w:rsidRPr="00BE6461">
              <w:rPr>
                <w:b/>
                <w:bCs/>
                <w:sz w:val="20"/>
                <w:szCs w:val="20"/>
              </w:rPr>
              <w:t>55.562,50</w:t>
            </w:r>
          </w:p>
        </w:tc>
        <w:tc>
          <w:tcPr>
            <w:tcW w:w="1100" w:type="dxa"/>
            <w:tcBorders>
              <w:top w:val="nil"/>
              <w:left w:val="nil"/>
              <w:bottom w:val="nil"/>
              <w:right w:val="nil"/>
            </w:tcBorders>
            <w:shd w:val="clear" w:color="auto" w:fill="auto"/>
            <w:noWrap/>
            <w:vAlign w:val="bottom"/>
            <w:hideMark/>
          </w:tcPr>
          <w:p w14:paraId="242EEC6E"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3DA413DC" w14:textId="77777777" w:rsidTr="00BE6461">
        <w:trPr>
          <w:trHeight w:val="300"/>
        </w:trPr>
        <w:tc>
          <w:tcPr>
            <w:tcW w:w="1703" w:type="dxa"/>
            <w:tcBorders>
              <w:top w:val="nil"/>
              <w:left w:val="nil"/>
              <w:bottom w:val="nil"/>
              <w:right w:val="nil"/>
            </w:tcBorders>
            <w:shd w:val="clear" w:color="auto" w:fill="auto"/>
            <w:noWrap/>
            <w:vAlign w:val="bottom"/>
            <w:hideMark/>
          </w:tcPr>
          <w:p w14:paraId="6F3D05E3" w14:textId="77777777" w:rsidR="00BE6461" w:rsidRPr="00BE6461" w:rsidRDefault="00BE6461" w:rsidP="00BE6461">
            <w:pPr>
              <w:rPr>
                <w:sz w:val="20"/>
                <w:szCs w:val="20"/>
              </w:rPr>
            </w:pPr>
            <w:r w:rsidRPr="00BE6461">
              <w:rPr>
                <w:sz w:val="20"/>
                <w:szCs w:val="20"/>
              </w:rPr>
              <w:t>4213</w:t>
            </w:r>
          </w:p>
        </w:tc>
        <w:tc>
          <w:tcPr>
            <w:tcW w:w="8457" w:type="dxa"/>
            <w:tcBorders>
              <w:top w:val="nil"/>
              <w:left w:val="nil"/>
              <w:bottom w:val="nil"/>
              <w:right w:val="nil"/>
            </w:tcBorders>
            <w:shd w:val="clear" w:color="auto" w:fill="auto"/>
            <w:vAlign w:val="bottom"/>
            <w:hideMark/>
          </w:tcPr>
          <w:p w14:paraId="1317B84C" w14:textId="77777777" w:rsidR="00BE6461" w:rsidRPr="00BE6461" w:rsidRDefault="00BE6461" w:rsidP="00BE6461">
            <w:pPr>
              <w:rPr>
                <w:sz w:val="20"/>
                <w:szCs w:val="20"/>
              </w:rPr>
            </w:pPr>
            <w:r w:rsidRPr="00BE6461">
              <w:rPr>
                <w:sz w:val="20"/>
                <w:szCs w:val="20"/>
              </w:rPr>
              <w:t xml:space="preserve">Ceste, željeznice i ostali prometni objekti                                                         </w:t>
            </w:r>
          </w:p>
        </w:tc>
        <w:tc>
          <w:tcPr>
            <w:tcW w:w="1503" w:type="dxa"/>
            <w:tcBorders>
              <w:top w:val="nil"/>
              <w:left w:val="nil"/>
              <w:bottom w:val="nil"/>
              <w:right w:val="nil"/>
            </w:tcBorders>
            <w:shd w:val="clear" w:color="auto" w:fill="auto"/>
            <w:noWrap/>
            <w:vAlign w:val="bottom"/>
            <w:hideMark/>
          </w:tcPr>
          <w:p w14:paraId="1006059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21049DE" w14:textId="77777777" w:rsidR="00BE6461" w:rsidRPr="00BE6461" w:rsidRDefault="00BE6461" w:rsidP="00BE6461">
            <w:pPr>
              <w:jc w:val="right"/>
              <w:rPr>
                <w:sz w:val="20"/>
                <w:szCs w:val="20"/>
              </w:rPr>
            </w:pPr>
            <w:r w:rsidRPr="00BE6461">
              <w:rPr>
                <w:sz w:val="20"/>
                <w:szCs w:val="20"/>
              </w:rPr>
              <w:t>55.562,50</w:t>
            </w:r>
          </w:p>
        </w:tc>
        <w:tc>
          <w:tcPr>
            <w:tcW w:w="1100" w:type="dxa"/>
            <w:tcBorders>
              <w:top w:val="nil"/>
              <w:left w:val="nil"/>
              <w:bottom w:val="nil"/>
              <w:right w:val="nil"/>
            </w:tcBorders>
            <w:shd w:val="clear" w:color="auto" w:fill="auto"/>
            <w:noWrap/>
            <w:vAlign w:val="bottom"/>
            <w:hideMark/>
          </w:tcPr>
          <w:p w14:paraId="55EE9A58" w14:textId="77777777" w:rsidR="00BE6461" w:rsidRPr="00BE6461" w:rsidRDefault="00BE6461" w:rsidP="00BE6461">
            <w:pPr>
              <w:jc w:val="right"/>
              <w:rPr>
                <w:sz w:val="20"/>
                <w:szCs w:val="20"/>
              </w:rPr>
            </w:pPr>
          </w:p>
        </w:tc>
      </w:tr>
      <w:tr w:rsidR="00BE6461" w:rsidRPr="00BE6461" w14:paraId="77452AEE" w14:textId="77777777" w:rsidTr="00BE6461">
        <w:trPr>
          <w:trHeight w:val="300"/>
        </w:trPr>
        <w:tc>
          <w:tcPr>
            <w:tcW w:w="1703" w:type="dxa"/>
            <w:tcBorders>
              <w:top w:val="nil"/>
              <w:left w:val="nil"/>
              <w:bottom w:val="nil"/>
              <w:right w:val="nil"/>
            </w:tcBorders>
            <w:shd w:val="clear" w:color="auto" w:fill="auto"/>
            <w:noWrap/>
            <w:vAlign w:val="bottom"/>
            <w:hideMark/>
          </w:tcPr>
          <w:p w14:paraId="5A9ABC5B" w14:textId="77777777" w:rsidR="00BE6461" w:rsidRPr="00BE6461" w:rsidRDefault="00BE6461" w:rsidP="00BE6461">
            <w:pPr>
              <w:rPr>
                <w:b/>
                <w:bCs/>
                <w:sz w:val="20"/>
                <w:szCs w:val="20"/>
              </w:rPr>
            </w:pPr>
            <w:r w:rsidRPr="00BE6461">
              <w:rPr>
                <w:b/>
                <w:bCs/>
                <w:sz w:val="20"/>
                <w:szCs w:val="20"/>
              </w:rPr>
              <w:t>451</w:t>
            </w:r>
          </w:p>
        </w:tc>
        <w:tc>
          <w:tcPr>
            <w:tcW w:w="8457" w:type="dxa"/>
            <w:tcBorders>
              <w:top w:val="nil"/>
              <w:left w:val="nil"/>
              <w:bottom w:val="nil"/>
              <w:right w:val="nil"/>
            </w:tcBorders>
            <w:shd w:val="clear" w:color="auto" w:fill="auto"/>
            <w:vAlign w:val="bottom"/>
            <w:hideMark/>
          </w:tcPr>
          <w:p w14:paraId="7D38DC4D" w14:textId="77777777" w:rsidR="00BE6461" w:rsidRPr="00BE6461" w:rsidRDefault="00BE6461" w:rsidP="00BE6461">
            <w:pPr>
              <w:rPr>
                <w:b/>
                <w:bCs/>
                <w:sz w:val="20"/>
                <w:szCs w:val="20"/>
              </w:rPr>
            </w:pPr>
            <w:r w:rsidRPr="00BE6461">
              <w:rPr>
                <w:b/>
                <w:bCs/>
                <w:sz w:val="20"/>
                <w:szCs w:val="20"/>
              </w:rPr>
              <w:t xml:space="preserve">Dodatna ulaganja na građevinskim objektima                                                          </w:t>
            </w:r>
          </w:p>
        </w:tc>
        <w:tc>
          <w:tcPr>
            <w:tcW w:w="1503" w:type="dxa"/>
            <w:tcBorders>
              <w:top w:val="nil"/>
              <w:left w:val="nil"/>
              <w:bottom w:val="nil"/>
              <w:right w:val="nil"/>
            </w:tcBorders>
            <w:shd w:val="clear" w:color="auto" w:fill="auto"/>
            <w:noWrap/>
            <w:vAlign w:val="bottom"/>
            <w:hideMark/>
          </w:tcPr>
          <w:p w14:paraId="09686FBC" w14:textId="77777777" w:rsidR="00BE6461" w:rsidRPr="00BE6461" w:rsidRDefault="00BE6461" w:rsidP="00BE6461">
            <w:pPr>
              <w:jc w:val="right"/>
              <w:rPr>
                <w:b/>
                <w:bCs/>
                <w:sz w:val="20"/>
                <w:szCs w:val="20"/>
              </w:rPr>
            </w:pPr>
            <w:r w:rsidRPr="00BE6461">
              <w:rPr>
                <w:b/>
                <w:bCs/>
                <w:sz w:val="20"/>
                <w:szCs w:val="20"/>
              </w:rPr>
              <w:t>78.171,25</w:t>
            </w:r>
          </w:p>
        </w:tc>
        <w:tc>
          <w:tcPr>
            <w:tcW w:w="1500" w:type="dxa"/>
            <w:tcBorders>
              <w:top w:val="nil"/>
              <w:left w:val="nil"/>
              <w:bottom w:val="nil"/>
              <w:right w:val="nil"/>
            </w:tcBorders>
            <w:shd w:val="clear" w:color="auto" w:fill="auto"/>
            <w:noWrap/>
            <w:vAlign w:val="bottom"/>
            <w:hideMark/>
          </w:tcPr>
          <w:p w14:paraId="06933938" w14:textId="77777777" w:rsidR="00BE6461" w:rsidRPr="00BE6461" w:rsidRDefault="00BE6461" w:rsidP="00BE6461">
            <w:pPr>
              <w:jc w:val="right"/>
              <w:rPr>
                <w:b/>
                <w:bCs/>
                <w:sz w:val="20"/>
                <w:szCs w:val="20"/>
              </w:rPr>
            </w:pPr>
            <w:r w:rsidRPr="00BE6461">
              <w:rPr>
                <w:b/>
                <w:bCs/>
                <w:sz w:val="20"/>
                <w:szCs w:val="20"/>
              </w:rPr>
              <w:t>78.171,25</w:t>
            </w:r>
          </w:p>
        </w:tc>
        <w:tc>
          <w:tcPr>
            <w:tcW w:w="1100" w:type="dxa"/>
            <w:tcBorders>
              <w:top w:val="nil"/>
              <w:left w:val="nil"/>
              <w:bottom w:val="nil"/>
              <w:right w:val="nil"/>
            </w:tcBorders>
            <w:shd w:val="clear" w:color="auto" w:fill="auto"/>
            <w:noWrap/>
            <w:vAlign w:val="bottom"/>
            <w:hideMark/>
          </w:tcPr>
          <w:p w14:paraId="5906DC7A"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20C1A44D" w14:textId="77777777" w:rsidTr="00BE6461">
        <w:trPr>
          <w:trHeight w:val="300"/>
        </w:trPr>
        <w:tc>
          <w:tcPr>
            <w:tcW w:w="1703" w:type="dxa"/>
            <w:tcBorders>
              <w:top w:val="nil"/>
              <w:left w:val="nil"/>
              <w:bottom w:val="nil"/>
              <w:right w:val="nil"/>
            </w:tcBorders>
            <w:shd w:val="clear" w:color="auto" w:fill="auto"/>
            <w:noWrap/>
            <w:vAlign w:val="bottom"/>
            <w:hideMark/>
          </w:tcPr>
          <w:p w14:paraId="338CDAE8" w14:textId="77777777" w:rsidR="00BE6461" w:rsidRPr="00BE6461" w:rsidRDefault="00BE6461" w:rsidP="00BE6461">
            <w:pPr>
              <w:rPr>
                <w:sz w:val="20"/>
                <w:szCs w:val="20"/>
              </w:rPr>
            </w:pPr>
            <w:r w:rsidRPr="00BE6461">
              <w:rPr>
                <w:sz w:val="20"/>
                <w:szCs w:val="20"/>
              </w:rPr>
              <w:t>4511</w:t>
            </w:r>
          </w:p>
        </w:tc>
        <w:tc>
          <w:tcPr>
            <w:tcW w:w="8457" w:type="dxa"/>
            <w:tcBorders>
              <w:top w:val="nil"/>
              <w:left w:val="nil"/>
              <w:bottom w:val="nil"/>
              <w:right w:val="nil"/>
            </w:tcBorders>
            <w:shd w:val="clear" w:color="auto" w:fill="auto"/>
            <w:vAlign w:val="bottom"/>
            <w:hideMark/>
          </w:tcPr>
          <w:p w14:paraId="3DB6C63B" w14:textId="77777777" w:rsidR="00BE6461" w:rsidRPr="00BE6461" w:rsidRDefault="00BE6461" w:rsidP="00BE6461">
            <w:pPr>
              <w:rPr>
                <w:sz w:val="20"/>
                <w:szCs w:val="20"/>
              </w:rPr>
            </w:pPr>
            <w:r w:rsidRPr="00BE6461">
              <w:rPr>
                <w:sz w:val="20"/>
                <w:szCs w:val="20"/>
              </w:rPr>
              <w:t xml:space="preserve">Dodatna ulaganja na građevinskim objektima                                                          </w:t>
            </w:r>
          </w:p>
        </w:tc>
        <w:tc>
          <w:tcPr>
            <w:tcW w:w="1503" w:type="dxa"/>
            <w:tcBorders>
              <w:top w:val="nil"/>
              <w:left w:val="nil"/>
              <w:bottom w:val="nil"/>
              <w:right w:val="nil"/>
            </w:tcBorders>
            <w:shd w:val="clear" w:color="auto" w:fill="auto"/>
            <w:noWrap/>
            <w:vAlign w:val="bottom"/>
            <w:hideMark/>
          </w:tcPr>
          <w:p w14:paraId="27DF9802"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7D73EA5" w14:textId="77777777" w:rsidR="00BE6461" w:rsidRPr="00BE6461" w:rsidRDefault="00BE6461" w:rsidP="00BE6461">
            <w:pPr>
              <w:jc w:val="right"/>
              <w:rPr>
                <w:sz w:val="20"/>
                <w:szCs w:val="20"/>
              </w:rPr>
            </w:pPr>
            <w:r w:rsidRPr="00BE6461">
              <w:rPr>
                <w:sz w:val="20"/>
                <w:szCs w:val="20"/>
              </w:rPr>
              <w:t>78.171,25</w:t>
            </w:r>
          </w:p>
        </w:tc>
        <w:tc>
          <w:tcPr>
            <w:tcW w:w="1100" w:type="dxa"/>
            <w:tcBorders>
              <w:top w:val="nil"/>
              <w:left w:val="nil"/>
              <w:bottom w:val="nil"/>
              <w:right w:val="nil"/>
            </w:tcBorders>
            <w:shd w:val="clear" w:color="auto" w:fill="auto"/>
            <w:noWrap/>
            <w:vAlign w:val="bottom"/>
            <w:hideMark/>
          </w:tcPr>
          <w:p w14:paraId="278B2971" w14:textId="77777777" w:rsidR="00BE6461" w:rsidRPr="00BE6461" w:rsidRDefault="00BE6461" w:rsidP="00BE6461">
            <w:pPr>
              <w:jc w:val="right"/>
              <w:rPr>
                <w:sz w:val="20"/>
                <w:szCs w:val="20"/>
              </w:rPr>
            </w:pPr>
          </w:p>
        </w:tc>
      </w:tr>
      <w:tr w:rsidR="00BE6461" w:rsidRPr="00BE6461" w14:paraId="391A2FBE" w14:textId="77777777" w:rsidTr="00BE6461">
        <w:trPr>
          <w:trHeight w:val="390"/>
        </w:trPr>
        <w:tc>
          <w:tcPr>
            <w:tcW w:w="1703" w:type="dxa"/>
            <w:tcBorders>
              <w:top w:val="single" w:sz="4" w:space="0" w:color="auto"/>
              <w:left w:val="nil"/>
              <w:bottom w:val="nil"/>
              <w:right w:val="nil"/>
            </w:tcBorders>
            <w:shd w:val="clear" w:color="auto" w:fill="auto"/>
            <w:noWrap/>
            <w:vAlign w:val="bottom"/>
            <w:hideMark/>
          </w:tcPr>
          <w:p w14:paraId="3FC8E60E" w14:textId="77777777" w:rsidR="00BE6461" w:rsidRPr="00BE6461" w:rsidRDefault="00BE6461" w:rsidP="00BE6461">
            <w:pPr>
              <w:rPr>
                <w:b/>
                <w:bCs/>
                <w:sz w:val="20"/>
                <w:szCs w:val="20"/>
              </w:rPr>
            </w:pPr>
            <w:r w:rsidRPr="00BE6461">
              <w:rPr>
                <w:b/>
                <w:bCs/>
                <w:sz w:val="20"/>
                <w:szCs w:val="20"/>
              </w:rPr>
              <w:t>2006</w:t>
            </w:r>
          </w:p>
        </w:tc>
        <w:tc>
          <w:tcPr>
            <w:tcW w:w="8457" w:type="dxa"/>
            <w:tcBorders>
              <w:top w:val="single" w:sz="4" w:space="0" w:color="auto"/>
              <w:left w:val="nil"/>
              <w:bottom w:val="nil"/>
              <w:right w:val="nil"/>
            </w:tcBorders>
            <w:shd w:val="clear" w:color="auto" w:fill="auto"/>
            <w:vAlign w:val="bottom"/>
            <w:hideMark/>
          </w:tcPr>
          <w:p w14:paraId="192E76E3" w14:textId="77777777" w:rsidR="00BE6461" w:rsidRPr="00BE6461" w:rsidRDefault="00BE6461" w:rsidP="00BE6461">
            <w:pPr>
              <w:rPr>
                <w:b/>
                <w:bCs/>
                <w:sz w:val="20"/>
                <w:szCs w:val="20"/>
              </w:rPr>
            </w:pPr>
            <w:r w:rsidRPr="00BE6461">
              <w:rPr>
                <w:b/>
                <w:bCs/>
                <w:sz w:val="20"/>
                <w:szCs w:val="20"/>
              </w:rPr>
              <w:t>Program: FINANCIRANJE PROTUPOŽARNE I CIVILNE ZAŠTITE</w:t>
            </w:r>
          </w:p>
        </w:tc>
        <w:tc>
          <w:tcPr>
            <w:tcW w:w="1503" w:type="dxa"/>
            <w:tcBorders>
              <w:top w:val="single" w:sz="4" w:space="0" w:color="auto"/>
              <w:left w:val="nil"/>
              <w:bottom w:val="nil"/>
              <w:right w:val="nil"/>
            </w:tcBorders>
            <w:shd w:val="clear" w:color="auto" w:fill="auto"/>
            <w:noWrap/>
            <w:vAlign w:val="bottom"/>
            <w:hideMark/>
          </w:tcPr>
          <w:p w14:paraId="2693A71A" w14:textId="77777777" w:rsidR="00BE6461" w:rsidRPr="00BE6461" w:rsidRDefault="00BE6461" w:rsidP="00BE6461">
            <w:pPr>
              <w:jc w:val="right"/>
              <w:rPr>
                <w:b/>
                <w:bCs/>
                <w:sz w:val="20"/>
                <w:szCs w:val="20"/>
              </w:rPr>
            </w:pPr>
            <w:r w:rsidRPr="00BE6461">
              <w:rPr>
                <w:b/>
                <w:bCs/>
                <w:sz w:val="20"/>
                <w:szCs w:val="20"/>
              </w:rPr>
              <w:t>1.875.617,97</w:t>
            </w:r>
          </w:p>
        </w:tc>
        <w:tc>
          <w:tcPr>
            <w:tcW w:w="1500" w:type="dxa"/>
            <w:tcBorders>
              <w:top w:val="single" w:sz="4" w:space="0" w:color="auto"/>
              <w:left w:val="nil"/>
              <w:bottom w:val="nil"/>
              <w:right w:val="nil"/>
            </w:tcBorders>
            <w:shd w:val="clear" w:color="auto" w:fill="auto"/>
            <w:noWrap/>
            <w:vAlign w:val="bottom"/>
            <w:hideMark/>
          </w:tcPr>
          <w:p w14:paraId="097E529C" w14:textId="77777777" w:rsidR="00BE6461" w:rsidRPr="00BE6461" w:rsidRDefault="00BE6461" w:rsidP="00BE6461">
            <w:pPr>
              <w:jc w:val="right"/>
              <w:rPr>
                <w:b/>
                <w:bCs/>
                <w:sz w:val="20"/>
                <w:szCs w:val="20"/>
              </w:rPr>
            </w:pPr>
            <w:r w:rsidRPr="00BE6461">
              <w:rPr>
                <w:b/>
                <w:bCs/>
                <w:sz w:val="20"/>
                <w:szCs w:val="20"/>
              </w:rPr>
              <w:t>1.875.080,45</w:t>
            </w:r>
          </w:p>
        </w:tc>
        <w:tc>
          <w:tcPr>
            <w:tcW w:w="1100" w:type="dxa"/>
            <w:tcBorders>
              <w:top w:val="single" w:sz="4" w:space="0" w:color="auto"/>
              <w:left w:val="nil"/>
              <w:bottom w:val="nil"/>
              <w:right w:val="nil"/>
            </w:tcBorders>
            <w:shd w:val="clear" w:color="auto" w:fill="auto"/>
            <w:noWrap/>
            <w:vAlign w:val="bottom"/>
            <w:hideMark/>
          </w:tcPr>
          <w:p w14:paraId="4E33ED0F" w14:textId="77777777" w:rsidR="00BE6461" w:rsidRPr="00BE6461" w:rsidRDefault="00BE6461" w:rsidP="00BE6461">
            <w:pPr>
              <w:jc w:val="right"/>
              <w:rPr>
                <w:b/>
                <w:bCs/>
                <w:sz w:val="20"/>
                <w:szCs w:val="20"/>
              </w:rPr>
            </w:pPr>
            <w:r w:rsidRPr="00BE6461">
              <w:rPr>
                <w:b/>
                <w:bCs/>
                <w:sz w:val="20"/>
                <w:szCs w:val="20"/>
              </w:rPr>
              <w:t>99,97</w:t>
            </w:r>
          </w:p>
        </w:tc>
      </w:tr>
      <w:tr w:rsidR="00BE6461" w:rsidRPr="00BE6461" w14:paraId="47EE8C38"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3CA656F4" w14:textId="77777777" w:rsidR="00BE6461" w:rsidRPr="00BE6461" w:rsidRDefault="00BE6461" w:rsidP="00BE6461">
            <w:pPr>
              <w:rPr>
                <w:b/>
                <w:bCs/>
                <w:sz w:val="20"/>
                <w:szCs w:val="20"/>
              </w:rPr>
            </w:pPr>
            <w:r w:rsidRPr="00BE6461">
              <w:rPr>
                <w:b/>
                <w:bCs/>
                <w:sz w:val="20"/>
                <w:szCs w:val="20"/>
              </w:rPr>
              <w:t>A200011</w:t>
            </w:r>
          </w:p>
        </w:tc>
        <w:tc>
          <w:tcPr>
            <w:tcW w:w="8457" w:type="dxa"/>
            <w:tcBorders>
              <w:top w:val="single" w:sz="4" w:space="0" w:color="auto"/>
              <w:left w:val="nil"/>
              <w:bottom w:val="single" w:sz="4" w:space="0" w:color="auto"/>
              <w:right w:val="nil"/>
            </w:tcBorders>
            <w:shd w:val="clear" w:color="auto" w:fill="auto"/>
            <w:vAlign w:val="bottom"/>
            <w:hideMark/>
          </w:tcPr>
          <w:p w14:paraId="54629AB1" w14:textId="77777777" w:rsidR="00BE6461" w:rsidRPr="00BE6461" w:rsidRDefault="00BE6461" w:rsidP="00BE6461">
            <w:pPr>
              <w:rPr>
                <w:b/>
                <w:bCs/>
                <w:sz w:val="20"/>
                <w:szCs w:val="20"/>
              </w:rPr>
            </w:pPr>
            <w:r w:rsidRPr="00BE6461">
              <w:rPr>
                <w:b/>
                <w:bCs/>
                <w:sz w:val="20"/>
                <w:szCs w:val="20"/>
              </w:rPr>
              <w:t>Aktivnost: POMOĆI, DONACIJE I OSTALI RASHODI ZA REDOVAN RAD SLUŽBI</w:t>
            </w:r>
          </w:p>
        </w:tc>
        <w:tc>
          <w:tcPr>
            <w:tcW w:w="1503" w:type="dxa"/>
            <w:tcBorders>
              <w:top w:val="single" w:sz="4" w:space="0" w:color="auto"/>
              <w:left w:val="nil"/>
              <w:bottom w:val="single" w:sz="4" w:space="0" w:color="auto"/>
              <w:right w:val="nil"/>
            </w:tcBorders>
            <w:shd w:val="clear" w:color="auto" w:fill="auto"/>
            <w:noWrap/>
            <w:vAlign w:val="bottom"/>
            <w:hideMark/>
          </w:tcPr>
          <w:p w14:paraId="65D56026" w14:textId="77777777" w:rsidR="00BE6461" w:rsidRPr="00BE6461" w:rsidRDefault="00BE6461" w:rsidP="00BE6461">
            <w:pPr>
              <w:jc w:val="right"/>
              <w:rPr>
                <w:b/>
                <w:bCs/>
                <w:sz w:val="20"/>
                <w:szCs w:val="20"/>
              </w:rPr>
            </w:pPr>
            <w:r w:rsidRPr="00BE6461">
              <w:rPr>
                <w:b/>
                <w:bCs/>
                <w:sz w:val="20"/>
                <w:szCs w:val="20"/>
              </w:rPr>
              <w:t>1.875.617,97</w:t>
            </w:r>
          </w:p>
        </w:tc>
        <w:tc>
          <w:tcPr>
            <w:tcW w:w="1500" w:type="dxa"/>
            <w:tcBorders>
              <w:top w:val="single" w:sz="4" w:space="0" w:color="auto"/>
              <w:left w:val="nil"/>
              <w:bottom w:val="single" w:sz="4" w:space="0" w:color="auto"/>
              <w:right w:val="nil"/>
            </w:tcBorders>
            <w:shd w:val="clear" w:color="auto" w:fill="auto"/>
            <w:noWrap/>
            <w:vAlign w:val="bottom"/>
            <w:hideMark/>
          </w:tcPr>
          <w:p w14:paraId="45D68891" w14:textId="77777777" w:rsidR="00BE6461" w:rsidRPr="00BE6461" w:rsidRDefault="00BE6461" w:rsidP="00BE6461">
            <w:pPr>
              <w:jc w:val="right"/>
              <w:rPr>
                <w:b/>
                <w:bCs/>
                <w:sz w:val="20"/>
                <w:szCs w:val="20"/>
              </w:rPr>
            </w:pPr>
            <w:r w:rsidRPr="00BE6461">
              <w:rPr>
                <w:b/>
                <w:bCs/>
                <w:sz w:val="20"/>
                <w:szCs w:val="20"/>
              </w:rPr>
              <w:t>1.875.080,45</w:t>
            </w:r>
          </w:p>
        </w:tc>
        <w:tc>
          <w:tcPr>
            <w:tcW w:w="1100" w:type="dxa"/>
            <w:tcBorders>
              <w:top w:val="single" w:sz="4" w:space="0" w:color="auto"/>
              <w:left w:val="nil"/>
              <w:bottom w:val="single" w:sz="4" w:space="0" w:color="auto"/>
              <w:right w:val="nil"/>
            </w:tcBorders>
            <w:shd w:val="clear" w:color="auto" w:fill="auto"/>
            <w:noWrap/>
            <w:vAlign w:val="bottom"/>
            <w:hideMark/>
          </w:tcPr>
          <w:p w14:paraId="5241F8B1" w14:textId="77777777" w:rsidR="00BE6461" w:rsidRPr="00BE6461" w:rsidRDefault="00BE6461" w:rsidP="00BE6461">
            <w:pPr>
              <w:jc w:val="right"/>
              <w:rPr>
                <w:b/>
                <w:bCs/>
                <w:sz w:val="20"/>
                <w:szCs w:val="20"/>
              </w:rPr>
            </w:pPr>
            <w:r w:rsidRPr="00BE6461">
              <w:rPr>
                <w:b/>
                <w:bCs/>
                <w:sz w:val="20"/>
                <w:szCs w:val="20"/>
              </w:rPr>
              <w:t>99,97</w:t>
            </w:r>
          </w:p>
        </w:tc>
      </w:tr>
      <w:tr w:rsidR="00BE6461" w:rsidRPr="00BE6461" w14:paraId="2CE1A94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5862C18"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27564FD7" w14:textId="77777777" w:rsidR="00BE6461" w:rsidRPr="00BE6461" w:rsidRDefault="00BE6461" w:rsidP="00BE6461">
            <w:pPr>
              <w:jc w:val="right"/>
              <w:rPr>
                <w:b/>
                <w:bCs/>
                <w:color w:val="333333"/>
                <w:sz w:val="20"/>
                <w:szCs w:val="20"/>
              </w:rPr>
            </w:pPr>
            <w:r w:rsidRPr="00BE6461">
              <w:rPr>
                <w:b/>
                <w:bCs/>
                <w:color w:val="333333"/>
                <w:sz w:val="20"/>
                <w:szCs w:val="20"/>
              </w:rPr>
              <w:t>1.160.617,97</w:t>
            </w:r>
          </w:p>
        </w:tc>
        <w:tc>
          <w:tcPr>
            <w:tcW w:w="1500" w:type="dxa"/>
            <w:tcBorders>
              <w:top w:val="nil"/>
              <w:left w:val="nil"/>
              <w:bottom w:val="nil"/>
              <w:right w:val="nil"/>
            </w:tcBorders>
            <w:shd w:val="clear" w:color="auto" w:fill="auto"/>
            <w:noWrap/>
            <w:vAlign w:val="bottom"/>
            <w:hideMark/>
          </w:tcPr>
          <w:p w14:paraId="3541AAA5" w14:textId="77777777" w:rsidR="00BE6461" w:rsidRPr="00BE6461" w:rsidRDefault="00BE6461" w:rsidP="00BE6461">
            <w:pPr>
              <w:jc w:val="right"/>
              <w:rPr>
                <w:b/>
                <w:bCs/>
                <w:color w:val="333333"/>
                <w:sz w:val="20"/>
                <w:szCs w:val="20"/>
              </w:rPr>
            </w:pPr>
            <w:r w:rsidRPr="00BE6461">
              <w:rPr>
                <w:b/>
                <w:bCs/>
                <w:color w:val="333333"/>
                <w:sz w:val="20"/>
                <w:szCs w:val="20"/>
              </w:rPr>
              <w:t>1.189.061,45</w:t>
            </w:r>
          </w:p>
        </w:tc>
        <w:tc>
          <w:tcPr>
            <w:tcW w:w="1100" w:type="dxa"/>
            <w:tcBorders>
              <w:top w:val="nil"/>
              <w:left w:val="nil"/>
              <w:bottom w:val="nil"/>
              <w:right w:val="nil"/>
            </w:tcBorders>
            <w:shd w:val="clear" w:color="auto" w:fill="auto"/>
            <w:noWrap/>
            <w:vAlign w:val="bottom"/>
            <w:hideMark/>
          </w:tcPr>
          <w:p w14:paraId="333C56FB" w14:textId="77777777" w:rsidR="00BE6461" w:rsidRPr="00BE6461" w:rsidRDefault="00BE6461" w:rsidP="00BE6461">
            <w:pPr>
              <w:jc w:val="right"/>
              <w:rPr>
                <w:b/>
                <w:bCs/>
                <w:color w:val="333333"/>
                <w:sz w:val="20"/>
                <w:szCs w:val="20"/>
              </w:rPr>
            </w:pPr>
            <w:r w:rsidRPr="00BE6461">
              <w:rPr>
                <w:b/>
                <w:bCs/>
                <w:color w:val="333333"/>
                <w:sz w:val="20"/>
                <w:szCs w:val="20"/>
              </w:rPr>
              <w:t>102,45</w:t>
            </w:r>
          </w:p>
        </w:tc>
      </w:tr>
      <w:tr w:rsidR="00BE6461" w:rsidRPr="00BE6461" w14:paraId="549DEB40"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8272D27"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41FC2BC0" w14:textId="77777777" w:rsidR="00BE6461" w:rsidRPr="00BE6461" w:rsidRDefault="00BE6461" w:rsidP="00BE6461">
            <w:pPr>
              <w:jc w:val="right"/>
              <w:rPr>
                <w:b/>
                <w:bCs/>
                <w:color w:val="333333"/>
                <w:sz w:val="20"/>
                <w:szCs w:val="20"/>
              </w:rPr>
            </w:pPr>
            <w:r w:rsidRPr="00BE6461">
              <w:rPr>
                <w:b/>
                <w:bCs/>
                <w:color w:val="333333"/>
                <w:sz w:val="20"/>
                <w:szCs w:val="20"/>
              </w:rPr>
              <w:t>1.160.617,97</w:t>
            </w:r>
          </w:p>
        </w:tc>
        <w:tc>
          <w:tcPr>
            <w:tcW w:w="1500" w:type="dxa"/>
            <w:tcBorders>
              <w:top w:val="nil"/>
              <w:left w:val="nil"/>
              <w:bottom w:val="nil"/>
              <w:right w:val="nil"/>
            </w:tcBorders>
            <w:shd w:val="clear" w:color="auto" w:fill="auto"/>
            <w:noWrap/>
            <w:vAlign w:val="bottom"/>
            <w:hideMark/>
          </w:tcPr>
          <w:p w14:paraId="022744E3" w14:textId="77777777" w:rsidR="00BE6461" w:rsidRPr="00BE6461" w:rsidRDefault="00BE6461" w:rsidP="00BE6461">
            <w:pPr>
              <w:jc w:val="right"/>
              <w:rPr>
                <w:b/>
                <w:bCs/>
                <w:color w:val="333333"/>
                <w:sz w:val="20"/>
                <w:szCs w:val="20"/>
              </w:rPr>
            </w:pPr>
            <w:r w:rsidRPr="00BE6461">
              <w:rPr>
                <w:b/>
                <w:bCs/>
                <w:color w:val="333333"/>
                <w:sz w:val="20"/>
                <w:szCs w:val="20"/>
              </w:rPr>
              <w:t>1.189.061,45</w:t>
            </w:r>
          </w:p>
        </w:tc>
        <w:tc>
          <w:tcPr>
            <w:tcW w:w="1100" w:type="dxa"/>
            <w:tcBorders>
              <w:top w:val="nil"/>
              <w:left w:val="nil"/>
              <w:bottom w:val="nil"/>
              <w:right w:val="nil"/>
            </w:tcBorders>
            <w:shd w:val="clear" w:color="auto" w:fill="auto"/>
            <w:noWrap/>
            <w:vAlign w:val="bottom"/>
            <w:hideMark/>
          </w:tcPr>
          <w:p w14:paraId="378A6DAA" w14:textId="77777777" w:rsidR="00BE6461" w:rsidRPr="00BE6461" w:rsidRDefault="00BE6461" w:rsidP="00BE6461">
            <w:pPr>
              <w:jc w:val="right"/>
              <w:rPr>
                <w:b/>
                <w:bCs/>
                <w:color w:val="333333"/>
                <w:sz w:val="20"/>
                <w:szCs w:val="20"/>
              </w:rPr>
            </w:pPr>
            <w:r w:rsidRPr="00BE6461">
              <w:rPr>
                <w:b/>
                <w:bCs/>
                <w:color w:val="333333"/>
                <w:sz w:val="20"/>
                <w:szCs w:val="20"/>
              </w:rPr>
              <w:t>102,45</w:t>
            </w:r>
          </w:p>
        </w:tc>
      </w:tr>
      <w:tr w:rsidR="00BE6461" w:rsidRPr="00BE6461" w14:paraId="42252CC2" w14:textId="77777777" w:rsidTr="00BE6461">
        <w:trPr>
          <w:trHeight w:val="300"/>
        </w:trPr>
        <w:tc>
          <w:tcPr>
            <w:tcW w:w="1703" w:type="dxa"/>
            <w:tcBorders>
              <w:top w:val="nil"/>
              <w:left w:val="nil"/>
              <w:bottom w:val="nil"/>
              <w:right w:val="nil"/>
            </w:tcBorders>
            <w:shd w:val="clear" w:color="auto" w:fill="auto"/>
            <w:noWrap/>
            <w:vAlign w:val="bottom"/>
            <w:hideMark/>
          </w:tcPr>
          <w:p w14:paraId="4956D496"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23264C45"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0F48BB60" w14:textId="77777777" w:rsidR="00BE6461" w:rsidRPr="00BE6461" w:rsidRDefault="00BE6461" w:rsidP="00BE6461">
            <w:pPr>
              <w:jc w:val="right"/>
              <w:rPr>
                <w:b/>
                <w:bCs/>
                <w:sz w:val="20"/>
                <w:szCs w:val="20"/>
              </w:rPr>
            </w:pPr>
            <w:r w:rsidRPr="00BE6461">
              <w:rPr>
                <w:b/>
                <w:bCs/>
                <w:sz w:val="20"/>
                <w:szCs w:val="20"/>
              </w:rPr>
              <w:t>10.000,00</w:t>
            </w:r>
          </w:p>
        </w:tc>
        <w:tc>
          <w:tcPr>
            <w:tcW w:w="1500" w:type="dxa"/>
            <w:tcBorders>
              <w:top w:val="nil"/>
              <w:left w:val="nil"/>
              <w:bottom w:val="nil"/>
              <w:right w:val="nil"/>
            </w:tcBorders>
            <w:shd w:val="clear" w:color="auto" w:fill="auto"/>
            <w:noWrap/>
            <w:vAlign w:val="bottom"/>
            <w:hideMark/>
          </w:tcPr>
          <w:p w14:paraId="74491036" w14:textId="77777777" w:rsidR="00BE6461" w:rsidRPr="00BE6461" w:rsidRDefault="00BE6461" w:rsidP="00BE6461">
            <w:pPr>
              <w:jc w:val="right"/>
              <w:rPr>
                <w:b/>
                <w:bCs/>
                <w:sz w:val="20"/>
                <w:szCs w:val="20"/>
              </w:rPr>
            </w:pPr>
            <w:r w:rsidRPr="00BE6461">
              <w:rPr>
                <w:b/>
                <w:bCs/>
                <w:sz w:val="20"/>
                <w:szCs w:val="20"/>
              </w:rPr>
              <w:t>0,00</w:t>
            </w:r>
          </w:p>
        </w:tc>
        <w:tc>
          <w:tcPr>
            <w:tcW w:w="1100" w:type="dxa"/>
            <w:tcBorders>
              <w:top w:val="nil"/>
              <w:left w:val="nil"/>
              <w:bottom w:val="nil"/>
              <w:right w:val="nil"/>
            </w:tcBorders>
            <w:shd w:val="clear" w:color="auto" w:fill="auto"/>
            <w:noWrap/>
            <w:vAlign w:val="bottom"/>
            <w:hideMark/>
          </w:tcPr>
          <w:p w14:paraId="31FFEC9E"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3677FADE" w14:textId="77777777" w:rsidTr="00BE6461">
        <w:trPr>
          <w:trHeight w:val="300"/>
        </w:trPr>
        <w:tc>
          <w:tcPr>
            <w:tcW w:w="1703" w:type="dxa"/>
            <w:tcBorders>
              <w:top w:val="nil"/>
              <w:left w:val="nil"/>
              <w:bottom w:val="nil"/>
              <w:right w:val="nil"/>
            </w:tcBorders>
            <w:shd w:val="clear" w:color="auto" w:fill="auto"/>
            <w:noWrap/>
            <w:vAlign w:val="bottom"/>
            <w:hideMark/>
          </w:tcPr>
          <w:p w14:paraId="2732F3A2" w14:textId="77777777" w:rsidR="00BE6461" w:rsidRPr="00BE6461" w:rsidRDefault="00BE6461" w:rsidP="00BE6461">
            <w:pPr>
              <w:rPr>
                <w:sz w:val="20"/>
                <w:szCs w:val="20"/>
              </w:rPr>
            </w:pPr>
            <w:r w:rsidRPr="00BE6461">
              <w:rPr>
                <w:sz w:val="20"/>
                <w:szCs w:val="20"/>
              </w:rPr>
              <w:t>3227</w:t>
            </w:r>
          </w:p>
        </w:tc>
        <w:tc>
          <w:tcPr>
            <w:tcW w:w="8457" w:type="dxa"/>
            <w:tcBorders>
              <w:top w:val="nil"/>
              <w:left w:val="nil"/>
              <w:bottom w:val="nil"/>
              <w:right w:val="nil"/>
            </w:tcBorders>
            <w:shd w:val="clear" w:color="auto" w:fill="auto"/>
            <w:vAlign w:val="bottom"/>
            <w:hideMark/>
          </w:tcPr>
          <w:p w14:paraId="68B94991" w14:textId="77777777" w:rsidR="00BE6461" w:rsidRPr="00BE6461" w:rsidRDefault="00BE6461" w:rsidP="00BE6461">
            <w:pPr>
              <w:rPr>
                <w:sz w:val="20"/>
                <w:szCs w:val="20"/>
              </w:rPr>
            </w:pPr>
            <w:r w:rsidRPr="00BE6461">
              <w:rPr>
                <w:sz w:val="20"/>
                <w:szCs w:val="20"/>
              </w:rPr>
              <w:t xml:space="preserve">Službena, radna i zaštitna odjeća i obuća                                                           </w:t>
            </w:r>
          </w:p>
        </w:tc>
        <w:tc>
          <w:tcPr>
            <w:tcW w:w="1503" w:type="dxa"/>
            <w:tcBorders>
              <w:top w:val="nil"/>
              <w:left w:val="nil"/>
              <w:bottom w:val="nil"/>
              <w:right w:val="nil"/>
            </w:tcBorders>
            <w:shd w:val="clear" w:color="auto" w:fill="auto"/>
            <w:noWrap/>
            <w:vAlign w:val="bottom"/>
            <w:hideMark/>
          </w:tcPr>
          <w:p w14:paraId="274836F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8715BCD" w14:textId="77777777" w:rsidR="00BE6461" w:rsidRPr="00BE6461" w:rsidRDefault="00BE6461" w:rsidP="00BE6461">
            <w:pPr>
              <w:jc w:val="right"/>
              <w:rPr>
                <w:sz w:val="20"/>
                <w:szCs w:val="20"/>
              </w:rPr>
            </w:pPr>
            <w:r w:rsidRPr="00BE6461">
              <w:rPr>
                <w:sz w:val="20"/>
                <w:szCs w:val="20"/>
              </w:rPr>
              <w:t>0,00</w:t>
            </w:r>
          </w:p>
        </w:tc>
        <w:tc>
          <w:tcPr>
            <w:tcW w:w="1100" w:type="dxa"/>
            <w:tcBorders>
              <w:top w:val="nil"/>
              <w:left w:val="nil"/>
              <w:bottom w:val="nil"/>
              <w:right w:val="nil"/>
            </w:tcBorders>
            <w:shd w:val="clear" w:color="auto" w:fill="auto"/>
            <w:noWrap/>
            <w:vAlign w:val="bottom"/>
            <w:hideMark/>
          </w:tcPr>
          <w:p w14:paraId="4FDB988B" w14:textId="77777777" w:rsidR="00BE6461" w:rsidRPr="00BE6461" w:rsidRDefault="00BE6461" w:rsidP="00BE6461">
            <w:pPr>
              <w:jc w:val="right"/>
              <w:rPr>
                <w:sz w:val="20"/>
                <w:szCs w:val="20"/>
              </w:rPr>
            </w:pPr>
          </w:p>
        </w:tc>
      </w:tr>
      <w:tr w:rsidR="00BE6461" w:rsidRPr="00BE6461" w14:paraId="5794F0E9" w14:textId="77777777" w:rsidTr="00BE6461">
        <w:trPr>
          <w:trHeight w:val="300"/>
        </w:trPr>
        <w:tc>
          <w:tcPr>
            <w:tcW w:w="1703" w:type="dxa"/>
            <w:tcBorders>
              <w:top w:val="nil"/>
              <w:left w:val="nil"/>
              <w:bottom w:val="nil"/>
              <w:right w:val="nil"/>
            </w:tcBorders>
            <w:shd w:val="clear" w:color="auto" w:fill="auto"/>
            <w:noWrap/>
            <w:vAlign w:val="bottom"/>
            <w:hideMark/>
          </w:tcPr>
          <w:p w14:paraId="33DFDF7B"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2E8D3A71"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7B07C2D6" w14:textId="77777777" w:rsidR="00BE6461" w:rsidRPr="00BE6461" w:rsidRDefault="00BE6461" w:rsidP="00BE6461">
            <w:pPr>
              <w:jc w:val="right"/>
              <w:rPr>
                <w:b/>
                <w:bCs/>
                <w:sz w:val="20"/>
                <w:szCs w:val="20"/>
              </w:rPr>
            </w:pPr>
            <w:r w:rsidRPr="00BE6461">
              <w:rPr>
                <w:b/>
                <w:bCs/>
                <w:sz w:val="20"/>
                <w:szCs w:val="20"/>
              </w:rPr>
              <w:t>31.125,00</w:t>
            </w:r>
          </w:p>
        </w:tc>
        <w:tc>
          <w:tcPr>
            <w:tcW w:w="1500" w:type="dxa"/>
            <w:tcBorders>
              <w:top w:val="nil"/>
              <w:left w:val="nil"/>
              <w:bottom w:val="nil"/>
              <w:right w:val="nil"/>
            </w:tcBorders>
            <w:shd w:val="clear" w:color="auto" w:fill="auto"/>
            <w:noWrap/>
            <w:vAlign w:val="bottom"/>
            <w:hideMark/>
          </w:tcPr>
          <w:p w14:paraId="73CA7803" w14:textId="77777777" w:rsidR="00BE6461" w:rsidRPr="00BE6461" w:rsidRDefault="00BE6461" w:rsidP="00BE6461">
            <w:pPr>
              <w:jc w:val="right"/>
              <w:rPr>
                <w:b/>
                <w:bCs/>
                <w:sz w:val="20"/>
                <w:szCs w:val="20"/>
              </w:rPr>
            </w:pPr>
            <w:r w:rsidRPr="00BE6461">
              <w:rPr>
                <w:b/>
                <w:bCs/>
                <w:sz w:val="20"/>
                <w:szCs w:val="20"/>
              </w:rPr>
              <w:t>25.500,00</w:t>
            </w:r>
          </w:p>
        </w:tc>
        <w:tc>
          <w:tcPr>
            <w:tcW w:w="1100" w:type="dxa"/>
            <w:tcBorders>
              <w:top w:val="nil"/>
              <w:left w:val="nil"/>
              <w:bottom w:val="nil"/>
              <w:right w:val="nil"/>
            </w:tcBorders>
            <w:shd w:val="clear" w:color="auto" w:fill="auto"/>
            <w:noWrap/>
            <w:vAlign w:val="bottom"/>
            <w:hideMark/>
          </w:tcPr>
          <w:p w14:paraId="396AF710" w14:textId="77777777" w:rsidR="00BE6461" w:rsidRPr="00BE6461" w:rsidRDefault="00BE6461" w:rsidP="00BE6461">
            <w:pPr>
              <w:jc w:val="right"/>
              <w:rPr>
                <w:b/>
                <w:bCs/>
                <w:sz w:val="20"/>
                <w:szCs w:val="20"/>
              </w:rPr>
            </w:pPr>
            <w:r w:rsidRPr="00BE6461">
              <w:rPr>
                <w:b/>
                <w:bCs/>
                <w:sz w:val="20"/>
                <w:szCs w:val="20"/>
              </w:rPr>
              <w:t>81,93</w:t>
            </w:r>
          </w:p>
        </w:tc>
      </w:tr>
      <w:tr w:rsidR="00BE6461" w:rsidRPr="00BE6461" w14:paraId="11409E7A" w14:textId="77777777" w:rsidTr="00BE6461">
        <w:trPr>
          <w:trHeight w:val="300"/>
        </w:trPr>
        <w:tc>
          <w:tcPr>
            <w:tcW w:w="1703" w:type="dxa"/>
            <w:tcBorders>
              <w:top w:val="nil"/>
              <w:left w:val="nil"/>
              <w:bottom w:val="nil"/>
              <w:right w:val="nil"/>
            </w:tcBorders>
            <w:shd w:val="clear" w:color="auto" w:fill="auto"/>
            <w:noWrap/>
            <w:vAlign w:val="bottom"/>
            <w:hideMark/>
          </w:tcPr>
          <w:p w14:paraId="07EAFB28"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5CB1DF35"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2ECCDE8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480C412" w14:textId="77777777" w:rsidR="00BE6461" w:rsidRPr="00BE6461" w:rsidRDefault="00BE6461" w:rsidP="00BE6461">
            <w:pPr>
              <w:jc w:val="right"/>
              <w:rPr>
                <w:sz w:val="20"/>
                <w:szCs w:val="20"/>
              </w:rPr>
            </w:pPr>
            <w:r w:rsidRPr="00BE6461">
              <w:rPr>
                <w:sz w:val="20"/>
                <w:szCs w:val="20"/>
              </w:rPr>
              <w:t>25.500,00</w:t>
            </w:r>
          </w:p>
        </w:tc>
        <w:tc>
          <w:tcPr>
            <w:tcW w:w="1100" w:type="dxa"/>
            <w:tcBorders>
              <w:top w:val="nil"/>
              <w:left w:val="nil"/>
              <w:bottom w:val="nil"/>
              <w:right w:val="nil"/>
            </w:tcBorders>
            <w:shd w:val="clear" w:color="auto" w:fill="auto"/>
            <w:noWrap/>
            <w:vAlign w:val="bottom"/>
            <w:hideMark/>
          </w:tcPr>
          <w:p w14:paraId="5AEEABC6" w14:textId="77777777" w:rsidR="00BE6461" w:rsidRPr="00BE6461" w:rsidRDefault="00BE6461" w:rsidP="00BE6461">
            <w:pPr>
              <w:jc w:val="right"/>
              <w:rPr>
                <w:sz w:val="20"/>
                <w:szCs w:val="20"/>
              </w:rPr>
            </w:pPr>
          </w:p>
        </w:tc>
      </w:tr>
      <w:tr w:rsidR="00BE6461" w:rsidRPr="00BE6461" w14:paraId="17D972CA" w14:textId="77777777" w:rsidTr="00BE6461">
        <w:trPr>
          <w:trHeight w:val="300"/>
        </w:trPr>
        <w:tc>
          <w:tcPr>
            <w:tcW w:w="1703" w:type="dxa"/>
            <w:tcBorders>
              <w:top w:val="nil"/>
              <w:left w:val="nil"/>
              <w:bottom w:val="nil"/>
              <w:right w:val="nil"/>
            </w:tcBorders>
            <w:shd w:val="clear" w:color="auto" w:fill="auto"/>
            <w:noWrap/>
            <w:vAlign w:val="bottom"/>
            <w:hideMark/>
          </w:tcPr>
          <w:p w14:paraId="770C7619" w14:textId="77777777" w:rsidR="00BE6461" w:rsidRPr="00BE6461" w:rsidRDefault="00BE6461" w:rsidP="00BE6461">
            <w:pPr>
              <w:rPr>
                <w:b/>
                <w:bCs/>
                <w:sz w:val="20"/>
                <w:szCs w:val="20"/>
              </w:rPr>
            </w:pPr>
            <w:r w:rsidRPr="00BE6461">
              <w:rPr>
                <w:b/>
                <w:bCs/>
                <w:sz w:val="20"/>
                <w:szCs w:val="20"/>
              </w:rPr>
              <w:t>366</w:t>
            </w:r>
          </w:p>
        </w:tc>
        <w:tc>
          <w:tcPr>
            <w:tcW w:w="8457" w:type="dxa"/>
            <w:tcBorders>
              <w:top w:val="nil"/>
              <w:left w:val="nil"/>
              <w:bottom w:val="nil"/>
              <w:right w:val="nil"/>
            </w:tcBorders>
            <w:shd w:val="clear" w:color="auto" w:fill="auto"/>
            <w:vAlign w:val="bottom"/>
            <w:hideMark/>
          </w:tcPr>
          <w:p w14:paraId="341B9DBC" w14:textId="77777777" w:rsidR="00BE6461" w:rsidRPr="00BE6461" w:rsidRDefault="00BE6461" w:rsidP="00BE6461">
            <w:pPr>
              <w:rPr>
                <w:b/>
                <w:bCs/>
                <w:sz w:val="20"/>
                <w:szCs w:val="20"/>
              </w:rPr>
            </w:pPr>
            <w:r w:rsidRPr="00BE6461">
              <w:rPr>
                <w:b/>
                <w:bCs/>
                <w:sz w:val="20"/>
                <w:szCs w:val="20"/>
              </w:rPr>
              <w:t>Pomoći proračunskim korisnicima drugih proračuna</w:t>
            </w:r>
          </w:p>
        </w:tc>
        <w:tc>
          <w:tcPr>
            <w:tcW w:w="1503" w:type="dxa"/>
            <w:tcBorders>
              <w:top w:val="nil"/>
              <w:left w:val="nil"/>
              <w:bottom w:val="nil"/>
              <w:right w:val="nil"/>
            </w:tcBorders>
            <w:shd w:val="clear" w:color="auto" w:fill="auto"/>
            <w:noWrap/>
            <w:vAlign w:val="bottom"/>
            <w:hideMark/>
          </w:tcPr>
          <w:p w14:paraId="227F0A7E" w14:textId="77777777" w:rsidR="00BE6461" w:rsidRPr="00BE6461" w:rsidRDefault="00BE6461" w:rsidP="00BE6461">
            <w:pPr>
              <w:jc w:val="right"/>
              <w:rPr>
                <w:b/>
                <w:bCs/>
                <w:sz w:val="20"/>
                <w:szCs w:val="20"/>
              </w:rPr>
            </w:pPr>
            <w:r w:rsidRPr="00BE6461">
              <w:rPr>
                <w:b/>
                <w:bCs/>
                <w:sz w:val="20"/>
                <w:szCs w:val="20"/>
              </w:rPr>
              <w:t>685.000,00</w:t>
            </w:r>
          </w:p>
        </w:tc>
        <w:tc>
          <w:tcPr>
            <w:tcW w:w="1500" w:type="dxa"/>
            <w:tcBorders>
              <w:top w:val="nil"/>
              <w:left w:val="nil"/>
              <w:bottom w:val="nil"/>
              <w:right w:val="nil"/>
            </w:tcBorders>
            <w:shd w:val="clear" w:color="auto" w:fill="auto"/>
            <w:noWrap/>
            <w:vAlign w:val="bottom"/>
            <w:hideMark/>
          </w:tcPr>
          <w:p w14:paraId="7EC24B67" w14:textId="77777777" w:rsidR="00BE6461" w:rsidRPr="00BE6461" w:rsidRDefault="00BE6461" w:rsidP="00BE6461">
            <w:pPr>
              <w:jc w:val="right"/>
              <w:rPr>
                <w:b/>
                <w:bCs/>
                <w:sz w:val="20"/>
                <w:szCs w:val="20"/>
              </w:rPr>
            </w:pPr>
            <w:r w:rsidRPr="00BE6461">
              <w:rPr>
                <w:b/>
                <w:bCs/>
                <w:sz w:val="20"/>
                <w:szCs w:val="20"/>
              </w:rPr>
              <w:t>739.186,78</w:t>
            </w:r>
          </w:p>
        </w:tc>
        <w:tc>
          <w:tcPr>
            <w:tcW w:w="1100" w:type="dxa"/>
            <w:tcBorders>
              <w:top w:val="nil"/>
              <w:left w:val="nil"/>
              <w:bottom w:val="nil"/>
              <w:right w:val="nil"/>
            </w:tcBorders>
            <w:shd w:val="clear" w:color="auto" w:fill="auto"/>
            <w:noWrap/>
            <w:vAlign w:val="bottom"/>
            <w:hideMark/>
          </w:tcPr>
          <w:p w14:paraId="7ED3A121" w14:textId="77777777" w:rsidR="00BE6461" w:rsidRPr="00BE6461" w:rsidRDefault="00BE6461" w:rsidP="00BE6461">
            <w:pPr>
              <w:jc w:val="right"/>
              <w:rPr>
                <w:b/>
                <w:bCs/>
                <w:sz w:val="20"/>
                <w:szCs w:val="20"/>
              </w:rPr>
            </w:pPr>
            <w:r w:rsidRPr="00BE6461">
              <w:rPr>
                <w:b/>
                <w:bCs/>
                <w:sz w:val="20"/>
                <w:szCs w:val="20"/>
              </w:rPr>
              <w:t>107,91</w:t>
            </w:r>
          </w:p>
        </w:tc>
      </w:tr>
      <w:tr w:rsidR="00BE6461" w:rsidRPr="00BE6461" w14:paraId="5725FE6D" w14:textId="77777777" w:rsidTr="00BE6461">
        <w:trPr>
          <w:trHeight w:val="300"/>
        </w:trPr>
        <w:tc>
          <w:tcPr>
            <w:tcW w:w="1703" w:type="dxa"/>
            <w:tcBorders>
              <w:top w:val="nil"/>
              <w:left w:val="nil"/>
              <w:bottom w:val="nil"/>
              <w:right w:val="nil"/>
            </w:tcBorders>
            <w:shd w:val="clear" w:color="auto" w:fill="auto"/>
            <w:noWrap/>
            <w:vAlign w:val="bottom"/>
            <w:hideMark/>
          </w:tcPr>
          <w:p w14:paraId="0C157658" w14:textId="77777777" w:rsidR="00BE6461" w:rsidRPr="00BE6461" w:rsidRDefault="00BE6461" w:rsidP="00BE6461">
            <w:pPr>
              <w:rPr>
                <w:sz w:val="20"/>
                <w:szCs w:val="20"/>
              </w:rPr>
            </w:pPr>
            <w:r w:rsidRPr="00BE6461">
              <w:rPr>
                <w:sz w:val="20"/>
                <w:szCs w:val="20"/>
              </w:rPr>
              <w:t>3661</w:t>
            </w:r>
          </w:p>
        </w:tc>
        <w:tc>
          <w:tcPr>
            <w:tcW w:w="8457" w:type="dxa"/>
            <w:tcBorders>
              <w:top w:val="nil"/>
              <w:left w:val="nil"/>
              <w:bottom w:val="nil"/>
              <w:right w:val="nil"/>
            </w:tcBorders>
            <w:shd w:val="clear" w:color="auto" w:fill="auto"/>
            <w:vAlign w:val="bottom"/>
            <w:hideMark/>
          </w:tcPr>
          <w:p w14:paraId="2E69C1F8" w14:textId="77777777" w:rsidR="00BE6461" w:rsidRPr="00BE6461" w:rsidRDefault="00BE6461" w:rsidP="00BE6461">
            <w:pPr>
              <w:rPr>
                <w:sz w:val="20"/>
                <w:szCs w:val="20"/>
              </w:rPr>
            </w:pPr>
            <w:r w:rsidRPr="00BE6461">
              <w:rPr>
                <w:sz w:val="20"/>
                <w:szCs w:val="20"/>
              </w:rPr>
              <w:t>Tekuće pomoći proračunskim korisnicima drugih proračuna</w:t>
            </w:r>
          </w:p>
        </w:tc>
        <w:tc>
          <w:tcPr>
            <w:tcW w:w="1503" w:type="dxa"/>
            <w:tcBorders>
              <w:top w:val="nil"/>
              <w:left w:val="nil"/>
              <w:bottom w:val="nil"/>
              <w:right w:val="nil"/>
            </w:tcBorders>
            <w:shd w:val="clear" w:color="auto" w:fill="auto"/>
            <w:noWrap/>
            <w:vAlign w:val="bottom"/>
            <w:hideMark/>
          </w:tcPr>
          <w:p w14:paraId="2A43232F"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CA97E9D" w14:textId="77777777" w:rsidR="00BE6461" w:rsidRPr="00BE6461" w:rsidRDefault="00BE6461" w:rsidP="00BE6461">
            <w:pPr>
              <w:jc w:val="right"/>
              <w:rPr>
                <w:sz w:val="20"/>
                <w:szCs w:val="20"/>
              </w:rPr>
            </w:pPr>
            <w:r w:rsidRPr="00BE6461">
              <w:rPr>
                <w:sz w:val="20"/>
                <w:szCs w:val="20"/>
              </w:rPr>
              <w:t>739.186,78</w:t>
            </w:r>
          </w:p>
        </w:tc>
        <w:tc>
          <w:tcPr>
            <w:tcW w:w="1100" w:type="dxa"/>
            <w:tcBorders>
              <w:top w:val="nil"/>
              <w:left w:val="nil"/>
              <w:bottom w:val="nil"/>
              <w:right w:val="nil"/>
            </w:tcBorders>
            <w:shd w:val="clear" w:color="auto" w:fill="auto"/>
            <w:noWrap/>
            <w:vAlign w:val="bottom"/>
            <w:hideMark/>
          </w:tcPr>
          <w:p w14:paraId="3D6B443F" w14:textId="77777777" w:rsidR="00BE6461" w:rsidRPr="00BE6461" w:rsidRDefault="00BE6461" w:rsidP="00BE6461">
            <w:pPr>
              <w:jc w:val="right"/>
              <w:rPr>
                <w:sz w:val="20"/>
                <w:szCs w:val="20"/>
              </w:rPr>
            </w:pPr>
          </w:p>
        </w:tc>
      </w:tr>
      <w:tr w:rsidR="00BE6461" w:rsidRPr="00BE6461" w14:paraId="2FCF07CB" w14:textId="77777777" w:rsidTr="00BE6461">
        <w:trPr>
          <w:trHeight w:val="300"/>
        </w:trPr>
        <w:tc>
          <w:tcPr>
            <w:tcW w:w="1703" w:type="dxa"/>
            <w:tcBorders>
              <w:top w:val="nil"/>
              <w:left w:val="nil"/>
              <w:bottom w:val="nil"/>
              <w:right w:val="nil"/>
            </w:tcBorders>
            <w:shd w:val="clear" w:color="auto" w:fill="auto"/>
            <w:noWrap/>
            <w:vAlign w:val="bottom"/>
            <w:hideMark/>
          </w:tcPr>
          <w:p w14:paraId="679E77C2" w14:textId="77777777" w:rsidR="00BE6461" w:rsidRPr="00BE6461" w:rsidRDefault="00BE6461" w:rsidP="00BE6461">
            <w:pPr>
              <w:rPr>
                <w:b/>
                <w:bCs/>
                <w:sz w:val="20"/>
                <w:szCs w:val="20"/>
              </w:rPr>
            </w:pPr>
            <w:r w:rsidRPr="00BE6461">
              <w:rPr>
                <w:b/>
                <w:bCs/>
                <w:sz w:val="20"/>
                <w:szCs w:val="20"/>
              </w:rPr>
              <w:t>381</w:t>
            </w:r>
          </w:p>
        </w:tc>
        <w:tc>
          <w:tcPr>
            <w:tcW w:w="8457" w:type="dxa"/>
            <w:tcBorders>
              <w:top w:val="nil"/>
              <w:left w:val="nil"/>
              <w:bottom w:val="nil"/>
              <w:right w:val="nil"/>
            </w:tcBorders>
            <w:shd w:val="clear" w:color="auto" w:fill="auto"/>
            <w:vAlign w:val="bottom"/>
            <w:hideMark/>
          </w:tcPr>
          <w:p w14:paraId="4565375A" w14:textId="77777777" w:rsidR="00BE6461" w:rsidRPr="00BE6461" w:rsidRDefault="00BE6461" w:rsidP="00BE6461">
            <w:pPr>
              <w:rPr>
                <w:b/>
                <w:bCs/>
                <w:sz w:val="20"/>
                <w:szCs w:val="20"/>
              </w:rPr>
            </w:pPr>
            <w:r w:rsidRPr="00BE6461">
              <w:rPr>
                <w:b/>
                <w:bCs/>
                <w:sz w:val="20"/>
                <w:szCs w:val="20"/>
              </w:rPr>
              <w:t xml:space="preserve">Tekuće donacije                                                                                     </w:t>
            </w:r>
          </w:p>
        </w:tc>
        <w:tc>
          <w:tcPr>
            <w:tcW w:w="1503" w:type="dxa"/>
            <w:tcBorders>
              <w:top w:val="nil"/>
              <w:left w:val="nil"/>
              <w:bottom w:val="nil"/>
              <w:right w:val="nil"/>
            </w:tcBorders>
            <w:shd w:val="clear" w:color="auto" w:fill="auto"/>
            <w:noWrap/>
            <w:vAlign w:val="bottom"/>
            <w:hideMark/>
          </w:tcPr>
          <w:p w14:paraId="5709446C" w14:textId="77777777" w:rsidR="00BE6461" w:rsidRPr="00BE6461" w:rsidRDefault="00BE6461" w:rsidP="00BE6461">
            <w:pPr>
              <w:jc w:val="right"/>
              <w:rPr>
                <w:b/>
                <w:bCs/>
                <w:sz w:val="20"/>
                <w:szCs w:val="20"/>
              </w:rPr>
            </w:pPr>
            <w:r w:rsidRPr="00BE6461">
              <w:rPr>
                <w:b/>
                <w:bCs/>
                <w:sz w:val="20"/>
                <w:szCs w:val="20"/>
              </w:rPr>
              <w:t>434.492,97</w:t>
            </w:r>
          </w:p>
        </w:tc>
        <w:tc>
          <w:tcPr>
            <w:tcW w:w="1500" w:type="dxa"/>
            <w:tcBorders>
              <w:top w:val="nil"/>
              <w:left w:val="nil"/>
              <w:bottom w:val="nil"/>
              <w:right w:val="nil"/>
            </w:tcBorders>
            <w:shd w:val="clear" w:color="auto" w:fill="auto"/>
            <w:noWrap/>
            <w:vAlign w:val="bottom"/>
            <w:hideMark/>
          </w:tcPr>
          <w:p w14:paraId="1992BD13" w14:textId="77777777" w:rsidR="00BE6461" w:rsidRPr="00BE6461" w:rsidRDefault="00BE6461" w:rsidP="00BE6461">
            <w:pPr>
              <w:jc w:val="right"/>
              <w:rPr>
                <w:b/>
                <w:bCs/>
                <w:sz w:val="20"/>
                <w:szCs w:val="20"/>
              </w:rPr>
            </w:pPr>
            <w:r w:rsidRPr="00BE6461">
              <w:rPr>
                <w:b/>
                <w:bCs/>
                <w:sz w:val="20"/>
                <w:szCs w:val="20"/>
              </w:rPr>
              <w:t>424.374,67</w:t>
            </w:r>
          </w:p>
        </w:tc>
        <w:tc>
          <w:tcPr>
            <w:tcW w:w="1100" w:type="dxa"/>
            <w:tcBorders>
              <w:top w:val="nil"/>
              <w:left w:val="nil"/>
              <w:bottom w:val="nil"/>
              <w:right w:val="nil"/>
            </w:tcBorders>
            <w:shd w:val="clear" w:color="auto" w:fill="auto"/>
            <w:noWrap/>
            <w:vAlign w:val="bottom"/>
            <w:hideMark/>
          </w:tcPr>
          <w:p w14:paraId="2D6C5393" w14:textId="77777777" w:rsidR="00BE6461" w:rsidRPr="00BE6461" w:rsidRDefault="00BE6461" w:rsidP="00BE6461">
            <w:pPr>
              <w:jc w:val="right"/>
              <w:rPr>
                <w:b/>
                <w:bCs/>
                <w:sz w:val="20"/>
                <w:szCs w:val="20"/>
              </w:rPr>
            </w:pPr>
            <w:r w:rsidRPr="00BE6461">
              <w:rPr>
                <w:b/>
                <w:bCs/>
                <w:sz w:val="20"/>
                <w:szCs w:val="20"/>
              </w:rPr>
              <w:t>97,67</w:t>
            </w:r>
          </w:p>
        </w:tc>
      </w:tr>
      <w:tr w:rsidR="00BE6461" w:rsidRPr="00BE6461" w14:paraId="38038928" w14:textId="77777777" w:rsidTr="00BE6461">
        <w:trPr>
          <w:trHeight w:val="300"/>
        </w:trPr>
        <w:tc>
          <w:tcPr>
            <w:tcW w:w="1703" w:type="dxa"/>
            <w:tcBorders>
              <w:top w:val="nil"/>
              <w:left w:val="nil"/>
              <w:bottom w:val="nil"/>
              <w:right w:val="nil"/>
            </w:tcBorders>
            <w:shd w:val="clear" w:color="auto" w:fill="auto"/>
            <w:noWrap/>
            <w:vAlign w:val="bottom"/>
            <w:hideMark/>
          </w:tcPr>
          <w:p w14:paraId="346AC4F9" w14:textId="77777777" w:rsidR="00BE6461" w:rsidRPr="00BE6461" w:rsidRDefault="00BE6461" w:rsidP="00BE6461">
            <w:pPr>
              <w:rPr>
                <w:sz w:val="20"/>
                <w:szCs w:val="20"/>
              </w:rPr>
            </w:pPr>
            <w:r w:rsidRPr="00BE6461">
              <w:rPr>
                <w:sz w:val="20"/>
                <w:szCs w:val="20"/>
              </w:rPr>
              <w:t>3811</w:t>
            </w:r>
          </w:p>
        </w:tc>
        <w:tc>
          <w:tcPr>
            <w:tcW w:w="8457" w:type="dxa"/>
            <w:tcBorders>
              <w:top w:val="nil"/>
              <w:left w:val="nil"/>
              <w:bottom w:val="nil"/>
              <w:right w:val="nil"/>
            </w:tcBorders>
            <w:shd w:val="clear" w:color="auto" w:fill="auto"/>
            <w:vAlign w:val="bottom"/>
            <w:hideMark/>
          </w:tcPr>
          <w:p w14:paraId="7F135035" w14:textId="77777777" w:rsidR="00BE6461" w:rsidRPr="00BE6461" w:rsidRDefault="00BE6461" w:rsidP="00BE6461">
            <w:pPr>
              <w:rPr>
                <w:sz w:val="20"/>
                <w:szCs w:val="20"/>
              </w:rPr>
            </w:pPr>
            <w:r w:rsidRPr="00BE6461">
              <w:rPr>
                <w:sz w:val="20"/>
                <w:szCs w:val="20"/>
              </w:rPr>
              <w:t xml:space="preserve">Tekuće donacije u novcu                                                                             </w:t>
            </w:r>
          </w:p>
        </w:tc>
        <w:tc>
          <w:tcPr>
            <w:tcW w:w="1503" w:type="dxa"/>
            <w:tcBorders>
              <w:top w:val="nil"/>
              <w:left w:val="nil"/>
              <w:bottom w:val="nil"/>
              <w:right w:val="nil"/>
            </w:tcBorders>
            <w:shd w:val="clear" w:color="auto" w:fill="auto"/>
            <w:noWrap/>
            <w:vAlign w:val="bottom"/>
            <w:hideMark/>
          </w:tcPr>
          <w:p w14:paraId="22F8F399"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3A5EF40" w14:textId="77777777" w:rsidR="00BE6461" w:rsidRPr="00BE6461" w:rsidRDefault="00BE6461" w:rsidP="00BE6461">
            <w:pPr>
              <w:jc w:val="right"/>
              <w:rPr>
                <w:sz w:val="20"/>
                <w:szCs w:val="20"/>
              </w:rPr>
            </w:pPr>
            <w:r w:rsidRPr="00BE6461">
              <w:rPr>
                <w:sz w:val="20"/>
                <w:szCs w:val="20"/>
              </w:rPr>
              <w:t>424.374,67</w:t>
            </w:r>
          </w:p>
        </w:tc>
        <w:tc>
          <w:tcPr>
            <w:tcW w:w="1100" w:type="dxa"/>
            <w:tcBorders>
              <w:top w:val="nil"/>
              <w:left w:val="nil"/>
              <w:bottom w:val="nil"/>
              <w:right w:val="nil"/>
            </w:tcBorders>
            <w:shd w:val="clear" w:color="auto" w:fill="auto"/>
            <w:noWrap/>
            <w:vAlign w:val="bottom"/>
            <w:hideMark/>
          </w:tcPr>
          <w:p w14:paraId="4FD84CB5" w14:textId="77777777" w:rsidR="00BE6461" w:rsidRPr="00BE6461" w:rsidRDefault="00BE6461" w:rsidP="00BE6461">
            <w:pPr>
              <w:jc w:val="right"/>
              <w:rPr>
                <w:sz w:val="20"/>
                <w:szCs w:val="20"/>
              </w:rPr>
            </w:pPr>
          </w:p>
        </w:tc>
      </w:tr>
      <w:tr w:rsidR="00BE6461" w:rsidRPr="00BE6461" w14:paraId="1BD01A2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AB18F5B"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08D58F5F" w14:textId="77777777" w:rsidR="00BE6461" w:rsidRPr="00BE6461" w:rsidRDefault="00BE6461" w:rsidP="00BE6461">
            <w:pPr>
              <w:jc w:val="right"/>
              <w:rPr>
                <w:b/>
                <w:bCs/>
                <w:color w:val="333333"/>
                <w:sz w:val="20"/>
                <w:szCs w:val="20"/>
              </w:rPr>
            </w:pPr>
            <w:r w:rsidRPr="00BE6461">
              <w:rPr>
                <w:b/>
                <w:bCs/>
                <w:color w:val="333333"/>
                <w:sz w:val="20"/>
                <w:szCs w:val="20"/>
              </w:rPr>
              <w:t>715.000,00</w:t>
            </w:r>
          </w:p>
        </w:tc>
        <w:tc>
          <w:tcPr>
            <w:tcW w:w="1500" w:type="dxa"/>
            <w:tcBorders>
              <w:top w:val="nil"/>
              <w:left w:val="nil"/>
              <w:bottom w:val="nil"/>
              <w:right w:val="nil"/>
            </w:tcBorders>
            <w:shd w:val="clear" w:color="auto" w:fill="auto"/>
            <w:noWrap/>
            <w:vAlign w:val="bottom"/>
            <w:hideMark/>
          </w:tcPr>
          <w:p w14:paraId="03E9E5FD" w14:textId="77777777" w:rsidR="00BE6461" w:rsidRPr="00BE6461" w:rsidRDefault="00BE6461" w:rsidP="00BE6461">
            <w:pPr>
              <w:jc w:val="right"/>
              <w:rPr>
                <w:b/>
                <w:bCs/>
                <w:color w:val="333333"/>
                <w:sz w:val="20"/>
                <w:szCs w:val="20"/>
              </w:rPr>
            </w:pPr>
            <w:r w:rsidRPr="00BE6461">
              <w:rPr>
                <w:b/>
                <w:bCs/>
                <w:color w:val="333333"/>
                <w:sz w:val="20"/>
                <w:szCs w:val="20"/>
              </w:rPr>
              <w:t>686.019,00</w:t>
            </w:r>
          </w:p>
        </w:tc>
        <w:tc>
          <w:tcPr>
            <w:tcW w:w="1100" w:type="dxa"/>
            <w:tcBorders>
              <w:top w:val="nil"/>
              <w:left w:val="nil"/>
              <w:bottom w:val="nil"/>
              <w:right w:val="nil"/>
            </w:tcBorders>
            <w:shd w:val="clear" w:color="auto" w:fill="auto"/>
            <w:noWrap/>
            <w:vAlign w:val="bottom"/>
            <w:hideMark/>
          </w:tcPr>
          <w:p w14:paraId="3F28D069" w14:textId="77777777" w:rsidR="00BE6461" w:rsidRPr="00BE6461" w:rsidRDefault="00BE6461" w:rsidP="00BE6461">
            <w:pPr>
              <w:jc w:val="right"/>
              <w:rPr>
                <w:b/>
                <w:bCs/>
                <w:color w:val="333333"/>
                <w:sz w:val="20"/>
                <w:szCs w:val="20"/>
              </w:rPr>
            </w:pPr>
            <w:r w:rsidRPr="00BE6461">
              <w:rPr>
                <w:b/>
                <w:bCs/>
                <w:color w:val="333333"/>
                <w:sz w:val="20"/>
                <w:szCs w:val="20"/>
              </w:rPr>
              <w:t>95,95</w:t>
            </w:r>
          </w:p>
        </w:tc>
      </w:tr>
      <w:tr w:rsidR="00BE6461" w:rsidRPr="00BE6461" w14:paraId="171EE41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987DAA8" w14:textId="77777777" w:rsidR="00BE6461" w:rsidRPr="00BE6461" w:rsidRDefault="00BE6461" w:rsidP="00BE6461">
            <w:pPr>
              <w:rPr>
                <w:b/>
                <w:bCs/>
                <w:color w:val="333333"/>
                <w:sz w:val="20"/>
                <w:szCs w:val="20"/>
              </w:rPr>
            </w:pPr>
            <w:r w:rsidRPr="00BE6461">
              <w:rPr>
                <w:b/>
                <w:bCs/>
                <w:color w:val="333333"/>
                <w:sz w:val="20"/>
                <w:szCs w:val="20"/>
              </w:rPr>
              <w:t>Izvor 4.6. PRIHODI POSEBNE NAMJENE - OSTALI</w:t>
            </w:r>
          </w:p>
        </w:tc>
        <w:tc>
          <w:tcPr>
            <w:tcW w:w="1503" w:type="dxa"/>
            <w:tcBorders>
              <w:top w:val="nil"/>
              <w:left w:val="nil"/>
              <w:bottom w:val="nil"/>
              <w:right w:val="nil"/>
            </w:tcBorders>
            <w:shd w:val="clear" w:color="auto" w:fill="auto"/>
            <w:noWrap/>
            <w:vAlign w:val="bottom"/>
            <w:hideMark/>
          </w:tcPr>
          <w:p w14:paraId="0BDC1103" w14:textId="77777777" w:rsidR="00BE6461" w:rsidRPr="00BE6461" w:rsidRDefault="00BE6461" w:rsidP="00BE6461">
            <w:pPr>
              <w:jc w:val="right"/>
              <w:rPr>
                <w:b/>
                <w:bCs/>
                <w:color w:val="333333"/>
                <w:sz w:val="20"/>
                <w:szCs w:val="20"/>
              </w:rPr>
            </w:pPr>
            <w:r w:rsidRPr="00BE6461">
              <w:rPr>
                <w:b/>
                <w:bCs/>
                <w:color w:val="333333"/>
                <w:sz w:val="20"/>
                <w:szCs w:val="20"/>
              </w:rPr>
              <w:t>715.000,00</w:t>
            </w:r>
          </w:p>
        </w:tc>
        <w:tc>
          <w:tcPr>
            <w:tcW w:w="1500" w:type="dxa"/>
            <w:tcBorders>
              <w:top w:val="nil"/>
              <w:left w:val="nil"/>
              <w:bottom w:val="nil"/>
              <w:right w:val="nil"/>
            </w:tcBorders>
            <w:shd w:val="clear" w:color="auto" w:fill="auto"/>
            <w:noWrap/>
            <w:vAlign w:val="bottom"/>
            <w:hideMark/>
          </w:tcPr>
          <w:p w14:paraId="1485597D" w14:textId="77777777" w:rsidR="00BE6461" w:rsidRPr="00BE6461" w:rsidRDefault="00BE6461" w:rsidP="00BE6461">
            <w:pPr>
              <w:jc w:val="right"/>
              <w:rPr>
                <w:b/>
                <w:bCs/>
                <w:color w:val="333333"/>
                <w:sz w:val="20"/>
                <w:szCs w:val="20"/>
              </w:rPr>
            </w:pPr>
            <w:r w:rsidRPr="00BE6461">
              <w:rPr>
                <w:b/>
                <w:bCs/>
                <w:color w:val="333333"/>
                <w:sz w:val="20"/>
                <w:szCs w:val="20"/>
              </w:rPr>
              <w:t>686.019,00</w:t>
            </w:r>
          </w:p>
        </w:tc>
        <w:tc>
          <w:tcPr>
            <w:tcW w:w="1100" w:type="dxa"/>
            <w:tcBorders>
              <w:top w:val="nil"/>
              <w:left w:val="nil"/>
              <w:bottom w:val="nil"/>
              <w:right w:val="nil"/>
            </w:tcBorders>
            <w:shd w:val="clear" w:color="auto" w:fill="auto"/>
            <w:noWrap/>
            <w:vAlign w:val="bottom"/>
            <w:hideMark/>
          </w:tcPr>
          <w:p w14:paraId="5AC6C921" w14:textId="77777777" w:rsidR="00BE6461" w:rsidRPr="00BE6461" w:rsidRDefault="00BE6461" w:rsidP="00BE6461">
            <w:pPr>
              <w:jc w:val="right"/>
              <w:rPr>
                <w:b/>
                <w:bCs/>
                <w:color w:val="333333"/>
                <w:sz w:val="20"/>
                <w:szCs w:val="20"/>
              </w:rPr>
            </w:pPr>
            <w:r w:rsidRPr="00BE6461">
              <w:rPr>
                <w:b/>
                <w:bCs/>
                <w:color w:val="333333"/>
                <w:sz w:val="20"/>
                <w:szCs w:val="20"/>
              </w:rPr>
              <w:t>95,95</w:t>
            </w:r>
          </w:p>
        </w:tc>
      </w:tr>
      <w:tr w:rsidR="00BE6461" w:rsidRPr="00BE6461" w14:paraId="757A94B7" w14:textId="77777777" w:rsidTr="00BE6461">
        <w:trPr>
          <w:trHeight w:val="300"/>
        </w:trPr>
        <w:tc>
          <w:tcPr>
            <w:tcW w:w="1703" w:type="dxa"/>
            <w:tcBorders>
              <w:top w:val="nil"/>
              <w:left w:val="nil"/>
              <w:bottom w:val="nil"/>
              <w:right w:val="nil"/>
            </w:tcBorders>
            <w:shd w:val="clear" w:color="auto" w:fill="auto"/>
            <w:noWrap/>
            <w:vAlign w:val="bottom"/>
            <w:hideMark/>
          </w:tcPr>
          <w:p w14:paraId="1720E574" w14:textId="77777777" w:rsidR="00BE6461" w:rsidRPr="00BE6461" w:rsidRDefault="00BE6461" w:rsidP="00BE6461">
            <w:pPr>
              <w:rPr>
                <w:b/>
                <w:bCs/>
                <w:sz w:val="20"/>
                <w:szCs w:val="20"/>
              </w:rPr>
            </w:pPr>
            <w:r w:rsidRPr="00BE6461">
              <w:rPr>
                <w:b/>
                <w:bCs/>
                <w:sz w:val="20"/>
                <w:szCs w:val="20"/>
              </w:rPr>
              <w:t>366</w:t>
            </w:r>
          </w:p>
        </w:tc>
        <w:tc>
          <w:tcPr>
            <w:tcW w:w="8457" w:type="dxa"/>
            <w:tcBorders>
              <w:top w:val="nil"/>
              <w:left w:val="nil"/>
              <w:bottom w:val="nil"/>
              <w:right w:val="nil"/>
            </w:tcBorders>
            <w:shd w:val="clear" w:color="auto" w:fill="auto"/>
            <w:vAlign w:val="bottom"/>
            <w:hideMark/>
          </w:tcPr>
          <w:p w14:paraId="640F553A" w14:textId="77777777" w:rsidR="00BE6461" w:rsidRPr="00BE6461" w:rsidRDefault="00BE6461" w:rsidP="00BE6461">
            <w:pPr>
              <w:rPr>
                <w:b/>
                <w:bCs/>
                <w:sz w:val="20"/>
                <w:szCs w:val="20"/>
              </w:rPr>
            </w:pPr>
            <w:r w:rsidRPr="00BE6461">
              <w:rPr>
                <w:b/>
                <w:bCs/>
                <w:sz w:val="20"/>
                <w:szCs w:val="20"/>
              </w:rPr>
              <w:t>Pomoći proračunskim korisnicima drugih proračuna</w:t>
            </w:r>
          </w:p>
        </w:tc>
        <w:tc>
          <w:tcPr>
            <w:tcW w:w="1503" w:type="dxa"/>
            <w:tcBorders>
              <w:top w:val="nil"/>
              <w:left w:val="nil"/>
              <w:bottom w:val="nil"/>
              <w:right w:val="nil"/>
            </w:tcBorders>
            <w:shd w:val="clear" w:color="auto" w:fill="auto"/>
            <w:noWrap/>
            <w:vAlign w:val="bottom"/>
            <w:hideMark/>
          </w:tcPr>
          <w:p w14:paraId="3B4573DA" w14:textId="77777777" w:rsidR="00BE6461" w:rsidRPr="00BE6461" w:rsidRDefault="00BE6461" w:rsidP="00BE6461">
            <w:pPr>
              <w:jc w:val="right"/>
              <w:rPr>
                <w:b/>
                <w:bCs/>
                <w:sz w:val="20"/>
                <w:szCs w:val="20"/>
              </w:rPr>
            </w:pPr>
            <w:r w:rsidRPr="00BE6461">
              <w:rPr>
                <w:b/>
                <w:bCs/>
                <w:sz w:val="20"/>
                <w:szCs w:val="20"/>
              </w:rPr>
              <w:t>715.000,00</w:t>
            </w:r>
          </w:p>
        </w:tc>
        <w:tc>
          <w:tcPr>
            <w:tcW w:w="1500" w:type="dxa"/>
            <w:tcBorders>
              <w:top w:val="nil"/>
              <w:left w:val="nil"/>
              <w:bottom w:val="nil"/>
              <w:right w:val="nil"/>
            </w:tcBorders>
            <w:shd w:val="clear" w:color="auto" w:fill="auto"/>
            <w:noWrap/>
            <w:vAlign w:val="bottom"/>
            <w:hideMark/>
          </w:tcPr>
          <w:p w14:paraId="727A4D9B" w14:textId="77777777" w:rsidR="00BE6461" w:rsidRPr="00BE6461" w:rsidRDefault="00BE6461" w:rsidP="00BE6461">
            <w:pPr>
              <w:jc w:val="right"/>
              <w:rPr>
                <w:b/>
                <w:bCs/>
                <w:sz w:val="20"/>
                <w:szCs w:val="20"/>
              </w:rPr>
            </w:pPr>
            <w:r w:rsidRPr="00BE6461">
              <w:rPr>
                <w:b/>
                <w:bCs/>
                <w:sz w:val="20"/>
                <w:szCs w:val="20"/>
              </w:rPr>
              <w:t>686.019,00</w:t>
            </w:r>
          </w:p>
        </w:tc>
        <w:tc>
          <w:tcPr>
            <w:tcW w:w="1100" w:type="dxa"/>
            <w:tcBorders>
              <w:top w:val="nil"/>
              <w:left w:val="nil"/>
              <w:bottom w:val="nil"/>
              <w:right w:val="nil"/>
            </w:tcBorders>
            <w:shd w:val="clear" w:color="auto" w:fill="auto"/>
            <w:noWrap/>
            <w:vAlign w:val="bottom"/>
            <w:hideMark/>
          </w:tcPr>
          <w:p w14:paraId="59002439" w14:textId="77777777" w:rsidR="00BE6461" w:rsidRPr="00BE6461" w:rsidRDefault="00BE6461" w:rsidP="00BE6461">
            <w:pPr>
              <w:jc w:val="right"/>
              <w:rPr>
                <w:b/>
                <w:bCs/>
                <w:sz w:val="20"/>
                <w:szCs w:val="20"/>
              </w:rPr>
            </w:pPr>
            <w:r w:rsidRPr="00BE6461">
              <w:rPr>
                <w:b/>
                <w:bCs/>
                <w:sz w:val="20"/>
                <w:szCs w:val="20"/>
              </w:rPr>
              <w:t>95,95</w:t>
            </w:r>
          </w:p>
        </w:tc>
      </w:tr>
      <w:tr w:rsidR="00BE6461" w:rsidRPr="00BE6461" w14:paraId="2E7EC6EF" w14:textId="77777777" w:rsidTr="00BE6461">
        <w:trPr>
          <w:trHeight w:val="300"/>
        </w:trPr>
        <w:tc>
          <w:tcPr>
            <w:tcW w:w="1703" w:type="dxa"/>
            <w:tcBorders>
              <w:top w:val="nil"/>
              <w:left w:val="nil"/>
              <w:bottom w:val="nil"/>
              <w:right w:val="nil"/>
            </w:tcBorders>
            <w:shd w:val="clear" w:color="auto" w:fill="auto"/>
            <w:noWrap/>
            <w:vAlign w:val="bottom"/>
            <w:hideMark/>
          </w:tcPr>
          <w:p w14:paraId="7AA833E7" w14:textId="77777777" w:rsidR="00BE6461" w:rsidRPr="00BE6461" w:rsidRDefault="00BE6461" w:rsidP="00BE6461">
            <w:pPr>
              <w:rPr>
                <w:sz w:val="20"/>
                <w:szCs w:val="20"/>
              </w:rPr>
            </w:pPr>
            <w:r w:rsidRPr="00BE6461">
              <w:rPr>
                <w:sz w:val="20"/>
                <w:szCs w:val="20"/>
              </w:rPr>
              <w:lastRenderedPageBreak/>
              <w:t>3661</w:t>
            </w:r>
          </w:p>
        </w:tc>
        <w:tc>
          <w:tcPr>
            <w:tcW w:w="8457" w:type="dxa"/>
            <w:tcBorders>
              <w:top w:val="nil"/>
              <w:left w:val="nil"/>
              <w:bottom w:val="nil"/>
              <w:right w:val="nil"/>
            </w:tcBorders>
            <w:shd w:val="clear" w:color="auto" w:fill="auto"/>
            <w:vAlign w:val="bottom"/>
            <w:hideMark/>
          </w:tcPr>
          <w:p w14:paraId="21DC15D6" w14:textId="77777777" w:rsidR="00BE6461" w:rsidRPr="00BE6461" w:rsidRDefault="00BE6461" w:rsidP="00BE6461">
            <w:pPr>
              <w:rPr>
                <w:sz w:val="20"/>
                <w:szCs w:val="20"/>
              </w:rPr>
            </w:pPr>
            <w:r w:rsidRPr="00BE6461">
              <w:rPr>
                <w:sz w:val="20"/>
                <w:szCs w:val="20"/>
              </w:rPr>
              <w:t>Tekuće pomoći proračunskim korisnicima drugih proračuna</w:t>
            </w:r>
          </w:p>
        </w:tc>
        <w:tc>
          <w:tcPr>
            <w:tcW w:w="1503" w:type="dxa"/>
            <w:tcBorders>
              <w:top w:val="nil"/>
              <w:left w:val="nil"/>
              <w:bottom w:val="nil"/>
              <w:right w:val="nil"/>
            </w:tcBorders>
            <w:shd w:val="clear" w:color="auto" w:fill="auto"/>
            <w:noWrap/>
            <w:vAlign w:val="bottom"/>
            <w:hideMark/>
          </w:tcPr>
          <w:p w14:paraId="133E8265"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01D1363" w14:textId="77777777" w:rsidR="00BE6461" w:rsidRPr="00BE6461" w:rsidRDefault="00BE6461" w:rsidP="00BE6461">
            <w:pPr>
              <w:jc w:val="right"/>
              <w:rPr>
                <w:sz w:val="20"/>
                <w:szCs w:val="20"/>
              </w:rPr>
            </w:pPr>
            <w:r w:rsidRPr="00BE6461">
              <w:rPr>
                <w:sz w:val="20"/>
                <w:szCs w:val="20"/>
              </w:rPr>
              <w:t>686.019,00</w:t>
            </w:r>
          </w:p>
        </w:tc>
        <w:tc>
          <w:tcPr>
            <w:tcW w:w="1100" w:type="dxa"/>
            <w:tcBorders>
              <w:top w:val="nil"/>
              <w:left w:val="nil"/>
              <w:bottom w:val="nil"/>
              <w:right w:val="nil"/>
            </w:tcBorders>
            <w:shd w:val="clear" w:color="auto" w:fill="auto"/>
            <w:noWrap/>
            <w:vAlign w:val="bottom"/>
            <w:hideMark/>
          </w:tcPr>
          <w:p w14:paraId="567DADBB" w14:textId="77777777" w:rsidR="00BE6461" w:rsidRPr="00BE6461" w:rsidRDefault="00BE6461" w:rsidP="00BE6461">
            <w:pPr>
              <w:jc w:val="right"/>
              <w:rPr>
                <w:sz w:val="20"/>
                <w:szCs w:val="20"/>
              </w:rPr>
            </w:pPr>
          </w:p>
        </w:tc>
      </w:tr>
      <w:tr w:rsidR="00BE6461" w:rsidRPr="00BE6461" w14:paraId="4871D1A0" w14:textId="77777777" w:rsidTr="00BE6461">
        <w:trPr>
          <w:trHeight w:val="600"/>
        </w:trPr>
        <w:tc>
          <w:tcPr>
            <w:tcW w:w="10160" w:type="dxa"/>
            <w:gridSpan w:val="2"/>
            <w:tcBorders>
              <w:top w:val="single" w:sz="4" w:space="0" w:color="auto"/>
              <w:left w:val="nil"/>
              <w:bottom w:val="single" w:sz="4" w:space="0" w:color="auto"/>
              <w:right w:val="nil"/>
            </w:tcBorders>
            <w:shd w:val="clear" w:color="auto" w:fill="auto"/>
            <w:noWrap/>
            <w:vAlign w:val="bottom"/>
            <w:hideMark/>
          </w:tcPr>
          <w:p w14:paraId="50A29D29" w14:textId="77777777" w:rsidR="00BE6461" w:rsidRPr="00BE6461" w:rsidRDefault="00BE6461" w:rsidP="00BE6461">
            <w:pPr>
              <w:rPr>
                <w:b/>
                <w:bCs/>
                <w:sz w:val="20"/>
                <w:szCs w:val="20"/>
              </w:rPr>
            </w:pPr>
            <w:r w:rsidRPr="00BE6461">
              <w:rPr>
                <w:b/>
                <w:bCs/>
                <w:sz w:val="20"/>
                <w:szCs w:val="20"/>
              </w:rPr>
              <w:t>RAZDJEL 003 UPRAVNI ODJEL ZA PROSTORNO UREĐENJE I UPRAVLJANJE GRADSKOM IMOVINOM</w:t>
            </w:r>
          </w:p>
        </w:tc>
        <w:tc>
          <w:tcPr>
            <w:tcW w:w="1503" w:type="dxa"/>
            <w:tcBorders>
              <w:top w:val="single" w:sz="4" w:space="0" w:color="auto"/>
              <w:left w:val="nil"/>
              <w:bottom w:val="single" w:sz="4" w:space="0" w:color="auto"/>
              <w:right w:val="nil"/>
            </w:tcBorders>
            <w:shd w:val="clear" w:color="auto" w:fill="auto"/>
            <w:noWrap/>
            <w:vAlign w:val="bottom"/>
            <w:hideMark/>
          </w:tcPr>
          <w:p w14:paraId="0973FBAC" w14:textId="77777777" w:rsidR="00BE6461" w:rsidRPr="00BE6461" w:rsidRDefault="00BE6461" w:rsidP="00BE6461">
            <w:pPr>
              <w:jc w:val="right"/>
              <w:rPr>
                <w:b/>
                <w:bCs/>
                <w:sz w:val="20"/>
                <w:szCs w:val="20"/>
              </w:rPr>
            </w:pPr>
            <w:r w:rsidRPr="00BE6461">
              <w:rPr>
                <w:b/>
                <w:bCs/>
                <w:sz w:val="20"/>
                <w:szCs w:val="20"/>
              </w:rPr>
              <w:t>4.135.825,96</w:t>
            </w:r>
          </w:p>
        </w:tc>
        <w:tc>
          <w:tcPr>
            <w:tcW w:w="1500" w:type="dxa"/>
            <w:tcBorders>
              <w:top w:val="single" w:sz="4" w:space="0" w:color="auto"/>
              <w:left w:val="nil"/>
              <w:bottom w:val="single" w:sz="4" w:space="0" w:color="auto"/>
              <w:right w:val="nil"/>
            </w:tcBorders>
            <w:shd w:val="clear" w:color="auto" w:fill="auto"/>
            <w:noWrap/>
            <w:vAlign w:val="bottom"/>
            <w:hideMark/>
          </w:tcPr>
          <w:p w14:paraId="418ABDCA" w14:textId="77777777" w:rsidR="00BE6461" w:rsidRPr="00BE6461" w:rsidRDefault="00BE6461" w:rsidP="00BE6461">
            <w:pPr>
              <w:jc w:val="right"/>
              <w:rPr>
                <w:b/>
                <w:bCs/>
                <w:sz w:val="20"/>
                <w:szCs w:val="20"/>
              </w:rPr>
            </w:pPr>
            <w:r w:rsidRPr="00BE6461">
              <w:rPr>
                <w:b/>
                <w:bCs/>
                <w:sz w:val="20"/>
                <w:szCs w:val="20"/>
              </w:rPr>
              <w:t>3.884.212,25</w:t>
            </w:r>
          </w:p>
        </w:tc>
        <w:tc>
          <w:tcPr>
            <w:tcW w:w="1100" w:type="dxa"/>
            <w:tcBorders>
              <w:top w:val="single" w:sz="4" w:space="0" w:color="auto"/>
              <w:left w:val="nil"/>
              <w:bottom w:val="single" w:sz="4" w:space="0" w:color="auto"/>
              <w:right w:val="nil"/>
            </w:tcBorders>
            <w:shd w:val="clear" w:color="auto" w:fill="auto"/>
            <w:noWrap/>
            <w:vAlign w:val="bottom"/>
            <w:hideMark/>
          </w:tcPr>
          <w:p w14:paraId="029FD317" w14:textId="77777777" w:rsidR="00BE6461" w:rsidRPr="00BE6461" w:rsidRDefault="00BE6461" w:rsidP="00BE6461">
            <w:pPr>
              <w:jc w:val="right"/>
              <w:rPr>
                <w:b/>
                <w:bCs/>
                <w:sz w:val="20"/>
                <w:szCs w:val="20"/>
              </w:rPr>
            </w:pPr>
            <w:r w:rsidRPr="00BE6461">
              <w:rPr>
                <w:b/>
                <w:bCs/>
                <w:sz w:val="20"/>
                <w:szCs w:val="20"/>
              </w:rPr>
              <w:t>93,92</w:t>
            </w:r>
          </w:p>
        </w:tc>
      </w:tr>
      <w:tr w:rsidR="00BE6461" w:rsidRPr="00BE6461" w14:paraId="5CFDEA75" w14:textId="77777777" w:rsidTr="00BE6461">
        <w:trPr>
          <w:trHeight w:val="495"/>
        </w:trPr>
        <w:tc>
          <w:tcPr>
            <w:tcW w:w="10160" w:type="dxa"/>
            <w:gridSpan w:val="2"/>
            <w:tcBorders>
              <w:top w:val="single" w:sz="4" w:space="0" w:color="auto"/>
              <w:left w:val="nil"/>
              <w:bottom w:val="single" w:sz="4" w:space="0" w:color="auto"/>
              <w:right w:val="nil"/>
            </w:tcBorders>
            <w:shd w:val="clear" w:color="auto" w:fill="auto"/>
            <w:noWrap/>
            <w:vAlign w:val="bottom"/>
            <w:hideMark/>
          </w:tcPr>
          <w:p w14:paraId="5183D0C7" w14:textId="77777777" w:rsidR="00BE6461" w:rsidRPr="00BE6461" w:rsidRDefault="00BE6461" w:rsidP="00BE6461">
            <w:pPr>
              <w:rPr>
                <w:b/>
                <w:bCs/>
                <w:sz w:val="20"/>
                <w:szCs w:val="20"/>
              </w:rPr>
            </w:pPr>
            <w:r w:rsidRPr="00BE6461">
              <w:rPr>
                <w:b/>
                <w:bCs/>
                <w:sz w:val="20"/>
                <w:szCs w:val="20"/>
              </w:rPr>
              <w:t>GLAVA 00301 UPRAVNI ODJEL ZA PROSTORNO UREĐENJE I UPRAVLJANJE GRADSKOM IMOVINOM</w:t>
            </w:r>
          </w:p>
        </w:tc>
        <w:tc>
          <w:tcPr>
            <w:tcW w:w="1503" w:type="dxa"/>
            <w:tcBorders>
              <w:top w:val="nil"/>
              <w:left w:val="nil"/>
              <w:bottom w:val="single" w:sz="4" w:space="0" w:color="auto"/>
              <w:right w:val="nil"/>
            </w:tcBorders>
            <w:shd w:val="clear" w:color="auto" w:fill="auto"/>
            <w:noWrap/>
            <w:vAlign w:val="bottom"/>
            <w:hideMark/>
          </w:tcPr>
          <w:p w14:paraId="48ED311E" w14:textId="77777777" w:rsidR="00BE6461" w:rsidRPr="00BE6461" w:rsidRDefault="00BE6461" w:rsidP="00BE6461">
            <w:pPr>
              <w:jc w:val="right"/>
              <w:rPr>
                <w:b/>
                <w:bCs/>
                <w:sz w:val="20"/>
                <w:szCs w:val="20"/>
              </w:rPr>
            </w:pPr>
            <w:r w:rsidRPr="00BE6461">
              <w:rPr>
                <w:b/>
                <w:bCs/>
                <w:sz w:val="20"/>
                <w:szCs w:val="20"/>
              </w:rPr>
              <w:t>4.135.825,96</w:t>
            </w:r>
          </w:p>
        </w:tc>
        <w:tc>
          <w:tcPr>
            <w:tcW w:w="1500" w:type="dxa"/>
            <w:tcBorders>
              <w:top w:val="nil"/>
              <w:left w:val="nil"/>
              <w:bottom w:val="single" w:sz="4" w:space="0" w:color="auto"/>
              <w:right w:val="nil"/>
            </w:tcBorders>
            <w:shd w:val="clear" w:color="auto" w:fill="auto"/>
            <w:noWrap/>
            <w:vAlign w:val="bottom"/>
            <w:hideMark/>
          </w:tcPr>
          <w:p w14:paraId="4E822909" w14:textId="77777777" w:rsidR="00BE6461" w:rsidRPr="00BE6461" w:rsidRDefault="00BE6461" w:rsidP="00BE6461">
            <w:pPr>
              <w:jc w:val="right"/>
              <w:rPr>
                <w:b/>
                <w:bCs/>
                <w:sz w:val="20"/>
                <w:szCs w:val="20"/>
              </w:rPr>
            </w:pPr>
            <w:r w:rsidRPr="00BE6461">
              <w:rPr>
                <w:b/>
                <w:bCs/>
                <w:sz w:val="20"/>
                <w:szCs w:val="20"/>
              </w:rPr>
              <w:t>3.884.212,25</w:t>
            </w:r>
          </w:p>
        </w:tc>
        <w:tc>
          <w:tcPr>
            <w:tcW w:w="1100" w:type="dxa"/>
            <w:tcBorders>
              <w:top w:val="nil"/>
              <w:left w:val="nil"/>
              <w:bottom w:val="single" w:sz="4" w:space="0" w:color="auto"/>
              <w:right w:val="nil"/>
            </w:tcBorders>
            <w:shd w:val="clear" w:color="auto" w:fill="auto"/>
            <w:noWrap/>
            <w:vAlign w:val="bottom"/>
            <w:hideMark/>
          </w:tcPr>
          <w:p w14:paraId="726D0FA4" w14:textId="77777777" w:rsidR="00BE6461" w:rsidRPr="00BE6461" w:rsidRDefault="00BE6461" w:rsidP="00BE6461">
            <w:pPr>
              <w:jc w:val="right"/>
              <w:rPr>
                <w:b/>
                <w:bCs/>
                <w:sz w:val="20"/>
                <w:szCs w:val="20"/>
              </w:rPr>
            </w:pPr>
            <w:r w:rsidRPr="00BE6461">
              <w:rPr>
                <w:b/>
                <w:bCs/>
                <w:sz w:val="20"/>
                <w:szCs w:val="20"/>
              </w:rPr>
              <w:t>93,92</w:t>
            </w:r>
          </w:p>
        </w:tc>
      </w:tr>
      <w:tr w:rsidR="00BE6461" w:rsidRPr="00BE6461" w14:paraId="051528E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418694B"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078C0D1C" w14:textId="77777777" w:rsidR="00BE6461" w:rsidRPr="00BE6461" w:rsidRDefault="00BE6461" w:rsidP="00BE6461">
            <w:pPr>
              <w:jc w:val="right"/>
              <w:rPr>
                <w:b/>
                <w:bCs/>
                <w:color w:val="333333"/>
                <w:sz w:val="20"/>
                <w:szCs w:val="20"/>
              </w:rPr>
            </w:pPr>
            <w:r w:rsidRPr="00BE6461">
              <w:rPr>
                <w:b/>
                <w:bCs/>
                <w:color w:val="333333"/>
                <w:sz w:val="20"/>
                <w:szCs w:val="20"/>
              </w:rPr>
              <w:t>1.590.246,98</w:t>
            </w:r>
          </w:p>
        </w:tc>
        <w:tc>
          <w:tcPr>
            <w:tcW w:w="1500" w:type="dxa"/>
            <w:tcBorders>
              <w:top w:val="nil"/>
              <w:left w:val="nil"/>
              <w:bottom w:val="nil"/>
              <w:right w:val="nil"/>
            </w:tcBorders>
            <w:shd w:val="clear" w:color="auto" w:fill="auto"/>
            <w:noWrap/>
            <w:vAlign w:val="bottom"/>
            <w:hideMark/>
          </w:tcPr>
          <w:p w14:paraId="22DF9AC1" w14:textId="77777777" w:rsidR="00BE6461" w:rsidRPr="00BE6461" w:rsidRDefault="00BE6461" w:rsidP="00BE6461">
            <w:pPr>
              <w:jc w:val="right"/>
              <w:rPr>
                <w:b/>
                <w:bCs/>
                <w:color w:val="333333"/>
                <w:sz w:val="20"/>
                <w:szCs w:val="20"/>
              </w:rPr>
            </w:pPr>
            <w:r w:rsidRPr="00BE6461">
              <w:rPr>
                <w:b/>
                <w:bCs/>
                <w:color w:val="333333"/>
                <w:sz w:val="20"/>
                <w:szCs w:val="20"/>
              </w:rPr>
              <w:t>1.378.147,81</w:t>
            </w:r>
          </w:p>
        </w:tc>
        <w:tc>
          <w:tcPr>
            <w:tcW w:w="1100" w:type="dxa"/>
            <w:tcBorders>
              <w:top w:val="nil"/>
              <w:left w:val="nil"/>
              <w:bottom w:val="nil"/>
              <w:right w:val="nil"/>
            </w:tcBorders>
            <w:shd w:val="clear" w:color="auto" w:fill="auto"/>
            <w:noWrap/>
            <w:vAlign w:val="bottom"/>
            <w:hideMark/>
          </w:tcPr>
          <w:p w14:paraId="77409EB3" w14:textId="77777777" w:rsidR="00BE6461" w:rsidRPr="00BE6461" w:rsidRDefault="00BE6461" w:rsidP="00BE6461">
            <w:pPr>
              <w:jc w:val="right"/>
              <w:rPr>
                <w:b/>
                <w:bCs/>
                <w:color w:val="333333"/>
                <w:sz w:val="20"/>
                <w:szCs w:val="20"/>
              </w:rPr>
            </w:pPr>
            <w:r w:rsidRPr="00BE6461">
              <w:rPr>
                <w:b/>
                <w:bCs/>
                <w:color w:val="333333"/>
                <w:sz w:val="20"/>
                <w:szCs w:val="20"/>
              </w:rPr>
              <w:t>86,66</w:t>
            </w:r>
          </w:p>
        </w:tc>
      </w:tr>
      <w:tr w:rsidR="00BE6461" w:rsidRPr="00BE6461" w14:paraId="68B20242"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7CEBA60"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70D0BEE7" w14:textId="77777777" w:rsidR="00BE6461" w:rsidRPr="00BE6461" w:rsidRDefault="00BE6461" w:rsidP="00BE6461">
            <w:pPr>
              <w:jc w:val="right"/>
              <w:rPr>
                <w:b/>
                <w:bCs/>
                <w:color w:val="333333"/>
                <w:sz w:val="20"/>
                <w:szCs w:val="20"/>
              </w:rPr>
            </w:pPr>
            <w:r w:rsidRPr="00BE6461">
              <w:rPr>
                <w:b/>
                <w:bCs/>
                <w:color w:val="333333"/>
                <w:sz w:val="20"/>
                <w:szCs w:val="20"/>
              </w:rPr>
              <w:t>1.590.246,98</w:t>
            </w:r>
          </w:p>
        </w:tc>
        <w:tc>
          <w:tcPr>
            <w:tcW w:w="1500" w:type="dxa"/>
            <w:tcBorders>
              <w:top w:val="nil"/>
              <w:left w:val="nil"/>
              <w:bottom w:val="nil"/>
              <w:right w:val="nil"/>
            </w:tcBorders>
            <w:shd w:val="clear" w:color="auto" w:fill="auto"/>
            <w:noWrap/>
            <w:vAlign w:val="bottom"/>
            <w:hideMark/>
          </w:tcPr>
          <w:p w14:paraId="13388F71" w14:textId="77777777" w:rsidR="00BE6461" w:rsidRPr="00BE6461" w:rsidRDefault="00BE6461" w:rsidP="00BE6461">
            <w:pPr>
              <w:jc w:val="right"/>
              <w:rPr>
                <w:b/>
                <w:bCs/>
                <w:color w:val="333333"/>
                <w:sz w:val="20"/>
                <w:szCs w:val="20"/>
              </w:rPr>
            </w:pPr>
            <w:r w:rsidRPr="00BE6461">
              <w:rPr>
                <w:b/>
                <w:bCs/>
                <w:color w:val="333333"/>
                <w:sz w:val="20"/>
                <w:szCs w:val="20"/>
              </w:rPr>
              <w:t>1.378.147,81</w:t>
            </w:r>
          </w:p>
        </w:tc>
        <w:tc>
          <w:tcPr>
            <w:tcW w:w="1100" w:type="dxa"/>
            <w:tcBorders>
              <w:top w:val="nil"/>
              <w:left w:val="nil"/>
              <w:bottom w:val="nil"/>
              <w:right w:val="nil"/>
            </w:tcBorders>
            <w:shd w:val="clear" w:color="auto" w:fill="auto"/>
            <w:noWrap/>
            <w:vAlign w:val="bottom"/>
            <w:hideMark/>
          </w:tcPr>
          <w:p w14:paraId="7BE3AEB3" w14:textId="77777777" w:rsidR="00BE6461" w:rsidRPr="00BE6461" w:rsidRDefault="00BE6461" w:rsidP="00BE6461">
            <w:pPr>
              <w:jc w:val="right"/>
              <w:rPr>
                <w:b/>
                <w:bCs/>
                <w:color w:val="333333"/>
                <w:sz w:val="20"/>
                <w:szCs w:val="20"/>
              </w:rPr>
            </w:pPr>
            <w:r w:rsidRPr="00BE6461">
              <w:rPr>
                <w:b/>
                <w:bCs/>
                <w:color w:val="333333"/>
                <w:sz w:val="20"/>
                <w:szCs w:val="20"/>
              </w:rPr>
              <w:t>86,66</w:t>
            </w:r>
          </w:p>
        </w:tc>
      </w:tr>
      <w:tr w:rsidR="00BE6461" w:rsidRPr="00BE6461" w14:paraId="0A2E14F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00D9A49"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74E4A31B" w14:textId="77777777" w:rsidR="00BE6461" w:rsidRPr="00BE6461" w:rsidRDefault="00BE6461" w:rsidP="00BE6461">
            <w:pPr>
              <w:jc w:val="right"/>
              <w:rPr>
                <w:b/>
                <w:bCs/>
                <w:color w:val="333333"/>
                <w:sz w:val="20"/>
                <w:szCs w:val="20"/>
              </w:rPr>
            </w:pPr>
            <w:r w:rsidRPr="00BE6461">
              <w:rPr>
                <w:b/>
                <w:bCs/>
                <w:color w:val="333333"/>
                <w:sz w:val="20"/>
                <w:szCs w:val="20"/>
              </w:rPr>
              <w:t>255.521,99</w:t>
            </w:r>
          </w:p>
        </w:tc>
        <w:tc>
          <w:tcPr>
            <w:tcW w:w="1500" w:type="dxa"/>
            <w:tcBorders>
              <w:top w:val="nil"/>
              <w:left w:val="nil"/>
              <w:bottom w:val="nil"/>
              <w:right w:val="nil"/>
            </w:tcBorders>
            <w:shd w:val="clear" w:color="auto" w:fill="auto"/>
            <w:noWrap/>
            <w:vAlign w:val="bottom"/>
            <w:hideMark/>
          </w:tcPr>
          <w:p w14:paraId="025232AE" w14:textId="77777777" w:rsidR="00BE6461" w:rsidRPr="00BE6461" w:rsidRDefault="00BE6461" w:rsidP="00BE6461">
            <w:pPr>
              <w:jc w:val="right"/>
              <w:rPr>
                <w:b/>
                <w:bCs/>
                <w:color w:val="333333"/>
                <w:sz w:val="20"/>
                <w:szCs w:val="20"/>
              </w:rPr>
            </w:pPr>
            <w:r w:rsidRPr="00BE6461">
              <w:rPr>
                <w:b/>
                <w:bCs/>
                <w:color w:val="333333"/>
                <w:sz w:val="20"/>
                <w:szCs w:val="20"/>
              </w:rPr>
              <w:t>229.646,99</w:t>
            </w:r>
          </w:p>
        </w:tc>
        <w:tc>
          <w:tcPr>
            <w:tcW w:w="1100" w:type="dxa"/>
            <w:tcBorders>
              <w:top w:val="nil"/>
              <w:left w:val="nil"/>
              <w:bottom w:val="nil"/>
              <w:right w:val="nil"/>
            </w:tcBorders>
            <w:shd w:val="clear" w:color="auto" w:fill="auto"/>
            <w:noWrap/>
            <w:vAlign w:val="bottom"/>
            <w:hideMark/>
          </w:tcPr>
          <w:p w14:paraId="266EF808" w14:textId="77777777" w:rsidR="00BE6461" w:rsidRPr="00BE6461" w:rsidRDefault="00BE6461" w:rsidP="00BE6461">
            <w:pPr>
              <w:jc w:val="right"/>
              <w:rPr>
                <w:b/>
                <w:bCs/>
                <w:color w:val="333333"/>
                <w:sz w:val="20"/>
                <w:szCs w:val="20"/>
              </w:rPr>
            </w:pPr>
            <w:r w:rsidRPr="00BE6461">
              <w:rPr>
                <w:b/>
                <w:bCs/>
                <w:color w:val="333333"/>
                <w:sz w:val="20"/>
                <w:szCs w:val="20"/>
              </w:rPr>
              <w:t>89,87</w:t>
            </w:r>
          </w:p>
        </w:tc>
      </w:tr>
      <w:tr w:rsidR="00BE6461" w:rsidRPr="00BE6461" w14:paraId="6C7B5ED9"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4E6175A" w14:textId="77777777" w:rsidR="00BE6461" w:rsidRPr="00BE6461" w:rsidRDefault="00BE6461" w:rsidP="00BE6461">
            <w:pPr>
              <w:rPr>
                <w:b/>
                <w:bCs/>
                <w:color w:val="333333"/>
                <w:sz w:val="20"/>
                <w:szCs w:val="20"/>
              </w:rPr>
            </w:pPr>
            <w:r w:rsidRPr="00BE6461">
              <w:rPr>
                <w:b/>
                <w:bCs/>
                <w:color w:val="333333"/>
                <w:sz w:val="20"/>
                <w:szCs w:val="20"/>
              </w:rPr>
              <w:t>Izvor 4.1. PRIHODI POSEBNE NAMJENE - KOMUNALNA NAKNADA</w:t>
            </w:r>
          </w:p>
        </w:tc>
        <w:tc>
          <w:tcPr>
            <w:tcW w:w="1503" w:type="dxa"/>
            <w:tcBorders>
              <w:top w:val="nil"/>
              <w:left w:val="nil"/>
              <w:bottom w:val="nil"/>
              <w:right w:val="nil"/>
            </w:tcBorders>
            <w:shd w:val="clear" w:color="auto" w:fill="auto"/>
            <w:noWrap/>
            <w:vAlign w:val="bottom"/>
            <w:hideMark/>
          </w:tcPr>
          <w:p w14:paraId="2A1A9B35" w14:textId="77777777" w:rsidR="00BE6461" w:rsidRPr="00BE6461" w:rsidRDefault="00BE6461" w:rsidP="00BE6461">
            <w:pPr>
              <w:jc w:val="right"/>
              <w:rPr>
                <w:b/>
                <w:bCs/>
                <w:color w:val="333333"/>
                <w:sz w:val="20"/>
                <w:szCs w:val="20"/>
              </w:rPr>
            </w:pPr>
            <w:r w:rsidRPr="00BE6461">
              <w:rPr>
                <w:b/>
                <w:bCs/>
                <w:color w:val="333333"/>
                <w:sz w:val="20"/>
                <w:szCs w:val="20"/>
              </w:rPr>
              <w:t>1.021,99</w:t>
            </w:r>
          </w:p>
        </w:tc>
        <w:tc>
          <w:tcPr>
            <w:tcW w:w="1500" w:type="dxa"/>
            <w:tcBorders>
              <w:top w:val="nil"/>
              <w:left w:val="nil"/>
              <w:bottom w:val="nil"/>
              <w:right w:val="nil"/>
            </w:tcBorders>
            <w:shd w:val="clear" w:color="auto" w:fill="auto"/>
            <w:noWrap/>
            <w:vAlign w:val="bottom"/>
            <w:hideMark/>
          </w:tcPr>
          <w:p w14:paraId="59C10CFB" w14:textId="77777777" w:rsidR="00BE6461" w:rsidRPr="00BE6461" w:rsidRDefault="00BE6461" w:rsidP="00BE6461">
            <w:pPr>
              <w:jc w:val="right"/>
              <w:rPr>
                <w:b/>
                <w:bCs/>
                <w:color w:val="333333"/>
                <w:sz w:val="20"/>
                <w:szCs w:val="20"/>
              </w:rPr>
            </w:pPr>
            <w:r w:rsidRPr="00BE6461">
              <w:rPr>
                <w:b/>
                <w:bCs/>
                <w:color w:val="333333"/>
                <w:sz w:val="20"/>
                <w:szCs w:val="20"/>
              </w:rPr>
              <w:t>1.021,99</w:t>
            </w:r>
          </w:p>
        </w:tc>
        <w:tc>
          <w:tcPr>
            <w:tcW w:w="1100" w:type="dxa"/>
            <w:tcBorders>
              <w:top w:val="nil"/>
              <w:left w:val="nil"/>
              <w:bottom w:val="nil"/>
              <w:right w:val="nil"/>
            </w:tcBorders>
            <w:shd w:val="clear" w:color="auto" w:fill="auto"/>
            <w:noWrap/>
            <w:vAlign w:val="bottom"/>
            <w:hideMark/>
          </w:tcPr>
          <w:p w14:paraId="5E1BD305"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6569D408"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3F2AA95" w14:textId="77777777" w:rsidR="00BE6461" w:rsidRPr="00BE6461" w:rsidRDefault="00BE6461" w:rsidP="00BE6461">
            <w:pPr>
              <w:rPr>
                <w:b/>
                <w:bCs/>
                <w:color w:val="333333"/>
                <w:sz w:val="20"/>
                <w:szCs w:val="20"/>
              </w:rPr>
            </w:pPr>
            <w:r w:rsidRPr="00BE6461">
              <w:rPr>
                <w:b/>
                <w:bCs/>
                <w:color w:val="333333"/>
                <w:sz w:val="20"/>
                <w:szCs w:val="20"/>
              </w:rPr>
              <w:t>Izvor 4.2. PRIHODI POSEBNE NAMJENE - KOMUNALNI DOPRINOS</w:t>
            </w:r>
          </w:p>
        </w:tc>
        <w:tc>
          <w:tcPr>
            <w:tcW w:w="1503" w:type="dxa"/>
            <w:tcBorders>
              <w:top w:val="nil"/>
              <w:left w:val="nil"/>
              <w:bottom w:val="nil"/>
              <w:right w:val="nil"/>
            </w:tcBorders>
            <w:shd w:val="clear" w:color="auto" w:fill="auto"/>
            <w:noWrap/>
            <w:vAlign w:val="bottom"/>
            <w:hideMark/>
          </w:tcPr>
          <w:p w14:paraId="1F870ACB" w14:textId="77777777" w:rsidR="00BE6461" w:rsidRPr="00BE6461" w:rsidRDefault="00BE6461" w:rsidP="00BE6461">
            <w:pPr>
              <w:jc w:val="right"/>
              <w:rPr>
                <w:b/>
                <w:bCs/>
                <w:color w:val="333333"/>
                <w:sz w:val="20"/>
                <w:szCs w:val="20"/>
              </w:rPr>
            </w:pPr>
            <w:r w:rsidRPr="00BE6461">
              <w:rPr>
                <w:b/>
                <w:bCs/>
                <w:color w:val="333333"/>
                <w:sz w:val="20"/>
                <w:szCs w:val="20"/>
              </w:rPr>
              <w:t>225.000,00</w:t>
            </w:r>
          </w:p>
        </w:tc>
        <w:tc>
          <w:tcPr>
            <w:tcW w:w="1500" w:type="dxa"/>
            <w:tcBorders>
              <w:top w:val="nil"/>
              <w:left w:val="nil"/>
              <w:bottom w:val="nil"/>
              <w:right w:val="nil"/>
            </w:tcBorders>
            <w:shd w:val="clear" w:color="auto" w:fill="auto"/>
            <w:noWrap/>
            <w:vAlign w:val="bottom"/>
            <w:hideMark/>
          </w:tcPr>
          <w:p w14:paraId="1AB5E078" w14:textId="77777777" w:rsidR="00BE6461" w:rsidRPr="00BE6461" w:rsidRDefault="00BE6461" w:rsidP="00BE6461">
            <w:pPr>
              <w:jc w:val="right"/>
              <w:rPr>
                <w:b/>
                <w:bCs/>
                <w:color w:val="333333"/>
                <w:sz w:val="20"/>
                <w:szCs w:val="20"/>
              </w:rPr>
            </w:pPr>
            <w:r w:rsidRPr="00BE6461">
              <w:rPr>
                <w:b/>
                <w:bCs/>
                <w:color w:val="333333"/>
                <w:sz w:val="20"/>
                <w:szCs w:val="20"/>
              </w:rPr>
              <w:t>199.125,00</w:t>
            </w:r>
          </w:p>
        </w:tc>
        <w:tc>
          <w:tcPr>
            <w:tcW w:w="1100" w:type="dxa"/>
            <w:tcBorders>
              <w:top w:val="nil"/>
              <w:left w:val="nil"/>
              <w:bottom w:val="nil"/>
              <w:right w:val="nil"/>
            </w:tcBorders>
            <w:shd w:val="clear" w:color="auto" w:fill="auto"/>
            <w:noWrap/>
            <w:vAlign w:val="bottom"/>
            <w:hideMark/>
          </w:tcPr>
          <w:p w14:paraId="4E712373" w14:textId="77777777" w:rsidR="00BE6461" w:rsidRPr="00BE6461" w:rsidRDefault="00BE6461" w:rsidP="00BE6461">
            <w:pPr>
              <w:jc w:val="right"/>
              <w:rPr>
                <w:b/>
                <w:bCs/>
                <w:color w:val="333333"/>
                <w:sz w:val="20"/>
                <w:szCs w:val="20"/>
              </w:rPr>
            </w:pPr>
            <w:r w:rsidRPr="00BE6461">
              <w:rPr>
                <w:b/>
                <w:bCs/>
                <w:color w:val="333333"/>
                <w:sz w:val="20"/>
                <w:szCs w:val="20"/>
              </w:rPr>
              <w:t>88,50</w:t>
            </w:r>
          </w:p>
        </w:tc>
      </w:tr>
      <w:tr w:rsidR="00BE6461" w:rsidRPr="00BE6461" w14:paraId="23852AE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7F82E45" w14:textId="77777777" w:rsidR="00BE6461" w:rsidRPr="00BE6461" w:rsidRDefault="00BE6461" w:rsidP="00BE6461">
            <w:pPr>
              <w:rPr>
                <w:b/>
                <w:bCs/>
                <w:color w:val="333333"/>
                <w:sz w:val="20"/>
                <w:szCs w:val="20"/>
              </w:rPr>
            </w:pPr>
            <w:r w:rsidRPr="00BE6461">
              <w:rPr>
                <w:b/>
                <w:bCs/>
                <w:color w:val="333333"/>
                <w:sz w:val="20"/>
                <w:szCs w:val="20"/>
              </w:rPr>
              <w:t>Izvor 4.6. PRIHODI POSEBNE NAMJENE - OSTALI</w:t>
            </w:r>
          </w:p>
        </w:tc>
        <w:tc>
          <w:tcPr>
            <w:tcW w:w="1503" w:type="dxa"/>
            <w:tcBorders>
              <w:top w:val="nil"/>
              <w:left w:val="nil"/>
              <w:bottom w:val="nil"/>
              <w:right w:val="nil"/>
            </w:tcBorders>
            <w:shd w:val="clear" w:color="auto" w:fill="auto"/>
            <w:noWrap/>
            <w:vAlign w:val="bottom"/>
            <w:hideMark/>
          </w:tcPr>
          <w:p w14:paraId="7713CE1A" w14:textId="77777777" w:rsidR="00BE6461" w:rsidRPr="00BE6461" w:rsidRDefault="00BE6461" w:rsidP="00BE6461">
            <w:pPr>
              <w:jc w:val="right"/>
              <w:rPr>
                <w:b/>
                <w:bCs/>
                <w:color w:val="333333"/>
                <w:sz w:val="20"/>
                <w:szCs w:val="20"/>
              </w:rPr>
            </w:pPr>
            <w:r w:rsidRPr="00BE6461">
              <w:rPr>
                <w:b/>
                <w:bCs/>
                <w:color w:val="333333"/>
                <w:sz w:val="20"/>
                <w:szCs w:val="20"/>
              </w:rPr>
              <w:t>29.500,00</w:t>
            </w:r>
          </w:p>
        </w:tc>
        <w:tc>
          <w:tcPr>
            <w:tcW w:w="1500" w:type="dxa"/>
            <w:tcBorders>
              <w:top w:val="nil"/>
              <w:left w:val="nil"/>
              <w:bottom w:val="nil"/>
              <w:right w:val="nil"/>
            </w:tcBorders>
            <w:shd w:val="clear" w:color="auto" w:fill="auto"/>
            <w:noWrap/>
            <w:vAlign w:val="bottom"/>
            <w:hideMark/>
          </w:tcPr>
          <w:p w14:paraId="4DD6AEC2" w14:textId="77777777" w:rsidR="00BE6461" w:rsidRPr="00BE6461" w:rsidRDefault="00BE6461" w:rsidP="00BE6461">
            <w:pPr>
              <w:jc w:val="right"/>
              <w:rPr>
                <w:b/>
                <w:bCs/>
                <w:color w:val="333333"/>
                <w:sz w:val="20"/>
                <w:szCs w:val="20"/>
              </w:rPr>
            </w:pPr>
            <w:r w:rsidRPr="00BE6461">
              <w:rPr>
                <w:b/>
                <w:bCs/>
                <w:color w:val="333333"/>
                <w:sz w:val="20"/>
                <w:szCs w:val="20"/>
              </w:rPr>
              <w:t>29.500,00</w:t>
            </w:r>
          </w:p>
        </w:tc>
        <w:tc>
          <w:tcPr>
            <w:tcW w:w="1100" w:type="dxa"/>
            <w:tcBorders>
              <w:top w:val="nil"/>
              <w:left w:val="nil"/>
              <w:bottom w:val="nil"/>
              <w:right w:val="nil"/>
            </w:tcBorders>
            <w:shd w:val="clear" w:color="auto" w:fill="auto"/>
            <w:noWrap/>
            <w:vAlign w:val="bottom"/>
            <w:hideMark/>
          </w:tcPr>
          <w:p w14:paraId="3FFB374C"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76053D45"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6CB1CDB" w14:textId="77777777" w:rsidR="00BE6461" w:rsidRPr="00BE6461" w:rsidRDefault="00BE6461" w:rsidP="00BE6461">
            <w:pPr>
              <w:rPr>
                <w:b/>
                <w:bCs/>
                <w:color w:val="333333"/>
                <w:sz w:val="20"/>
                <w:szCs w:val="20"/>
              </w:rPr>
            </w:pPr>
            <w:r w:rsidRPr="00BE6461">
              <w:rPr>
                <w:b/>
                <w:bCs/>
                <w:color w:val="333333"/>
                <w:sz w:val="20"/>
                <w:szCs w:val="20"/>
              </w:rPr>
              <w:t>Izvor 5. POMOĆI</w:t>
            </w:r>
          </w:p>
        </w:tc>
        <w:tc>
          <w:tcPr>
            <w:tcW w:w="1503" w:type="dxa"/>
            <w:tcBorders>
              <w:top w:val="nil"/>
              <w:left w:val="nil"/>
              <w:bottom w:val="nil"/>
              <w:right w:val="nil"/>
            </w:tcBorders>
            <w:shd w:val="clear" w:color="auto" w:fill="auto"/>
            <w:noWrap/>
            <w:vAlign w:val="bottom"/>
            <w:hideMark/>
          </w:tcPr>
          <w:p w14:paraId="791EE7F4" w14:textId="77777777" w:rsidR="00BE6461" w:rsidRPr="00BE6461" w:rsidRDefault="00BE6461" w:rsidP="00BE6461">
            <w:pPr>
              <w:jc w:val="right"/>
              <w:rPr>
                <w:b/>
                <w:bCs/>
                <w:color w:val="333333"/>
                <w:sz w:val="20"/>
                <w:szCs w:val="20"/>
              </w:rPr>
            </w:pPr>
            <w:r w:rsidRPr="00BE6461">
              <w:rPr>
                <w:b/>
                <w:bCs/>
                <w:color w:val="333333"/>
                <w:sz w:val="20"/>
                <w:szCs w:val="20"/>
              </w:rPr>
              <w:t>438.195,00</w:t>
            </w:r>
          </w:p>
        </w:tc>
        <w:tc>
          <w:tcPr>
            <w:tcW w:w="1500" w:type="dxa"/>
            <w:tcBorders>
              <w:top w:val="nil"/>
              <w:left w:val="nil"/>
              <w:bottom w:val="nil"/>
              <w:right w:val="nil"/>
            </w:tcBorders>
            <w:shd w:val="clear" w:color="auto" w:fill="auto"/>
            <w:noWrap/>
            <w:vAlign w:val="bottom"/>
            <w:hideMark/>
          </w:tcPr>
          <w:p w14:paraId="31B57926" w14:textId="77777777" w:rsidR="00BE6461" w:rsidRPr="00BE6461" w:rsidRDefault="00BE6461" w:rsidP="00BE6461">
            <w:pPr>
              <w:jc w:val="right"/>
              <w:rPr>
                <w:b/>
                <w:bCs/>
                <w:color w:val="333333"/>
                <w:sz w:val="20"/>
                <w:szCs w:val="20"/>
              </w:rPr>
            </w:pPr>
            <w:r w:rsidRPr="00BE6461">
              <w:rPr>
                <w:b/>
                <w:bCs/>
                <w:color w:val="333333"/>
                <w:sz w:val="20"/>
                <w:szCs w:val="20"/>
              </w:rPr>
              <w:t>438.567,46</w:t>
            </w:r>
          </w:p>
        </w:tc>
        <w:tc>
          <w:tcPr>
            <w:tcW w:w="1100" w:type="dxa"/>
            <w:tcBorders>
              <w:top w:val="nil"/>
              <w:left w:val="nil"/>
              <w:bottom w:val="nil"/>
              <w:right w:val="nil"/>
            </w:tcBorders>
            <w:shd w:val="clear" w:color="auto" w:fill="auto"/>
            <w:noWrap/>
            <w:vAlign w:val="bottom"/>
            <w:hideMark/>
          </w:tcPr>
          <w:p w14:paraId="19F563E0" w14:textId="77777777" w:rsidR="00BE6461" w:rsidRPr="00BE6461" w:rsidRDefault="00BE6461" w:rsidP="00BE6461">
            <w:pPr>
              <w:jc w:val="right"/>
              <w:rPr>
                <w:b/>
                <w:bCs/>
                <w:color w:val="333333"/>
                <w:sz w:val="20"/>
                <w:szCs w:val="20"/>
              </w:rPr>
            </w:pPr>
            <w:r w:rsidRPr="00BE6461">
              <w:rPr>
                <w:b/>
                <w:bCs/>
                <w:color w:val="333333"/>
                <w:sz w:val="20"/>
                <w:szCs w:val="20"/>
              </w:rPr>
              <w:t>100,08</w:t>
            </w:r>
          </w:p>
        </w:tc>
      </w:tr>
      <w:tr w:rsidR="00BE6461" w:rsidRPr="00BE6461" w14:paraId="6337BD40"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20C8969" w14:textId="77777777" w:rsidR="00BE6461" w:rsidRPr="00BE6461" w:rsidRDefault="00BE6461" w:rsidP="00BE6461">
            <w:pPr>
              <w:rPr>
                <w:b/>
                <w:bCs/>
                <w:color w:val="333333"/>
                <w:sz w:val="20"/>
                <w:szCs w:val="20"/>
              </w:rPr>
            </w:pPr>
            <w:r w:rsidRPr="00BE6461">
              <w:rPr>
                <w:b/>
                <w:bCs/>
                <w:color w:val="333333"/>
                <w:sz w:val="20"/>
                <w:szCs w:val="20"/>
              </w:rPr>
              <w:t>Izvor 5.1. POMOĆI</w:t>
            </w:r>
          </w:p>
        </w:tc>
        <w:tc>
          <w:tcPr>
            <w:tcW w:w="1503" w:type="dxa"/>
            <w:tcBorders>
              <w:top w:val="nil"/>
              <w:left w:val="nil"/>
              <w:bottom w:val="nil"/>
              <w:right w:val="nil"/>
            </w:tcBorders>
            <w:shd w:val="clear" w:color="auto" w:fill="auto"/>
            <w:noWrap/>
            <w:vAlign w:val="bottom"/>
            <w:hideMark/>
          </w:tcPr>
          <w:p w14:paraId="76005908" w14:textId="77777777" w:rsidR="00BE6461" w:rsidRPr="00BE6461" w:rsidRDefault="00BE6461" w:rsidP="00BE6461">
            <w:pPr>
              <w:jc w:val="right"/>
              <w:rPr>
                <w:b/>
                <w:bCs/>
                <w:color w:val="333333"/>
                <w:sz w:val="20"/>
                <w:szCs w:val="20"/>
              </w:rPr>
            </w:pPr>
            <w:r w:rsidRPr="00BE6461">
              <w:rPr>
                <w:b/>
                <w:bCs/>
                <w:color w:val="333333"/>
                <w:sz w:val="20"/>
                <w:szCs w:val="20"/>
              </w:rPr>
              <w:t>438.195,00</w:t>
            </w:r>
          </w:p>
        </w:tc>
        <w:tc>
          <w:tcPr>
            <w:tcW w:w="1500" w:type="dxa"/>
            <w:tcBorders>
              <w:top w:val="nil"/>
              <w:left w:val="nil"/>
              <w:bottom w:val="nil"/>
              <w:right w:val="nil"/>
            </w:tcBorders>
            <w:shd w:val="clear" w:color="auto" w:fill="auto"/>
            <w:noWrap/>
            <w:vAlign w:val="bottom"/>
            <w:hideMark/>
          </w:tcPr>
          <w:p w14:paraId="06648A96" w14:textId="77777777" w:rsidR="00BE6461" w:rsidRPr="00BE6461" w:rsidRDefault="00BE6461" w:rsidP="00BE6461">
            <w:pPr>
              <w:jc w:val="right"/>
              <w:rPr>
                <w:b/>
                <w:bCs/>
                <w:color w:val="333333"/>
                <w:sz w:val="20"/>
                <w:szCs w:val="20"/>
              </w:rPr>
            </w:pPr>
            <w:r w:rsidRPr="00BE6461">
              <w:rPr>
                <w:b/>
                <w:bCs/>
                <w:color w:val="333333"/>
                <w:sz w:val="20"/>
                <w:szCs w:val="20"/>
              </w:rPr>
              <w:t>438.567,46</w:t>
            </w:r>
          </w:p>
        </w:tc>
        <w:tc>
          <w:tcPr>
            <w:tcW w:w="1100" w:type="dxa"/>
            <w:tcBorders>
              <w:top w:val="nil"/>
              <w:left w:val="nil"/>
              <w:bottom w:val="nil"/>
              <w:right w:val="nil"/>
            </w:tcBorders>
            <w:shd w:val="clear" w:color="auto" w:fill="auto"/>
            <w:noWrap/>
            <w:vAlign w:val="bottom"/>
            <w:hideMark/>
          </w:tcPr>
          <w:p w14:paraId="5A254793" w14:textId="77777777" w:rsidR="00BE6461" w:rsidRPr="00BE6461" w:rsidRDefault="00BE6461" w:rsidP="00BE6461">
            <w:pPr>
              <w:jc w:val="right"/>
              <w:rPr>
                <w:b/>
                <w:bCs/>
                <w:color w:val="333333"/>
                <w:sz w:val="20"/>
                <w:szCs w:val="20"/>
              </w:rPr>
            </w:pPr>
            <w:r w:rsidRPr="00BE6461">
              <w:rPr>
                <w:b/>
                <w:bCs/>
                <w:color w:val="333333"/>
                <w:sz w:val="20"/>
                <w:szCs w:val="20"/>
              </w:rPr>
              <w:t>100,08</w:t>
            </w:r>
          </w:p>
        </w:tc>
      </w:tr>
      <w:tr w:rsidR="00BE6461" w:rsidRPr="00BE6461" w14:paraId="1D35462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C641AD6" w14:textId="77777777" w:rsidR="00BE6461" w:rsidRPr="00BE6461" w:rsidRDefault="00BE6461" w:rsidP="00BE6461">
            <w:pPr>
              <w:rPr>
                <w:b/>
                <w:bCs/>
                <w:color w:val="333333"/>
                <w:sz w:val="20"/>
                <w:szCs w:val="20"/>
              </w:rPr>
            </w:pPr>
            <w:r w:rsidRPr="00BE6461">
              <w:rPr>
                <w:b/>
                <w:bCs/>
                <w:color w:val="333333"/>
                <w:sz w:val="20"/>
                <w:szCs w:val="20"/>
              </w:rPr>
              <w:t>Izvor 7. PRIHODI OD NEFIN.IMOVINE I NADOKNADE ŠTETA OD OSIG.</w:t>
            </w:r>
          </w:p>
        </w:tc>
        <w:tc>
          <w:tcPr>
            <w:tcW w:w="1503" w:type="dxa"/>
            <w:tcBorders>
              <w:top w:val="nil"/>
              <w:left w:val="nil"/>
              <w:bottom w:val="nil"/>
              <w:right w:val="nil"/>
            </w:tcBorders>
            <w:shd w:val="clear" w:color="auto" w:fill="auto"/>
            <w:noWrap/>
            <w:vAlign w:val="bottom"/>
            <w:hideMark/>
          </w:tcPr>
          <w:p w14:paraId="576674BC" w14:textId="77777777" w:rsidR="00BE6461" w:rsidRPr="00BE6461" w:rsidRDefault="00BE6461" w:rsidP="00BE6461">
            <w:pPr>
              <w:jc w:val="right"/>
              <w:rPr>
                <w:b/>
                <w:bCs/>
                <w:color w:val="333333"/>
                <w:sz w:val="20"/>
                <w:szCs w:val="20"/>
              </w:rPr>
            </w:pPr>
            <w:r w:rsidRPr="00BE6461">
              <w:rPr>
                <w:b/>
                <w:bCs/>
                <w:color w:val="333333"/>
                <w:sz w:val="20"/>
                <w:szCs w:val="20"/>
              </w:rPr>
              <w:t>1.851.861,99</w:t>
            </w:r>
          </w:p>
        </w:tc>
        <w:tc>
          <w:tcPr>
            <w:tcW w:w="1500" w:type="dxa"/>
            <w:tcBorders>
              <w:top w:val="nil"/>
              <w:left w:val="nil"/>
              <w:bottom w:val="nil"/>
              <w:right w:val="nil"/>
            </w:tcBorders>
            <w:shd w:val="clear" w:color="auto" w:fill="auto"/>
            <w:noWrap/>
            <w:vAlign w:val="bottom"/>
            <w:hideMark/>
          </w:tcPr>
          <w:p w14:paraId="109926D8" w14:textId="77777777" w:rsidR="00BE6461" w:rsidRPr="00BE6461" w:rsidRDefault="00BE6461" w:rsidP="00BE6461">
            <w:pPr>
              <w:jc w:val="right"/>
              <w:rPr>
                <w:b/>
                <w:bCs/>
                <w:color w:val="333333"/>
                <w:sz w:val="20"/>
                <w:szCs w:val="20"/>
              </w:rPr>
            </w:pPr>
            <w:r w:rsidRPr="00BE6461">
              <w:rPr>
                <w:b/>
                <w:bCs/>
                <w:color w:val="333333"/>
                <w:sz w:val="20"/>
                <w:szCs w:val="20"/>
              </w:rPr>
              <w:t>1.837.849,99</w:t>
            </w:r>
          </w:p>
        </w:tc>
        <w:tc>
          <w:tcPr>
            <w:tcW w:w="1100" w:type="dxa"/>
            <w:tcBorders>
              <w:top w:val="nil"/>
              <w:left w:val="nil"/>
              <w:bottom w:val="nil"/>
              <w:right w:val="nil"/>
            </w:tcBorders>
            <w:shd w:val="clear" w:color="auto" w:fill="auto"/>
            <w:noWrap/>
            <w:vAlign w:val="bottom"/>
            <w:hideMark/>
          </w:tcPr>
          <w:p w14:paraId="5E73D813" w14:textId="77777777" w:rsidR="00BE6461" w:rsidRPr="00BE6461" w:rsidRDefault="00BE6461" w:rsidP="00BE6461">
            <w:pPr>
              <w:jc w:val="right"/>
              <w:rPr>
                <w:b/>
                <w:bCs/>
                <w:color w:val="333333"/>
                <w:sz w:val="20"/>
                <w:szCs w:val="20"/>
              </w:rPr>
            </w:pPr>
            <w:r w:rsidRPr="00BE6461">
              <w:rPr>
                <w:b/>
                <w:bCs/>
                <w:color w:val="333333"/>
                <w:sz w:val="20"/>
                <w:szCs w:val="20"/>
              </w:rPr>
              <w:t>99,24</w:t>
            </w:r>
          </w:p>
        </w:tc>
      </w:tr>
      <w:tr w:rsidR="00BE6461" w:rsidRPr="00BE6461" w14:paraId="404FB6A9"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FD19D5D" w14:textId="77777777" w:rsidR="00BE6461" w:rsidRPr="00BE6461" w:rsidRDefault="00BE6461" w:rsidP="00BE6461">
            <w:pPr>
              <w:rPr>
                <w:b/>
                <w:bCs/>
                <w:color w:val="333333"/>
                <w:sz w:val="20"/>
                <w:szCs w:val="20"/>
              </w:rPr>
            </w:pPr>
            <w:r w:rsidRPr="00BE6461">
              <w:rPr>
                <w:b/>
                <w:bCs/>
                <w:color w:val="333333"/>
                <w:sz w:val="20"/>
                <w:szCs w:val="20"/>
              </w:rPr>
              <w:t>Izvor 7.1. PRIHODI OD NEFIN.IMOVINE I NADOKNADE ŠTETA OD OSIG.</w:t>
            </w:r>
          </w:p>
        </w:tc>
        <w:tc>
          <w:tcPr>
            <w:tcW w:w="1503" w:type="dxa"/>
            <w:tcBorders>
              <w:top w:val="nil"/>
              <w:left w:val="nil"/>
              <w:bottom w:val="nil"/>
              <w:right w:val="nil"/>
            </w:tcBorders>
            <w:shd w:val="clear" w:color="auto" w:fill="auto"/>
            <w:noWrap/>
            <w:vAlign w:val="bottom"/>
            <w:hideMark/>
          </w:tcPr>
          <w:p w14:paraId="478EC609" w14:textId="77777777" w:rsidR="00BE6461" w:rsidRPr="00BE6461" w:rsidRDefault="00BE6461" w:rsidP="00BE6461">
            <w:pPr>
              <w:jc w:val="right"/>
              <w:rPr>
                <w:b/>
                <w:bCs/>
                <w:color w:val="333333"/>
                <w:sz w:val="20"/>
                <w:szCs w:val="20"/>
              </w:rPr>
            </w:pPr>
            <w:r w:rsidRPr="00BE6461">
              <w:rPr>
                <w:b/>
                <w:bCs/>
                <w:color w:val="333333"/>
                <w:sz w:val="20"/>
                <w:szCs w:val="20"/>
              </w:rPr>
              <w:t>1.851.861,99</w:t>
            </w:r>
          </w:p>
        </w:tc>
        <w:tc>
          <w:tcPr>
            <w:tcW w:w="1500" w:type="dxa"/>
            <w:tcBorders>
              <w:top w:val="nil"/>
              <w:left w:val="nil"/>
              <w:bottom w:val="nil"/>
              <w:right w:val="nil"/>
            </w:tcBorders>
            <w:shd w:val="clear" w:color="auto" w:fill="auto"/>
            <w:noWrap/>
            <w:vAlign w:val="bottom"/>
            <w:hideMark/>
          </w:tcPr>
          <w:p w14:paraId="4B502B86" w14:textId="77777777" w:rsidR="00BE6461" w:rsidRPr="00BE6461" w:rsidRDefault="00BE6461" w:rsidP="00BE6461">
            <w:pPr>
              <w:jc w:val="right"/>
              <w:rPr>
                <w:b/>
                <w:bCs/>
                <w:color w:val="333333"/>
                <w:sz w:val="20"/>
                <w:szCs w:val="20"/>
              </w:rPr>
            </w:pPr>
            <w:r w:rsidRPr="00BE6461">
              <w:rPr>
                <w:b/>
                <w:bCs/>
                <w:color w:val="333333"/>
                <w:sz w:val="20"/>
                <w:szCs w:val="20"/>
              </w:rPr>
              <w:t>1.837.849,99</w:t>
            </w:r>
          </w:p>
        </w:tc>
        <w:tc>
          <w:tcPr>
            <w:tcW w:w="1100" w:type="dxa"/>
            <w:tcBorders>
              <w:top w:val="nil"/>
              <w:left w:val="nil"/>
              <w:bottom w:val="nil"/>
              <w:right w:val="nil"/>
            </w:tcBorders>
            <w:shd w:val="clear" w:color="auto" w:fill="auto"/>
            <w:noWrap/>
            <w:vAlign w:val="bottom"/>
            <w:hideMark/>
          </w:tcPr>
          <w:p w14:paraId="5DA28EDE" w14:textId="77777777" w:rsidR="00BE6461" w:rsidRPr="00BE6461" w:rsidRDefault="00BE6461" w:rsidP="00BE6461">
            <w:pPr>
              <w:jc w:val="right"/>
              <w:rPr>
                <w:b/>
                <w:bCs/>
                <w:color w:val="333333"/>
                <w:sz w:val="20"/>
                <w:szCs w:val="20"/>
              </w:rPr>
            </w:pPr>
            <w:r w:rsidRPr="00BE6461">
              <w:rPr>
                <w:b/>
                <w:bCs/>
                <w:color w:val="333333"/>
                <w:sz w:val="20"/>
                <w:szCs w:val="20"/>
              </w:rPr>
              <w:t>99,24</w:t>
            </w:r>
          </w:p>
        </w:tc>
      </w:tr>
      <w:tr w:rsidR="00BE6461" w:rsidRPr="00BE6461" w14:paraId="088BFD03" w14:textId="77777777" w:rsidTr="00BE6461">
        <w:trPr>
          <w:trHeight w:val="390"/>
        </w:trPr>
        <w:tc>
          <w:tcPr>
            <w:tcW w:w="1703" w:type="dxa"/>
            <w:tcBorders>
              <w:top w:val="single" w:sz="4" w:space="0" w:color="auto"/>
              <w:left w:val="nil"/>
              <w:bottom w:val="nil"/>
              <w:right w:val="nil"/>
            </w:tcBorders>
            <w:shd w:val="clear" w:color="auto" w:fill="auto"/>
            <w:noWrap/>
            <w:vAlign w:val="bottom"/>
            <w:hideMark/>
          </w:tcPr>
          <w:p w14:paraId="4D1F4D55" w14:textId="77777777" w:rsidR="00BE6461" w:rsidRPr="00BE6461" w:rsidRDefault="00BE6461" w:rsidP="00BE6461">
            <w:pPr>
              <w:rPr>
                <w:b/>
                <w:bCs/>
                <w:sz w:val="20"/>
                <w:szCs w:val="20"/>
              </w:rPr>
            </w:pPr>
            <w:r w:rsidRPr="00BE6461">
              <w:rPr>
                <w:b/>
                <w:bCs/>
                <w:sz w:val="20"/>
                <w:szCs w:val="20"/>
              </w:rPr>
              <w:t>3001</w:t>
            </w:r>
          </w:p>
        </w:tc>
        <w:tc>
          <w:tcPr>
            <w:tcW w:w="8457" w:type="dxa"/>
            <w:tcBorders>
              <w:top w:val="single" w:sz="4" w:space="0" w:color="auto"/>
              <w:left w:val="nil"/>
              <w:bottom w:val="nil"/>
              <w:right w:val="nil"/>
            </w:tcBorders>
            <w:shd w:val="clear" w:color="auto" w:fill="auto"/>
            <w:vAlign w:val="bottom"/>
            <w:hideMark/>
          </w:tcPr>
          <w:p w14:paraId="44E68AD9" w14:textId="77777777" w:rsidR="00BE6461" w:rsidRPr="00BE6461" w:rsidRDefault="00BE6461" w:rsidP="00BE6461">
            <w:pPr>
              <w:rPr>
                <w:b/>
                <w:bCs/>
                <w:sz w:val="20"/>
                <w:szCs w:val="20"/>
              </w:rPr>
            </w:pPr>
            <w:r w:rsidRPr="00BE6461">
              <w:rPr>
                <w:b/>
                <w:bCs/>
                <w:sz w:val="20"/>
                <w:szCs w:val="20"/>
              </w:rPr>
              <w:t>Program: REDOVNA DJELATNOST UPRAVNIH ODJELA</w:t>
            </w:r>
          </w:p>
        </w:tc>
        <w:tc>
          <w:tcPr>
            <w:tcW w:w="1503" w:type="dxa"/>
            <w:tcBorders>
              <w:top w:val="single" w:sz="4" w:space="0" w:color="auto"/>
              <w:left w:val="nil"/>
              <w:bottom w:val="nil"/>
              <w:right w:val="nil"/>
            </w:tcBorders>
            <w:shd w:val="clear" w:color="auto" w:fill="auto"/>
            <w:noWrap/>
            <w:vAlign w:val="bottom"/>
            <w:hideMark/>
          </w:tcPr>
          <w:p w14:paraId="5B697FEC" w14:textId="77777777" w:rsidR="00BE6461" w:rsidRPr="00BE6461" w:rsidRDefault="00BE6461" w:rsidP="00BE6461">
            <w:pPr>
              <w:jc w:val="right"/>
              <w:rPr>
                <w:b/>
                <w:bCs/>
                <w:sz w:val="20"/>
                <w:szCs w:val="20"/>
              </w:rPr>
            </w:pPr>
            <w:r w:rsidRPr="00BE6461">
              <w:rPr>
                <w:b/>
                <w:bCs/>
                <w:sz w:val="20"/>
                <w:szCs w:val="20"/>
              </w:rPr>
              <w:t>778.325,00</w:t>
            </w:r>
          </w:p>
        </w:tc>
        <w:tc>
          <w:tcPr>
            <w:tcW w:w="1500" w:type="dxa"/>
            <w:tcBorders>
              <w:top w:val="single" w:sz="4" w:space="0" w:color="auto"/>
              <w:left w:val="nil"/>
              <w:bottom w:val="nil"/>
              <w:right w:val="nil"/>
            </w:tcBorders>
            <w:shd w:val="clear" w:color="auto" w:fill="auto"/>
            <w:noWrap/>
            <w:vAlign w:val="bottom"/>
            <w:hideMark/>
          </w:tcPr>
          <w:p w14:paraId="795D5972" w14:textId="77777777" w:rsidR="00BE6461" w:rsidRPr="00BE6461" w:rsidRDefault="00BE6461" w:rsidP="00BE6461">
            <w:pPr>
              <w:jc w:val="right"/>
              <w:rPr>
                <w:b/>
                <w:bCs/>
                <w:sz w:val="20"/>
                <w:szCs w:val="20"/>
              </w:rPr>
            </w:pPr>
            <w:r w:rsidRPr="00BE6461">
              <w:rPr>
                <w:b/>
                <w:bCs/>
                <w:sz w:val="20"/>
                <w:szCs w:val="20"/>
              </w:rPr>
              <w:t>664.475,83</w:t>
            </w:r>
          </w:p>
        </w:tc>
        <w:tc>
          <w:tcPr>
            <w:tcW w:w="1100" w:type="dxa"/>
            <w:tcBorders>
              <w:top w:val="single" w:sz="4" w:space="0" w:color="auto"/>
              <w:left w:val="nil"/>
              <w:bottom w:val="nil"/>
              <w:right w:val="nil"/>
            </w:tcBorders>
            <w:shd w:val="clear" w:color="auto" w:fill="auto"/>
            <w:noWrap/>
            <w:vAlign w:val="bottom"/>
            <w:hideMark/>
          </w:tcPr>
          <w:p w14:paraId="0D3D6D04" w14:textId="77777777" w:rsidR="00BE6461" w:rsidRPr="00BE6461" w:rsidRDefault="00BE6461" w:rsidP="00BE6461">
            <w:pPr>
              <w:jc w:val="right"/>
              <w:rPr>
                <w:b/>
                <w:bCs/>
                <w:sz w:val="20"/>
                <w:szCs w:val="20"/>
              </w:rPr>
            </w:pPr>
            <w:r w:rsidRPr="00BE6461">
              <w:rPr>
                <w:b/>
                <w:bCs/>
                <w:sz w:val="20"/>
                <w:szCs w:val="20"/>
              </w:rPr>
              <w:t>85,37</w:t>
            </w:r>
          </w:p>
        </w:tc>
      </w:tr>
      <w:tr w:rsidR="00BE6461" w:rsidRPr="00BE6461" w14:paraId="61375C43"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7D76054C" w14:textId="77777777" w:rsidR="00BE6461" w:rsidRPr="00BE6461" w:rsidRDefault="00BE6461" w:rsidP="00BE6461">
            <w:pPr>
              <w:rPr>
                <w:b/>
                <w:bCs/>
                <w:sz w:val="20"/>
                <w:szCs w:val="20"/>
              </w:rPr>
            </w:pPr>
            <w:r w:rsidRPr="00BE6461">
              <w:rPr>
                <w:b/>
                <w:bCs/>
                <w:sz w:val="20"/>
                <w:szCs w:val="20"/>
              </w:rPr>
              <w:t>A300001</w:t>
            </w:r>
          </w:p>
        </w:tc>
        <w:tc>
          <w:tcPr>
            <w:tcW w:w="8457" w:type="dxa"/>
            <w:tcBorders>
              <w:top w:val="single" w:sz="4" w:space="0" w:color="auto"/>
              <w:left w:val="nil"/>
              <w:bottom w:val="single" w:sz="4" w:space="0" w:color="auto"/>
              <w:right w:val="nil"/>
            </w:tcBorders>
            <w:shd w:val="clear" w:color="auto" w:fill="auto"/>
            <w:vAlign w:val="bottom"/>
            <w:hideMark/>
          </w:tcPr>
          <w:p w14:paraId="33B63111" w14:textId="77777777" w:rsidR="00BE6461" w:rsidRPr="00BE6461" w:rsidRDefault="00BE6461" w:rsidP="00BE6461">
            <w:pPr>
              <w:rPr>
                <w:b/>
                <w:bCs/>
                <w:sz w:val="20"/>
                <w:szCs w:val="20"/>
              </w:rPr>
            </w:pPr>
            <w:r w:rsidRPr="00BE6461">
              <w:rPr>
                <w:b/>
                <w:bCs/>
                <w:sz w:val="20"/>
                <w:szCs w:val="20"/>
              </w:rPr>
              <w:t>Aktivnost: RASHODI ZA ZAPOSLENE</w:t>
            </w:r>
          </w:p>
        </w:tc>
        <w:tc>
          <w:tcPr>
            <w:tcW w:w="1503" w:type="dxa"/>
            <w:tcBorders>
              <w:top w:val="single" w:sz="4" w:space="0" w:color="auto"/>
              <w:left w:val="nil"/>
              <w:bottom w:val="single" w:sz="4" w:space="0" w:color="auto"/>
              <w:right w:val="nil"/>
            </w:tcBorders>
            <w:shd w:val="clear" w:color="auto" w:fill="auto"/>
            <w:noWrap/>
            <w:vAlign w:val="bottom"/>
            <w:hideMark/>
          </w:tcPr>
          <w:p w14:paraId="6F8527C6" w14:textId="77777777" w:rsidR="00BE6461" w:rsidRPr="00BE6461" w:rsidRDefault="00BE6461" w:rsidP="00BE6461">
            <w:pPr>
              <w:jc w:val="right"/>
              <w:rPr>
                <w:b/>
                <w:bCs/>
                <w:sz w:val="20"/>
                <w:szCs w:val="20"/>
              </w:rPr>
            </w:pPr>
            <w:r w:rsidRPr="00BE6461">
              <w:rPr>
                <w:b/>
                <w:bCs/>
                <w:sz w:val="20"/>
                <w:szCs w:val="20"/>
              </w:rPr>
              <w:t>778.325,00</w:t>
            </w:r>
          </w:p>
        </w:tc>
        <w:tc>
          <w:tcPr>
            <w:tcW w:w="1500" w:type="dxa"/>
            <w:tcBorders>
              <w:top w:val="single" w:sz="4" w:space="0" w:color="auto"/>
              <w:left w:val="nil"/>
              <w:bottom w:val="single" w:sz="4" w:space="0" w:color="auto"/>
              <w:right w:val="nil"/>
            </w:tcBorders>
            <w:shd w:val="clear" w:color="auto" w:fill="auto"/>
            <w:noWrap/>
            <w:vAlign w:val="bottom"/>
            <w:hideMark/>
          </w:tcPr>
          <w:p w14:paraId="6253C586" w14:textId="77777777" w:rsidR="00BE6461" w:rsidRPr="00BE6461" w:rsidRDefault="00BE6461" w:rsidP="00BE6461">
            <w:pPr>
              <w:jc w:val="right"/>
              <w:rPr>
                <w:b/>
                <w:bCs/>
                <w:sz w:val="20"/>
                <w:szCs w:val="20"/>
              </w:rPr>
            </w:pPr>
            <w:r w:rsidRPr="00BE6461">
              <w:rPr>
                <w:b/>
                <w:bCs/>
                <w:sz w:val="20"/>
                <w:szCs w:val="20"/>
              </w:rPr>
              <w:t>664.475,83</w:t>
            </w:r>
          </w:p>
        </w:tc>
        <w:tc>
          <w:tcPr>
            <w:tcW w:w="1100" w:type="dxa"/>
            <w:tcBorders>
              <w:top w:val="single" w:sz="4" w:space="0" w:color="auto"/>
              <w:left w:val="nil"/>
              <w:bottom w:val="single" w:sz="4" w:space="0" w:color="auto"/>
              <w:right w:val="nil"/>
            </w:tcBorders>
            <w:shd w:val="clear" w:color="auto" w:fill="auto"/>
            <w:noWrap/>
            <w:vAlign w:val="bottom"/>
            <w:hideMark/>
          </w:tcPr>
          <w:p w14:paraId="42CD836A" w14:textId="77777777" w:rsidR="00BE6461" w:rsidRPr="00BE6461" w:rsidRDefault="00BE6461" w:rsidP="00BE6461">
            <w:pPr>
              <w:jc w:val="right"/>
              <w:rPr>
                <w:b/>
                <w:bCs/>
                <w:sz w:val="20"/>
                <w:szCs w:val="20"/>
              </w:rPr>
            </w:pPr>
            <w:r w:rsidRPr="00BE6461">
              <w:rPr>
                <w:b/>
                <w:bCs/>
                <w:sz w:val="20"/>
                <w:szCs w:val="20"/>
              </w:rPr>
              <w:t>85,37</w:t>
            </w:r>
          </w:p>
        </w:tc>
      </w:tr>
      <w:tr w:rsidR="00BE6461" w:rsidRPr="00BE6461" w14:paraId="65D0944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3DB5F9E"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31EFEBBE" w14:textId="77777777" w:rsidR="00BE6461" w:rsidRPr="00BE6461" w:rsidRDefault="00BE6461" w:rsidP="00BE6461">
            <w:pPr>
              <w:jc w:val="right"/>
              <w:rPr>
                <w:b/>
                <w:bCs/>
                <w:color w:val="333333"/>
                <w:sz w:val="20"/>
                <w:szCs w:val="20"/>
              </w:rPr>
            </w:pPr>
            <w:r w:rsidRPr="00BE6461">
              <w:rPr>
                <w:b/>
                <w:bCs/>
                <w:color w:val="333333"/>
                <w:sz w:val="20"/>
                <w:szCs w:val="20"/>
              </w:rPr>
              <w:t>778.325,00</w:t>
            </w:r>
          </w:p>
        </w:tc>
        <w:tc>
          <w:tcPr>
            <w:tcW w:w="1500" w:type="dxa"/>
            <w:tcBorders>
              <w:top w:val="nil"/>
              <w:left w:val="nil"/>
              <w:bottom w:val="nil"/>
              <w:right w:val="nil"/>
            </w:tcBorders>
            <w:shd w:val="clear" w:color="auto" w:fill="auto"/>
            <w:noWrap/>
            <w:vAlign w:val="bottom"/>
            <w:hideMark/>
          </w:tcPr>
          <w:p w14:paraId="5C33AC77" w14:textId="77777777" w:rsidR="00BE6461" w:rsidRPr="00BE6461" w:rsidRDefault="00BE6461" w:rsidP="00BE6461">
            <w:pPr>
              <w:jc w:val="right"/>
              <w:rPr>
                <w:b/>
                <w:bCs/>
                <w:color w:val="333333"/>
                <w:sz w:val="20"/>
                <w:szCs w:val="20"/>
              </w:rPr>
            </w:pPr>
            <w:r w:rsidRPr="00BE6461">
              <w:rPr>
                <w:b/>
                <w:bCs/>
                <w:color w:val="333333"/>
                <w:sz w:val="20"/>
                <w:szCs w:val="20"/>
              </w:rPr>
              <w:t>664.475,83</w:t>
            </w:r>
          </w:p>
        </w:tc>
        <w:tc>
          <w:tcPr>
            <w:tcW w:w="1100" w:type="dxa"/>
            <w:tcBorders>
              <w:top w:val="nil"/>
              <w:left w:val="nil"/>
              <w:bottom w:val="nil"/>
              <w:right w:val="nil"/>
            </w:tcBorders>
            <w:shd w:val="clear" w:color="auto" w:fill="auto"/>
            <w:noWrap/>
            <w:vAlign w:val="bottom"/>
            <w:hideMark/>
          </w:tcPr>
          <w:p w14:paraId="456C4645" w14:textId="77777777" w:rsidR="00BE6461" w:rsidRPr="00BE6461" w:rsidRDefault="00BE6461" w:rsidP="00BE6461">
            <w:pPr>
              <w:jc w:val="right"/>
              <w:rPr>
                <w:b/>
                <w:bCs/>
                <w:color w:val="333333"/>
                <w:sz w:val="20"/>
                <w:szCs w:val="20"/>
              </w:rPr>
            </w:pPr>
            <w:r w:rsidRPr="00BE6461">
              <w:rPr>
                <w:b/>
                <w:bCs/>
                <w:color w:val="333333"/>
                <w:sz w:val="20"/>
                <w:szCs w:val="20"/>
              </w:rPr>
              <w:t>85,37</w:t>
            </w:r>
          </w:p>
        </w:tc>
      </w:tr>
      <w:tr w:rsidR="00BE6461" w:rsidRPr="00BE6461" w14:paraId="1528551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DD4CE52"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37FBDC8F" w14:textId="77777777" w:rsidR="00BE6461" w:rsidRPr="00BE6461" w:rsidRDefault="00BE6461" w:rsidP="00BE6461">
            <w:pPr>
              <w:jc w:val="right"/>
              <w:rPr>
                <w:b/>
                <w:bCs/>
                <w:color w:val="333333"/>
                <w:sz w:val="20"/>
                <w:szCs w:val="20"/>
              </w:rPr>
            </w:pPr>
            <w:r w:rsidRPr="00BE6461">
              <w:rPr>
                <w:b/>
                <w:bCs/>
                <w:color w:val="333333"/>
                <w:sz w:val="20"/>
                <w:szCs w:val="20"/>
              </w:rPr>
              <w:t>778.325,00</w:t>
            </w:r>
          </w:p>
        </w:tc>
        <w:tc>
          <w:tcPr>
            <w:tcW w:w="1500" w:type="dxa"/>
            <w:tcBorders>
              <w:top w:val="nil"/>
              <w:left w:val="nil"/>
              <w:bottom w:val="nil"/>
              <w:right w:val="nil"/>
            </w:tcBorders>
            <w:shd w:val="clear" w:color="auto" w:fill="auto"/>
            <w:noWrap/>
            <w:vAlign w:val="bottom"/>
            <w:hideMark/>
          </w:tcPr>
          <w:p w14:paraId="54491956" w14:textId="77777777" w:rsidR="00BE6461" w:rsidRPr="00BE6461" w:rsidRDefault="00BE6461" w:rsidP="00BE6461">
            <w:pPr>
              <w:jc w:val="right"/>
              <w:rPr>
                <w:b/>
                <w:bCs/>
                <w:color w:val="333333"/>
                <w:sz w:val="20"/>
                <w:szCs w:val="20"/>
              </w:rPr>
            </w:pPr>
            <w:r w:rsidRPr="00BE6461">
              <w:rPr>
                <w:b/>
                <w:bCs/>
                <w:color w:val="333333"/>
                <w:sz w:val="20"/>
                <w:szCs w:val="20"/>
              </w:rPr>
              <w:t>664.475,83</w:t>
            </w:r>
          </w:p>
        </w:tc>
        <w:tc>
          <w:tcPr>
            <w:tcW w:w="1100" w:type="dxa"/>
            <w:tcBorders>
              <w:top w:val="nil"/>
              <w:left w:val="nil"/>
              <w:bottom w:val="nil"/>
              <w:right w:val="nil"/>
            </w:tcBorders>
            <w:shd w:val="clear" w:color="auto" w:fill="auto"/>
            <w:noWrap/>
            <w:vAlign w:val="bottom"/>
            <w:hideMark/>
          </w:tcPr>
          <w:p w14:paraId="135DEBB6" w14:textId="77777777" w:rsidR="00BE6461" w:rsidRPr="00BE6461" w:rsidRDefault="00BE6461" w:rsidP="00BE6461">
            <w:pPr>
              <w:jc w:val="right"/>
              <w:rPr>
                <w:b/>
                <w:bCs/>
                <w:color w:val="333333"/>
                <w:sz w:val="20"/>
                <w:szCs w:val="20"/>
              </w:rPr>
            </w:pPr>
            <w:r w:rsidRPr="00BE6461">
              <w:rPr>
                <w:b/>
                <w:bCs/>
                <w:color w:val="333333"/>
                <w:sz w:val="20"/>
                <w:szCs w:val="20"/>
              </w:rPr>
              <w:t>85,37</w:t>
            </w:r>
          </w:p>
        </w:tc>
      </w:tr>
      <w:tr w:rsidR="00BE6461" w:rsidRPr="00BE6461" w14:paraId="12E7E7D5" w14:textId="77777777" w:rsidTr="00BE6461">
        <w:trPr>
          <w:trHeight w:val="300"/>
        </w:trPr>
        <w:tc>
          <w:tcPr>
            <w:tcW w:w="1703" w:type="dxa"/>
            <w:tcBorders>
              <w:top w:val="nil"/>
              <w:left w:val="nil"/>
              <w:bottom w:val="nil"/>
              <w:right w:val="nil"/>
            </w:tcBorders>
            <w:shd w:val="clear" w:color="auto" w:fill="auto"/>
            <w:noWrap/>
            <w:vAlign w:val="bottom"/>
            <w:hideMark/>
          </w:tcPr>
          <w:p w14:paraId="475476F8" w14:textId="77777777" w:rsidR="00BE6461" w:rsidRPr="00BE6461" w:rsidRDefault="00BE6461" w:rsidP="00BE6461">
            <w:pPr>
              <w:rPr>
                <w:b/>
                <w:bCs/>
                <w:sz w:val="20"/>
                <w:szCs w:val="20"/>
              </w:rPr>
            </w:pPr>
            <w:r w:rsidRPr="00BE6461">
              <w:rPr>
                <w:b/>
                <w:bCs/>
                <w:sz w:val="20"/>
                <w:szCs w:val="20"/>
              </w:rPr>
              <w:t>311</w:t>
            </w:r>
          </w:p>
        </w:tc>
        <w:tc>
          <w:tcPr>
            <w:tcW w:w="8457" w:type="dxa"/>
            <w:tcBorders>
              <w:top w:val="nil"/>
              <w:left w:val="nil"/>
              <w:bottom w:val="nil"/>
              <w:right w:val="nil"/>
            </w:tcBorders>
            <w:shd w:val="clear" w:color="auto" w:fill="auto"/>
            <w:vAlign w:val="bottom"/>
            <w:hideMark/>
          </w:tcPr>
          <w:p w14:paraId="0E64E35C" w14:textId="77777777" w:rsidR="00BE6461" w:rsidRPr="00BE6461" w:rsidRDefault="00BE6461" w:rsidP="00BE6461">
            <w:pPr>
              <w:rPr>
                <w:b/>
                <w:bCs/>
                <w:sz w:val="20"/>
                <w:szCs w:val="20"/>
              </w:rPr>
            </w:pPr>
            <w:r w:rsidRPr="00BE6461">
              <w:rPr>
                <w:b/>
                <w:bCs/>
                <w:sz w:val="20"/>
                <w:szCs w:val="20"/>
              </w:rPr>
              <w:t xml:space="preserve">Plaće (Bruto)                                                                                       </w:t>
            </w:r>
          </w:p>
        </w:tc>
        <w:tc>
          <w:tcPr>
            <w:tcW w:w="1503" w:type="dxa"/>
            <w:tcBorders>
              <w:top w:val="nil"/>
              <w:left w:val="nil"/>
              <w:bottom w:val="nil"/>
              <w:right w:val="nil"/>
            </w:tcBorders>
            <w:shd w:val="clear" w:color="auto" w:fill="auto"/>
            <w:noWrap/>
            <w:vAlign w:val="bottom"/>
            <w:hideMark/>
          </w:tcPr>
          <w:p w14:paraId="4F72FD0A" w14:textId="77777777" w:rsidR="00BE6461" w:rsidRPr="00BE6461" w:rsidRDefault="00BE6461" w:rsidP="00BE6461">
            <w:pPr>
              <w:jc w:val="right"/>
              <w:rPr>
                <w:b/>
                <w:bCs/>
                <w:sz w:val="20"/>
                <w:szCs w:val="20"/>
              </w:rPr>
            </w:pPr>
            <w:r w:rsidRPr="00BE6461">
              <w:rPr>
                <w:b/>
                <w:bCs/>
                <w:sz w:val="20"/>
                <w:szCs w:val="20"/>
              </w:rPr>
              <w:t>625.000,00</w:t>
            </w:r>
          </w:p>
        </w:tc>
        <w:tc>
          <w:tcPr>
            <w:tcW w:w="1500" w:type="dxa"/>
            <w:tcBorders>
              <w:top w:val="nil"/>
              <w:left w:val="nil"/>
              <w:bottom w:val="nil"/>
              <w:right w:val="nil"/>
            </w:tcBorders>
            <w:shd w:val="clear" w:color="auto" w:fill="auto"/>
            <w:noWrap/>
            <w:vAlign w:val="bottom"/>
            <w:hideMark/>
          </w:tcPr>
          <w:p w14:paraId="09624074" w14:textId="77777777" w:rsidR="00BE6461" w:rsidRPr="00BE6461" w:rsidRDefault="00BE6461" w:rsidP="00BE6461">
            <w:pPr>
              <w:jc w:val="right"/>
              <w:rPr>
                <w:b/>
                <w:bCs/>
                <w:sz w:val="20"/>
                <w:szCs w:val="20"/>
              </w:rPr>
            </w:pPr>
            <w:r w:rsidRPr="00BE6461">
              <w:rPr>
                <w:b/>
                <w:bCs/>
                <w:sz w:val="20"/>
                <w:szCs w:val="20"/>
              </w:rPr>
              <w:t>540.626,20</w:t>
            </w:r>
          </w:p>
        </w:tc>
        <w:tc>
          <w:tcPr>
            <w:tcW w:w="1100" w:type="dxa"/>
            <w:tcBorders>
              <w:top w:val="nil"/>
              <w:left w:val="nil"/>
              <w:bottom w:val="nil"/>
              <w:right w:val="nil"/>
            </w:tcBorders>
            <w:shd w:val="clear" w:color="auto" w:fill="auto"/>
            <w:noWrap/>
            <w:vAlign w:val="bottom"/>
            <w:hideMark/>
          </w:tcPr>
          <w:p w14:paraId="194F5120" w14:textId="77777777" w:rsidR="00BE6461" w:rsidRPr="00BE6461" w:rsidRDefault="00BE6461" w:rsidP="00BE6461">
            <w:pPr>
              <w:jc w:val="right"/>
              <w:rPr>
                <w:b/>
                <w:bCs/>
                <w:sz w:val="20"/>
                <w:szCs w:val="20"/>
              </w:rPr>
            </w:pPr>
            <w:r w:rsidRPr="00BE6461">
              <w:rPr>
                <w:b/>
                <w:bCs/>
                <w:sz w:val="20"/>
                <w:szCs w:val="20"/>
              </w:rPr>
              <w:t>86,50</w:t>
            </w:r>
          </w:p>
        </w:tc>
      </w:tr>
      <w:tr w:rsidR="00BE6461" w:rsidRPr="00BE6461" w14:paraId="71A6C625" w14:textId="77777777" w:rsidTr="00BE6461">
        <w:trPr>
          <w:trHeight w:val="300"/>
        </w:trPr>
        <w:tc>
          <w:tcPr>
            <w:tcW w:w="1703" w:type="dxa"/>
            <w:tcBorders>
              <w:top w:val="nil"/>
              <w:left w:val="nil"/>
              <w:bottom w:val="nil"/>
              <w:right w:val="nil"/>
            </w:tcBorders>
            <w:shd w:val="clear" w:color="auto" w:fill="auto"/>
            <w:noWrap/>
            <w:vAlign w:val="bottom"/>
            <w:hideMark/>
          </w:tcPr>
          <w:p w14:paraId="65B59A7D" w14:textId="77777777" w:rsidR="00BE6461" w:rsidRPr="00BE6461" w:rsidRDefault="00BE6461" w:rsidP="00BE6461">
            <w:pPr>
              <w:rPr>
                <w:sz w:val="20"/>
                <w:szCs w:val="20"/>
              </w:rPr>
            </w:pPr>
            <w:r w:rsidRPr="00BE6461">
              <w:rPr>
                <w:sz w:val="20"/>
                <w:szCs w:val="20"/>
              </w:rPr>
              <w:t>3111</w:t>
            </w:r>
          </w:p>
        </w:tc>
        <w:tc>
          <w:tcPr>
            <w:tcW w:w="8457" w:type="dxa"/>
            <w:tcBorders>
              <w:top w:val="nil"/>
              <w:left w:val="nil"/>
              <w:bottom w:val="nil"/>
              <w:right w:val="nil"/>
            </w:tcBorders>
            <w:shd w:val="clear" w:color="auto" w:fill="auto"/>
            <w:vAlign w:val="bottom"/>
            <w:hideMark/>
          </w:tcPr>
          <w:p w14:paraId="02F48B86" w14:textId="77777777" w:rsidR="00BE6461" w:rsidRPr="00BE6461" w:rsidRDefault="00BE6461" w:rsidP="00BE6461">
            <w:pPr>
              <w:rPr>
                <w:sz w:val="20"/>
                <w:szCs w:val="20"/>
              </w:rPr>
            </w:pPr>
            <w:r w:rsidRPr="00BE6461">
              <w:rPr>
                <w:sz w:val="20"/>
                <w:szCs w:val="20"/>
              </w:rPr>
              <w:t xml:space="preserve">Plaće za redovan rad                                                                                </w:t>
            </w:r>
          </w:p>
        </w:tc>
        <w:tc>
          <w:tcPr>
            <w:tcW w:w="1503" w:type="dxa"/>
            <w:tcBorders>
              <w:top w:val="nil"/>
              <w:left w:val="nil"/>
              <w:bottom w:val="nil"/>
              <w:right w:val="nil"/>
            </w:tcBorders>
            <w:shd w:val="clear" w:color="auto" w:fill="auto"/>
            <w:noWrap/>
            <w:vAlign w:val="bottom"/>
            <w:hideMark/>
          </w:tcPr>
          <w:p w14:paraId="7A994C8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61A91E4" w14:textId="77777777" w:rsidR="00BE6461" w:rsidRPr="00BE6461" w:rsidRDefault="00BE6461" w:rsidP="00BE6461">
            <w:pPr>
              <w:jc w:val="right"/>
              <w:rPr>
                <w:sz w:val="20"/>
                <w:szCs w:val="20"/>
              </w:rPr>
            </w:pPr>
            <w:r w:rsidRPr="00BE6461">
              <w:rPr>
                <w:sz w:val="20"/>
                <w:szCs w:val="20"/>
              </w:rPr>
              <w:t>530.591,97</w:t>
            </w:r>
          </w:p>
        </w:tc>
        <w:tc>
          <w:tcPr>
            <w:tcW w:w="1100" w:type="dxa"/>
            <w:tcBorders>
              <w:top w:val="nil"/>
              <w:left w:val="nil"/>
              <w:bottom w:val="nil"/>
              <w:right w:val="nil"/>
            </w:tcBorders>
            <w:shd w:val="clear" w:color="auto" w:fill="auto"/>
            <w:noWrap/>
            <w:vAlign w:val="bottom"/>
            <w:hideMark/>
          </w:tcPr>
          <w:p w14:paraId="245BD27D" w14:textId="77777777" w:rsidR="00BE6461" w:rsidRPr="00BE6461" w:rsidRDefault="00BE6461" w:rsidP="00BE6461">
            <w:pPr>
              <w:jc w:val="right"/>
              <w:rPr>
                <w:sz w:val="20"/>
                <w:szCs w:val="20"/>
              </w:rPr>
            </w:pPr>
          </w:p>
        </w:tc>
      </w:tr>
      <w:tr w:rsidR="00BE6461" w:rsidRPr="00BE6461" w14:paraId="4D3C391F" w14:textId="77777777" w:rsidTr="00BE6461">
        <w:trPr>
          <w:trHeight w:val="300"/>
        </w:trPr>
        <w:tc>
          <w:tcPr>
            <w:tcW w:w="1703" w:type="dxa"/>
            <w:tcBorders>
              <w:top w:val="nil"/>
              <w:left w:val="nil"/>
              <w:bottom w:val="nil"/>
              <w:right w:val="nil"/>
            </w:tcBorders>
            <w:shd w:val="clear" w:color="auto" w:fill="auto"/>
            <w:noWrap/>
            <w:vAlign w:val="bottom"/>
            <w:hideMark/>
          </w:tcPr>
          <w:p w14:paraId="260C773F" w14:textId="77777777" w:rsidR="00BE6461" w:rsidRPr="00BE6461" w:rsidRDefault="00BE6461" w:rsidP="00BE6461">
            <w:pPr>
              <w:rPr>
                <w:sz w:val="20"/>
                <w:szCs w:val="20"/>
              </w:rPr>
            </w:pPr>
            <w:r w:rsidRPr="00BE6461">
              <w:rPr>
                <w:sz w:val="20"/>
                <w:szCs w:val="20"/>
              </w:rPr>
              <w:t>3113</w:t>
            </w:r>
          </w:p>
        </w:tc>
        <w:tc>
          <w:tcPr>
            <w:tcW w:w="8457" w:type="dxa"/>
            <w:tcBorders>
              <w:top w:val="nil"/>
              <w:left w:val="nil"/>
              <w:bottom w:val="nil"/>
              <w:right w:val="nil"/>
            </w:tcBorders>
            <w:shd w:val="clear" w:color="auto" w:fill="auto"/>
            <w:vAlign w:val="bottom"/>
            <w:hideMark/>
          </w:tcPr>
          <w:p w14:paraId="474784D4" w14:textId="77777777" w:rsidR="00BE6461" w:rsidRPr="00BE6461" w:rsidRDefault="00BE6461" w:rsidP="00BE6461">
            <w:pPr>
              <w:rPr>
                <w:sz w:val="20"/>
                <w:szCs w:val="20"/>
              </w:rPr>
            </w:pPr>
            <w:r w:rsidRPr="00BE6461">
              <w:rPr>
                <w:sz w:val="20"/>
                <w:szCs w:val="20"/>
              </w:rPr>
              <w:t xml:space="preserve">Plaće za prekovremeni rad                                                                           </w:t>
            </w:r>
          </w:p>
        </w:tc>
        <w:tc>
          <w:tcPr>
            <w:tcW w:w="1503" w:type="dxa"/>
            <w:tcBorders>
              <w:top w:val="nil"/>
              <w:left w:val="nil"/>
              <w:bottom w:val="nil"/>
              <w:right w:val="nil"/>
            </w:tcBorders>
            <w:shd w:val="clear" w:color="auto" w:fill="auto"/>
            <w:noWrap/>
            <w:vAlign w:val="bottom"/>
            <w:hideMark/>
          </w:tcPr>
          <w:p w14:paraId="1DBF83C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72FE739" w14:textId="77777777" w:rsidR="00BE6461" w:rsidRPr="00BE6461" w:rsidRDefault="00BE6461" w:rsidP="00BE6461">
            <w:pPr>
              <w:jc w:val="right"/>
              <w:rPr>
                <w:sz w:val="20"/>
                <w:szCs w:val="20"/>
              </w:rPr>
            </w:pPr>
            <w:r w:rsidRPr="00BE6461">
              <w:rPr>
                <w:sz w:val="20"/>
                <w:szCs w:val="20"/>
              </w:rPr>
              <w:t>10.034,23</w:t>
            </w:r>
          </w:p>
        </w:tc>
        <w:tc>
          <w:tcPr>
            <w:tcW w:w="1100" w:type="dxa"/>
            <w:tcBorders>
              <w:top w:val="nil"/>
              <w:left w:val="nil"/>
              <w:bottom w:val="nil"/>
              <w:right w:val="nil"/>
            </w:tcBorders>
            <w:shd w:val="clear" w:color="auto" w:fill="auto"/>
            <w:noWrap/>
            <w:vAlign w:val="bottom"/>
            <w:hideMark/>
          </w:tcPr>
          <w:p w14:paraId="63C665CC" w14:textId="77777777" w:rsidR="00BE6461" w:rsidRPr="00BE6461" w:rsidRDefault="00BE6461" w:rsidP="00BE6461">
            <w:pPr>
              <w:jc w:val="right"/>
              <w:rPr>
                <w:sz w:val="20"/>
                <w:szCs w:val="20"/>
              </w:rPr>
            </w:pPr>
          </w:p>
        </w:tc>
      </w:tr>
      <w:tr w:rsidR="00BE6461" w:rsidRPr="00BE6461" w14:paraId="02F08635" w14:textId="77777777" w:rsidTr="00BE6461">
        <w:trPr>
          <w:trHeight w:val="300"/>
        </w:trPr>
        <w:tc>
          <w:tcPr>
            <w:tcW w:w="1703" w:type="dxa"/>
            <w:tcBorders>
              <w:top w:val="nil"/>
              <w:left w:val="nil"/>
              <w:bottom w:val="nil"/>
              <w:right w:val="nil"/>
            </w:tcBorders>
            <w:shd w:val="clear" w:color="auto" w:fill="auto"/>
            <w:noWrap/>
            <w:vAlign w:val="bottom"/>
            <w:hideMark/>
          </w:tcPr>
          <w:p w14:paraId="1A683753" w14:textId="77777777" w:rsidR="00BE6461" w:rsidRPr="00BE6461" w:rsidRDefault="00BE6461" w:rsidP="00BE6461">
            <w:pPr>
              <w:rPr>
                <w:b/>
                <w:bCs/>
                <w:sz w:val="20"/>
                <w:szCs w:val="20"/>
              </w:rPr>
            </w:pPr>
            <w:r w:rsidRPr="00BE6461">
              <w:rPr>
                <w:b/>
                <w:bCs/>
                <w:sz w:val="20"/>
                <w:szCs w:val="20"/>
              </w:rPr>
              <w:t>312</w:t>
            </w:r>
          </w:p>
        </w:tc>
        <w:tc>
          <w:tcPr>
            <w:tcW w:w="8457" w:type="dxa"/>
            <w:tcBorders>
              <w:top w:val="nil"/>
              <w:left w:val="nil"/>
              <w:bottom w:val="nil"/>
              <w:right w:val="nil"/>
            </w:tcBorders>
            <w:shd w:val="clear" w:color="auto" w:fill="auto"/>
            <w:vAlign w:val="bottom"/>
            <w:hideMark/>
          </w:tcPr>
          <w:p w14:paraId="2B1F358F" w14:textId="77777777" w:rsidR="00BE6461" w:rsidRPr="00BE6461" w:rsidRDefault="00BE6461" w:rsidP="00BE6461">
            <w:pPr>
              <w:rPr>
                <w:b/>
                <w:bCs/>
                <w:sz w:val="20"/>
                <w:szCs w:val="20"/>
              </w:rPr>
            </w:pPr>
            <w:r w:rsidRPr="00BE6461">
              <w:rPr>
                <w:b/>
                <w:bCs/>
                <w:sz w:val="20"/>
                <w:szCs w:val="20"/>
              </w:rPr>
              <w:t xml:space="preserve">Ostali rashodi za zaposlene                                                                         </w:t>
            </w:r>
          </w:p>
        </w:tc>
        <w:tc>
          <w:tcPr>
            <w:tcW w:w="1503" w:type="dxa"/>
            <w:tcBorders>
              <w:top w:val="nil"/>
              <w:left w:val="nil"/>
              <w:bottom w:val="nil"/>
              <w:right w:val="nil"/>
            </w:tcBorders>
            <w:shd w:val="clear" w:color="auto" w:fill="auto"/>
            <w:noWrap/>
            <w:vAlign w:val="bottom"/>
            <w:hideMark/>
          </w:tcPr>
          <w:p w14:paraId="67567096" w14:textId="77777777" w:rsidR="00BE6461" w:rsidRPr="00BE6461" w:rsidRDefault="00BE6461" w:rsidP="00BE6461">
            <w:pPr>
              <w:jc w:val="right"/>
              <w:rPr>
                <w:b/>
                <w:bCs/>
                <w:sz w:val="20"/>
                <w:szCs w:val="20"/>
              </w:rPr>
            </w:pPr>
            <w:r w:rsidRPr="00BE6461">
              <w:rPr>
                <w:b/>
                <w:bCs/>
                <w:sz w:val="20"/>
                <w:szCs w:val="20"/>
              </w:rPr>
              <w:t>50.200,00</w:t>
            </w:r>
          </w:p>
        </w:tc>
        <w:tc>
          <w:tcPr>
            <w:tcW w:w="1500" w:type="dxa"/>
            <w:tcBorders>
              <w:top w:val="nil"/>
              <w:left w:val="nil"/>
              <w:bottom w:val="nil"/>
              <w:right w:val="nil"/>
            </w:tcBorders>
            <w:shd w:val="clear" w:color="auto" w:fill="auto"/>
            <w:noWrap/>
            <w:vAlign w:val="bottom"/>
            <w:hideMark/>
          </w:tcPr>
          <w:p w14:paraId="7A2A08D3" w14:textId="77777777" w:rsidR="00BE6461" w:rsidRPr="00BE6461" w:rsidRDefault="00BE6461" w:rsidP="00BE6461">
            <w:pPr>
              <w:jc w:val="right"/>
              <w:rPr>
                <w:b/>
                <w:bCs/>
                <w:sz w:val="20"/>
                <w:szCs w:val="20"/>
              </w:rPr>
            </w:pPr>
            <w:r w:rsidRPr="00BE6461">
              <w:rPr>
                <w:b/>
                <w:bCs/>
                <w:sz w:val="20"/>
                <w:szCs w:val="20"/>
              </w:rPr>
              <w:t>34.646,30</w:t>
            </w:r>
          </w:p>
        </w:tc>
        <w:tc>
          <w:tcPr>
            <w:tcW w:w="1100" w:type="dxa"/>
            <w:tcBorders>
              <w:top w:val="nil"/>
              <w:left w:val="nil"/>
              <w:bottom w:val="nil"/>
              <w:right w:val="nil"/>
            </w:tcBorders>
            <w:shd w:val="clear" w:color="auto" w:fill="auto"/>
            <w:noWrap/>
            <w:vAlign w:val="bottom"/>
            <w:hideMark/>
          </w:tcPr>
          <w:p w14:paraId="39A17ACB" w14:textId="77777777" w:rsidR="00BE6461" w:rsidRPr="00BE6461" w:rsidRDefault="00BE6461" w:rsidP="00BE6461">
            <w:pPr>
              <w:jc w:val="right"/>
              <w:rPr>
                <w:b/>
                <w:bCs/>
                <w:sz w:val="20"/>
                <w:szCs w:val="20"/>
              </w:rPr>
            </w:pPr>
            <w:r w:rsidRPr="00BE6461">
              <w:rPr>
                <w:b/>
                <w:bCs/>
                <w:sz w:val="20"/>
                <w:szCs w:val="20"/>
              </w:rPr>
              <w:t>69,02</w:t>
            </w:r>
          </w:p>
        </w:tc>
      </w:tr>
      <w:tr w:rsidR="00BE6461" w:rsidRPr="00BE6461" w14:paraId="231FC050" w14:textId="77777777" w:rsidTr="00BE6461">
        <w:trPr>
          <w:trHeight w:val="300"/>
        </w:trPr>
        <w:tc>
          <w:tcPr>
            <w:tcW w:w="1703" w:type="dxa"/>
            <w:tcBorders>
              <w:top w:val="nil"/>
              <w:left w:val="nil"/>
              <w:bottom w:val="nil"/>
              <w:right w:val="nil"/>
            </w:tcBorders>
            <w:shd w:val="clear" w:color="auto" w:fill="auto"/>
            <w:noWrap/>
            <w:vAlign w:val="bottom"/>
            <w:hideMark/>
          </w:tcPr>
          <w:p w14:paraId="6059452A" w14:textId="77777777" w:rsidR="00BE6461" w:rsidRPr="00BE6461" w:rsidRDefault="00BE6461" w:rsidP="00BE6461">
            <w:pPr>
              <w:rPr>
                <w:sz w:val="20"/>
                <w:szCs w:val="20"/>
              </w:rPr>
            </w:pPr>
            <w:r w:rsidRPr="00BE6461">
              <w:rPr>
                <w:sz w:val="20"/>
                <w:szCs w:val="20"/>
              </w:rPr>
              <w:t>3121</w:t>
            </w:r>
          </w:p>
        </w:tc>
        <w:tc>
          <w:tcPr>
            <w:tcW w:w="8457" w:type="dxa"/>
            <w:tcBorders>
              <w:top w:val="nil"/>
              <w:left w:val="nil"/>
              <w:bottom w:val="nil"/>
              <w:right w:val="nil"/>
            </w:tcBorders>
            <w:shd w:val="clear" w:color="auto" w:fill="auto"/>
            <w:vAlign w:val="bottom"/>
            <w:hideMark/>
          </w:tcPr>
          <w:p w14:paraId="5BBF5904" w14:textId="77777777" w:rsidR="00BE6461" w:rsidRPr="00BE6461" w:rsidRDefault="00BE6461" w:rsidP="00BE6461">
            <w:pPr>
              <w:rPr>
                <w:sz w:val="20"/>
                <w:szCs w:val="20"/>
              </w:rPr>
            </w:pPr>
            <w:r w:rsidRPr="00BE6461">
              <w:rPr>
                <w:sz w:val="20"/>
                <w:szCs w:val="20"/>
              </w:rPr>
              <w:t xml:space="preserve">Ostali rashodi za zaposlene                                                                         </w:t>
            </w:r>
          </w:p>
        </w:tc>
        <w:tc>
          <w:tcPr>
            <w:tcW w:w="1503" w:type="dxa"/>
            <w:tcBorders>
              <w:top w:val="nil"/>
              <w:left w:val="nil"/>
              <w:bottom w:val="nil"/>
              <w:right w:val="nil"/>
            </w:tcBorders>
            <w:shd w:val="clear" w:color="auto" w:fill="auto"/>
            <w:noWrap/>
            <w:vAlign w:val="bottom"/>
            <w:hideMark/>
          </w:tcPr>
          <w:p w14:paraId="56C6C97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32CB4DA" w14:textId="77777777" w:rsidR="00BE6461" w:rsidRPr="00BE6461" w:rsidRDefault="00BE6461" w:rsidP="00BE6461">
            <w:pPr>
              <w:jc w:val="right"/>
              <w:rPr>
                <w:sz w:val="20"/>
                <w:szCs w:val="20"/>
              </w:rPr>
            </w:pPr>
            <w:r w:rsidRPr="00BE6461">
              <w:rPr>
                <w:sz w:val="20"/>
                <w:szCs w:val="20"/>
              </w:rPr>
              <w:t>34.646,30</w:t>
            </w:r>
          </w:p>
        </w:tc>
        <w:tc>
          <w:tcPr>
            <w:tcW w:w="1100" w:type="dxa"/>
            <w:tcBorders>
              <w:top w:val="nil"/>
              <w:left w:val="nil"/>
              <w:bottom w:val="nil"/>
              <w:right w:val="nil"/>
            </w:tcBorders>
            <w:shd w:val="clear" w:color="auto" w:fill="auto"/>
            <w:noWrap/>
            <w:vAlign w:val="bottom"/>
            <w:hideMark/>
          </w:tcPr>
          <w:p w14:paraId="0522CD04" w14:textId="77777777" w:rsidR="00BE6461" w:rsidRPr="00BE6461" w:rsidRDefault="00BE6461" w:rsidP="00BE6461">
            <w:pPr>
              <w:jc w:val="right"/>
              <w:rPr>
                <w:sz w:val="20"/>
                <w:szCs w:val="20"/>
              </w:rPr>
            </w:pPr>
          </w:p>
        </w:tc>
      </w:tr>
      <w:tr w:rsidR="00BE6461" w:rsidRPr="00BE6461" w14:paraId="585070E7" w14:textId="77777777" w:rsidTr="00BE6461">
        <w:trPr>
          <w:trHeight w:val="300"/>
        </w:trPr>
        <w:tc>
          <w:tcPr>
            <w:tcW w:w="1703" w:type="dxa"/>
            <w:tcBorders>
              <w:top w:val="nil"/>
              <w:left w:val="nil"/>
              <w:bottom w:val="nil"/>
              <w:right w:val="nil"/>
            </w:tcBorders>
            <w:shd w:val="clear" w:color="auto" w:fill="auto"/>
            <w:noWrap/>
            <w:vAlign w:val="bottom"/>
            <w:hideMark/>
          </w:tcPr>
          <w:p w14:paraId="142176D6" w14:textId="77777777" w:rsidR="00BE6461" w:rsidRPr="00BE6461" w:rsidRDefault="00BE6461" w:rsidP="00BE6461">
            <w:pPr>
              <w:rPr>
                <w:b/>
                <w:bCs/>
                <w:sz w:val="20"/>
                <w:szCs w:val="20"/>
              </w:rPr>
            </w:pPr>
            <w:r w:rsidRPr="00BE6461">
              <w:rPr>
                <w:b/>
                <w:bCs/>
                <w:sz w:val="20"/>
                <w:szCs w:val="20"/>
              </w:rPr>
              <w:t>313</w:t>
            </w:r>
          </w:p>
        </w:tc>
        <w:tc>
          <w:tcPr>
            <w:tcW w:w="8457" w:type="dxa"/>
            <w:tcBorders>
              <w:top w:val="nil"/>
              <w:left w:val="nil"/>
              <w:bottom w:val="nil"/>
              <w:right w:val="nil"/>
            </w:tcBorders>
            <w:shd w:val="clear" w:color="auto" w:fill="auto"/>
            <w:vAlign w:val="bottom"/>
            <w:hideMark/>
          </w:tcPr>
          <w:p w14:paraId="62D8A4F1" w14:textId="77777777" w:rsidR="00BE6461" w:rsidRPr="00BE6461" w:rsidRDefault="00BE6461" w:rsidP="00BE6461">
            <w:pPr>
              <w:rPr>
                <w:b/>
                <w:bCs/>
                <w:sz w:val="20"/>
                <w:szCs w:val="20"/>
              </w:rPr>
            </w:pPr>
            <w:r w:rsidRPr="00BE6461">
              <w:rPr>
                <w:b/>
                <w:bCs/>
                <w:sz w:val="20"/>
                <w:szCs w:val="20"/>
              </w:rPr>
              <w:t xml:space="preserve">Doprinosi na plaće                                                                                  </w:t>
            </w:r>
          </w:p>
        </w:tc>
        <w:tc>
          <w:tcPr>
            <w:tcW w:w="1503" w:type="dxa"/>
            <w:tcBorders>
              <w:top w:val="nil"/>
              <w:left w:val="nil"/>
              <w:bottom w:val="nil"/>
              <w:right w:val="nil"/>
            </w:tcBorders>
            <w:shd w:val="clear" w:color="auto" w:fill="auto"/>
            <w:noWrap/>
            <w:vAlign w:val="bottom"/>
            <w:hideMark/>
          </w:tcPr>
          <w:p w14:paraId="2C3C8A0B" w14:textId="77777777" w:rsidR="00BE6461" w:rsidRPr="00BE6461" w:rsidRDefault="00BE6461" w:rsidP="00BE6461">
            <w:pPr>
              <w:jc w:val="right"/>
              <w:rPr>
                <w:b/>
                <w:bCs/>
                <w:sz w:val="20"/>
                <w:szCs w:val="20"/>
              </w:rPr>
            </w:pPr>
            <w:r w:rsidRPr="00BE6461">
              <w:rPr>
                <w:b/>
                <w:bCs/>
                <w:sz w:val="20"/>
                <w:szCs w:val="20"/>
              </w:rPr>
              <w:t>103.125,00</w:t>
            </w:r>
          </w:p>
        </w:tc>
        <w:tc>
          <w:tcPr>
            <w:tcW w:w="1500" w:type="dxa"/>
            <w:tcBorders>
              <w:top w:val="nil"/>
              <w:left w:val="nil"/>
              <w:bottom w:val="nil"/>
              <w:right w:val="nil"/>
            </w:tcBorders>
            <w:shd w:val="clear" w:color="auto" w:fill="auto"/>
            <w:noWrap/>
            <w:vAlign w:val="bottom"/>
            <w:hideMark/>
          </w:tcPr>
          <w:p w14:paraId="29888F54" w14:textId="77777777" w:rsidR="00BE6461" w:rsidRPr="00BE6461" w:rsidRDefault="00BE6461" w:rsidP="00BE6461">
            <w:pPr>
              <w:jc w:val="right"/>
              <w:rPr>
                <w:b/>
                <w:bCs/>
                <w:sz w:val="20"/>
                <w:szCs w:val="20"/>
              </w:rPr>
            </w:pPr>
            <w:r w:rsidRPr="00BE6461">
              <w:rPr>
                <w:b/>
                <w:bCs/>
                <w:sz w:val="20"/>
                <w:szCs w:val="20"/>
              </w:rPr>
              <w:t>89.203,33</w:t>
            </w:r>
          </w:p>
        </w:tc>
        <w:tc>
          <w:tcPr>
            <w:tcW w:w="1100" w:type="dxa"/>
            <w:tcBorders>
              <w:top w:val="nil"/>
              <w:left w:val="nil"/>
              <w:bottom w:val="nil"/>
              <w:right w:val="nil"/>
            </w:tcBorders>
            <w:shd w:val="clear" w:color="auto" w:fill="auto"/>
            <w:noWrap/>
            <w:vAlign w:val="bottom"/>
            <w:hideMark/>
          </w:tcPr>
          <w:p w14:paraId="76EF605B" w14:textId="77777777" w:rsidR="00BE6461" w:rsidRPr="00BE6461" w:rsidRDefault="00BE6461" w:rsidP="00BE6461">
            <w:pPr>
              <w:jc w:val="right"/>
              <w:rPr>
                <w:b/>
                <w:bCs/>
                <w:sz w:val="20"/>
                <w:szCs w:val="20"/>
              </w:rPr>
            </w:pPr>
            <w:r w:rsidRPr="00BE6461">
              <w:rPr>
                <w:b/>
                <w:bCs/>
                <w:sz w:val="20"/>
                <w:szCs w:val="20"/>
              </w:rPr>
              <w:t>86,50</w:t>
            </w:r>
          </w:p>
        </w:tc>
      </w:tr>
      <w:tr w:rsidR="00BE6461" w:rsidRPr="00BE6461" w14:paraId="1215E9C3" w14:textId="77777777" w:rsidTr="00BE6461">
        <w:trPr>
          <w:trHeight w:val="300"/>
        </w:trPr>
        <w:tc>
          <w:tcPr>
            <w:tcW w:w="1703" w:type="dxa"/>
            <w:tcBorders>
              <w:top w:val="nil"/>
              <w:left w:val="nil"/>
              <w:bottom w:val="nil"/>
              <w:right w:val="nil"/>
            </w:tcBorders>
            <w:shd w:val="clear" w:color="auto" w:fill="auto"/>
            <w:noWrap/>
            <w:vAlign w:val="bottom"/>
            <w:hideMark/>
          </w:tcPr>
          <w:p w14:paraId="210832D9" w14:textId="77777777" w:rsidR="00BE6461" w:rsidRPr="00BE6461" w:rsidRDefault="00BE6461" w:rsidP="00BE6461">
            <w:pPr>
              <w:rPr>
                <w:sz w:val="20"/>
                <w:szCs w:val="20"/>
              </w:rPr>
            </w:pPr>
            <w:r w:rsidRPr="00BE6461">
              <w:rPr>
                <w:sz w:val="20"/>
                <w:szCs w:val="20"/>
              </w:rPr>
              <w:t>3132</w:t>
            </w:r>
          </w:p>
        </w:tc>
        <w:tc>
          <w:tcPr>
            <w:tcW w:w="8457" w:type="dxa"/>
            <w:tcBorders>
              <w:top w:val="nil"/>
              <w:left w:val="nil"/>
              <w:bottom w:val="nil"/>
              <w:right w:val="nil"/>
            </w:tcBorders>
            <w:shd w:val="clear" w:color="auto" w:fill="auto"/>
            <w:vAlign w:val="bottom"/>
            <w:hideMark/>
          </w:tcPr>
          <w:p w14:paraId="52937C02" w14:textId="77777777" w:rsidR="00BE6461" w:rsidRPr="00BE6461" w:rsidRDefault="00BE6461" w:rsidP="00BE6461">
            <w:pPr>
              <w:rPr>
                <w:sz w:val="20"/>
                <w:szCs w:val="20"/>
              </w:rPr>
            </w:pPr>
            <w:r w:rsidRPr="00BE6461">
              <w:rPr>
                <w:sz w:val="20"/>
                <w:szCs w:val="20"/>
              </w:rPr>
              <w:t xml:space="preserve">Doprinosi za obvezno zdravstveno osiguranje                                                         </w:t>
            </w:r>
          </w:p>
        </w:tc>
        <w:tc>
          <w:tcPr>
            <w:tcW w:w="1503" w:type="dxa"/>
            <w:tcBorders>
              <w:top w:val="nil"/>
              <w:left w:val="nil"/>
              <w:bottom w:val="nil"/>
              <w:right w:val="nil"/>
            </w:tcBorders>
            <w:shd w:val="clear" w:color="auto" w:fill="auto"/>
            <w:noWrap/>
            <w:vAlign w:val="bottom"/>
            <w:hideMark/>
          </w:tcPr>
          <w:p w14:paraId="7F093602"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F69F067" w14:textId="77777777" w:rsidR="00BE6461" w:rsidRPr="00BE6461" w:rsidRDefault="00BE6461" w:rsidP="00BE6461">
            <w:pPr>
              <w:jc w:val="right"/>
              <w:rPr>
                <w:sz w:val="20"/>
                <w:szCs w:val="20"/>
              </w:rPr>
            </w:pPr>
            <w:r w:rsidRPr="00BE6461">
              <w:rPr>
                <w:sz w:val="20"/>
                <w:szCs w:val="20"/>
              </w:rPr>
              <w:t>89.203,33</w:t>
            </w:r>
          </w:p>
        </w:tc>
        <w:tc>
          <w:tcPr>
            <w:tcW w:w="1100" w:type="dxa"/>
            <w:tcBorders>
              <w:top w:val="nil"/>
              <w:left w:val="nil"/>
              <w:bottom w:val="nil"/>
              <w:right w:val="nil"/>
            </w:tcBorders>
            <w:shd w:val="clear" w:color="auto" w:fill="auto"/>
            <w:noWrap/>
            <w:vAlign w:val="bottom"/>
            <w:hideMark/>
          </w:tcPr>
          <w:p w14:paraId="3E3854B1" w14:textId="77777777" w:rsidR="00BE6461" w:rsidRPr="00BE6461" w:rsidRDefault="00BE6461" w:rsidP="00BE6461">
            <w:pPr>
              <w:jc w:val="right"/>
              <w:rPr>
                <w:sz w:val="20"/>
                <w:szCs w:val="20"/>
              </w:rPr>
            </w:pPr>
          </w:p>
        </w:tc>
      </w:tr>
      <w:tr w:rsidR="00BE6461" w:rsidRPr="00BE6461" w14:paraId="6D65251B" w14:textId="77777777" w:rsidTr="00BE6461">
        <w:trPr>
          <w:trHeight w:val="390"/>
        </w:trPr>
        <w:tc>
          <w:tcPr>
            <w:tcW w:w="1703" w:type="dxa"/>
            <w:tcBorders>
              <w:top w:val="single" w:sz="4" w:space="0" w:color="auto"/>
              <w:left w:val="nil"/>
              <w:bottom w:val="nil"/>
              <w:right w:val="nil"/>
            </w:tcBorders>
            <w:shd w:val="clear" w:color="auto" w:fill="auto"/>
            <w:noWrap/>
            <w:vAlign w:val="bottom"/>
            <w:hideMark/>
          </w:tcPr>
          <w:p w14:paraId="6DB5A10C" w14:textId="77777777" w:rsidR="00BE6461" w:rsidRPr="00BE6461" w:rsidRDefault="00BE6461" w:rsidP="00BE6461">
            <w:pPr>
              <w:rPr>
                <w:b/>
                <w:bCs/>
                <w:sz w:val="20"/>
                <w:szCs w:val="20"/>
              </w:rPr>
            </w:pPr>
            <w:r w:rsidRPr="00BE6461">
              <w:rPr>
                <w:b/>
                <w:bCs/>
                <w:sz w:val="20"/>
                <w:szCs w:val="20"/>
              </w:rPr>
              <w:t>3002</w:t>
            </w:r>
          </w:p>
        </w:tc>
        <w:tc>
          <w:tcPr>
            <w:tcW w:w="8457" w:type="dxa"/>
            <w:tcBorders>
              <w:top w:val="single" w:sz="4" w:space="0" w:color="auto"/>
              <w:left w:val="nil"/>
              <w:bottom w:val="nil"/>
              <w:right w:val="nil"/>
            </w:tcBorders>
            <w:shd w:val="clear" w:color="auto" w:fill="auto"/>
            <w:vAlign w:val="bottom"/>
            <w:hideMark/>
          </w:tcPr>
          <w:p w14:paraId="6BF046F0" w14:textId="77777777" w:rsidR="00BE6461" w:rsidRPr="00BE6461" w:rsidRDefault="00BE6461" w:rsidP="00BE6461">
            <w:pPr>
              <w:rPr>
                <w:b/>
                <w:bCs/>
                <w:sz w:val="20"/>
                <w:szCs w:val="20"/>
              </w:rPr>
            </w:pPr>
            <w:r w:rsidRPr="00BE6461">
              <w:rPr>
                <w:b/>
                <w:bCs/>
                <w:sz w:val="20"/>
                <w:szCs w:val="20"/>
              </w:rPr>
              <w:t>Program: GRADNJA KAPITALNIH OBJEKATA</w:t>
            </w:r>
          </w:p>
        </w:tc>
        <w:tc>
          <w:tcPr>
            <w:tcW w:w="1503" w:type="dxa"/>
            <w:tcBorders>
              <w:top w:val="single" w:sz="4" w:space="0" w:color="auto"/>
              <w:left w:val="nil"/>
              <w:bottom w:val="nil"/>
              <w:right w:val="nil"/>
            </w:tcBorders>
            <w:shd w:val="clear" w:color="auto" w:fill="auto"/>
            <w:noWrap/>
            <w:vAlign w:val="bottom"/>
            <w:hideMark/>
          </w:tcPr>
          <w:p w14:paraId="7BDE4F82" w14:textId="77777777" w:rsidR="00BE6461" w:rsidRPr="00BE6461" w:rsidRDefault="00BE6461" w:rsidP="00BE6461">
            <w:pPr>
              <w:jc w:val="right"/>
              <w:rPr>
                <w:b/>
                <w:bCs/>
                <w:sz w:val="20"/>
                <w:szCs w:val="20"/>
              </w:rPr>
            </w:pPr>
            <w:r w:rsidRPr="00BE6461">
              <w:rPr>
                <w:b/>
                <w:bCs/>
                <w:sz w:val="20"/>
                <w:szCs w:val="20"/>
              </w:rPr>
              <w:t>2.024.972,23</w:t>
            </w:r>
          </w:p>
        </w:tc>
        <w:tc>
          <w:tcPr>
            <w:tcW w:w="1500" w:type="dxa"/>
            <w:tcBorders>
              <w:top w:val="single" w:sz="4" w:space="0" w:color="auto"/>
              <w:left w:val="nil"/>
              <w:bottom w:val="nil"/>
              <w:right w:val="nil"/>
            </w:tcBorders>
            <w:shd w:val="clear" w:color="auto" w:fill="auto"/>
            <w:noWrap/>
            <w:vAlign w:val="bottom"/>
            <w:hideMark/>
          </w:tcPr>
          <w:p w14:paraId="1A9D24D7" w14:textId="77777777" w:rsidR="00BE6461" w:rsidRPr="00BE6461" w:rsidRDefault="00BE6461" w:rsidP="00BE6461">
            <w:pPr>
              <w:jc w:val="right"/>
              <w:rPr>
                <w:b/>
                <w:bCs/>
                <w:sz w:val="20"/>
                <w:szCs w:val="20"/>
              </w:rPr>
            </w:pPr>
            <w:r w:rsidRPr="00BE6461">
              <w:rPr>
                <w:b/>
                <w:bCs/>
                <w:sz w:val="20"/>
                <w:szCs w:val="20"/>
              </w:rPr>
              <w:t>1.991.384,73</w:t>
            </w:r>
          </w:p>
        </w:tc>
        <w:tc>
          <w:tcPr>
            <w:tcW w:w="1100" w:type="dxa"/>
            <w:tcBorders>
              <w:top w:val="single" w:sz="4" w:space="0" w:color="auto"/>
              <w:left w:val="nil"/>
              <w:bottom w:val="nil"/>
              <w:right w:val="nil"/>
            </w:tcBorders>
            <w:shd w:val="clear" w:color="auto" w:fill="auto"/>
            <w:noWrap/>
            <w:vAlign w:val="bottom"/>
            <w:hideMark/>
          </w:tcPr>
          <w:p w14:paraId="199B1444" w14:textId="77777777" w:rsidR="00BE6461" w:rsidRPr="00BE6461" w:rsidRDefault="00BE6461" w:rsidP="00BE6461">
            <w:pPr>
              <w:jc w:val="right"/>
              <w:rPr>
                <w:b/>
                <w:bCs/>
                <w:sz w:val="20"/>
                <w:szCs w:val="20"/>
              </w:rPr>
            </w:pPr>
            <w:r w:rsidRPr="00BE6461">
              <w:rPr>
                <w:b/>
                <w:bCs/>
                <w:sz w:val="20"/>
                <w:szCs w:val="20"/>
              </w:rPr>
              <w:t>98,34</w:t>
            </w:r>
          </w:p>
        </w:tc>
      </w:tr>
      <w:tr w:rsidR="00BE6461" w:rsidRPr="00BE6461" w14:paraId="638D65EC"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5C4D63AF" w14:textId="77777777" w:rsidR="00BE6461" w:rsidRPr="00BE6461" w:rsidRDefault="00BE6461" w:rsidP="00BE6461">
            <w:pPr>
              <w:rPr>
                <w:b/>
                <w:bCs/>
                <w:sz w:val="20"/>
                <w:szCs w:val="20"/>
              </w:rPr>
            </w:pPr>
            <w:r w:rsidRPr="00BE6461">
              <w:rPr>
                <w:b/>
                <w:bCs/>
                <w:sz w:val="20"/>
                <w:szCs w:val="20"/>
              </w:rPr>
              <w:t>K300002</w:t>
            </w:r>
          </w:p>
        </w:tc>
        <w:tc>
          <w:tcPr>
            <w:tcW w:w="8457" w:type="dxa"/>
            <w:tcBorders>
              <w:top w:val="single" w:sz="4" w:space="0" w:color="auto"/>
              <w:left w:val="nil"/>
              <w:bottom w:val="single" w:sz="4" w:space="0" w:color="auto"/>
              <w:right w:val="nil"/>
            </w:tcBorders>
            <w:shd w:val="clear" w:color="auto" w:fill="auto"/>
            <w:vAlign w:val="bottom"/>
            <w:hideMark/>
          </w:tcPr>
          <w:p w14:paraId="1FF6198D" w14:textId="77777777" w:rsidR="00BE6461" w:rsidRPr="00BE6461" w:rsidRDefault="00BE6461" w:rsidP="00BE6461">
            <w:pPr>
              <w:rPr>
                <w:b/>
                <w:bCs/>
                <w:sz w:val="20"/>
                <w:szCs w:val="20"/>
              </w:rPr>
            </w:pPr>
            <w:r w:rsidRPr="00BE6461">
              <w:rPr>
                <w:b/>
                <w:bCs/>
                <w:sz w:val="20"/>
                <w:szCs w:val="20"/>
              </w:rPr>
              <w:t>Kapitalni projekt: REKONSTRUKCIJA KAŠTELA ROTA MOMJAN</w:t>
            </w:r>
          </w:p>
        </w:tc>
        <w:tc>
          <w:tcPr>
            <w:tcW w:w="1503" w:type="dxa"/>
            <w:tcBorders>
              <w:top w:val="single" w:sz="4" w:space="0" w:color="auto"/>
              <w:left w:val="nil"/>
              <w:bottom w:val="single" w:sz="4" w:space="0" w:color="auto"/>
              <w:right w:val="nil"/>
            </w:tcBorders>
            <w:shd w:val="clear" w:color="auto" w:fill="auto"/>
            <w:noWrap/>
            <w:vAlign w:val="bottom"/>
            <w:hideMark/>
          </w:tcPr>
          <w:p w14:paraId="3F3EFC0E" w14:textId="77777777" w:rsidR="00BE6461" w:rsidRPr="00BE6461" w:rsidRDefault="00BE6461" w:rsidP="00BE6461">
            <w:pPr>
              <w:jc w:val="right"/>
              <w:rPr>
                <w:b/>
                <w:bCs/>
                <w:sz w:val="20"/>
                <w:szCs w:val="20"/>
              </w:rPr>
            </w:pPr>
            <w:r w:rsidRPr="00BE6461">
              <w:rPr>
                <w:b/>
                <w:bCs/>
                <w:sz w:val="20"/>
                <w:szCs w:val="20"/>
              </w:rPr>
              <w:t>456.058,03</w:t>
            </w:r>
          </w:p>
        </w:tc>
        <w:tc>
          <w:tcPr>
            <w:tcW w:w="1500" w:type="dxa"/>
            <w:tcBorders>
              <w:top w:val="single" w:sz="4" w:space="0" w:color="auto"/>
              <w:left w:val="nil"/>
              <w:bottom w:val="single" w:sz="4" w:space="0" w:color="auto"/>
              <w:right w:val="nil"/>
            </w:tcBorders>
            <w:shd w:val="clear" w:color="auto" w:fill="auto"/>
            <w:noWrap/>
            <w:vAlign w:val="bottom"/>
            <w:hideMark/>
          </w:tcPr>
          <w:p w14:paraId="6E588A03" w14:textId="77777777" w:rsidR="00BE6461" w:rsidRPr="00BE6461" w:rsidRDefault="00BE6461" w:rsidP="00BE6461">
            <w:pPr>
              <w:jc w:val="right"/>
              <w:rPr>
                <w:b/>
                <w:bCs/>
                <w:sz w:val="20"/>
                <w:szCs w:val="20"/>
              </w:rPr>
            </w:pPr>
            <w:r w:rsidRPr="00BE6461">
              <w:rPr>
                <w:b/>
                <w:bCs/>
                <w:sz w:val="20"/>
                <w:szCs w:val="20"/>
              </w:rPr>
              <w:t>438.720,53</w:t>
            </w:r>
          </w:p>
        </w:tc>
        <w:tc>
          <w:tcPr>
            <w:tcW w:w="1100" w:type="dxa"/>
            <w:tcBorders>
              <w:top w:val="single" w:sz="4" w:space="0" w:color="auto"/>
              <w:left w:val="nil"/>
              <w:bottom w:val="single" w:sz="4" w:space="0" w:color="auto"/>
              <w:right w:val="nil"/>
            </w:tcBorders>
            <w:shd w:val="clear" w:color="auto" w:fill="auto"/>
            <w:noWrap/>
            <w:vAlign w:val="bottom"/>
            <w:hideMark/>
          </w:tcPr>
          <w:p w14:paraId="55B388A1" w14:textId="77777777" w:rsidR="00BE6461" w:rsidRPr="00BE6461" w:rsidRDefault="00BE6461" w:rsidP="00BE6461">
            <w:pPr>
              <w:jc w:val="right"/>
              <w:rPr>
                <w:b/>
                <w:bCs/>
                <w:sz w:val="20"/>
                <w:szCs w:val="20"/>
              </w:rPr>
            </w:pPr>
            <w:r w:rsidRPr="00BE6461">
              <w:rPr>
                <w:b/>
                <w:bCs/>
                <w:sz w:val="20"/>
                <w:szCs w:val="20"/>
              </w:rPr>
              <w:t>96,20</w:t>
            </w:r>
          </w:p>
        </w:tc>
      </w:tr>
      <w:tr w:rsidR="00BE6461" w:rsidRPr="00BE6461" w14:paraId="17BA3848"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28BFBFB"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0F4E9F95" w14:textId="77777777" w:rsidR="00BE6461" w:rsidRPr="00BE6461" w:rsidRDefault="00BE6461" w:rsidP="00BE6461">
            <w:pPr>
              <w:jc w:val="right"/>
              <w:rPr>
                <w:b/>
                <w:bCs/>
                <w:color w:val="333333"/>
                <w:sz w:val="20"/>
                <w:szCs w:val="20"/>
              </w:rPr>
            </w:pPr>
            <w:r w:rsidRPr="00BE6461">
              <w:rPr>
                <w:b/>
                <w:bCs/>
                <w:color w:val="333333"/>
                <w:sz w:val="20"/>
                <w:szCs w:val="20"/>
              </w:rPr>
              <w:t>19.245,53</w:t>
            </w:r>
          </w:p>
        </w:tc>
        <w:tc>
          <w:tcPr>
            <w:tcW w:w="1500" w:type="dxa"/>
            <w:tcBorders>
              <w:top w:val="nil"/>
              <w:left w:val="nil"/>
              <w:bottom w:val="nil"/>
              <w:right w:val="nil"/>
            </w:tcBorders>
            <w:shd w:val="clear" w:color="auto" w:fill="auto"/>
            <w:noWrap/>
            <w:vAlign w:val="bottom"/>
            <w:hideMark/>
          </w:tcPr>
          <w:p w14:paraId="564CD0F9" w14:textId="77777777" w:rsidR="00BE6461" w:rsidRPr="00BE6461" w:rsidRDefault="00BE6461" w:rsidP="00BE6461">
            <w:pPr>
              <w:jc w:val="right"/>
              <w:rPr>
                <w:b/>
                <w:bCs/>
                <w:color w:val="333333"/>
                <w:sz w:val="20"/>
                <w:szCs w:val="20"/>
              </w:rPr>
            </w:pPr>
            <w:r w:rsidRPr="00BE6461">
              <w:rPr>
                <w:b/>
                <w:bCs/>
                <w:color w:val="333333"/>
                <w:sz w:val="20"/>
                <w:szCs w:val="20"/>
              </w:rPr>
              <w:t>19.245,53</w:t>
            </w:r>
          </w:p>
        </w:tc>
        <w:tc>
          <w:tcPr>
            <w:tcW w:w="1100" w:type="dxa"/>
            <w:tcBorders>
              <w:top w:val="nil"/>
              <w:left w:val="nil"/>
              <w:bottom w:val="nil"/>
              <w:right w:val="nil"/>
            </w:tcBorders>
            <w:shd w:val="clear" w:color="auto" w:fill="auto"/>
            <w:noWrap/>
            <w:vAlign w:val="bottom"/>
            <w:hideMark/>
          </w:tcPr>
          <w:p w14:paraId="5BF9C2FD"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2D770B9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E0DE9DC" w14:textId="77777777" w:rsidR="00BE6461" w:rsidRPr="00BE6461" w:rsidRDefault="00BE6461" w:rsidP="00BE6461">
            <w:pPr>
              <w:rPr>
                <w:b/>
                <w:bCs/>
                <w:color w:val="333333"/>
                <w:sz w:val="20"/>
                <w:szCs w:val="20"/>
              </w:rPr>
            </w:pPr>
            <w:r w:rsidRPr="00BE6461">
              <w:rPr>
                <w:b/>
                <w:bCs/>
                <w:color w:val="333333"/>
                <w:sz w:val="20"/>
                <w:szCs w:val="20"/>
              </w:rPr>
              <w:lastRenderedPageBreak/>
              <w:t>Izvor 1.1. OPĆI PRIHODI I PRIMICI</w:t>
            </w:r>
          </w:p>
        </w:tc>
        <w:tc>
          <w:tcPr>
            <w:tcW w:w="1503" w:type="dxa"/>
            <w:tcBorders>
              <w:top w:val="nil"/>
              <w:left w:val="nil"/>
              <w:bottom w:val="nil"/>
              <w:right w:val="nil"/>
            </w:tcBorders>
            <w:shd w:val="clear" w:color="auto" w:fill="auto"/>
            <w:noWrap/>
            <w:vAlign w:val="bottom"/>
            <w:hideMark/>
          </w:tcPr>
          <w:p w14:paraId="56D1969B" w14:textId="77777777" w:rsidR="00BE6461" w:rsidRPr="00BE6461" w:rsidRDefault="00BE6461" w:rsidP="00BE6461">
            <w:pPr>
              <w:jc w:val="right"/>
              <w:rPr>
                <w:b/>
                <w:bCs/>
                <w:color w:val="333333"/>
                <w:sz w:val="20"/>
                <w:szCs w:val="20"/>
              </w:rPr>
            </w:pPr>
            <w:r w:rsidRPr="00BE6461">
              <w:rPr>
                <w:b/>
                <w:bCs/>
                <w:color w:val="333333"/>
                <w:sz w:val="20"/>
                <w:szCs w:val="20"/>
              </w:rPr>
              <w:t>19.245,53</w:t>
            </w:r>
          </w:p>
        </w:tc>
        <w:tc>
          <w:tcPr>
            <w:tcW w:w="1500" w:type="dxa"/>
            <w:tcBorders>
              <w:top w:val="nil"/>
              <w:left w:val="nil"/>
              <w:bottom w:val="nil"/>
              <w:right w:val="nil"/>
            </w:tcBorders>
            <w:shd w:val="clear" w:color="auto" w:fill="auto"/>
            <w:noWrap/>
            <w:vAlign w:val="bottom"/>
            <w:hideMark/>
          </w:tcPr>
          <w:p w14:paraId="418B918C" w14:textId="77777777" w:rsidR="00BE6461" w:rsidRPr="00BE6461" w:rsidRDefault="00BE6461" w:rsidP="00BE6461">
            <w:pPr>
              <w:jc w:val="right"/>
              <w:rPr>
                <w:b/>
                <w:bCs/>
                <w:color w:val="333333"/>
                <w:sz w:val="20"/>
                <w:szCs w:val="20"/>
              </w:rPr>
            </w:pPr>
            <w:r w:rsidRPr="00BE6461">
              <w:rPr>
                <w:b/>
                <w:bCs/>
                <w:color w:val="333333"/>
                <w:sz w:val="20"/>
                <w:szCs w:val="20"/>
              </w:rPr>
              <w:t>19.245,53</w:t>
            </w:r>
          </w:p>
        </w:tc>
        <w:tc>
          <w:tcPr>
            <w:tcW w:w="1100" w:type="dxa"/>
            <w:tcBorders>
              <w:top w:val="nil"/>
              <w:left w:val="nil"/>
              <w:bottom w:val="nil"/>
              <w:right w:val="nil"/>
            </w:tcBorders>
            <w:shd w:val="clear" w:color="auto" w:fill="auto"/>
            <w:noWrap/>
            <w:vAlign w:val="bottom"/>
            <w:hideMark/>
          </w:tcPr>
          <w:p w14:paraId="225B8E83"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6CFD63B8" w14:textId="77777777" w:rsidTr="00BE6461">
        <w:trPr>
          <w:trHeight w:val="300"/>
        </w:trPr>
        <w:tc>
          <w:tcPr>
            <w:tcW w:w="1703" w:type="dxa"/>
            <w:tcBorders>
              <w:top w:val="nil"/>
              <w:left w:val="nil"/>
              <w:bottom w:val="nil"/>
              <w:right w:val="nil"/>
            </w:tcBorders>
            <w:shd w:val="clear" w:color="auto" w:fill="auto"/>
            <w:noWrap/>
            <w:vAlign w:val="bottom"/>
            <w:hideMark/>
          </w:tcPr>
          <w:p w14:paraId="4B0444B8"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7DCD2EC4"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438812EF" w14:textId="77777777" w:rsidR="00BE6461" w:rsidRPr="00BE6461" w:rsidRDefault="00BE6461" w:rsidP="00BE6461">
            <w:pPr>
              <w:jc w:val="right"/>
              <w:rPr>
                <w:b/>
                <w:bCs/>
                <w:sz w:val="20"/>
                <w:szCs w:val="20"/>
              </w:rPr>
            </w:pPr>
            <w:r w:rsidRPr="00BE6461">
              <w:rPr>
                <w:b/>
                <w:bCs/>
                <w:sz w:val="20"/>
                <w:szCs w:val="20"/>
              </w:rPr>
              <w:t>19.245,53</w:t>
            </w:r>
          </w:p>
        </w:tc>
        <w:tc>
          <w:tcPr>
            <w:tcW w:w="1500" w:type="dxa"/>
            <w:tcBorders>
              <w:top w:val="nil"/>
              <w:left w:val="nil"/>
              <w:bottom w:val="nil"/>
              <w:right w:val="nil"/>
            </w:tcBorders>
            <w:shd w:val="clear" w:color="auto" w:fill="auto"/>
            <w:noWrap/>
            <w:vAlign w:val="bottom"/>
            <w:hideMark/>
          </w:tcPr>
          <w:p w14:paraId="564B2CDF" w14:textId="77777777" w:rsidR="00BE6461" w:rsidRPr="00BE6461" w:rsidRDefault="00BE6461" w:rsidP="00BE6461">
            <w:pPr>
              <w:jc w:val="right"/>
              <w:rPr>
                <w:b/>
                <w:bCs/>
                <w:sz w:val="20"/>
                <w:szCs w:val="20"/>
              </w:rPr>
            </w:pPr>
            <w:r w:rsidRPr="00BE6461">
              <w:rPr>
                <w:b/>
                <w:bCs/>
                <w:sz w:val="20"/>
                <w:szCs w:val="20"/>
              </w:rPr>
              <w:t>19.245,53</w:t>
            </w:r>
          </w:p>
        </w:tc>
        <w:tc>
          <w:tcPr>
            <w:tcW w:w="1100" w:type="dxa"/>
            <w:tcBorders>
              <w:top w:val="nil"/>
              <w:left w:val="nil"/>
              <w:bottom w:val="nil"/>
              <w:right w:val="nil"/>
            </w:tcBorders>
            <w:shd w:val="clear" w:color="auto" w:fill="auto"/>
            <w:noWrap/>
            <w:vAlign w:val="bottom"/>
            <w:hideMark/>
          </w:tcPr>
          <w:p w14:paraId="1D053CE2"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03AFCC26" w14:textId="77777777" w:rsidTr="00BE6461">
        <w:trPr>
          <w:trHeight w:val="300"/>
        </w:trPr>
        <w:tc>
          <w:tcPr>
            <w:tcW w:w="1703" w:type="dxa"/>
            <w:tcBorders>
              <w:top w:val="nil"/>
              <w:left w:val="nil"/>
              <w:bottom w:val="nil"/>
              <w:right w:val="nil"/>
            </w:tcBorders>
            <w:shd w:val="clear" w:color="auto" w:fill="auto"/>
            <w:noWrap/>
            <w:vAlign w:val="bottom"/>
            <w:hideMark/>
          </w:tcPr>
          <w:p w14:paraId="4FE77DD5"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7ED3351C"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07A9601F"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7D93CF0" w14:textId="77777777" w:rsidR="00BE6461" w:rsidRPr="00BE6461" w:rsidRDefault="00BE6461" w:rsidP="00BE6461">
            <w:pPr>
              <w:jc w:val="right"/>
              <w:rPr>
                <w:sz w:val="20"/>
                <w:szCs w:val="20"/>
              </w:rPr>
            </w:pPr>
            <w:r w:rsidRPr="00BE6461">
              <w:rPr>
                <w:sz w:val="20"/>
                <w:szCs w:val="20"/>
              </w:rPr>
              <w:t>19.245,53</w:t>
            </w:r>
          </w:p>
        </w:tc>
        <w:tc>
          <w:tcPr>
            <w:tcW w:w="1100" w:type="dxa"/>
            <w:tcBorders>
              <w:top w:val="nil"/>
              <w:left w:val="nil"/>
              <w:bottom w:val="nil"/>
              <w:right w:val="nil"/>
            </w:tcBorders>
            <w:shd w:val="clear" w:color="auto" w:fill="auto"/>
            <w:noWrap/>
            <w:vAlign w:val="bottom"/>
            <w:hideMark/>
          </w:tcPr>
          <w:p w14:paraId="34037517" w14:textId="77777777" w:rsidR="00BE6461" w:rsidRPr="00BE6461" w:rsidRDefault="00BE6461" w:rsidP="00BE6461">
            <w:pPr>
              <w:jc w:val="right"/>
              <w:rPr>
                <w:sz w:val="20"/>
                <w:szCs w:val="20"/>
              </w:rPr>
            </w:pPr>
          </w:p>
        </w:tc>
      </w:tr>
      <w:tr w:rsidR="00BE6461" w:rsidRPr="00BE6461" w14:paraId="1631FB9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A378AA6" w14:textId="77777777" w:rsidR="00BE6461" w:rsidRPr="00BE6461" w:rsidRDefault="00BE6461" w:rsidP="00BE6461">
            <w:pPr>
              <w:rPr>
                <w:b/>
                <w:bCs/>
                <w:color w:val="333333"/>
                <w:sz w:val="20"/>
                <w:szCs w:val="20"/>
              </w:rPr>
            </w:pPr>
            <w:r w:rsidRPr="00BE6461">
              <w:rPr>
                <w:b/>
                <w:bCs/>
                <w:color w:val="333333"/>
                <w:sz w:val="20"/>
                <w:szCs w:val="20"/>
              </w:rPr>
              <w:t>Izvor 5. POMOĆI</w:t>
            </w:r>
          </w:p>
        </w:tc>
        <w:tc>
          <w:tcPr>
            <w:tcW w:w="1503" w:type="dxa"/>
            <w:tcBorders>
              <w:top w:val="nil"/>
              <w:left w:val="nil"/>
              <w:bottom w:val="nil"/>
              <w:right w:val="nil"/>
            </w:tcBorders>
            <w:shd w:val="clear" w:color="auto" w:fill="auto"/>
            <w:noWrap/>
            <w:vAlign w:val="bottom"/>
            <w:hideMark/>
          </w:tcPr>
          <w:p w14:paraId="0FCEC8AA" w14:textId="77777777" w:rsidR="00BE6461" w:rsidRPr="00BE6461" w:rsidRDefault="00BE6461" w:rsidP="00BE6461">
            <w:pPr>
              <w:jc w:val="right"/>
              <w:rPr>
                <w:b/>
                <w:bCs/>
                <w:color w:val="333333"/>
                <w:sz w:val="20"/>
                <w:szCs w:val="20"/>
              </w:rPr>
            </w:pPr>
            <w:r w:rsidRPr="00BE6461">
              <w:rPr>
                <w:b/>
                <w:bCs/>
                <w:color w:val="333333"/>
                <w:sz w:val="20"/>
                <w:szCs w:val="20"/>
              </w:rPr>
              <w:t>350.000,00</w:t>
            </w:r>
          </w:p>
        </w:tc>
        <w:tc>
          <w:tcPr>
            <w:tcW w:w="1500" w:type="dxa"/>
            <w:tcBorders>
              <w:top w:val="nil"/>
              <w:left w:val="nil"/>
              <w:bottom w:val="nil"/>
              <w:right w:val="nil"/>
            </w:tcBorders>
            <w:shd w:val="clear" w:color="auto" w:fill="auto"/>
            <w:noWrap/>
            <w:vAlign w:val="bottom"/>
            <w:hideMark/>
          </w:tcPr>
          <w:p w14:paraId="0AF4EABE" w14:textId="77777777" w:rsidR="00BE6461" w:rsidRPr="00BE6461" w:rsidRDefault="00BE6461" w:rsidP="00BE6461">
            <w:pPr>
              <w:jc w:val="right"/>
              <w:rPr>
                <w:b/>
                <w:bCs/>
                <w:color w:val="333333"/>
                <w:sz w:val="20"/>
                <w:szCs w:val="20"/>
              </w:rPr>
            </w:pPr>
            <w:r w:rsidRPr="00BE6461">
              <w:rPr>
                <w:b/>
                <w:bCs/>
                <w:color w:val="333333"/>
                <w:sz w:val="20"/>
                <w:szCs w:val="20"/>
              </w:rPr>
              <w:t>350.000,00</w:t>
            </w:r>
          </w:p>
        </w:tc>
        <w:tc>
          <w:tcPr>
            <w:tcW w:w="1100" w:type="dxa"/>
            <w:tcBorders>
              <w:top w:val="nil"/>
              <w:left w:val="nil"/>
              <w:bottom w:val="nil"/>
              <w:right w:val="nil"/>
            </w:tcBorders>
            <w:shd w:val="clear" w:color="auto" w:fill="auto"/>
            <w:noWrap/>
            <w:vAlign w:val="bottom"/>
            <w:hideMark/>
          </w:tcPr>
          <w:p w14:paraId="70DE2B59"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2E660C42"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68E2FF8" w14:textId="77777777" w:rsidR="00BE6461" w:rsidRPr="00BE6461" w:rsidRDefault="00BE6461" w:rsidP="00BE6461">
            <w:pPr>
              <w:rPr>
                <w:b/>
                <w:bCs/>
                <w:color w:val="333333"/>
                <w:sz w:val="20"/>
                <w:szCs w:val="20"/>
              </w:rPr>
            </w:pPr>
            <w:r w:rsidRPr="00BE6461">
              <w:rPr>
                <w:b/>
                <w:bCs/>
                <w:color w:val="333333"/>
                <w:sz w:val="20"/>
                <w:szCs w:val="20"/>
              </w:rPr>
              <w:t>Izvor 5.1. POMOĆI</w:t>
            </w:r>
          </w:p>
        </w:tc>
        <w:tc>
          <w:tcPr>
            <w:tcW w:w="1503" w:type="dxa"/>
            <w:tcBorders>
              <w:top w:val="nil"/>
              <w:left w:val="nil"/>
              <w:bottom w:val="nil"/>
              <w:right w:val="nil"/>
            </w:tcBorders>
            <w:shd w:val="clear" w:color="auto" w:fill="auto"/>
            <w:noWrap/>
            <w:vAlign w:val="bottom"/>
            <w:hideMark/>
          </w:tcPr>
          <w:p w14:paraId="67D2FB95" w14:textId="77777777" w:rsidR="00BE6461" w:rsidRPr="00BE6461" w:rsidRDefault="00BE6461" w:rsidP="00BE6461">
            <w:pPr>
              <w:jc w:val="right"/>
              <w:rPr>
                <w:b/>
                <w:bCs/>
                <w:color w:val="333333"/>
                <w:sz w:val="20"/>
                <w:szCs w:val="20"/>
              </w:rPr>
            </w:pPr>
            <w:r w:rsidRPr="00BE6461">
              <w:rPr>
                <w:b/>
                <w:bCs/>
                <w:color w:val="333333"/>
                <w:sz w:val="20"/>
                <w:szCs w:val="20"/>
              </w:rPr>
              <w:t>350.000,00</w:t>
            </w:r>
          </w:p>
        </w:tc>
        <w:tc>
          <w:tcPr>
            <w:tcW w:w="1500" w:type="dxa"/>
            <w:tcBorders>
              <w:top w:val="nil"/>
              <w:left w:val="nil"/>
              <w:bottom w:val="nil"/>
              <w:right w:val="nil"/>
            </w:tcBorders>
            <w:shd w:val="clear" w:color="auto" w:fill="auto"/>
            <w:noWrap/>
            <w:vAlign w:val="bottom"/>
            <w:hideMark/>
          </w:tcPr>
          <w:p w14:paraId="240A6FB4" w14:textId="77777777" w:rsidR="00BE6461" w:rsidRPr="00BE6461" w:rsidRDefault="00BE6461" w:rsidP="00BE6461">
            <w:pPr>
              <w:jc w:val="right"/>
              <w:rPr>
                <w:b/>
                <w:bCs/>
                <w:color w:val="333333"/>
                <w:sz w:val="20"/>
                <w:szCs w:val="20"/>
              </w:rPr>
            </w:pPr>
            <w:r w:rsidRPr="00BE6461">
              <w:rPr>
                <w:b/>
                <w:bCs/>
                <w:color w:val="333333"/>
                <w:sz w:val="20"/>
                <w:szCs w:val="20"/>
              </w:rPr>
              <w:t>350.000,00</w:t>
            </w:r>
          </w:p>
        </w:tc>
        <w:tc>
          <w:tcPr>
            <w:tcW w:w="1100" w:type="dxa"/>
            <w:tcBorders>
              <w:top w:val="nil"/>
              <w:left w:val="nil"/>
              <w:bottom w:val="nil"/>
              <w:right w:val="nil"/>
            </w:tcBorders>
            <w:shd w:val="clear" w:color="auto" w:fill="auto"/>
            <w:noWrap/>
            <w:vAlign w:val="bottom"/>
            <w:hideMark/>
          </w:tcPr>
          <w:p w14:paraId="3F6C076F"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7BF0E5D9" w14:textId="77777777" w:rsidTr="00BE6461">
        <w:trPr>
          <w:trHeight w:val="300"/>
        </w:trPr>
        <w:tc>
          <w:tcPr>
            <w:tcW w:w="1703" w:type="dxa"/>
            <w:tcBorders>
              <w:top w:val="nil"/>
              <w:left w:val="nil"/>
              <w:bottom w:val="nil"/>
              <w:right w:val="nil"/>
            </w:tcBorders>
            <w:shd w:val="clear" w:color="auto" w:fill="auto"/>
            <w:noWrap/>
            <w:vAlign w:val="bottom"/>
            <w:hideMark/>
          </w:tcPr>
          <w:p w14:paraId="1BF11F23" w14:textId="77777777" w:rsidR="00BE6461" w:rsidRPr="00BE6461" w:rsidRDefault="00BE6461" w:rsidP="00BE6461">
            <w:pPr>
              <w:rPr>
                <w:b/>
                <w:bCs/>
                <w:sz w:val="20"/>
                <w:szCs w:val="20"/>
              </w:rPr>
            </w:pPr>
            <w:r w:rsidRPr="00BE6461">
              <w:rPr>
                <w:b/>
                <w:bCs/>
                <w:sz w:val="20"/>
                <w:szCs w:val="20"/>
              </w:rPr>
              <w:t>421</w:t>
            </w:r>
          </w:p>
        </w:tc>
        <w:tc>
          <w:tcPr>
            <w:tcW w:w="8457" w:type="dxa"/>
            <w:tcBorders>
              <w:top w:val="nil"/>
              <w:left w:val="nil"/>
              <w:bottom w:val="nil"/>
              <w:right w:val="nil"/>
            </w:tcBorders>
            <w:shd w:val="clear" w:color="auto" w:fill="auto"/>
            <w:vAlign w:val="bottom"/>
            <w:hideMark/>
          </w:tcPr>
          <w:p w14:paraId="0C444F6B" w14:textId="77777777" w:rsidR="00BE6461" w:rsidRPr="00BE6461" w:rsidRDefault="00BE6461" w:rsidP="00BE6461">
            <w:pPr>
              <w:rPr>
                <w:b/>
                <w:bCs/>
                <w:sz w:val="20"/>
                <w:szCs w:val="20"/>
              </w:rPr>
            </w:pPr>
            <w:r w:rsidRPr="00BE6461">
              <w:rPr>
                <w:b/>
                <w:bCs/>
                <w:sz w:val="20"/>
                <w:szCs w:val="20"/>
              </w:rPr>
              <w:t xml:space="preserve">Građevinski objekti                                                                                 </w:t>
            </w:r>
          </w:p>
        </w:tc>
        <w:tc>
          <w:tcPr>
            <w:tcW w:w="1503" w:type="dxa"/>
            <w:tcBorders>
              <w:top w:val="nil"/>
              <w:left w:val="nil"/>
              <w:bottom w:val="nil"/>
              <w:right w:val="nil"/>
            </w:tcBorders>
            <w:shd w:val="clear" w:color="auto" w:fill="auto"/>
            <w:noWrap/>
            <w:vAlign w:val="bottom"/>
            <w:hideMark/>
          </w:tcPr>
          <w:p w14:paraId="33A77D36" w14:textId="77777777" w:rsidR="00BE6461" w:rsidRPr="00BE6461" w:rsidRDefault="00BE6461" w:rsidP="00BE6461">
            <w:pPr>
              <w:jc w:val="right"/>
              <w:rPr>
                <w:b/>
                <w:bCs/>
                <w:sz w:val="20"/>
                <w:szCs w:val="20"/>
              </w:rPr>
            </w:pPr>
            <w:r w:rsidRPr="00BE6461">
              <w:rPr>
                <w:b/>
                <w:bCs/>
                <w:sz w:val="20"/>
                <w:szCs w:val="20"/>
              </w:rPr>
              <w:t>350.000,00</w:t>
            </w:r>
          </w:p>
        </w:tc>
        <w:tc>
          <w:tcPr>
            <w:tcW w:w="1500" w:type="dxa"/>
            <w:tcBorders>
              <w:top w:val="nil"/>
              <w:left w:val="nil"/>
              <w:bottom w:val="nil"/>
              <w:right w:val="nil"/>
            </w:tcBorders>
            <w:shd w:val="clear" w:color="auto" w:fill="auto"/>
            <w:noWrap/>
            <w:vAlign w:val="bottom"/>
            <w:hideMark/>
          </w:tcPr>
          <w:p w14:paraId="3B7B4314" w14:textId="77777777" w:rsidR="00BE6461" w:rsidRPr="00BE6461" w:rsidRDefault="00BE6461" w:rsidP="00BE6461">
            <w:pPr>
              <w:jc w:val="right"/>
              <w:rPr>
                <w:b/>
                <w:bCs/>
                <w:sz w:val="20"/>
                <w:szCs w:val="20"/>
              </w:rPr>
            </w:pPr>
            <w:r w:rsidRPr="00BE6461">
              <w:rPr>
                <w:b/>
                <w:bCs/>
                <w:sz w:val="20"/>
                <w:szCs w:val="20"/>
              </w:rPr>
              <w:t>350.000,00</w:t>
            </w:r>
          </w:p>
        </w:tc>
        <w:tc>
          <w:tcPr>
            <w:tcW w:w="1100" w:type="dxa"/>
            <w:tcBorders>
              <w:top w:val="nil"/>
              <w:left w:val="nil"/>
              <w:bottom w:val="nil"/>
              <w:right w:val="nil"/>
            </w:tcBorders>
            <w:shd w:val="clear" w:color="auto" w:fill="auto"/>
            <w:noWrap/>
            <w:vAlign w:val="bottom"/>
            <w:hideMark/>
          </w:tcPr>
          <w:p w14:paraId="02C93488"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50EC4C9B" w14:textId="77777777" w:rsidTr="00BE6461">
        <w:trPr>
          <w:trHeight w:val="300"/>
        </w:trPr>
        <w:tc>
          <w:tcPr>
            <w:tcW w:w="1703" w:type="dxa"/>
            <w:tcBorders>
              <w:top w:val="nil"/>
              <w:left w:val="nil"/>
              <w:bottom w:val="nil"/>
              <w:right w:val="nil"/>
            </w:tcBorders>
            <w:shd w:val="clear" w:color="auto" w:fill="auto"/>
            <w:noWrap/>
            <w:vAlign w:val="bottom"/>
            <w:hideMark/>
          </w:tcPr>
          <w:p w14:paraId="63AEA89F" w14:textId="77777777" w:rsidR="00BE6461" w:rsidRPr="00BE6461" w:rsidRDefault="00BE6461" w:rsidP="00BE6461">
            <w:pPr>
              <w:rPr>
                <w:sz w:val="20"/>
                <w:szCs w:val="20"/>
              </w:rPr>
            </w:pPr>
            <w:r w:rsidRPr="00BE6461">
              <w:rPr>
                <w:sz w:val="20"/>
                <w:szCs w:val="20"/>
              </w:rPr>
              <w:t>4214</w:t>
            </w:r>
          </w:p>
        </w:tc>
        <w:tc>
          <w:tcPr>
            <w:tcW w:w="8457" w:type="dxa"/>
            <w:tcBorders>
              <w:top w:val="nil"/>
              <w:left w:val="nil"/>
              <w:bottom w:val="nil"/>
              <w:right w:val="nil"/>
            </w:tcBorders>
            <w:shd w:val="clear" w:color="auto" w:fill="auto"/>
            <w:vAlign w:val="bottom"/>
            <w:hideMark/>
          </w:tcPr>
          <w:p w14:paraId="3E87D72B" w14:textId="77777777" w:rsidR="00BE6461" w:rsidRPr="00BE6461" w:rsidRDefault="00BE6461" w:rsidP="00BE6461">
            <w:pPr>
              <w:rPr>
                <w:sz w:val="20"/>
                <w:szCs w:val="20"/>
              </w:rPr>
            </w:pPr>
            <w:r w:rsidRPr="00BE6461">
              <w:rPr>
                <w:sz w:val="20"/>
                <w:szCs w:val="20"/>
              </w:rPr>
              <w:t xml:space="preserve">Ostali građevinski objekti                                                                          </w:t>
            </w:r>
          </w:p>
        </w:tc>
        <w:tc>
          <w:tcPr>
            <w:tcW w:w="1503" w:type="dxa"/>
            <w:tcBorders>
              <w:top w:val="nil"/>
              <w:left w:val="nil"/>
              <w:bottom w:val="nil"/>
              <w:right w:val="nil"/>
            </w:tcBorders>
            <w:shd w:val="clear" w:color="auto" w:fill="auto"/>
            <w:noWrap/>
            <w:vAlign w:val="bottom"/>
            <w:hideMark/>
          </w:tcPr>
          <w:p w14:paraId="7C566CAD"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A9423CF" w14:textId="77777777" w:rsidR="00BE6461" w:rsidRPr="00BE6461" w:rsidRDefault="00BE6461" w:rsidP="00BE6461">
            <w:pPr>
              <w:jc w:val="right"/>
              <w:rPr>
                <w:sz w:val="20"/>
                <w:szCs w:val="20"/>
              </w:rPr>
            </w:pPr>
            <w:r w:rsidRPr="00BE6461">
              <w:rPr>
                <w:sz w:val="20"/>
                <w:szCs w:val="20"/>
              </w:rPr>
              <w:t>350.000,00</w:t>
            </w:r>
          </w:p>
        </w:tc>
        <w:tc>
          <w:tcPr>
            <w:tcW w:w="1100" w:type="dxa"/>
            <w:tcBorders>
              <w:top w:val="nil"/>
              <w:left w:val="nil"/>
              <w:bottom w:val="nil"/>
              <w:right w:val="nil"/>
            </w:tcBorders>
            <w:shd w:val="clear" w:color="auto" w:fill="auto"/>
            <w:noWrap/>
            <w:vAlign w:val="bottom"/>
            <w:hideMark/>
          </w:tcPr>
          <w:p w14:paraId="402E7286" w14:textId="77777777" w:rsidR="00BE6461" w:rsidRPr="00BE6461" w:rsidRDefault="00BE6461" w:rsidP="00BE6461">
            <w:pPr>
              <w:jc w:val="right"/>
              <w:rPr>
                <w:sz w:val="20"/>
                <w:szCs w:val="20"/>
              </w:rPr>
            </w:pPr>
          </w:p>
        </w:tc>
      </w:tr>
      <w:tr w:rsidR="00BE6461" w:rsidRPr="00BE6461" w14:paraId="510E1D0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443AC8E" w14:textId="77777777" w:rsidR="00BE6461" w:rsidRPr="00BE6461" w:rsidRDefault="00BE6461" w:rsidP="00BE6461">
            <w:pPr>
              <w:rPr>
                <w:b/>
                <w:bCs/>
                <w:color w:val="333333"/>
                <w:sz w:val="20"/>
                <w:szCs w:val="20"/>
              </w:rPr>
            </w:pPr>
            <w:r w:rsidRPr="00BE6461">
              <w:rPr>
                <w:b/>
                <w:bCs/>
                <w:color w:val="333333"/>
                <w:sz w:val="20"/>
                <w:szCs w:val="20"/>
              </w:rPr>
              <w:t>Izvor 7. PRIHODI OD NEFIN.IMOVINE I NADOKNADE ŠTETA OD OSIG.</w:t>
            </w:r>
          </w:p>
        </w:tc>
        <w:tc>
          <w:tcPr>
            <w:tcW w:w="1503" w:type="dxa"/>
            <w:tcBorders>
              <w:top w:val="nil"/>
              <w:left w:val="nil"/>
              <w:bottom w:val="nil"/>
              <w:right w:val="nil"/>
            </w:tcBorders>
            <w:shd w:val="clear" w:color="auto" w:fill="auto"/>
            <w:noWrap/>
            <w:vAlign w:val="bottom"/>
            <w:hideMark/>
          </w:tcPr>
          <w:p w14:paraId="033F79B0" w14:textId="77777777" w:rsidR="00BE6461" w:rsidRPr="00BE6461" w:rsidRDefault="00BE6461" w:rsidP="00BE6461">
            <w:pPr>
              <w:jc w:val="right"/>
              <w:rPr>
                <w:b/>
                <w:bCs/>
                <w:color w:val="333333"/>
                <w:sz w:val="20"/>
                <w:szCs w:val="20"/>
              </w:rPr>
            </w:pPr>
            <w:r w:rsidRPr="00BE6461">
              <w:rPr>
                <w:b/>
                <w:bCs/>
                <w:color w:val="333333"/>
                <w:sz w:val="20"/>
                <w:szCs w:val="20"/>
              </w:rPr>
              <w:t>86.812,50</w:t>
            </w:r>
          </w:p>
        </w:tc>
        <w:tc>
          <w:tcPr>
            <w:tcW w:w="1500" w:type="dxa"/>
            <w:tcBorders>
              <w:top w:val="nil"/>
              <w:left w:val="nil"/>
              <w:bottom w:val="nil"/>
              <w:right w:val="nil"/>
            </w:tcBorders>
            <w:shd w:val="clear" w:color="auto" w:fill="auto"/>
            <w:noWrap/>
            <w:vAlign w:val="bottom"/>
            <w:hideMark/>
          </w:tcPr>
          <w:p w14:paraId="352C0DF5" w14:textId="77777777" w:rsidR="00BE6461" w:rsidRPr="00BE6461" w:rsidRDefault="00BE6461" w:rsidP="00BE6461">
            <w:pPr>
              <w:jc w:val="right"/>
              <w:rPr>
                <w:b/>
                <w:bCs/>
                <w:color w:val="333333"/>
                <w:sz w:val="20"/>
                <w:szCs w:val="20"/>
              </w:rPr>
            </w:pPr>
            <w:r w:rsidRPr="00BE6461">
              <w:rPr>
                <w:b/>
                <w:bCs/>
                <w:color w:val="333333"/>
                <w:sz w:val="20"/>
                <w:szCs w:val="20"/>
              </w:rPr>
              <w:t>69.475,00</w:t>
            </w:r>
          </w:p>
        </w:tc>
        <w:tc>
          <w:tcPr>
            <w:tcW w:w="1100" w:type="dxa"/>
            <w:tcBorders>
              <w:top w:val="nil"/>
              <w:left w:val="nil"/>
              <w:bottom w:val="nil"/>
              <w:right w:val="nil"/>
            </w:tcBorders>
            <w:shd w:val="clear" w:color="auto" w:fill="auto"/>
            <w:noWrap/>
            <w:vAlign w:val="bottom"/>
            <w:hideMark/>
          </w:tcPr>
          <w:p w14:paraId="7620529C" w14:textId="77777777" w:rsidR="00BE6461" w:rsidRPr="00BE6461" w:rsidRDefault="00BE6461" w:rsidP="00BE6461">
            <w:pPr>
              <w:jc w:val="right"/>
              <w:rPr>
                <w:b/>
                <w:bCs/>
                <w:color w:val="333333"/>
                <w:sz w:val="20"/>
                <w:szCs w:val="20"/>
              </w:rPr>
            </w:pPr>
            <w:r w:rsidRPr="00BE6461">
              <w:rPr>
                <w:b/>
                <w:bCs/>
                <w:color w:val="333333"/>
                <w:sz w:val="20"/>
                <w:szCs w:val="20"/>
              </w:rPr>
              <w:t>80,03</w:t>
            </w:r>
          </w:p>
        </w:tc>
      </w:tr>
      <w:tr w:rsidR="00BE6461" w:rsidRPr="00BE6461" w14:paraId="0E917B6E"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57BDD20" w14:textId="77777777" w:rsidR="00BE6461" w:rsidRPr="00BE6461" w:rsidRDefault="00BE6461" w:rsidP="00BE6461">
            <w:pPr>
              <w:rPr>
                <w:b/>
                <w:bCs/>
                <w:color w:val="333333"/>
                <w:sz w:val="20"/>
                <w:szCs w:val="20"/>
              </w:rPr>
            </w:pPr>
            <w:r w:rsidRPr="00BE6461">
              <w:rPr>
                <w:b/>
                <w:bCs/>
                <w:color w:val="333333"/>
                <w:sz w:val="20"/>
                <w:szCs w:val="20"/>
              </w:rPr>
              <w:t>Izvor 7.1. PRIHODI OD NEFIN.IMOVINE I NADOKNADE ŠTETA OD OSIG.</w:t>
            </w:r>
          </w:p>
        </w:tc>
        <w:tc>
          <w:tcPr>
            <w:tcW w:w="1503" w:type="dxa"/>
            <w:tcBorders>
              <w:top w:val="nil"/>
              <w:left w:val="nil"/>
              <w:bottom w:val="nil"/>
              <w:right w:val="nil"/>
            </w:tcBorders>
            <w:shd w:val="clear" w:color="auto" w:fill="auto"/>
            <w:noWrap/>
            <w:vAlign w:val="bottom"/>
            <w:hideMark/>
          </w:tcPr>
          <w:p w14:paraId="1BDED0B8" w14:textId="77777777" w:rsidR="00BE6461" w:rsidRPr="00BE6461" w:rsidRDefault="00BE6461" w:rsidP="00BE6461">
            <w:pPr>
              <w:jc w:val="right"/>
              <w:rPr>
                <w:b/>
                <w:bCs/>
                <w:color w:val="333333"/>
                <w:sz w:val="20"/>
                <w:szCs w:val="20"/>
              </w:rPr>
            </w:pPr>
            <w:r w:rsidRPr="00BE6461">
              <w:rPr>
                <w:b/>
                <w:bCs/>
                <w:color w:val="333333"/>
                <w:sz w:val="20"/>
                <w:szCs w:val="20"/>
              </w:rPr>
              <w:t>86.812,50</w:t>
            </w:r>
          </w:p>
        </w:tc>
        <w:tc>
          <w:tcPr>
            <w:tcW w:w="1500" w:type="dxa"/>
            <w:tcBorders>
              <w:top w:val="nil"/>
              <w:left w:val="nil"/>
              <w:bottom w:val="nil"/>
              <w:right w:val="nil"/>
            </w:tcBorders>
            <w:shd w:val="clear" w:color="auto" w:fill="auto"/>
            <w:noWrap/>
            <w:vAlign w:val="bottom"/>
            <w:hideMark/>
          </w:tcPr>
          <w:p w14:paraId="4DF9F03F" w14:textId="77777777" w:rsidR="00BE6461" w:rsidRPr="00BE6461" w:rsidRDefault="00BE6461" w:rsidP="00BE6461">
            <w:pPr>
              <w:jc w:val="right"/>
              <w:rPr>
                <w:b/>
                <w:bCs/>
                <w:color w:val="333333"/>
                <w:sz w:val="20"/>
                <w:szCs w:val="20"/>
              </w:rPr>
            </w:pPr>
            <w:r w:rsidRPr="00BE6461">
              <w:rPr>
                <w:b/>
                <w:bCs/>
                <w:color w:val="333333"/>
                <w:sz w:val="20"/>
                <w:szCs w:val="20"/>
              </w:rPr>
              <w:t>69.475,00</w:t>
            </w:r>
          </w:p>
        </w:tc>
        <w:tc>
          <w:tcPr>
            <w:tcW w:w="1100" w:type="dxa"/>
            <w:tcBorders>
              <w:top w:val="nil"/>
              <w:left w:val="nil"/>
              <w:bottom w:val="nil"/>
              <w:right w:val="nil"/>
            </w:tcBorders>
            <w:shd w:val="clear" w:color="auto" w:fill="auto"/>
            <w:noWrap/>
            <w:vAlign w:val="bottom"/>
            <w:hideMark/>
          </w:tcPr>
          <w:p w14:paraId="08826CB8" w14:textId="77777777" w:rsidR="00BE6461" w:rsidRPr="00BE6461" w:rsidRDefault="00BE6461" w:rsidP="00BE6461">
            <w:pPr>
              <w:jc w:val="right"/>
              <w:rPr>
                <w:b/>
                <w:bCs/>
                <w:color w:val="333333"/>
                <w:sz w:val="20"/>
                <w:szCs w:val="20"/>
              </w:rPr>
            </w:pPr>
            <w:r w:rsidRPr="00BE6461">
              <w:rPr>
                <w:b/>
                <w:bCs/>
                <w:color w:val="333333"/>
                <w:sz w:val="20"/>
                <w:szCs w:val="20"/>
              </w:rPr>
              <w:t>80,03</w:t>
            </w:r>
          </w:p>
        </w:tc>
      </w:tr>
      <w:tr w:rsidR="00BE6461" w:rsidRPr="00BE6461" w14:paraId="265CA43F" w14:textId="77777777" w:rsidTr="00BE6461">
        <w:trPr>
          <w:trHeight w:val="300"/>
        </w:trPr>
        <w:tc>
          <w:tcPr>
            <w:tcW w:w="1703" w:type="dxa"/>
            <w:tcBorders>
              <w:top w:val="nil"/>
              <w:left w:val="nil"/>
              <w:bottom w:val="nil"/>
              <w:right w:val="nil"/>
            </w:tcBorders>
            <w:shd w:val="clear" w:color="auto" w:fill="auto"/>
            <w:noWrap/>
            <w:vAlign w:val="bottom"/>
            <w:hideMark/>
          </w:tcPr>
          <w:p w14:paraId="7E38E15B" w14:textId="77777777" w:rsidR="00BE6461" w:rsidRPr="00BE6461" w:rsidRDefault="00BE6461" w:rsidP="00BE6461">
            <w:pPr>
              <w:rPr>
                <w:b/>
                <w:bCs/>
                <w:sz w:val="20"/>
                <w:szCs w:val="20"/>
              </w:rPr>
            </w:pPr>
            <w:r w:rsidRPr="00BE6461">
              <w:rPr>
                <w:b/>
                <w:bCs/>
                <w:sz w:val="20"/>
                <w:szCs w:val="20"/>
              </w:rPr>
              <w:t>421</w:t>
            </w:r>
          </w:p>
        </w:tc>
        <w:tc>
          <w:tcPr>
            <w:tcW w:w="8457" w:type="dxa"/>
            <w:tcBorders>
              <w:top w:val="nil"/>
              <w:left w:val="nil"/>
              <w:bottom w:val="nil"/>
              <w:right w:val="nil"/>
            </w:tcBorders>
            <w:shd w:val="clear" w:color="auto" w:fill="auto"/>
            <w:vAlign w:val="bottom"/>
            <w:hideMark/>
          </w:tcPr>
          <w:p w14:paraId="672A5B50" w14:textId="77777777" w:rsidR="00BE6461" w:rsidRPr="00BE6461" w:rsidRDefault="00BE6461" w:rsidP="00BE6461">
            <w:pPr>
              <w:rPr>
                <w:b/>
                <w:bCs/>
                <w:sz w:val="20"/>
                <w:szCs w:val="20"/>
              </w:rPr>
            </w:pPr>
            <w:r w:rsidRPr="00BE6461">
              <w:rPr>
                <w:b/>
                <w:bCs/>
                <w:sz w:val="20"/>
                <w:szCs w:val="20"/>
              </w:rPr>
              <w:t xml:space="preserve">Građevinski objekti                                                                                 </w:t>
            </w:r>
          </w:p>
        </w:tc>
        <w:tc>
          <w:tcPr>
            <w:tcW w:w="1503" w:type="dxa"/>
            <w:tcBorders>
              <w:top w:val="nil"/>
              <w:left w:val="nil"/>
              <w:bottom w:val="nil"/>
              <w:right w:val="nil"/>
            </w:tcBorders>
            <w:shd w:val="clear" w:color="auto" w:fill="auto"/>
            <w:noWrap/>
            <w:vAlign w:val="bottom"/>
            <w:hideMark/>
          </w:tcPr>
          <w:p w14:paraId="5EFE049F" w14:textId="77777777" w:rsidR="00BE6461" w:rsidRPr="00BE6461" w:rsidRDefault="00BE6461" w:rsidP="00BE6461">
            <w:pPr>
              <w:jc w:val="right"/>
              <w:rPr>
                <w:b/>
                <w:bCs/>
                <w:sz w:val="20"/>
                <w:szCs w:val="20"/>
              </w:rPr>
            </w:pPr>
            <w:r w:rsidRPr="00BE6461">
              <w:rPr>
                <w:b/>
                <w:bCs/>
                <w:sz w:val="20"/>
                <w:szCs w:val="20"/>
              </w:rPr>
              <w:t>86.812,50</w:t>
            </w:r>
          </w:p>
        </w:tc>
        <w:tc>
          <w:tcPr>
            <w:tcW w:w="1500" w:type="dxa"/>
            <w:tcBorders>
              <w:top w:val="nil"/>
              <w:left w:val="nil"/>
              <w:bottom w:val="nil"/>
              <w:right w:val="nil"/>
            </w:tcBorders>
            <w:shd w:val="clear" w:color="auto" w:fill="auto"/>
            <w:noWrap/>
            <w:vAlign w:val="bottom"/>
            <w:hideMark/>
          </w:tcPr>
          <w:p w14:paraId="52042B91" w14:textId="77777777" w:rsidR="00BE6461" w:rsidRPr="00BE6461" w:rsidRDefault="00BE6461" w:rsidP="00BE6461">
            <w:pPr>
              <w:jc w:val="right"/>
              <w:rPr>
                <w:b/>
                <w:bCs/>
                <w:sz w:val="20"/>
                <w:szCs w:val="20"/>
              </w:rPr>
            </w:pPr>
            <w:r w:rsidRPr="00BE6461">
              <w:rPr>
                <w:b/>
                <w:bCs/>
                <w:sz w:val="20"/>
                <w:szCs w:val="20"/>
              </w:rPr>
              <w:t>69.475,00</w:t>
            </w:r>
          </w:p>
        </w:tc>
        <w:tc>
          <w:tcPr>
            <w:tcW w:w="1100" w:type="dxa"/>
            <w:tcBorders>
              <w:top w:val="nil"/>
              <w:left w:val="nil"/>
              <w:bottom w:val="nil"/>
              <w:right w:val="nil"/>
            </w:tcBorders>
            <w:shd w:val="clear" w:color="auto" w:fill="auto"/>
            <w:noWrap/>
            <w:vAlign w:val="bottom"/>
            <w:hideMark/>
          </w:tcPr>
          <w:p w14:paraId="0508316C" w14:textId="77777777" w:rsidR="00BE6461" w:rsidRPr="00BE6461" w:rsidRDefault="00BE6461" w:rsidP="00BE6461">
            <w:pPr>
              <w:jc w:val="right"/>
              <w:rPr>
                <w:b/>
                <w:bCs/>
                <w:sz w:val="20"/>
                <w:szCs w:val="20"/>
              </w:rPr>
            </w:pPr>
            <w:r w:rsidRPr="00BE6461">
              <w:rPr>
                <w:b/>
                <w:bCs/>
                <w:sz w:val="20"/>
                <w:szCs w:val="20"/>
              </w:rPr>
              <w:t>80,03</w:t>
            </w:r>
          </w:p>
        </w:tc>
      </w:tr>
      <w:tr w:rsidR="00BE6461" w:rsidRPr="00BE6461" w14:paraId="7BCB3962" w14:textId="77777777" w:rsidTr="00BE6461">
        <w:trPr>
          <w:trHeight w:val="300"/>
        </w:trPr>
        <w:tc>
          <w:tcPr>
            <w:tcW w:w="1703" w:type="dxa"/>
            <w:tcBorders>
              <w:top w:val="nil"/>
              <w:left w:val="nil"/>
              <w:bottom w:val="nil"/>
              <w:right w:val="nil"/>
            </w:tcBorders>
            <w:shd w:val="clear" w:color="auto" w:fill="auto"/>
            <w:noWrap/>
            <w:vAlign w:val="bottom"/>
            <w:hideMark/>
          </w:tcPr>
          <w:p w14:paraId="4B15DE93" w14:textId="77777777" w:rsidR="00BE6461" w:rsidRPr="00BE6461" w:rsidRDefault="00BE6461" w:rsidP="00BE6461">
            <w:pPr>
              <w:rPr>
                <w:sz w:val="20"/>
                <w:szCs w:val="20"/>
              </w:rPr>
            </w:pPr>
            <w:r w:rsidRPr="00BE6461">
              <w:rPr>
                <w:sz w:val="20"/>
                <w:szCs w:val="20"/>
              </w:rPr>
              <w:t>4214</w:t>
            </w:r>
          </w:p>
        </w:tc>
        <w:tc>
          <w:tcPr>
            <w:tcW w:w="8457" w:type="dxa"/>
            <w:tcBorders>
              <w:top w:val="nil"/>
              <w:left w:val="nil"/>
              <w:bottom w:val="nil"/>
              <w:right w:val="nil"/>
            </w:tcBorders>
            <w:shd w:val="clear" w:color="auto" w:fill="auto"/>
            <w:vAlign w:val="bottom"/>
            <w:hideMark/>
          </w:tcPr>
          <w:p w14:paraId="21089781" w14:textId="77777777" w:rsidR="00BE6461" w:rsidRPr="00BE6461" w:rsidRDefault="00BE6461" w:rsidP="00BE6461">
            <w:pPr>
              <w:rPr>
                <w:sz w:val="20"/>
                <w:szCs w:val="20"/>
              </w:rPr>
            </w:pPr>
            <w:r w:rsidRPr="00BE6461">
              <w:rPr>
                <w:sz w:val="20"/>
                <w:szCs w:val="20"/>
              </w:rPr>
              <w:t xml:space="preserve">Ostali građevinski objekti                                                                          </w:t>
            </w:r>
          </w:p>
        </w:tc>
        <w:tc>
          <w:tcPr>
            <w:tcW w:w="1503" w:type="dxa"/>
            <w:tcBorders>
              <w:top w:val="nil"/>
              <w:left w:val="nil"/>
              <w:bottom w:val="nil"/>
              <w:right w:val="nil"/>
            </w:tcBorders>
            <w:shd w:val="clear" w:color="auto" w:fill="auto"/>
            <w:noWrap/>
            <w:vAlign w:val="bottom"/>
            <w:hideMark/>
          </w:tcPr>
          <w:p w14:paraId="61A8EB2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85144D4" w14:textId="77777777" w:rsidR="00BE6461" w:rsidRPr="00BE6461" w:rsidRDefault="00BE6461" w:rsidP="00BE6461">
            <w:pPr>
              <w:jc w:val="right"/>
              <w:rPr>
                <w:sz w:val="20"/>
                <w:szCs w:val="20"/>
              </w:rPr>
            </w:pPr>
            <w:r w:rsidRPr="00BE6461">
              <w:rPr>
                <w:sz w:val="20"/>
                <w:szCs w:val="20"/>
              </w:rPr>
              <w:t>69.475,00</w:t>
            </w:r>
          </w:p>
        </w:tc>
        <w:tc>
          <w:tcPr>
            <w:tcW w:w="1100" w:type="dxa"/>
            <w:tcBorders>
              <w:top w:val="nil"/>
              <w:left w:val="nil"/>
              <w:bottom w:val="nil"/>
              <w:right w:val="nil"/>
            </w:tcBorders>
            <w:shd w:val="clear" w:color="auto" w:fill="auto"/>
            <w:noWrap/>
            <w:vAlign w:val="bottom"/>
            <w:hideMark/>
          </w:tcPr>
          <w:p w14:paraId="50CA4BD0" w14:textId="77777777" w:rsidR="00BE6461" w:rsidRPr="00BE6461" w:rsidRDefault="00BE6461" w:rsidP="00BE6461">
            <w:pPr>
              <w:jc w:val="right"/>
              <w:rPr>
                <w:sz w:val="20"/>
                <w:szCs w:val="20"/>
              </w:rPr>
            </w:pPr>
          </w:p>
        </w:tc>
      </w:tr>
      <w:tr w:rsidR="00BE6461" w:rsidRPr="00BE6461" w14:paraId="6179E6F8"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3E65681A" w14:textId="77777777" w:rsidR="00BE6461" w:rsidRPr="00BE6461" w:rsidRDefault="00BE6461" w:rsidP="00BE6461">
            <w:pPr>
              <w:rPr>
                <w:b/>
                <w:bCs/>
                <w:sz w:val="20"/>
                <w:szCs w:val="20"/>
              </w:rPr>
            </w:pPr>
            <w:r w:rsidRPr="00BE6461">
              <w:rPr>
                <w:b/>
                <w:bCs/>
                <w:sz w:val="20"/>
                <w:szCs w:val="20"/>
              </w:rPr>
              <w:t>K300006</w:t>
            </w:r>
          </w:p>
        </w:tc>
        <w:tc>
          <w:tcPr>
            <w:tcW w:w="8457" w:type="dxa"/>
            <w:tcBorders>
              <w:top w:val="single" w:sz="4" w:space="0" w:color="auto"/>
              <w:left w:val="nil"/>
              <w:bottom w:val="single" w:sz="4" w:space="0" w:color="auto"/>
              <w:right w:val="nil"/>
            </w:tcBorders>
            <w:shd w:val="clear" w:color="auto" w:fill="auto"/>
            <w:vAlign w:val="bottom"/>
            <w:hideMark/>
          </w:tcPr>
          <w:p w14:paraId="53577EE4" w14:textId="77777777" w:rsidR="00BE6461" w:rsidRPr="00BE6461" w:rsidRDefault="00BE6461" w:rsidP="00BE6461">
            <w:pPr>
              <w:rPr>
                <w:b/>
                <w:bCs/>
                <w:sz w:val="20"/>
                <w:szCs w:val="20"/>
              </w:rPr>
            </w:pPr>
            <w:r w:rsidRPr="00BE6461">
              <w:rPr>
                <w:b/>
                <w:bCs/>
                <w:sz w:val="20"/>
                <w:szCs w:val="20"/>
              </w:rPr>
              <w:t>Kapitalni projekt: OTKUP I ZAMJENA NEKRETNINA</w:t>
            </w:r>
          </w:p>
        </w:tc>
        <w:tc>
          <w:tcPr>
            <w:tcW w:w="1503" w:type="dxa"/>
            <w:tcBorders>
              <w:top w:val="single" w:sz="4" w:space="0" w:color="auto"/>
              <w:left w:val="nil"/>
              <w:bottom w:val="single" w:sz="4" w:space="0" w:color="auto"/>
              <w:right w:val="nil"/>
            </w:tcBorders>
            <w:shd w:val="clear" w:color="auto" w:fill="auto"/>
            <w:noWrap/>
            <w:vAlign w:val="bottom"/>
            <w:hideMark/>
          </w:tcPr>
          <w:p w14:paraId="5EABDBAD" w14:textId="77777777" w:rsidR="00BE6461" w:rsidRPr="00BE6461" w:rsidRDefault="00BE6461" w:rsidP="00BE6461">
            <w:pPr>
              <w:jc w:val="right"/>
              <w:rPr>
                <w:b/>
                <w:bCs/>
                <w:sz w:val="20"/>
                <w:szCs w:val="20"/>
              </w:rPr>
            </w:pPr>
            <w:r w:rsidRPr="00BE6461">
              <w:rPr>
                <w:b/>
                <w:bCs/>
                <w:sz w:val="20"/>
                <w:szCs w:val="20"/>
              </w:rPr>
              <w:t>797.585,81</w:t>
            </w:r>
          </w:p>
        </w:tc>
        <w:tc>
          <w:tcPr>
            <w:tcW w:w="1500" w:type="dxa"/>
            <w:tcBorders>
              <w:top w:val="single" w:sz="4" w:space="0" w:color="auto"/>
              <w:left w:val="nil"/>
              <w:bottom w:val="single" w:sz="4" w:space="0" w:color="auto"/>
              <w:right w:val="nil"/>
            </w:tcBorders>
            <w:shd w:val="clear" w:color="auto" w:fill="auto"/>
            <w:noWrap/>
            <w:vAlign w:val="bottom"/>
            <w:hideMark/>
          </w:tcPr>
          <w:p w14:paraId="02175671" w14:textId="77777777" w:rsidR="00BE6461" w:rsidRPr="00BE6461" w:rsidRDefault="00BE6461" w:rsidP="00BE6461">
            <w:pPr>
              <w:jc w:val="right"/>
              <w:rPr>
                <w:b/>
                <w:bCs/>
                <w:sz w:val="20"/>
                <w:szCs w:val="20"/>
              </w:rPr>
            </w:pPr>
            <w:r w:rsidRPr="00BE6461">
              <w:rPr>
                <w:b/>
                <w:bCs/>
                <w:sz w:val="20"/>
                <w:szCs w:val="20"/>
              </w:rPr>
              <w:t>797.585,81</w:t>
            </w:r>
          </w:p>
        </w:tc>
        <w:tc>
          <w:tcPr>
            <w:tcW w:w="1100" w:type="dxa"/>
            <w:tcBorders>
              <w:top w:val="single" w:sz="4" w:space="0" w:color="auto"/>
              <w:left w:val="nil"/>
              <w:bottom w:val="single" w:sz="4" w:space="0" w:color="auto"/>
              <w:right w:val="nil"/>
            </w:tcBorders>
            <w:shd w:val="clear" w:color="auto" w:fill="auto"/>
            <w:noWrap/>
            <w:vAlign w:val="bottom"/>
            <w:hideMark/>
          </w:tcPr>
          <w:p w14:paraId="545BD151"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22CA8C82"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C9EA112"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0C95F560" w14:textId="77777777" w:rsidR="00BE6461" w:rsidRPr="00BE6461" w:rsidRDefault="00BE6461" w:rsidP="00BE6461">
            <w:pPr>
              <w:jc w:val="right"/>
              <w:rPr>
                <w:b/>
                <w:bCs/>
                <w:color w:val="333333"/>
                <w:sz w:val="20"/>
                <w:szCs w:val="20"/>
              </w:rPr>
            </w:pPr>
            <w:r w:rsidRPr="00BE6461">
              <w:rPr>
                <w:b/>
                <w:bCs/>
                <w:color w:val="333333"/>
                <w:sz w:val="20"/>
                <w:szCs w:val="20"/>
              </w:rPr>
              <w:t>98.309,72</w:t>
            </w:r>
          </w:p>
        </w:tc>
        <w:tc>
          <w:tcPr>
            <w:tcW w:w="1500" w:type="dxa"/>
            <w:tcBorders>
              <w:top w:val="nil"/>
              <w:left w:val="nil"/>
              <w:bottom w:val="nil"/>
              <w:right w:val="nil"/>
            </w:tcBorders>
            <w:shd w:val="clear" w:color="auto" w:fill="auto"/>
            <w:noWrap/>
            <w:vAlign w:val="bottom"/>
            <w:hideMark/>
          </w:tcPr>
          <w:p w14:paraId="6FF32270" w14:textId="77777777" w:rsidR="00BE6461" w:rsidRPr="00BE6461" w:rsidRDefault="00BE6461" w:rsidP="00BE6461">
            <w:pPr>
              <w:jc w:val="right"/>
              <w:rPr>
                <w:b/>
                <w:bCs/>
                <w:color w:val="333333"/>
                <w:sz w:val="20"/>
                <w:szCs w:val="20"/>
              </w:rPr>
            </w:pPr>
            <w:r w:rsidRPr="00BE6461">
              <w:rPr>
                <w:b/>
                <w:bCs/>
                <w:color w:val="333333"/>
                <w:sz w:val="20"/>
                <w:szCs w:val="20"/>
              </w:rPr>
              <w:t>98.309,72</w:t>
            </w:r>
          </w:p>
        </w:tc>
        <w:tc>
          <w:tcPr>
            <w:tcW w:w="1100" w:type="dxa"/>
            <w:tcBorders>
              <w:top w:val="nil"/>
              <w:left w:val="nil"/>
              <w:bottom w:val="nil"/>
              <w:right w:val="nil"/>
            </w:tcBorders>
            <w:shd w:val="clear" w:color="auto" w:fill="auto"/>
            <w:noWrap/>
            <w:vAlign w:val="bottom"/>
            <w:hideMark/>
          </w:tcPr>
          <w:p w14:paraId="5D7D163A"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19F25C39"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F7D1E1C"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0DF8EB92" w14:textId="77777777" w:rsidR="00BE6461" w:rsidRPr="00BE6461" w:rsidRDefault="00BE6461" w:rsidP="00BE6461">
            <w:pPr>
              <w:jc w:val="right"/>
              <w:rPr>
                <w:b/>
                <w:bCs/>
                <w:color w:val="333333"/>
                <w:sz w:val="20"/>
                <w:szCs w:val="20"/>
              </w:rPr>
            </w:pPr>
            <w:r w:rsidRPr="00BE6461">
              <w:rPr>
                <w:b/>
                <w:bCs/>
                <w:color w:val="333333"/>
                <w:sz w:val="20"/>
                <w:szCs w:val="20"/>
              </w:rPr>
              <w:t>98.309,72</w:t>
            </w:r>
          </w:p>
        </w:tc>
        <w:tc>
          <w:tcPr>
            <w:tcW w:w="1500" w:type="dxa"/>
            <w:tcBorders>
              <w:top w:val="nil"/>
              <w:left w:val="nil"/>
              <w:bottom w:val="nil"/>
              <w:right w:val="nil"/>
            </w:tcBorders>
            <w:shd w:val="clear" w:color="auto" w:fill="auto"/>
            <w:noWrap/>
            <w:vAlign w:val="bottom"/>
            <w:hideMark/>
          </w:tcPr>
          <w:p w14:paraId="2171F9E3" w14:textId="77777777" w:rsidR="00BE6461" w:rsidRPr="00BE6461" w:rsidRDefault="00BE6461" w:rsidP="00BE6461">
            <w:pPr>
              <w:jc w:val="right"/>
              <w:rPr>
                <w:b/>
                <w:bCs/>
                <w:color w:val="333333"/>
                <w:sz w:val="20"/>
                <w:szCs w:val="20"/>
              </w:rPr>
            </w:pPr>
            <w:r w:rsidRPr="00BE6461">
              <w:rPr>
                <w:b/>
                <w:bCs/>
                <w:color w:val="333333"/>
                <w:sz w:val="20"/>
                <w:szCs w:val="20"/>
              </w:rPr>
              <w:t>98.309,72</w:t>
            </w:r>
          </w:p>
        </w:tc>
        <w:tc>
          <w:tcPr>
            <w:tcW w:w="1100" w:type="dxa"/>
            <w:tcBorders>
              <w:top w:val="nil"/>
              <w:left w:val="nil"/>
              <w:bottom w:val="nil"/>
              <w:right w:val="nil"/>
            </w:tcBorders>
            <w:shd w:val="clear" w:color="auto" w:fill="auto"/>
            <w:noWrap/>
            <w:vAlign w:val="bottom"/>
            <w:hideMark/>
          </w:tcPr>
          <w:p w14:paraId="2C8C35A2"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08912271" w14:textId="77777777" w:rsidTr="00BE6461">
        <w:trPr>
          <w:trHeight w:val="300"/>
        </w:trPr>
        <w:tc>
          <w:tcPr>
            <w:tcW w:w="1703" w:type="dxa"/>
            <w:tcBorders>
              <w:top w:val="nil"/>
              <w:left w:val="nil"/>
              <w:bottom w:val="nil"/>
              <w:right w:val="nil"/>
            </w:tcBorders>
            <w:shd w:val="clear" w:color="auto" w:fill="auto"/>
            <w:noWrap/>
            <w:vAlign w:val="bottom"/>
            <w:hideMark/>
          </w:tcPr>
          <w:p w14:paraId="01C8BE6B" w14:textId="77777777" w:rsidR="00BE6461" w:rsidRPr="00BE6461" w:rsidRDefault="00BE6461" w:rsidP="00BE6461">
            <w:pPr>
              <w:rPr>
                <w:b/>
                <w:bCs/>
                <w:sz w:val="20"/>
                <w:szCs w:val="20"/>
              </w:rPr>
            </w:pPr>
            <w:r w:rsidRPr="00BE6461">
              <w:rPr>
                <w:b/>
                <w:bCs/>
                <w:sz w:val="20"/>
                <w:szCs w:val="20"/>
              </w:rPr>
              <w:t>383</w:t>
            </w:r>
          </w:p>
        </w:tc>
        <w:tc>
          <w:tcPr>
            <w:tcW w:w="8457" w:type="dxa"/>
            <w:tcBorders>
              <w:top w:val="nil"/>
              <w:left w:val="nil"/>
              <w:bottom w:val="nil"/>
              <w:right w:val="nil"/>
            </w:tcBorders>
            <w:shd w:val="clear" w:color="auto" w:fill="auto"/>
            <w:vAlign w:val="bottom"/>
            <w:hideMark/>
          </w:tcPr>
          <w:p w14:paraId="0D3DBBD5" w14:textId="77777777" w:rsidR="00BE6461" w:rsidRPr="00BE6461" w:rsidRDefault="00BE6461" w:rsidP="00BE6461">
            <w:pPr>
              <w:rPr>
                <w:b/>
                <w:bCs/>
                <w:sz w:val="20"/>
                <w:szCs w:val="20"/>
              </w:rPr>
            </w:pPr>
            <w:r w:rsidRPr="00BE6461">
              <w:rPr>
                <w:b/>
                <w:bCs/>
                <w:sz w:val="20"/>
                <w:szCs w:val="20"/>
              </w:rPr>
              <w:t xml:space="preserve">Kazne, penali i naknade štete                                                                       </w:t>
            </w:r>
          </w:p>
        </w:tc>
        <w:tc>
          <w:tcPr>
            <w:tcW w:w="1503" w:type="dxa"/>
            <w:tcBorders>
              <w:top w:val="nil"/>
              <w:left w:val="nil"/>
              <w:bottom w:val="nil"/>
              <w:right w:val="nil"/>
            </w:tcBorders>
            <w:shd w:val="clear" w:color="auto" w:fill="auto"/>
            <w:noWrap/>
            <w:vAlign w:val="bottom"/>
            <w:hideMark/>
          </w:tcPr>
          <w:p w14:paraId="145B8D43" w14:textId="77777777" w:rsidR="00BE6461" w:rsidRPr="00BE6461" w:rsidRDefault="00BE6461" w:rsidP="00BE6461">
            <w:pPr>
              <w:jc w:val="right"/>
              <w:rPr>
                <w:b/>
                <w:bCs/>
                <w:sz w:val="20"/>
                <w:szCs w:val="20"/>
              </w:rPr>
            </w:pPr>
            <w:r w:rsidRPr="00BE6461">
              <w:rPr>
                <w:b/>
                <w:bCs/>
                <w:sz w:val="20"/>
                <w:szCs w:val="20"/>
              </w:rPr>
              <w:t>98.309,72</w:t>
            </w:r>
          </w:p>
        </w:tc>
        <w:tc>
          <w:tcPr>
            <w:tcW w:w="1500" w:type="dxa"/>
            <w:tcBorders>
              <w:top w:val="nil"/>
              <w:left w:val="nil"/>
              <w:bottom w:val="nil"/>
              <w:right w:val="nil"/>
            </w:tcBorders>
            <w:shd w:val="clear" w:color="auto" w:fill="auto"/>
            <w:noWrap/>
            <w:vAlign w:val="bottom"/>
            <w:hideMark/>
          </w:tcPr>
          <w:p w14:paraId="1746F443" w14:textId="77777777" w:rsidR="00BE6461" w:rsidRPr="00BE6461" w:rsidRDefault="00BE6461" w:rsidP="00BE6461">
            <w:pPr>
              <w:jc w:val="right"/>
              <w:rPr>
                <w:b/>
                <w:bCs/>
                <w:sz w:val="20"/>
                <w:szCs w:val="20"/>
              </w:rPr>
            </w:pPr>
            <w:r w:rsidRPr="00BE6461">
              <w:rPr>
                <w:b/>
                <w:bCs/>
                <w:sz w:val="20"/>
                <w:szCs w:val="20"/>
              </w:rPr>
              <w:t>98.309,72</w:t>
            </w:r>
          </w:p>
        </w:tc>
        <w:tc>
          <w:tcPr>
            <w:tcW w:w="1100" w:type="dxa"/>
            <w:tcBorders>
              <w:top w:val="nil"/>
              <w:left w:val="nil"/>
              <w:bottom w:val="nil"/>
              <w:right w:val="nil"/>
            </w:tcBorders>
            <w:shd w:val="clear" w:color="auto" w:fill="auto"/>
            <w:noWrap/>
            <w:vAlign w:val="bottom"/>
            <w:hideMark/>
          </w:tcPr>
          <w:p w14:paraId="18156A06"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67F1E166" w14:textId="77777777" w:rsidTr="00BE6461">
        <w:trPr>
          <w:trHeight w:val="300"/>
        </w:trPr>
        <w:tc>
          <w:tcPr>
            <w:tcW w:w="1703" w:type="dxa"/>
            <w:tcBorders>
              <w:top w:val="nil"/>
              <w:left w:val="nil"/>
              <w:bottom w:val="nil"/>
              <w:right w:val="nil"/>
            </w:tcBorders>
            <w:shd w:val="clear" w:color="auto" w:fill="auto"/>
            <w:noWrap/>
            <w:vAlign w:val="bottom"/>
            <w:hideMark/>
          </w:tcPr>
          <w:p w14:paraId="42E2F200" w14:textId="77777777" w:rsidR="00BE6461" w:rsidRPr="00BE6461" w:rsidRDefault="00BE6461" w:rsidP="00BE6461">
            <w:pPr>
              <w:rPr>
                <w:sz w:val="20"/>
                <w:szCs w:val="20"/>
              </w:rPr>
            </w:pPr>
            <w:r w:rsidRPr="00BE6461">
              <w:rPr>
                <w:sz w:val="20"/>
                <w:szCs w:val="20"/>
              </w:rPr>
              <w:t>3831</w:t>
            </w:r>
          </w:p>
        </w:tc>
        <w:tc>
          <w:tcPr>
            <w:tcW w:w="8457" w:type="dxa"/>
            <w:tcBorders>
              <w:top w:val="nil"/>
              <w:left w:val="nil"/>
              <w:bottom w:val="nil"/>
              <w:right w:val="nil"/>
            </w:tcBorders>
            <w:shd w:val="clear" w:color="auto" w:fill="auto"/>
            <w:vAlign w:val="bottom"/>
            <w:hideMark/>
          </w:tcPr>
          <w:p w14:paraId="176ABAE3" w14:textId="77777777" w:rsidR="00BE6461" w:rsidRPr="00BE6461" w:rsidRDefault="00BE6461" w:rsidP="00BE6461">
            <w:pPr>
              <w:rPr>
                <w:sz w:val="20"/>
                <w:szCs w:val="20"/>
              </w:rPr>
            </w:pPr>
            <w:r w:rsidRPr="00BE6461">
              <w:rPr>
                <w:sz w:val="20"/>
                <w:szCs w:val="20"/>
              </w:rPr>
              <w:t xml:space="preserve">Naknade šteta pravnim i fizičkim osobama                                                            </w:t>
            </w:r>
          </w:p>
        </w:tc>
        <w:tc>
          <w:tcPr>
            <w:tcW w:w="1503" w:type="dxa"/>
            <w:tcBorders>
              <w:top w:val="nil"/>
              <w:left w:val="nil"/>
              <w:bottom w:val="nil"/>
              <w:right w:val="nil"/>
            </w:tcBorders>
            <w:shd w:val="clear" w:color="auto" w:fill="auto"/>
            <w:noWrap/>
            <w:vAlign w:val="bottom"/>
            <w:hideMark/>
          </w:tcPr>
          <w:p w14:paraId="7490603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1C72DD0" w14:textId="77777777" w:rsidR="00BE6461" w:rsidRPr="00BE6461" w:rsidRDefault="00BE6461" w:rsidP="00BE6461">
            <w:pPr>
              <w:jc w:val="right"/>
              <w:rPr>
                <w:sz w:val="20"/>
                <w:szCs w:val="20"/>
              </w:rPr>
            </w:pPr>
            <w:r w:rsidRPr="00BE6461">
              <w:rPr>
                <w:sz w:val="20"/>
                <w:szCs w:val="20"/>
              </w:rPr>
              <w:t>98.309,72</w:t>
            </w:r>
          </w:p>
        </w:tc>
        <w:tc>
          <w:tcPr>
            <w:tcW w:w="1100" w:type="dxa"/>
            <w:tcBorders>
              <w:top w:val="nil"/>
              <w:left w:val="nil"/>
              <w:bottom w:val="nil"/>
              <w:right w:val="nil"/>
            </w:tcBorders>
            <w:shd w:val="clear" w:color="auto" w:fill="auto"/>
            <w:noWrap/>
            <w:vAlign w:val="bottom"/>
            <w:hideMark/>
          </w:tcPr>
          <w:p w14:paraId="313561B3" w14:textId="77777777" w:rsidR="00BE6461" w:rsidRPr="00BE6461" w:rsidRDefault="00BE6461" w:rsidP="00BE6461">
            <w:pPr>
              <w:jc w:val="right"/>
              <w:rPr>
                <w:sz w:val="20"/>
                <w:szCs w:val="20"/>
              </w:rPr>
            </w:pPr>
          </w:p>
        </w:tc>
      </w:tr>
      <w:tr w:rsidR="00BE6461" w:rsidRPr="00BE6461" w14:paraId="1DD0F71A"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560E9EF"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31FB5489" w14:textId="77777777" w:rsidR="00BE6461" w:rsidRPr="00BE6461" w:rsidRDefault="00BE6461" w:rsidP="00BE6461">
            <w:pPr>
              <w:jc w:val="right"/>
              <w:rPr>
                <w:b/>
                <w:bCs/>
                <w:color w:val="333333"/>
                <w:sz w:val="20"/>
                <w:szCs w:val="20"/>
              </w:rPr>
            </w:pPr>
            <w:r w:rsidRPr="00BE6461">
              <w:rPr>
                <w:b/>
                <w:bCs/>
                <w:color w:val="333333"/>
                <w:sz w:val="20"/>
                <w:szCs w:val="20"/>
              </w:rPr>
              <w:t>29.500,00</w:t>
            </w:r>
          </w:p>
        </w:tc>
        <w:tc>
          <w:tcPr>
            <w:tcW w:w="1500" w:type="dxa"/>
            <w:tcBorders>
              <w:top w:val="nil"/>
              <w:left w:val="nil"/>
              <w:bottom w:val="nil"/>
              <w:right w:val="nil"/>
            </w:tcBorders>
            <w:shd w:val="clear" w:color="auto" w:fill="auto"/>
            <w:noWrap/>
            <w:vAlign w:val="bottom"/>
            <w:hideMark/>
          </w:tcPr>
          <w:p w14:paraId="11E6D607" w14:textId="77777777" w:rsidR="00BE6461" w:rsidRPr="00BE6461" w:rsidRDefault="00BE6461" w:rsidP="00BE6461">
            <w:pPr>
              <w:jc w:val="right"/>
              <w:rPr>
                <w:b/>
                <w:bCs/>
                <w:color w:val="333333"/>
                <w:sz w:val="20"/>
                <w:szCs w:val="20"/>
              </w:rPr>
            </w:pPr>
            <w:r w:rsidRPr="00BE6461">
              <w:rPr>
                <w:b/>
                <w:bCs/>
                <w:color w:val="333333"/>
                <w:sz w:val="20"/>
                <w:szCs w:val="20"/>
              </w:rPr>
              <w:t>29.500,00</w:t>
            </w:r>
          </w:p>
        </w:tc>
        <w:tc>
          <w:tcPr>
            <w:tcW w:w="1100" w:type="dxa"/>
            <w:tcBorders>
              <w:top w:val="nil"/>
              <w:left w:val="nil"/>
              <w:bottom w:val="nil"/>
              <w:right w:val="nil"/>
            </w:tcBorders>
            <w:shd w:val="clear" w:color="auto" w:fill="auto"/>
            <w:noWrap/>
            <w:vAlign w:val="bottom"/>
            <w:hideMark/>
          </w:tcPr>
          <w:p w14:paraId="5FAD7E3E"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4E46111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4A46D78" w14:textId="77777777" w:rsidR="00BE6461" w:rsidRPr="00BE6461" w:rsidRDefault="00BE6461" w:rsidP="00BE6461">
            <w:pPr>
              <w:rPr>
                <w:b/>
                <w:bCs/>
                <w:color w:val="333333"/>
                <w:sz w:val="20"/>
                <w:szCs w:val="20"/>
              </w:rPr>
            </w:pPr>
            <w:r w:rsidRPr="00BE6461">
              <w:rPr>
                <w:b/>
                <w:bCs/>
                <w:color w:val="333333"/>
                <w:sz w:val="20"/>
                <w:szCs w:val="20"/>
              </w:rPr>
              <w:t>Izvor 4.6. PRIHODI POSEBNE NAMJENE - OSTALI</w:t>
            </w:r>
          </w:p>
        </w:tc>
        <w:tc>
          <w:tcPr>
            <w:tcW w:w="1503" w:type="dxa"/>
            <w:tcBorders>
              <w:top w:val="nil"/>
              <w:left w:val="nil"/>
              <w:bottom w:val="nil"/>
              <w:right w:val="nil"/>
            </w:tcBorders>
            <w:shd w:val="clear" w:color="auto" w:fill="auto"/>
            <w:noWrap/>
            <w:vAlign w:val="bottom"/>
            <w:hideMark/>
          </w:tcPr>
          <w:p w14:paraId="63088A4E" w14:textId="77777777" w:rsidR="00BE6461" w:rsidRPr="00BE6461" w:rsidRDefault="00BE6461" w:rsidP="00BE6461">
            <w:pPr>
              <w:jc w:val="right"/>
              <w:rPr>
                <w:b/>
                <w:bCs/>
                <w:color w:val="333333"/>
                <w:sz w:val="20"/>
                <w:szCs w:val="20"/>
              </w:rPr>
            </w:pPr>
            <w:r w:rsidRPr="00BE6461">
              <w:rPr>
                <w:b/>
                <w:bCs/>
                <w:color w:val="333333"/>
                <w:sz w:val="20"/>
                <w:szCs w:val="20"/>
              </w:rPr>
              <w:t>29.500,00</w:t>
            </w:r>
          </w:p>
        </w:tc>
        <w:tc>
          <w:tcPr>
            <w:tcW w:w="1500" w:type="dxa"/>
            <w:tcBorders>
              <w:top w:val="nil"/>
              <w:left w:val="nil"/>
              <w:bottom w:val="nil"/>
              <w:right w:val="nil"/>
            </w:tcBorders>
            <w:shd w:val="clear" w:color="auto" w:fill="auto"/>
            <w:noWrap/>
            <w:vAlign w:val="bottom"/>
            <w:hideMark/>
          </w:tcPr>
          <w:p w14:paraId="59AEB9F6" w14:textId="77777777" w:rsidR="00BE6461" w:rsidRPr="00BE6461" w:rsidRDefault="00BE6461" w:rsidP="00BE6461">
            <w:pPr>
              <w:jc w:val="right"/>
              <w:rPr>
                <w:b/>
                <w:bCs/>
                <w:color w:val="333333"/>
                <w:sz w:val="20"/>
                <w:szCs w:val="20"/>
              </w:rPr>
            </w:pPr>
            <w:r w:rsidRPr="00BE6461">
              <w:rPr>
                <w:b/>
                <w:bCs/>
                <w:color w:val="333333"/>
                <w:sz w:val="20"/>
                <w:szCs w:val="20"/>
              </w:rPr>
              <w:t>29.500,00</w:t>
            </w:r>
          </w:p>
        </w:tc>
        <w:tc>
          <w:tcPr>
            <w:tcW w:w="1100" w:type="dxa"/>
            <w:tcBorders>
              <w:top w:val="nil"/>
              <w:left w:val="nil"/>
              <w:bottom w:val="nil"/>
              <w:right w:val="nil"/>
            </w:tcBorders>
            <w:shd w:val="clear" w:color="auto" w:fill="auto"/>
            <w:noWrap/>
            <w:vAlign w:val="bottom"/>
            <w:hideMark/>
          </w:tcPr>
          <w:p w14:paraId="1F20F43A"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0AE17FBB" w14:textId="77777777" w:rsidTr="00BE6461">
        <w:trPr>
          <w:trHeight w:val="300"/>
        </w:trPr>
        <w:tc>
          <w:tcPr>
            <w:tcW w:w="1703" w:type="dxa"/>
            <w:tcBorders>
              <w:top w:val="nil"/>
              <w:left w:val="nil"/>
              <w:bottom w:val="nil"/>
              <w:right w:val="nil"/>
            </w:tcBorders>
            <w:shd w:val="clear" w:color="auto" w:fill="auto"/>
            <w:noWrap/>
            <w:vAlign w:val="bottom"/>
            <w:hideMark/>
          </w:tcPr>
          <w:p w14:paraId="710A65C9"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36EFC655"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27987D87" w14:textId="77777777" w:rsidR="00BE6461" w:rsidRPr="00BE6461" w:rsidRDefault="00BE6461" w:rsidP="00BE6461">
            <w:pPr>
              <w:jc w:val="right"/>
              <w:rPr>
                <w:b/>
                <w:bCs/>
                <w:sz w:val="20"/>
                <w:szCs w:val="20"/>
              </w:rPr>
            </w:pPr>
            <w:r w:rsidRPr="00BE6461">
              <w:rPr>
                <w:b/>
                <w:bCs/>
                <w:sz w:val="20"/>
                <w:szCs w:val="20"/>
              </w:rPr>
              <w:t>29.500,00</w:t>
            </w:r>
          </w:p>
        </w:tc>
        <w:tc>
          <w:tcPr>
            <w:tcW w:w="1500" w:type="dxa"/>
            <w:tcBorders>
              <w:top w:val="nil"/>
              <w:left w:val="nil"/>
              <w:bottom w:val="nil"/>
              <w:right w:val="nil"/>
            </w:tcBorders>
            <w:shd w:val="clear" w:color="auto" w:fill="auto"/>
            <w:noWrap/>
            <w:vAlign w:val="bottom"/>
            <w:hideMark/>
          </w:tcPr>
          <w:p w14:paraId="201464EF" w14:textId="77777777" w:rsidR="00BE6461" w:rsidRPr="00BE6461" w:rsidRDefault="00BE6461" w:rsidP="00BE6461">
            <w:pPr>
              <w:jc w:val="right"/>
              <w:rPr>
                <w:b/>
                <w:bCs/>
                <w:sz w:val="20"/>
                <w:szCs w:val="20"/>
              </w:rPr>
            </w:pPr>
            <w:r w:rsidRPr="00BE6461">
              <w:rPr>
                <w:b/>
                <w:bCs/>
                <w:sz w:val="20"/>
                <w:szCs w:val="20"/>
              </w:rPr>
              <w:t>29.500,00</w:t>
            </w:r>
          </w:p>
        </w:tc>
        <w:tc>
          <w:tcPr>
            <w:tcW w:w="1100" w:type="dxa"/>
            <w:tcBorders>
              <w:top w:val="nil"/>
              <w:left w:val="nil"/>
              <w:bottom w:val="nil"/>
              <w:right w:val="nil"/>
            </w:tcBorders>
            <w:shd w:val="clear" w:color="auto" w:fill="auto"/>
            <w:noWrap/>
            <w:vAlign w:val="bottom"/>
            <w:hideMark/>
          </w:tcPr>
          <w:p w14:paraId="4970E3D7"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55DFB4E1" w14:textId="77777777" w:rsidTr="00BE6461">
        <w:trPr>
          <w:trHeight w:val="300"/>
        </w:trPr>
        <w:tc>
          <w:tcPr>
            <w:tcW w:w="1703" w:type="dxa"/>
            <w:tcBorders>
              <w:top w:val="nil"/>
              <w:left w:val="nil"/>
              <w:bottom w:val="nil"/>
              <w:right w:val="nil"/>
            </w:tcBorders>
            <w:shd w:val="clear" w:color="auto" w:fill="auto"/>
            <w:noWrap/>
            <w:vAlign w:val="bottom"/>
            <w:hideMark/>
          </w:tcPr>
          <w:p w14:paraId="07EDED7F"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4DBCDC54"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615D6F62"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886FFE1" w14:textId="77777777" w:rsidR="00BE6461" w:rsidRPr="00BE6461" w:rsidRDefault="00BE6461" w:rsidP="00BE6461">
            <w:pPr>
              <w:jc w:val="right"/>
              <w:rPr>
                <w:sz w:val="20"/>
                <w:szCs w:val="20"/>
              </w:rPr>
            </w:pPr>
            <w:r w:rsidRPr="00BE6461">
              <w:rPr>
                <w:sz w:val="20"/>
                <w:szCs w:val="20"/>
              </w:rPr>
              <w:t>29.500,00</w:t>
            </w:r>
          </w:p>
        </w:tc>
        <w:tc>
          <w:tcPr>
            <w:tcW w:w="1100" w:type="dxa"/>
            <w:tcBorders>
              <w:top w:val="nil"/>
              <w:left w:val="nil"/>
              <w:bottom w:val="nil"/>
              <w:right w:val="nil"/>
            </w:tcBorders>
            <w:shd w:val="clear" w:color="auto" w:fill="auto"/>
            <w:noWrap/>
            <w:vAlign w:val="bottom"/>
            <w:hideMark/>
          </w:tcPr>
          <w:p w14:paraId="4E134F8D" w14:textId="77777777" w:rsidR="00BE6461" w:rsidRPr="00BE6461" w:rsidRDefault="00BE6461" w:rsidP="00BE6461">
            <w:pPr>
              <w:jc w:val="right"/>
              <w:rPr>
                <w:sz w:val="20"/>
                <w:szCs w:val="20"/>
              </w:rPr>
            </w:pPr>
          </w:p>
        </w:tc>
      </w:tr>
      <w:tr w:rsidR="00BE6461" w:rsidRPr="00BE6461" w14:paraId="3FF01A9A"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22B01B8" w14:textId="77777777" w:rsidR="00BE6461" w:rsidRPr="00BE6461" w:rsidRDefault="00BE6461" w:rsidP="00BE6461">
            <w:pPr>
              <w:rPr>
                <w:b/>
                <w:bCs/>
                <w:color w:val="333333"/>
                <w:sz w:val="20"/>
                <w:szCs w:val="20"/>
              </w:rPr>
            </w:pPr>
            <w:r w:rsidRPr="00BE6461">
              <w:rPr>
                <w:b/>
                <w:bCs/>
                <w:color w:val="333333"/>
                <w:sz w:val="20"/>
                <w:szCs w:val="20"/>
              </w:rPr>
              <w:t>Izvor 7. PRIHODI OD NEFIN.IMOVINE I NADOKNADE ŠTETA OD OSIG.</w:t>
            </w:r>
          </w:p>
        </w:tc>
        <w:tc>
          <w:tcPr>
            <w:tcW w:w="1503" w:type="dxa"/>
            <w:tcBorders>
              <w:top w:val="nil"/>
              <w:left w:val="nil"/>
              <w:bottom w:val="nil"/>
              <w:right w:val="nil"/>
            </w:tcBorders>
            <w:shd w:val="clear" w:color="auto" w:fill="auto"/>
            <w:noWrap/>
            <w:vAlign w:val="bottom"/>
            <w:hideMark/>
          </w:tcPr>
          <w:p w14:paraId="46EDAB7D" w14:textId="77777777" w:rsidR="00BE6461" w:rsidRPr="00BE6461" w:rsidRDefault="00BE6461" w:rsidP="00BE6461">
            <w:pPr>
              <w:jc w:val="right"/>
              <w:rPr>
                <w:b/>
                <w:bCs/>
                <w:color w:val="333333"/>
                <w:sz w:val="20"/>
                <w:szCs w:val="20"/>
              </w:rPr>
            </w:pPr>
            <w:r w:rsidRPr="00BE6461">
              <w:rPr>
                <w:b/>
                <w:bCs/>
                <w:color w:val="333333"/>
                <w:sz w:val="20"/>
                <w:szCs w:val="20"/>
              </w:rPr>
              <w:t>669.776,09</w:t>
            </w:r>
          </w:p>
        </w:tc>
        <w:tc>
          <w:tcPr>
            <w:tcW w:w="1500" w:type="dxa"/>
            <w:tcBorders>
              <w:top w:val="nil"/>
              <w:left w:val="nil"/>
              <w:bottom w:val="nil"/>
              <w:right w:val="nil"/>
            </w:tcBorders>
            <w:shd w:val="clear" w:color="auto" w:fill="auto"/>
            <w:noWrap/>
            <w:vAlign w:val="bottom"/>
            <w:hideMark/>
          </w:tcPr>
          <w:p w14:paraId="26D8A45E" w14:textId="77777777" w:rsidR="00BE6461" w:rsidRPr="00BE6461" w:rsidRDefault="00BE6461" w:rsidP="00BE6461">
            <w:pPr>
              <w:jc w:val="right"/>
              <w:rPr>
                <w:b/>
                <w:bCs/>
                <w:color w:val="333333"/>
                <w:sz w:val="20"/>
                <w:szCs w:val="20"/>
              </w:rPr>
            </w:pPr>
            <w:r w:rsidRPr="00BE6461">
              <w:rPr>
                <w:b/>
                <w:bCs/>
                <w:color w:val="333333"/>
                <w:sz w:val="20"/>
                <w:szCs w:val="20"/>
              </w:rPr>
              <w:t>669.776,09</w:t>
            </w:r>
          </w:p>
        </w:tc>
        <w:tc>
          <w:tcPr>
            <w:tcW w:w="1100" w:type="dxa"/>
            <w:tcBorders>
              <w:top w:val="nil"/>
              <w:left w:val="nil"/>
              <w:bottom w:val="nil"/>
              <w:right w:val="nil"/>
            </w:tcBorders>
            <w:shd w:val="clear" w:color="auto" w:fill="auto"/>
            <w:noWrap/>
            <w:vAlign w:val="bottom"/>
            <w:hideMark/>
          </w:tcPr>
          <w:p w14:paraId="60267F57"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16CAC629"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939524B" w14:textId="77777777" w:rsidR="00BE6461" w:rsidRPr="00BE6461" w:rsidRDefault="00BE6461" w:rsidP="00BE6461">
            <w:pPr>
              <w:rPr>
                <w:b/>
                <w:bCs/>
                <w:color w:val="333333"/>
                <w:sz w:val="20"/>
                <w:szCs w:val="20"/>
              </w:rPr>
            </w:pPr>
            <w:r w:rsidRPr="00BE6461">
              <w:rPr>
                <w:b/>
                <w:bCs/>
                <w:color w:val="333333"/>
                <w:sz w:val="20"/>
                <w:szCs w:val="20"/>
              </w:rPr>
              <w:t>Izvor 7.1. PRIHODI OD NEFIN.IMOVINE I NADOKNADE ŠTETA OD OSIG.</w:t>
            </w:r>
          </w:p>
        </w:tc>
        <w:tc>
          <w:tcPr>
            <w:tcW w:w="1503" w:type="dxa"/>
            <w:tcBorders>
              <w:top w:val="nil"/>
              <w:left w:val="nil"/>
              <w:bottom w:val="nil"/>
              <w:right w:val="nil"/>
            </w:tcBorders>
            <w:shd w:val="clear" w:color="auto" w:fill="auto"/>
            <w:noWrap/>
            <w:vAlign w:val="bottom"/>
            <w:hideMark/>
          </w:tcPr>
          <w:p w14:paraId="27170AF9" w14:textId="77777777" w:rsidR="00BE6461" w:rsidRPr="00BE6461" w:rsidRDefault="00BE6461" w:rsidP="00BE6461">
            <w:pPr>
              <w:jc w:val="right"/>
              <w:rPr>
                <w:b/>
                <w:bCs/>
                <w:color w:val="333333"/>
                <w:sz w:val="20"/>
                <w:szCs w:val="20"/>
              </w:rPr>
            </w:pPr>
            <w:r w:rsidRPr="00BE6461">
              <w:rPr>
                <w:b/>
                <w:bCs/>
                <w:color w:val="333333"/>
                <w:sz w:val="20"/>
                <w:szCs w:val="20"/>
              </w:rPr>
              <w:t>669.776,09</w:t>
            </w:r>
          </w:p>
        </w:tc>
        <w:tc>
          <w:tcPr>
            <w:tcW w:w="1500" w:type="dxa"/>
            <w:tcBorders>
              <w:top w:val="nil"/>
              <w:left w:val="nil"/>
              <w:bottom w:val="nil"/>
              <w:right w:val="nil"/>
            </w:tcBorders>
            <w:shd w:val="clear" w:color="auto" w:fill="auto"/>
            <w:noWrap/>
            <w:vAlign w:val="bottom"/>
            <w:hideMark/>
          </w:tcPr>
          <w:p w14:paraId="3A0CB285" w14:textId="77777777" w:rsidR="00BE6461" w:rsidRPr="00BE6461" w:rsidRDefault="00BE6461" w:rsidP="00BE6461">
            <w:pPr>
              <w:jc w:val="right"/>
              <w:rPr>
                <w:b/>
                <w:bCs/>
                <w:color w:val="333333"/>
                <w:sz w:val="20"/>
                <w:szCs w:val="20"/>
              </w:rPr>
            </w:pPr>
            <w:r w:rsidRPr="00BE6461">
              <w:rPr>
                <w:b/>
                <w:bCs/>
                <w:color w:val="333333"/>
                <w:sz w:val="20"/>
                <w:szCs w:val="20"/>
              </w:rPr>
              <w:t>669.776,09</w:t>
            </w:r>
          </w:p>
        </w:tc>
        <w:tc>
          <w:tcPr>
            <w:tcW w:w="1100" w:type="dxa"/>
            <w:tcBorders>
              <w:top w:val="nil"/>
              <w:left w:val="nil"/>
              <w:bottom w:val="nil"/>
              <w:right w:val="nil"/>
            </w:tcBorders>
            <w:shd w:val="clear" w:color="auto" w:fill="auto"/>
            <w:noWrap/>
            <w:vAlign w:val="bottom"/>
            <w:hideMark/>
          </w:tcPr>
          <w:p w14:paraId="14297DC6"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3D5AE5F9" w14:textId="77777777" w:rsidTr="00BE6461">
        <w:trPr>
          <w:trHeight w:val="300"/>
        </w:trPr>
        <w:tc>
          <w:tcPr>
            <w:tcW w:w="1703" w:type="dxa"/>
            <w:tcBorders>
              <w:top w:val="nil"/>
              <w:left w:val="nil"/>
              <w:bottom w:val="nil"/>
              <w:right w:val="nil"/>
            </w:tcBorders>
            <w:shd w:val="clear" w:color="auto" w:fill="auto"/>
            <w:noWrap/>
            <w:vAlign w:val="bottom"/>
            <w:hideMark/>
          </w:tcPr>
          <w:p w14:paraId="7C20D354" w14:textId="77777777" w:rsidR="00BE6461" w:rsidRPr="00BE6461" w:rsidRDefault="00BE6461" w:rsidP="00BE6461">
            <w:pPr>
              <w:rPr>
                <w:b/>
                <w:bCs/>
                <w:sz w:val="20"/>
                <w:szCs w:val="20"/>
              </w:rPr>
            </w:pPr>
            <w:r w:rsidRPr="00BE6461">
              <w:rPr>
                <w:b/>
                <w:bCs/>
                <w:sz w:val="20"/>
                <w:szCs w:val="20"/>
              </w:rPr>
              <w:t>383</w:t>
            </w:r>
          </w:p>
        </w:tc>
        <w:tc>
          <w:tcPr>
            <w:tcW w:w="8457" w:type="dxa"/>
            <w:tcBorders>
              <w:top w:val="nil"/>
              <w:left w:val="nil"/>
              <w:bottom w:val="nil"/>
              <w:right w:val="nil"/>
            </w:tcBorders>
            <w:shd w:val="clear" w:color="auto" w:fill="auto"/>
            <w:vAlign w:val="bottom"/>
            <w:hideMark/>
          </w:tcPr>
          <w:p w14:paraId="125845D0" w14:textId="77777777" w:rsidR="00BE6461" w:rsidRPr="00BE6461" w:rsidRDefault="00BE6461" w:rsidP="00BE6461">
            <w:pPr>
              <w:rPr>
                <w:b/>
                <w:bCs/>
                <w:sz w:val="20"/>
                <w:szCs w:val="20"/>
              </w:rPr>
            </w:pPr>
            <w:r w:rsidRPr="00BE6461">
              <w:rPr>
                <w:b/>
                <w:bCs/>
                <w:sz w:val="20"/>
                <w:szCs w:val="20"/>
              </w:rPr>
              <w:t xml:space="preserve">Kazne, penali i naknade štete                                                                       </w:t>
            </w:r>
          </w:p>
        </w:tc>
        <w:tc>
          <w:tcPr>
            <w:tcW w:w="1503" w:type="dxa"/>
            <w:tcBorders>
              <w:top w:val="nil"/>
              <w:left w:val="nil"/>
              <w:bottom w:val="nil"/>
              <w:right w:val="nil"/>
            </w:tcBorders>
            <w:shd w:val="clear" w:color="auto" w:fill="auto"/>
            <w:noWrap/>
            <w:vAlign w:val="bottom"/>
            <w:hideMark/>
          </w:tcPr>
          <w:p w14:paraId="5F7AFF9F" w14:textId="77777777" w:rsidR="00BE6461" w:rsidRPr="00BE6461" w:rsidRDefault="00BE6461" w:rsidP="00BE6461">
            <w:pPr>
              <w:jc w:val="right"/>
              <w:rPr>
                <w:b/>
                <w:bCs/>
                <w:sz w:val="20"/>
                <w:szCs w:val="20"/>
              </w:rPr>
            </w:pPr>
            <w:r w:rsidRPr="00BE6461">
              <w:rPr>
                <w:b/>
                <w:bCs/>
                <w:sz w:val="20"/>
                <w:szCs w:val="20"/>
              </w:rPr>
              <w:t>223.736,16</w:t>
            </w:r>
          </w:p>
        </w:tc>
        <w:tc>
          <w:tcPr>
            <w:tcW w:w="1500" w:type="dxa"/>
            <w:tcBorders>
              <w:top w:val="nil"/>
              <w:left w:val="nil"/>
              <w:bottom w:val="nil"/>
              <w:right w:val="nil"/>
            </w:tcBorders>
            <w:shd w:val="clear" w:color="auto" w:fill="auto"/>
            <w:noWrap/>
            <w:vAlign w:val="bottom"/>
            <w:hideMark/>
          </w:tcPr>
          <w:p w14:paraId="0CAD6669" w14:textId="77777777" w:rsidR="00BE6461" w:rsidRPr="00BE6461" w:rsidRDefault="00BE6461" w:rsidP="00BE6461">
            <w:pPr>
              <w:jc w:val="right"/>
              <w:rPr>
                <w:b/>
                <w:bCs/>
                <w:sz w:val="20"/>
                <w:szCs w:val="20"/>
              </w:rPr>
            </w:pPr>
            <w:r w:rsidRPr="00BE6461">
              <w:rPr>
                <w:b/>
                <w:bCs/>
                <w:sz w:val="20"/>
                <w:szCs w:val="20"/>
              </w:rPr>
              <w:t>223.736,16</w:t>
            </w:r>
          </w:p>
        </w:tc>
        <w:tc>
          <w:tcPr>
            <w:tcW w:w="1100" w:type="dxa"/>
            <w:tcBorders>
              <w:top w:val="nil"/>
              <w:left w:val="nil"/>
              <w:bottom w:val="nil"/>
              <w:right w:val="nil"/>
            </w:tcBorders>
            <w:shd w:val="clear" w:color="auto" w:fill="auto"/>
            <w:noWrap/>
            <w:vAlign w:val="bottom"/>
            <w:hideMark/>
          </w:tcPr>
          <w:p w14:paraId="733E6FFB"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002F9C73" w14:textId="77777777" w:rsidTr="00BE6461">
        <w:trPr>
          <w:trHeight w:val="300"/>
        </w:trPr>
        <w:tc>
          <w:tcPr>
            <w:tcW w:w="1703" w:type="dxa"/>
            <w:tcBorders>
              <w:top w:val="nil"/>
              <w:left w:val="nil"/>
              <w:bottom w:val="nil"/>
              <w:right w:val="nil"/>
            </w:tcBorders>
            <w:shd w:val="clear" w:color="auto" w:fill="auto"/>
            <w:noWrap/>
            <w:vAlign w:val="bottom"/>
            <w:hideMark/>
          </w:tcPr>
          <w:p w14:paraId="6335499C" w14:textId="77777777" w:rsidR="00BE6461" w:rsidRPr="00BE6461" w:rsidRDefault="00BE6461" w:rsidP="00BE6461">
            <w:pPr>
              <w:rPr>
                <w:sz w:val="20"/>
                <w:szCs w:val="20"/>
              </w:rPr>
            </w:pPr>
            <w:r w:rsidRPr="00BE6461">
              <w:rPr>
                <w:sz w:val="20"/>
                <w:szCs w:val="20"/>
              </w:rPr>
              <w:t>3831</w:t>
            </w:r>
          </w:p>
        </w:tc>
        <w:tc>
          <w:tcPr>
            <w:tcW w:w="8457" w:type="dxa"/>
            <w:tcBorders>
              <w:top w:val="nil"/>
              <w:left w:val="nil"/>
              <w:bottom w:val="nil"/>
              <w:right w:val="nil"/>
            </w:tcBorders>
            <w:shd w:val="clear" w:color="auto" w:fill="auto"/>
            <w:vAlign w:val="bottom"/>
            <w:hideMark/>
          </w:tcPr>
          <w:p w14:paraId="0E55E2CE" w14:textId="77777777" w:rsidR="00BE6461" w:rsidRPr="00BE6461" w:rsidRDefault="00BE6461" w:rsidP="00BE6461">
            <w:pPr>
              <w:rPr>
                <w:sz w:val="20"/>
                <w:szCs w:val="20"/>
              </w:rPr>
            </w:pPr>
            <w:r w:rsidRPr="00BE6461">
              <w:rPr>
                <w:sz w:val="20"/>
                <w:szCs w:val="20"/>
              </w:rPr>
              <w:t xml:space="preserve">Naknade šteta pravnim i fizičkim osobama                                                            </w:t>
            </w:r>
          </w:p>
        </w:tc>
        <w:tc>
          <w:tcPr>
            <w:tcW w:w="1503" w:type="dxa"/>
            <w:tcBorders>
              <w:top w:val="nil"/>
              <w:left w:val="nil"/>
              <w:bottom w:val="nil"/>
              <w:right w:val="nil"/>
            </w:tcBorders>
            <w:shd w:val="clear" w:color="auto" w:fill="auto"/>
            <w:noWrap/>
            <w:vAlign w:val="bottom"/>
            <w:hideMark/>
          </w:tcPr>
          <w:p w14:paraId="0FEAB95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AD5743B" w14:textId="77777777" w:rsidR="00BE6461" w:rsidRPr="00BE6461" w:rsidRDefault="00BE6461" w:rsidP="00BE6461">
            <w:pPr>
              <w:jc w:val="right"/>
              <w:rPr>
                <w:sz w:val="20"/>
                <w:szCs w:val="20"/>
              </w:rPr>
            </w:pPr>
            <w:r w:rsidRPr="00BE6461">
              <w:rPr>
                <w:sz w:val="20"/>
                <w:szCs w:val="20"/>
              </w:rPr>
              <w:t>223.736,16</w:t>
            </w:r>
          </w:p>
        </w:tc>
        <w:tc>
          <w:tcPr>
            <w:tcW w:w="1100" w:type="dxa"/>
            <w:tcBorders>
              <w:top w:val="nil"/>
              <w:left w:val="nil"/>
              <w:bottom w:val="nil"/>
              <w:right w:val="nil"/>
            </w:tcBorders>
            <w:shd w:val="clear" w:color="auto" w:fill="auto"/>
            <w:noWrap/>
            <w:vAlign w:val="bottom"/>
            <w:hideMark/>
          </w:tcPr>
          <w:p w14:paraId="29D8E0AA" w14:textId="77777777" w:rsidR="00BE6461" w:rsidRPr="00BE6461" w:rsidRDefault="00BE6461" w:rsidP="00BE6461">
            <w:pPr>
              <w:jc w:val="right"/>
              <w:rPr>
                <w:sz w:val="20"/>
                <w:szCs w:val="20"/>
              </w:rPr>
            </w:pPr>
          </w:p>
        </w:tc>
      </w:tr>
      <w:tr w:rsidR="00BE6461" w:rsidRPr="00BE6461" w14:paraId="16151965" w14:textId="77777777" w:rsidTr="00BE6461">
        <w:trPr>
          <w:trHeight w:val="300"/>
        </w:trPr>
        <w:tc>
          <w:tcPr>
            <w:tcW w:w="1703" w:type="dxa"/>
            <w:tcBorders>
              <w:top w:val="nil"/>
              <w:left w:val="nil"/>
              <w:bottom w:val="nil"/>
              <w:right w:val="nil"/>
            </w:tcBorders>
            <w:shd w:val="clear" w:color="auto" w:fill="auto"/>
            <w:noWrap/>
            <w:vAlign w:val="bottom"/>
            <w:hideMark/>
          </w:tcPr>
          <w:p w14:paraId="3D918E37" w14:textId="77777777" w:rsidR="00BE6461" w:rsidRPr="00BE6461" w:rsidRDefault="00BE6461" w:rsidP="00BE6461">
            <w:pPr>
              <w:rPr>
                <w:b/>
                <w:bCs/>
                <w:sz w:val="20"/>
                <w:szCs w:val="20"/>
              </w:rPr>
            </w:pPr>
            <w:r w:rsidRPr="00BE6461">
              <w:rPr>
                <w:b/>
                <w:bCs/>
                <w:sz w:val="20"/>
                <w:szCs w:val="20"/>
              </w:rPr>
              <w:t>411</w:t>
            </w:r>
          </w:p>
        </w:tc>
        <w:tc>
          <w:tcPr>
            <w:tcW w:w="8457" w:type="dxa"/>
            <w:tcBorders>
              <w:top w:val="nil"/>
              <w:left w:val="nil"/>
              <w:bottom w:val="nil"/>
              <w:right w:val="nil"/>
            </w:tcBorders>
            <w:shd w:val="clear" w:color="auto" w:fill="auto"/>
            <w:vAlign w:val="bottom"/>
            <w:hideMark/>
          </w:tcPr>
          <w:p w14:paraId="1409B4CB" w14:textId="77777777" w:rsidR="00BE6461" w:rsidRPr="00BE6461" w:rsidRDefault="00BE6461" w:rsidP="00BE6461">
            <w:pPr>
              <w:rPr>
                <w:b/>
                <w:bCs/>
                <w:sz w:val="20"/>
                <w:szCs w:val="20"/>
              </w:rPr>
            </w:pPr>
            <w:r w:rsidRPr="00BE6461">
              <w:rPr>
                <w:b/>
                <w:bCs/>
                <w:sz w:val="20"/>
                <w:szCs w:val="20"/>
              </w:rPr>
              <w:t xml:space="preserve">Materijalna imovina - prirodna bogatstva                                                            </w:t>
            </w:r>
          </w:p>
        </w:tc>
        <w:tc>
          <w:tcPr>
            <w:tcW w:w="1503" w:type="dxa"/>
            <w:tcBorders>
              <w:top w:val="nil"/>
              <w:left w:val="nil"/>
              <w:bottom w:val="nil"/>
              <w:right w:val="nil"/>
            </w:tcBorders>
            <w:shd w:val="clear" w:color="auto" w:fill="auto"/>
            <w:noWrap/>
            <w:vAlign w:val="bottom"/>
            <w:hideMark/>
          </w:tcPr>
          <w:p w14:paraId="53698552" w14:textId="77777777" w:rsidR="00BE6461" w:rsidRPr="00BE6461" w:rsidRDefault="00BE6461" w:rsidP="00BE6461">
            <w:pPr>
              <w:jc w:val="right"/>
              <w:rPr>
                <w:b/>
                <w:bCs/>
                <w:sz w:val="20"/>
                <w:szCs w:val="20"/>
              </w:rPr>
            </w:pPr>
            <w:r w:rsidRPr="00BE6461">
              <w:rPr>
                <w:b/>
                <w:bCs/>
                <w:sz w:val="20"/>
                <w:szCs w:val="20"/>
              </w:rPr>
              <w:t>217.909,20</w:t>
            </w:r>
          </w:p>
        </w:tc>
        <w:tc>
          <w:tcPr>
            <w:tcW w:w="1500" w:type="dxa"/>
            <w:tcBorders>
              <w:top w:val="nil"/>
              <w:left w:val="nil"/>
              <w:bottom w:val="nil"/>
              <w:right w:val="nil"/>
            </w:tcBorders>
            <w:shd w:val="clear" w:color="auto" w:fill="auto"/>
            <w:noWrap/>
            <w:vAlign w:val="bottom"/>
            <w:hideMark/>
          </w:tcPr>
          <w:p w14:paraId="122C6FC3" w14:textId="77777777" w:rsidR="00BE6461" w:rsidRPr="00BE6461" w:rsidRDefault="00BE6461" w:rsidP="00BE6461">
            <w:pPr>
              <w:jc w:val="right"/>
              <w:rPr>
                <w:b/>
                <w:bCs/>
                <w:sz w:val="20"/>
                <w:szCs w:val="20"/>
              </w:rPr>
            </w:pPr>
            <w:r w:rsidRPr="00BE6461">
              <w:rPr>
                <w:b/>
                <w:bCs/>
                <w:sz w:val="20"/>
                <w:szCs w:val="20"/>
              </w:rPr>
              <w:t>217.909,20</w:t>
            </w:r>
          </w:p>
        </w:tc>
        <w:tc>
          <w:tcPr>
            <w:tcW w:w="1100" w:type="dxa"/>
            <w:tcBorders>
              <w:top w:val="nil"/>
              <w:left w:val="nil"/>
              <w:bottom w:val="nil"/>
              <w:right w:val="nil"/>
            </w:tcBorders>
            <w:shd w:val="clear" w:color="auto" w:fill="auto"/>
            <w:noWrap/>
            <w:vAlign w:val="bottom"/>
            <w:hideMark/>
          </w:tcPr>
          <w:p w14:paraId="4DC83E91"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39CA9CD2" w14:textId="77777777" w:rsidTr="00BE6461">
        <w:trPr>
          <w:trHeight w:val="300"/>
        </w:trPr>
        <w:tc>
          <w:tcPr>
            <w:tcW w:w="1703" w:type="dxa"/>
            <w:tcBorders>
              <w:top w:val="nil"/>
              <w:left w:val="nil"/>
              <w:bottom w:val="nil"/>
              <w:right w:val="nil"/>
            </w:tcBorders>
            <w:shd w:val="clear" w:color="auto" w:fill="auto"/>
            <w:noWrap/>
            <w:vAlign w:val="bottom"/>
            <w:hideMark/>
          </w:tcPr>
          <w:p w14:paraId="427BED91" w14:textId="77777777" w:rsidR="00BE6461" w:rsidRPr="00BE6461" w:rsidRDefault="00BE6461" w:rsidP="00BE6461">
            <w:pPr>
              <w:rPr>
                <w:sz w:val="20"/>
                <w:szCs w:val="20"/>
              </w:rPr>
            </w:pPr>
            <w:r w:rsidRPr="00BE6461">
              <w:rPr>
                <w:sz w:val="20"/>
                <w:szCs w:val="20"/>
              </w:rPr>
              <w:t>4111</w:t>
            </w:r>
          </w:p>
        </w:tc>
        <w:tc>
          <w:tcPr>
            <w:tcW w:w="8457" w:type="dxa"/>
            <w:tcBorders>
              <w:top w:val="nil"/>
              <w:left w:val="nil"/>
              <w:bottom w:val="nil"/>
              <w:right w:val="nil"/>
            </w:tcBorders>
            <w:shd w:val="clear" w:color="auto" w:fill="auto"/>
            <w:vAlign w:val="bottom"/>
            <w:hideMark/>
          </w:tcPr>
          <w:p w14:paraId="27559E28" w14:textId="77777777" w:rsidR="00BE6461" w:rsidRPr="00BE6461" w:rsidRDefault="00BE6461" w:rsidP="00BE6461">
            <w:pPr>
              <w:rPr>
                <w:sz w:val="20"/>
                <w:szCs w:val="20"/>
              </w:rPr>
            </w:pPr>
            <w:r w:rsidRPr="00BE6461">
              <w:rPr>
                <w:sz w:val="20"/>
                <w:szCs w:val="20"/>
              </w:rPr>
              <w:t xml:space="preserve">Zemljište                                                                                           </w:t>
            </w:r>
          </w:p>
        </w:tc>
        <w:tc>
          <w:tcPr>
            <w:tcW w:w="1503" w:type="dxa"/>
            <w:tcBorders>
              <w:top w:val="nil"/>
              <w:left w:val="nil"/>
              <w:bottom w:val="nil"/>
              <w:right w:val="nil"/>
            </w:tcBorders>
            <w:shd w:val="clear" w:color="auto" w:fill="auto"/>
            <w:noWrap/>
            <w:vAlign w:val="bottom"/>
            <w:hideMark/>
          </w:tcPr>
          <w:p w14:paraId="1AA12D24"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44D71EE" w14:textId="77777777" w:rsidR="00BE6461" w:rsidRPr="00BE6461" w:rsidRDefault="00BE6461" w:rsidP="00BE6461">
            <w:pPr>
              <w:jc w:val="right"/>
              <w:rPr>
                <w:sz w:val="20"/>
                <w:szCs w:val="20"/>
              </w:rPr>
            </w:pPr>
            <w:r w:rsidRPr="00BE6461">
              <w:rPr>
                <w:sz w:val="20"/>
                <w:szCs w:val="20"/>
              </w:rPr>
              <w:t>217.909,20</w:t>
            </w:r>
          </w:p>
        </w:tc>
        <w:tc>
          <w:tcPr>
            <w:tcW w:w="1100" w:type="dxa"/>
            <w:tcBorders>
              <w:top w:val="nil"/>
              <w:left w:val="nil"/>
              <w:bottom w:val="nil"/>
              <w:right w:val="nil"/>
            </w:tcBorders>
            <w:shd w:val="clear" w:color="auto" w:fill="auto"/>
            <w:noWrap/>
            <w:vAlign w:val="bottom"/>
            <w:hideMark/>
          </w:tcPr>
          <w:p w14:paraId="1A18859D" w14:textId="77777777" w:rsidR="00BE6461" w:rsidRPr="00BE6461" w:rsidRDefault="00BE6461" w:rsidP="00BE6461">
            <w:pPr>
              <w:jc w:val="right"/>
              <w:rPr>
                <w:sz w:val="20"/>
                <w:szCs w:val="20"/>
              </w:rPr>
            </w:pPr>
          </w:p>
        </w:tc>
      </w:tr>
      <w:tr w:rsidR="00BE6461" w:rsidRPr="00BE6461" w14:paraId="50BD7BB8" w14:textId="77777777" w:rsidTr="00BE6461">
        <w:trPr>
          <w:trHeight w:val="300"/>
        </w:trPr>
        <w:tc>
          <w:tcPr>
            <w:tcW w:w="1703" w:type="dxa"/>
            <w:tcBorders>
              <w:top w:val="nil"/>
              <w:left w:val="nil"/>
              <w:bottom w:val="nil"/>
              <w:right w:val="nil"/>
            </w:tcBorders>
            <w:shd w:val="clear" w:color="auto" w:fill="auto"/>
            <w:noWrap/>
            <w:vAlign w:val="bottom"/>
            <w:hideMark/>
          </w:tcPr>
          <w:p w14:paraId="2CEEF464" w14:textId="77777777" w:rsidR="00BE6461" w:rsidRPr="00BE6461" w:rsidRDefault="00BE6461" w:rsidP="00BE6461">
            <w:pPr>
              <w:rPr>
                <w:b/>
                <w:bCs/>
                <w:sz w:val="20"/>
                <w:szCs w:val="20"/>
              </w:rPr>
            </w:pPr>
            <w:r w:rsidRPr="00BE6461">
              <w:rPr>
                <w:b/>
                <w:bCs/>
                <w:sz w:val="20"/>
                <w:szCs w:val="20"/>
              </w:rPr>
              <w:t>421</w:t>
            </w:r>
          </w:p>
        </w:tc>
        <w:tc>
          <w:tcPr>
            <w:tcW w:w="8457" w:type="dxa"/>
            <w:tcBorders>
              <w:top w:val="nil"/>
              <w:left w:val="nil"/>
              <w:bottom w:val="nil"/>
              <w:right w:val="nil"/>
            </w:tcBorders>
            <w:shd w:val="clear" w:color="auto" w:fill="auto"/>
            <w:vAlign w:val="bottom"/>
            <w:hideMark/>
          </w:tcPr>
          <w:p w14:paraId="66225A78" w14:textId="77777777" w:rsidR="00BE6461" w:rsidRPr="00BE6461" w:rsidRDefault="00BE6461" w:rsidP="00BE6461">
            <w:pPr>
              <w:rPr>
                <w:b/>
                <w:bCs/>
                <w:sz w:val="20"/>
                <w:szCs w:val="20"/>
              </w:rPr>
            </w:pPr>
            <w:r w:rsidRPr="00BE6461">
              <w:rPr>
                <w:b/>
                <w:bCs/>
                <w:sz w:val="20"/>
                <w:szCs w:val="20"/>
              </w:rPr>
              <w:t xml:space="preserve">Građevinski objekti                                                                                 </w:t>
            </w:r>
          </w:p>
        </w:tc>
        <w:tc>
          <w:tcPr>
            <w:tcW w:w="1503" w:type="dxa"/>
            <w:tcBorders>
              <w:top w:val="nil"/>
              <w:left w:val="nil"/>
              <w:bottom w:val="nil"/>
              <w:right w:val="nil"/>
            </w:tcBorders>
            <w:shd w:val="clear" w:color="auto" w:fill="auto"/>
            <w:noWrap/>
            <w:vAlign w:val="bottom"/>
            <w:hideMark/>
          </w:tcPr>
          <w:p w14:paraId="4EF5ABFF" w14:textId="77777777" w:rsidR="00BE6461" w:rsidRPr="00BE6461" w:rsidRDefault="00BE6461" w:rsidP="00BE6461">
            <w:pPr>
              <w:jc w:val="right"/>
              <w:rPr>
                <w:b/>
                <w:bCs/>
                <w:sz w:val="20"/>
                <w:szCs w:val="20"/>
              </w:rPr>
            </w:pPr>
            <w:r w:rsidRPr="00BE6461">
              <w:rPr>
                <w:b/>
                <w:bCs/>
                <w:sz w:val="20"/>
                <w:szCs w:val="20"/>
              </w:rPr>
              <w:t>228.130,73</w:t>
            </w:r>
          </w:p>
        </w:tc>
        <w:tc>
          <w:tcPr>
            <w:tcW w:w="1500" w:type="dxa"/>
            <w:tcBorders>
              <w:top w:val="nil"/>
              <w:left w:val="nil"/>
              <w:bottom w:val="nil"/>
              <w:right w:val="nil"/>
            </w:tcBorders>
            <w:shd w:val="clear" w:color="auto" w:fill="auto"/>
            <w:noWrap/>
            <w:vAlign w:val="bottom"/>
            <w:hideMark/>
          </w:tcPr>
          <w:p w14:paraId="41D43FE3" w14:textId="77777777" w:rsidR="00BE6461" w:rsidRPr="00BE6461" w:rsidRDefault="00BE6461" w:rsidP="00BE6461">
            <w:pPr>
              <w:jc w:val="right"/>
              <w:rPr>
                <w:b/>
                <w:bCs/>
                <w:sz w:val="20"/>
                <w:szCs w:val="20"/>
              </w:rPr>
            </w:pPr>
            <w:r w:rsidRPr="00BE6461">
              <w:rPr>
                <w:b/>
                <w:bCs/>
                <w:sz w:val="20"/>
                <w:szCs w:val="20"/>
              </w:rPr>
              <w:t>228.130,73</w:t>
            </w:r>
          </w:p>
        </w:tc>
        <w:tc>
          <w:tcPr>
            <w:tcW w:w="1100" w:type="dxa"/>
            <w:tcBorders>
              <w:top w:val="nil"/>
              <w:left w:val="nil"/>
              <w:bottom w:val="nil"/>
              <w:right w:val="nil"/>
            </w:tcBorders>
            <w:shd w:val="clear" w:color="auto" w:fill="auto"/>
            <w:noWrap/>
            <w:vAlign w:val="bottom"/>
            <w:hideMark/>
          </w:tcPr>
          <w:p w14:paraId="06A3B0AC"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7B6E25DF" w14:textId="77777777" w:rsidTr="00BE6461">
        <w:trPr>
          <w:trHeight w:val="300"/>
        </w:trPr>
        <w:tc>
          <w:tcPr>
            <w:tcW w:w="1703" w:type="dxa"/>
            <w:tcBorders>
              <w:top w:val="nil"/>
              <w:left w:val="nil"/>
              <w:bottom w:val="nil"/>
              <w:right w:val="nil"/>
            </w:tcBorders>
            <w:shd w:val="clear" w:color="auto" w:fill="auto"/>
            <w:noWrap/>
            <w:vAlign w:val="bottom"/>
            <w:hideMark/>
          </w:tcPr>
          <w:p w14:paraId="10401564" w14:textId="77777777" w:rsidR="00BE6461" w:rsidRPr="00BE6461" w:rsidRDefault="00BE6461" w:rsidP="00BE6461">
            <w:pPr>
              <w:rPr>
                <w:sz w:val="20"/>
                <w:szCs w:val="20"/>
              </w:rPr>
            </w:pPr>
            <w:r w:rsidRPr="00BE6461">
              <w:rPr>
                <w:sz w:val="20"/>
                <w:szCs w:val="20"/>
              </w:rPr>
              <w:t>4212</w:t>
            </w:r>
          </w:p>
        </w:tc>
        <w:tc>
          <w:tcPr>
            <w:tcW w:w="8457" w:type="dxa"/>
            <w:tcBorders>
              <w:top w:val="nil"/>
              <w:left w:val="nil"/>
              <w:bottom w:val="nil"/>
              <w:right w:val="nil"/>
            </w:tcBorders>
            <w:shd w:val="clear" w:color="auto" w:fill="auto"/>
            <w:vAlign w:val="bottom"/>
            <w:hideMark/>
          </w:tcPr>
          <w:p w14:paraId="0581651D" w14:textId="77777777" w:rsidR="00BE6461" w:rsidRPr="00BE6461" w:rsidRDefault="00BE6461" w:rsidP="00BE6461">
            <w:pPr>
              <w:rPr>
                <w:sz w:val="20"/>
                <w:szCs w:val="20"/>
              </w:rPr>
            </w:pPr>
            <w:r w:rsidRPr="00BE6461">
              <w:rPr>
                <w:sz w:val="20"/>
                <w:szCs w:val="20"/>
              </w:rPr>
              <w:t xml:space="preserve">Poslovni objekti                                                                                    </w:t>
            </w:r>
          </w:p>
        </w:tc>
        <w:tc>
          <w:tcPr>
            <w:tcW w:w="1503" w:type="dxa"/>
            <w:tcBorders>
              <w:top w:val="nil"/>
              <w:left w:val="nil"/>
              <w:bottom w:val="nil"/>
              <w:right w:val="nil"/>
            </w:tcBorders>
            <w:shd w:val="clear" w:color="auto" w:fill="auto"/>
            <w:noWrap/>
            <w:vAlign w:val="bottom"/>
            <w:hideMark/>
          </w:tcPr>
          <w:p w14:paraId="5010BD7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D412CFD" w14:textId="77777777" w:rsidR="00BE6461" w:rsidRPr="00BE6461" w:rsidRDefault="00BE6461" w:rsidP="00BE6461">
            <w:pPr>
              <w:jc w:val="right"/>
              <w:rPr>
                <w:sz w:val="20"/>
                <w:szCs w:val="20"/>
              </w:rPr>
            </w:pPr>
            <w:r w:rsidRPr="00BE6461">
              <w:rPr>
                <w:sz w:val="20"/>
                <w:szCs w:val="20"/>
              </w:rPr>
              <w:t>228.130,73</w:t>
            </w:r>
          </w:p>
        </w:tc>
        <w:tc>
          <w:tcPr>
            <w:tcW w:w="1100" w:type="dxa"/>
            <w:tcBorders>
              <w:top w:val="nil"/>
              <w:left w:val="nil"/>
              <w:bottom w:val="nil"/>
              <w:right w:val="nil"/>
            </w:tcBorders>
            <w:shd w:val="clear" w:color="auto" w:fill="auto"/>
            <w:noWrap/>
            <w:vAlign w:val="bottom"/>
            <w:hideMark/>
          </w:tcPr>
          <w:p w14:paraId="3867A693" w14:textId="77777777" w:rsidR="00BE6461" w:rsidRPr="00BE6461" w:rsidRDefault="00BE6461" w:rsidP="00BE6461">
            <w:pPr>
              <w:jc w:val="right"/>
              <w:rPr>
                <w:sz w:val="20"/>
                <w:szCs w:val="20"/>
              </w:rPr>
            </w:pPr>
          </w:p>
        </w:tc>
      </w:tr>
      <w:tr w:rsidR="00BE6461" w:rsidRPr="00BE6461" w14:paraId="20AD095D"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4BAFDF5C" w14:textId="77777777" w:rsidR="00BE6461" w:rsidRPr="00BE6461" w:rsidRDefault="00BE6461" w:rsidP="00BE6461">
            <w:pPr>
              <w:rPr>
                <w:b/>
                <w:bCs/>
                <w:sz w:val="20"/>
                <w:szCs w:val="20"/>
              </w:rPr>
            </w:pPr>
            <w:r w:rsidRPr="00BE6461">
              <w:rPr>
                <w:b/>
                <w:bCs/>
                <w:sz w:val="20"/>
                <w:szCs w:val="20"/>
              </w:rPr>
              <w:t>K300021</w:t>
            </w:r>
          </w:p>
        </w:tc>
        <w:tc>
          <w:tcPr>
            <w:tcW w:w="8457" w:type="dxa"/>
            <w:tcBorders>
              <w:top w:val="single" w:sz="4" w:space="0" w:color="auto"/>
              <w:left w:val="nil"/>
              <w:bottom w:val="single" w:sz="4" w:space="0" w:color="auto"/>
              <w:right w:val="nil"/>
            </w:tcBorders>
            <w:shd w:val="clear" w:color="auto" w:fill="auto"/>
            <w:vAlign w:val="bottom"/>
            <w:hideMark/>
          </w:tcPr>
          <w:p w14:paraId="3518B64C" w14:textId="77777777" w:rsidR="00BE6461" w:rsidRPr="00BE6461" w:rsidRDefault="00BE6461" w:rsidP="00BE6461">
            <w:pPr>
              <w:rPr>
                <w:b/>
                <w:bCs/>
                <w:sz w:val="20"/>
                <w:szCs w:val="20"/>
              </w:rPr>
            </w:pPr>
            <w:r w:rsidRPr="00BE6461">
              <w:rPr>
                <w:b/>
                <w:bCs/>
                <w:sz w:val="20"/>
                <w:szCs w:val="20"/>
              </w:rPr>
              <w:t>Kapitalni projekt: SANACIJA SPOMENIKA PALIM BORCIMA U PLOVANIJI</w:t>
            </w:r>
          </w:p>
        </w:tc>
        <w:tc>
          <w:tcPr>
            <w:tcW w:w="1503" w:type="dxa"/>
            <w:tcBorders>
              <w:top w:val="single" w:sz="4" w:space="0" w:color="auto"/>
              <w:left w:val="nil"/>
              <w:bottom w:val="single" w:sz="4" w:space="0" w:color="auto"/>
              <w:right w:val="nil"/>
            </w:tcBorders>
            <w:shd w:val="clear" w:color="auto" w:fill="auto"/>
            <w:noWrap/>
            <w:vAlign w:val="bottom"/>
            <w:hideMark/>
          </w:tcPr>
          <w:p w14:paraId="10164E57" w14:textId="77777777" w:rsidR="00BE6461" w:rsidRPr="00BE6461" w:rsidRDefault="00BE6461" w:rsidP="00BE6461">
            <w:pPr>
              <w:jc w:val="right"/>
              <w:rPr>
                <w:b/>
                <w:bCs/>
                <w:sz w:val="20"/>
                <w:szCs w:val="20"/>
              </w:rPr>
            </w:pPr>
            <w:r w:rsidRPr="00BE6461">
              <w:rPr>
                <w:b/>
                <w:bCs/>
                <w:sz w:val="20"/>
                <w:szCs w:val="20"/>
              </w:rPr>
              <w:t>1.500,00</w:t>
            </w:r>
          </w:p>
        </w:tc>
        <w:tc>
          <w:tcPr>
            <w:tcW w:w="1500" w:type="dxa"/>
            <w:tcBorders>
              <w:top w:val="single" w:sz="4" w:space="0" w:color="auto"/>
              <w:left w:val="nil"/>
              <w:bottom w:val="single" w:sz="4" w:space="0" w:color="auto"/>
              <w:right w:val="nil"/>
            </w:tcBorders>
            <w:shd w:val="clear" w:color="auto" w:fill="auto"/>
            <w:noWrap/>
            <w:vAlign w:val="bottom"/>
            <w:hideMark/>
          </w:tcPr>
          <w:p w14:paraId="42C81315" w14:textId="77777777" w:rsidR="00BE6461" w:rsidRPr="00BE6461" w:rsidRDefault="00BE6461" w:rsidP="00BE6461">
            <w:pPr>
              <w:jc w:val="right"/>
              <w:rPr>
                <w:b/>
                <w:bCs/>
                <w:sz w:val="20"/>
                <w:szCs w:val="20"/>
              </w:rPr>
            </w:pPr>
            <w:r w:rsidRPr="00BE6461">
              <w:rPr>
                <w:b/>
                <w:bCs/>
                <w:sz w:val="20"/>
                <w:szCs w:val="20"/>
              </w:rPr>
              <w:t>1.500,00</w:t>
            </w:r>
          </w:p>
        </w:tc>
        <w:tc>
          <w:tcPr>
            <w:tcW w:w="1100" w:type="dxa"/>
            <w:tcBorders>
              <w:top w:val="single" w:sz="4" w:space="0" w:color="auto"/>
              <w:left w:val="nil"/>
              <w:bottom w:val="single" w:sz="4" w:space="0" w:color="auto"/>
              <w:right w:val="nil"/>
            </w:tcBorders>
            <w:shd w:val="clear" w:color="auto" w:fill="auto"/>
            <w:noWrap/>
            <w:vAlign w:val="bottom"/>
            <w:hideMark/>
          </w:tcPr>
          <w:p w14:paraId="1090DE4E"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79BD393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94D0303" w14:textId="77777777" w:rsidR="00BE6461" w:rsidRPr="00BE6461" w:rsidRDefault="00BE6461" w:rsidP="00BE6461">
            <w:pPr>
              <w:rPr>
                <w:b/>
                <w:bCs/>
                <w:color w:val="333333"/>
                <w:sz w:val="20"/>
                <w:szCs w:val="20"/>
              </w:rPr>
            </w:pPr>
            <w:r w:rsidRPr="00BE6461">
              <w:rPr>
                <w:b/>
                <w:bCs/>
                <w:color w:val="333333"/>
                <w:sz w:val="20"/>
                <w:szCs w:val="20"/>
              </w:rPr>
              <w:lastRenderedPageBreak/>
              <w:t>Izvor 1. OPĆI PRIHODI I PRIMICI</w:t>
            </w:r>
          </w:p>
        </w:tc>
        <w:tc>
          <w:tcPr>
            <w:tcW w:w="1503" w:type="dxa"/>
            <w:tcBorders>
              <w:top w:val="nil"/>
              <w:left w:val="nil"/>
              <w:bottom w:val="nil"/>
              <w:right w:val="nil"/>
            </w:tcBorders>
            <w:shd w:val="clear" w:color="auto" w:fill="auto"/>
            <w:noWrap/>
            <w:vAlign w:val="bottom"/>
            <w:hideMark/>
          </w:tcPr>
          <w:p w14:paraId="0A7955D9" w14:textId="77777777" w:rsidR="00BE6461" w:rsidRPr="00BE6461" w:rsidRDefault="00BE6461" w:rsidP="00BE6461">
            <w:pPr>
              <w:jc w:val="right"/>
              <w:rPr>
                <w:b/>
                <w:bCs/>
                <w:color w:val="333333"/>
                <w:sz w:val="20"/>
                <w:szCs w:val="20"/>
              </w:rPr>
            </w:pPr>
            <w:r w:rsidRPr="00BE6461">
              <w:rPr>
                <w:b/>
                <w:bCs/>
                <w:color w:val="333333"/>
                <w:sz w:val="20"/>
                <w:szCs w:val="20"/>
              </w:rPr>
              <w:t>1.500,00</w:t>
            </w:r>
          </w:p>
        </w:tc>
        <w:tc>
          <w:tcPr>
            <w:tcW w:w="1500" w:type="dxa"/>
            <w:tcBorders>
              <w:top w:val="nil"/>
              <w:left w:val="nil"/>
              <w:bottom w:val="nil"/>
              <w:right w:val="nil"/>
            </w:tcBorders>
            <w:shd w:val="clear" w:color="auto" w:fill="auto"/>
            <w:noWrap/>
            <w:vAlign w:val="bottom"/>
            <w:hideMark/>
          </w:tcPr>
          <w:p w14:paraId="6BDF0B72" w14:textId="77777777" w:rsidR="00BE6461" w:rsidRPr="00BE6461" w:rsidRDefault="00BE6461" w:rsidP="00BE6461">
            <w:pPr>
              <w:jc w:val="right"/>
              <w:rPr>
                <w:b/>
                <w:bCs/>
                <w:color w:val="333333"/>
                <w:sz w:val="20"/>
                <w:szCs w:val="20"/>
              </w:rPr>
            </w:pPr>
            <w:r w:rsidRPr="00BE6461">
              <w:rPr>
                <w:b/>
                <w:bCs/>
                <w:color w:val="333333"/>
                <w:sz w:val="20"/>
                <w:szCs w:val="20"/>
              </w:rPr>
              <w:t>1.500,00</w:t>
            </w:r>
          </w:p>
        </w:tc>
        <w:tc>
          <w:tcPr>
            <w:tcW w:w="1100" w:type="dxa"/>
            <w:tcBorders>
              <w:top w:val="nil"/>
              <w:left w:val="nil"/>
              <w:bottom w:val="nil"/>
              <w:right w:val="nil"/>
            </w:tcBorders>
            <w:shd w:val="clear" w:color="auto" w:fill="auto"/>
            <w:noWrap/>
            <w:vAlign w:val="bottom"/>
            <w:hideMark/>
          </w:tcPr>
          <w:p w14:paraId="66C6F54B"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52E557E9"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B485C80"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521187D2" w14:textId="77777777" w:rsidR="00BE6461" w:rsidRPr="00BE6461" w:rsidRDefault="00BE6461" w:rsidP="00BE6461">
            <w:pPr>
              <w:jc w:val="right"/>
              <w:rPr>
                <w:b/>
                <w:bCs/>
                <w:color w:val="333333"/>
                <w:sz w:val="20"/>
                <w:szCs w:val="20"/>
              </w:rPr>
            </w:pPr>
            <w:r w:rsidRPr="00BE6461">
              <w:rPr>
                <w:b/>
                <w:bCs/>
                <w:color w:val="333333"/>
                <w:sz w:val="20"/>
                <w:szCs w:val="20"/>
              </w:rPr>
              <w:t>1.500,00</w:t>
            </w:r>
          </w:p>
        </w:tc>
        <w:tc>
          <w:tcPr>
            <w:tcW w:w="1500" w:type="dxa"/>
            <w:tcBorders>
              <w:top w:val="nil"/>
              <w:left w:val="nil"/>
              <w:bottom w:val="nil"/>
              <w:right w:val="nil"/>
            </w:tcBorders>
            <w:shd w:val="clear" w:color="auto" w:fill="auto"/>
            <w:noWrap/>
            <w:vAlign w:val="bottom"/>
            <w:hideMark/>
          </w:tcPr>
          <w:p w14:paraId="05945DBB" w14:textId="77777777" w:rsidR="00BE6461" w:rsidRPr="00BE6461" w:rsidRDefault="00BE6461" w:rsidP="00BE6461">
            <w:pPr>
              <w:jc w:val="right"/>
              <w:rPr>
                <w:b/>
                <w:bCs/>
                <w:color w:val="333333"/>
                <w:sz w:val="20"/>
                <w:szCs w:val="20"/>
              </w:rPr>
            </w:pPr>
            <w:r w:rsidRPr="00BE6461">
              <w:rPr>
                <w:b/>
                <w:bCs/>
                <w:color w:val="333333"/>
                <w:sz w:val="20"/>
                <w:szCs w:val="20"/>
              </w:rPr>
              <w:t>1.500,00</w:t>
            </w:r>
          </w:p>
        </w:tc>
        <w:tc>
          <w:tcPr>
            <w:tcW w:w="1100" w:type="dxa"/>
            <w:tcBorders>
              <w:top w:val="nil"/>
              <w:left w:val="nil"/>
              <w:bottom w:val="nil"/>
              <w:right w:val="nil"/>
            </w:tcBorders>
            <w:shd w:val="clear" w:color="auto" w:fill="auto"/>
            <w:noWrap/>
            <w:vAlign w:val="bottom"/>
            <w:hideMark/>
          </w:tcPr>
          <w:p w14:paraId="27DC8BA1"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41503C6F" w14:textId="77777777" w:rsidTr="00BE6461">
        <w:trPr>
          <w:trHeight w:val="300"/>
        </w:trPr>
        <w:tc>
          <w:tcPr>
            <w:tcW w:w="1703" w:type="dxa"/>
            <w:tcBorders>
              <w:top w:val="nil"/>
              <w:left w:val="nil"/>
              <w:bottom w:val="nil"/>
              <w:right w:val="nil"/>
            </w:tcBorders>
            <w:shd w:val="clear" w:color="auto" w:fill="auto"/>
            <w:noWrap/>
            <w:vAlign w:val="bottom"/>
            <w:hideMark/>
          </w:tcPr>
          <w:p w14:paraId="436A56DE"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61935897"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6CBA7FCE" w14:textId="77777777" w:rsidR="00BE6461" w:rsidRPr="00BE6461" w:rsidRDefault="00BE6461" w:rsidP="00BE6461">
            <w:pPr>
              <w:jc w:val="right"/>
              <w:rPr>
                <w:b/>
                <w:bCs/>
                <w:sz w:val="20"/>
                <w:szCs w:val="20"/>
              </w:rPr>
            </w:pPr>
            <w:r w:rsidRPr="00BE6461">
              <w:rPr>
                <w:b/>
                <w:bCs/>
                <w:sz w:val="20"/>
                <w:szCs w:val="20"/>
              </w:rPr>
              <w:t>1.500,00</w:t>
            </w:r>
          </w:p>
        </w:tc>
        <w:tc>
          <w:tcPr>
            <w:tcW w:w="1500" w:type="dxa"/>
            <w:tcBorders>
              <w:top w:val="nil"/>
              <w:left w:val="nil"/>
              <w:bottom w:val="nil"/>
              <w:right w:val="nil"/>
            </w:tcBorders>
            <w:shd w:val="clear" w:color="auto" w:fill="auto"/>
            <w:noWrap/>
            <w:vAlign w:val="bottom"/>
            <w:hideMark/>
          </w:tcPr>
          <w:p w14:paraId="49C5F1B4" w14:textId="77777777" w:rsidR="00BE6461" w:rsidRPr="00BE6461" w:rsidRDefault="00BE6461" w:rsidP="00BE6461">
            <w:pPr>
              <w:jc w:val="right"/>
              <w:rPr>
                <w:b/>
                <w:bCs/>
                <w:sz w:val="20"/>
                <w:szCs w:val="20"/>
              </w:rPr>
            </w:pPr>
            <w:r w:rsidRPr="00BE6461">
              <w:rPr>
                <w:b/>
                <w:bCs/>
                <w:sz w:val="20"/>
                <w:szCs w:val="20"/>
              </w:rPr>
              <w:t>1.500,00</w:t>
            </w:r>
          </w:p>
        </w:tc>
        <w:tc>
          <w:tcPr>
            <w:tcW w:w="1100" w:type="dxa"/>
            <w:tcBorders>
              <w:top w:val="nil"/>
              <w:left w:val="nil"/>
              <w:bottom w:val="nil"/>
              <w:right w:val="nil"/>
            </w:tcBorders>
            <w:shd w:val="clear" w:color="auto" w:fill="auto"/>
            <w:noWrap/>
            <w:vAlign w:val="bottom"/>
            <w:hideMark/>
          </w:tcPr>
          <w:p w14:paraId="49D66793"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5CB879B5" w14:textId="77777777" w:rsidTr="00BE6461">
        <w:trPr>
          <w:trHeight w:val="300"/>
        </w:trPr>
        <w:tc>
          <w:tcPr>
            <w:tcW w:w="1703" w:type="dxa"/>
            <w:tcBorders>
              <w:top w:val="nil"/>
              <w:left w:val="nil"/>
              <w:bottom w:val="nil"/>
              <w:right w:val="nil"/>
            </w:tcBorders>
            <w:shd w:val="clear" w:color="auto" w:fill="auto"/>
            <w:noWrap/>
            <w:vAlign w:val="bottom"/>
            <w:hideMark/>
          </w:tcPr>
          <w:p w14:paraId="3E2B337C" w14:textId="77777777" w:rsidR="00BE6461" w:rsidRPr="00BE6461" w:rsidRDefault="00BE6461" w:rsidP="00BE6461">
            <w:pPr>
              <w:rPr>
                <w:sz w:val="20"/>
                <w:szCs w:val="20"/>
              </w:rPr>
            </w:pPr>
            <w:r w:rsidRPr="00BE6461">
              <w:rPr>
                <w:sz w:val="20"/>
                <w:szCs w:val="20"/>
              </w:rPr>
              <w:t>3235</w:t>
            </w:r>
          </w:p>
        </w:tc>
        <w:tc>
          <w:tcPr>
            <w:tcW w:w="8457" w:type="dxa"/>
            <w:tcBorders>
              <w:top w:val="nil"/>
              <w:left w:val="nil"/>
              <w:bottom w:val="nil"/>
              <w:right w:val="nil"/>
            </w:tcBorders>
            <w:shd w:val="clear" w:color="auto" w:fill="auto"/>
            <w:vAlign w:val="bottom"/>
            <w:hideMark/>
          </w:tcPr>
          <w:p w14:paraId="1A62E8A0" w14:textId="77777777" w:rsidR="00BE6461" w:rsidRPr="00BE6461" w:rsidRDefault="00BE6461" w:rsidP="00BE6461">
            <w:pPr>
              <w:rPr>
                <w:sz w:val="20"/>
                <w:szCs w:val="20"/>
              </w:rPr>
            </w:pPr>
            <w:r w:rsidRPr="00BE6461">
              <w:rPr>
                <w:sz w:val="20"/>
                <w:szCs w:val="20"/>
              </w:rPr>
              <w:t xml:space="preserve">Zakupnine i najamnine                                                                               </w:t>
            </w:r>
          </w:p>
        </w:tc>
        <w:tc>
          <w:tcPr>
            <w:tcW w:w="1503" w:type="dxa"/>
            <w:tcBorders>
              <w:top w:val="nil"/>
              <w:left w:val="nil"/>
              <w:bottom w:val="nil"/>
              <w:right w:val="nil"/>
            </w:tcBorders>
            <w:shd w:val="clear" w:color="auto" w:fill="auto"/>
            <w:noWrap/>
            <w:vAlign w:val="bottom"/>
            <w:hideMark/>
          </w:tcPr>
          <w:p w14:paraId="5F830E0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1BDFC75" w14:textId="77777777" w:rsidR="00BE6461" w:rsidRPr="00BE6461" w:rsidRDefault="00BE6461" w:rsidP="00BE6461">
            <w:pPr>
              <w:jc w:val="right"/>
              <w:rPr>
                <w:sz w:val="20"/>
                <w:szCs w:val="20"/>
              </w:rPr>
            </w:pPr>
            <w:r w:rsidRPr="00BE6461">
              <w:rPr>
                <w:sz w:val="20"/>
                <w:szCs w:val="20"/>
              </w:rPr>
              <w:t>1.500,00</w:t>
            </w:r>
          </w:p>
        </w:tc>
        <w:tc>
          <w:tcPr>
            <w:tcW w:w="1100" w:type="dxa"/>
            <w:tcBorders>
              <w:top w:val="nil"/>
              <w:left w:val="nil"/>
              <w:bottom w:val="nil"/>
              <w:right w:val="nil"/>
            </w:tcBorders>
            <w:shd w:val="clear" w:color="auto" w:fill="auto"/>
            <w:noWrap/>
            <w:vAlign w:val="bottom"/>
            <w:hideMark/>
          </w:tcPr>
          <w:p w14:paraId="308AED25" w14:textId="77777777" w:rsidR="00BE6461" w:rsidRPr="00BE6461" w:rsidRDefault="00BE6461" w:rsidP="00BE6461">
            <w:pPr>
              <w:jc w:val="right"/>
              <w:rPr>
                <w:sz w:val="20"/>
                <w:szCs w:val="20"/>
              </w:rPr>
            </w:pPr>
          </w:p>
        </w:tc>
      </w:tr>
      <w:tr w:rsidR="00BE6461" w:rsidRPr="00BE6461" w14:paraId="47EDD399"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2C2209B8" w14:textId="77777777" w:rsidR="00BE6461" w:rsidRPr="00BE6461" w:rsidRDefault="00BE6461" w:rsidP="00BE6461">
            <w:pPr>
              <w:rPr>
                <w:b/>
                <w:bCs/>
                <w:sz w:val="20"/>
                <w:szCs w:val="20"/>
              </w:rPr>
            </w:pPr>
            <w:r w:rsidRPr="00BE6461">
              <w:rPr>
                <w:b/>
                <w:bCs/>
                <w:sz w:val="20"/>
                <w:szCs w:val="20"/>
              </w:rPr>
              <w:t>K300022</w:t>
            </w:r>
          </w:p>
        </w:tc>
        <w:tc>
          <w:tcPr>
            <w:tcW w:w="8457" w:type="dxa"/>
            <w:tcBorders>
              <w:top w:val="single" w:sz="4" w:space="0" w:color="auto"/>
              <w:left w:val="nil"/>
              <w:bottom w:val="single" w:sz="4" w:space="0" w:color="auto"/>
              <w:right w:val="nil"/>
            </w:tcBorders>
            <w:shd w:val="clear" w:color="auto" w:fill="auto"/>
            <w:vAlign w:val="bottom"/>
            <w:hideMark/>
          </w:tcPr>
          <w:p w14:paraId="30DBA013" w14:textId="77777777" w:rsidR="00BE6461" w:rsidRPr="00BE6461" w:rsidRDefault="00BE6461" w:rsidP="00BE6461">
            <w:pPr>
              <w:rPr>
                <w:b/>
                <w:bCs/>
                <w:sz w:val="20"/>
                <w:szCs w:val="20"/>
              </w:rPr>
            </w:pPr>
            <w:r w:rsidRPr="00BE6461">
              <w:rPr>
                <w:b/>
                <w:bCs/>
                <w:sz w:val="20"/>
                <w:szCs w:val="20"/>
              </w:rPr>
              <w:t>Kapitalni projekt: REKONSTUKCIJA STARE ULJARE</w:t>
            </w:r>
          </w:p>
        </w:tc>
        <w:tc>
          <w:tcPr>
            <w:tcW w:w="1503" w:type="dxa"/>
            <w:tcBorders>
              <w:top w:val="single" w:sz="4" w:space="0" w:color="auto"/>
              <w:left w:val="nil"/>
              <w:bottom w:val="single" w:sz="4" w:space="0" w:color="auto"/>
              <w:right w:val="nil"/>
            </w:tcBorders>
            <w:shd w:val="clear" w:color="auto" w:fill="auto"/>
            <w:noWrap/>
            <w:vAlign w:val="bottom"/>
            <w:hideMark/>
          </w:tcPr>
          <w:p w14:paraId="7498D6A2" w14:textId="77777777" w:rsidR="00BE6461" w:rsidRPr="00BE6461" w:rsidRDefault="00BE6461" w:rsidP="00BE6461">
            <w:pPr>
              <w:jc w:val="right"/>
              <w:rPr>
                <w:b/>
                <w:bCs/>
                <w:sz w:val="20"/>
                <w:szCs w:val="20"/>
              </w:rPr>
            </w:pPr>
            <w:r w:rsidRPr="00BE6461">
              <w:rPr>
                <w:b/>
                <w:bCs/>
                <w:sz w:val="20"/>
                <w:szCs w:val="20"/>
              </w:rPr>
              <w:t>147.500,00</w:t>
            </w:r>
          </w:p>
        </w:tc>
        <w:tc>
          <w:tcPr>
            <w:tcW w:w="1500" w:type="dxa"/>
            <w:tcBorders>
              <w:top w:val="single" w:sz="4" w:space="0" w:color="auto"/>
              <w:left w:val="nil"/>
              <w:bottom w:val="single" w:sz="4" w:space="0" w:color="auto"/>
              <w:right w:val="nil"/>
            </w:tcBorders>
            <w:shd w:val="clear" w:color="auto" w:fill="auto"/>
            <w:noWrap/>
            <w:vAlign w:val="bottom"/>
            <w:hideMark/>
          </w:tcPr>
          <w:p w14:paraId="266F0DF9" w14:textId="77777777" w:rsidR="00BE6461" w:rsidRPr="00BE6461" w:rsidRDefault="00BE6461" w:rsidP="00BE6461">
            <w:pPr>
              <w:jc w:val="right"/>
              <w:rPr>
                <w:b/>
                <w:bCs/>
                <w:sz w:val="20"/>
                <w:szCs w:val="20"/>
              </w:rPr>
            </w:pPr>
            <w:r w:rsidRPr="00BE6461">
              <w:rPr>
                <w:b/>
                <w:bCs/>
                <w:sz w:val="20"/>
                <w:szCs w:val="20"/>
              </w:rPr>
              <w:t>147.500,00</w:t>
            </w:r>
          </w:p>
        </w:tc>
        <w:tc>
          <w:tcPr>
            <w:tcW w:w="1100" w:type="dxa"/>
            <w:tcBorders>
              <w:top w:val="single" w:sz="4" w:space="0" w:color="auto"/>
              <w:left w:val="nil"/>
              <w:bottom w:val="single" w:sz="4" w:space="0" w:color="auto"/>
              <w:right w:val="nil"/>
            </w:tcBorders>
            <w:shd w:val="clear" w:color="auto" w:fill="auto"/>
            <w:noWrap/>
            <w:vAlign w:val="bottom"/>
            <w:hideMark/>
          </w:tcPr>
          <w:p w14:paraId="0D77CC85"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630DCBB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9DB60CA" w14:textId="77777777" w:rsidR="00BE6461" w:rsidRPr="00BE6461" w:rsidRDefault="00BE6461" w:rsidP="00BE6461">
            <w:pPr>
              <w:rPr>
                <w:b/>
                <w:bCs/>
                <w:color w:val="333333"/>
                <w:sz w:val="20"/>
                <w:szCs w:val="20"/>
              </w:rPr>
            </w:pPr>
            <w:r w:rsidRPr="00BE6461">
              <w:rPr>
                <w:b/>
                <w:bCs/>
                <w:color w:val="333333"/>
                <w:sz w:val="20"/>
                <w:szCs w:val="20"/>
              </w:rPr>
              <w:t>Izvor 7. PRIHODI OD NEFIN.IMOVINE I NADOKNADE ŠTETA OD OSIG.</w:t>
            </w:r>
          </w:p>
        </w:tc>
        <w:tc>
          <w:tcPr>
            <w:tcW w:w="1503" w:type="dxa"/>
            <w:tcBorders>
              <w:top w:val="nil"/>
              <w:left w:val="nil"/>
              <w:bottom w:val="nil"/>
              <w:right w:val="nil"/>
            </w:tcBorders>
            <w:shd w:val="clear" w:color="auto" w:fill="auto"/>
            <w:noWrap/>
            <w:vAlign w:val="bottom"/>
            <w:hideMark/>
          </w:tcPr>
          <w:p w14:paraId="401CCE72" w14:textId="77777777" w:rsidR="00BE6461" w:rsidRPr="00BE6461" w:rsidRDefault="00BE6461" w:rsidP="00BE6461">
            <w:pPr>
              <w:jc w:val="right"/>
              <w:rPr>
                <w:b/>
                <w:bCs/>
                <w:color w:val="333333"/>
                <w:sz w:val="20"/>
                <w:szCs w:val="20"/>
              </w:rPr>
            </w:pPr>
            <w:r w:rsidRPr="00BE6461">
              <w:rPr>
                <w:b/>
                <w:bCs/>
                <w:color w:val="333333"/>
                <w:sz w:val="20"/>
                <w:szCs w:val="20"/>
              </w:rPr>
              <w:t>147.500,00</w:t>
            </w:r>
          </w:p>
        </w:tc>
        <w:tc>
          <w:tcPr>
            <w:tcW w:w="1500" w:type="dxa"/>
            <w:tcBorders>
              <w:top w:val="nil"/>
              <w:left w:val="nil"/>
              <w:bottom w:val="nil"/>
              <w:right w:val="nil"/>
            </w:tcBorders>
            <w:shd w:val="clear" w:color="auto" w:fill="auto"/>
            <w:noWrap/>
            <w:vAlign w:val="bottom"/>
            <w:hideMark/>
          </w:tcPr>
          <w:p w14:paraId="2C28B392" w14:textId="77777777" w:rsidR="00BE6461" w:rsidRPr="00BE6461" w:rsidRDefault="00BE6461" w:rsidP="00BE6461">
            <w:pPr>
              <w:jc w:val="right"/>
              <w:rPr>
                <w:b/>
                <w:bCs/>
                <w:color w:val="333333"/>
                <w:sz w:val="20"/>
                <w:szCs w:val="20"/>
              </w:rPr>
            </w:pPr>
            <w:r w:rsidRPr="00BE6461">
              <w:rPr>
                <w:b/>
                <w:bCs/>
                <w:color w:val="333333"/>
                <w:sz w:val="20"/>
                <w:szCs w:val="20"/>
              </w:rPr>
              <w:t>147.500,00</w:t>
            </w:r>
          </w:p>
        </w:tc>
        <w:tc>
          <w:tcPr>
            <w:tcW w:w="1100" w:type="dxa"/>
            <w:tcBorders>
              <w:top w:val="nil"/>
              <w:left w:val="nil"/>
              <w:bottom w:val="nil"/>
              <w:right w:val="nil"/>
            </w:tcBorders>
            <w:shd w:val="clear" w:color="auto" w:fill="auto"/>
            <w:noWrap/>
            <w:vAlign w:val="bottom"/>
            <w:hideMark/>
          </w:tcPr>
          <w:p w14:paraId="307DBECF"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653400E2"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34CEE05" w14:textId="77777777" w:rsidR="00BE6461" w:rsidRPr="00BE6461" w:rsidRDefault="00BE6461" w:rsidP="00BE6461">
            <w:pPr>
              <w:rPr>
                <w:b/>
                <w:bCs/>
                <w:color w:val="333333"/>
                <w:sz w:val="20"/>
                <w:szCs w:val="20"/>
              </w:rPr>
            </w:pPr>
            <w:r w:rsidRPr="00BE6461">
              <w:rPr>
                <w:b/>
                <w:bCs/>
                <w:color w:val="333333"/>
                <w:sz w:val="20"/>
                <w:szCs w:val="20"/>
              </w:rPr>
              <w:t>Izvor 7.1. PRIHODI OD NEFIN.IMOVINE I NADOKNADE ŠTETA OD OSIG.</w:t>
            </w:r>
          </w:p>
        </w:tc>
        <w:tc>
          <w:tcPr>
            <w:tcW w:w="1503" w:type="dxa"/>
            <w:tcBorders>
              <w:top w:val="nil"/>
              <w:left w:val="nil"/>
              <w:bottom w:val="nil"/>
              <w:right w:val="nil"/>
            </w:tcBorders>
            <w:shd w:val="clear" w:color="auto" w:fill="auto"/>
            <w:noWrap/>
            <w:vAlign w:val="bottom"/>
            <w:hideMark/>
          </w:tcPr>
          <w:p w14:paraId="5953F4AE" w14:textId="77777777" w:rsidR="00BE6461" w:rsidRPr="00BE6461" w:rsidRDefault="00BE6461" w:rsidP="00BE6461">
            <w:pPr>
              <w:jc w:val="right"/>
              <w:rPr>
                <w:b/>
                <w:bCs/>
                <w:color w:val="333333"/>
                <w:sz w:val="20"/>
                <w:szCs w:val="20"/>
              </w:rPr>
            </w:pPr>
            <w:r w:rsidRPr="00BE6461">
              <w:rPr>
                <w:b/>
                <w:bCs/>
                <w:color w:val="333333"/>
                <w:sz w:val="20"/>
                <w:szCs w:val="20"/>
              </w:rPr>
              <w:t>147.500,00</w:t>
            </w:r>
          </w:p>
        </w:tc>
        <w:tc>
          <w:tcPr>
            <w:tcW w:w="1500" w:type="dxa"/>
            <w:tcBorders>
              <w:top w:val="nil"/>
              <w:left w:val="nil"/>
              <w:bottom w:val="nil"/>
              <w:right w:val="nil"/>
            </w:tcBorders>
            <w:shd w:val="clear" w:color="auto" w:fill="auto"/>
            <w:noWrap/>
            <w:vAlign w:val="bottom"/>
            <w:hideMark/>
          </w:tcPr>
          <w:p w14:paraId="04DEA044" w14:textId="77777777" w:rsidR="00BE6461" w:rsidRPr="00BE6461" w:rsidRDefault="00BE6461" w:rsidP="00BE6461">
            <w:pPr>
              <w:jc w:val="right"/>
              <w:rPr>
                <w:b/>
                <w:bCs/>
                <w:color w:val="333333"/>
                <w:sz w:val="20"/>
                <w:szCs w:val="20"/>
              </w:rPr>
            </w:pPr>
            <w:r w:rsidRPr="00BE6461">
              <w:rPr>
                <w:b/>
                <w:bCs/>
                <w:color w:val="333333"/>
                <w:sz w:val="20"/>
                <w:szCs w:val="20"/>
              </w:rPr>
              <w:t>147.500,00</w:t>
            </w:r>
          </w:p>
        </w:tc>
        <w:tc>
          <w:tcPr>
            <w:tcW w:w="1100" w:type="dxa"/>
            <w:tcBorders>
              <w:top w:val="nil"/>
              <w:left w:val="nil"/>
              <w:bottom w:val="nil"/>
              <w:right w:val="nil"/>
            </w:tcBorders>
            <w:shd w:val="clear" w:color="auto" w:fill="auto"/>
            <w:noWrap/>
            <w:vAlign w:val="bottom"/>
            <w:hideMark/>
          </w:tcPr>
          <w:p w14:paraId="6BB6F724"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1A962E90" w14:textId="77777777" w:rsidTr="00BE6461">
        <w:trPr>
          <w:trHeight w:val="300"/>
        </w:trPr>
        <w:tc>
          <w:tcPr>
            <w:tcW w:w="1703" w:type="dxa"/>
            <w:tcBorders>
              <w:top w:val="nil"/>
              <w:left w:val="nil"/>
              <w:bottom w:val="nil"/>
              <w:right w:val="nil"/>
            </w:tcBorders>
            <w:shd w:val="clear" w:color="auto" w:fill="auto"/>
            <w:noWrap/>
            <w:vAlign w:val="bottom"/>
            <w:hideMark/>
          </w:tcPr>
          <w:p w14:paraId="1712D205" w14:textId="77777777" w:rsidR="00BE6461" w:rsidRPr="00BE6461" w:rsidRDefault="00BE6461" w:rsidP="00BE6461">
            <w:pPr>
              <w:rPr>
                <w:b/>
                <w:bCs/>
                <w:sz w:val="20"/>
                <w:szCs w:val="20"/>
              </w:rPr>
            </w:pPr>
            <w:r w:rsidRPr="00BE6461">
              <w:rPr>
                <w:b/>
                <w:bCs/>
                <w:sz w:val="20"/>
                <w:szCs w:val="20"/>
              </w:rPr>
              <w:t>451</w:t>
            </w:r>
          </w:p>
        </w:tc>
        <w:tc>
          <w:tcPr>
            <w:tcW w:w="8457" w:type="dxa"/>
            <w:tcBorders>
              <w:top w:val="nil"/>
              <w:left w:val="nil"/>
              <w:bottom w:val="nil"/>
              <w:right w:val="nil"/>
            </w:tcBorders>
            <w:shd w:val="clear" w:color="auto" w:fill="auto"/>
            <w:vAlign w:val="bottom"/>
            <w:hideMark/>
          </w:tcPr>
          <w:p w14:paraId="480FBD38" w14:textId="77777777" w:rsidR="00BE6461" w:rsidRPr="00BE6461" w:rsidRDefault="00BE6461" w:rsidP="00BE6461">
            <w:pPr>
              <w:rPr>
                <w:b/>
                <w:bCs/>
                <w:sz w:val="20"/>
                <w:szCs w:val="20"/>
              </w:rPr>
            </w:pPr>
            <w:r w:rsidRPr="00BE6461">
              <w:rPr>
                <w:b/>
                <w:bCs/>
                <w:sz w:val="20"/>
                <w:szCs w:val="20"/>
              </w:rPr>
              <w:t xml:space="preserve">Dodatna ulaganja na građevinskim objektima                                                          </w:t>
            </w:r>
          </w:p>
        </w:tc>
        <w:tc>
          <w:tcPr>
            <w:tcW w:w="1503" w:type="dxa"/>
            <w:tcBorders>
              <w:top w:val="nil"/>
              <w:left w:val="nil"/>
              <w:bottom w:val="nil"/>
              <w:right w:val="nil"/>
            </w:tcBorders>
            <w:shd w:val="clear" w:color="auto" w:fill="auto"/>
            <w:noWrap/>
            <w:vAlign w:val="bottom"/>
            <w:hideMark/>
          </w:tcPr>
          <w:p w14:paraId="1EDAD80D" w14:textId="77777777" w:rsidR="00BE6461" w:rsidRPr="00BE6461" w:rsidRDefault="00BE6461" w:rsidP="00BE6461">
            <w:pPr>
              <w:jc w:val="right"/>
              <w:rPr>
                <w:b/>
                <w:bCs/>
                <w:sz w:val="20"/>
                <w:szCs w:val="20"/>
              </w:rPr>
            </w:pPr>
            <w:r w:rsidRPr="00BE6461">
              <w:rPr>
                <w:b/>
                <w:bCs/>
                <w:sz w:val="20"/>
                <w:szCs w:val="20"/>
              </w:rPr>
              <w:t>147.500,00</w:t>
            </w:r>
          </w:p>
        </w:tc>
        <w:tc>
          <w:tcPr>
            <w:tcW w:w="1500" w:type="dxa"/>
            <w:tcBorders>
              <w:top w:val="nil"/>
              <w:left w:val="nil"/>
              <w:bottom w:val="nil"/>
              <w:right w:val="nil"/>
            </w:tcBorders>
            <w:shd w:val="clear" w:color="auto" w:fill="auto"/>
            <w:noWrap/>
            <w:vAlign w:val="bottom"/>
            <w:hideMark/>
          </w:tcPr>
          <w:p w14:paraId="4C9F21DF" w14:textId="77777777" w:rsidR="00BE6461" w:rsidRPr="00BE6461" w:rsidRDefault="00BE6461" w:rsidP="00BE6461">
            <w:pPr>
              <w:jc w:val="right"/>
              <w:rPr>
                <w:b/>
                <w:bCs/>
                <w:sz w:val="20"/>
                <w:szCs w:val="20"/>
              </w:rPr>
            </w:pPr>
            <w:r w:rsidRPr="00BE6461">
              <w:rPr>
                <w:b/>
                <w:bCs/>
                <w:sz w:val="20"/>
                <w:szCs w:val="20"/>
              </w:rPr>
              <w:t>147.500,00</w:t>
            </w:r>
          </w:p>
        </w:tc>
        <w:tc>
          <w:tcPr>
            <w:tcW w:w="1100" w:type="dxa"/>
            <w:tcBorders>
              <w:top w:val="nil"/>
              <w:left w:val="nil"/>
              <w:bottom w:val="nil"/>
              <w:right w:val="nil"/>
            </w:tcBorders>
            <w:shd w:val="clear" w:color="auto" w:fill="auto"/>
            <w:noWrap/>
            <w:vAlign w:val="bottom"/>
            <w:hideMark/>
          </w:tcPr>
          <w:p w14:paraId="0FE335DE"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36208656" w14:textId="77777777" w:rsidTr="00BE6461">
        <w:trPr>
          <w:trHeight w:val="300"/>
        </w:trPr>
        <w:tc>
          <w:tcPr>
            <w:tcW w:w="1703" w:type="dxa"/>
            <w:tcBorders>
              <w:top w:val="nil"/>
              <w:left w:val="nil"/>
              <w:bottom w:val="nil"/>
              <w:right w:val="nil"/>
            </w:tcBorders>
            <w:shd w:val="clear" w:color="auto" w:fill="auto"/>
            <w:noWrap/>
            <w:vAlign w:val="bottom"/>
            <w:hideMark/>
          </w:tcPr>
          <w:p w14:paraId="0E850489" w14:textId="77777777" w:rsidR="00BE6461" w:rsidRPr="00BE6461" w:rsidRDefault="00BE6461" w:rsidP="00BE6461">
            <w:pPr>
              <w:rPr>
                <w:sz w:val="20"/>
                <w:szCs w:val="20"/>
              </w:rPr>
            </w:pPr>
            <w:r w:rsidRPr="00BE6461">
              <w:rPr>
                <w:sz w:val="20"/>
                <w:szCs w:val="20"/>
              </w:rPr>
              <w:t>4511</w:t>
            </w:r>
          </w:p>
        </w:tc>
        <w:tc>
          <w:tcPr>
            <w:tcW w:w="8457" w:type="dxa"/>
            <w:tcBorders>
              <w:top w:val="nil"/>
              <w:left w:val="nil"/>
              <w:bottom w:val="nil"/>
              <w:right w:val="nil"/>
            </w:tcBorders>
            <w:shd w:val="clear" w:color="auto" w:fill="auto"/>
            <w:vAlign w:val="bottom"/>
            <w:hideMark/>
          </w:tcPr>
          <w:p w14:paraId="200BB46B" w14:textId="77777777" w:rsidR="00BE6461" w:rsidRPr="00BE6461" w:rsidRDefault="00BE6461" w:rsidP="00BE6461">
            <w:pPr>
              <w:rPr>
                <w:sz w:val="20"/>
                <w:szCs w:val="20"/>
              </w:rPr>
            </w:pPr>
            <w:r w:rsidRPr="00BE6461">
              <w:rPr>
                <w:sz w:val="20"/>
                <w:szCs w:val="20"/>
              </w:rPr>
              <w:t xml:space="preserve">Dodatna ulaganja na građevinskim objektima                                                          </w:t>
            </w:r>
          </w:p>
        </w:tc>
        <w:tc>
          <w:tcPr>
            <w:tcW w:w="1503" w:type="dxa"/>
            <w:tcBorders>
              <w:top w:val="nil"/>
              <w:left w:val="nil"/>
              <w:bottom w:val="nil"/>
              <w:right w:val="nil"/>
            </w:tcBorders>
            <w:shd w:val="clear" w:color="auto" w:fill="auto"/>
            <w:noWrap/>
            <w:vAlign w:val="bottom"/>
            <w:hideMark/>
          </w:tcPr>
          <w:p w14:paraId="7C152CA2"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35E32CB" w14:textId="77777777" w:rsidR="00BE6461" w:rsidRPr="00BE6461" w:rsidRDefault="00BE6461" w:rsidP="00BE6461">
            <w:pPr>
              <w:jc w:val="right"/>
              <w:rPr>
                <w:sz w:val="20"/>
                <w:szCs w:val="20"/>
              </w:rPr>
            </w:pPr>
            <w:r w:rsidRPr="00BE6461">
              <w:rPr>
                <w:sz w:val="20"/>
                <w:szCs w:val="20"/>
              </w:rPr>
              <w:t>147.500,00</w:t>
            </w:r>
          </w:p>
        </w:tc>
        <w:tc>
          <w:tcPr>
            <w:tcW w:w="1100" w:type="dxa"/>
            <w:tcBorders>
              <w:top w:val="nil"/>
              <w:left w:val="nil"/>
              <w:bottom w:val="nil"/>
              <w:right w:val="nil"/>
            </w:tcBorders>
            <w:shd w:val="clear" w:color="auto" w:fill="auto"/>
            <w:noWrap/>
            <w:vAlign w:val="bottom"/>
            <w:hideMark/>
          </w:tcPr>
          <w:p w14:paraId="5FCF7DF8" w14:textId="77777777" w:rsidR="00BE6461" w:rsidRPr="00BE6461" w:rsidRDefault="00BE6461" w:rsidP="00BE6461">
            <w:pPr>
              <w:jc w:val="right"/>
              <w:rPr>
                <w:sz w:val="20"/>
                <w:szCs w:val="20"/>
              </w:rPr>
            </w:pPr>
          </w:p>
        </w:tc>
      </w:tr>
      <w:tr w:rsidR="00BE6461" w:rsidRPr="00BE6461" w14:paraId="56254FF2"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18CE52A8" w14:textId="77777777" w:rsidR="00BE6461" w:rsidRPr="00BE6461" w:rsidRDefault="00BE6461" w:rsidP="00BE6461">
            <w:pPr>
              <w:rPr>
                <w:b/>
                <w:bCs/>
                <w:sz w:val="20"/>
                <w:szCs w:val="20"/>
              </w:rPr>
            </w:pPr>
            <w:r w:rsidRPr="00BE6461">
              <w:rPr>
                <w:b/>
                <w:bCs/>
                <w:sz w:val="20"/>
                <w:szCs w:val="20"/>
              </w:rPr>
              <w:t>K300027</w:t>
            </w:r>
          </w:p>
        </w:tc>
        <w:tc>
          <w:tcPr>
            <w:tcW w:w="8457" w:type="dxa"/>
            <w:tcBorders>
              <w:top w:val="single" w:sz="4" w:space="0" w:color="auto"/>
              <w:left w:val="nil"/>
              <w:bottom w:val="single" w:sz="4" w:space="0" w:color="auto"/>
              <w:right w:val="nil"/>
            </w:tcBorders>
            <w:shd w:val="clear" w:color="auto" w:fill="auto"/>
            <w:vAlign w:val="bottom"/>
            <w:hideMark/>
          </w:tcPr>
          <w:p w14:paraId="3E45C076" w14:textId="77777777" w:rsidR="00BE6461" w:rsidRPr="00BE6461" w:rsidRDefault="00BE6461" w:rsidP="00BE6461">
            <w:pPr>
              <w:rPr>
                <w:b/>
                <w:bCs/>
                <w:sz w:val="20"/>
                <w:szCs w:val="20"/>
              </w:rPr>
            </w:pPr>
            <w:r w:rsidRPr="00BE6461">
              <w:rPr>
                <w:b/>
                <w:bCs/>
                <w:sz w:val="20"/>
                <w:szCs w:val="20"/>
              </w:rPr>
              <w:t>Kapitalni projekt: ENERGETSKA OBNOVA ZGRADE PUČKOG OTVORENOG UČILIŠTA</w:t>
            </w:r>
          </w:p>
        </w:tc>
        <w:tc>
          <w:tcPr>
            <w:tcW w:w="1503" w:type="dxa"/>
            <w:tcBorders>
              <w:top w:val="single" w:sz="4" w:space="0" w:color="auto"/>
              <w:left w:val="nil"/>
              <w:bottom w:val="single" w:sz="4" w:space="0" w:color="auto"/>
              <w:right w:val="nil"/>
            </w:tcBorders>
            <w:shd w:val="clear" w:color="auto" w:fill="auto"/>
            <w:noWrap/>
            <w:vAlign w:val="bottom"/>
            <w:hideMark/>
          </w:tcPr>
          <w:p w14:paraId="14F54902" w14:textId="77777777" w:rsidR="00BE6461" w:rsidRPr="00BE6461" w:rsidRDefault="00BE6461" w:rsidP="00BE6461">
            <w:pPr>
              <w:jc w:val="right"/>
              <w:rPr>
                <w:b/>
                <w:bCs/>
                <w:sz w:val="20"/>
                <w:szCs w:val="20"/>
              </w:rPr>
            </w:pPr>
            <w:r w:rsidRPr="00BE6461">
              <w:rPr>
                <w:b/>
                <w:bCs/>
                <w:sz w:val="20"/>
                <w:szCs w:val="20"/>
              </w:rPr>
              <w:t>216.388,89</w:t>
            </w:r>
          </w:p>
        </w:tc>
        <w:tc>
          <w:tcPr>
            <w:tcW w:w="1500" w:type="dxa"/>
            <w:tcBorders>
              <w:top w:val="single" w:sz="4" w:space="0" w:color="auto"/>
              <w:left w:val="nil"/>
              <w:bottom w:val="single" w:sz="4" w:space="0" w:color="auto"/>
              <w:right w:val="nil"/>
            </w:tcBorders>
            <w:shd w:val="clear" w:color="auto" w:fill="auto"/>
            <w:noWrap/>
            <w:vAlign w:val="bottom"/>
            <w:hideMark/>
          </w:tcPr>
          <w:p w14:paraId="20FE98E9" w14:textId="77777777" w:rsidR="00BE6461" w:rsidRPr="00BE6461" w:rsidRDefault="00BE6461" w:rsidP="00BE6461">
            <w:pPr>
              <w:jc w:val="right"/>
              <w:rPr>
                <w:b/>
                <w:bCs/>
                <w:sz w:val="20"/>
                <w:szCs w:val="20"/>
              </w:rPr>
            </w:pPr>
            <w:r w:rsidRPr="00BE6461">
              <w:rPr>
                <w:b/>
                <w:bCs/>
                <w:sz w:val="20"/>
                <w:szCs w:val="20"/>
              </w:rPr>
              <w:t>200.138,89</w:t>
            </w:r>
          </w:p>
        </w:tc>
        <w:tc>
          <w:tcPr>
            <w:tcW w:w="1100" w:type="dxa"/>
            <w:tcBorders>
              <w:top w:val="single" w:sz="4" w:space="0" w:color="auto"/>
              <w:left w:val="nil"/>
              <w:bottom w:val="single" w:sz="4" w:space="0" w:color="auto"/>
              <w:right w:val="nil"/>
            </w:tcBorders>
            <w:shd w:val="clear" w:color="auto" w:fill="auto"/>
            <w:noWrap/>
            <w:vAlign w:val="bottom"/>
            <w:hideMark/>
          </w:tcPr>
          <w:p w14:paraId="623CEB8C" w14:textId="77777777" w:rsidR="00BE6461" w:rsidRPr="00BE6461" w:rsidRDefault="00BE6461" w:rsidP="00BE6461">
            <w:pPr>
              <w:jc w:val="right"/>
              <w:rPr>
                <w:b/>
                <w:bCs/>
                <w:sz w:val="20"/>
                <w:szCs w:val="20"/>
              </w:rPr>
            </w:pPr>
            <w:r w:rsidRPr="00BE6461">
              <w:rPr>
                <w:b/>
                <w:bCs/>
                <w:sz w:val="20"/>
                <w:szCs w:val="20"/>
              </w:rPr>
              <w:t>92,49</w:t>
            </w:r>
          </w:p>
        </w:tc>
      </w:tr>
      <w:tr w:rsidR="00BE6461" w:rsidRPr="00BE6461" w14:paraId="0193A162"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078DAF1" w14:textId="77777777" w:rsidR="00BE6461" w:rsidRPr="00BE6461" w:rsidRDefault="00BE6461" w:rsidP="00BE6461">
            <w:pPr>
              <w:rPr>
                <w:b/>
                <w:bCs/>
                <w:color w:val="333333"/>
                <w:sz w:val="20"/>
                <w:szCs w:val="20"/>
              </w:rPr>
            </w:pPr>
            <w:r w:rsidRPr="00BE6461">
              <w:rPr>
                <w:b/>
                <w:bCs/>
                <w:color w:val="333333"/>
                <w:sz w:val="20"/>
                <w:szCs w:val="20"/>
              </w:rPr>
              <w:t>Izvor 7. PRIHODI OD NEFIN.IMOVINE I NADOKNADE ŠTETA OD OSIG.</w:t>
            </w:r>
          </w:p>
        </w:tc>
        <w:tc>
          <w:tcPr>
            <w:tcW w:w="1503" w:type="dxa"/>
            <w:tcBorders>
              <w:top w:val="nil"/>
              <w:left w:val="nil"/>
              <w:bottom w:val="nil"/>
              <w:right w:val="nil"/>
            </w:tcBorders>
            <w:shd w:val="clear" w:color="auto" w:fill="auto"/>
            <w:noWrap/>
            <w:vAlign w:val="bottom"/>
            <w:hideMark/>
          </w:tcPr>
          <w:p w14:paraId="67743C32" w14:textId="77777777" w:rsidR="00BE6461" w:rsidRPr="00BE6461" w:rsidRDefault="00BE6461" w:rsidP="00BE6461">
            <w:pPr>
              <w:jc w:val="right"/>
              <w:rPr>
                <w:b/>
                <w:bCs/>
                <w:color w:val="333333"/>
                <w:sz w:val="20"/>
                <w:szCs w:val="20"/>
              </w:rPr>
            </w:pPr>
            <w:r w:rsidRPr="00BE6461">
              <w:rPr>
                <w:b/>
                <w:bCs/>
                <w:color w:val="333333"/>
                <w:sz w:val="20"/>
                <w:szCs w:val="20"/>
              </w:rPr>
              <w:t>216.388,89</w:t>
            </w:r>
          </w:p>
        </w:tc>
        <w:tc>
          <w:tcPr>
            <w:tcW w:w="1500" w:type="dxa"/>
            <w:tcBorders>
              <w:top w:val="nil"/>
              <w:left w:val="nil"/>
              <w:bottom w:val="nil"/>
              <w:right w:val="nil"/>
            </w:tcBorders>
            <w:shd w:val="clear" w:color="auto" w:fill="auto"/>
            <w:noWrap/>
            <w:vAlign w:val="bottom"/>
            <w:hideMark/>
          </w:tcPr>
          <w:p w14:paraId="713632B0" w14:textId="77777777" w:rsidR="00BE6461" w:rsidRPr="00BE6461" w:rsidRDefault="00BE6461" w:rsidP="00BE6461">
            <w:pPr>
              <w:jc w:val="right"/>
              <w:rPr>
                <w:b/>
                <w:bCs/>
                <w:color w:val="333333"/>
                <w:sz w:val="20"/>
                <w:szCs w:val="20"/>
              </w:rPr>
            </w:pPr>
            <w:r w:rsidRPr="00BE6461">
              <w:rPr>
                <w:b/>
                <w:bCs/>
                <w:color w:val="333333"/>
                <w:sz w:val="20"/>
                <w:szCs w:val="20"/>
              </w:rPr>
              <w:t>200.138,89</w:t>
            </w:r>
          </w:p>
        </w:tc>
        <w:tc>
          <w:tcPr>
            <w:tcW w:w="1100" w:type="dxa"/>
            <w:tcBorders>
              <w:top w:val="nil"/>
              <w:left w:val="nil"/>
              <w:bottom w:val="nil"/>
              <w:right w:val="nil"/>
            </w:tcBorders>
            <w:shd w:val="clear" w:color="auto" w:fill="auto"/>
            <w:noWrap/>
            <w:vAlign w:val="bottom"/>
            <w:hideMark/>
          </w:tcPr>
          <w:p w14:paraId="474372B0" w14:textId="77777777" w:rsidR="00BE6461" w:rsidRPr="00BE6461" w:rsidRDefault="00BE6461" w:rsidP="00BE6461">
            <w:pPr>
              <w:jc w:val="right"/>
              <w:rPr>
                <w:b/>
                <w:bCs/>
                <w:color w:val="333333"/>
                <w:sz w:val="20"/>
                <w:szCs w:val="20"/>
              </w:rPr>
            </w:pPr>
            <w:r w:rsidRPr="00BE6461">
              <w:rPr>
                <w:b/>
                <w:bCs/>
                <w:color w:val="333333"/>
                <w:sz w:val="20"/>
                <w:szCs w:val="20"/>
              </w:rPr>
              <w:t>92,49</w:t>
            </w:r>
          </w:p>
        </w:tc>
      </w:tr>
      <w:tr w:rsidR="00BE6461" w:rsidRPr="00BE6461" w14:paraId="2A01698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7A2DF1B" w14:textId="77777777" w:rsidR="00BE6461" w:rsidRPr="00BE6461" w:rsidRDefault="00BE6461" w:rsidP="00BE6461">
            <w:pPr>
              <w:rPr>
                <w:b/>
                <w:bCs/>
                <w:color w:val="333333"/>
                <w:sz w:val="20"/>
                <w:szCs w:val="20"/>
              </w:rPr>
            </w:pPr>
            <w:r w:rsidRPr="00BE6461">
              <w:rPr>
                <w:b/>
                <w:bCs/>
                <w:color w:val="333333"/>
                <w:sz w:val="20"/>
                <w:szCs w:val="20"/>
              </w:rPr>
              <w:t>Izvor 7.1. PRIHODI OD NEFIN.IMOVINE I NADOKNADE ŠTETA OD OSIG.</w:t>
            </w:r>
          </w:p>
        </w:tc>
        <w:tc>
          <w:tcPr>
            <w:tcW w:w="1503" w:type="dxa"/>
            <w:tcBorders>
              <w:top w:val="nil"/>
              <w:left w:val="nil"/>
              <w:bottom w:val="nil"/>
              <w:right w:val="nil"/>
            </w:tcBorders>
            <w:shd w:val="clear" w:color="auto" w:fill="auto"/>
            <w:noWrap/>
            <w:vAlign w:val="bottom"/>
            <w:hideMark/>
          </w:tcPr>
          <w:p w14:paraId="5E55D29E" w14:textId="77777777" w:rsidR="00BE6461" w:rsidRPr="00BE6461" w:rsidRDefault="00BE6461" w:rsidP="00BE6461">
            <w:pPr>
              <w:jc w:val="right"/>
              <w:rPr>
                <w:b/>
                <w:bCs/>
                <w:color w:val="333333"/>
                <w:sz w:val="20"/>
                <w:szCs w:val="20"/>
              </w:rPr>
            </w:pPr>
            <w:r w:rsidRPr="00BE6461">
              <w:rPr>
                <w:b/>
                <w:bCs/>
                <w:color w:val="333333"/>
                <w:sz w:val="20"/>
                <w:szCs w:val="20"/>
              </w:rPr>
              <w:t>216.388,89</w:t>
            </w:r>
          </w:p>
        </w:tc>
        <w:tc>
          <w:tcPr>
            <w:tcW w:w="1500" w:type="dxa"/>
            <w:tcBorders>
              <w:top w:val="nil"/>
              <w:left w:val="nil"/>
              <w:bottom w:val="nil"/>
              <w:right w:val="nil"/>
            </w:tcBorders>
            <w:shd w:val="clear" w:color="auto" w:fill="auto"/>
            <w:noWrap/>
            <w:vAlign w:val="bottom"/>
            <w:hideMark/>
          </w:tcPr>
          <w:p w14:paraId="1D7DEB81" w14:textId="77777777" w:rsidR="00BE6461" w:rsidRPr="00BE6461" w:rsidRDefault="00BE6461" w:rsidP="00BE6461">
            <w:pPr>
              <w:jc w:val="right"/>
              <w:rPr>
                <w:b/>
                <w:bCs/>
                <w:color w:val="333333"/>
                <w:sz w:val="20"/>
                <w:szCs w:val="20"/>
              </w:rPr>
            </w:pPr>
            <w:r w:rsidRPr="00BE6461">
              <w:rPr>
                <w:b/>
                <w:bCs/>
                <w:color w:val="333333"/>
                <w:sz w:val="20"/>
                <w:szCs w:val="20"/>
              </w:rPr>
              <w:t>200.138,89</w:t>
            </w:r>
          </w:p>
        </w:tc>
        <w:tc>
          <w:tcPr>
            <w:tcW w:w="1100" w:type="dxa"/>
            <w:tcBorders>
              <w:top w:val="nil"/>
              <w:left w:val="nil"/>
              <w:bottom w:val="nil"/>
              <w:right w:val="nil"/>
            </w:tcBorders>
            <w:shd w:val="clear" w:color="auto" w:fill="auto"/>
            <w:noWrap/>
            <w:vAlign w:val="bottom"/>
            <w:hideMark/>
          </w:tcPr>
          <w:p w14:paraId="02C06578" w14:textId="77777777" w:rsidR="00BE6461" w:rsidRPr="00BE6461" w:rsidRDefault="00BE6461" w:rsidP="00BE6461">
            <w:pPr>
              <w:jc w:val="right"/>
              <w:rPr>
                <w:b/>
                <w:bCs/>
                <w:color w:val="333333"/>
                <w:sz w:val="20"/>
                <w:szCs w:val="20"/>
              </w:rPr>
            </w:pPr>
            <w:r w:rsidRPr="00BE6461">
              <w:rPr>
                <w:b/>
                <w:bCs/>
                <w:color w:val="333333"/>
                <w:sz w:val="20"/>
                <w:szCs w:val="20"/>
              </w:rPr>
              <w:t>92,49</w:t>
            </w:r>
          </w:p>
        </w:tc>
      </w:tr>
      <w:tr w:rsidR="00BE6461" w:rsidRPr="00BE6461" w14:paraId="2C76E3C0" w14:textId="77777777" w:rsidTr="00BE6461">
        <w:trPr>
          <w:trHeight w:val="300"/>
        </w:trPr>
        <w:tc>
          <w:tcPr>
            <w:tcW w:w="1703" w:type="dxa"/>
            <w:tcBorders>
              <w:top w:val="nil"/>
              <w:left w:val="nil"/>
              <w:bottom w:val="nil"/>
              <w:right w:val="nil"/>
            </w:tcBorders>
            <w:shd w:val="clear" w:color="auto" w:fill="auto"/>
            <w:noWrap/>
            <w:vAlign w:val="bottom"/>
            <w:hideMark/>
          </w:tcPr>
          <w:p w14:paraId="133993EC" w14:textId="77777777" w:rsidR="00BE6461" w:rsidRPr="00BE6461" w:rsidRDefault="00BE6461" w:rsidP="00BE6461">
            <w:pPr>
              <w:rPr>
                <w:b/>
                <w:bCs/>
                <w:sz w:val="20"/>
                <w:szCs w:val="20"/>
              </w:rPr>
            </w:pPr>
            <w:r w:rsidRPr="00BE6461">
              <w:rPr>
                <w:b/>
                <w:bCs/>
                <w:sz w:val="20"/>
                <w:szCs w:val="20"/>
              </w:rPr>
              <w:t>451</w:t>
            </w:r>
          </w:p>
        </w:tc>
        <w:tc>
          <w:tcPr>
            <w:tcW w:w="8457" w:type="dxa"/>
            <w:tcBorders>
              <w:top w:val="nil"/>
              <w:left w:val="nil"/>
              <w:bottom w:val="nil"/>
              <w:right w:val="nil"/>
            </w:tcBorders>
            <w:shd w:val="clear" w:color="auto" w:fill="auto"/>
            <w:vAlign w:val="bottom"/>
            <w:hideMark/>
          </w:tcPr>
          <w:p w14:paraId="22EC7A3C" w14:textId="77777777" w:rsidR="00BE6461" w:rsidRPr="00BE6461" w:rsidRDefault="00BE6461" w:rsidP="00BE6461">
            <w:pPr>
              <w:rPr>
                <w:b/>
                <w:bCs/>
                <w:sz w:val="20"/>
                <w:szCs w:val="20"/>
              </w:rPr>
            </w:pPr>
            <w:r w:rsidRPr="00BE6461">
              <w:rPr>
                <w:b/>
                <w:bCs/>
                <w:sz w:val="20"/>
                <w:szCs w:val="20"/>
              </w:rPr>
              <w:t xml:space="preserve">Dodatna ulaganja na građevinskim objektima                                                          </w:t>
            </w:r>
          </w:p>
        </w:tc>
        <w:tc>
          <w:tcPr>
            <w:tcW w:w="1503" w:type="dxa"/>
            <w:tcBorders>
              <w:top w:val="nil"/>
              <w:left w:val="nil"/>
              <w:bottom w:val="nil"/>
              <w:right w:val="nil"/>
            </w:tcBorders>
            <w:shd w:val="clear" w:color="auto" w:fill="auto"/>
            <w:noWrap/>
            <w:vAlign w:val="bottom"/>
            <w:hideMark/>
          </w:tcPr>
          <w:p w14:paraId="651A1DCC" w14:textId="77777777" w:rsidR="00BE6461" w:rsidRPr="00BE6461" w:rsidRDefault="00BE6461" w:rsidP="00BE6461">
            <w:pPr>
              <w:jc w:val="right"/>
              <w:rPr>
                <w:b/>
                <w:bCs/>
                <w:sz w:val="20"/>
                <w:szCs w:val="20"/>
              </w:rPr>
            </w:pPr>
            <w:r w:rsidRPr="00BE6461">
              <w:rPr>
                <w:b/>
                <w:bCs/>
                <w:sz w:val="20"/>
                <w:szCs w:val="20"/>
              </w:rPr>
              <w:t>216.388,89</w:t>
            </w:r>
          </w:p>
        </w:tc>
        <w:tc>
          <w:tcPr>
            <w:tcW w:w="1500" w:type="dxa"/>
            <w:tcBorders>
              <w:top w:val="nil"/>
              <w:left w:val="nil"/>
              <w:bottom w:val="nil"/>
              <w:right w:val="nil"/>
            </w:tcBorders>
            <w:shd w:val="clear" w:color="auto" w:fill="auto"/>
            <w:noWrap/>
            <w:vAlign w:val="bottom"/>
            <w:hideMark/>
          </w:tcPr>
          <w:p w14:paraId="35F5F852" w14:textId="77777777" w:rsidR="00BE6461" w:rsidRPr="00BE6461" w:rsidRDefault="00BE6461" w:rsidP="00BE6461">
            <w:pPr>
              <w:jc w:val="right"/>
              <w:rPr>
                <w:b/>
                <w:bCs/>
                <w:sz w:val="20"/>
                <w:szCs w:val="20"/>
              </w:rPr>
            </w:pPr>
            <w:r w:rsidRPr="00BE6461">
              <w:rPr>
                <w:b/>
                <w:bCs/>
                <w:sz w:val="20"/>
                <w:szCs w:val="20"/>
              </w:rPr>
              <w:t>200.138,89</w:t>
            </w:r>
          </w:p>
        </w:tc>
        <w:tc>
          <w:tcPr>
            <w:tcW w:w="1100" w:type="dxa"/>
            <w:tcBorders>
              <w:top w:val="nil"/>
              <w:left w:val="nil"/>
              <w:bottom w:val="nil"/>
              <w:right w:val="nil"/>
            </w:tcBorders>
            <w:shd w:val="clear" w:color="auto" w:fill="auto"/>
            <w:noWrap/>
            <w:vAlign w:val="bottom"/>
            <w:hideMark/>
          </w:tcPr>
          <w:p w14:paraId="38443A21" w14:textId="77777777" w:rsidR="00BE6461" w:rsidRPr="00BE6461" w:rsidRDefault="00BE6461" w:rsidP="00BE6461">
            <w:pPr>
              <w:jc w:val="right"/>
              <w:rPr>
                <w:b/>
                <w:bCs/>
                <w:sz w:val="20"/>
                <w:szCs w:val="20"/>
              </w:rPr>
            </w:pPr>
            <w:r w:rsidRPr="00BE6461">
              <w:rPr>
                <w:b/>
                <w:bCs/>
                <w:sz w:val="20"/>
                <w:szCs w:val="20"/>
              </w:rPr>
              <w:t>92,49</w:t>
            </w:r>
          </w:p>
        </w:tc>
      </w:tr>
      <w:tr w:rsidR="00BE6461" w:rsidRPr="00BE6461" w14:paraId="42363E27" w14:textId="77777777" w:rsidTr="00BE6461">
        <w:trPr>
          <w:trHeight w:val="300"/>
        </w:trPr>
        <w:tc>
          <w:tcPr>
            <w:tcW w:w="1703" w:type="dxa"/>
            <w:tcBorders>
              <w:top w:val="nil"/>
              <w:left w:val="nil"/>
              <w:bottom w:val="nil"/>
              <w:right w:val="nil"/>
            </w:tcBorders>
            <w:shd w:val="clear" w:color="auto" w:fill="auto"/>
            <w:noWrap/>
            <w:vAlign w:val="bottom"/>
            <w:hideMark/>
          </w:tcPr>
          <w:p w14:paraId="680BF578" w14:textId="77777777" w:rsidR="00BE6461" w:rsidRPr="00BE6461" w:rsidRDefault="00BE6461" w:rsidP="00BE6461">
            <w:pPr>
              <w:rPr>
                <w:sz w:val="20"/>
                <w:szCs w:val="20"/>
              </w:rPr>
            </w:pPr>
            <w:r w:rsidRPr="00BE6461">
              <w:rPr>
                <w:sz w:val="20"/>
                <w:szCs w:val="20"/>
              </w:rPr>
              <w:t>4511</w:t>
            </w:r>
          </w:p>
        </w:tc>
        <w:tc>
          <w:tcPr>
            <w:tcW w:w="8457" w:type="dxa"/>
            <w:tcBorders>
              <w:top w:val="nil"/>
              <w:left w:val="nil"/>
              <w:bottom w:val="nil"/>
              <w:right w:val="nil"/>
            </w:tcBorders>
            <w:shd w:val="clear" w:color="auto" w:fill="auto"/>
            <w:vAlign w:val="bottom"/>
            <w:hideMark/>
          </w:tcPr>
          <w:p w14:paraId="2DD4E9B1" w14:textId="77777777" w:rsidR="00BE6461" w:rsidRPr="00BE6461" w:rsidRDefault="00BE6461" w:rsidP="00BE6461">
            <w:pPr>
              <w:rPr>
                <w:sz w:val="20"/>
                <w:szCs w:val="20"/>
              </w:rPr>
            </w:pPr>
            <w:r w:rsidRPr="00BE6461">
              <w:rPr>
                <w:sz w:val="20"/>
                <w:szCs w:val="20"/>
              </w:rPr>
              <w:t xml:space="preserve">Dodatna ulaganja na građevinskim objektima                                                          </w:t>
            </w:r>
          </w:p>
        </w:tc>
        <w:tc>
          <w:tcPr>
            <w:tcW w:w="1503" w:type="dxa"/>
            <w:tcBorders>
              <w:top w:val="nil"/>
              <w:left w:val="nil"/>
              <w:bottom w:val="nil"/>
              <w:right w:val="nil"/>
            </w:tcBorders>
            <w:shd w:val="clear" w:color="auto" w:fill="auto"/>
            <w:noWrap/>
            <w:vAlign w:val="bottom"/>
            <w:hideMark/>
          </w:tcPr>
          <w:p w14:paraId="5C15F0C2"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0C22AED" w14:textId="77777777" w:rsidR="00BE6461" w:rsidRPr="00BE6461" w:rsidRDefault="00BE6461" w:rsidP="00BE6461">
            <w:pPr>
              <w:jc w:val="right"/>
              <w:rPr>
                <w:sz w:val="20"/>
                <w:szCs w:val="20"/>
              </w:rPr>
            </w:pPr>
            <w:r w:rsidRPr="00BE6461">
              <w:rPr>
                <w:sz w:val="20"/>
                <w:szCs w:val="20"/>
              </w:rPr>
              <w:t>200.138,89</w:t>
            </w:r>
          </w:p>
        </w:tc>
        <w:tc>
          <w:tcPr>
            <w:tcW w:w="1100" w:type="dxa"/>
            <w:tcBorders>
              <w:top w:val="nil"/>
              <w:left w:val="nil"/>
              <w:bottom w:val="nil"/>
              <w:right w:val="nil"/>
            </w:tcBorders>
            <w:shd w:val="clear" w:color="auto" w:fill="auto"/>
            <w:noWrap/>
            <w:vAlign w:val="bottom"/>
            <w:hideMark/>
          </w:tcPr>
          <w:p w14:paraId="43F5A7E1" w14:textId="77777777" w:rsidR="00BE6461" w:rsidRPr="00BE6461" w:rsidRDefault="00BE6461" w:rsidP="00BE6461">
            <w:pPr>
              <w:jc w:val="right"/>
              <w:rPr>
                <w:sz w:val="20"/>
                <w:szCs w:val="20"/>
              </w:rPr>
            </w:pPr>
          </w:p>
        </w:tc>
      </w:tr>
      <w:tr w:rsidR="00BE6461" w:rsidRPr="00BE6461" w14:paraId="24355FD6"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35FB28B9" w14:textId="77777777" w:rsidR="00BE6461" w:rsidRPr="00BE6461" w:rsidRDefault="00BE6461" w:rsidP="00BE6461">
            <w:pPr>
              <w:rPr>
                <w:b/>
                <w:bCs/>
                <w:sz w:val="20"/>
                <w:szCs w:val="20"/>
              </w:rPr>
            </w:pPr>
            <w:r w:rsidRPr="00BE6461">
              <w:rPr>
                <w:b/>
                <w:bCs/>
                <w:sz w:val="20"/>
                <w:szCs w:val="20"/>
              </w:rPr>
              <w:t>K300030</w:t>
            </w:r>
          </w:p>
        </w:tc>
        <w:tc>
          <w:tcPr>
            <w:tcW w:w="8457" w:type="dxa"/>
            <w:tcBorders>
              <w:top w:val="single" w:sz="4" w:space="0" w:color="auto"/>
              <w:left w:val="nil"/>
              <w:bottom w:val="single" w:sz="4" w:space="0" w:color="auto"/>
              <w:right w:val="nil"/>
            </w:tcBorders>
            <w:shd w:val="clear" w:color="auto" w:fill="auto"/>
            <w:vAlign w:val="bottom"/>
            <w:hideMark/>
          </w:tcPr>
          <w:p w14:paraId="7F5610C7" w14:textId="77777777" w:rsidR="00BE6461" w:rsidRPr="00BE6461" w:rsidRDefault="00BE6461" w:rsidP="00BE6461">
            <w:pPr>
              <w:rPr>
                <w:b/>
                <w:bCs/>
                <w:sz w:val="20"/>
                <w:szCs w:val="20"/>
              </w:rPr>
            </w:pPr>
            <w:r w:rsidRPr="00BE6461">
              <w:rPr>
                <w:b/>
                <w:bCs/>
                <w:sz w:val="20"/>
                <w:szCs w:val="20"/>
              </w:rPr>
              <w:t>Kapitalni projekt: REKONSTRUKCIJA STARE ŠKOLE NA TRGU SV. SERVULA</w:t>
            </w:r>
          </w:p>
        </w:tc>
        <w:tc>
          <w:tcPr>
            <w:tcW w:w="1503" w:type="dxa"/>
            <w:tcBorders>
              <w:top w:val="single" w:sz="4" w:space="0" w:color="auto"/>
              <w:left w:val="nil"/>
              <w:bottom w:val="single" w:sz="4" w:space="0" w:color="auto"/>
              <w:right w:val="nil"/>
            </w:tcBorders>
            <w:shd w:val="clear" w:color="auto" w:fill="auto"/>
            <w:noWrap/>
            <w:vAlign w:val="bottom"/>
            <w:hideMark/>
          </w:tcPr>
          <w:p w14:paraId="23CE9EC0" w14:textId="77777777" w:rsidR="00BE6461" w:rsidRPr="00BE6461" w:rsidRDefault="00BE6461" w:rsidP="00BE6461">
            <w:pPr>
              <w:jc w:val="right"/>
              <w:rPr>
                <w:b/>
                <w:bCs/>
                <w:sz w:val="20"/>
                <w:szCs w:val="20"/>
              </w:rPr>
            </w:pPr>
            <w:r w:rsidRPr="00BE6461">
              <w:rPr>
                <w:b/>
                <w:bCs/>
                <w:sz w:val="20"/>
                <w:szCs w:val="20"/>
              </w:rPr>
              <w:t>23.125,00</w:t>
            </w:r>
          </w:p>
        </w:tc>
        <w:tc>
          <w:tcPr>
            <w:tcW w:w="1500" w:type="dxa"/>
            <w:tcBorders>
              <w:top w:val="single" w:sz="4" w:space="0" w:color="auto"/>
              <w:left w:val="nil"/>
              <w:bottom w:val="single" w:sz="4" w:space="0" w:color="auto"/>
              <w:right w:val="nil"/>
            </w:tcBorders>
            <w:shd w:val="clear" w:color="auto" w:fill="auto"/>
            <w:noWrap/>
            <w:vAlign w:val="bottom"/>
            <w:hideMark/>
          </w:tcPr>
          <w:p w14:paraId="48ACFA59" w14:textId="77777777" w:rsidR="00BE6461" w:rsidRPr="00BE6461" w:rsidRDefault="00BE6461" w:rsidP="00BE6461">
            <w:pPr>
              <w:jc w:val="right"/>
              <w:rPr>
                <w:b/>
                <w:bCs/>
                <w:sz w:val="20"/>
                <w:szCs w:val="20"/>
              </w:rPr>
            </w:pPr>
            <w:r w:rsidRPr="00BE6461">
              <w:rPr>
                <w:b/>
                <w:bCs/>
                <w:sz w:val="20"/>
                <w:szCs w:val="20"/>
              </w:rPr>
              <w:t>23.125,00</w:t>
            </w:r>
          </w:p>
        </w:tc>
        <w:tc>
          <w:tcPr>
            <w:tcW w:w="1100" w:type="dxa"/>
            <w:tcBorders>
              <w:top w:val="single" w:sz="4" w:space="0" w:color="auto"/>
              <w:left w:val="nil"/>
              <w:bottom w:val="single" w:sz="4" w:space="0" w:color="auto"/>
              <w:right w:val="nil"/>
            </w:tcBorders>
            <w:shd w:val="clear" w:color="auto" w:fill="auto"/>
            <w:noWrap/>
            <w:vAlign w:val="bottom"/>
            <w:hideMark/>
          </w:tcPr>
          <w:p w14:paraId="2F0D16ED"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342BE967"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EAA5123"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56F76EA0" w14:textId="77777777" w:rsidR="00BE6461" w:rsidRPr="00BE6461" w:rsidRDefault="00BE6461" w:rsidP="00BE6461">
            <w:pPr>
              <w:jc w:val="right"/>
              <w:rPr>
                <w:b/>
                <w:bCs/>
                <w:color w:val="333333"/>
                <w:sz w:val="20"/>
                <w:szCs w:val="20"/>
              </w:rPr>
            </w:pPr>
            <w:r w:rsidRPr="00BE6461">
              <w:rPr>
                <w:b/>
                <w:bCs/>
                <w:color w:val="333333"/>
                <w:sz w:val="20"/>
                <w:szCs w:val="20"/>
              </w:rPr>
              <w:t>23.125,00</w:t>
            </w:r>
          </w:p>
        </w:tc>
        <w:tc>
          <w:tcPr>
            <w:tcW w:w="1500" w:type="dxa"/>
            <w:tcBorders>
              <w:top w:val="nil"/>
              <w:left w:val="nil"/>
              <w:bottom w:val="nil"/>
              <w:right w:val="nil"/>
            </w:tcBorders>
            <w:shd w:val="clear" w:color="auto" w:fill="auto"/>
            <w:noWrap/>
            <w:vAlign w:val="bottom"/>
            <w:hideMark/>
          </w:tcPr>
          <w:p w14:paraId="6D5BD1D4" w14:textId="77777777" w:rsidR="00BE6461" w:rsidRPr="00BE6461" w:rsidRDefault="00BE6461" w:rsidP="00BE6461">
            <w:pPr>
              <w:jc w:val="right"/>
              <w:rPr>
                <w:b/>
                <w:bCs/>
                <w:color w:val="333333"/>
                <w:sz w:val="20"/>
                <w:szCs w:val="20"/>
              </w:rPr>
            </w:pPr>
            <w:r w:rsidRPr="00BE6461">
              <w:rPr>
                <w:b/>
                <w:bCs/>
                <w:color w:val="333333"/>
                <w:sz w:val="20"/>
                <w:szCs w:val="20"/>
              </w:rPr>
              <w:t>23.125,00</w:t>
            </w:r>
          </w:p>
        </w:tc>
        <w:tc>
          <w:tcPr>
            <w:tcW w:w="1100" w:type="dxa"/>
            <w:tcBorders>
              <w:top w:val="nil"/>
              <w:left w:val="nil"/>
              <w:bottom w:val="nil"/>
              <w:right w:val="nil"/>
            </w:tcBorders>
            <w:shd w:val="clear" w:color="auto" w:fill="auto"/>
            <w:noWrap/>
            <w:vAlign w:val="bottom"/>
            <w:hideMark/>
          </w:tcPr>
          <w:p w14:paraId="768DACD2"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48BFFEDE"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3A5EAAA"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5F2831DB" w14:textId="77777777" w:rsidR="00BE6461" w:rsidRPr="00BE6461" w:rsidRDefault="00BE6461" w:rsidP="00BE6461">
            <w:pPr>
              <w:jc w:val="right"/>
              <w:rPr>
                <w:b/>
                <w:bCs/>
                <w:color w:val="333333"/>
                <w:sz w:val="20"/>
                <w:szCs w:val="20"/>
              </w:rPr>
            </w:pPr>
            <w:r w:rsidRPr="00BE6461">
              <w:rPr>
                <w:b/>
                <w:bCs/>
                <w:color w:val="333333"/>
                <w:sz w:val="20"/>
                <w:szCs w:val="20"/>
              </w:rPr>
              <w:t>23.125,00</w:t>
            </w:r>
          </w:p>
        </w:tc>
        <w:tc>
          <w:tcPr>
            <w:tcW w:w="1500" w:type="dxa"/>
            <w:tcBorders>
              <w:top w:val="nil"/>
              <w:left w:val="nil"/>
              <w:bottom w:val="nil"/>
              <w:right w:val="nil"/>
            </w:tcBorders>
            <w:shd w:val="clear" w:color="auto" w:fill="auto"/>
            <w:noWrap/>
            <w:vAlign w:val="bottom"/>
            <w:hideMark/>
          </w:tcPr>
          <w:p w14:paraId="240D7DF2" w14:textId="77777777" w:rsidR="00BE6461" w:rsidRPr="00BE6461" w:rsidRDefault="00BE6461" w:rsidP="00BE6461">
            <w:pPr>
              <w:jc w:val="right"/>
              <w:rPr>
                <w:b/>
                <w:bCs/>
                <w:color w:val="333333"/>
                <w:sz w:val="20"/>
                <w:szCs w:val="20"/>
              </w:rPr>
            </w:pPr>
            <w:r w:rsidRPr="00BE6461">
              <w:rPr>
                <w:b/>
                <w:bCs/>
                <w:color w:val="333333"/>
                <w:sz w:val="20"/>
                <w:szCs w:val="20"/>
              </w:rPr>
              <w:t>23.125,00</w:t>
            </w:r>
          </w:p>
        </w:tc>
        <w:tc>
          <w:tcPr>
            <w:tcW w:w="1100" w:type="dxa"/>
            <w:tcBorders>
              <w:top w:val="nil"/>
              <w:left w:val="nil"/>
              <w:bottom w:val="nil"/>
              <w:right w:val="nil"/>
            </w:tcBorders>
            <w:shd w:val="clear" w:color="auto" w:fill="auto"/>
            <w:noWrap/>
            <w:vAlign w:val="bottom"/>
            <w:hideMark/>
          </w:tcPr>
          <w:p w14:paraId="34A56928"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3869F99D" w14:textId="77777777" w:rsidTr="00BE6461">
        <w:trPr>
          <w:trHeight w:val="300"/>
        </w:trPr>
        <w:tc>
          <w:tcPr>
            <w:tcW w:w="1703" w:type="dxa"/>
            <w:tcBorders>
              <w:top w:val="nil"/>
              <w:left w:val="nil"/>
              <w:bottom w:val="nil"/>
              <w:right w:val="nil"/>
            </w:tcBorders>
            <w:shd w:val="clear" w:color="auto" w:fill="auto"/>
            <w:noWrap/>
            <w:vAlign w:val="bottom"/>
            <w:hideMark/>
          </w:tcPr>
          <w:p w14:paraId="08A1749A"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3502E547"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4B22AA83" w14:textId="77777777" w:rsidR="00BE6461" w:rsidRPr="00BE6461" w:rsidRDefault="00BE6461" w:rsidP="00BE6461">
            <w:pPr>
              <w:jc w:val="right"/>
              <w:rPr>
                <w:b/>
                <w:bCs/>
                <w:sz w:val="20"/>
                <w:szCs w:val="20"/>
              </w:rPr>
            </w:pPr>
            <w:r w:rsidRPr="00BE6461">
              <w:rPr>
                <w:b/>
                <w:bCs/>
                <w:sz w:val="20"/>
                <w:szCs w:val="20"/>
              </w:rPr>
              <w:t>23.125,00</w:t>
            </w:r>
          </w:p>
        </w:tc>
        <w:tc>
          <w:tcPr>
            <w:tcW w:w="1500" w:type="dxa"/>
            <w:tcBorders>
              <w:top w:val="nil"/>
              <w:left w:val="nil"/>
              <w:bottom w:val="nil"/>
              <w:right w:val="nil"/>
            </w:tcBorders>
            <w:shd w:val="clear" w:color="auto" w:fill="auto"/>
            <w:noWrap/>
            <w:vAlign w:val="bottom"/>
            <w:hideMark/>
          </w:tcPr>
          <w:p w14:paraId="0BF435A4" w14:textId="77777777" w:rsidR="00BE6461" w:rsidRPr="00BE6461" w:rsidRDefault="00BE6461" w:rsidP="00BE6461">
            <w:pPr>
              <w:jc w:val="right"/>
              <w:rPr>
                <w:b/>
                <w:bCs/>
                <w:sz w:val="20"/>
                <w:szCs w:val="20"/>
              </w:rPr>
            </w:pPr>
            <w:r w:rsidRPr="00BE6461">
              <w:rPr>
                <w:b/>
                <w:bCs/>
                <w:sz w:val="20"/>
                <w:szCs w:val="20"/>
              </w:rPr>
              <w:t>23.125,00</w:t>
            </w:r>
          </w:p>
        </w:tc>
        <w:tc>
          <w:tcPr>
            <w:tcW w:w="1100" w:type="dxa"/>
            <w:tcBorders>
              <w:top w:val="nil"/>
              <w:left w:val="nil"/>
              <w:bottom w:val="nil"/>
              <w:right w:val="nil"/>
            </w:tcBorders>
            <w:shd w:val="clear" w:color="auto" w:fill="auto"/>
            <w:noWrap/>
            <w:vAlign w:val="bottom"/>
            <w:hideMark/>
          </w:tcPr>
          <w:p w14:paraId="32BA8415"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4DFADBA1" w14:textId="77777777" w:rsidTr="00BE6461">
        <w:trPr>
          <w:trHeight w:val="300"/>
        </w:trPr>
        <w:tc>
          <w:tcPr>
            <w:tcW w:w="1703" w:type="dxa"/>
            <w:tcBorders>
              <w:top w:val="nil"/>
              <w:left w:val="nil"/>
              <w:bottom w:val="nil"/>
              <w:right w:val="nil"/>
            </w:tcBorders>
            <w:shd w:val="clear" w:color="auto" w:fill="auto"/>
            <w:noWrap/>
            <w:vAlign w:val="bottom"/>
            <w:hideMark/>
          </w:tcPr>
          <w:p w14:paraId="5499C9A9"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2ADA3921"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10CE6D9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A4E57EC" w14:textId="77777777" w:rsidR="00BE6461" w:rsidRPr="00BE6461" w:rsidRDefault="00BE6461" w:rsidP="00BE6461">
            <w:pPr>
              <w:jc w:val="right"/>
              <w:rPr>
                <w:sz w:val="20"/>
                <w:szCs w:val="20"/>
              </w:rPr>
            </w:pPr>
            <w:r w:rsidRPr="00BE6461">
              <w:rPr>
                <w:sz w:val="20"/>
                <w:szCs w:val="20"/>
              </w:rPr>
              <w:t>23.125,00</w:t>
            </w:r>
          </w:p>
        </w:tc>
        <w:tc>
          <w:tcPr>
            <w:tcW w:w="1100" w:type="dxa"/>
            <w:tcBorders>
              <w:top w:val="nil"/>
              <w:left w:val="nil"/>
              <w:bottom w:val="nil"/>
              <w:right w:val="nil"/>
            </w:tcBorders>
            <w:shd w:val="clear" w:color="auto" w:fill="auto"/>
            <w:noWrap/>
            <w:vAlign w:val="bottom"/>
            <w:hideMark/>
          </w:tcPr>
          <w:p w14:paraId="0A8FE96E" w14:textId="77777777" w:rsidR="00BE6461" w:rsidRPr="00BE6461" w:rsidRDefault="00BE6461" w:rsidP="00BE6461">
            <w:pPr>
              <w:jc w:val="right"/>
              <w:rPr>
                <w:sz w:val="20"/>
                <w:szCs w:val="20"/>
              </w:rPr>
            </w:pPr>
          </w:p>
        </w:tc>
      </w:tr>
      <w:tr w:rsidR="00BE6461" w:rsidRPr="00BE6461" w14:paraId="5BE4D629"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2BC891F2" w14:textId="77777777" w:rsidR="00BE6461" w:rsidRPr="00BE6461" w:rsidRDefault="00BE6461" w:rsidP="00BE6461">
            <w:pPr>
              <w:rPr>
                <w:b/>
                <w:bCs/>
                <w:sz w:val="20"/>
                <w:szCs w:val="20"/>
              </w:rPr>
            </w:pPr>
            <w:r w:rsidRPr="00BE6461">
              <w:rPr>
                <w:b/>
                <w:bCs/>
                <w:sz w:val="20"/>
                <w:szCs w:val="20"/>
              </w:rPr>
              <w:t>K300031</w:t>
            </w:r>
          </w:p>
        </w:tc>
        <w:tc>
          <w:tcPr>
            <w:tcW w:w="8457" w:type="dxa"/>
            <w:tcBorders>
              <w:top w:val="single" w:sz="4" w:space="0" w:color="auto"/>
              <w:left w:val="nil"/>
              <w:bottom w:val="single" w:sz="4" w:space="0" w:color="auto"/>
              <w:right w:val="nil"/>
            </w:tcBorders>
            <w:shd w:val="clear" w:color="auto" w:fill="auto"/>
            <w:vAlign w:val="bottom"/>
            <w:hideMark/>
          </w:tcPr>
          <w:p w14:paraId="4893BE51" w14:textId="77777777" w:rsidR="00BE6461" w:rsidRPr="00BE6461" w:rsidRDefault="00BE6461" w:rsidP="00BE6461">
            <w:pPr>
              <w:rPr>
                <w:b/>
                <w:bCs/>
                <w:sz w:val="20"/>
                <w:szCs w:val="20"/>
              </w:rPr>
            </w:pPr>
            <w:r w:rsidRPr="00BE6461">
              <w:rPr>
                <w:b/>
                <w:bCs/>
                <w:sz w:val="20"/>
                <w:szCs w:val="20"/>
              </w:rPr>
              <w:t>Kapitalni projekt: KUĆA ISTARSKIH KAŠTELA U MOMJANU</w:t>
            </w:r>
          </w:p>
        </w:tc>
        <w:tc>
          <w:tcPr>
            <w:tcW w:w="1503" w:type="dxa"/>
            <w:tcBorders>
              <w:top w:val="single" w:sz="4" w:space="0" w:color="auto"/>
              <w:left w:val="nil"/>
              <w:bottom w:val="single" w:sz="4" w:space="0" w:color="auto"/>
              <w:right w:val="nil"/>
            </w:tcBorders>
            <w:shd w:val="clear" w:color="auto" w:fill="auto"/>
            <w:noWrap/>
            <w:vAlign w:val="bottom"/>
            <w:hideMark/>
          </w:tcPr>
          <w:p w14:paraId="66F8F540" w14:textId="77777777" w:rsidR="00BE6461" w:rsidRPr="00BE6461" w:rsidRDefault="00BE6461" w:rsidP="00BE6461">
            <w:pPr>
              <w:jc w:val="right"/>
              <w:rPr>
                <w:b/>
                <w:bCs/>
                <w:sz w:val="20"/>
                <w:szCs w:val="20"/>
              </w:rPr>
            </w:pPr>
            <w:r w:rsidRPr="00BE6461">
              <w:rPr>
                <w:b/>
                <w:bCs/>
                <w:sz w:val="20"/>
                <w:szCs w:val="20"/>
              </w:rPr>
              <w:t>260.957,59</w:t>
            </w:r>
          </w:p>
        </w:tc>
        <w:tc>
          <w:tcPr>
            <w:tcW w:w="1500" w:type="dxa"/>
            <w:tcBorders>
              <w:top w:val="single" w:sz="4" w:space="0" w:color="auto"/>
              <w:left w:val="nil"/>
              <w:bottom w:val="single" w:sz="4" w:space="0" w:color="auto"/>
              <w:right w:val="nil"/>
            </w:tcBorders>
            <w:shd w:val="clear" w:color="auto" w:fill="auto"/>
            <w:noWrap/>
            <w:vAlign w:val="bottom"/>
            <w:hideMark/>
          </w:tcPr>
          <w:p w14:paraId="77E5918E" w14:textId="77777777" w:rsidR="00BE6461" w:rsidRPr="00BE6461" w:rsidRDefault="00BE6461" w:rsidP="00BE6461">
            <w:pPr>
              <w:jc w:val="right"/>
              <w:rPr>
                <w:b/>
                <w:bCs/>
                <w:sz w:val="20"/>
                <w:szCs w:val="20"/>
              </w:rPr>
            </w:pPr>
            <w:r w:rsidRPr="00BE6461">
              <w:rPr>
                <w:b/>
                <w:bCs/>
                <w:sz w:val="20"/>
                <w:szCs w:val="20"/>
              </w:rPr>
              <w:t>260.957,59</w:t>
            </w:r>
          </w:p>
        </w:tc>
        <w:tc>
          <w:tcPr>
            <w:tcW w:w="1100" w:type="dxa"/>
            <w:tcBorders>
              <w:top w:val="single" w:sz="4" w:space="0" w:color="auto"/>
              <w:left w:val="nil"/>
              <w:bottom w:val="single" w:sz="4" w:space="0" w:color="auto"/>
              <w:right w:val="nil"/>
            </w:tcBorders>
            <w:shd w:val="clear" w:color="auto" w:fill="auto"/>
            <w:noWrap/>
            <w:vAlign w:val="bottom"/>
            <w:hideMark/>
          </w:tcPr>
          <w:p w14:paraId="3D0DF7B6"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5D4245B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4F8C2F3"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065BDF3D" w14:textId="77777777" w:rsidR="00BE6461" w:rsidRPr="00BE6461" w:rsidRDefault="00BE6461" w:rsidP="00BE6461">
            <w:pPr>
              <w:jc w:val="right"/>
              <w:rPr>
                <w:b/>
                <w:bCs/>
                <w:color w:val="333333"/>
                <w:sz w:val="20"/>
                <w:szCs w:val="20"/>
              </w:rPr>
            </w:pPr>
            <w:r w:rsidRPr="00BE6461">
              <w:rPr>
                <w:b/>
                <w:bCs/>
                <w:color w:val="333333"/>
                <w:sz w:val="20"/>
                <w:szCs w:val="20"/>
              </w:rPr>
              <w:t>25.725,00</w:t>
            </w:r>
          </w:p>
        </w:tc>
        <w:tc>
          <w:tcPr>
            <w:tcW w:w="1500" w:type="dxa"/>
            <w:tcBorders>
              <w:top w:val="nil"/>
              <w:left w:val="nil"/>
              <w:bottom w:val="nil"/>
              <w:right w:val="nil"/>
            </w:tcBorders>
            <w:shd w:val="clear" w:color="auto" w:fill="auto"/>
            <w:noWrap/>
            <w:vAlign w:val="bottom"/>
            <w:hideMark/>
          </w:tcPr>
          <w:p w14:paraId="0D8FDD7D" w14:textId="77777777" w:rsidR="00BE6461" w:rsidRPr="00BE6461" w:rsidRDefault="00BE6461" w:rsidP="00BE6461">
            <w:pPr>
              <w:jc w:val="right"/>
              <w:rPr>
                <w:b/>
                <w:bCs/>
                <w:color w:val="333333"/>
                <w:sz w:val="20"/>
                <w:szCs w:val="20"/>
              </w:rPr>
            </w:pPr>
            <w:r w:rsidRPr="00BE6461">
              <w:rPr>
                <w:b/>
                <w:bCs/>
                <w:color w:val="333333"/>
                <w:sz w:val="20"/>
                <w:szCs w:val="20"/>
              </w:rPr>
              <w:t>25.725,00</w:t>
            </w:r>
          </w:p>
        </w:tc>
        <w:tc>
          <w:tcPr>
            <w:tcW w:w="1100" w:type="dxa"/>
            <w:tcBorders>
              <w:top w:val="nil"/>
              <w:left w:val="nil"/>
              <w:bottom w:val="nil"/>
              <w:right w:val="nil"/>
            </w:tcBorders>
            <w:shd w:val="clear" w:color="auto" w:fill="auto"/>
            <w:noWrap/>
            <w:vAlign w:val="bottom"/>
            <w:hideMark/>
          </w:tcPr>
          <w:p w14:paraId="6330ABF8"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6C0914DA"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278C07D"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7D7D5ACA" w14:textId="77777777" w:rsidR="00BE6461" w:rsidRPr="00BE6461" w:rsidRDefault="00BE6461" w:rsidP="00BE6461">
            <w:pPr>
              <w:jc w:val="right"/>
              <w:rPr>
                <w:b/>
                <w:bCs/>
                <w:color w:val="333333"/>
                <w:sz w:val="20"/>
                <w:szCs w:val="20"/>
              </w:rPr>
            </w:pPr>
            <w:r w:rsidRPr="00BE6461">
              <w:rPr>
                <w:b/>
                <w:bCs/>
                <w:color w:val="333333"/>
                <w:sz w:val="20"/>
                <w:szCs w:val="20"/>
              </w:rPr>
              <w:t>25.725,00</w:t>
            </w:r>
          </w:p>
        </w:tc>
        <w:tc>
          <w:tcPr>
            <w:tcW w:w="1500" w:type="dxa"/>
            <w:tcBorders>
              <w:top w:val="nil"/>
              <w:left w:val="nil"/>
              <w:bottom w:val="nil"/>
              <w:right w:val="nil"/>
            </w:tcBorders>
            <w:shd w:val="clear" w:color="auto" w:fill="auto"/>
            <w:noWrap/>
            <w:vAlign w:val="bottom"/>
            <w:hideMark/>
          </w:tcPr>
          <w:p w14:paraId="4D11005A" w14:textId="77777777" w:rsidR="00BE6461" w:rsidRPr="00BE6461" w:rsidRDefault="00BE6461" w:rsidP="00BE6461">
            <w:pPr>
              <w:jc w:val="right"/>
              <w:rPr>
                <w:b/>
                <w:bCs/>
                <w:color w:val="333333"/>
                <w:sz w:val="20"/>
                <w:szCs w:val="20"/>
              </w:rPr>
            </w:pPr>
            <w:r w:rsidRPr="00BE6461">
              <w:rPr>
                <w:b/>
                <w:bCs/>
                <w:color w:val="333333"/>
                <w:sz w:val="20"/>
                <w:szCs w:val="20"/>
              </w:rPr>
              <w:t>25.725,00</w:t>
            </w:r>
          </w:p>
        </w:tc>
        <w:tc>
          <w:tcPr>
            <w:tcW w:w="1100" w:type="dxa"/>
            <w:tcBorders>
              <w:top w:val="nil"/>
              <w:left w:val="nil"/>
              <w:bottom w:val="nil"/>
              <w:right w:val="nil"/>
            </w:tcBorders>
            <w:shd w:val="clear" w:color="auto" w:fill="auto"/>
            <w:noWrap/>
            <w:vAlign w:val="bottom"/>
            <w:hideMark/>
          </w:tcPr>
          <w:p w14:paraId="20475809"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1CD8E77A" w14:textId="77777777" w:rsidTr="00BE6461">
        <w:trPr>
          <w:trHeight w:val="300"/>
        </w:trPr>
        <w:tc>
          <w:tcPr>
            <w:tcW w:w="1703" w:type="dxa"/>
            <w:tcBorders>
              <w:top w:val="nil"/>
              <w:left w:val="nil"/>
              <w:bottom w:val="nil"/>
              <w:right w:val="nil"/>
            </w:tcBorders>
            <w:shd w:val="clear" w:color="auto" w:fill="auto"/>
            <w:noWrap/>
            <w:vAlign w:val="bottom"/>
            <w:hideMark/>
          </w:tcPr>
          <w:p w14:paraId="3371E941" w14:textId="77777777" w:rsidR="00BE6461" w:rsidRPr="00BE6461" w:rsidRDefault="00BE6461" w:rsidP="00BE6461">
            <w:pPr>
              <w:rPr>
                <w:b/>
                <w:bCs/>
                <w:sz w:val="20"/>
                <w:szCs w:val="20"/>
              </w:rPr>
            </w:pPr>
            <w:r w:rsidRPr="00BE6461">
              <w:rPr>
                <w:b/>
                <w:bCs/>
                <w:sz w:val="20"/>
                <w:szCs w:val="20"/>
              </w:rPr>
              <w:t>322</w:t>
            </w:r>
          </w:p>
        </w:tc>
        <w:tc>
          <w:tcPr>
            <w:tcW w:w="8457" w:type="dxa"/>
            <w:tcBorders>
              <w:top w:val="nil"/>
              <w:left w:val="nil"/>
              <w:bottom w:val="nil"/>
              <w:right w:val="nil"/>
            </w:tcBorders>
            <w:shd w:val="clear" w:color="auto" w:fill="auto"/>
            <w:vAlign w:val="bottom"/>
            <w:hideMark/>
          </w:tcPr>
          <w:p w14:paraId="340E3868" w14:textId="77777777" w:rsidR="00BE6461" w:rsidRPr="00BE6461" w:rsidRDefault="00BE6461" w:rsidP="00BE6461">
            <w:pPr>
              <w:rPr>
                <w:b/>
                <w:bCs/>
                <w:sz w:val="20"/>
                <w:szCs w:val="20"/>
              </w:rPr>
            </w:pPr>
            <w:r w:rsidRPr="00BE6461">
              <w:rPr>
                <w:b/>
                <w:bCs/>
                <w:sz w:val="20"/>
                <w:szCs w:val="20"/>
              </w:rPr>
              <w:t xml:space="preserve">Rashodi za materijal i energiju                                                                     </w:t>
            </w:r>
          </w:p>
        </w:tc>
        <w:tc>
          <w:tcPr>
            <w:tcW w:w="1503" w:type="dxa"/>
            <w:tcBorders>
              <w:top w:val="nil"/>
              <w:left w:val="nil"/>
              <w:bottom w:val="nil"/>
              <w:right w:val="nil"/>
            </w:tcBorders>
            <w:shd w:val="clear" w:color="auto" w:fill="auto"/>
            <w:noWrap/>
            <w:vAlign w:val="bottom"/>
            <w:hideMark/>
          </w:tcPr>
          <w:p w14:paraId="2096C6CC" w14:textId="77777777" w:rsidR="00BE6461" w:rsidRPr="00BE6461" w:rsidRDefault="00BE6461" w:rsidP="00BE6461">
            <w:pPr>
              <w:jc w:val="right"/>
              <w:rPr>
                <w:b/>
                <w:bCs/>
                <w:sz w:val="20"/>
                <w:szCs w:val="20"/>
              </w:rPr>
            </w:pPr>
            <w:r w:rsidRPr="00BE6461">
              <w:rPr>
                <w:b/>
                <w:bCs/>
                <w:sz w:val="20"/>
                <w:szCs w:val="20"/>
              </w:rPr>
              <w:t>1.225,00</w:t>
            </w:r>
          </w:p>
        </w:tc>
        <w:tc>
          <w:tcPr>
            <w:tcW w:w="1500" w:type="dxa"/>
            <w:tcBorders>
              <w:top w:val="nil"/>
              <w:left w:val="nil"/>
              <w:bottom w:val="nil"/>
              <w:right w:val="nil"/>
            </w:tcBorders>
            <w:shd w:val="clear" w:color="auto" w:fill="auto"/>
            <w:noWrap/>
            <w:vAlign w:val="bottom"/>
            <w:hideMark/>
          </w:tcPr>
          <w:p w14:paraId="535551DB" w14:textId="77777777" w:rsidR="00BE6461" w:rsidRPr="00BE6461" w:rsidRDefault="00BE6461" w:rsidP="00BE6461">
            <w:pPr>
              <w:jc w:val="right"/>
              <w:rPr>
                <w:b/>
                <w:bCs/>
                <w:sz w:val="20"/>
                <w:szCs w:val="20"/>
              </w:rPr>
            </w:pPr>
            <w:r w:rsidRPr="00BE6461">
              <w:rPr>
                <w:b/>
                <w:bCs/>
                <w:sz w:val="20"/>
                <w:szCs w:val="20"/>
              </w:rPr>
              <w:t>1.225,00</w:t>
            </w:r>
          </w:p>
        </w:tc>
        <w:tc>
          <w:tcPr>
            <w:tcW w:w="1100" w:type="dxa"/>
            <w:tcBorders>
              <w:top w:val="nil"/>
              <w:left w:val="nil"/>
              <w:bottom w:val="nil"/>
              <w:right w:val="nil"/>
            </w:tcBorders>
            <w:shd w:val="clear" w:color="auto" w:fill="auto"/>
            <w:noWrap/>
            <w:vAlign w:val="bottom"/>
            <w:hideMark/>
          </w:tcPr>
          <w:p w14:paraId="0B321EEC"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45EA4BF4" w14:textId="77777777" w:rsidTr="00BE6461">
        <w:trPr>
          <w:trHeight w:val="300"/>
        </w:trPr>
        <w:tc>
          <w:tcPr>
            <w:tcW w:w="1703" w:type="dxa"/>
            <w:tcBorders>
              <w:top w:val="nil"/>
              <w:left w:val="nil"/>
              <w:bottom w:val="nil"/>
              <w:right w:val="nil"/>
            </w:tcBorders>
            <w:shd w:val="clear" w:color="auto" w:fill="auto"/>
            <w:noWrap/>
            <w:vAlign w:val="bottom"/>
            <w:hideMark/>
          </w:tcPr>
          <w:p w14:paraId="4834FF73" w14:textId="77777777" w:rsidR="00BE6461" w:rsidRPr="00BE6461" w:rsidRDefault="00BE6461" w:rsidP="00BE6461">
            <w:pPr>
              <w:rPr>
                <w:sz w:val="20"/>
                <w:szCs w:val="20"/>
              </w:rPr>
            </w:pPr>
            <w:r w:rsidRPr="00BE6461">
              <w:rPr>
                <w:sz w:val="20"/>
                <w:szCs w:val="20"/>
              </w:rPr>
              <w:t>3221</w:t>
            </w:r>
          </w:p>
        </w:tc>
        <w:tc>
          <w:tcPr>
            <w:tcW w:w="8457" w:type="dxa"/>
            <w:tcBorders>
              <w:top w:val="nil"/>
              <w:left w:val="nil"/>
              <w:bottom w:val="nil"/>
              <w:right w:val="nil"/>
            </w:tcBorders>
            <w:shd w:val="clear" w:color="auto" w:fill="auto"/>
            <w:vAlign w:val="bottom"/>
            <w:hideMark/>
          </w:tcPr>
          <w:p w14:paraId="3438A73C" w14:textId="77777777" w:rsidR="00BE6461" w:rsidRPr="00BE6461" w:rsidRDefault="00BE6461" w:rsidP="00BE6461">
            <w:pPr>
              <w:rPr>
                <w:sz w:val="20"/>
                <w:szCs w:val="20"/>
              </w:rPr>
            </w:pPr>
            <w:r w:rsidRPr="00BE6461">
              <w:rPr>
                <w:sz w:val="20"/>
                <w:szCs w:val="20"/>
              </w:rPr>
              <w:t xml:space="preserve">Uredski materijal i ostali materijalni rashodi                                                      </w:t>
            </w:r>
          </w:p>
        </w:tc>
        <w:tc>
          <w:tcPr>
            <w:tcW w:w="1503" w:type="dxa"/>
            <w:tcBorders>
              <w:top w:val="nil"/>
              <w:left w:val="nil"/>
              <w:bottom w:val="nil"/>
              <w:right w:val="nil"/>
            </w:tcBorders>
            <w:shd w:val="clear" w:color="auto" w:fill="auto"/>
            <w:noWrap/>
            <w:vAlign w:val="bottom"/>
            <w:hideMark/>
          </w:tcPr>
          <w:p w14:paraId="7C747512"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1ABC304C" w14:textId="77777777" w:rsidR="00BE6461" w:rsidRPr="00BE6461" w:rsidRDefault="00BE6461" w:rsidP="00BE6461">
            <w:pPr>
              <w:jc w:val="right"/>
              <w:rPr>
                <w:sz w:val="20"/>
                <w:szCs w:val="20"/>
              </w:rPr>
            </w:pPr>
            <w:r w:rsidRPr="00BE6461">
              <w:rPr>
                <w:sz w:val="20"/>
                <w:szCs w:val="20"/>
              </w:rPr>
              <w:t>1.225,00</w:t>
            </w:r>
          </w:p>
        </w:tc>
        <w:tc>
          <w:tcPr>
            <w:tcW w:w="1100" w:type="dxa"/>
            <w:tcBorders>
              <w:top w:val="nil"/>
              <w:left w:val="nil"/>
              <w:bottom w:val="nil"/>
              <w:right w:val="nil"/>
            </w:tcBorders>
            <w:shd w:val="clear" w:color="auto" w:fill="auto"/>
            <w:noWrap/>
            <w:vAlign w:val="bottom"/>
            <w:hideMark/>
          </w:tcPr>
          <w:p w14:paraId="409597B8" w14:textId="77777777" w:rsidR="00BE6461" w:rsidRPr="00BE6461" w:rsidRDefault="00BE6461" w:rsidP="00BE6461">
            <w:pPr>
              <w:jc w:val="right"/>
              <w:rPr>
                <w:sz w:val="20"/>
                <w:szCs w:val="20"/>
              </w:rPr>
            </w:pPr>
          </w:p>
        </w:tc>
      </w:tr>
      <w:tr w:rsidR="00BE6461" w:rsidRPr="00BE6461" w14:paraId="737C0123" w14:textId="77777777" w:rsidTr="00BE6461">
        <w:trPr>
          <w:trHeight w:val="300"/>
        </w:trPr>
        <w:tc>
          <w:tcPr>
            <w:tcW w:w="1703" w:type="dxa"/>
            <w:tcBorders>
              <w:top w:val="nil"/>
              <w:left w:val="nil"/>
              <w:bottom w:val="nil"/>
              <w:right w:val="nil"/>
            </w:tcBorders>
            <w:shd w:val="clear" w:color="auto" w:fill="auto"/>
            <w:noWrap/>
            <w:vAlign w:val="bottom"/>
            <w:hideMark/>
          </w:tcPr>
          <w:p w14:paraId="4870AEE0"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25F19C0C"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40FC3593" w14:textId="77777777" w:rsidR="00BE6461" w:rsidRPr="00BE6461" w:rsidRDefault="00BE6461" w:rsidP="00BE6461">
            <w:pPr>
              <w:jc w:val="right"/>
              <w:rPr>
                <w:b/>
                <w:bCs/>
                <w:sz w:val="20"/>
                <w:szCs w:val="20"/>
              </w:rPr>
            </w:pPr>
            <w:r w:rsidRPr="00BE6461">
              <w:rPr>
                <w:b/>
                <w:bCs/>
                <w:sz w:val="20"/>
                <w:szCs w:val="20"/>
              </w:rPr>
              <w:t>24.500,00</w:t>
            </w:r>
          </w:p>
        </w:tc>
        <w:tc>
          <w:tcPr>
            <w:tcW w:w="1500" w:type="dxa"/>
            <w:tcBorders>
              <w:top w:val="nil"/>
              <w:left w:val="nil"/>
              <w:bottom w:val="nil"/>
              <w:right w:val="nil"/>
            </w:tcBorders>
            <w:shd w:val="clear" w:color="auto" w:fill="auto"/>
            <w:noWrap/>
            <w:vAlign w:val="bottom"/>
            <w:hideMark/>
          </w:tcPr>
          <w:p w14:paraId="26A0319B" w14:textId="77777777" w:rsidR="00BE6461" w:rsidRPr="00BE6461" w:rsidRDefault="00BE6461" w:rsidP="00BE6461">
            <w:pPr>
              <w:jc w:val="right"/>
              <w:rPr>
                <w:b/>
                <w:bCs/>
                <w:sz w:val="20"/>
                <w:szCs w:val="20"/>
              </w:rPr>
            </w:pPr>
            <w:r w:rsidRPr="00BE6461">
              <w:rPr>
                <w:b/>
                <w:bCs/>
                <w:sz w:val="20"/>
                <w:szCs w:val="20"/>
              </w:rPr>
              <w:t>24.500,00</w:t>
            </w:r>
          </w:p>
        </w:tc>
        <w:tc>
          <w:tcPr>
            <w:tcW w:w="1100" w:type="dxa"/>
            <w:tcBorders>
              <w:top w:val="nil"/>
              <w:left w:val="nil"/>
              <w:bottom w:val="nil"/>
              <w:right w:val="nil"/>
            </w:tcBorders>
            <w:shd w:val="clear" w:color="auto" w:fill="auto"/>
            <w:noWrap/>
            <w:vAlign w:val="bottom"/>
            <w:hideMark/>
          </w:tcPr>
          <w:p w14:paraId="6A9BBBAE"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4B83C98B" w14:textId="77777777" w:rsidTr="00BE6461">
        <w:trPr>
          <w:trHeight w:val="300"/>
        </w:trPr>
        <w:tc>
          <w:tcPr>
            <w:tcW w:w="1703" w:type="dxa"/>
            <w:tcBorders>
              <w:top w:val="nil"/>
              <w:left w:val="nil"/>
              <w:bottom w:val="nil"/>
              <w:right w:val="nil"/>
            </w:tcBorders>
            <w:shd w:val="clear" w:color="auto" w:fill="auto"/>
            <w:noWrap/>
            <w:vAlign w:val="bottom"/>
            <w:hideMark/>
          </w:tcPr>
          <w:p w14:paraId="77449060"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1C63AC09"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36CBA42B"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D65E9BA" w14:textId="77777777" w:rsidR="00BE6461" w:rsidRPr="00BE6461" w:rsidRDefault="00BE6461" w:rsidP="00BE6461">
            <w:pPr>
              <w:jc w:val="right"/>
              <w:rPr>
                <w:sz w:val="20"/>
                <w:szCs w:val="20"/>
              </w:rPr>
            </w:pPr>
            <w:r w:rsidRPr="00BE6461">
              <w:rPr>
                <w:sz w:val="20"/>
                <w:szCs w:val="20"/>
              </w:rPr>
              <w:t>24.500,00</w:t>
            </w:r>
          </w:p>
        </w:tc>
        <w:tc>
          <w:tcPr>
            <w:tcW w:w="1100" w:type="dxa"/>
            <w:tcBorders>
              <w:top w:val="nil"/>
              <w:left w:val="nil"/>
              <w:bottom w:val="nil"/>
              <w:right w:val="nil"/>
            </w:tcBorders>
            <w:shd w:val="clear" w:color="auto" w:fill="auto"/>
            <w:noWrap/>
            <w:vAlign w:val="bottom"/>
            <w:hideMark/>
          </w:tcPr>
          <w:p w14:paraId="09C451D3" w14:textId="77777777" w:rsidR="00BE6461" w:rsidRPr="00BE6461" w:rsidRDefault="00BE6461" w:rsidP="00BE6461">
            <w:pPr>
              <w:jc w:val="right"/>
              <w:rPr>
                <w:sz w:val="20"/>
                <w:szCs w:val="20"/>
              </w:rPr>
            </w:pPr>
          </w:p>
        </w:tc>
      </w:tr>
      <w:tr w:rsidR="00BE6461" w:rsidRPr="00BE6461" w14:paraId="1FA48D8E"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9D7B4B0"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033B7997" w14:textId="77777777" w:rsidR="00BE6461" w:rsidRPr="00BE6461" w:rsidRDefault="00BE6461" w:rsidP="00BE6461">
            <w:pPr>
              <w:jc w:val="right"/>
              <w:rPr>
                <w:b/>
                <w:bCs/>
                <w:color w:val="333333"/>
                <w:sz w:val="20"/>
                <w:szCs w:val="20"/>
              </w:rPr>
            </w:pPr>
            <w:r w:rsidRPr="00BE6461">
              <w:rPr>
                <w:b/>
                <w:bCs/>
                <w:color w:val="333333"/>
                <w:sz w:val="20"/>
                <w:szCs w:val="20"/>
              </w:rPr>
              <w:t>1.021,99</w:t>
            </w:r>
          </w:p>
        </w:tc>
        <w:tc>
          <w:tcPr>
            <w:tcW w:w="1500" w:type="dxa"/>
            <w:tcBorders>
              <w:top w:val="nil"/>
              <w:left w:val="nil"/>
              <w:bottom w:val="nil"/>
              <w:right w:val="nil"/>
            </w:tcBorders>
            <w:shd w:val="clear" w:color="auto" w:fill="auto"/>
            <w:noWrap/>
            <w:vAlign w:val="bottom"/>
            <w:hideMark/>
          </w:tcPr>
          <w:p w14:paraId="1BB44B6F" w14:textId="77777777" w:rsidR="00BE6461" w:rsidRPr="00BE6461" w:rsidRDefault="00BE6461" w:rsidP="00BE6461">
            <w:pPr>
              <w:jc w:val="right"/>
              <w:rPr>
                <w:b/>
                <w:bCs/>
                <w:color w:val="333333"/>
                <w:sz w:val="20"/>
                <w:szCs w:val="20"/>
              </w:rPr>
            </w:pPr>
            <w:r w:rsidRPr="00BE6461">
              <w:rPr>
                <w:b/>
                <w:bCs/>
                <w:color w:val="333333"/>
                <w:sz w:val="20"/>
                <w:szCs w:val="20"/>
              </w:rPr>
              <w:t>1.021,99</w:t>
            </w:r>
          </w:p>
        </w:tc>
        <w:tc>
          <w:tcPr>
            <w:tcW w:w="1100" w:type="dxa"/>
            <w:tcBorders>
              <w:top w:val="nil"/>
              <w:left w:val="nil"/>
              <w:bottom w:val="nil"/>
              <w:right w:val="nil"/>
            </w:tcBorders>
            <w:shd w:val="clear" w:color="auto" w:fill="auto"/>
            <w:noWrap/>
            <w:vAlign w:val="bottom"/>
            <w:hideMark/>
          </w:tcPr>
          <w:p w14:paraId="6EBE8FEE"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1234928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6D7503D" w14:textId="77777777" w:rsidR="00BE6461" w:rsidRPr="00BE6461" w:rsidRDefault="00BE6461" w:rsidP="00BE6461">
            <w:pPr>
              <w:rPr>
                <w:b/>
                <w:bCs/>
                <w:color w:val="333333"/>
                <w:sz w:val="20"/>
                <w:szCs w:val="20"/>
              </w:rPr>
            </w:pPr>
            <w:r w:rsidRPr="00BE6461">
              <w:rPr>
                <w:b/>
                <w:bCs/>
                <w:color w:val="333333"/>
                <w:sz w:val="20"/>
                <w:szCs w:val="20"/>
              </w:rPr>
              <w:t>Izvor 4.1. PRIHODI POSEBNE NAMJENE - KOMUNALNA NAKNADA</w:t>
            </w:r>
          </w:p>
        </w:tc>
        <w:tc>
          <w:tcPr>
            <w:tcW w:w="1503" w:type="dxa"/>
            <w:tcBorders>
              <w:top w:val="nil"/>
              <w:left w:val="nil"/>
              <w:bottom w:val="nil"/>
              <w:right w:val="nil"/>
            </w:tcBorders>
            <w:shd w:val="clear" w:color="auto" w:fill="auto"/>
            <w:noWrap/>
            <w:vAlign w:val="bottom"/>
            <w:hideMark/>
          </w:tcPr>
          <w:p w14:paraId="0D2DEADC" w14:textId="77777777" w:rsidR="00BE6461" w:rsidRPr="00BE6461" w:rsidRDefault="00BE6461" w:rsidP="00BE6461">
            <w:pPr>
              <w:jc w:val="right"/>
              <w:rPr>
                <w:b/>
                <w:bCs/>
                <w:color w:val="333333"/>
                <w:sz w:val="20"/>
                <w:szCs w:val="20"/>
              </w:rPr>
            </w:pPr>
            <w:r w:rsidRPr="00BE6461">
              <w:rPr>
                <w:b/>
                <w:bCs/>
                <w:color w:val="333333"/>
                <w:sz w:val="20"/>
                <w:szCs w:val="20"/>
              </w:rPr>
              <w:t>1.021,99</w:t>
            </w:r>
          </w:p>
        </w:tc>
        <w:tc>
          <w:tcPr>
            <w:tcW w:w="1500" w:type="dxa"/>
            <w:tcBorders>
              <w:top w:val="nil"/>
              <w:left w:val="nil"/>
              <w:bottom w:val="nil"/>
              <w:right w:val="nil"/>
            </w:tcBorders>
            <w:shd w:val="clear" w:color="auto" w:fill="auto"/>
            <w:noWrap/>
            <w:vAlign w:val="bottom"/>
            <w:hideMark/>
          </w:tcPr>
          <w:p w14:paraId="3597C454" w14:textId="77777777" w:rsidR="00BE6461" w:rsidRPr="00BE6461" w:rsidRDefault="00BE6461" w:rsidP="00BE6461">
            <w:pPr>
              <w:jc w:val="right"/>
              <w:rPr>
                <w:b/>
                <w:bCs/>
                <w:color w:val="333333"/>
                <w:sz w:val="20"/>
                <w:szCs w:val="20"/>
              </w:rPr>
            </w:pPr>
            <w:r w:rsidRPr="00BE6461">
              <w:rPr>
                <w:b/>
                <w:bCs/>
                <w:color w:val="333333"/>
                <w:sz w:val="20"/>
                <w:szCs w:val="20"/>
              </w:rPr>
              <w:t>1.021,99</w:t>
            </w:r>
          </w:p>
        </w:tc>
        <w:tc>
          <w:tcPr>
            <w:tcW w:w="1100" w:type="dxa"/>
            <w:tcBorders>
              <w:top w:val="nil"/>
              <w:left w:val="nil"/>
              <w:bottom w:val="nil"/>
              <w:right w:val="nil"/>
            </w:tcBorders>
            <w:shd w:val="clear" w:color="auto" w:fill="auto"/>
            <w:noWrap/>
            <w:vAlign w:val="bottom"/>
            <w:hideMark/>
          </w:tcPr>
          <w:p w14:paraId="1A538C28"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5E3D8FB5" w14:textId="77777777" w:rsidTr="00BE6461">
        <w:trPr>
          <w:trHeight w:val="300"/>
        </w:trPr>
        <w:tc>
          <w:tcPr>
            <w:tcW w:w="1703" w:type="dxa"/>
            <w:tcBorders>
              <w:top w:val="nil"/>
              <w:left w:val="nil"/>
              <w:bottom w:val="nil"/>
              <w:right w:val="nil"/>
            </w:tcBorders>
            <w:shd w:val="clear" w:color="auto" w:fill="auto"/>
            <w:noWrap/>
            <w:vAlign w:val="bottom"/>
            <w:hideMark/>
          </w:tcPr>
          <w:p w14:paraId="05E52CA5" w14:textId="77777777" w:rsidR="00BE6461" w:rsidRPr="00BE6461" w:rsidRDefault="00BE6461" w:rsidP="00BE6461">
            <w:pPr>
              <w:rPr>
                <w:b/>
                <w:bCs/>
                <w:sz w:val="20"/>
                <w:szCs w:val="20"/>
              </w:rPr>
            </w:pPr>
            <w:r w:rsidRPr="00BE6461">
              <w:rPr>
                <w:b/>
                <w:bCs/>
                <w:sz w:val="20"/>
                <w:szCs w:val="20"/>
              </w:rPr>
              <w:lastRenderedPageBreak/>
              <w:t>323</w:t>
            </w:r>
          </w:p>
        </w:tc>
        <w:tc>
          <w:tcPr>
            <w:tcW w:w="8457" w:type="dxa"/>
            <w:tcBorders>
              <w:top w:val="nil"/>
              <w:left w:val="nil"/>
              <w:bottom w:val="nil"/>
              <w:right w:val="nil"/>
            </w:tcBorders>
            <w:shd w:val="clear" w:color="auto" w:fill="auto"/>
            <w:vAlign w:val="bottom"/>
            <w:hideMark/>
          </w:tcPr>
          <w:p w14:paraId="43EE57E2"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29AE5DCF" w14:textId="77777777" w:rsidR="00BE6461" w:rsidRPr="00BE6461" w:rsidRDefault="00BE6461" w:rsidP="00BE6461">
            <w:pPr>
              <w:jc w:val="right"/>
              <w:rPr>
                <w:b/>
                <w:bCs/>
                <w:sz w:val="20"/>
                <w:szCs w:val="20"/>
              </w:rPr>
            </w:pPr>
            <w:r w:rsidRPr="00BE6461">
              <w:rPr>
                <w:b/>
                <w:bCs/>
                <w:sz w:val="20"/>
                <w:szCs w:val="20"/>
              </w:rPr>
              <w:t>1.021,99</w:t>
            </w:r>
          </w:p>
        </w:tc>
        <w:tc>
          <w:tcPr>
            <w:tcW w:w="1500" w:type="dxa"/>
            <w:tcBorders>
              <w:top w:val="nil"/>
              <w:left w:val="nil"/>
              <w:bottom w:val="nil"/>
              <w:right w:val="nil"/>
            </w:tcBorders>
            <w:shd w:val="clear" w:color="auto" w:fill="auto"/>
            <w:noWrap/>
            <w:vAlign w:val="bottom"/>
            <w:hideMark/>
          </w:tcPr>
          <w:p w14:paraId="21518679" w14:textId="77777777" w:rsidR="00BE6461" w:rsidRPr="00BE6461" w:rsidRDefault="00BE6461" w:rsidP="00BE6461">
            <w:pPr>
              <w:jc w:val="right"/>
              <w:rPr>
                <w:b/>
                <w:bCs/>
                <w:sz w:val="20"/>
                <w:szCs w:val="20"/>
              </w:rPr>
            </w:pPr>
            <w:r w:rsidRPr="00BE6461">
              <w:rPr>
                <w:b/>
                <w:bCs/>
                <w:sz w:val="20"/>
                <w:szCs w:val="20"/>
              </w:rPr>
              <w:t>1.021,99</w:t>
            </w:r>
          </w:p>
        </w:tc>
        <w:tc>
          <w:tcPr>
            <w:tcW w:w="1100" w:type="dxa"/>
            <w:tcBorders>
              <w:top w:val="nil"/>
              <w:left w:val="nil"/>
              <w:bottom w:val="nil"/>
              <w:right w:val="nil"/>
            </w:tcBorders>
            <w:shd w:val="clear" w:color="auto" w:fill="auto"/>
            <w:noWrap/>
            <w:vAlign w:val="bottom"/>
            <w:hideMark/>
          </w:tcPr>
          <w:p w14:paraId="4FA0933E"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4A620D7D" w14:textId="77777777" w:rsidTr="00BE6461">
        <w:trPr>
          <w:trHeight w:val="300"/>
        </w:trPr>
        <w:tc>
          <w:tcPr>
            <w:tcW w:w="1703" w:type="dxa"/>
            <w:tcBorders>
              <w:top w:val="nil"/>
              <w:left w:val="nil"/>
              <w:bottom w:val="nil"/>
              <w:right w:val="nil"/>
            </w:tcBorders>
            <w:shd w:val="clear" w:color="auto" w:fill="auto"/>
            <w:noWrap/>
            <w:vAlign w:val="bottom"/>
            <w:hideMark/>
          </w:tcPr>
          <w:p w14:paraId="7ABEF8F4" w14:textId="77777777" w:rsidR="00BE6461" w:rsidRPr="00BE6461" w:rsidRDefault="00BE6461" w:rsidP="00BE6461">
            <w:pPr>
              <w:rPr>
                <w:sz w:val="20"/>
                <w:szCs w:val="20"/>
              </w:rPr>
            </w:pPr>
            <w:r w:rsidRPr="00BE6461">
              <w:rPr>
                <w:sz w:val="20"/>
                <w:szCs w:val="20"/>
              </w:rPr>
              <w:t>3232</w:t>
            </w:r>
          </w:p>
        </w:tc>
        <w:tc>
          <w:tcPr>
            <w:tcW w:w="8457" w:type="dxa"/>
            <w:tcBorders>
              <w:top w:val="nil"/>
              <w:left w:val="nil"/>
              <w:bottom w:val="nil"/>
              <w:right w:val="nil"/>
            </w:tcBorders>
            <w:shd w:val="clear" w:color="auto" w:fill="auto"/>
            <w:vAlign w:val="bottom"/>
            <w:hideMark/>
          </w:tcPr>
          <w:p w14:paraId="0B619F8E" w14:textId="77777777" w:rsidR="00BE6461" w:rsidRPr="00BE6461" w:rsidRDefault="00BE6461" w:rsidP="00BE6461">
            <w:pPr>
              <w:rPr>
                <w:sz w:val="20"/>
                <w:szCs w:val="20"/>
              </w:rPr>
            </w:pPr>
            <w:r w:rsidRPr="00BE6461">
              <w:rPr>
                <w:sz w:val="20"/>
                <w:szCs w:val="20"/>
              </w:rPr>
              <w:t xml:space="preserve">Usluge tekućeg i investicijskog održavanja                                                          </w:t>
            </w:r>
          </w:p>
        </w:tc>
        <w:tc>
          <w:tcPr>
            <w:tcW w:w="1503" w:type="dxa"/>
            <w:tcBorders>
              <w:top w:val="nil"/>
              <w:left w:val="nil"/>
              <w:bottom w:val="nil"/>
              <w:right w:val="nil"/>
            </w:tcBorders>
            <w:shd w:val="clear" w:color="auto" w:fill="auto"/>
            <w:noWrap/>
            <w:vAlign w:val="bottom"/>
            <w:hideMark/>
          </w:tcPr>
          <w:p w14:paraId="3B32C84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6392BE6" w14:textId="77777777" w:rsidR="00BE6461" w:rsidRPr="00BE6461" w:rsidRDefault="00BE6461" w:rsidP="00BE6461">
            <w:pPr>
              <w:jc w:val="right"/>
              <w:rPr>
                <w:sz w:val="20"/>
                <w:szCs w:val="20"/>
              </w:rPr>
            </w:pPr>
            <w:r w:rsidRPr="00BE6461">
              <w:rPr>
                <w:sz w:val="20"/>
                <w:szCs w:val="20"/>
              </w:rPr>
              <w:t>1.021,99</w:t>
            </w:r>
          </w:p>
        </w:tc>
        <w:tc>
          <w:tcPr>
            <w:tcW w:w="1100" w:type="dxa"/>
            <w:tcBorders>
              <w:top w:val="nil"/>
              <w:left w:val="nil"/>
              <w:bottom w:val="nil"/>
              <w:right w:val="nil"/>
            </w:tcBorders>
            <w:shd w:val="clear" w:color="auto" w:fill="auto"/>
            <w:noWrap/>
            <w:vAlign w:val="bottom"/>
            <w:hideMark/>
          </w:tcPr>
          <w:p w14:paraId="7A55D890" w14:textId="77777777" w:rsidR="00BE6461" w:rsidRPr="00BE6461" w:rsidRDefault="00BE6461" w:rsidP="00BE6461">
            <w:pPr>
              <w:jc w:val="right"/>
              <w:rPr>
                <w:sz w:val="20"/>
                <w:szCs w:val="20"/>
              </w:rPr>
            </w:pPr>
          </w:p>
        </w:tc>
      </w:tr>
      <w:tr w:rsidR="00BE6461" w:rsidRPr="00BE6461" w14:paraId="6E3BE0FD"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EAC53F2" w14:textId="77777777" w:rsidR="00BE6461" w:rsidRPr="00BE6461" w:rsidRDefault="00BE6461" w:rsidP="00BE6461">
            <w:pPr>
              <w:rPr>
                <w:b/>
                <w:bCs/>
                <w:color w:val="333333"/>
                <w:sz w:val="20"/>
                <w:szCs w:val="20"/>
              </w:rPr>
            </w:pPr>
            <w:r w:rsidRPr="00BE6461">
              <w:rPr>
                <w:b/>
                <w:bCs/>
                <w:color w:val="333333"/>
                <w:sz w:val="20"/>
                <w:szCs w:val="20"/>
              </w:rPr>
              <w:t>Izvor 7. PRIHODI OD NEFIN.IMOVINE I NADOKNADE ŠTETA OD OSIG.</w:t>
            </w:r>
          </w:p>
        </w:tc>
        <w:tc>
          <w:tcPr>
            <w:tcW w:w="1503" w:type="dxa"/>
            <w:tcBorders>
              <w:top w:val="nil"/>
              <w:left w:val="nil"/>
              <w:bottom w:val="nil"/>
              <w:right w:val="nil"/>
            </w:tcBorders>
            <w:shd w:val="clear" w:color="auto" w:fill="auto"/>
            <w:noWrap/>
            <w:vAlign w:val="bottom"/>
            <w:hideMark/>
          </w:tcPr>
          <w:p w14:paraId="241D3518" w14:textId="77777777" w:rsidR="00BE6461" w:rsidRPr="00BE6461" w:rsidRDefault="00BE6461" w:rsidP="00BE6461">
            <w:pPr>
              <w:jc w:val="right"/>
              <w:rPr>
                <w:b/>
                <w:bCs/>
                <w:color w:val="333333"/>
                <w:sz w:val="20"/>
                <w:szCs w:val="20"/>
              </w:rPr>
            </w:pPr>
            <w:r w:rsidRPr="00BE6461">
              <w:rPr>
                <w:b/>
                <w:bCs/>
                <w:color w:val="333333"/>
                <w:sz w:val="20"/>
                <w:szCs w:val="20"/>
              </w:rPr>
              <w:t>234.210,60</w:t>
            </w:r>
          </w:p>
        </w:tc>
        <w:tc>
          <w:tcPr>
            <w:tcW w:w="1500" w:type="dxa"/>
            <w:tcBorders>
              <w:top w:val="nil"/>
              <w:left w:val="nil"/>
              <w:bottom w:val="nil"/>
              <w:right w:val="nil"/>
            </w:tcBorders>
            <w:shd w:val="clear" w:color="auto" w:fill="auto"/>
            <w:noWrap/>
            <w:vAlign w:val="bottom"/>
            <w:hideMark/>
          </w:tcPr>
          <w:p w14:paraId="0F8AACD1" w14:textId="77777777" w:rsidR="00BE6461" w:rsidRPr="00BE6461" w:rsidRDefault="00BE6461" w:rsidP="00BE6461">
            <w:pPr>
              <w:jc w:val="right"/>
              <w:rPr>
                <w:b/>
                <w:bCs/>
                <w:color w:val="333333"/>
                <w:sz w:val="20"/>
                <w:szCs w:val="20"/>
              </w:rPr>
            </w:pPr>
            <w:r w:rsidRPr="00BE6461">
              <w:rPr>
                <w:b/>
                <w:bCs/>
                <w:color w:val="333333"/>
                <w:sz w:val="20"/>
                <w:szCs w:val="20"/>
              </w:rPr>
              <w:t>234.210,60</w:t>
            </w:r>
          </w:p>
        </w:tc>
        <w:tc>
          <w:tcPr>
            <w:tcW w:w="1100" w:type="dxa"/>
            <w:tcBorders>
              <w:top w:val="nil"/>
              <w:left w:val="nil"/>
              <w:bottom w:val="nil"/>
              <w:right w:val="nil"/>
            </w:tcBorders>
            <w:shd w:val="clear" w:color="auto" w:fill="auto"/>
            <w:noWrap/>
            <w:vAlign w:val="bottom"/>
            <w:hideMark/>
          </w:tcPr>
          <w:p w14:paraId="56149242"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3F559E35"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A334326" w14:textId="77777777" w:rsidR="00BE6461" w:rsidRPr="00BE6461" w:rsidRDefault="00BE6461" w:rsidP="00BE6461">
            <w:pPr>
              <w:rPr>
                <w:b/>
                <w:bCs/>
                <w:color w:val="333333"/>
                <w:sz w:val="20"/>
                <w:szCs w:val="20"/>
              </w:rPr>
            </w:pPr>
            <w:r w:rsidRPr="00BE6461">
              <w:rPr>
                <w:b/>
                <w:bCs/>
                <w:color w:val="333333"/>
                <w:sz w:val="20"/>
                <w:szCs w:val="20"/>
              </w:rPr>
              <w:t>Izvor 7.1. PRIHODI OD NEFIN.IMOVINE I NADOKNADE ŠTETA OD OSIG.</w:t>
            </w:r>
          </w:p>
        </w:tc>
        <w:tc>
          <w:tcPr>
            <w:tcW w:w="1503" w:type="dxa"/>
            <w:tcBorders>
              <w:top w:val="nil"/>
              <w:left w:val="nil"/>
              <w:bottom w:val="nil"/>
              <w:right w:val="nil"/>
            </w:tcBorders>
            <w:shd w:val="clear" w:color="auto" w:fill="auto"/>
            <w:noWrap/>
            <w:vAlign w:val="bottom"/>
            <w:hideMark/>
          </w:tcPr>
          <w:p w14:paraId="6BA3B862" w14:textId="77777777" w:rsidR="00BE6461" w:rsidRPr="00BE6461" w:rsidRDefault="00BE6461" w:rsidP="00BE6461">
            <w:pPr>
              <w:jc w:val="right"/>
              <w:rPr>
                <w:b/>
                <w:bCs/>
                <w:color w:val="333333"/>
                <w:sz w:val="20"/>
                <w:szCs w:val="20"/>
              </w:rPr>
            </w:pPr>
            <w:r w:rsidRPr="00BE6461">
              <w:rPr>
                <w:b/>
                <w:bCs/>
                <w:color w:val="333333"/>
                <w:sz w:val="20"/>
                <w:szCs w:val="20"/>
              </w:rPr>
              <w:t>234.210,60</w:t>
            </w:r>
          </w:p>
        </w:tc>
        <w:tc>
          <w:tcPr>
            <w:tcW w:w="1500" w:type="dxa"/>
            <w:tcBorders>
              <w:top w:val="nil"/>
              <w:left w:val="nil"/>
              <w:bottom w:val="nil"/>
              <w:right w:val="nil"/>
            </w:tcBorders>
            <w:shd w:val="clear" w:color="auto" w:fill="auto"/>
            <w:noWrap/>
            <w:vAlign w:val="bottom"/>
            <w:hideMark/>
          </w:tcPr>
          <w:p w14:paraId="02E56E8F" w14:textId="77777777" w:rsidR="00BE6461" w:rsidRPr="00BE6461" w:rsidRDefault="00BE6461" w:rsidP="00BE6461">
            <w:pPr>
              <w:jc w:val="right"/>
              <w:rPr>
                <w:b/>
                <w:bCs/>
                <w:color w:val="333333"/>
                <w:sz w:val="20"/>
                <w:szCs w:val="20"/>
              </w:rPr>
            </w:pPr>
            <w:r w:rsidRPr="00BE6461">
              <w:rPr>
                <w:b/>
                <w:bCs/>
                <w:color w:val="333333"/>
                <w:sz w:val="20"/>
                <w:szCs w:val="20"/>
              </w:rPr>
              <w:t>234.210,60</w:t>
            </w:r>
          </w:p>
        </w:tc>
        <w:tc>
          <w:tcPr>
            <w:tcW w:w="1100" w:type="dxa"/>
            <w:tcBorders>
              <w:top w:val="nil"/>
              <w:left w:val="nil"/>
              <w:bottom w:val="nil"/>
              <w:right w:val="nil"/>
            </w:tcBorders>
            <w:shd w:val="clear" w:color="auto" w:fill="auto"/>
            <w:noWrap/>
            <w:vAlign w:val="bottom"/>
            <w:hideMark/>
          </w:tcPr>
          <w:p w14:paraId="36CF073E"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6A10113B" w14:textId="77777777" w:rsidTr="00BE6461">
        <w:trPr>
          <w:trHeight w:val="300"/>
        </w:trPr>
        <w:tc>
          <w:tcPr>
            <w:tcW w:w="1703" w:type="dxa"/>
            <w:tcBorders>
              <w:top w:val="nil"/>
              <w:left w:val="nil"/>
              <w:bottom w:val="nil"/>
              <w:right w:val="nil"/>
            </w:tcBorders>
            <w:shd w:val="clear" w:color="auto" w:fill="auto"/>
            <w:noWrap/>
            <w:vAlign w:val="bottom"/>
            <w:hideMark/>
          </w:tcPr>
          <w:p w14:paraId="52A32913" w14:textId="77777777" w:rsidR="00BE6461" w:rsidRPr="00BE6461" w:rsidRDefault="00BE6461" w:rsidP="00BE6461">
            <w:pPr>
              <w:rPr>
                <w:b/>
                <w:bCs/>
                <w:sz w:val="20"/>
                <w:szCs w:val="20"/>
              </w:rPr>
            </w:pPr>
            <w:r w:rsidRPr="00BE6461">
              <w:rPr>
                <w:b/>
                <w:bCs/>
                <w:sz w:val="20"/>
                <w:szCs w:val="20"/>
              </w:rPr>
              <w:t>363</w:t>
            </w:r>
          </w:p>
        </w:tc>
        <w:tc>
          <w:tcPr>
            <w:tcW w:w="8457" w:type="dxa"/>
            <w:tcBorders>
              <w:top w:val="nil"/>
              <w:left w:val="nil"/>
              <w:bottom w:val="nil"/>
              <w:right w:val="nil"/>
            </w:tcBorders>
            <w:shd w:val="clear" w:color="auto" w:fill="auto"/>
            <w:vAlign w:val="bottom"/>
            <w:hideMark/>
          </w:tcPr>
          <w:p w14:paraId="586BA53A" w14:textId="77777777" w:rsidR="00BE6461" w:rsidRPr="00BE6461" w:rsidRDefault="00BE6461" w:rsidP="00BE6461">
            <w:pPr>
              <w:rPr>
                <w:b/>
                <w:bCs/>
                <w:sz w:val="20"/>
                <w:szCs w:val="20"/>
              </w:rPr>
            </w:pPr>
            <w:r w:rsidRPr="00BE6461">
              <w:rPr>
                <w:b/>
                <w:bCs/>
                <w:sz w:val="20"/>
                <w:szCs w:val="20"/>
              </w:rPr>
              <w:t xml:space="preserve">Pomoći unutar općeg proračuna                                                                       </w:t>
            </w:r>
          </w:p>
        </w:tc>
        <w:tc>
          <w:tcPr>
            <w:tcW w:w="1503" w:type="dxa"/>
            <w:tcBorders>
              <w:top w:val="nil"/>
              <w:left w:val="nil"/>
              <w:bottom w:val="nil"/>
              <w:right w:val="nil"/>
            </w:tcBorders>
            <w:shd w:val="clear" w:color="auto" w:fill="auto"/>
            <w:noWrap/>
            <w:vAlign w:val="bottom"/>
            <w:hideMark/>
          </w:tcPr>
          <w:p w14:paraId="34AE8E6B" w14:textId="77777777" w:rsidR="00BE6461" w:rsidRPr="00BE6461" w:rsidRDefault="00BE6461" w:rsidP="00BE6461">
            <w:pPr>
              <w:jc w:val="right"/>
              <w:rPr>
                <w:b/>
                <w:bCs/>
                <w:sz w:val="20"/>
                <w:szCs w:val="20"/>
              </w:rPr>
            </w:pPr>
            <w:r w:rsidRPr="00BE6461">
              <w:rPr>
                <w:b/>
                <w:bCs/>
                <w:sz w:val="20"/>
                <w:szCs w:val="20"/>
              </w:rPr>
              <w:t>234.210,60</w:t>
            </w:r>
          </w:p>
        </w:tc>
        <w:tc>
          <w:tcPr>
            <w:tcW w:w="1500" w:type="dxa"/>
            <w:tcBorders>
              <w:top w:val="nil"/>
              <w:left w:val="nil"/>
              <w:bottom w:val="nil"/>
              <w:right w:val="nil"/>
            </w:tcBorders>
            <w:shd w:val="clear" w:color="auto" w:fill="auto"/>
            <w:noWrap/>
            <w:vAlign w:val="bottom"/>
            <w:hideMark/>
          </w:tcPr>
          <w:p w14:paraId="279A6B60" w14:textId="77777777" w:rsidR="00BE6461" w:rsidRPr="00BE6461" w:rsidRDefault="00BE6461" w:rsidP="00BE6461">
            <w:pPr>
              <w:jc w:val="right"/>
              <w:rPr>
                <w:b/>
                <w:bCs/>
                <w:sz w:val="20"/>
                <w:szCs w:val="20"/>
              </w:rPr>
            </w:pPr>
            <w:r w:rsidRPr="00BE6461">
              <w:rPr>
                <w:b/>
                <w:bCs/>
                <w:sz w:val="20"/>
                <w:szCs w:val="20"/>
              </w:rPr>
              <w:t>234.210,60</w:t>
            </w:r>
          </w:p>
        </w:tc>
        <w:tc>
          <w:tcPr>
            <w:tcW w:w="1100" w:type="dxa"/>
            <w:tcBorders>
              <w:top w:val="nil"/>
              <w:left w:val="nil"/>
              <w:bottom w:val="nil"/>
              <w:right w:val="nil"/>
            </w:tcBorders>
            <w:shd w:val="clear" w:color="auto" w:fill="auto"/>
            <w:noWrap/>
            <w:vAlign w:val="bottom"/>
            <w:hideMark/>
          </w:tcPr>
          <w:p w14:paraId="6A1606CF"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402AEF2B" w14:textId="77777777" w:rsidTr="00BE6461">
        <w:trPr>
          <w:trHeight w:val="300"/>
        </w:trPr>
        <w:tc>
          <w:tcPr>
            <w:tcW w:w="1703" w:type="dxa"/>
            <w:tcBorders>
              <w:top w:val="nil"/>
              <w:left w:val="nil"/>
              <w:bottom w:val="nil"/>
              <w:right w:val="nil"/>
            </w:tcBorders>
            <w:shd w:val="clear" w:color="auto" w:fill="auto"/>
            <w:noWrap/>
            <w:vAlign w:val="bottom"/>
            <w:hideMark/>
          </w:tcPr>
          <w:p w14:paraId="05720311" w14:textId="77777777" w:rsidR="00BE6461" w:rsidRPr="00BE6461" w:rsidRDefault="00BE6461" w:rsidP="00BE6461">
            <w:pPr>
              <w:rPr>
                <w:sz w:val="20"/>
                <w:szCs w:val="20"/>
              </w:rPr>
            </w:pPr>
            <w:r w:rsidRPr="00BE6461">
              <w:rPr>
                <w:sz w:val="20"/>
                <w:szCs w:val="20"/>
              </w:rPr>
              <w:t>3632</w:t>
            </w:r>
          </w:p>
        </w:tc>
        <w:tc>
          <w:tcPr>
            <w:tcW w:w="8457" w:type="dxa"/>
            <w:tcBorders>
              <w:top w:val="nil"/>
              <w:left w:val="nil"/>
              <w:bottom w:val="nil"/>
              <w:right w:val="nil"/>
            </w:tcBorders>
            <w:shd w:val="clear" w:color="auto" w:fill="auto"/>
            <w:vAlign w:val="bottom"/>
            <w:hideMark/>
          </w:tcPr>
          <w:p w14:paraId="01EC559B" w14:textId="77777777" w:rsidR="00BE6461" w:rsidRPr="00BE6461" w:rsidRDefault="00BE6461" w:rsidP="00BE6461">
            <w:pPr>
              <w:rPr>
                <w:sz w:val="20"/>
                <w:szCs w:val="20"/>
              </w:rPr>
            </w:pPr>
            <w:r w:rsidRPr="00BE6461">
              <w:rPr>
                <w:sz w:val="20"/>
                <w:szCs w:val="20"/>
              </w:rPr>
              <w:t xml:space="preserve">Kapitalne pomoći unutar općeg proračuna                                                             </w:t>
            </w:r>
          </w:p>
        </w:tc>
        <w:tc>
          <w:tcPr>
            <w:tcW w:w="1503" w:type="dxa"/>
            <w:tcBorders>
              <w:top w:val="nil"/>
              <w:left w:val="nil"/>
              <w:bottom w:val="nil"/>
              <w:right w:val="nil"/>
            </w:tcBorders>
            <w:shd w:val="clear" w:color="auto" w:fill="auto"/>
            <w:noWrap/>
            <w:vAlign w:val="bottom"/>
            <w:hideMark/>
          </w:tcPr>
          <w:p w14:paraId="629CD82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61D1687" w14:textId="77777777" w:rsidR="00BE6461" w:rsidRPr="00BE6461" w:rsidRDefault="00BE6461" w:rsidP="00BE6461">
            <w:pPr>
              <w:jc w:val="right"/>
              <w:rPr>
                <w:sz w:val="20"/>
                <w:szCs w:val="20"/>
              </w:rPr>
            </w:pPr>
            <w:r w:rsidRPr="00BE6461">
              <w:rPr>
                <w:sz w:val="20"/>
                <w:szCs w:val="20"/>
              </w:rPr>
              <w:t>234.210,60</w:t>
            </w:r>
          </w:p>
        </w:tc>
        <w:tc>
          <w:tcPr>
            <w:tcW w:w="1100" w:type="dxa"/>
            <w:tcBorders>
              <w:top w:val="nil"/>
              <w:left w:val="nil"/>
              <w:bottom w:val="nil"/>
              <w:right w:val="nil"/>
            </w:tcBorders>
            <w:shd w:val="clear" w:color="auto" w:fill="auto"/>
            <w:noWrap/>
            <w:vAlign w:val="bottom"/>
            <w:hideMark/>
          </w:tcPr>
          <w:p w14:paraId="14F61907" w14:textId="77777777" w:rsidR="00BE6461" w:rsidRPr="00BE6461" w:rsidRDefault="00BE6461" w:rsidP="00BE6461">
            <w:pPr>
              <w:jc w:val="right"/>
              <w:rPr>
                <w:sz w:val="20"/>
                <w:szCs w:val="20"/>
              </w:rPr>
            </w:pPr>
          </w:p>
        </w:tc>
      </w:tr>
      <w:tr w:rsidR="00BE6461" w:rsidRPr="00BE6461" w14:paraId="2FF8DBA4"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4A26255A" w14:textId="77777777" w:rsidR="00BE6461" w:rsidRPr="00BE6461" w:rsidRDefault="00BE6461" w:rsidP="00BE6461">
            <w:pPr>
              <w:rPr>
                <w:b/>
                <w:bCs/>
                <w:sz w:val="20"/>
                <w:szCs w:val="20"/>
              </w:rPr>
            </w:pPr>
            <w:r w:rsidRPr="00BE6461">
              <w:rPr>
                <w:b/>
                <w:bCs/>
                <w:sz w:val="20"/>
                <w:szCs w:val="20"/>
              </w:rPr>
              <w:t>K300032</w:t>
            </w:r>
          </w:p>
        </w:tc>
        <w:tc>
          <w:tcPr>
            <w:tcW w:w="8457" w:type="dxa"/>
            <w:tcBorders>
              <w:top w:val="single" w:sz="4" w:space="0" w:color="auto"/>
              <w:left w:val="nil"/>
              <w:bottom w:val="single" w:sz="4" w:space="0" w:color="auto"/>
              <w:right w:val="nil"/>
            </w:tcBorders>
            <w:shd w:val="clear" w:color="auto" w:fill="auto"/>
            <w:vAlign w:val="bottom"/>
            <w:hideMark/>
          </w:tcPr>
          <w:p w14:paraId="3473DAA4" w14:textId="77777777" w:rsidR="00BE6461" w:rsidRPr="00BE6461" w:rsidRDefault="00BE6461" w:rsidP="00BE6461">
            <w:pPr>
              <w:rPr>
                <w:b/>
                <w:bCs/>
                <w:sz w:val="20"/>
                <w:szCs w:val="20"/>
              </w:rPr>
            </w:pPr>
            <w:r w:rsidRPr="00BE6461">
              <w:rPr>
                <w:b/>
                <w:bCs/>
                <w:sz w:val="20"/>
                <w:szCs w:val="20"/>
              </w:rPr>
              <w:t>Kapitalni projekt: REKONSTRUKCIJA ZGRADE STAROG VATROGASNOG DOMA / STARI DIGITRON</w:t>
            </w:r>
          </w:p>
        </w:tc>
        <w:tc>
          <w:tcPr>
            <w:tcW w:w="1503" w:type="dxa"/>
            <w:tcBorders>
              <w:top w:val="single" w:sz="4" w:space="0" w:color="auto"/>
              <w:left w:val="nil"/>
              <w:bottom w:val="single" w:sz="4" w:space="0" w:color="auto"/>
              <w:right w:val="nil"/>
            </w:tcBorders>
            <w:shd w:val="clear" w:color="auto" w:fill="auto"/>
            <w:noWrap/>
            <w:vAlign w:val="bottom"/>
            <w:hideMark/>
          </w:tcPr>
          <w:p w14:paraId="5B97A376" w14:textId="77777777" w:rsidR="00BE6461" w:rsidRPr="00BE6461" w:rsidRDefault="00BE6461" w:rsidP="00BE6461">
            <w:pPr>
              <w:jc w:val="right"/>
              <w:rPr>
                <w:b/>
                <w:bCs/>
                <w:sz w:val="20"/>
                <w:szCs w:val="20"/>
              </w:rPr>
            </w:pPr>
            <w:r w:rsidRPr="00BE6461">
              <w:rPr>
                <w:b/>
                <w:bCs/>
                <w:sz w:val="20"/>
                <w:szCs w:val="20"/>
              </w:rPr>
              <w:t>107.213,16</w:t>
            </w:r>
          </w:p>
        </w:tc>
        <w:tc>
          <w:tcPr>
            <w:tcW w:w="1500" w:type="dxa"/>
            <w:tcBorders>
              <w:top w:val="single" w:sz="4" w:space="0" w:color="auto"/>
              <w:left w:val="nil"/>
              <w:bottom w:val="single" w:sz="4" w:space="0" w:color="auto"/>
              <w:right w:val="nil"/>
            </w:tcBorders>
            <w:shd w:val="clear" w:color="auto" w:fill="auto"/>
            <w:noWrap/>
            <w:vAlign w:val="bottom"/>
            <w:hideMark/>
          </w:tcPr>
          <w:p w14:paraId="6366D68F" w14:textId="77777777" w:rsidR="00BE6461" w:rsidRPr="00BE6461" w:rsidRDefault="00BE6461" w:rsidP="00BE6461">
            <w:pPr>
              <w:jc w:val="right"/>
              <w:rPr>
                <w:b/>
                <w:bCs/>
                <w:sz w:val="20"/>
                <w:szCs w:val="20"/>
              </w:rPr>
            </w:pPr>
            <w:r w:rsidRPr="00BE6461">
              <w:rPr>
                <w:b/>
                <w:bCs/>
                <w:sz w:val="20"/>
                <w:szCs w:val="20"/>
              </w:rPr>
              <w:t>107.213,16</w:t>
            </w:r>
          </w:p>
        </w:tc>
        <w:tc>
          <w:tcPr>
            <w:tcW w:w="1100" w:type="dxa"/>
            <w:tcBorders>
              <w:top w:val="single" w:sz="4" w:space="0" w:color="auto"/>
              <w:left w:val="nil"/>
              <w:bottom w:val="single" w:sz="4" w:space="0" w:color="auto"/>
              <w:right w:val="nil"/>
            </w:tcBorders>
            <w:shd w:val="clear" w:color="auto" w:fill="auto"/>
            <w:noWrap/>
            <w:vAlign w:val="bottom"/>
            <w:hideMark/>
          </w:tcPr>
          <w:p w14:paraId="7B420CFA"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65824A5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90EF020" w14:textId="77777777" w:rsidR="00BE6461" w:rsidRPr="00BE6461" w:rsidRDefault="00BE6461" w:rsidP="00BE6461">
            <w:pPr>
              <w:rPr>
                <w:b/>
                <w:bCs/>
                <w:color w:val="333333"/>
                <w:sz w:val="20"/>
                <w:szCs w:val="20"/>
              </w:rPr>
            </w:pPr>
            <w:r w:rsidRPr="00BE6461">
              <w:rPr>
                <w:b/>
                <w:bCs/>
                <w:color w:val="333333"/>
                <w:sz w:val="20"/>
                <w:szCs w:val="20"/>
              </w:rPr>
              <w:t>Izvor 7. PRIHODI OD NEFIN.IMOVINE I NADOKNADE ŠTETA OD OSIG.</w:t>
            </w:r>
          </w:p>
        </w:tc>
        <w:tc>
          <w:tcPr>
            <w:tcW w:w="1503" w:type="dxa"/>
            <w:tcBorders>
              <w:top w:val="nil"/>
              <w:left w:val="nil"/>
              <w:bottom w:val="nil"/>
              <w:right w:val="nil"/>
            </w:tcBorders>
            <w:shd w:val="clear" w:color="auto" w:fill="auto"/>
            <w:noWrap/>
            <w:vAlign w:val="bottom"/>
            <w:hideMark/>
          </w:tcPr>
          <w:p w14:paraId="4D1EFBC0" w14:textId="77777777" w:rsidR="00BE6461" w:rsidRPr="00BE6461" w:rsidRDefault="00BE6461" w:rsidP="00BE6461">
            <w:pPr>
              <w:jc w:val="right"/>
              <w:rPr>
                <w:b/>
                <w:bCs/>
                <w:color w:val="333333"/>
                <w:sz w:val="20"/>
                <w:szCs w:val="20"/>
              </w:rPr>
            </w:pPr>
            <w:r w:rsidRPr="00BE6461">
              <w:rPr>
                <w:b/>
                <w:bCs/>
                <w:color w:val="333333"/>
                <w:sz w:val="20"/>
                <w:szCs w:val="20"/>
              </w:rPr>
              <w:t>107.213,16</w:t>
            </w:r>
          </w:p>
        </w:tc>
        <w:tc>
          <w:tcPr>
            <w:tcW w:w="1500" w:type="dxa"/>
            <w:tcBorders>
              <w:top w:val="nil"/>
              <w:left w:val="nil"/>
              <w:bottom w:val="nil"/>
              <w:right w:val="nil"/>
            </w:tcBorders>
            <w:shd w:val="clear" w:color="auto" w:fill="auto"/>
            <w:noWrap/>
            <w:vAlign w:val="bottom"/>
            <w:hideMark/>
          </w:tcPr>
          <w:p w14:paraId="38ACE5F8" w14:textId="77777777" w:rsidR="00BE6461" w:rsidRPr="00BE6461" w:rsidRDefault="00BE6461" w:rsidP="00BE6461">
            <w:pPr>
              <w:jc w:val="right"/>
              <w:rPr>
                <w:b/>
                <w:bCs/>
                <w:color w:val="333333"/>
                <w:sz w:val="20"/>
                <w:szCs w:val="20"/>
              </w:rPr>
            </w:pPr>
            <w:r w:rsidRPr="00BE6461">
              <w:rPr>
                <w:b/>
                <w:bCs/>
                <w:color w:val="333333"/>
                <w:sz w:val="20"/>
                <w:szCs w:val="20"/>
              </w:rPr>
              <w:t>107.213,16</w:t>
            </w:r>
          </w:p>
        </w:tc>
        <w:tc>
          <w:tcPr>
            <w:tcW w:w="1100" w:type="dxa"/>
            <w:tcBorders>
              <w:top w:val="nil"/>
              <w:left w:val="nil"/>
              <w:bottom w:val="nil"/>
              <w:right w:val="nil"/>
            </w:tcBorders>
            <w:shd w:val="clear" w:color="auto" w:fill="auto"/>
            <w:noWrap/>
            <w:vAlign w:val="bottom"/>
            <w:hideMark/>
          </w:tcPr>
          <w:p w14:paraId="5BFF202D"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497878CD"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269FBD0" w14:textId="77777777" w:rsidR="00BE6461" w:rsidRPr="00BE6461" w:rsidRDefault="00BE6461" w:rsidP="00BE6461">
            <w:pPr>
              <w:rPr>
                <w:b/>
                <w:bCs/>
                <w:color w:val="333333"/>
                <w:sz w:val="20"/>
                <w:szCs w:val="20"/>
              </w:rPr>
            </w:pPr>
            <w:r w:rsidRPr="00BE6461">
              <w:rPr>
                <w:b/>
                <w:bCs/>
                <w:color w:val="333333"/>
                <w:sz w:val="20"/>
                <w:szCs w:val="20"/>
              </w:rPr>
              <w:t>Izvor 7.1. PRIHODI OD NEFIN.IMOVINE I NADOKNADE ŠTETA OD OSIG.</w:t>
            </w:r>
          </w:p>
        </w:tc>
        <w:tc>
          <w:tcPr>
            <w:tcW w:w="1503" w:type="dxa"/>
            <w:tcBorders>
              <w:top w:val="nil"/>
              <w:left w:val="nil"/>
              <w:bottom w:val="nil"/>
              <w:right w:val="nil"/>
            </w:tcBorders>
            <w:shd w:val="clear" w:color="auto" w:fill="auto"/>
            <w:noWrap/>
            <w:vAlign w:val="bottom"/>
            <w:hideMark/>
          </w:tcPr>
          <w:p w14:paraId="46EE341A" w14:textId="77777777" w:rsidR="00BE6461" w:rsidRPr="00BE6461" w:rsidRDefault="00BE6461" w:rsidP="00BE6461">
            <w:pPr>
              <w:jc w:val="right"/>
              <w:rPr>
                <w:b/>
                <w:bCs/>
                <w:color w:val="333333"/>
                <w:sz w:val="20"/>
                <w:szCs w:val="20"/>
              </w:rPr>
            </w:pPr>
            <w:r w:rsidRPr="00BE6461">
              <w:rPr>
                <w:b/>
                <w:bCs/>
                <w:color w:val="333333"/>
                <w:sz w:val="20"/>
                <w:szCs w:val="20"/>
              </w:rPr>
              <w:t>107.213,16</w:t>
            </w:r>
          </w:p>
        </w:tc>
        <w:tc>
          <w:tcPr>
            <w:tcW w:w="1500" w:type="dxa"/>
            <w:tcBorders>
              <w:top w:val="nil"/>
              <w:left w:val="nil"/>
              <w:bottom w:val="nil"/>
              <w:right w:val="nil"/>
            </w:tcBorders>
            <w:shd w:val="clear" w:color="auto" w:fill="auto"/>
            <w:noWrap/>
            <w:vAlign w:val="bottom"/>
            <w:hideMark/>
          </w:tcPr>
          <w:p w14:paraId="3B51A59C" w14:textId="77777777" w:rsidR="00BE6461" w:rsidRPr="00BE6461" w:rsidRDefault="00BE6461" w:rsidP="00BE6461">
            <w:pPr>
              <w:jc w:val="right"/>
              <w:rPr>
                <w:b/>
                <w:bCs/>
                <w:color w:val="333333"/>
                <w:sz w:val="20"/>
                <w:szCs w:val="20"/>
              </w:rPr>
            </w:pPr>
            <w:r w:rsidRPr="00BE6461">
              <w:rPr>
                <w:b/>
                <w:bCs/>
                <w:color w:val="333333"/>
                <w:sz w:val="20"/>
                <w:szCs w:val="20"/>
              </w:rPr>
              <w:t>107.213,16</w:t>
            </w:r>
          </w:p>
        </w:tc>
        <w:tc>
          <w:tcPr>
            <w:tcW w:w="1100" w:type="dxa"/>
            <w:tcBorders>
              <w:top w:val="nil"/>
              <w:left w:val="nil"/>
              <w:bottom w:val="nil"/>
              <w:right w:val="nil"/>
            </w:tcBorders>
            <w:shd w:val="clear" w:color="auto" w:fill="auto"/>
            <w:noWrap/>
            <w:vAlign w:val="bottom"/>
            <w:hideMark/>
          </w:tcPr>
          <w:p w14:paraId="464B152F"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2CC8E112" w14:textId="77777777" w:rsidTr="00BE6461">
        <w:trPr>
          <w:trHeight w:val="300"/>
        </w:trPr>
        <w:tc>
          <w:tcPr>
            <w:tcW w:w="1703" w:type="dxa"/>
            <w:tcBorders>
              <w:top w:val="nil"/>
              <w:left w:val="nil"/>
              <w:bottom w:val="nil"/>
              <w:right w:val="nil"/>
            </w:tcBorders>
            <w:shd w:val="clear" w:color="auto" w:fill="auto"/>
            <w:noWrap/>
            <w:vAlign w:val="bottom"/>
            <w:hideMark/>
          </w:tcPr>
          <w:p w14:paraId="2DBF2A50" w14:textId="77777777" w:rsidR="00BE6461" w:rsidRPr="00BE6461" w:rsidRDefault="00BE6461" w:rsidP="00BE6461">
            <w:pPr>
              <w:rPr>
                <w:b/>
                <w:bCs/>
                <w:sz w:val="20"/>
                <w:szCs w:val="20"/>
              </w:rPr>
            </w:pPr>
            <w:r w:rsidRPr="00BE6461">
              <w:rPr>
                <w:b/>
                <w:bCs/>
                <w:sz w:val="20"/>
                <w:szCs w:val="20"/>
              </w:rPr>
              <w:t>451</w:t>
            </w:r>
          </w:p>
        </w:tc>
        <w:tc>
          <w:tcPr>
            <w:tcW w:w="8457" w:type="dxa"/>
            <w:tcBorders>
              <w:top w:val="nil"/>
              <w:left w:val="nil"/>
              <w:bottom w:val="nil"/>
              <w:right w:val="nil"/>
            </w:tcBorders>
            <w:shd w:val="clear" w:color="auto" w:fill="auto"/>
            <w:vAlign w:val="bottom"/>
            <w:hideMark/>
          </w:tcPr>
          <w:p w14:paraId="19C710BD" w14:textId="77777777" w:rsidR="00BE6461" w:rsidRPr="00BE6461" w:rsidRDefault="00BE6461" w:rsidP="00BE6461">
            <w:pPr>
              <w:rPr>
                <w:b/>
                <w:bCs/>
                <w:sz w:val="20"/>
                <w:szCs w:val="20"/>
              </w:rPr>
            </w:pPr>
            <w:r w:rsidRPr="00BE6461">
              <w:rPr>
                <w:b/>
                <w:bCs/>
                <w:sz w:val="20"/>
                <w:szCs w:val="20"/>
              </w:rPr>
              <w:t xml:space="preserve">Dodatna ulaganja na građevinskim objektima                                                          </w:t>
            </w:r>
          </w:p>
        </w:tc>
        <w:tc>
          <w:tcPr>
            <w:tcW w:w="1503" w:type="dxa"/>
            <w:tcBorders>
              <w:top w:val="nil"/>
              <w:left w:val="nil"/>
              <w:bottom w:val="nil"/>
              <w:right w:val="nil"/>
            </w:tcBorders>
            <w:shd w:val="clear" w:color="auto" w:fill="auto"/>
            <w:noWrap/>
            <w:vAlign w:val="bottom"/>
            <w:hideMark/>
          </w:tcPr>
          <w:p w14:paraId="04D9D5B1" w14:textId="77777777" w:rsidR="00BE6461" w:rsidRPr="00BE6461" w:rsidRDefault="00BE6461" w:rsidP="00BE6461">
            <w:pPr>
              <w:jc w:val="right"/>
              <w:rPr>
                <w:b/>
                <w:bCs/>
                <w:sz w:val="20"/>
                <w:szCs w:val="20"/>
              </w:rPr>
            </w:pPr>
            <w:r w:rsidRPr="00BE6461">
              <w:rPr>
                <w:b/>
                <w:bCs/>
                <w:sz w:val="20"/>
                <w:szCs w:val="20"/>
              </w:rPr>
              <w:t>107.213,16</w:t>
            </w:r>
          </w:p>
        </w:tc>
        <w:tc>
          <w:tcPr>
            <w:tcW w:w="1500" w:type="dxa"/>
            <w:tcBorders>
              <w:top w:val="nil"/>
              <w:left w:val="nil"/>
              <w:bottom w:val="nil"/>
              <w:right w:val="nil"/>
            </w:tcBorders>
            <w:shd w:val="clear" w:color="auto" w:fill="auto"/>
            <w:noWrap/>
            <w:vAlign w:val="bottom"/>
            <w:hideMark/>
          </w:tcPr>
          <w:p w14:paraId="33E78F2A" w14:textId="77777777" w:rsidR="00BE6461" w:rsidRPr="00BE6461" w:rsidRDefault="00BE6461" w:rsidP="00BE6461">
            <w:pPr>
              <w:jc w:val="right"/>
              <w:rPr>
                <w:b/>
                <w:bCs/>
                <w:sz w:val="20"/>
                <w:szCs w:val="20"/>
              </w:rPr>
            </w:pPr>
            <w:r w:rsidRPr="00BE6461">
              <w:rPr>
                <w:b/>
                <w:bCs/>
                <w:sz w:val="20"/>
                <w:szCs w:val="20"/>
              </w:rPr>
              <w:t>107.213,16</w:t>
            </w:r>
          </w:p>
        </w:tc>
        <w:tc>
          <w:tcPr>
            <w:tcW w:w="1100" w:type="dxa"/>
            <w:tcBorders>
              <w:top w:val="nil"/>
              <w:left w:val="nil"/>
              <w:bottom w:val="nil"/>
              <w:right w:val="nil"/>
            </w:tcBorders>
            <w:shd w:val="clear" w:color="auto" w:fill="auto"/>
            <w:noWrap/>
            <w:vAlign w:val="bottom"/>
            <w:hideMark/>
          </w:tcPr>
          <w:p w14:paraId="556C0A02"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253AE0EA" w14:textId="77777777" w:rsidTr="00BE6461">
        <w:trPr>
          <w:trHeight w:val="300"/>
        </w:trPr>
        <w:tc>
          <w:tcPr>
            <w:tcW w:w="1703" w:type="dxa"/>
            <w:tcBorders>
              <w:top w:val="nil"/>
              <w:left w:val="nil"/>
              <w:bottom w:val="nil"/>
              <w:right w:val="nil"/>
            </w:tcBorders>
            <w:shd w:val="clear" w:color="auto" w:fill="auto"/>
            <w:noWrap/>
            <w:vAlign w:val="bottom"/>
            <w:hideMark/>
          </w:tcPr>
          <w:p w14:paraId="316F2A0F" w14:textId="77777777" w:rsidR="00BE6461" w:rsidRPr="00BE6461" w:rsidRDefault="00BE6461" w:rsidP="00BE6461">
            <w:pPr>
              <w:rPr>
                <w:sz w:val="20"/>
                <w:szCs w:val="20"/>
              </w:rPr>
            </w:pPr>
            <w:r w:rsidRPr="00BE6461">
              <w:rPr>
                <w:sz w:val="20"/>
                <w:szCs w:val="20"/>
              </w:rPr>
              <w:t>4511</w:t>
            </w:r>
          </w:p>
        </w:tc>
        <w:tc>
          <w:tcPr>
            <w:tcW w:w="8457" w:type="dxa"/>
            <w:tcBorders>
              <w:top w:val="nil"/>
              <w:left w:val="nil"/>
              <w:bottom w:val="nil"/>
              <w:right w:val="nil"/>
            </w:tcBorders>
            <w:shd w:val="clear" w:color="auto" w:fill="auto"/>
            <w:vAlign w:val="bottom"/>
            <w:hideMark/>
          </w:tcPr>
          <w:p w14:paraId="10AD55F9" w14:textId="77777777" w:rsidR="00BE6461" w:rsidRPr="00BE6461" w:rsidRDefault="00BE6461" w:rsidP="00BE6461">
            <w:pPr>
              <w:rPr>
                <w:sz w:val="20"/>
                <w:szCs w:val="20"/>
              </w:rPr>
            </w:pPr>
            <w:r w:rsidRPr="00BE6461">
              <w:rPr>
                <w:sz w:val="20"/>
                <w:szCs w:val="20"/>
              </w:rPr>
              <w:t xml:space="preserve">Dodatna ulaganja na građevinskim objektima                                                          </w:t>
            </w:r>
          </w:p>
        </w:tc>
        <w:tc>
          <w:tcPr>
            <w:tcW w:w="1503" w:type="dxa"/>
            <w:tcBorders>
              <w:top w:val="nil"/>
              <w:left w:val="nil"/>
              <w:bottom w:val="nil"/>
              <w:right w:val="nil"/>
            </w:tcBorders>
            <w:shd w:val="clear" w:color="auto" w:fill="auto"/>
            <w:noWrap/>
            <w:vAlign w:val="bottom"/>
            <w:hideMark/>
          </w:tcPr>
          <w:p w14:paraId="64C7E0B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3057DBD" w14:textId="77777777" w:rsidR="00BE6461" w:rsidRPr="00BE6461" w:rsidRDefault="00BE6461" w:rsidP="00BE6461">
            <w:pPr>
              <w:jc w:val="right"/>
              <w:rPr>
                <w:sz w:val="20"/>
                <w:szCs w:val="20"/>
              </w:rPr>
            </w:pPr>
            <w:r w:rsidRPr="00BE6461">
              <w:rPr>
                <w:sz w:val="20"/>
                <w:szCs w:val="20"/>
              </w:rPr>
              <w:t>107.213,16</w:t>
            </w:r>
          </w:p>
        </w:tc>
        <w:tc>
          <w:tcPr>
            <w:tcW w:w="1100" w:type="dxa"/>
            <w:tcBorders>
              <w:top w:val="nil"/>
              <w:left w:val="nil"/>
              <w:bottom w:val="nil"/>
              <w:right w:val="nil"/>
            </w:tcBorders>
            <w:shd w:val="clear" w:color="auto" w:fill="auto"/>
            <w:noWrap/>
            <w:vAlign w:val="bottom"/>
            <w:hideMark/>
          </w:tcPr>
          <w:p w14:paraId="64B595A6" w14:textId="77777777" w:rsidR="00BE6461" w:rsidRPr="00BE6461" w:rsidRDefault="00BE6461" w:rsidP="00BE6461">
            <w:pPr>
              <w:jc w:val="right"/>
              <w:rPr>
                <w:sz w:val="20"/>
                <w:szCs w:val="20"/>
              </w:rPr>
            </w:pPr>
          </w:p>
        </w:tc>
      </w:tr>
      <w:tr w:rsidR="00BE6461" w:rsidRPr="00BE6461" w14:paraId="7C174AC0"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5ED34227" w14:textId="77777777" w:rsidR="00BE6461" w:rsidRPr="00BE6461" w:rsidRDefault="00BE6461" w:rsidP="00BE6461">
            <w:pPr>
              <w:rPr>
                <w:b/>
                <w:bCs/>
                <w:sz w:val="20"/>
                <w:szCs w:val="20"/>
              </w:rPr>
            </w:pPr>
            <w:r w:rsidRPr="00BE6461">
              <w:rPr>
                <w:b/>
                <w:bCs/>
                <w:sz w:val="20"/>
                <w:szCs w:val="20"/>
              </w:rPr>
              <w:t>K300039</w:t>
            </w:r>
          </w:p>
        </w:tc>
        <w:tc>
          <w:tcPr>
            <w:tcW w:w="8457" w:type="dxa"/>
            <w:tcBorders>
              <w:top w:val="single" w:sz="4" w:space="0" w:color="auto"/>
              <w:left w:val="nil"/>
              <w:bottom w:val="single" w:sz="4" w:space="0" w:color="auto"/>
              <w:right w:val="nil"/>
            </w:tcBorders>
            <w:shd w:val="clear" w:color="auto" w:fill="auto"/>
            <w:vAlign w:val="bottom"/>
            <w:hideMark/>
          </w:tcPr>
          <w:p w14:paraId="699DC781" w14:textId="77777777" w:rsidR="00BE6461" w:rsidRPr="00BE6461" w:rsidRDefault="00BE6461" w:rsidP="00BE6461">
            <w:pPr>
              <w:rPr>
                <w:b/>
                <w:bCs/>
                <w:sz w:val="20"/>
                <w:szCs w:val="20"/>
              </w:rPr>
            </w:pPr>
            <w:r w:rsidRPr="00BE6461">
              <w:rPr>
                <w:b/>
                <w:bCs/>
                <w:sz w:val="20"/>
                <w:szCs w:val="20"/>
              </w:rPr>
              <w:t xml:space="preserve">Kapitalni projekt: UREĐENJE OKOLIŠA DJEČJEG VRTIĆA </w:t>
            </w:r>
          </w:p>
        </w:tc>
        <w:tc>
          <w:tcPr>
            <w:tcW w:w="1503" w:type="dxa"/>
            <w:tcBorders>
              <w:top w:val="single" w:sz="4" w:space="0" w:color="auto"/>
              <w:left w:val="nil"/>
              <w:bottom w:val="single" w:sz="4" w:space="0" w:color="auto"/>
              <w:right w:val="nil"/>
            </w:tcBorders>
            <w:shd w:val="clear" w:color="auto" w:fill="auto"/>
            <w:noWrap/>
            <w:vAlign w:val="bottom"/>
            <w:hideMark/>
          </w:tcPr>
          <w:p w14:paraId="64FB8AEF" w14:textId="77777777" w:rsidR="00BE6461" w:rsidRPr="00BE6461" w:rsidRDefault="00BE6461" w:rsidP="00BE6461">
            <w:pPr>
              <w:jc w:val="right"/>
              <w:rPr>
                <w:b/>
                <w:bCs/>
                <w:sz w:val="20"/>
                <w:szCs w:val="20"/>
              </w:rPr>
            </w:pPr>
            <w:r w:rsidRPr="00BE6461">
              <w:rPr>
                <w:b/>
                <w:bCs/>
                <w:sz w:val="20"/>
                <w:szCs w:val="20"/>
              </w:rPr>
              <w:t>14.643,75</w:t>
            </w:r>
          </w:p>
        </w:tc>
        <w:tc>
          <w:tcPr>
            <w:tcW w:w="1500" w:type="dxa"/>
            <w:tcBorders>
              <w:top w:val="single" w:sz="4" w:space="0" w:color="auto"/>
              <w:left w:val="nil"/>
              <w:bottom w:val="single" w:sz="4" w:space="0" w:color="auto"/>
              <w:right w:val="nil"/>
            </w:tcBorders>
            <w:shd w:val="clear" w:color="auto" w:fill="auto"/>
            <w:noWrap/>
            <w:vAlign w:val="bottom"/>
            <w:hideMark/>
          </w:tcPr>
          <w:p w14:paraId="210DE252" w14:textId="77777777" w:rsidR="00BE6461" w:rsidRPr="00BE6461" w:rsidRDefault="00BE6461" w:rsidP="00BE6461">
            <w:pPr>
              <w:jc w:val="right"/>
              <w:rPr>
                <w:b/>
                <w:bCs/>
                <w:sz w:val="20"/>
                <w:szCs w:val="20"/>
              </w:rPr>
            </w:pPr>
            <w:r w:rsidRPr="00BE6461">
              <w:rPr>
                <w:b/>
                <w:bCs/>
                <w:sz w:val="20"/>
                <w:szCs w:val="20"/>
              </w:rPr>
              <w:t>14.643,75</w:t>
            </w:r>
          </w:p>
        </w:tc>
        <w:tc>
          <w:tcPr>
            <w:tcW w:w="1100" w:type="dxa"/>
            <w:tcBorders>
              <w:top w:val="single" w:sz="4" w:space="0" w:color="auto"/>
              <w:left w:val="nil"/>
              <w:bottom w:val="single" w:sz="4" w:space="0" w:color="auto"/>
              <w:right w:val="nil"/>
            </w:tcBorders>
            <w:shd w:val="clear" w:color="auto" w:fill="auto"/>
            <w:noWrap/>
            <w:vAlign w:val="bottom"/>
            <w:hideMark/>
          </w:tcPr>
          <w:p w14:paraId="2CB0220E"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2138F455"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49B9586" w14:textId="77777777" w:rsidR="00BE6461" w:rsidRPr="00BE6461" w:rsidRDefault="00BE6461" w:rsidP="00BE6461">
            <w:pPr>
              <w:rPr>
                <w:b/>
                <w:bCs/>
                <w:color w:val="333333"/>
                <w:sz w:val="20"/>
                <w:szCs w:val="20"/>
              </w:rPr>
            </w:pPr>
            <w:r w:rsidRPr="00BE6461">
              <w:rPr>
                <w:b/>
                <w:bCs/>
                <w:color w:val="333333"/>
                <w:sz w:val="20"/>
                <w:szCs w:val="20"/>
              </w:rPr>
              <w:t>Izvor 7. PRIHODI OD NEFIN.IMOVINE I NADOKNADE ŠTETA OD OSIG.</w:t>
            </w:r>
          </w:p>
        </w:tc>
        <w:tc>
          <w:tcPr>
            <w:tcW w:w="1503" w:type="dxa"/>
            <w:tcBorders>
              <w:top w:val="nil"/>
              <w:left w:val="nil"/>
              <w:bottom w:val="nil"/>
              <w:right w:val="nil"/>
            </w:tcBorders>
            <w:shd w:val="clear" w:color="auto" w:fill="auto"/>
            <w:noWrap/>
            <w:vAlign w:val="bottom"/>
            <w:hideMark/>
          </w:tcPr>
          <w:p w14:paraId="7FC3ED33" w14:textId="77777777" w:rsidR="00BE6461" w:rsidRPr="00BE6461" w:rsidRDefault="00BE6461" w:rsidP="00BE6461">
            <w:pPr>
              <w:jc w:val="right"/>
              <w:rPr>
                <w:b/>
                <w:bCs/>
                <w:color w:val="333333"/>
                <w:sz w:val="20"/>
                <w:szCs w:val="20"/>
              </w:rPr>
            </w:pPr>
            <w:r w:rsidRPr="00BE6461">
              <w:rPr>
                <w:b/>
                <w:bCs/>
                <w:color w:val="333333"/>
                <w:sz w:val="20"/>
                <w:szCs w:val="20"/>
              </w:rPr>
              <w:t>14.643,75</w:t>
            </w:r>
          </w:p>
        </w:tc>
        <w:tc>
          <w:tcPr>
            <w:tcW w:w="1500" w:type="dxa"/>
            <w:tcBorders>
              <w:top w:val="nil"/>
              <w:left w:val="nil"/>
              <w:bottom w:val="nil"/>
              <w:right w:val="nil"/>
            </w:tcBorders>
            <w:shd w:val="clear" w:color="auto" w:fill="auto"/>
            <w:noWrap/>
            <w:vAlign w:val="bottom"/>
            <w:hideMark/>
          </w:tcPr>
          <w:p w14:paraId="1A6FAE39" w14:textId="77777777" w:rsidR="00BE6461" w:rsidRPr="00BE6461" w:rsidRDefault="00BE6461" w:rsidP="00BE6461">
            <w:pPr>
              <w:jc w:val="right"/>
              <w:rPr>
                <w:b/>
                <w:bCs/>
                <w:color w:val="333333"/>
                <w:sz w:val="20"/>
                <w:szCs w:val="20"/>
              </w:rPr>
            </w:pPr>
            <w:r w:rsidRPr="00BE6461">
              <w:rPr>
                <w:b/>
                <w:bCs/>
                <w:color w:val="333333"/>
                <w:sz w:val="20"/>
                <w:szCs w:val="20"/>
              </w:rPr>
              <w:t>14.643,75</w:t>
            </w:r>
          </w:p>
        </w:tc>
        <w:tc>
          <w:tcPr>
            <w:tcW w:w="1100" w:type="dxa"/>
            <w:tcBorders>
              <w:top w:val="nil"/>
              <w:left w:val="nil"/>
              <w:bottom w:val="nil"/>
              <w:right w:val="nil"/>
            </w:tcBorders>
            <w:shd w:val="clear" w:color="auto" w:fill="auto"/>
            <w:noWrap/>
            <w:vAlign w:val="bottom"/>
            <w:hideMark/>
          </w:tcPr>
          <w:p w14:paraId="497B7B60"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1F7D7F89"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1022E48" w14:textId="77777777" w:rsidR="00BE6461" w:rsidRPr="00BE6461" w:rsidRDefault="00BE6461" w:rsidP="00BE6461">
            <w:pPr>
              <w:rPr>
                <w:b/>
                <w:bCs/>
                <w:color w:val="333333"/>
                <w:sz w:val="20"/>
                <w:szCs w:val="20"/>
              </w:rPr>
            </w:pPr>
            <w:r w:rsidRPr="00BE6461">
              <w:rPr>
                <w:b/>
                <w:bCs/>
                <w:color w:val="333333"/>
                <w:sz w:val="20"/>
                <w:szCs w:val="20"/>
              </w:rPr>
              <w:t>Izvor 7.1. PRIHODI OD NEFIN.IMOVINE I NADOKNADE ŠTETA OD OSIG.</w:t>
            </w:r>
          </w:p>
        </w:tc>
        <w:tc>
          <w:tcPr>
            <w:tcW w:w="1503" w:type="dxa"/>
            <w:tcBorders>
              <w:top w:val="nil"/>
              <w:left w:val="nil"/>
              <w:bottom w:val="nil"/>
              <w:right w:val="nil"/>
            </w:tcBorders>
            <w:shd w:val="clear" w:color="auto" w:fill="auto"/>
            <w:noWrap/>
            <w:vAlign w:val="bottom"/>
            <w:hideMark/>
          </w:tcPr>
          <w:p w14:paraId="6BB64BFB" w14:textId="77777777" w:rsidR="00BE6461" w:rsidRPr="00BE6461" w:rsidRDefault="00BE6461" w:rsidP="00BE6461">
            <w:pPr>
              <w:jc w:val="right"/>
              <w:rPr>
                <w:b/>
                <w:bCs/>
                <w:color w:val="333333"/>
                <w:sz w:val="20"/>
                <w:szCs w:val="20"/>
              </w:rPr>
            </w:pPr>
            <w:r w:rsidRPr="00BE6461">
              <w:rPr>
                <w:b/>
                <w:bCs/>
                <w:color w:val="333333"/>
                <w:sz w:val="20"/>
                <w:szCs w:val="20"/>
              </w:rPr>
              <w:t>14.643,75</w:t>
            </w:r>
          </w:p>
        </w:tc>
        <w:tc>
          <w:tcPr>
            <w:tcW w:w="1500" w:type="dxa"/>
            <w:tcBorders>
              <w:top w:val="nil"/>
              <w:left w:val="nil"/>
              <w:bottom w:val="nil"/>
              <w:right w:val="nil"/>
            </w:tcBorders>
            <w:shd w:val="clear" w:color="auto" w:fill="auto"/>
            <w:noWrap/>
            <w:vAlign w:val="bottom"/>
            <w:hideMark/>
          </w:tcPr>
          <w:p w14:paraId="4B8DD57E" w14:textId="77777777" w:rsidR="00BE6461" w:rsidRPr="00BE6461" w:rsidRDefault="00BE6461" w:rsidP="00BE6461">
            <w:pPr>
              <w:jc w:val="right"/>
              <w:rPr>
                <w:b/>
                <w:bCs/>
                <w:color w:val="333333"/>
                <w:sz w:val="20"/>
                <w:szCs w:val="20"/>
              </w:rPr>
            </w:pPr>
            <w:r w:rsidRPr="00BE6461">
              <w:rPr>
                <w:b/>
                <w:bCs/>
                <w:color w:val="333333"/>
                <w:sz w:val="20"/>
                <w:szCs w:val="20"/>
              </w:rPr>
              <w:t>14.643,75</w:t>
            </w:r>
          </w:p>
        </w:tc>
        <w:tc>
          <w:tcPr>
            <w:tcW w:w="1100" w:type="dxa"/>
            <w:tcBorders>
              <w:top w:val="nil"/>
              <w:left w:val="nil"/>
              <w:bottom w:val="nil"/>
              <w:right w:val="nil"/>
            </w:tcBorders>
            <w:shd w:val="clear" w:color="auto" w:fill="auto"/>
            <w:noWrap/>
            <w:vAlign w:val="bottom"/>
            <w:hideMark/>
          </w:tcPr>
          <w:p w14:paraId="1B441F9D"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4953BDF3" w14:textId="77777777" w:rsidTr="00BE6461">
        <w:trPr>
          <w:trHeight w:val="300"/>
        </w:trPr>
        <w:tc>
          <w:tcPr>
            <w:tcW w:w="1703" w:type="dxa"/>
            <w:tcBorders>
              <w:top w:val="nil"/>
              <w:left w:val="nil"/>
              <w:bottom w:val="nil"/>
              <w:right w:val="nil"/>
            </w:tcBorders>
            <w:shd w:val="clear" w:color="auto" w:fill="auto"/>
            <w:noWrap/>
            <w:vAlign w:val="bottom"/>
            <w:hideMark/>
          </w:tcPr>
          <w:p w14:paraId="2C9278C5" w14:textId="77777777" w:rsidR="00BE6461" w:rsidRPr="00BE6461" w:rsidRDefault="00BE6461" w:rsidP="00BE6461">
            <w:pPr>
              <w:rPr>
                <w:b/>
                <w:bCs/>
                <w:sz w:val="20"/>
                <w:szCs w:val="20"/>
              </w:rPr>
            </w:pPr>
            <w:r w:rsidRPr="00BE6461">
              <w:rPr>
                <w:b/>
                <w:bCs/>
                <w:sz w:val="20"/>
                <w:szCs w:val="20"/>
              </w:rPr>
              <w:t>451</w:t>
            </w:r>
          </w:p>
        </w:tc>
        <w:tc>
          <w:tcPr>
            <w:tcW w:w="8457" w:type="dxa"/>
            <w:tcBorders>
              <w:top w:val="nil"/>
              <w:left w:val="nil"/>
              <w:bottom w:val="nil"/>
              <w:right w:val="nil"/>
            </w:tcBorders>
            <w:shd w:val="clear" w:color="auto" w:fill="auto"/>
            <w:vAlign w:val="bottom"/>
            <w:hideMark/>
          </w:tcPr>
          <w:p w14:paraId="0A2FFAC8" w14:textId="77777777" w:rsidR="00BE6461" w:rsidRPr="00BE6461" w:rsidRDefault="00BE6461" w:rsidP="00BE6461">
            <w:pPr>
              <w:rPr>
                <w:b/>
                <w:bCs/>
                <w:sz w:val="20"/>
                <w:szCs w:val="20"/>
              </w:rPr>
            </w:pPr>
            <w:r w:rsidRPr="00BE6461">
              <w:rPr>
                <w:b/>
                <w:bCs/>
                <w:sz w:val="20"/>
                <w:szCs w:val="20"/>
              </w:rPr>
              <w:t xml:space="preserve">Dodatna ulaganja na građevinskim objektima                                                          </w:t>
            </w:r>
          </w:p>
        </w:tc>
        <w:tc>
          <w:tcPr>
            <w:tcW w:w="1503" w:type="dxa"/>
            <w:tcBorders>
              <w:top w:val="nil"/>
              <w:left w:val="nil"/>
              <w:bottom w:val="nil"/>
              <w:right w:val="nil"/>
            </w:tcBorders>
            <w:shd w:val="clear" w:color="auto" w:fill="auto"/>
            <w:noWrap/>
            <w:vAlign w:val="bottom"/>
            <w:hideMark/>
          </w:tcPr>
          <w:p w14:paraId="6DB47CA2" w14:textId="77777777" w:rsidR="00BE6461" w:rsidRPr="00BE6461" w:rsidRDefault="00BE6461" w:rsidP="00BE6461">
            <w:pPr>
              <w:jc w:val="right"/>
              <w:rPr>
                <w:b/>
                <w:bCs/>
                <w:sz w:val="20"/>
                <w:szCs w:val="20"/>
              </w:rPr>
            </w:pPr>
            <w:r w:rsidRPr="00BE6461">
              <w:rPr>
                <w:b/>
                <w:bCs/>
                <w:sz w:val="20"/>
                <w:szCs w:val="20"/>
              </w:rPr>
              <w:t>14.643,75</w:t>
            </w:r>
          </w:p>
        </w:tc>
        <w:tc>
          <w:tcPr>
            <w:tcW w:w="1500" w:type="dxa"/>
            <w:tcBorders>
              <w:top w:val="nil"/>
              <w:left w:val="nil"/>
              <w:bottom w:val="nil"/>
              <w:right w:val="nil"/>
            </w:tcBorders>
            <w:shd w:val="clear" w:color="auto" w:fill="auto"/>
            <w:noWrap/>
            <w:vAlign w:val="bottom"/>
            <w:hideMark/>
          </w:tcPr>
          <w:p w14:paraId="401E329C" w14:textId="77777777" w:rsidR="00BE6461" w:rsidRPr="00BE6461" w:rsidRDefault="00BE6461" w:rsidP="00BE6461">
            <w:pPr>
              <w:jc w:val="right"/>
              <w:rPr>
                <w:b/>
                <w:bCs/>
                <w:sz w:val="20"/>
                <w:szCs w:val="20"/>
              </w:rPr>
            </w:pPr>
            <w:r w:rsidRPr="00BE6461">
              <w:rPr>
                <w:b/>
                <w:bCs/>
                <w:sz w:val="20"/>
                <w:szCs w:val="20"/>
              </w:rPr>
              <w:t>14.643,75</w:t>
            </w:r>
          </w:p>
        </w:tc>
        <w:tc>
          <w:tcPr>
            <w:tcW w:w="1100" w:type="dxa"/>
            <w:tcBorders>
              <w:top w:val="nil"/>
              <w:left w:val="nil"/>
              <w:bottom w:val="nil"/>
              <w:right w:val="nil"/>
            </w:tcBorders>
            <w:shd w:val="clear" w:color="auto" w:fill="auto"/>
            <w:noWrap/>
            <w:vAlign w:val="bottom"/>
            <w:hideMark/>
          </w:tcPr>
          <w:p w14:paraId="618869E7"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4A0D7B9D" w14:textId="77777777" w:rsidTr="00BE6461">
        <w:trPr>
          <w:trHeight w:val="300"/>
        </w:trPr>
        <w:tc>
          <w:tcPr>
            <w:tcW w:w="1703" w:type="dxa"/>
            <w:tcBorders>
              <w:top w:val="nil"/>
              <w:left w:val="nil"/>
              <w:bottom w:val="nil"/>
              <w:right w:val="nil"/>
            </w:tcBorders>
            <w:shd w:val="clear" w:color="auto" w:fill="auto"/>
            <w:noWrap/>
            <w:vAlign w:val="bottom"/>
            <w:hideMark/>
          </w:tcPr>
          <w:p w14:paraId="2CAAF6DC" w14:textId="77777777" w:rsidR="00BE6461" w:rsidRPr="00BE6461" w:rsidRDefault="00BE6461" w:rsidP="00BE6461">
            <w:pPr>
              <w:rPr>
                <w:sz w:val="20"/>
                <w:szCs w:val="20"/>
              </w:rPr>
            </w:pPr>
            <w:r w:rsidRPr="00BE6461">
              <w:rPr>
                <w:sz w:val="20"/>
                <w:szCs w:val="20"/>
              </w:rPr>
              <w:t>4511</w:t>
            </w:r>
          </w:p>
        </w:tc>
        <w:tc>
          <w:tcPr>
            <w:tcW w:w="8457" w:type="dxa"/>
            <w:tcBorders>
              <w:top w:val="nil"/>
              <w:left w:val="nil"/>
              <w:bottom w:val="nil"/>
              <w:right w:val="nil"/>
            </w:tcBorders>
            <w:shd w:val="clear" w:color="auto" w:fill="auto"/>
            <w:vAlign w:val="bottom"/>
            <w:hideMark/>
          </w:tcPr>
          <w:p w14:paraId="35CD18C2" w14:textId="77777777" w:rsidR="00BE6461" w:rsidRPr="00BE6461" w:rsidRDefault="00BE6461" w:rsidP="00BE6461">
            <w:pPr>
              <w:rPr>
                <w:sz w:val="20"/>
                <w:szCs w:val="20"/>
              </w:rPr>
            </w:pPr>
            <w:r w:rsidRPr="00BE6461">
              <w:rPr>
                <w:sz w:val="20"/>
                <w:szCs w:val="20"/>
              </w:rPr>
              <w:t xml:space="preserve">Dodatna ulaganja na građevinskim objektima                                                          </w:t>
            </w:r>
          </w:p>
        </w:tc>
        <w:tc>
          <w:tcPr>
            <w:tcW w:w="1503" w:type="dxa"/>
            <w:tcBorders>
              <w:top w:val="nil"/>
              <w:left w:val="nil"/>
              <w:bottom w:val="nil"/>
              <w:right w:val="nil"/>
            </w:tcBorders>
            <w:shd w:val="clear" w:color="auto" w:fill="auto"/>
            <w:noWrap/>
            <w:vAlign w:val="bottom"/>
            <w:hideMark/>
          </w:tcPr>
          <w:p w14:paraId="183BA53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33E078C" w14:textId="77777777" w:rsidR="00BE6461" w:rsidRPr="00BE6461" w:rsidRDefault="00BE6461" w:rsidP="00BE6461">
            <w:pPr>
              <w:jc w:val="right"/>
              <w:rPr>
                <w:sz w:val="20"/>
                <w:szCs w:val="20"/>
              </w:rPr>
            </w:pPr>
            <w:r w:rsidRPr="00BE6461">
              <w:rPr>
                <w:sz w:val="20"/>
                <w:szCs w:val="20"/>
              </w:rPr>
              <w:t>14.643,75</w:t>
            </w:r>
          </w:p>
        </w:tc>
        <w:tc>
          <w:tcPr>
            <w:tcW w:w="1100" w:type="dxa"/>
            <w:tcBorders>
              <w:top w:val="nil"/>
              <w:left w:val="nil"/>
              <w:bottom w:val="nil"/>
              <w:right w:val="nil"/>
            </w:tcBorders>
            <w:shd w:val="clear" w:color="auto" w:fill="auto"/>
            <w:noWrap/>
            <w:vAlign w:val="bottom"/>
            <w:hideMark/>
          </w:tcPr>
          <w:p w14:paraId="3DB45429" w14:textId="77777777" w:rsidR="00BE6461" w:rsidRPr="00BE6461" w:rsidRDefault="00BE6461" w:rsidP="00BE6461">
            <w:pPr>
              <w:jc w:val="right"/>
              <w:rPr>
                <w:sz w:val="20"/>
                <w:szCs w:val="20"/>
              </w:rPr>
            </w:pPr>
          </w:p>
        </w:tc>
      </w:tr>
      <w:tr w:rsidR="00BE6461" w:rsidRPr="00BE6461" w14:paraId="2EC73A5E" w14:textId="77777777" w:rsidTr="00BE6461">
        <w:trPr>
          <w:trHeight w:val="390"/>
        </w:trPr>
        <w:tc>
          <w:tcPr>
            <w:tcW w:w="1703" w:type="dxa"/>
            <w:tcBorders>
              <w:top w:val="single" w:sz="4" w:space="0" w:color="auto"/>
              <w:left w:val="nil"/>
              <w:bottom w:val="nil"/>
              <w:right w:val="nil"/>
            </w:tcBorders>
            <w:shd w:val="clear" w:color="auto" w:fill="auto"/>
            <w:noWrap/>
            <w:vAlign w:val="bottom"/>
            <w:hideMark/>
          </w:tcPr>
          <w:p w14:paraId="024C2442" w14:textId="77777777" w:rsidR="00BE6461" w:rsidRPr="00BE6461" w:rsidRDefault="00BE6461" w:rsidP="00BE6461">
            <w:pPr>
              <w:rPr>
                <w:b/>
                <w:bCs/>
                <w:sz w:val="20"/>
                <w:szCs w:val="20"/>
              </w:rPr>
            </w:pPr>
            <w:r w:rsidRPr="00BE6461">
              <w:rPr>
                <w:b/>
                <w:bCs/>
                <w:sz w:val="20"/>
                <w:szCs w:val="20"/>
              </w:rPr>
              <w:t>3003</w:t>
            </w:r>
          </w:p>
        </w:tc>
        <w:tc>
          <w:tcPr>
            <w:tcW w:w="8457" w:type="dxa"/>
            <w:tcBorders>
              <w:top w:val="single" w:sz="4" w:space="0" w:color="auto"/>
              <w:left w:val="nil"/>
              <w:bottom w:val="nil"/>
              <w:right w:val="nil"/>
            </w:tcBorders>
            <w:shd w:val="clear" w:color="auto" w:fill="auto"/>
            <w:vAlign w:val="bottom"/>
            <w:hideMark/>
          </w:tcPr>
          <w:p w14:paraId="3E17B2DF" w14:textId="77777777" w:rsidR="00BE6461" w:rsidRPr="00BE6461" w:rsidRDefault="00BE6461" w:rsidP="00BE6461">
            <w:pPr>
              <w:rPr>
                <w:b/>
                <w:bCs/>
                <w:sz w:val="20"/>
                <w:szCs w:val="20"/>
              </w:rPr>
            </w:pPr>
            <w:r w:rsidRPr="00BE6461">
              <w:rPr>
                <w:b/>
                <w:bCs/>
                <w:sz w:val="20"/>
                <w:szCs w:val="20"/>
              </w:rPr>
              <w:t>Program: PROSTORNO UREĐENJE I PROJEKTI</w:t>
            </w:r>
          </w:p>
        </w:tc>
        <w:tc>
          <w:tcPr>
            <w:tcW w:w="1503" w:type="dxa"/>
            <w:tcBorders>
              <w:top w:val="single" w:sz="4" w:space="0" w:color="auto"/>
              <w:left w:val="nil"/>
              <w:bottom w:val="nil"/>
              <w:right w:val="nil"/>
            </w:tcBorders>
            <w:shd w:val="clear" w:color="auto" w:fill="auto"/>
            <w:noWrap/>
            <w:vAlign w:val="bottom"/>
            <w:hideMark/>
          </w:tcPr>
          <w:p w14:paraId="2E35E603" w14:textId="77777777" w:rsidR="00BE6461" w:rsidRPr="00BE6461" w:rsidRDefault="00BE6461" w:rsidP="00BE6461">
            <w:pPr>
              <w:jc w:val="right"/>
              <w:rPr>
                <w:b/>
                <w:bCs/>
                <w:sz w:val="20"/>
                <w:szCs w:val="20"/>
              </w:rPr>
            </w:pPr>
            <w:r w:rsidRPr="00BE6461">
              <w:rPr>
                <w:b/>
                <w:bCs/>
                <w:sz w:val="20"/>
                <w:szCs w:val="20"/>
              </w:rPr>
              <w:t>853.903,73</w:t>
            </w:r>
          </w:p>
        </w:tc>
        <w:tc>
          <w:tcPr>
            <w:tcW w:w="1500" w:type="dxa"/>
            <w:tcBorders>
              <w:top w:val="single" w:sz="4" w:space="0" w:color="auto"/>
              <w:left w:val="nil"/>
              <w:bottom w:val="nil"/>
              <w:right w:val="nil"/>
            </w:tcBorders>
            <w:shd w:val="clear" w:color="auto" w:fill="auto"/>
            <w:noWrap/>
            <w:vAlign w:val="bottom"/>
            <w:hideMark/>
          </w:tcPr>
          <w:p w14:paraId="64C5D921" w14:textId="77777777" w:rsidR="00BE6461" w:rsidRPr="00BE6461" w:rsidRDefault="00BE6461" w:rsidP="00BE6461">
            <w:pPr>
              <w:jc w:val="right"/>
              <w:rPr>
                <w:b/>
                <w:bCs/>
                <w:sz w:val="20"/>
                <w:szCs w:val="20"/>
              </w:rPr>
            </w:pPr>
            <w:r w:rsidRPr="00BE6461">
              <w:rPr>
                <w:b/>
                <w:bCs/>
                <w:sz w:val="20"/>
                <w:szCs w:val="20"/>
              </w:rPr>
              <w:t>808.104,23</w:t>
            </w:r>
          </w:p>
        </w:tc>
        <w:tc>
          <w:tcPr>
            <w:tcW w:w="1100" w:type="dxa"/>
            <w:tcBorders>
              <w:top w:val="single" w:sz="4" w:space="0" w:color="auto"/>
              <w:left w:val="nil"/>
              <w:bottom w:val="nil"/>
              <w:right w:val="nil"/>
            </w:tcBorders>
            <w:shd w:val="clear" w:color="auto" w:fill="auto"/>
            <w:noWrap/>
            <w:vAlign w:val="bottom"/>
            <w:hideMark/>
          </w:tcPr>
          <w:p w14:paraId="1527B13D" w14:textId="77777777" w:rsidR="00BE6461" w:rsidRPr="00BE6461" w:rsidRDefault="00BE6461" w:rsidP="00BE6461">
            <w:pPr>
              <w:jc w:val="right"/>
              <w:rPr>
                <w:b/>
                <w:bCs/>
                <w:sz w:val="20"/>
                <w:szCs w:val="20"/>
              </w:rPr>
            </w:pPr>
            <w:r w:rsidRPr="00BE6461">
              <w:rPr>
                <w:b/>
                <w:bCs/>
                <w:sz w:val="20"/>
                <w:szCs w:val="20"/>
              </w:rPr>
              <w:t>94,64</w:t>
            </w:r>
          </w:p>
        </w:tc>
      </w:tr>
      <w:tr w:rsidR="00BE6461" w:rsidRPr="00BE6461" w14:paraId="653AB8F4"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2C16ED62" w14:textId="77777777" w:rsidR="00BE6461" w:rsidRPr="00BE6461" w:rsidRDefault="00BE6461" w:rsidP="00BE6461">
            <w:pPr>
              <w:rPr>
                <w:b/>
                <w:bCs/>
                <w:sz w:val="20"/>
                <w:szCs w:val="20"/>
              </w:rPr>
            </w:pPr>
            <w:r w:rsidRPr="00BE6461">
              <w:rPr>
                <w:b/>
                <w:bCs/>
                <w:sz w:val="20"/>
                <w:szCs w:val="20"/>
              </w:rPr>
              <w:t>K300007</w:t>
            </w:r>
          </w:p>
        </w:tc>
        <w:tc>
          <w:tcPr>
            <w:tcW w:w="8457" w:type="dxa"/>
            <w:tcBorders>
              <w:top w:val="single" w:sz="4" w:space="0" w:color="auto"/>
              <w:left w:val="nil"/>
              <w:bottom w:val="single" w:sz="4" w:space="0" w:color="auto"/>
              <w:right w:val="nil"/>
            </w:tcBorders>
            <w:shd w:val="clear" w:color="auto" w:fill="auto"/>
            <w:vAlign w:val="bottom"/>
            <w:hideMark/>
          </w:tcPr>
          <w:p w14:paraId="069D9C27" w14:textId="77777777" w:rsidR="00BE6461" w:rsidRPr="00BE6461" w:rsidRDefault="00BE6461" w:rsidP="00BE6461">
            <w:pPr>
              <w:rPr>
                <w:b/>
                <w:bCs/>
                <w:sz w:val="20"/>
                <w:szCs w:val="20"/>
              </w:rPr>
            </w:pPr>
            <w:r w:rsidRPr="00BE6461">
              <w:rPr>
                <w:b/>
                <w:bCs/>
                <w:sz w:val="20"/>
                <w:szCs w:val="20"/>
              </w:rPr>
              <w:t>Kapitalni projekt: IZRADA PROSTORNO PLANSKE DOKUMENTACIJE I OSTALIH PROJEKATA</w:t>
            </w:r>
          </w:p>
        </w:tc>
        <w:tc>
          <w:tcPr>
            <w:tcW w:w="1503" w:type="dxa"/>
            <w:tcBorders>
              <w:top w:val="single" w:sz="4" w:space="0" w:color="auto"/>
              <w:left w:val="nil"/>
              <w:bottom w:val="single" w:sz="4" w:space="0" w:color="auto"/>
              <w:right w:val="nil"/>
            </w:tcBorders>
            <w:shd w:val="clear" w:color="auto" w:fill="auto"/>
            <w:noWrap/>
            <w:vAlign w:val="bottom"/>
            <w:hideMark/>
          </w:tcPr>
          <w:p w14:paraId="677C2595" w14:textId="77777777" w:rsidR="00BE6461" w:rsidRPr="00BE6461" w:rsidRDefault="00BE6461" w:rsidP="00BE6461">
            <w:pPr>
              <w:jc w:val="right"/>
              <w:rPr>
                <w:b/>
                <w:bCs/>
                <w:sz w:val="20"/>
                <w:szCs w:val="20"/>
              </w:rPr>
            </w:pPr>
            <w:r w:rsidRPr="00BE6461">
              <w:rPr>
                <w:b/>
                <w:bCs/>
                <w:sz w:val="20"/>
                <w:szCs w:val="20"/>
              </w:rPr>
              <w:t>699.266,73</w:t>
            </w:r>
          </w:p>
        </w:tc>
        <w:tc>
          <w:tcPr>
            <w:tcW w:w="1500" w:type="dxa"/>
            <w:tcBorders>
              <w:top w:val="single" w:sz="4" w:space="0" w:color="auto"/>
              <w:left w:val="nil"/>
              <w:bottom w:val="single" w:sz="4" w:space="0" w:color="auto"/>
              <w:right w:val="nil"/>
            </w:tcBorders>
            <w:shd w:val="clear" w:color="auto" w:fill="auto"/>
            <w:noWrap/>
            <w:vAlign w:val="bottom"/>
            <w:hideMark/>
          </w:tcPr>
          <w:p w14:paraId="20BAC5C8" w14:textId="77777777" w:rsidR="00BE6461" w:rsidRPr="00BE6461" w:rsidRDefault="00BE6461" w:rsidP="00BE6461">
            <w:pPr>
              <w:jc w:val="right"/>
              <w:rPr>
                <w:b/>
                <w:bCs/>
                <w:sz w:val="20"/>
                <w:szCs w:val="20"/>
              </w:rPr>
            </w:pPr>
            <w:r w:rsidRPr="00BE6461">
              <w:rPr>
                <w:b/>
                <w:bCs/>
                <w:sz w:val="20"/>
                <w:szCs w:val="20"/>
              </w:rPr>
              <w:t>654.891,73</w:t>
            </w:r>
          </w:p>
        </w:tc>
        <w:tc>
          <w:tcPr>
            <w:tcW w:w="1100" w:type="dxa"/>
            <w:tcBorders>
              <w:top w:val="single" w:sz="4" w:space="0" w:color="auto"/>
              <w:left w:val="nil"/>
              <w:bottom w:val="single" w:sz="4" w:space="0" w:color="auto"/>
              <w:right w:val="nil"/>
            </w:tcBorders>
            <w:shd w:val="clear" w:color="auto" w:fill="auto"/>
            <w:noWrap/>
            <w:vAlign w:val="bottom"/>
            <w:hideMark/>
          </w:tcPr>
          <w:p w14:paraId="38425EC7" w14:textId="77777777" w:rsidR="00BE6461" w:rsidRPr="00BE6461" w:rsidRDefault="00BE6461" w:rsidP="00BE6461">
            <w:pPr>
              <w:jc w:val="right"/>
              <w:rPr>
                <w:b/>
                <w:bCs/>
                <w:sz w:val="20"/>
                <w:szCs w:val="20"/>
              </w:rPr>
            </w:pPr>
            <w:r w:rsidRPr="00BE6461">
              <w:rPr>
                <w:b/>
                <w:bCs/>
                <w:sz w:val="20"/>
                <w:szCs w:val="20"/>
              </w:rPr>
              <w:t>93,65</w:t>
            </w:r>
          </w:p>
        </w:tc>
      </w:tr>
      <w:tr w:rsidR="00BE6461" w:rsidRPr="00BE6461" w14:paraId="3605A5E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8D65F7B"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7319A84E" w14:textId="77777777" w:rsidR="00BE6461" w:rsidRPr="00BE6461" w:rsidRDefault="00BE6461" w:rsidP="00BE6461">
            <w:pPr>
              <w:jc w:val="right"/>
              <w:rPr>
                <w:b/>
                <w:bCs/>
                <w:color w:val="333333"/>
                <w:sz w:val="20"/>
                <w:szCs w:val="20"/>
              </w:rPr>
            </w:pPr>
            <w:r w:rsidRPr="00BE6461">
              <w:rPr>
                <w:b/>
                <w:bCs/>
                <w:color w:val="333333"/>
                <w:sz w:val="20"/>
                <w:szCs w:val="20"/>
              </w:rPr>
              <w:t>218.016,73</w:t>
            </w:r>
          </w:p>
        </w:tc>
        <w:tc>
          <w:tcPr>
            <w:tcW w:w="1500" w:type="dxa"/>
            <w:tcBorders>
              <w:top w:val="nil"/>
              <w:left w:val="nil"/>
              <w:bottom w:val="nil"/>
              <w:right w:val="nil"/>
            </w:tcBorders>
            <w:shd w:val="clear" w:color="auto" w:fill="auto"/>
            <w:noWrap/>
            <w:vAlign w:val="bottom"/>
            <w:hideMark/>
          </w:tcPr>
          <w:p w14:paraId="3A5AA223" w14:textId="77777777" w:rsidR="00BE6461" w:rsidRPr="00BE6461" w:rsidRDefault="00BE6461" w:rsidP="00BE6461">
            <w:pPr>
              <w:jc w:val="right"/>
              <w:rPr>
                <w:b/>
                <w:bCs/>
                <w:color w:val="333333"/>
                <w:sz w:val="20"/>
                <w:szCs w:val="20"/>
              </w:rPr>
            </w:pPr>
            <w:r w:rsidRPr="00BE6461">
              <w:rPr>
                <w:b/>
                <w:bCs/>
                <w:color w:val="333333"/>
                <w:sz w:val="20"/>
                <w:szCs w:val="20"/>
              </w:rPr>
              <w:t>178.516,73</w:t>
            </w:r>
          </w:p>
        </w:tc>
        <w:tc>
          <w:tcPr>
            <w:tcW w:w="1100" w:type="dxa"/>
            <w:tcBorders>
              <w:top w:val="nil"/>
              <w:left w:val="nil"/>
              <w:bottom w:val="nil"/>
              <w:right w:val="nil"/>
            </w:tcBorders>
            <w:shd w:val="clear" w:color="auto" w:fill="auto"/>
            <w:noWrap/>
            <w:vAlign w:val="bottom"/>
            <w:hideMark/>
          </w:tcPr>
          <w:p w14:paraId="420ADE79" w14:textId="77777777" w:rsidR="00BE6461" w:rsidRPr="00BE6461" w:rsidRDefault="00BE6461" w:rsidP="00BE6461">
            <w:pPr>
              <w:jc w:val="right"/>
              <w:rPr>
                <w:b/>
                <w:bCs/>
                <w:color w:val="333333"/>
                <w:sz w:val="20"/>
                <w:szCs w:val="20"/>
              </w:rPr>
            </w:pPr>
            <w:r w:rsidRPr="00BE6461">
              <w:rPr>
                <w:b/>
                <w:bCs/>
                <w:color w:val="333333"/>
                <w:sz w:val="20"/>
                <w:szCs w:val="20"/>
              </w:rPr>
              <w:t>81,88</w:t>
            </w:r>
          </w:p>
        </w:tc>
      </w:tr>
      <w:tr w:rsidR="00BE6461" w:rsidRPr="00BE6461" w14:paraId="5604EEDE"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1BAF9AC"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4D08F208" w14:textId="77777777" w:rsidR="00BE6461" w:rsidRPr="00BE6461" w:rsidRDefault="00BE6461" w:rsidP="00BE6461">
            <w:pPr>
              <w:jc w:val="right"/>
              <w:rPr>
                <w:b/>
                <w:bCs/>
                <w:color w:val="333333"/>
                <w:sz w:val="20"/>
                <w:szCs w:val="20"/>
              </w:rPr>
            </w:pPr>
            <w:r w:rsidRPr="00BE6461">
              <w:rPr>
                <w:b/>
                <w:bCs/>
                <w:color w:val="333333"/>
                <w:sz w:val="20"/>
                <w:szCs w:val="20"/>
              </w:rPr>
              <w:t>218.016,73</w:t>
            </w:r>
          </w:p>
        </w:tc>
        <w:tc>
          <w:tcPr>
            <w:tcW w:w="1500" w:type="dxa"/>
            <w:tcBorders>
              <w:top w:val="nil"/>
              <w:left w:val="nil"/>
              <w:bottom w:val="nil"/>
              <w:right w:val="nil"/>
            </w:tcBorders>
            <w:shd w:val="clear" w:color="auto" w:fill="auto"/>
            <w:noWrap/>
            <w:vAlign w:val="bottom"/>
            <w:hideMark/>
          </w:tcPr>
          <w:p w14:paraId="6B39FFBC" w14:textId="77777777" w:rsidR="00BE6461" w:rsidRPr="00BE6461" w:rsidRDefault="00BE6461" w:rsidP="00BE6461">
            <w:pPr>
              <w:jc w:val="right"/>
              <w:rPr>
                <w:b/>
                <w:bCs/>
                <w:color w:val="333333"/>
                <w:sz w:val="20"/>
                <w:szCs w:val="20"/>
              </w:rPr>
            </w:pPr>
            <w:r w:rsidRPr="00BE6461">
              <w:rPr>
                <w:b/>
                <w:bCs/>
                <w:color w:val="333333"/>
                <w:sz w:val="20"/>
                <w:szCs w:val="20"/>
              </w:rPr>
              <w:t>178.516,73</w:t>
            </w:r>
          </w:p>
        </w:tc>
        <w:tc>
          <w:tcPr>
            <w:tcW w:w="1100" w:type="dxa"/>
            <w:tcBorders>
              <w:top w:val="nil"/>
              <w:left w:val="nil"/>
              <w:bottom w:val="nil"/>
              <w:right w:val="nil"/>
            </w:tcBorders>
            <w:shd w:val="clear" w:color="auto" w:fill="auto"/>
            <w:noWrap/>
            <w:vAlign w:val="bottom"/>
            <w:hideMark/>
          </w:tcPr>
          <w:p w14:paraId="2B14BF8B" w14:textId="77777777" w:rsidR="00BE6461" w:rsidRPr="00BE6461" w:rsidRDefault="00BE6461" w:rsidP="00BE6461">
            <w:pPr>
              <w:jc w:val="right"/>
              <w:rPr>
                <w:b/>
                <w:bCs/>
                <w:color w:val="333333"/>
                <w:sz w:val="20"/>
                <w:szCs w:val="20"/>
              </w:rPr>
            </w:pPr>
            <w:r w:rsidRPr="00BE6461">
              <w:rPr>
                <w:b/>
                <w:bCs/>
                <w:color w:val="333333"/>
                <w:sz w:val="20"/>
                <w:szCs w:val="20"/>
              </w:rPr>
              <w:t>81,88</w:t>
            </w:r>
          </w:p>
        </w:tc>
      </w:tr>
      <w:tr w:rsidR="00BE6461" w:rsidRPr="00BE6461" w14:paraId="10CC5299" w14:textId="77777777" w:rsidTr="00BE6461">
        <w:trPr>
          <w:trHeight w:val="300"/>
        </w:trPr>
        <w:tc>
          <w:tcPr>
            <w:tcW w:w="1703" w:type="dxa"/>
            <w:tcBorders>
              <w:top w:val="nil"/>
              <w:left w:val="nil"/>
              <w:bottom w:val="nil"/>
              <w:right w:val="nil"/>
            </w:tcBorders>
            <w:shd w:val="clear" w:color="auto" w:fill="auto"/>
            <w:noWrap/>
            <w:vAlign w:val="bottom"/>
            <w:hideMark/>
          </w:tcPr>
          <w:p w14:paraId="164C9D68"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143F61B2"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5E93A501" w14:textId="77777777" w:rsidR="00BE6461" w:rsidRPr="00BE6461" w:rsidRDefault="00BE6461" w:rsidP="00BE6461">
            <w:pPr>
              <w:jc w:val="right"/>
              <w:rPr>
                <w:b/>
                <w:bCs/>
                <w:sz w:val="20"/>
                <w:szCs w:val="20"/>
              </w:rPr>
            </w:pPr>
            <w:r w:rsidRPr="00BE6461">
              <w:rPr>
                <w:b/>
                <w:bCs/>
                <w:sz w:val="20"/>
                <w:szCs w:val="20"/>
              </w:rPr>
              <w:t>145.500,00</w:t>
            </w:r>
          </w:p>
        </w:tc>
        <w:tc>
          <w:tcPr>
            <w:tcW w:w="1500" w:type="dxa"/>
            <w:tcBorders>
              <w:top w:val="nil"/>
              <w:left w:val="nil"/>
              <w:bottom w:val="nil"/>
              <w:right w:val="nil"/>
            </w:tcBorders>
            <w:shd w:val="clear" w:color="auto" w:fill="auto"/>
            <w:noWrap/>
            <w:vAlign w:val="bottom"/>
            <w:hideMark/>
          </w:tcPr>
          <w:p w14:paraId="612E122B" w14:textId="77777777" w:rsidR="00BE6461" w:rsidRPr="00BE6461" w:rsidRDefault="00BE6461" w:rsidP="00BE6461">
            <w:pPr>
              <w:jc w:val="right"/>
              <w:rPr>
                <w:b/>
                <w:bCs/>
                <w:sz w:val="20"/>
                <w:szCs w:val="20"/>
              </w:rPr>
            </w:pPr>
            <w:r w:rsidRPr="00BE6461">
              <w:rPr>
                <w:b/>
                <w:bCs/>
                <w:sz w:val="20"/>
                <w:szCs w:val="20"/>
              </w:rPr>
              <w:t>108.000,00</w:t>
            </w:r>
          </w:p>
        </w:tc>
        <w:tc>
          <w:tcPr>
            <w:tcW w:w="1100" w:type="dxa"/>
            <w:tcBorders>
              <w:top w:val="nil"/>
              <w:left w:val="nil"/>
              <w:bottom w:val="nil"/>
              <w:right w:val="nil"/>
            </w:tcBorders>
            <w:shd w:val="clear" w:color="auto" w:fill="auto"/>
            <w:noWrap/>
            <w:vAlign w:val="bottom"/>
            <w:hideMark/>
          </w:tcPr>
          <w:p w14:paraId="3F7BF0A9" w14:textId="77777777" w:rsidR="00BE6461" w:rsidRPr="00BE6461" w:rsidRDefault="00BE6461" w:rsidP="00BE6461">
            <w:pPr>
              <w:jc w:val="right"/>
              <w:rPr>
                <w:b/>
                <w:bCs/>
                <w:sz w:val="20"/>
                <w:szCs w:val="20"/>
              </w:rPr>
            </w:pPr>
            <w:r w:rsidRPr="00BE6461">
              <w:rPr>
                <w:b/>
                <w:bCs/>
                <w:sz w:val="20"/>
                <w:szCs w:val="20"/>
              </w:rPr>
              <w:t>74,23</w:t>
            </w:r>
          </w:p>
        </w:tc>
      </w:tr>
      <w:tr w:rsidR="00BE6461" w:rsidRPr="00BE6461" w14:paraId="32BF20F4" w14:textId="77777777" w:rsidTr="00BE6461">
        <w:trPr>
          <w:trHeight w:val="300"/>
        </w:trPr>
        <w:tc>
          <w:tcPr>
            <w:tcW w:w="1703" w:type="dxa"/>
            <w:tcBorders>
              <w:top w:val="nil"/>
              <w:left w:val="nil"/>
              <w:bottom w:val="nil"/>
              <w:right w:val="nil"/>
            </w:tcBorders>
            <w:shd w:val="clear" w:color="auto" w:fill="auto"/>
            <w:noWrap/>
            <w:vAlign w:val="bottom"/>
            <w:hideMark/>
          </w:tcPr>
          <w:p w14:paraId="09896AD6"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77D45082"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272170FB"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8F81A6F" w14:textId="77777777" w:rsidR="00BE6461" w:rsidRPr="00BE6461" w:rsidRDefault="00BE6461" w:rsidP="00BE6461">
            <w:pPr>
              <w:jc w:val="right"/>
              <w:rPr>
                <w:sz w:val="20"/>
                <w:szCs w:val="20"/>
              </w:rPr>
            </w:pPr>
            <w:r w:rsidRPr="00BE6461">
              <w:rPr>
                <w:sz w:val="20"/>
                <w:szCs w:val="20"/>
              </w:rPr>
              <w:t>108.000,00</w:t>
            </w:r>
          </w:p>
        </w:tc>
        <w:tc>
          <w:tcPr>
            <w:tcW w:w="1100" w:type="dxa"/>
            <w:tcBorders>
              <w:top w:val="nil"/>
              <w:left w:val="nil"/>
              <w:bottom w:val="nil"/>
              <w:right w:val="nil"/>
            </w:tcBorders>
            <w:shd w:val="clear" w:color="auto" w:fill="auto"/>
            <w:noWrap/>
            <w:vAlign w:val="bottom"/>
            <w:hideMark/>
          </w:tcPr>
          <w:p w14:paraId="711AF893" w14:textId="77777777" w:rsidR="00BE6461" w:rsidRPr="00BE6461" w:rsidRDefault="00BE6461" w:rsidP="00BE6461">
            <w:pPr>
              <w:jc w:val="right"/>
              <w:rPr>
                <w:sz w:val="20"/>
                <w:szCs w:val="20"/>
              </w:rPr>
            </w:pPr>
          </w:p>
        </w:tc>
      </w:tr>
      <w:tr w:rsidR="00BE6461" w:rsidRPr="00BE6461" w14:paraId="498DD412" w14:textId="77777777" w:rsidTr="00BE6461">
        <w:trPr>
          <w:trHeight w:val="300"/>
        </w:trPr>
        <w:tc>
          <w:tcPr>
            <w:tcW w:w="1703" w:type="dxa"/>
            <w:tcBorders>
              <w:top w:val="nil"/>
              <w:left w:val="nil"/>
              <w:bottom w:val="nil"/>
              <w:right w:val="nil"/>
            </w:tcBorders>
            <w:shd w:val="clear" w:color="auto" w:fill="auto"/>
            <w:noWrap/>
            <w:vAlign w:val="bottom"/>
            <w:hideMark/>
          </w:tcPr>
          <w:p w14:paraId="69600CBA"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24D51E7A"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1EFEFF2C" w14:textId="77777777" w:rsidR="00BE6461" w:rsidRPr="00BE6461" w:rsidRDefault="00BE6461" w:rsidP="00BE6461">
            <w:pPr>
              <w:jc w:val="right"/>
              <w:rPr>
                <w:b/>
                <w:bCs/>
                <w:sz w:val="20"/>
                <w:szCs w:val="20"/>
              </w:rPr>
            </w:pPr>
            <w:r w:rsidRPr="00BE6461">
              <w:rPr>
                <w:b/>
                <w:bCs/>
                <w:sz w:val="20"/>
                <w:szCs w:val="20"/>
              </w:rPr>
              <w:t>12.516,73</w:t>
            </w:r>
          </w:p>
        </w:tc>
        <w:tc>
          <w:tcPr>
            <w:tcW w:w="1500" w:type="dxa"/>
            <w:tcBorders>
              <w:top w:val="nil"/>
              <w:left w:val="nil"/>
              <w:bottom w:val="nil"/>
              <w:right w:val="nil"/>
            </w:tcBorders>
            <w:shd w:val="clear" w:color="auto" w:fill="auto"/>
            <w:noWrap/>
            <w:vAlign w:val="bottom"/>
            <w:hideMark/>
          </w:tcPr>
          <w:p w14:paraId="378FEE16" w14:textId="77777777" w:rsidR="00BE6461" w:rsidRPr="00BE6461" w:rsidRDefault="00BE6461" w:rsidP="00BE6461">
            <w:pPr>
              <w:jc w:val="right"/>
              <w:rPr>
                <w:b/>
                <w:bCs/>
                <w:sz w:val="20"/>
                <w:szCs w:val="20"/>
              </w:rPr>
            </w:pPr>
            <w:r w:rsidRPr="00BE6461">
              <w:rPr>
                <w:b/>
                <w:bCs/>
                <w:sz w:val="20"/>
                <w:szCs w:val="20"/>
              </w:rPr>
              <w:t>12.516,73</w:t>
            </w:r>
          </w:p>
        </w:tc>
        <w:tc>
          <w:tcPr>
            <w:tcW w:w="1100" w:type="dxa"/>
            <w:tcBorders>
              <w:top w:val="nil"/>
              <w:left w:val="nil"/>
              <w:bottom w:val="nil"/>
              <w:right w:val="nil"/>
            </w:tcBorders>
            <w:shd w:val="clear" w:color="auto" w:fill="auto"/>
            <w:noWrap/>
            <w:vAlign w:val="bottom"/>
            <w:hideMark/>
          </w:tcPr>
          <w:p w14:paraId="27AD9730"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07F8CFA6" w14:textId="77777777" w:rsidTr="00BE6461">
        <w:trPr>
          <w:trHeight w:val="300"/>
        </w:trPr>
        <w:tc>
          <w:tcPr>
            <w:tcW w:w="1703" w:type="dxa"/>
            <w:tcBorders>
              <w:top w:val="nil"/>
              <w:left w:val="nil"/>
              <w:bottom w:val="nil"/>
              <w:right w:val="nil"/>
            </w:tcBorders>
            <w:shd w:val="clear" w:color="auto" w:fill="auto"/>
            <w:noWrap/>
            <w:vAlign w:val="bottom"/>
            <w:hideMark/>
          </w:tcPr>
          <w:p w14:paraId="610D82E4" w14:textId="77777777" w:rsidR="00BE6461" w:rsidRPr="00BE6461" w:rsidRDefault="00BE6461" w:rsidP="00BE6461">
            <w:pPr>
              <w:rPr>
                <w:sz w:val="20"/>
                <w:szCs w:val="20"/>
              </w:rPr>
            </w:pPr>
            <w:r w:rsidRPr="00BE6461">
              <w:rPr>
                <w:sz w:val="20"/>
                <w:szCs w:val="20"/>
              </w:rPr>
              <w:t>3295</w:t>
            </w:r>
          </w:p>
        </w:tc>
        <w:tc>
          <w:tcPr>
            <w:tcW w:w="8457" w:type="dxa"/>
            <w:tcBorders>
              <w:top w:val="nil"/>
              <w:left w:val="nil"/>
              <w:bottom w:val="nil"/>
              <w:right w:val="nil"/>
            </w:tcBorders>
            <w:shd w:val="clear" w:color="auto" w:fill="auto"/>
            <w:vAlign w:val="bottom"/>
            <w:hideMark/>
          </w:tcPr>
          <w:p w14:paraId="5E634230" w14:textId="77777777" w:rsidR="00BE6461" w:rsidRPr="00BE6461" w:rsidRDefault="00BE6461" w:rsidP="00BE6461">
            <w:pPr>
              <w:rPr>
                <w:sz w:val="20"/>
                <w:szCs w:val="20"/>
              </w:rPr>
            </w:pPr>
            <w:r w:rsidRPr="00BE6461">
              <w:rPr>
                <w:sz w:val="20"/>
                <w:szCs w:val="20"/>
              </w:rPr>
              <w:t xml:space="preserve">Pristojbe i naknade                                                                                 </w:t>
            </w:r>
          </w:p>
        </w:tc>
        <w:tc>
          <w:tcPr>
            <w:tcW w:w="1503" w:type="dxa"/>
            <w:tcBorders>
              <w:top w:val="nil"/>
              <w:left w:val="nil"/>
              <w:bottom w:val="nil"/>
              <w:right w:val="nil"/>
            </w:tcBorders>
            <w:shd w:val="clear" w:color="auto" w:fill="auto"/>
            <w:noWrap/>
            <w:vAlign w:val="bottom"/>
            <w:hideMark/>
          </w:tcPr>
          <w:p w14:paraId="20EF11B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0E877100" w14:textId="77777777" w:rsidR="00BE6461" w:rsidRPr="00BE6461" w:rsidRDefault="00BE6461" w:rsidP="00BE6461">
            <w:pPr>
              <w:jc w:val="right"/>
              <w:rPr>
                <w:sz w:val="20"/>
                <w:szCs w:val="20"/>
              </w:rPr>
            </w:pPr>
            <w:r w:rsidRPr="00BE6461">
              <w:rPr>
                <w:sz w:val="20"/>
                <w:szCs w:val="20"/>
              </w:rPr>
              <w:t>12.516,73</w:t>
            </w:r>
          </w:p>
        </w:tc>
        <w:tc>
          <w:tcPr>
            <w:tcW w:w="1100" w:type="dxa"/>
            <w:tcBorders>
              <w:top w:val="nil"/>
              <w:left w:val="nil"/>
              <w:bottom w:val="nil"/>
              <w:right w:val="nil"/>
            </w:tcBorders>
            <w:shd w:val="clear" w:color="auto" w:fill="auto"/>
            <w:noWrap/>
            <w:vAlign w:val="bottom"/>
            <w:hideMark/>
          </w:tcPr>
          <w:p w14:paraId="7D06C677" w14:textId="77777777" w:rsidR="00BE6461" w:rsidRPr="00BE6461" w:rsidRDefault="00BE6461" w:rsidP="00BE6461">
            <w:pPr>
              <w:jc w:val="right"/>
              <w:rPr>
                <w:sz w:val="20"/>
                <w:szCs w:val="20"/>
              </w:rPr>
            </w:pPr>
          </w:p>
        </w:tc>
      </w:tr>
      <w:tr w:rsidR="00BE6461" w:rsidRPr="00BE6461" w14:paraId="7275375E" w14:textId="77777777" w:rsidTr="00BE6461">
        <w:trPr>
          <w:trHeight w:val="300"/>
        </w:trPr>
        <w:tc>
          <w:tcPr>
            <w:tcW w:w="1703" w:type="dxa"/>
            <w:tcBorders>
              <w:top w:val="nil"/>
              <w:left w:val="nil"/>
              <w:bottom w:val="nil"/>
              <w:right w:val="nil"/>
            </w:tcBorders>
            <w:shd w:val="clear" w:color="auto" w:fill="auto"/>
            <w:noWrap/>
            <w:vAlign w:val="bottom"/>
            <w:hideMark/>
          </w:tcPr>
          <w:p w14:paraId="6F42D610" w14:textId="77777777" w:rsidR="00BE6461" w:rsidRPr="00BE6461" w:rsidRDefault="00BE6461" w:rsidP="00BE6461">
            <w:pPr>
              <w:rPr>
                <w:b/>
                <w:bCs/>
                <w:sz w:val="20"/>
                <w:szCs w:val="20"/>
              </w:rPr>
            </w:pPr>
            <w:r w:rsidRPr="00BE6461">
              <w:rPr>
                <w:b/>
                <w:bCs/>
                <w:sz w:val="20"/>
                <w:szCs w:val="20"/>
              </w:rPr>
              <w:t>363</w:t>
            </w:r>
          </w:p>
        </w:tc>
        <w:tc>
          <w:tcPr>
            <w:tcW w:w="8457" w:type="dxa"/>
            <w:tcBorders>
              <w:top w:val="nil"/>
              <w:left w:val="nil"/>
              <w:bottom w:val="nil"/>
              <w:right w:val="nil"/>
            </w:tcBorders>
            <w:shd w:val="clear" w:color="auto" w:fill="auto"/>
            <w:vAlign w:val="bottom"/>
            <w:hideMark/>
          </w:tcPr>
          <w:p w14:paraId="721B1DF1" w14:textId="77777777" w:rsidR="00BE6461" w:rsidRPr="00BE6461" w:rsidRDefault="00BE6461" w:rsidP="00BE6461">
            <w:pPr>
              <w:rPr>
                <w:b/>
                <w:bCs/>
                <w:sz w:val="20"/>
                <w:szCs w:val="20"/>
              </w:rPr>
            </w:pPr>
            <w:r w:rsidRPr="00BE6461">
              <w:rPr>
                <w:b/>
                <w:bCs/>
                <w:sz w:val="20"/>
                <w:szCs w:val="20"/>
              </w:rPr>
              <w:t xml:space="preserve">Pomoći unutar općeg proračuna                                                                       </w:t>
            </w:r>
          </w:p>
        </w:tc>
        <w:tc>
          <w:tcPr>
            <w:tcW w:w="1503" w:type="dxa"/>
            <w:tcBorders>
              <w:top w:val="nil"/>
              <w:left w:val="nil"/>
              <w:bottom w:val="nil"/>
              <w:right w:val="nil"/>
            </w:tcBorders>
            <w:shd w:val="clear" w:color="auto" w:fill="auto"/>
            <w:noWrap/>
            <w:vAlign w:val="bottom"/>
            <w:hideMark/>
          </w:tcPr>
          <w:p w14:paraId="1558A9C1" w14:textId="77777777" w:rsidR="00BE6461" w:rsidRPr="00BE6461" w:rsidRDefault="00BE6461" w:rsidP="00BE6461">
            <w:pPr>
              <w:jc w:val="right"/>
              <w:rPr>
                <w:b/>
                <w:bCs/>
                <w:sz w:val="20"/>
                <w:szCs w:val="20"/>
              </w:rPr>
            </w:pPr>
            <w:r w:rsidRPr="00BE6461">
              <w:rPr>
                <w:b/>
                <w:bCs/>
                <w:sz w:val="20"/>
                <w:szCs w:val="20"/>
              </w:rPr>
              <w:t>60.000,00</w:t>
            </w:r>
          </w:p>
        </w:tc>
        <w:tc>
          <w:tcPr>
            <w:tcW w:w="1500" w:type="dxa"/>
            <w:tcBorders>
              <w:top w:val="nil"/>
              <w:left w:val="nil"/>
              <w:bottom w:val="nil"/>
              <w:right w:val="nil"/>
            </w:tcBorders>
            <w:shd w:val="clear" w:color="auto" w:fill="auto"/>
            <w:noWrap/>
            <w:vAlign w:val="bottom"/>
            <w:hideMark/>
          </w:tcPr>
          <w:p w14:paraId="057506B1" w14:textId="77777777" w:rsidR="00BE6461" w:rsidRPr="00BE6461" w:rsidRDefault="00BE6461" w:rsidP="00BE6461">
            <w:pPr>
              <w:jc w:val="right"/>
              <w:rPr>
                <w:b/>
                <w:bCs/>
                <w:sz w:val="20"/>
                <w:szCs w:val="20"/>
              </w:rPr>
            </w:pPr>
            <w:r w:rsidRPr="00BE6461">
              <w:rPr>
                <w:b/>
                <w:bCs/>
                <w:sz w:val="20"/>
                <w:szCs w:val="20"/>
              </w:rPr>
              <w:t>58.000,00</w:t>
            </w:r>
          </w:p>
        </w:tc>
        <w:tc>
          <w:tcPr>
            <w:tcW w:w="1100" w:type="dxa"/>
            <w:tcBorders>
              <w:top w:val="nil"/>
              <w:left w:val="nil"/>
              <w:bottom w:val="nil"/>
              <w:right w:val="nil"/>
            </w:tcBorders>
            <w:shd w:val="clear" w:color="auto" w:fill="auto"/>
            <w:noWrap/>
            <w:vAlign w:val="bottom"/>
            <w:hideMark/>
          </w:tcPr>
          <w:p w14:paraId="758E62E7" w14:textId="77777777" w:rsidR="00BE6461" w:rsidRPr="00BE6461" w:rsidRDefault="00BE6461" w:rsidP="00BE6461">
            <w:pPr>
              <w:jc w:val="right"/>
              <w:rPr>
                <w:b/>
                <w:bCs/>
                <w:sz w:val="20"/>
                <w:szCs w:val="20"/>
              </w:rPr>
            </w:pPr>
            <w:r w:rsidRPr="00BE6461">
              <w:rPr>
                <w:b/>
                <w:bCs/>
                <w:sz w:val="20"/>
                <w:szCs w:val="20"/>
              </w:rPr>
              <w:t>96,67</w:t>
            </w:r>
          </w:p>
        </w:tc>
      </w:tr>
      <w:tr w:rsidR="00BE6461" w:rsidRPr="00BE6461" w14:paraId="73314C00" w14:textId="77777777" w:rsidTr="00BE6461">
        <w:trPr>
          <w:trHeight w:val="300"/>
        </w:trPr>
        <w:tc>
          <w:tcPr>
            <w:tcW w:w="1703" w:type="dxa"/>
            <w:tcBorders>
              <w:top w:val="nil"/>
              <w:left w:val="nil"/>
              <w:bottom w:val="nil"/>
              <w:right w:val="nil"/>
            </w:tcBorders>
            <w:shd w:val="clear" w:color="auto" w:fill="auto"/>
            <w:noWrap/>
            <w:vAlign w:val="bottom"/>
            <w:hideMark/>
          </w:tcPr>
          <w:p w14:paraId="15DA104E" w14:textId="77777777" w:rsidR="00BE6461" w:rsidRPr="00BE6461" w:rsidRDefault="00BE6461" w:rsidP="00BE6461">
            <w:pPr>
              <w:rPr>
                <w:sz w:val="20"/>
                <w:szCs w:val="20"/>
              </w:rPr>
            </w:pPr>
            <w:r w:rsidRPr="00BE6461">
              <w:rPr>
                <w:sz w:val="20"/>
                <w:szCs w:val="20"/>
              </w:rPr>
              <w:t>3631</w:t>
            </w:r>
          </w:p>
        </w:tc>
        <w:tc>
          <w:tcPr>
            <w:tcW w:w="8457" w:type="dxa"/>
            <w:tcBorders>
              <w:top w:val="nil"/>
              <w:left w:val="nil"/>
              <w:bottom w:val="nil"/>
              <w:right w:val="nil"/>
            </w:tcBorders>
            <w:shd w:val="clear" w:color="auto" w:fill="auto"/>
            <w:vAlign w:val="bottom"/>
            <w:hideMark/>
          </w:tcPr>
          <w:p w14:paraId="69B03D40" w14:textId="77777777" w:rsidR="00BE6461" w:rsidRPr="00BE6461" w:rsidRDefault="00BE6461" w:rsidP="00BE6461">
            <w:pPr>
              <w:rPr>
                <w:sz w:val="20"/>
                <w:szCs w:val="20"/>
              </w:rPr>
            </w:pPr>
            <w:r w:rsidRPr="00BE6461">
              <w:rPr>
                <w:sz w:val="20"/>
                <w:szCs w:val="20"/>
              </w:rPr>
              <w:t xml:space="preserve">Tekuće pomoći unutar općeg proračuna                                                                </w:t>
            </w:r>
          </w:p>
        </w:tc>
        <w:tc>
          <w:tcPr>
            <w:tcW w:w="1503" w:type="dxa"/>
            <w:tcBorders>
              <w:top w:val="nil"/>
              <w:left w:val="nil"/>
              <w:bottom w:val="nil"/>
              <w:right w:val="nil"/>
            </w:tcBorders>
            <w:shd w:val="clear" w:color="auto" w:fill="auto"/>
            <w:noWrap/>
            <w:vAlign w:val="bottom"/>
            <w:hideMark/>
          </w:tcPr>
          <w:p w14:paraId="292AB3F1"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645E968" w14:textId="77777777" w:rsidR="00BE6461" w:rsidRPr="00BE6461" w:rsidRDefault="00BE6461" w:rsidP="00BE6461">
            <w:pPr>
              <w:jc w:val="right"/>
              <w:rPr>
                <w:sz w:val="20"/>
                <w:szCs w:val="20"/>
              </w:rPr>
            </w:pPr>
            <w:r w:rsidRPr="00BE6461">
              <w:rPr>
                <w:sz w:val="20"/>
                <w:szCs w:val="20"/>
              </w:rPr>
              <w:t>58.000,00</w:t>
            </w:r>
          </w:p>
        </w:tc>
        <w:tc>
          <w:tcPr>
            <w:tcW w:w="1100" w:type="dxa"/>
            <w:tcBorders>
              <w:top w:val="nil"/>
              <w:left w:val="nil"/>
              <w:bottom w:val="nil"/>
              <w:right w:val="nil"/>
            </w:tcBorders>
            <w:shd w:val="clear" w:color="auto" w:fill="auto"/>
            <w:noWrap/>
            <w:vAlign w:val="bottom"/>
            <w:hideMark/>
          </w:tcPr>
          <w:p w14:paraId="23183837" w14:textId="77777777" w:rsidR="00BE6461" w:rsidRPr="00BE6461" w:rsidRDefault="00BE6461" w:rsidP="00BE6461">
            <w:pPr>
              <w:jc w:val="right"/>
              <w:rPr>
                <w:sz w:val="20"/>
                <w:szCs w:val="20"/>
              </w:rPr>
            </w:pPr>
          </w:p>
        </w:tc>
      </w:tr>
      <w:tr w:rsidR="00BE6461" w:rsidRPr="00BE6461" w14:paraId="7409C52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453D9AC7" w14:textId="77777777" w:rsidR="00BE6461" w:rsidRPr="00BE6461" w:rsidRDefault="00BE6461" w:rsidP="00BE6461">
            <w:pPr>
              <w:rPr>
                <w:b/>
                <w:bCs/>
                <w:color w:val="333333"/>
                <w:sz w:val="20"/>
                <w:szCs w:val="20"/>
              </w:rPr>
            </w:pPr>
            <w:r w:rsidRPr="00BE6461">
              <w:rPr>
                <w:b/>
                <w:bCs/>
                <w:color w:val="333333"/>
                <w:sz w:val="20"/>
                <w:szCs w:val="20"/>
              </w:rPr>
              <w:t>Izvor 4. PRIHODI ZA POSEBNE NAMJENE</w:t>
            </w:r>
          </w:p>
        </w:tc>
        <w:tc>
          <w:tcPr>
            <w:tcW w:w="1503" w:type="dxa"/>
            <w:tcBorders>
              <w:top w:val="nil"/>
              <w:left w:val="nil"/>
              <w:bottom w:val="nil"/>
              <w:right w:val="nil"/>
            </w:tcBorders>
            <w:shd w:val="clear" w:color="auto" w:fill="auto"/>
            <w:noWrap/>
            <w:vAlign w:val="bottom"/>
            <w:hideMark/>
          </w:tcPr>
          <w:p w14:paraId="6767AB04" w14:textId="77777777" w:rsidR="00BE6461" w:rsidRPr="00BE6461" w:rsidRDefault="00BE6461" w:rsidP="00BE6461">
            <w:pPr>
              <w:jc w:val="right"/>
              <w:rPr>
                <w:b/>
                <w:bCs/>
                <w:color w:val="333333"/>
                <w:sz w:val="20"/>
                <w:szCs w:val="20"/>
              </w:rPr>
            </w:pPr>
            <w:r w:rsidRPr="00BE6461">
              <w:rPr>
                <w:b/>
                <w:bCs/>
                <w:color w:val="333333"/>
                <w:sz w:val="20"/>
                <w:szCs w:val="20"/>
              </w:rPr>
              <w:t>225.000,00</w:t>
            </w:r>
          </w:p>
        </w:tc>
        <w:tc>
          <w:tcPr>
            <w:tcW w:w="1500" w:type="dxa"/>
            <w:tcBorders>
              <w:top w:val="nil"/>
              <w:left w:val="nil"/>
              <w:bottom w:val="nil"/>
              <w:right w:val="nil"/>
            </w:tcBorders>
            <w:shd w:val="clear" w:color="auto" w:fill="auto"/>
            <w:noWrap/>
            <w:vAlign w:val="bottom"/>
            <w:hideMark/>
          </w:tcPr>
          <w:p w14:paraId="0F18B9C8" w14:textId="77777777" w:rsidR="00BE6461" w:rsidRPr="00BE6461" w:rsidRDefault="00BE6461" w:rsidP="00BE6461">
            <w:pPr>
              <w:jc w:val="right"/>
              <w:rPr>
                <w:b/>
                <w:bCs/>
                <w:color w:val="333333"/>
                <w:sz w:val="20"/>
                <w:szCs w:val="20"/>
              </w:rPr>
            </w:pPr>
            <w:r w:rsidRPr="00BE6461">
              <w:rPr>
                <w:b/>
                <w:bCs/>
                <w:color w:val="333333"/>
                <w:sz w:val="20"/>
                <w:szCs w:val="20"/>
              </w:rPr>
              <w:t>199.125,00</w:t>
            </w:r>
          </w:p>
        </w:tc>
        <w:tc>
          <w:tcPr>
            <w:tcW w:w="1100" w:type="dxa"/>
            <w:tcBorders>
              <w:top w:val="nil"/>
              <w:left w:val="nil"/>
              <w:bottom w:val="nil"/>
              <w:right w:val="nil"/>
            </w:tcBorders>
            <w:shd w:val="clear" w:color="auto" w:fill="auto"/>
            <w:noWrap/>
            <w:vAlign w:val="bottom"/>
            <w:hideMark/>
          </w:tcPr>
          <w:p w14:paraId="429BF4C3" w14:textId="77777777" w:rsidR="00BE6461" w:rsidRPr="00BE6461" w:rsidRDefault="00BE6461" w:rsidP="00BE6461">
            <w:pPr>
              <w:jc w:val="right"/>
              <w:rPr>
                <w:b/>
                <w:bCs/>
                <w:color w:val="333333"/>
                <w:sz w:val="20"/>
                <w:szCs w:val="20"/>
              </w:rPr>
            </w:pPr>
            <w:r w:rsidRPr="00BE6461">
              <w:rPr>
                <w:b/>
                <w:bCs/>
                <w:color w:val="333333"/>
                <w:sz w:val="20"/>
                <w:szCs w:val="20"/>
              </w:rPr>
              <w:t>88,50</w:t>
            </w:r>
          </w:p>
        </w:tc>
      </w:tr>
      <w:tr w:rsidR="00BE6461" w:rsidRPr="00BE6461" w14:paraId="5D305CFA"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5DCC9ED" w14:textId="77777777" w:rsidR="00BE6461" w:rsidRPr="00BE6461" w:rsidRDefault="00BE6461" w:rsidP="00BE6461">
            <w:pPr>
              <w:rPr>
                <w:b/>
                <w:bCs/>
                <w:color w:val="333333"/>
                <w:sz w:val="20"/>
                <w:szCs w:val="20"/>
              </w:rPr>
            </w:pPr>
            <w:r w:rsidRPr="00BE6461">
              <w:rPr>
                <w:b/>
                <w:bCs/>
                <w:color w:val="333333"/>
                <w:sz w:val="20"/>
                <w:szCs w:val="20"/>
              </w:rPr>
              <w:t>Izvor 4.2. PRIHODI POSEBNE NAMJENE - KOMUNALNI DOPRINOS</w:t>
            </w:r>
          </w:p>
        </w:tc>
        <w:tc>
          <w:tcPr>
            <w:tcW w:w="1503" w:type="dxa"/>
            <w:tcBorders>
              <w:top w:val="nil"/>
              <w:left w:val="nil"/>
              <w:bottom w:val="nil"/>
              <w:right w:val="nil"/>
            </w:tcBorders>
            <w:shd w:val="clear" w:color="auto" w:fill="auto"/>
            <w:noWrap/>
            <w:vAlign w:val="bottom"/>
            <w:hideMark/>
          </w:tcPr>
          <w:p w14:paraId="723B4676" w14:textId="77777777" w:rsidR="00BE6461" w:rsidRPr="00BE6461" w:rsidRDefault="00BE6461" w:rsidP="00BE6461">
            <w:pPr>
              <w:jc w:val="right"/>
              <w:rPr>
                <w:b/>
                <w:bCs/>
                <w:color w:val="333333"/>
                <w:sz w:val="20"/>
                <w:szCs w:val="20"/>
              </w:rPr>
            </w:pPr>
            <w:r w:rsidRPr="00BE6461">
              <w:rPr>
                <w:b/>
                <w:bCs/>
                <w:color w:val="333333"/>
                <w:sz w:val="20"/>
                <w:szCs w:val="20"/>
              </w:rPr>
              <w:t>225.000,00</w:t>
            </w:r>
          </w:p>
        </w:tc>
        <w:tc>
          <w:tcPr>
            <w:tcW w:w="1500" w:type="dxa"/>
            <w:tcBorders>
              <w:top w:val="nil"/>
              <w:left w:val="nil"/>
              <w:bottom w:val="nil"/>
              <w:right w:val="nil"/>
            </w:tcBorders>
            <w:shd w:val="clear" w:color="auto" w:fill="auto"/>
            <w:noWrap/>
            <w:vAlign w:val="bottom"/>
            <w:hideMark/>
          </w:tcPr>
          <w:p w14:paraId="670B1400" w14:textId="77777777" w:rsidR="00BE6461" w:rsidRPr="00BE6461" w:rsidRDefault="00BE6461" w:rsidP="00BE6461">
            <w:pPr>
              <w:jc w:val="right"/>
              <w:rPr>
                <w:b/>
                <w:bCs/>
                <w:color w:val="333333"/>
                <w:sz w:val="20"/>
                <w:szCs w:val="20"/>
              </w:rPr>
            </w:pPr>
            <w:r w:rsidRPr="00BE6461">
              <w:rPr>
                <w:b/>
                <w:bCs/>
                <w:color w:val="333333"/>
                <w:sz w:val="20"/>
                <w:szCs w:val="20"/>
              </w:rPr>
              <w:t>199.125,00</w:t>
            </w:r>
          </w:p>
        </w:tc>
        <w:tc>
          <w:tcPr>
            <w:tcW w:w="1100" w:type="dxa"/>
            <w:tcBorders>
              <w:top w:val="nil"/>
              <w:left w:val="nil"/>
              <w:bottom w:val="nil"/>
              <w:right w:val="nil"/>
            </w:tcBorders>
            <w:shd w:val="clear" w:color="auto" w:fill="auto"/>
            <w:noWrap/>
            <w:vAlign w:val="bottom"/>
            <w:hideMark/>
          </w:tcPr>
          <w:p w14:paraId="2F0B3D03" w14:textId="77777777" w:rsidR="00BE6461" w:rsidRPr="00BE6461" w:rsidRDefault="00BE6461" w:rsidP="00BE6461">
            <w:pPr>
              <w:jc w:val="right"/>
              <w:rPr>
                <w:b/>
                <w:bCs/>
                <w:color w:val="333333"/>
                <w:sz w:val="20"/>
                <w:szCs w:val="20"/>
              </w:rPr>
            </w:pPr>
            <w:r w:rsidRPr="00BE6461">
              <w:rPr>
                <w:b/>
                <w:bCs/>
                <w:color w:val="333333"/>
                <w:sz w:val="20"/>
                <w:szCs w:val="20"/>
              </w:rPr>
              <w:t>88,50</w:t>
            </w:r>
          </w:p>
        </w:tc>
      </w:tr>
      <w:tr w:rsidR="00BE6461" w:rsidRPr="00BE6461" w14:paraId="664E62F1" w14:textId="77777777" w:rsidTr="00BE6461">
        <w:trPr>
          <w:trHeight w:val="300"/>
        </w:trPr>
        <w:tc>
          <w:tcPr>
            <w:tcW w:w="1703" w:type="dxa"/>
            <w:tcBorders>
              <w:top w:val="nil"/>
              <w:left w:val="nil"/>
              <w:bottom w:val="nil"/>
              <w:right w:val="nil"/>
            </w:tcBorders>
            <w:shd w:val="clear" w:color="auto" w:fill="auto"/>
            <w:noWrap/>
            <w:vAlign w:val="bottom"/>
            <w:hideMark/>
          </w:tcPr>
          <w:p w14:paraId="236BC833" w14:textId="77777777" w:rsidR="00BE6461" w:rsidRPr="00BE6461" w:rsidRDefault="00BE6461" w:rsidP="00BE6461">
            <w:pPr>
              <w:rPr>
                <w:b/>
                <w:bCs/>
                <w:sz w:val="20"/>
                <w:szCs w:val="20"/>
              </w:rPr>
            </w:pPr>
            <w:r w:rsidRPr="00BE6461">
              <w:rPr>
                <w:b/>
                <w:bCs/>
                <w:sz w:val="20"/>
                <w:szCs w:val="20"/>
              </w:rPr>
              <w:lastRenderedPageBreak/>
              <w:t>323</w:t>
            </w:r>
          </w:p>
        </w:tc>
        <w:tc>
          <w:tcPr>
            <w:tcW w:w="8457" w:type="dxa"/>
            <w:tcBorders>
              <w:top w:val="nil"/>
              <w:left w:val="nil"/>
              <w:bottom w:val="nil"/>
              <w:right w:val="nil"/>
            </w:tcBorders>
            <w:shd w:val="clear" w:color="auto" w:fill="auto"/>
            <w:vAlign w:val="bottom"/>
            <w:hideMark/>
          </w:tcPr>
          <w:p w14:paraId="78EC1D26"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152725BB" w14:textId="77777777" w:rsidR="00BE6461" w:rsidRPr="00BE6461" w:rsidRDefault="00BE6461" w:rsidP="00BE6461">
            <w:pPr>
              <w:jc w:val="right"/>
              <w:rPr>
                <w:b/>
                <w:bCs/>
                <w:sz w:val="20"/>
                <w:szCs w:val="20"/>
              </w:rPr>
            </w:pPr>
            <w:r w:rsidRPr="00BE6461">
              <w:rPr>
                <w:b/>
                <w:bCs/>
                <w:sz w:val="20"/>
                <w:szCs w:val="20"/>
              </w:rPr>
              <w:t>225.000,00</w:t>
            </w:r>
          </w:p>
        </w:tc>
        <w:tc>
          <w:tcPr>
            <w:tcW w:w="1500" w:type="dxa"/>
            <w:tcBorders>
              <w:top w:val="nil"/>
              <w:left w:val="nil"/>
              <w:bottom w:val="nil"/>
              <w:right w:val="nil"/>
            </w:tcBorders>
            <w:shd w:val="clear" w:color="auto" w:fill="auto"/>
            <w:noWrap/>
            <w:vAlign w:val="bottom"/>
            <w:hideMark/>
          </w:tcPr>
          <w:p w14:paraId="19DF3234" w14:textId="77777777" w:rsidR="00BE6461" w:rsidRPr="00BE6461" w:rsidRDefault="00BE6461" w:rsidP="00BE6461">
            <w:pPr>
              <w:jc w:val="right"/>
              <w:rPr>
                <w:b/>
                <w:bCs/>
                <w:sz w:val="20"/>
                <w:szCs w:val="20"/>
              </w:rPr>
            </w:pPr>
            <w:r w:rsidRPr="00BE6461">
              <w:rPr>
                <w:b/>
                <w:bCs/>
                <w:sz w:val="20"/>
                <w:szCs w:val="20"/>
              </w:rPr>
              <w:t>199.125,00</w:t>
            </w:r>
          </w:p>
        </w:tc>
        <w:tc>
          <w:tcPr>
            <w:tcW w:w="1100" w:type="dxa"/>
            <w:tcBorders>
              <w:top w:val="nil"/>
              <w:left w:val="nil"/>
              <w:bottom w:val="nil"/>
              <w:right w:val="nil"/>
            </w:tcBorders>
            <w:shd w:val="clear" w:color="auto" w:fill="auto"/>
            <w:noWrap/>
            <w:vAlign w:val="bottom"/>
            <w:hideMark/>
          </w:tcPr>
          <w:p w14:paraId="2295C25E" w14:textId="77777777" w:rsidR="00BE6461" w:rsidRPr="00BE6461" w:rsidRDefault="00BE6461" w:rsidP="00BE6461">
            <w:pPr>
              <w:jc w:val="right"/>
              <w:rPr>
                <w:b/>
                <w:bCs/>
                <w:sz w:val="20"/>
                <w:szCs w:val="20"/>
              </w:rPr>
            </w:pPr>
            <w:r w:rsidRPr="00BE6461">
              <w:rPr>
                <w:b/>
                <w:bCs/>
                <w:sz w:val="20"/>
                <w:szCs w:val="20"/>
              </w:rPr>
              <w:t>88,50</w:t>
            </w:r>
          </w:p>
        </w:tc>
      </w:tr>
      <w:tr w:rsidR="00BE6461" w:rsidRPr="00BE6461" w14:paraId="5A6B636F" w14:textId="77777777" w:rsidTr="00BE6461">
        <w:trPr>
          <w:trHeight w:val="300"/>
        </w:trPr>
        <w:tc>
          <w:tcPr>
            <w:tcW w:w="1703" w:type="dxa"/>
            <w:tcBorders>
              <w:top w:val="nil"/>
              <w:left w:val="nil"/>
              <w:bottom w:val="nil"/>
              <w:right w:val="nil"/>
            </w:tcBorders>
            <w:shd w:val="clear" w:color="auto" w:fill="auto"/>
            <w:noWrap/>
            <w:vAlign w:val="bottom"/>
            <w:hideMark/>
          </w:tcPr>
          <w:p w14:paraId="6836ACBD"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148DABCD"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1A04827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A0E8C90" w14:textId="77777777" w:rsidR="00BE6461" w:rsidRPr="00BE6461" w:rsidRDefault="00BE6461" w:rsidP="00BE6461">
            <w:pPr>
              <w:jc w:val="right"/>
              <w:rPr>
                <w:sz w:val="20"/>
                <w:szCs w:val="20"/>
              </w:rPr>
            </w:pPr>
            <w:r w:rsidRPr="00BE6461">
              <w:rPr>
                <w:sz w:val="20"/>
                <w:szCs w:val="20"/>
              </w:rPr>
              <w:t>199.125,00</w:t>
            </w:r>
          </w:p>
        </w:tc>
        <w:tc>
          <w:tcPr>
            <w:tcW w:w="1100" w:type="dxa"/>
            <w:tcBorders>
              <w:top w:val="nil"/>
              <w:left w:val="nil"/>
              <w:bottom w:val="nil"/>
              <w:right w:val="nil"/>
            </w:tcBorders>
            <w:shd w:val="clear" w:color="auto" w:fill="auto"/>
            <w:noWrap/>
            <w:vAlign w:val="bottom"/>
            <w:hideMark/>
          </w:tcPr>
          <w:p w14:paraId="5B334F05" w14:textId="77777777" w:rsidR="00BE6461" w:rsidRPr="00BE6461" w:rsidRDefault="00BE6461" w:rsidP="00BE6461">
            <w:pPr>
              <w:jc w:val="right"/>
              <w:rPr>
                <w:sz w:val="20"/>
                <w:szCs w:val="20"/>
              </w:rPr>
            </w:pPr>
          </w:p>
        </w:tc>
      </w:tr>
      <w:tr w:rsidR="00BE6461" w:rsidRPr="00BE6461" w14:paraId="1A9CC019"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4D27363" w14:textId="77777777" w:rsidR="00BE6461" w:rsidRPr="00BE6461" w:rsidRDefault="00BE6461" w:rsidP="00BE6461">
            <w:pPr>
              <w:rPr>
                <w:b/>
                <w:bCs/>
                <w:color w:val="333333"/>
                <w:sz w:val="20"/>
                <w:szCs w:val="20"/>
              </w:rPr>
            </w:pPr>
            <w:r w:rsidRPr="00BE6461">
              <w:rPr>
                <w:b/>
                <w:bCs/>
                <w:color w:val="333333"/>
                <w:sz w:val="20"/>
                <w:szCs w:val="20"/>
              </w:rPr>
              <w:t>Izvor 7. PRIHODI OD NEFIN.IMOVINE I NADOKNADE ŠTETA OD OSIG.</w:t>
            </w:r>
          </w:p>
        </w:tc>
        <w:tc>
          <w:tcPr>
            <w:tcW w:w="1503" w:type="dxa"/>
            <w:tcBorders>
              <w:top w:val="nil"/>
              <w:left w:val="nil"/>
              <w:bottom w:val="nil"/>
              <w:right w:val="nil"/>
            </w:tcBorders>
            <w:shd w:val="clear" w:color="auto" w:fill="auto"/>
            <w:noWrap/>
            <w:vAlign w:val="bottom"/>
            <w:hideMark/>
          </w:tcPr>
          <w:p w14:paraId="78A1838A" w14:textId="77777777" w:rsidR="00BE6461" w:rsidRPr="00BE6461" w:rsidRDefault="00BE6461" w:rsidP="00BE6461">
            <w:pPr>
              <w:jc w:val="right"/>
              <w:rPr>
                <w:b/>
                <w:bCs/>
                <w:color w:val="333333"/>
                <w:sz w:val="20"/>
                <w:szCs w:val="20"/>
              </w:rPr>
            </w:pPr>
            <w:r w:rsidRPr="00BE6461">
              <w:rPr>
                <w:b/>
                <w:bCs/>
                <w:color w:val="333333"/>
                <w:sz w:val="20"/>
                <w:szCs w:val="20"/>
              </w:rPr>
              <w:t>256.250,00</w:t>
            </w:r>
          </w:p>
        </w:tc>
        <w:tc>
          <w:tcPr>
            <w:tcW w:w="1500" w:type="dxa"/>
            <w:tcBorders>
              <w:top w:val="nil"/>
              <w:left w:val="nil"/>
              <w:bottom w:val="nil"/>
              <w:right w:val="nil"/>
            </w:tcBorders>
            <w:shd w:val="clear" w:color="auto" w:fill="auto"/>
            <w:noWrap/>
            <w:vAlign w:val="bottom"/>
            <w:hideMark/>
          </w:tcPr>
          <w:p w14:paraId="67403885" w14:textId="77777777" w:rsidR="00BE6461" w:rsidRPr="00BE6461" w:rsidRDefault="00BE6461" w:rsidP="00BE6461">
            <w:pPr>
              <w:jc w:val="right"/>
              <w:rPr>
                <w:b/>
                <w:bCs/>
                <w:color w:val="333333"/>
                <w:sz w:val="20"/>
                <w:szCs w:val="20"/>
              </w:rPr>
            </w:pPr>
            <w:r w:rsidRPr="00BE6461">
              <w:rPr>
                <w:b/>
                <w:bCs/>
                <w:color w:val="333333"/>
                <w:sz w:val="20"/>
                <w:szCs w:val="20"/>
              </w:rPr>
              <w:t>277.250,00</w:t>
            </w:r>
          </w:p>
        </w:tc>
        <w:tc>
          <w:tcPr>
            <w:tcW w:w="1100" w:type="dxa"/>
            <w:tcBorders>
              <w:top w:val="nil"/>
              <w:left w:val="nil"/>
              <w:bottom w:val="nil"/>
              <w:right w:val="nil"/>
            </w:tcBorders>
            <w:shd w:val="clear" w:color="auto" w:fill="auto"/>
            <w:noWrap/>
            <w:vAlign w:val="bottom"/>
            <w:hideMark/>
          </w:tcPr>
          <w:p w14:paraId="25C53C08" w14:textId="77777777" w:rsidR="00BE6461" w:rsidRPr="00BE6461" w:rsidRDefault="00BE6461" w:rsidP="00BE6461">
            <w:pPr>
              <w:jc w:val="right"/>
              <w:rPr>
                <w:b/>
                <w:bCs/>
                <w:color w:val="333333"/>
                <w:sz w:val="20"/>
                <w:szCs w:val="20"/>
              </w:rPr>
            </w:pPr>
            <w:r w:rsidRPr="00BE6461">
              <w:rPr>
                <w:b/>
                <w:bCs/>
                <w:color w:val="333333"/>
                <w:sz w:val="20"/>
                <w:szCs w:val="20"/>
              </w:rPr>
              <w:t>108,20</w:t>
            </w:r>
          </w:p>
        </w:tc>
      </w:tr>
      <w:tr w:rsidR="00BE6461" w:rsidRPr="00BE6461" w14:paraId="7522E59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A82339C" w14:textId="77777777" w:rsidR="00BE6461" w:rsidRPr="00BE6461" w:rsidRDefault="00BE6461" w:rsidP="00BE6461">
            <w:pPr>
              <w:rPr>
                <w:b/>
                <w:bCs/>
                <w:color w:val="333333"/>
                <w:sz w:val="20"/>
                <w:szCs w:val="20"/>
              </w:rPr>
            </w:pPr>
            <w:r w:rsidRPr="00BE6461">
              <w:rPr>
                <w:b/>
                <w:bCs/>
                <w:color w:val="333333"/>
                <w:sz w:val="20"/>
                <w:szCs w:val="20"/>
              </w:rPr>
              <w:t>Izvor 7.1. PRIHODI OD NEFIN.IMOVINE I NADOKNADE ŠTETA OD OSIG.</w:t>
            </w:r>
          </w:p>
        </w:tc>
        <w:tc>
          <w:tcPr>
            <w:tcW w:w="1503" w:type="dxa"/>
            <w:tcBorders>
              <w:top w:val="nil"/>
              <w:left w:val="nil"/>
              <w:bottom w:val="nil"/>
              <w:right w:val="nil"/>
            </w:tcBorders>
            <w:shd w:val="clear" w:color="auto" w:fill="auto"/>
            <w:noWrap/>
            <w:vAlign w:val="bottom"/>
            <w:hideMark/>
          </w:tcPr>
          <w:p w14:paraId="4002A7D0" w14:textId="77777777" w:rsidR="00BE6461" w:rsidRPr="00BE6461" w:rsidRDefault="00BE6461" w:rsidP="00BE6461">
            <w:pPr>
              <w:jc w:val="right"/>
              <w:rPr>
                <w:b/>
                <w:bCs/>
                <w:color w:val="333333"/>
                <w:sz w:val="20"/>
                <w:szCs w:val="20"/>
              </w:rPr>
            </w:pPr>
            <w:r w:rsidRPr="00BE6461">
              <w:rPr>
                <w:b/>
                <w:bCs/>
                <w:color w:val="333333"/>
                <w:sz w:val="20"/>
                <w:szCs w:val="20"/>
              </w:rPr>
              <w:t>256.250,00</w:t>
            </w:r>
          </w:p>
        </w:tc>
        <w:tc>
          <w:tcPr>
            <w:tcW w:w="1500" w:type="dxa"/>
            <w:tcBorders>
              <w:top w:val="nil"/>
              <w:left w:val="nil"/>
              <w:bottom w:val="nil"/>
              <w:right w:val="nil"/>
            </w:tcBorders>
            <w:shd w:val="clear" w:color="auto" w:fill="auto"/>
            <w:noWrap/>
            <w:vAlign w:val="bottom"/>
            <w:hideMark/>
          </w:tcPr>
          <w:p w14:paraId="40EC9C9F" w14:textId="77777777" w:rsidR="00BE6461" w:rsidRPr="00BE6461" w:rsidRDefault="00BE6461" w:rsidP="00BE6461">
            <w:pPr>
              <w:jc w:val="right"/>
              <w:rPr>
                <w:b/>
                <w:bCs/>
                <w:color w:val="333333"/>
                <w:sz w:val="20"/>
                <w:szCs w:val="20"/>
              </w:rPr>
            </w:pPr>
            <w:r w:rsidRPr="00BE6461">
              <w:rPr>
                <w:b/>
                <w:bCs/>
                <w:color w:val="333333"/>
                <w:sz w:val="20"/>
                <w:szCs w:val="20"/>
              </w:rPr>
              <w:t>277.250,00</w:t>
            </w:r>
          </w:p>
        </w:tc>
        <w:tc>
          <w:tcPr>
            <w:tcW w:w="1100" w:type="dxa"/>
            <w:tcBorders>
              <w:top w:val="nil"/>
              <w:left w:val="nil"/>
              <w:bottom w:val="nil"/>
              <w:right w:val="nil"/>
            </w:tcBorders>
            <w:shd w:val="clear" w:color="auto" w:fill="auto"/>
            <w:noWrap/>
            <w:vAlign w:val="bottom"/>
            <w:hideMark/>
          </w:tcPr>
          <w:p w14:paraId="5041533B" w14:textId="77777777" w:rsidR="00BE6461" w:rsidRPr="00BE6461" w:rsidRDefault="00BE6461" w:rsidP="00BE6461">
            <w:pPr>
              <w:jc w:val="right"/>
              <w:rPr>
                <w:b/>
                <w:bCs/>
                <w:color w:val="333333"/>
                <w:sz w:val="20"/>
                <w:szCs w:val="20"/>
              </w:rPr>
            </w:pPr>
            <w:r w:rsidRPr="00BE6461">
              <w:rPr>
                <w:b/>
                <w:bCs/>
                <w:color w:val="333333"/>
                <w:sz w:val="20"/>
                <w:szCs w:val="20"/>
              </w:rPr>
              <w:t>108,20</w:t>
            </w:r>
          </w:p>
        </w:tc>
      </w:tr>
      <w:tr w:rsidR="00BE6461" w:rsidRPr="00BE6461" w14:paraId="014B765C" w14:textId="77777777" w:rsidTr="00BE6461">
        <w:trPr>
          <w:trHeight w:val="300"/>
        </w:trPr>
        <w:tc>
          <w:tcPr>
            <w:tcW w:w="1703" w:type="dxa"/>
            <w:tcBorders>
              <w:top w:val="nil"/>
              <w:left w:val="nil"/>
              <w:bottom w:val="nil"/>
              <w:right w:val="nil"/>
            </w:tcBorders>
            <w:shd w:val="clear" w:color="auto" w:fill="auto"/>
            <w:noWrap/>
            <w:vAlign w:val="bottom"/>
            <w:hideMark/>
          </w:tcPr>
          <w:p w14:paraId="56CF7015" w14:textId="77777777" w:rsidR="00BE6461" w:rsidRPr="00BE6461" w:rsidRDefault="00BE6461" w:rsidP="00BE6461">
            <w:pPr>
              <w:rPr>
                <w:b/>
                <w:bCs/>
                <w:sz w:val="20"/>
                <w:szCs w:val="20"/>
              </w:rPr>
            </w:pPr>
            <w:r w:rsidRPr="00BE6461">
              <w:rPr>
                <w:b/>
                <w:bCs/>
                <w:sz w:val="20"/>
                <w:szCs w:val="20"/>
              </w:rPr>
              <w:t>426</w:t>
            </w:r>
          </w:p>
        </w:tc>
        <w:tc>
          <w:tcPr>
            <w:tcW w:w="8457" w:type="dxa"/>
            <w:tcBorders>
              <w:top w:val="nil"/>
              <w:left w:val="nil"/>
              <w:bottom w:val="nil"/>
              <w:right w:val="nil"/>
            </w:tcBorders>
            <w:shd w:val="clear" w:color="auto" w:fill="auto"/>
            <w:vAlign w:val="bottom"/>
            <w:hideMark/>
          </w:tcPr>
          <w:p w14:paraId="6F0BAA5F" w14:textId="77777777" w:rsidR="00BE6461" w:rsidRPr="00BE6461" w:rsidRDefault="00BE6461" w:rsidP="00BE6461">
            <w:pPr>
              <w:rPr>
                <w:b/>
                <w:bCs/>
                <w:sz w:val="20"/>
                <w:szCs w:val="20"/>
              </w:rPr>
            </w:pPr>
            <w:r w:rsidRPr="00BE6461">
              <w:rPr>
                <w:b/>
                <w:bCs/>
                <w:sz w:val="20"/>
                <w:szCs w:val="20"/>
              </w:rPr>
              <w:t xml:space="preserve">Nematerijalna proizvedena imovina                                                                   </w:t>
            </w:r>
          </w:p>
        </w:tc>
        <w:tc>
          <w:tcPr>
            <w:tcW w:w="1503" w:type="dxa"/>
            <w:tcBorders>
              <w:top w:val="nil"/>
              <w:left w:val="nil"/>
              <w:bottom w:val="nil"/>
              <w:right w:val="nil"/>
            </w:tcBorders>
            <w:shd w:val="clear" w:color="auto" w:fill="auto"/>
            <w:noWrap/>
            <w:vAlign w:val="bottom"/>
            <w:hideMark/>
          </w:tcPr>
          <w:p w14:paraId="2D93E910" w14:textId="77777777" w:rsidR="00BE6461" w:rsidRPr="00BE6461" w:rsidRDefault="00BE6461" w:rsidP="00BE6461">
            <w:pPr>
              <w:jc w:val="right"/>
              <w:rPr>
                <w:b/>
                <w:bCs/>
                <w:sz w:val="20"/>
                <w:szCs w:val="20"/>
              </w:rPr>
            </w:pPr>
            <w:r w:rsidRPr="00BE6461">
              <w:rPr>
                <w:b/>
                <w:bCs/>
                <w:sz w:val="20"/>
                <w:szCs w:val="20"/>
              </w:rPr>
              <w:t>256.250,00</w:t>
            </w:r>
          </w:p>
        </w:tc>
        <w:tc>
          <w:tcPr>
            <w:tcW w:w="1500" w:type="dxa"/>
            <w:tcBorders>
              <w:top w:val="nil"/>
              <w:left w:val="nil"/>
              <w:bottom w:val="nil"/>
              <w:right w:val="nil"/>
            </w:tcBorders>
            <w:shd w:val="clear" w:color="auto" w:fill="auto"/>
            <w:noWrap/>
            <w:vAlign w:val="bottom"/>
            <w:hideMark/>
          </w:tcPr>
          <w:p w14:paraId="1E60C9AE" w14:textId="77777777" w:rsidR="00BE6461" w:rsidRPr="00BE6461" w:rsidRDefault="00BE6461" w:rsidP="00BE6461">
            <w:pPr>
              <w:jc w:val="right"/>
              <w:rPr>
                <w:b/>
                <w:bCs/>
                <w:sz w:val="20"/>
                <w:szCs w:val="20"/>
              </w:rPr>
            </w:pPr>
            <w:r w:rsidRPr="00BE6461">
              <w:rPr>
                <w:b/>
                <w:bCs/>
                <w:sz w:val="20"/>
                <w:szCs w:val="20"/>
              </w:rPr>
              <w:t>277.250,00</w:t>
            </w:r>
          </w:p>
        </w:tc>
        <w:tc>
          <w:tcPr>
            <w:tcW w:w="1100" w:type="dxa"/>
            <w:tcBorders>
              <w:top w:val="nil"/>
              <w:left w:val="nil"/>
              <w:bottom w:val="nil"/>
              <w:right w:val="nil"/>
            </w:tcBorders>
            <w:shd w:val="clear" w:color="auto" w:fill="auto"/>
            <w:noWrap/>
            <w:vAlign w:val="bottom"/>
            <w:hideMark/>
          </w:tcPr>
          <w:p w14:paraId="0225DAE7" w14:textId="77777777" w:rsidR="00BE6461" w:rsidRPr="00BE6461" w:rsidRDefault="00BE6461" w:rsidP="00BE6461">
            <w:pPr>
              <w:jc w:val="right"/>
              <w:rPr>
                <w:b/>
                <w:bCs/>
                <w:sz w:val="20"/>
                <w:szCs w:val="20"/>
              </w:rPr>
            </w:pPr>
            <w:r w:rsidRPr="00BE6461">
              <w:rPr>
                <w:b/>
                <w:bCs/>
                <w:sz w:val="20"/>
                <w:szCs w:val="20"/>
              </w:rPr>
              <w:t>108,20</w:t>
            </w:r>
          </w:p>
        </w:tc>
      </w:tr>
      <w:tr w:rsidR="00BE6461" w:rsidRPr="00BE6461" w14:paraId="4F914CFE" w14:textId="77777777" w:rsidTr="00BE6461">
        <w:trPr>
          <w:trHeight w:val="300"/>
        </w:trPr>
        <w:tc>
          <w:tcPr>
            <w:tcW w:w="1703" w:type="dxa"/>
            <w:tcBorders>
              <w:top w:val="nil"/>
              <w:left w:val="nil"/>
              <w:bottom w:val="nil"/>
              <w:right w:val="nil"/>
            </w:tcBorders>
            <w:shd w:val="clear" w:color="auto" w:fill="auto"/>
            <w:noWrap/>
            <w:vAlign w:val="bottom"/>
            <w:hideMark/>
          </w:tcPr>
          <w:p w14:paraId="470861DE" w14:textId="77777777" w:rsidR="00BE6461" w:rsidRPr="00BE6461" w:rsidRDefault="00BE6461" w:rsidP="00BE6461">
            <w:pPr>
              <w:rPr>
                <w:sz w:val="20"/>
                <w:szCs w:val="20"/>
              </w:rPr>
            </w:pPr>
            <w:r w:rsidRPr="00BE6461">
              <w:rPr>
                <w:sz w:val="20"/>
                <w:szCs w:val="20"/>
              </w:rPr>
              <w:t>4263</w:t>
            </w:r>
          </w:p>
        </w:tc>
        <w:tc>
          <w:tcPr>
            <w:tcW w:w="8457" w:type="dxa"/>
            <w:tcBorders>
              <w:top w:val="nil"/>
              <w:left w:val="nil"/>
              <w:bottom w:val="nil"/>
              <w:right w:val="nil"/>
            </w:tcBorders>
            <w:shd w:val="clear" w:color="auto" w:fill="auto"/>
            <w:vAlign w:val="bottom"/>
            <w:hideMark/>
          </w:tcPr>
          <w:p w14:paraId="279F6633" w14:textId="77777777" w:rsidR="00BE6461" w:rsidRPr="00BE6461" w:rsidRDefault="00BE6461" w:rsidP="00BE6461">
            <w:pPr>
              <w:rPr>
                <w:sz w:val="20"/>
                <w:szCs w:val="20"/>
              </w:rPr>
            </w:pPr>
            <w:r w:rsidRPr="00BE6461">
              <w:rPr>
                <w:sz w:val="20"/>
                <w:szCs w:val="20"/>
              </w:rPr>
              <w:t xml:space="preserve">Umjetnička, literarna i znanstvena djela                                                            </w:t>
            </w:r>
          </w:p>
        </w:tc>
        <w:tc>
          <w:tcPr>
            <w:tcW w:w="1503" w:type="dxa"/>
            <w:tcBorders>
              <w:top w:val="nil"/>
              <w:left w:val="nil"/>
              <w:bottom w:val="nil"/>
              <w:right w:val="nil"/>
            </w:tcBorders>
            <w:shd w:val="clear" w:color="auto" w:fill="auto"/>
            <w:noWrap/>
            <w:vAlign w:val="bottom"/>
            <w:hideMark/>
          </w:tcPr>
          <w:p w14:paraId="2920701F"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C7A1493" w14:textId="77777777" w:rsidR="00BE6461" w:rsidRPr="00BE6461" w:rsidRDefault="00BE6461" w:rsidP="00BE6461">
            <w:pPr>
              <w:jc w:val="right"/>
              <w:rPr>
                <w:sz w:val="20"/>
                <w:szCs w:val="20"/>
              </w:rPr>
            </w:pPr>
            <w:r w:rsidRPr="00BE6461">
              <w:rPr>
                <w:sz w:val="20"/>
                <w:szCs w:val="20"/>
              </w:rPr>
              <w:t>277.250,00</w:t>
            </w:r>
          </w:p>
        </w:tc>
        <w:tc>
          <w:tcPr>
            <w:tcW w:w="1100" w:type="dxa"/>
            <w:tcBorders>
              <w:top w:val="nil"/>
              <w:left w:val="nil"/>
              <w:bottom w:val="nil"/>
              <w:right w:val="nil"/>
            </w:tcBorders>
            <w:shd w:val="clear" w:color="auto" w:fill="auto"/>
            <w:noWrap/>
            <w:vAlign w:val="bottom"/>
            <w:hideMark/>
          </w:tcPr>
          <w:p w14:paraId="527437E6" w14:textId="77777777" w:rsidR="00BE6461" w:rsidRPr="00BE6461" w:rsidRDefault="00BE6461" w:rsidP="00BE6461">
            <w:pPr>
              <w:jc w:val="right"/>
              <w:rPr>
                <w:sz w:val="20"/>
                <w:szCs w:val="20"/>
              </w:rPr>
            </w:pPr>
          </w:p>
        </w:tc>
      </w:tr>
      <w:tr w:rsidR="00BE6461" w:rsidRPr="00BE6461" w14:paraId="04348F80"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14438F55" w14:textId="77777777" w:rsidR="00BE6461" w:rsidRPr="00BE6461" w:rsidRDefault="00BE6461" w:rsidP="00BE6461">
            <w:pPr>
              <w:rPr>
                <w:b/>
                <w:bCs/>
                <w:sz w:val="20"/>
                <w:szCs w:val="20"/>
              </w:rPr>
            </w:pPr>
            <w:r w:rsidRPr="00BE6461">
              <w:rPr>
                <w:b/>
                <w:bCs/>
                <w:sz w:val="20"/>
                <w:szCs w:val="20"/>
              </w:rPr>
              <w:t>K300017</w:t>
            </w:r>
          </w:p>
        </w:tc>
        <w:tc>
          <w:tcPr>
            <w:tcW w:w="8457" w:type="dxa"/>
            <w:tcBorders>
              <w:top w:val="single" w:sz="4" w:space="0" w:color="auto"/>
              <w:left w:val="nil"/>
              <w:bottom w:val="single" w:sz="4" w:space="0" w:color="auto"/>
              <w:right w:val="nil"/>
            </w:tcBorders>
            <w:shd w:val="clear" w:color="auto" w:fill="auto"/>
            <w:vAlign w:val="bottom"/>
            <w:hideMark/>
          </w:tcPr>
          <w:p w14:paraId="7EDE684C" w14:textId="77777777" w:rsidR="00BE6461" w:rsidRPr="00BE6461" w:rsidRDefault="00BE6461" w:rsidP="00BE6461">
            <w:pPr>
              <w:rPr>
                <w:b/>
                <w:bCs/>
                <w:sz w:val="20"/>
                <w:szCs w:val="20"/>
              </w:rPr>
            </w:pPr>
            <w:r w:rsidRPr="00BE6461">
              <w:rPr>
                <w:b/>
                <w:bCs/>
                <w:sz w:val="20"/>
                <w:szCs w:val="20"/>
              </w:rPr>
              <w:t>Kapitalni projekt: IZRADA GIS SUSTAVA</w:t>
            </w:r>
          </w:p>
        </w:tc>
        <w:tc>
          <w:tcPr>
            <w:tcW w:w="1503" w:type="dxa"/>
            <w:tcBorders>
              <w:top w:val="single" w:sz="4" w:space="0" w:color="auto"/>
              <w:left w:val="nil"/>
              <w:bottom w:val="single" w:sz="4" w:space="0" w:color="auto"/>
              <w:right w:val="nil"/>
            </w:tcBorders>
            <w:shd w:val="clear" w:color="auto" w:fill="auto"/>
            <w:noWrap/>
            <w:vAlign w:val="bottom"/>
            <w:hideMark/>
          </w:tcPr>
          <w:p w14:paraId="35542332" w14:textId="77777777" w:rsidR="00BE6461" w:rsidRPr="00BE6461" w:rsidRDefault="00BE6461" w:rsidP="00BE6461">
            <w:pPr>
              <w:jc w:val="right"/>
              <w:rPr>
                <w:b/>
                <w:bCs/>
                <w:sz w:val="20"/>
                <w:szCs w:val="20"/>
              </w:rPr>
            </w:pPr>
            <w:r w:rsidRPr="00BE6461">
              <w:rPr>
                <w:b/>
                <w:bCs/>
                <w:sz w:val="20"/>
                <w:szCs w:val="20"/>
              </w:rPr>
              <w:t>154.637,00</w:t>
            </w:r>
          </w:p>
        </w:tc>
        <w:tc>
          <w:tcPr>
            <w:tcW w:w="1500" w:type="dxa"/>
            <w:tcBorders>
              <w:top w:val="single" w:sz="4" w:space="0" w:color="auto"/>
              <w:left w:val="nil"/>
              <w:bottom w:val="single" w:sz="4" w:space="0" w:color="auto"/>
              <w:right w:val="nil"/>
            </w:tcBorders>
            <w:shd w:val="clear" w:color="auto" w:fill="auto"/>
            <w:noWrap/>
            <w:vAlign w:val="bottom"/>
            <w:hideMark/>
          </w:tcPr>
          <w:p w14:paraId="77D70B1B" w14:textId="77777777" w:rsidR="00BE6461" w:rsidRPr="00BE6461" w:rsidRDefault="00BE6461" w:rsidP="00BE6461">
            <w:pPr>
              <w:jc w:val="right"/>
              <w:rPr>
                <w:b/>
                <w:bCs/>
                <w:sz w:val="20"/>
                <w:szCs w:val="20"/>
              </w:rPr>
            </w:pPr>
            <w:r w:rsidRPr="00BE6461">
              <w:rPr>
                <w:b/>
                <w:bCs/>
                <w:sz w:val="20"/>
                <w:szCs w:val="20"/>
              </w:rPr>
              <w:t>153.212,50</w:t>
            </w:r>
          </w:p>
        </w:tc>
        <w:tc>
          <w:tcPr>
            <w:tcW w:w="1100" w:type="dxa"/>
            <w:tcBorders>
              <w:top w:val="single" w:sz="4" w:space="0" w:color="auto"/>
              <w:left w:val="nil"/>
              <w:bottom w:val="single" w:sz="4" w:space="0" w:color="auto"/>
              <w:right w:val="nil"/>
            </w:tcBorders>
            <w:shd w:val="clear" w:color="auto" w:fill="auto"/>
            <w:noWrap/>
            <w:vAlign w:val="bottom"/>
            <w:hideMark/>
          </w:tcPr>
          <w:p w14:paraId="0FD1F1C3" w14:textId="77777777" w:rsidR="00BE6461" w:rsidRPr="00BE6461" w:rsidRDefault="00BE6461" w:rsidP="00BE6461">
            <w:pPr>
              <w:jc w:val="right"/>
              <w:rPr>
                <w:b/>
                <w:bCs/>
                <w:sz w:val="20"/>
                <w:szCs w:val="20"/>
              </w:rPr>
            </w:pPr>
            <w:r w:rsidRPr="00BE6461">
              <w:rPr>
                <w:b/>
                <w:bCs/>
                <w:sz w:val="20"/>
                <w:szCs w:val="20"/>
              </w:rPr>
              <w:t>99,08</w:t>
            </w:r>
          </w:p>
        </w:tc>
      </w:tr>
      <w:tr w:rsidR="00BE6461" w:rsidRPr="00BE6461" w14:paraId="759C670F"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6F71C3D1" w14:textId="77777777" w:rsidR="00BE6461" w:rsidRPr="00BE6461" w:rsidRDefault="00BE6461" w:rsidP="00BE6461">
            <w:pPr>
              <w:rPr>
                <w:b/>
                <w:bCs/>
                <w:color w:val="333333"/>
                <w:sz w:val="20"/>
                <w:szCs w:val="20"/>
              </w:rPr>
            </w:pPr>
            <w:r w:rsidRPr="00BE6461">
              <w:rPr>
                <w:b/>
                <w:bCs/>
                <w:color w:val="333333"/>
                <w:sz w:val="20"/>
                <w:szCs w:val="20"/>
              </w:rPr>
              <w:t>Izvor 5. POMOĆI</w:t>
            </w:r>
          </w:p>
        </w:tc>
        <w:tc>
          <w:tcPr>
            <w:tcW w:w="1503" w:type="dxa"/>
            <w:tcBorders>
              <w:top w:val="nil"/>
              <w:left w:val="nil"/>
              <w:bottom w:val="nil"/>
              <w:right w:val="nil"/>
            </w:tcBorders>
            <w:shd w:val="clear" w:color="auto" w:fill="auto"/>
            <w:noWrap/>
            <w:vAlign w:val="bottom"/>
            <w:hideMark/>
          </w:tcPr>
          <w:p w14:paraId="7A720A1B" w14:textId="77777777" w:rsidR="00BE6461" w:rsidRPr="00BE6461" w:rsidRDefault="00BE6461" w:rsidP="00BE6461">
            <w:pPr>
              <w:jc w:val="right"/>
              <w:rPr>
                <w:b/>
                <w:bCs/>
                <w:color w:val="333333"/>
                <w:sz w:val="20"/>
                <w:szCs w:val="20"/>
              </w:rPr>
            </w:pPr>
            <w:r w:rsidRPr="00BE6461">
              <w:rPr>
                <w:b/>
                <w:bCs/>
                <w:color w:val="333333"/>
                <w:sz w:val="20"/>
                <w:szCs w:val="20"/>
              </w:rPr>
              <w:t>35.570,00</w:t>
            </w:r>
          </w:p>
        </w:tc>
        <w:tc>
          <w:tcPr>
            <w:tcW w:w="1500" w:type="dxa"/>
            <w:tcBorders>
              <w:top w:val="nil"/>
              <w:left w:val="nil"/>
              <w:bottom w:val="nil"/>
              <w:right w:val="nil"/>
            </w:tcBorders>
            <w:shd w:val="clear" w:color="auto" w:fill="auto"/>
            <w:noWrap/>
            <w:vAlign w:val="bottom"/>
            <w:hideMark/>
          </w:tcPr>
          <w:p w14:paraId="03FA9E48" w14:textId="77777777" w:rsidR="00BE6461" w:rsidRPr="00BE6461" w:rsidRDefault="00BE6461" w:rsidP="00BE6461">
            <w:pPr>
              <w:jc w:val="right"/>
              <w:rPr>
                <w:b/>
                <w:bCs/>
                <w:color w:val="333333"/>
                <w:sz w:val="20"/>
                <w:szCs w:val="20"/>
              </w:rPr>
            </w:pPr>
            <w:r w:rsidRPr="00BE6461">
              <w:rPr>
                <w:b/>
                <w:bCs/>
                <w:color w:val="333333"/>
                <w:sz w:val="20"/>
                <w:szCs w:val="20"/>
              </w:rPr>
              <w:t>35.570,00</w:t>
            </w:r>
          </w:p>
        </w:tc>
        <w:tc>
          <w:tcPr>
            <w:tcW w:w="1100" w:type="dxa"/>
            <w:tcBorders>
              <w:top w:val="nil"/>
              <w:left w:val="nil"/>
              <w:bottom w:val="nil"/>
              <w:right w:val="nil"/>
            </w:tcBorders>
            <w:shd w:val="clear" w:color="auto" w:fill="auto"/>
            <w:noWrap/>
            <w:vAlign w:val="bottom"/>
            <w:hideMark/>
          </w:tcPr>
          <w:p w14:paraId="4096D5FF"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71389728"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C2A98F9" w14:textId="77777777" w:rsidR="00BE6461" w:rsidRPr="00BE6461" w:rsidRDefault="00BE6461" w:rsidP="00BE6461">
            <w:pPr>
              <w:rPr>
                <w:b/>
                <w:bCs/>
                <w:color w:val="333333"/>
                <w:sz w:val="20"/>
                <w:szCs w:val="20"/>
              </w:rPr>
            </w:pPr>
            <w:r w:rsidRPr="00BE6461">
              <w:rPr>
                <w:b/>
                <w:bCs/>
                <w:color w:val="333333"/>
                <w:sz w:val="20"/>
                <w:szCs w:val="20"/>
              </w:rPr>
              <w:t>Izvor 5.1. POMOĆI</w:t>
            </w:r>
          </w:p>
        </w:tc>
        <w:tc>
          <w:tcPr>
            <w:tcW w:w="1503" w:type="dxa"/>
            <w:tcBorders>
              <w:top w:val="nil"/>
              <w:left w:val="nil"/>
              <w:bottom w:val="nil"/>
              <w:right w:val="nil"/>
            </w:tcBorders>
            <w:shd w:val="clear" w:color="auto" w:fill="auto"/>
            <w:noWrap/>
            <w:vAlign w:val="bottom"/>
            <w:hideMark/>
          </w:tcPr>
          <w:p w14:paraId="593B38EF" w14:textId="77777777" w:rsidR="00BE6461" w:rsidRPr="00BE6461" w:rsidRDefault="00BE6461" w:rsidP="00BE6461">
            <w:pPr>
              <w:jc w:val="right"/>
              <w:rPr>
                <w:b/>
                <w:bCs/>
                <w:color w:val="333333"/>
                <w:sz w:val="20"/>
                <w:szCs w:val="20"/>
              </w:rPr>
            </w:pPr>
            <w:r w:rsidRPr="00BE6461">
              <w:rPr>
                <w:b/>
                <w:bCs/>
                <w:color w:val="333333"/>
                <w:sz w:val="20"/>
                <w:szCs w:val="20"/>
              </w:rPr>
              <w:t>35.570,00</w:t>
            </w:r>
          </w:p>
        </w:tc>
        <w:tc>
          <w:tcPr>
            <w:tcW w:w="1500" w:type="dxa"/>
            <w:tcBorders>
              <w:top w:val="nil"/>
              <w:left w:val="nil"/>
              <w:bottom w:val="nil"/>
              <w:right w:val="nil"/>
            </w:tcBorders>
            <w:shd w:val="clear" w:color="auto" w:fill="auto"/>
            <w:noWrap/>
            <w:vAlign w:val="bottom"/>
            <w:hideMark/>
          </w:tcPr>
          <w:p w14:paraId="500416AB" w14:textId="77777777" w:rsidR="00BE6461" w:rsidRPr="00BE6461" w:rsidRDefault="00BE6461" w:rsidP="00BE6461">
            <w:pPr>
              <w:jc w:val="right"/>
              <w:rPr>
                <w:b/>
                <w:bCs/>
                <w:color w:val="333333"/>
                <w:sz w:val="20"/>
                <w:szCs w:val="20"/>
              </w:rPr>
            </w:pPr>
            <w:r w:rsidRPr="00BE6461">
              <w:rPr>
                <w:b/>
                <w:bCs/>
                <w:color w:val="333333"/>
                <w:sz w:val="20"/>
                <w:szCs w:val="20"/>
              </w:rPr>
              <w:t>35.570,00</w:t>
            </w:r>
          </w:p>
        </w:tc>
        <w:tc>
          <w:tcPr>
            <w:tcW w:w="1100" w:type="dxa"/>
            <w:tcBorders>
              <w:top w:val="nil"/>
              <w:left w:val="nil"/>
              <w:bottom w:val="nil"/>
              <w:right w:val="nil"/>
            </w:tcBorders>
            <w:shd w:val="clear" w:color="auto" w:fill="auto"/>
            <w:noWrap/>
            <w:vAlign w:val="bottom"/>
            <w:hideMark/>
          </w:tcPr>
          <w:p w14:paraId="47E682E6"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156E64BB" w14:textId="77777777" w:rsidTr="00BE6461">
        <w:trPr>
          <w:trHeight w:val="300"/>
        </w:trPr>
        <w:tc>
          <w:tcPr>
            <w:tcW w:w="1703" w:type="dxa"/>
            <w:tcBorders>
              <w:top w:val="nil"/>
              <w:left w:val="nil"/>
              <w:bottom w:val="nil"/>
              <w:right w:val="nil"/>
            </w:tcBorders>
            <w:shd w:val="clear" w:color="auto" w:fill="auto"/>
            <w:noWrap/>
            <w:vAlign w:val="bottom"/>
            <w:hideMark/>
          </w:tcPr>
          <w:p w14:paraId="230BBF10" w14:textId="77777777" w:rsidR="00BE6461" w:rsidRPr="00BE6461" w:rsidRDefault="00BE6461" w:rsidP="00BE6461">
            <w:pPr>
              <w:rPr>
                <w:b/>
                <w:bCs/>
                <w:sz w:val="20"/>
                <w:szCs w:val="20"/>
              </w:rPr>
            </w:pPr>
            <w:r w:rsidRPr="00BE6461">
              <w:rPr>
                <w:b/>
                <w:bCs/>
                <w:sz w:val="20"/>
                <w:szCs w:val="20"/>
              </w:rPr>
              <w:t>426</w:t>
            </w:r>
          </w:p>
        </w:tc>
        <w:tc>
          <w:tcPr>
            <w:tcW w:w="8457" w:type="dxa"/>
            <w:tcBorders>
              <w:top w:val="nil"/>
              <w:left w:val="nil"/>
              <w:bottom w:val="nil"/>
              <w:right w:val="nil"/>
            </w:tcBorders>
            <w:shd w:val="clear" w:color="auto" w:fill="auto"/>
            <w:vAlign w:val="bottom"/>
            <w:hideMark/>
          </w:tcPr>
          <w:p w14:paraId="14AD8116" w14:textId="77777777" w:rsidR="00BE6461" w:rsidRPr="00BE6461" w:rsidRDefault="00BE6461" w:rsidP="00BE6461">
            <w:pPr>
              <w:rPr>
                <w:b/>
                <w:bCs/>
                <w:sz w:val="20"/>
                <w:szCs w:val="20"/>
              </w:rPr>
            </w:pPr>
            <w:r w:rsidRPr="00BE6461">
              <w:rPr>
                <w:b/>
                <w:bCs/>
                <w:sz w:val="20"/>
                <w:szCs w:val="20"/>
              </w:rPr>
              <w:t xml:space="preserve">Nematerijalna proizvedena imovina                                                                   </w:t>
            </w:r>
          </w:p>
        </w:tc>
        <w:tc>
          <w:tcPr>
            <w:tcW w:w="1503" w:type="dxa"/>
            <w:tcBorders>
              <w:top w:val="nil"/>
              <w:left w:val="nil"/>
              <w:bottom w:val="nil"/>
              <w:right w:val="nil"/>
            </w:tcBorders>
            <w:shd w:val="clear" w:color="auto" w:fill="auto"/>
            <w:noWrap/>
            <w:vAlign w:val="bottom"/>
            <w:hideMark/>
          </w:tcPr>
          <w:p w14:paraId="5F3DEC47" w14:textId="77777777" w:rsidR="00BE6461" w:rsidRPr="00BE6461" w:rsidRDefault="00BE6461" w:rsidP="00BE6461">
            <w:pPr>
              <w:jc w:val="right"/>
              <w:rPr>
                <w:b/>
                <w:bCs/>
                <w:sz w:val="20"/>
                <w:szCs w:val="20"/>
              </w:rPr>
            </w:pPr>
            <w:r w:rsidRPr="00BE6461">
              <w:rPr>
                <w:b/>
                <w:bCs/>
                <w:sz w:val="20"/>
                <w:szCs w:val="20"/>
              </w:rPr>
              <w:t>35.570,00</w:t>
            </w:r>
          </w:p>
        </w:tc>
        <w:tc>
          <w:tcPr>
            <w:tcW w:w="1500" w:type="dxa"/>
            <w:tcBorders>
              <w:top w:val="nil"/>
              <w:left w:val="nil"/>
              <w:bottom w:val="nil"/>
              <w:right w:val="nil"/>
            </w:tcBorders>
            <w:shd w:val="clear" w:color="auto" w:fill="auto"/>
            <w:noWrap/>
            <w:vAlign w:val="bottom"/>
            <w:hideMark/>
          </w:tcPr>
          <w:p w14:paraId="659E3DFA" w14:textId="77777777" w:rsidR="00BE6461" w:rsidRPr="00BE6461" w:rsidRDefault="00BE6461" w:rsidP="00BE6461">
            <w:pPr>
              <w:jc w:val="right"/>
              <w:rPr>
                <w:b/>
                <w:bCs/>
                <w:sz w:val="20"/>
                <w:szCs w:val="20"/>
              </w:rPr>
            </w:pPr>
            <w:r w:rsidRPr="00BE6461">
              <w:rPr>
                <w:b/>
                <w:bCs/>
                <w:sz w:val="20"/>
                <w:szCs w:val="20"/>
              </w:rPr>
              <w:t>35.570,00</w:t>
            </w:r>
          </w:p>
        </w:tc>
        <w:tc>
          <w:tcPr>
            <w:tcW w:w="1100" w:type="dxa"/>
            <w:tcBorders>
              <w:top w:val="nil"/>
              <w:left w:val="nil"/>
              <w:bottom w:val="nil"/>
              <w:right w:val="nil"/>
            </w:tcBorders>
            <w:shd w:val="clear" w:color="auto" w:fill="auto"/>
            <w:noWrap/>
            <w:vAlign w:val="bottom"/>
            <w:hideMark/>
          </w:tcPr>
          <w:p w14:paraId="02BC8607"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64B473C0" w14:textId="77777777" w:rsidTr="00BE6461">
        <w:trPr>
          <w:trHeight w:val="300"/>
        </w:trPr>
        <w:tc>
          <w:tcPr>
            <w:tcW w:w="1703" w:type="dxa"/>
            <w:tcBorders>
              <w:top w:val="nil"/>
              <w:left w:val="nil"/>
              <w:bottom w:val="nil"/>
              <w:right w:val="nil"/>
            </w:tcBorders>
            <w:shd w:val="clear" w:color="auto" w:fill="auto"/>
            <w:noWrap/>
            <w:vAlign w:val="bottom"/>
            <w:hideMark/>
          </w:tcPr>
          <w:p w14:paraId="471B1787" w14:textId="77777777" w:rsidR="00BE6461" w:rsidRPr="00BE6461" w:rsidRDefault="00BE6461" w:rsidP="00BE6461">
            <w:pPr>
              <w:rPr>
                <w:sz w:val="20"/>
                <w:szCs w:val="20"/>
              </w:rPr>
            </w:pPr>
            <w:r w:rsidRPr="00BE6461">
              <w:rPr>
                <w:sz w:val="20"/>
                <w:szCs w:val="20"/>
              </w:rPr>
              <w:t>4262</w:t>
            </w:r>
          </w:p>
        </w:tc>
        <w:tc>
          <w:tcPr>
            <w:tcW w:w="8457" w:type="dxa"/>
            <w:tcBorders>
              <w:top w:val="nil"/>
              <w:left w:val="nil"/>
              <w:bottom w:val="nil"/>
              <w:right w:val="nil"/>
            </w:tcBorders>
            <w:shd w:val="clear" w:color="auto" w:fill="auto"/>
            <w:vAlign w:val="bottom"/>
            <w:hideMark/>
          </w:tcPr>
          <w:p w14:paraId="75626C5C" w14:textId="77777777" w:rsidR="00BE6461" w:rsidRPr="00BE6461" w:rsidRDefault="00BE6461" w:rsidP="00BE6461">
            <w:pPr>
              <w:rPr>
                <w:sz w:val="20"/>
                <w:szCs w:val="20"/>
              </w:rPr>
            </w:pPr>
            <w:r w:rsidRPr="00BE6461">
              <w:rPr>
                <w:sz w:val="20"/>
                <w:szCs w:val="20"/>
              </w:rPr>
              <w:t xml:space="preserve">Ulaganja u računalne programe                                                                       </w:t>
            </w:r>
          </w:p>
        </w:tc>
        <w:tc>
          <w:tcPr>
            <w:tcW w:w="1503" w:type="dxa"/>
            <w:tcBorders>
              <w:top w:val="nil"/>
              <w:left w:val="nil"/>
              <w:bottom w:val="nil"/>
              <w:right w:val="nil"/>
            </w:tcBorders>
            <w:shd w:val="clear" w:color="auto" w:fill="auto"/>
            <w:noWrap/>
            <w:vAlign w:val="bottom"/>
            <w:hideMark/>
          </w:tcPr>
          <w:p w14:paraId="5BE3E8D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168CE88" w14:textId="77777777" w:rsidR="00BE6461" w:rsidRPr="00BE6461" w:rsidRDefault="00BE6461" w:rsidP="00BE6461">
            <w:pPr>
              <w:jc w:val="right"/>
              <w:rPr>
                <w:sz w:val="20"/>
                <w:szCs w:val="20"/>
              </w:rPr>
            </w:pPr>
            <w:r w:rsidRPr="00BE6461">
              <w:rPr>
                <w:sz w:val="20"/>
                <w:szCs w:val="20"/>
              </w:rPr>
              <w:t>35.570,00</w:t>
            </w:r>
          </w:p>
        </w:tc>
        <w:tc>
          <w:tcPr>
            <w:tcW w:w="1100" w:type="dxa"/>
            <w:tcBorders>
              <w:top w:val="nil"/>
              <w:left w:val="nil"/>
              <w:bottom w:val="nil"/>
              <w:right w:val="nil"/>
            </w:tcBorders>
            <w:shd w:val="clear" w:color="auto" w:fill="auto"/>
            <w:noWrap/>
            <w:vAlign w:val="bottom"/>
            <w:hideMark/>
          </w:tcPr>
          <w:p w14:paraId="3CC8215B" w14:textId="77777777" w:rsidR="00BE6461" w:rsidRPr="00BE6461" w:rsidRDefault="00BE6461" w:rsidP="00BE6461">
            <w:pPr>
              <w:jc w:val="right"/>
              <w:rPr>
                <w:sz w:val="20"/>
                <w:szCs w:val="20"/>
              </w:rPr>
            </w:pPr>
          </w:p>
        </w:tc>
      </w:tr>
      <w:tr w:rsidR="00BE6461" w:rsidRPr="00BE6461" w14:paraId="1FCEB2A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9C988D4" w14:textId="77777777" w:rsidR="00BE6461" w:rsidRPr="00BE6461" w:rsidRDefault="00BE6461" w:rsidP="00BE6461">
            <w:pPr>
              <w:rPr>
                <w:b/>
                <w:bCs/>
                <w:color w:val="333333"/>
                <w:sz w:val="20"/>
                <w:szCs w:val="20"/>
              </w:rPr>
            </w:pPr>
            <w:r w:rsidRPr="00BE6461">
              <w:rPr>
                <w:b/>
                <w:bCs/>
                <w:color w:val="333333"/>
                <w:sz w:val="20"/>
                <w:szCs w:val="20"/>
              </w:rPr>
              <w:t>Izvor 7. PRIHODI OD NEFIN.IMOVINE I NADOKNADE ŠTETA OD OSIG.</w:t>
            </w:r>
          </w:p>
        </w:tc>
        <w:tc>
          <w:tcPr>
            <w:tcW w:w="1503" w:type="dxa"/>
            <w:tcBorders>
              <w:top w:val="nil"/>
              <w:left w:val="nil"/>
              <w:bottom w:val="nil"/>
              <w:right w:val="nil"/>
            </w:tcBorders>
            <w:shd w:val="clear" w:color="auto" w:fill="auto"/>
            <w:noWrap/>
            <w:vAlign w:val="bottom"/>
            <w:hideMark/>
          </w:tcPr>
          <w:p w14:paraId="4393256D" w14:textId="77777777" w:rsidR="00BE6461" w:rsidRPr="00BE6461" w:rsidRDefault="00BE6461" w:rsidP="00BE6461">
            <w:pPr>
              <w:jc w:val="right"/>
              <w:rPr>
                <w:b/>
                <w:bCs/>
                <w:color w:val="333333"/>
                <w:sz w:val="20"/>
                <w:szCs w:val="20"/>
              </w:rPr>
            </w:pPr>
            <w:r w:rsidRPr="00BE6461">
              <w:rPr>
                <w:b/>
                <w:bCs/>
                <w:color w:val="333333"/>
                <w:sz w:val="20"/>
                <w:szCs w:val="20"/>
              </w:rPr>
              <w:t>119.067,00</w:t>
            </w:r>
          </w:p>
        </w:tc>
        <w:tc>
          <w:tcPr>
            <w:tcW w:w="1500" w:type="dxa"/>
            <w:tcBorders>
              <w:top w:val="nil"/>
              <w:left w:val="nil"/>
              <w:bottom w:val="nil"/>
              <w:right w:val="nil"/>
            </w:tcBorders>
            <w:shd w:val="clear" w:color="auto" w:fill="auto"/>
            <w:noWrap/>
            <w:vAlign w:val="bottom"/>
            <w:hideMark/>
          </w:tcPr>
          <w:p w14:paraId="7F0F9C89" w14:textId="77777777" w:rsidR="00BE6461" w:rsidRPr="00BE6461" w:rsidRDefault="00BE6461" w:rsidP="00BE6461">
            <w:pPr>
              <w:jc w:val="right"/>
              <w:rPr>
                <w:b/>
                <w:bCs/>
                <w:color w:val="333333"/>
                <w:sz w:val="20"/>
                <w:szCs w:val="20"/>
              </w:rPr>
            </w:pPr>
            <w:r w:rsidRPr="00BE6461">
              <w:rPr>
                <w:b/>
                <w:bCs/>
                <w:color w:val="333333"/>
                <w:sz w:val="20"/>
                <w:szCs w:val="20"/>
              </w:rPr>
              <w:t>117.642,50</w:t>
            </w:r>
          </w:p>
        </w:tc>
        <w:tc>
          <w:tcPr>
            <w:tcW w:w="1100" w:type="dxa"/>
            <w:tcBorders>
              <w:top w:val="nil"/>
              <w:left w:val="nil"/>
              <w:bottom w:val="nil"/>
              <w:right w:val="nil"/>
            </w:tcBorders>
            <w:shd w:val="clear" w:color="auto" w:fill="auto"/>
            <w:noWrap/>
            <w:vAlign w:val="bottom"/>
            <w:hideMark/>
          </w:tcPr>
          <w:p w14:paraId="14F54116" w14:textId="77777777" w:rsidR="00BE6461" w:rsidRPr="00BE6461" w:rsidRDefault="00BE6461" w:rsidP="00BE6461">
            <w:pPr>
              <w:jc w:val="right"/>
              <w:rPr>
                <w:b/>
                <w:bCs/>
                <w:color w:val="333333"/>
                <w:sz w:val="20"/>
                <w:szCs w:val="20"/>
              </w:rPr>
            </w:pPr>
            <w:r w:rsidRPr="00BE6461">
              <w:rPr>
                <w:b/>
                <w:bCs/>
                <w:color w:val="333333"/>
                <w:sz w:val="20"/>
                <w:szCs w:val="20"/>
              </w:rPr>
              <w:t>98,80</w:t>
            </w:r>
          </w:p>
        </w:tc>
      </w:tr>
      <w:tr w:rsidR="00BE6461" w:rsidRPr="00BE6461" w14:paraId="12584C68"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57A852FC" w14:textId="77777777" w:rsidR="00BE6461" w:rsidRPr="00BE6461" w:rsidRDefault="00BE6461" w:rsidP="00BE6461">
            <w:pPr>
              <w:rPr>
                <w:b/>
                <w:bCs/>
                <w:color w:val="333333"/>
                <w:sz w:val="20"/>
                <w:szCs w:val="20"/>
              </w:rPr>
            </w:pPr>
            <w:r w:rsidRPr="00BE6461">
              <w:rPr>
                <w:b/>
                <w:bCs/>
                <w:color w:val="333333"/>
                <w:sz w:val="20"/>
                <w:szCs w:val="20"/>
              </w:rPr>
              <w:t>Izvor 7.1. PRIHODI OD NEFIN.IMOVINE I NADOKNADE ŠTETA OD OSIG.</w:t>
            </w:r>
          </w:p>
        </w:tc>
        <w:tc>
          <w:tcPr>
            <w:tcW w:w="1503" w:type="dxa"/>
            <w:tcBorders>
              <w:top w:val="nil"/>
              <w:left w:val="nil"/>
              <w:bottom w:val="nil"/>
              <w:right w:val="nil"/>
            </w:tcBorders>
            <w:shd w:val="clear" w:color="auto" w:fill="auto"/>
            <w:noWrap/>
            <w:vAlign w:val="bottom"/>
            <w:hideMark/>
          </w:tcPr>
          <w:p w14:paraId="6F846EBA" w14:textId="77777777" w:rsidR="00BE6461" w:rsidRPr="00BE6461" w:rsidRDefault="00BE6461" w:rsidP="00BE6461">
            <w:pPr>
              <w:jc w:val="right"/>
              <w:rPr>
                <w:b/>
                <w:bCs/>
                <w:color w:val="333333"/>
                <w:sz w:val="20"/>
                <w:szCs w:val="20"/>
              </w:rPr>
            </w:pPr>
            <w:r w:rsidRPr="00BE6461">
              <w:rPr>
                <w:b/>
                <w:bCs/>
                <w:color w:val="333333"/>
                <w:sz w:val="20"/>
                <w:szCs w:val="20"/>
              </w:rPr>
              <w:t>119.067,00</w:t>
            </w:r>
          </w:p>
        </w:tc>
        <w:tc>
          <w:tcPr>
            <w:tcW w:w="1500" w:type="dxa"/>
            <w:tcBorders>
              <w:top w:val="nil"/>
              <w:left w:val="nil"/>
              <w:bottom w:val="nil"/>
              <w:right w:val="nil"/>
            </w:tcBorders>
            <w:shd w:val="clear" w:color="auto" w:fill="auto"/>
            <w:noWrap/>
            <w:vAlign w:val="bottom"/>
            <w:hideMark/>
          </w:tcPr>
          <w:p w14:paraId="4698C5F6" w14:textId="77777777" w:rsidR="00BE6461" w:rsidRPr="00BE6461" w:rsidRDefault="00BE6461" w:rsidP="00BE6461">
            <w:pPr>
              <w:jc w:val="right"/>
              <w:rPr>
                <w:b/>
                <w:bCs/>
                <w:color w:val="333333"/>
                <w:sz w:val="20"/>
                <w:szCs w:val="20"/>
              </w:rPr>
            </w:pPr>
            <w:r w:rsidRPr="00BE6461">
              <w:rPr>
                <w:b/>
                <w:bCs/>
                <w:color w:val="333333"/>
                <w:sz w:val="20"/>
                <w:szCs w:val="20"/>
              </w:rPr>
              <w:t>117.642,50</w:t>
            </w:r>
          </w:p>
        </w:tc>
        <w:tc>
          <w:tcPr>
            <w:tcW w:w="1100" w:type="dxa"/>
            <w:tcBorders>
              <w:top w:val="nil"/>
              <w:left w:val="nil"/>
              <w:bottom w:val="nil"/>
              <w:right w:val="nil"/>
            </w:tcBorders>
            <w:shd w:val="clear" w:color="auto" w:fill="auto"/>
            <w:noWrap/>
            <w:vAlign w:val="bottom"/>
            <w:hideMark/>
          </w:tcPr>
          <w:p w14:paraId="6DEF59E3" w14:textId="77777777" w:rsidR="00BE6461" w:rsidRPr="00BE6461" w:rsidRDefault="00BE6461" w:rsidP="00BE6461">
            <w:pPr>
              <w:jc w:val="right"/>
              <w:rPr>
                <w:b/>
                <w:bCs/>
                <w:color w:val="333333"/>
                <w:sz w:val="20"/>
                <w:szCs w:val="20"/>
              </w:rPr>
            </w:pPr>
            <w:r w:rsidRPr="00BE6461">
              <w:rPr>
                <w:b/>
                <w:bCs/>
                <w:color w:val="333333"/>
                <w:sz w:val="20"/>
                <w:szCs w:val="20"/>
              </w:rPr>
              <w:t>98,80</w:t>
            </w:r>
          </w:p>
        </w:tc>
      </w:tr>
      <w:tr w:rsidR="00BE6461" w:rsidRPr="00BE6461" w14:paraId="7EDFCE4E" w14:textId="77777777" w:rsidTr="00BE6461">
        <w:trPr>
          <w:trHeight w:val="300"/>
        </w:trPr>
        <w:tc>
          <w:tcPr>
            <w:tcW w:w="1703" w:type="dxa"/>
            <w:tcBorders>
              <w:top w:val="nil"/>
              <w:left w:val="nil"/>
              <w:bottom w:val="nil"/>
              <w:right w:val="nil"/>
            </w:tcBorders>
            <w:shd w:val="clear" w:color="auto" w:fill="auto"/>
            <w:noWrap/>
            <w:vAlign w:val="bottom"/>
            <w:hideMark/>
          </w:tcPr>
          <w:p w14:paraId="6077FDD5" w14:textId="77777777" w:rsidR="00BE6461" w:rsidRPr="00BE6461" w:rsidRDefault="00BE6461" w:rsidP="00BE6461">
            <w:pPr>
              <w:rPr>
                <w:b/>
                <w:bCs/>
                <w:sz w:val="20"/>
                <w:szCs w:val="20"/>
              </w:rPr>
            </w:pPr>
            <w:r w:rsidRPr="00BE6461">
              <w:rPr>
                <w:b/>
                <w:bCs/>
                <w:sz w:val="20"/>
                <w:szCs w:val="20"/>
              </w:rPr>
              <w:t>426</w:t>
            </w:r>
          </w:p>
        </w:tc>
        <w:tc>
          <w:tcPr>
            <w:tcW w:w="8457" w:type="dxa"/>
            <w:tcBorders>
              <w:top w:val="nil"/>
              <w:left w:val="nil"/>
              <w:bottom w:val="nil"/>
              <w:right w:val="nil"/>
            </w:tcBorders>
            <w:shd w:val="clear" w:color="auto" w:fill="auto"/>
            <w:vAlign w:val="bottom"/>
            <w:hideMark/>
          </w:tcPr>
          <w:p w14:paraId="7651BC3A" w14:textId="77777777" w:rsidR="00BE6461" w:rsidRPr="00BE6461" w:rsidRDefault="00BE6461" w:rsidP="00BE6461">
            <w:pPr>
              <w:rPr>
                <w:b/>
                <w:bCs/>
                <w:sz w:val="20"/>
                <w:szCs w:val="20"/>
              </w:rPr>
            </w:pPr>
            <w:r w:rsidRPr="00BE6461">
              <w:rPr>
                <w:b/>
                <w:bCs/>
                <w:sz w:val="20"/>
                <w:szCs w:val="20"/>
              </w:rPr>
              <w:t xml:space="preserve">Nematerijalna proizvedena imovina                                                                   </w:t>
            </w:r>
          </w:p>
        </w:tc>
        <w:tc>
          <w:tcPr>
            <w:tcW w:w="1503" w:type="dxa"/>
            <w:tcBorders>
              <w:top w:val="nil"/>
              <w:left w:val="nil"/>
              <w:bottom w:val="nil"/>
              <w:right w:val="nil"/>
            </w:tcBorders>
            <w:shd w:val="clear" w:color="auto" w:fill="auto"/>
            <w:noWrap/>
            <w:vAlign w:val="bottom"/>
            <w:hideMark/>
          </w:tcPr>
          <w:p w14:paraId="38AEF3D5" w14:textId="77777777" w:rsidR="00BE6461" w:rsidRPr="00BE6461" w:rsidRDefault="00BE6461" w:rsidP="00BE6461">
            <w:pPr>
              <w:jc w:val="right"/>
              <w:rPr>
                <w:b/>
                <w:bCs/>
                <w:sz w:val="20"/>
                <w:szCs w:val="20"/>
              </w:rPr>
            </w:pPr>
            <w:r w:rsidRPr="00BE6461">
              <w:rPr>
                <w:b/>
                <w:bCs/>
                <w:sz w:val="20"/>
                <w:szCs w:val="20"/>
              </w:rPr>
              <w:t>119.067,00</w:t>
            </w:r>
          </w:p>
        </w:tc>
        <w:tc>
          <w:tcPr>
            <w:tcW w:w="1500" w:type="dxa"/>
            <w:tcBorders>
              <w:top w:val="nil"/>
              <w:left w:val="nil"/>
              <w:bottom w:val="nil"/>
              <w:right w:val="nil"/>
            </w:tcBorders>
            <w:shd w:val="clear" w:color="auto" w:fill="auto"/>
            <w:noWrap/>
            <w:vAlign w:val="bottom"/>
            <w:hideMark/>
          </w:tcPr>
          <w:p w14:paraId="2ACD0879" w14:textId="77777777" w:rsidR="00BE6461" w:rsidRPr="00BE6461" w:rsidRDefault="00BE6461" w:rsidP="00BE6461">
            <w:pPr>
              <w:jc w:val="right"/>
              <w:rPr>
                <w:b/>
                <w:bCs/>
                <w:sz w:val="20"/>
                <w:szCs w:val="20"/>
              </w:rPr>
            </w:pPr>
            <w:r w:rsidRPr="00BE6461">
              <w:rPr>
                <w:b/>
                <w:bCs/>
                <w:sz w:val="20"/>
                <w:szCs w:val="20"/>
              </w:rPr>
              <w:t>117.642,50</w:t>
            </w:r>
          </w:p>
        </w:tc>
        <w:tc>
          <w:tcPr>
            <w:tcW w:w="1100" w:type="dxa"/>
            <w:tcBorders>
              <w:top w:val="nil"/>
              <w:left w:val="nil"/>
              <w:bottom w:val="nil"/>
              <w:right w:val="nil"/>
            </w:tcBorders>
            <w:shd w:val="clear" w:color="auto" w:fill="auto"/>
            <w:noWrap/>
            <w:vAlign w:val="bottom"/>
            <w:hideMark/>
          </w:tcPr>
          <w:p w14:paraId="16CAD87C" w14:textId="77777777" w:rsidR="00BE6461" w:rsidRPr="00BE6461" w:rsidRDefault="00BE6461" w:rsidP="00BE6461">
            <w:pPr>
              <w:jc w:val="right"/>
              <w:rPr>
                <w:b/>
                <w:bCs/>
                <w:sz w:val="20"/>
                <w:szCs w:val="20"/>
              </w:rPr>
            </w:pPr>
            <w:r w:rsidRPr="00BE6461">
              <w:rPr>
                <w:b/>
                <w:bCs/>
                <w:sz w:val="20"/>
                <w:szCs w:val="20"/>
              </w:rPr>
              <w:t>98,80</w:t>
            </w:r>
          </w:p>
        </w:tc>
      </w:tr>
      <w:tr w:rsidR="00BE6461" w:rsidRPr="00BE6461" w14:paraId="3135906F" w14:textId="77777777" w:rsidTr="00BE6461">
        <w:trPr>
          <w:trHeight w:val="300"/>
        </w:trPr>
        <w:tc>
          <w:tcPr>
            <w:tcW w:w="1703" w:type="dxa"/>
            <w:tcBorders>
              <w:top w:val="nil"/>
              <w:left w:val="nil"/>
              <w:bottom w:val="nil"/>
              <w:right w:val="nil"/>
            </w:tcBorders>
            <w:shd w:val="clear" w:color="auto" w:fill="auto"/>
            <w:noWrap/>
            <w:vAlign w:val="bottom"/>
            <w:hideMark/>
          </w:tcPr>
          <w:p w14:paraId="6AFA8E8E" w14:textId="77777777" w:rsidR="00BE6461" w:rsidRPr="00BE6461" w:rsidRDefault="00BE6461" w:rsidP="00BE6461">
            <w:pPr>
              <w:rPr>
                <w:sz w:val="20"/>
                <w:szCs w:val="20"/>
              </w:rPr>
            </w:pPr>
            <w:r w:rsidRPr="00BE6461">
              <w:rPr>
                <w:sz w:val="20"/>
                <w:szCs w:val="20"/>
              </w:rPr>
              <w:t>4262</w:t>
            </w:r>
          </w:p>
        </w:tc>
        <w:tc>
          <w:tcPr>
            <w:tcW w:w="8457" w:type="dxa"/>
            <w:tcBorders>
              <w:top w:val="nil"/>
              <w:left w:val="nil"/>
              <w:bottom w:val="nil"/>
              <w:right w:val="nil"/>
            </w:tcBorders>
            <w:shd w:val="clear" w:color="auto" w:fill="auto"/>
            <w:vAlign w:val="bottom"/>
            <w:hideMark/>
          </w:tcPr>
          <w:p w14:paraId="293BC01E" w14:textId="77777777" w:rsidR="00BE6461" w:rsidRPr="00BE6461" w:rsidRDefault="00BE6461" w:rsidP="00BE6461">
            <w:pPr>
              <w:rPr>
                <w:sz w:val="20"/>
                <w:szCs w:val="20"/>
              </w:rPr>
            </w:pPr>
            <w:r w:rsidRPr="00BE6461">
              <w:rPr>
                <w:sz w:val="20"/>
                <w:szCs w:val="20"/>
              </w:rPr>
              <w:t xml:space="preserve">Ulaganja u računalne programe                                                                       </w:t>
            </w:r>
          </w:p>
        </w:tc>
        <w:tc>
          <w:tcPr>
            <w:tcW w:w="1503" w:type="dxa"/>
            <w:tcBorders>
              <w:top w:val="nil"/>
              <w:left w:val="nil"/>
              <w:bottom w:val="nil"/>
              <w:right w:val="nil"/>
            </w:tcBorders>
            <w:shd w:val="clear" w:color="auto" w:fill="auto"/>
            <w:noWrap/>
            <w:vAlign w:val="bottom"/>
            <w:hideMark/>
          </w:tcPr>
          <w:p w14:paraId="74461357"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F60E5A5" w14:textId="77777777" w:rsidR="00BE6461" w:rsidRPr="00BE6461" w:rsidRDefault="00BE6461" w:rsidP="00BE6461">
            <w:pPr>
              <w:jc w:val="right"/>
              <w:rPr>
                <w:sz w:val="20"/>
                <w:szCs w:val="20"/>
              </w:rPr>
            </w:pPr>
            <w:r w:rsidRPr="00BE6461">
              <w:rPr>
                <w:sz w:val="20"/>
                <w:szCs w:val="20"/>
              </w:rPr>
              <w:t>117.642,50</w:t>
            </w:r>
          </w:p>
        </w:tc>
        <w:tc>
          <w:tcPr>
            <w:tcW w:w="1100" w:type="dxa"/>
            <w:tcBorders>
              <w:top w:val="nil"/>
              <w:left w:val="nil"/>
              <w:bottom w:val="nil"/>
              <w:right w:val="nil"/>
            </w:tcBorders>
            <w:shd w:val="clear" w:color="auto" w:fill="auto"/>
            <w:noWrap/>
            <w:vAlign w:val="bottom"/>
            <w:hideMark/>
          </w:tcPr>
          <w:p w14:paraId="0356BA4B" w14:textId="77777777" w:rsidR="00BE6461" w:rsidRPr="00BE6461" w:rsidRDefault="00BE6461" w:rsidP="00BE6461">
            <w:pPr>
              <w:jc w:val="right"/>
              <w:rPr>
                <w:sz w:val="20"/>
                <w:szCs w:val="20"/>
              </w:rPr>
            </w:pPr>
          </w:p>
        </w:tc>
      </w:tr>
      <w:tr w:rsidR="00BE6461" w:rsidRPr="00BE6461" w14:paraId="347BE278" w14:textId="77777777" w:rsidTr="00BE6461">
        <w:trPr>
          <w:trHeight w:val="390"/>
        </w:trPr>
        <w:tc>
          <w:tcPr>
            <w:tcW w:w="1703" w:type="dxa"/>
            <w:tcBorders>
              <w:top w:val="single" w:sz="4" w:space="0" w:color="auto"/>
              <w:left w:val="nil"/>
              <w:bottom w:val="nil"/>
              <w:right w:val="nil"/>
            </w:tcBorders>
            <w:shd w:val="clear" w:color="auto" w:fill="auto"/>
            <w:noWrap/>
            <w:vAlign w:val="bottom"/>
            <w:hideMark/>
          </w:tcPr>
          <w:p w14:paraId="6EF2CD36" w14:textId="77777777" w:rsidR="00BE6461" w:rsidRPr="00BE6461" w:rsidRDefault="00BE6461" w:rsidP="00BE6461">
            <w:pPr>
              <w:rPr>
                <w:b/>
                <w:bCs/>
                <w:sz w:val="20"/>
                <w:szCs w:val="20"/>
              </w:rPr>
            </w:pPr>
            <w:r w:rsidRPr="00BE6461">
              <w:rPr>
                <w:b/>
                <w:bCs/>
                <w:sz w:val="20"/>
                <w:szCs w:val="20"/>
              </w:rPr>
              <w:t>3004</w:t>
            </w:r>
          </w:p>
        </w:tc>
        <w:tc>
          <w:tcPr>
            <w:tcW w:w="8457" w:type="dxa"/>
            <w:tcBorders>
              <w:top w:val="single" w:sz="4" w:space="0" w:color="auto"/>
              <w:left w:val="nil"/>
              <w:bottom w:val="nil"/>
              <w:right w:val="nil"/>
            </w:tcBorders>
            <w:shd w:val="clear" w:color="auto" w:fill="auto"/>
            <w:vAlign w:val="bottom"/>
            <w:hideMark/>
          </w:tcPr>
          <w:p w14:paraId="73B7771E" w14:textId="77777777" w:rsidR="00BE6461" w:rsidRPr="00BE6461" w:rsidRDefault="00BE6461" w:rsidP="00BE6461">
            <w:pPr>
              <w:rPr>
                <w:b/>
                <w:bCs/>
                <w:sz w:val="20"/>
                <w:szCs w:val="20"/>
              </w:rPr>
            </w:pPr>
            <w:r w:rsidRPr="00BE6461">
              <w:rPr>
                <w:b/>
                <w:bCs/>
                <w:sz w:val="20"/>
                <w:szCs w:val="20"/>
              </w:rPr>
              <w:t>Program: EU I OSTALI PROJEKTI</w:t>
            </w:r>
          </w:p>
        </w:tc>
        <w:tc>
          <w:tcPr>
            <w:tcW w:w="1503" w:type="dxa"/>
            <w:tcBorders>
              <w:top w:val="single" w:sz="4" w:space="0" w:color="auto"/>
              <w:left w:val="nil"/>
              <w:bottom w:val="nil"/>
              <w:right w:val="nil"/>
            </w:tcBorders>
            <w:shd w:val="clear" w:color="auto" w:fill="auto"/>
            <w:noWrap/>
            <w:vAlign w:val="bottom"/>
            <w:hideMark/>
          </w:tcPr>
          <w:p w14:paraId="6061A651" w14:textId="77777777" w:rsidR="00BE6461" w:rsidRPr="00BE6461" w:rsidRDefault="00BE6461" w:rsidP="00BE6461">
            <w:pPr>
              <w:jc w:val="right"/>
              <w:rPr>
                <w:b/>
                <w:bCs/>
                <w:sz w:val="20"/>
                <w:szCs w:val="20"/>
              </w:rPr>
            </w:pPr>
            <w:r w:rsidRPr="00BE6461">
              <w:rPr>
                <w:b/>
                <w:bCs/>
                <w:sz w:val="20"/>
                <w:szCs w:val="20"/>
              </w:rPr>
              <w:t>478.625,00</w:t>
            </w:r>
          </w:p>
        </w:tc>
        <w:tc>
          <w:tcPr>
            <w:tcW w:w="1500" w:type="dxa"/>
            <w:tcBorders>
              <w:top w:val="single" w:sz="4" w:space="0" w:color="auto"/>
              <w:left w:val="nil"/>
              <w:bottom w:val="nil"/>
              <w:right w:val="nil"/>
            </w:tcBorders>
            <w:shd w:val="clear" w:color="auto" w:fill="auto"/>
            <w:noWrap/>
            <w:vAlign w:val="bottom"/>
            <w:hideMark/>
          </w:tcPr>
          <w:p w14:paraId="1D366B56" w14:textId="77777777" w:rsidR="00BE6461" w:rsidRPr="00BE6461" w:rsidRDefault="00BE6461" w:rsidP="00BE6461">
            <w:pPr>
              <w:jc w:val="right"/>
              <w:rPr>
                <w:b/>
                <w:bCs/>
                <w:sz w:val="20"/>
                <w:szCs w:val="20"/>
              </w:rPr>
            </w:pPr>
            <w:r w:rsidRPr="00BE6461">
              <w:rPr>
                <w:b/>
                <w:bCs/>
                <w:sz w:val="20"/>
                <w:szCs w:val="20"/>
              </w:rPr>
              <w:t>420.247,46</w:t>
            </w:r>
          </w:p>
        </w:tc>
        <w:tc>
          <w:tcPr>
            <w:tcW w:w="1100" w:type="dxa"/>
            <w:tcBorders>
              <w:top w:val="single" w:sz="4" w:space="0" w:color="auto"/>
              <w:left w:val="nil"/>
              <w:bottom w:val="nil"/>
              <w:right w:val="nil"/>
            </w:tcBorders>
            <w:shd w:val="clear" w:color="auto" w:fill="auto"/>
            <w:noWrap/>
            <w:vAlign w:val="bottom"/>
            <w:hideMark/>
          </w:tcPr>
          <w:p w14:paraId="4BC08A06" w14:textId="77777777" w:rsidR="00BE6461" w:rsidRPr="00BE6461" w:rsidRDefault="00BE6461" w:rsidP="00BE6461">
            <w:pPr>
              <w:jc w:val="right"/>
              <w:rPr>
                <w:b/>
                <w:bCs/>
                <w:sz w:val="20"/>
                <w:szCs w:val="20"/>
              </w:rPr>
            </w:pPr>
            <w:r w:rsidRPr="00BE6461">
              <w:rPr>
                <w:b/>
                <w:bCs/>
                <w:sz w:val="20"/>
                <w:szCs w:val="20"/>
              </w:rPr>
              <w:t>87,80</w:t>
            </w:r>
          </w:p>
        </w:tc>
      </w:tr>
      <w:tr w:rsidR="00BE6461" w:rsidRPr="00BE6461" w14:paraId="3EA5ABA9"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0FABEAB7" w14:textId="77777777" w:rsidR="00BE6461" w:rsidRPr="00BE6461" w:rsidRDefault="00BE6461" w:rsidP="00BE6461">
            <w:pPr>
              <w:rPr>
                <w:b/>
                <w:bCs/>
                <w:sz w:val="20"/>
                <w:szCs w:val="20"/>
              </w:rPr>
            </w:pPr>
            <w:r w:rsidRPr="00BE6461">
              <w:rPr>
                <w:b/>
                <w:bCs/>
                <w:sz w:val="20"/>
                <w:szCs w:val="20"/>
              </w:rPr>
              <w:t>A300065</w:t>
            </w:r>
          </w:p>
        </w:tc>
        <w:tc>
          <w:tcPr>
            <w:tcW w:w="8457" w:type="dxa"/>
            <w:tcBorders>
              <w:top w:val="single" w:sz="4" w:space="0" w:color="auto"/>
              <w:left w:val="nil"/>
              <w:bottom w:val="single" w:sz="4" w:space="0" w:color="auto"/>
              <w:right w:val="nil"/>
            </w:tcBorders>
            <w:shd w:val="clear" w:color="auto" w:fill="auto"/>
            <w:vAlign w:val="bottom"/>
            <w:hideMark/>
          </w:tcPr>
          <w:p w14:paraId="51582F25" w14:textId="77777777" w:rsidR="00BE6461" w:rsidRPr="00BE6461" w:rsidRDefault="00BE6461" w:rsidP="00BE6461">
            <w:pPr>
              <w:rPr>
                <w:b/>
                <w:bCs/>
                <w:sz w:val="20"/>
                <w:szCs w:val="20"/>
              </w:rPr>
            </w:pPr>
            <w:r w:rsidRPr="00BE6461">
              <w:rPr>
                <w:b/>
                <w:bCs/>
                <w:sz w:val="20"/>
                <w:szCs w:val="20"/>
              </w:rPr>
              <w:t>Aktivnost: LAG - LOKALNA AKCIJSKA GRUPA</w:t>
            </w:r>
          </w:p>
        </w:tc>
        <w:tc>
          <w:tcPr>
            <w:tcW w:w="1503" w:type="dxa"/>
            <w:tcBorders>
              <w:top w:val="single" w:sz="4" w:space="0" w:color="auto"/>
              <w:left w:val="nil"/>
              <w:bottom w:val="single" w:sz="4" w:space="0" w:color="auto"/>
              <w:right w:val="nil"/>
            </w:tcBorders>
            <w:shd w:val="clear" w:color="auto" w:fill="auto"/>
            <w:noWrap/>
            <w:vAlign w:val="bottom"/>
            <w:hideMark/>
          </w:tcPr>
          <w:p w14:paraId="3F156EEA" w14:textId="77777777" w:rsidR="00BE6461" w:rsidRPr="00BE6461" w:rsidRDefault="00BE6461" w:rsidP="00BE6461">
            <w:pPr>
              <w:jc w:val="right"/>
              <w:rPr>
                <w:b/>
                <w:bCs/>
                <w:sz w:val="20"/>
                <w:szCs w:val="20"/>
              </w:rPr>
            </w:pPr>
            <w:r w:rsidRPr="00BE6461">
              <w:rPr>
                <w:b/>
                <w:bCs/>
                <w:sz w:val="20"/>
                <w:szCs w:val="20"/>
              </w:rPr>
              <w:t>25.000,00</w:t>
            </w:r>
          </w:p>
        </w:tc>
        <w:tc>
          <w:tcPr>
            <w:tcW w:w="1500" w:type="dxa"/>
            <w:tcBorders>
              <w:top w:val="single" w:sz="4" w:space="0" w:color="auto"/>
              <w:left w:val="nil"/>
              <w:bottom w:val="single" w:sz="4" w:space="0" w:color="auto"/>
              <w:right w:val="nil"/>
            </w:tcBorders>
            <w:shd w:val="clear" w:color="auto" w:fill="auto"/>
            <w:noWrap/>
            <w:vAlign w:val="bottom"/>
            <w:hideMark/>
          </w:tcPr>
          <w:p w14:paraId="344CE3FF" w14:textId="77777777" w:rsidR="00BE6461" w:rsidRPr="00BE6461" w:rsidRDefault="00BE6461" w:rsidP="00BE6461">
            <w:pPr>
              <w:jc w:val="right"/>
              <w:rPr>
                <w:b/>
                <w:bCs/>
                <w:sz w:val="20"/>
                <w:szCs w:val="20"/>
              </w:rPr>
            </w:pPr>
            <w:r w:rsidRPr="00BE6461">
              <w:rPr>
                <w:b/>
                <w:bCs/>
                <w:sz w:val="20"/>
                <w:szCs w:val="20"/>
              </w:rPr>
              <w:t>15.000,00</w:t>
            </w:r>
          </w:p>
        </w:tc>
        <w:tc>
          <w:tcPr>
            <w:tcW w:w="1100" w:type="dxa"/>
            <w:tcBorders>
              <w:top w:val="single" w:sz="4" w:space="0" w:color="auto"/>
              <w:left w:val="nil"/>
              <w:bottom w:val="single" w:sz="4" w:space="0" w:color="auto"/>
              <w:right w:val="nil"/>
            </w:tcBorders>
            <w:shd w:val="clear" w:color="auto" w:fill="auto"/>
            <w:noWrap/>
            <w:vAlign w:val="bottom"/>
            <w:hideMark/>
          </w:tcPr>
          <w:p w14:paraId="04D37113" w14:textId="77777777" w:rsidR="00BE6461" w:rsidRPr="00BE6461" w:rsidRDefault="00BE6461" w:rsidP="00BE6461">
            <w:pPr>
              <w:jc w:val="right"/>
              <w:rPr>
                <w:b/>
                <w:bCs/>
                <w:sz w:val="20"/>
                <w:szCs w:val="20"/>
              </w:rPr>
            </w:pPr>
            <w:r w:rsidRPr="00BE6461">
              <w:rPr>
                <w:b/>
                <w:bCs/>
                <w:sz w:val="20"/>
                <w:szCs w:val="20"/>
              </w:rPr>
              <w:t>60,00</w:t>
            </w:r>
          </w:p>
        </w:tc>
      </w:tr>
      <w:tr w:rsidR="00BE6461" w:rsidRPr="00BE6461" w14:paraId="49FA5EDE"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4B7505A"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3792845B" w14:textId="77777777" w:rsidR="00BE6461" w:rsidRPr="00BE6461" w:rsidRDefault="00BE6461" w:rsidP="00BE6461">
            <w:pPr>
              <w:jc w:val="right"/>
              <w:rPr>
                <w:b/>
                <w:bCs/>
                <w:color w:val="333333"/>
                <w:sz w:val="20"/>
                <w:szCs w:val="20"/>
              </w:rPr>
            </w:pPr>
            <w:r w:rsidRPr="00BE6461">
              <w:rPr>
                <w:b/>
                <w:bCs/>
                <w:color w:val="333333"/>
                <w:sz w:val="20"/>
                <w:szCs w:val="20"/>
              </w:rPr>
              <w:t>25.000,00</w:t>
            </w:r>
          </w:p>
        </w:tc>
        <w:tc>
          <w:tcPr>
            <w:tcW w:w="1500" w:type="dxa"/>
            <w:tcBorders>
              <w:top w:val="nil"/>
              <w:left w:val="nil"/>
              <w:bottom w:val="nil"/>
              <w:right w:val="nil"/>
            </w:tcBorders>
            <w:shd w:val="clear" w:color="auto" w:fill="auto"/>
            <w:noWrap/>
            <w:vAlign w:val="bottom"/>
            <w:hideMark/>
          </w:tcPr>
          <w:p w14:paraId="0AEC740C" w14:textId="77777777" w:rsidR="00BE6461" w:rsidRPr="00BE6461" w:rsidRDefault="00BE6461" w:rsidP="00BE6461">
            <w:pPr>
              <w:jc w:val="right"/>
              <w:rPr>
                <w:b/>
                <w:bCs/>
                <w:color w:val="333333"/>
                <w:sz w:val="20"/>
                <w:szCs w:val="20"/>
              </w:rPr>
            </w:pPr>
            <w:r w:rsidRPr="00BE6461">
              <w:rPr>
                <w:b/>
                <w:bCs/>
                <w:color w:val="333333"/>
                <w:sz w:val="20"/>
                <w:szCs w:val="20"/>
              </w:rPr>
              <w:t>15.000,00</w:t>
            </w:r>
          </w:p>
        </w:tc>
        <w:tc>
          <w:tcPr>
            <w:tcW w:w="1100" w:type="dxa"/>
            <w:tcBorders>
              <w:top w:val="nil"/>
              <w:left w:val="nil"/>
              <w:bottom w:val="nil"/>
              <w:right w:val="nil"/>
            </w:tcBorders>
            <w:shd w:val="clear" w:color="auto" w:fill="auto"/>
            <w:noWrap/>
            <w:vAlign w:val="bottom"/>
            <w:hideMark/>
          </w:tcPr>
          <w:p w14:paraId="2C2CB3CC" w14:textId="77777777" w:rsidR="00BE6461" w:rsidRPr="00BE6461" w:rsidRDefault="00BE6461" w:rsidP="00BE6461">
            <w:pPr>
              <w:jc w:val="right"/>
              <w:rPr>
                <w:b/>
                <w:bCs/>
                <w:color w:val="333333"/>
                <w:sz w:val="20"/>
                <w:szCs w:val="20"/>
              </w:rPr>
            </w:pPr>
            <w:r w:rsidRPr="00BE6461">
              <w:rPr>
                <w:b/>
                <w:bCs/>
                <w:color w:val="333333"/>
                <w:sz w:val="20"/>
                <w:szCs w:val="20"/>
              </w:rPr>
              <w:t>60,00</w:t>
            </w:r>
          </w:p>
        </w:tc>
      </w:tr>
      <w:tr w:rsidR="00BE6461" w:rsidRPr="00BE6461" w14:paraId="4FBEC90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516489C"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62EC59F8" w14:textId="77777777" w:rsidR="00BE6461" w:rsidRPr="00BE6461" w:rsidRDefault="00BE6461" w:rsidP="00BE6461">
            <w:pPr>
              <w:jc w:val="right"/>
              <w:rPr>
                <w:b/>
                <w:bCs/>
                <w:color w:val="333333"/>
                <w:sz w:val="20"/>
                <w:szCs w:val="20"/>
              </w:rPr>
            </w:pPr>
            <w:r w:rsidRPr="00BE6461">
              <w:rPr>
                <w:b/>
                <w:bCs/>
                <w:color w:val="333333"/>
                <w:sz w:val="20"/>
                <w:szCs w:val="20"/>
              </w:rPr>
              <w:t>25.000,00</w:t>
            </w:r>
          </w:p>
        </w:tc>
        <w:tc>
          <w:tcPr>
            <w:tcW w:w="1500" w:type="dxa"/>
            <w:tcBorders>
              <w:top w:val="nil"/>
              <w:left w:val="nil"/>
              <w:bottom w:val="nil"/>
              <w:right w:val="nil"/>
            </w:tcBorders>
            <w:shd w:val="clear" w:color="auto" w:fill="auto"/>
            <w:noWrap/>
            <w:vAlign w:val="bottom"/>
            <w:hideMark/>
          </w:tcPr>
          <w:p w14:paraId="20445C02" w14:textId="77777777" w:rsidR="00BE6461" w:rsidRPr="00BE6461" w:rsidRDefault="00BE6461" w:rsidP="00BE6461">
            <w:pPr>
              <w:jc w:val="right"/>
              <w:rPr>
                <w:b/>
                <w:bCs/>
                <w:color w:val="333333"/>
                <w:sz w:val="20"/>
                <w:szCs w:val="20"/>
              </w:rPr>
            </w:pPr>
            <w:r w:rsidRPr="00BE6461">
              <w:rPr>
                <w:b/>
                <w:bCs/>
                <w:color w:val="333333"/>
                <w:sz w:val="20"/>
                <w:szCs w:val="20"/>
              </w:rPr>
              <w:t>15.000,00</w:t>
            </w:r>
          </w:p>
        </w:tc>
        <w:tc>
          <w:tcPr>
            <w:tcW w:w="1100" w:type="dxa"/>
            <w:tcBorders>
              <w:top w:val="nil"/>
              <w:left w:val="nil"/>
              <w:bottom w:val="nil"/>
              <w:right w:val="nil"/>
            </w:tcBorders>
            <w:shd w:val="clear" w:color="auto" w:fill="auto"/>
            <w:noWrap/>
            <w:vAlign w:val="bottom"/>
            <w:hideMark/>
          </w:tcPr>
          <w:p w14:paraId="798A7531" w14:textId="77777777" w:rsidR="00BE6461" w:rsidRPr="00BE6461" w:rsidRDefault="00BE6461" w:rsidP="00BE6461">
            <w:pPr>
              <w:jc w:val="right"/>
              <w:rPr>
                <w:b/>
                <w:bCs/>
                <w:color w:val="333333"/>
                <w:sz w:val="20"/>
                <w:szCs w:val="20"/>
              </w:rPr>
            </w:pPr>
            <w:r w:rsidRPr="00BE6461">
              <w:rPr>
                <w:b/>
                <w:bCs/>
                <w:color w:val="333333"/>
                <w:sz w:val="20"/>
                <w:szCs w:val="20"/>
              </w:rPr>
              <w:t>60,00</w:t>
            </w:r>
          </w:p>
        </w:tc>
      </w:tr>
      <w:tr w:rsidR="00BE6461" w:rsidRPr="00BE6461" w14:paraId="37D4AE42" w14:textId="77777777" w:rsidTr="00BE6461">
        <w:trPr>
          <w:trHeight w:val="300"/>
        </w:trPr>
        <w:tc>
          <w:tcPr>
            <w:tcW w:w="1703" w:type="dxa"/>
            <w:tcBorders>
              <w:top w:val="nil"/>
              <w:left w:val="nil"/>
              <w:bottom w:val="nil"/>
              <w:right w:val="nil"/>
            </w:tcBorders>
            <w:shd w:val="clear" w:color="auto" w:fill="auto"/>
            <w:noWrap/>
            <w:vAlign w:val="bottom"/>
            <w:hideMark/>
          </w:tcPr>
          <w:p w14:paraId="653388BB"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051150B1"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04515937" w14:textId="77777777" w:rsidR="00BE6461" w:rsidRPr="00BE6461" w:rsidRDefault="00BE6461" w:rsidP="00BE6461">
            <w:pPr>
              <w:jc w:val="right"/>
              <w:rPr>
                <w:b/>
                <w:bCs/>
                <w:sz w:val="20"/>
                <w:szCs w:val="20"/>
              </w:rPr>
            </w:pPr>
            <w:r w:rsidRPr="00BE6461">
              <w:rPr>
                <w:b/>
                <w:bCs/>
                <w:sz w:val="20"/>
                <w:szCs w:val="20"/>
              </w:rPr>
              <w:t>25.000,00</w:t>
            </w:r>
          </w:p>
        </w:tc>
        <w:tc>
          <w:tcPr>
            <w:tcW w:w="1500" w:type="dxa"/>
            <w:tcBorders>
              <w:top w:val="nil"/>
              <w:left w:val="nil"/>
              <w:bottom w:val="nil"/>
              <w:right w:val="nil"/>
            </w:tcBorders>
            <w:shd w:val="clear" w:color="auto" w:fill="auto"/>
            <w:noWrap/>
            <w:vAlign w:val="bottom"/>
            <w:hideMark/>
          </w:tcPr>
          <w:p w14:paraId="3FD84E53" w14:textId="77777777" w:rsidR="00BE6461" w:rsidRPr="00BE6461" w:rsidRDefault="00BE6461" w:rsidP="00BE6461">
            <w:pPr>
              <w:jc w:val="right"/>
              <w:rPr>
                <w:b/>
                <w:bCs/>
                <w:sz w:val="20"/>
                <w:szCs w:val="20"/>
              </w:rPr>
            </w:pPr>
            <w:r w:rsidRPr="00BE6461">
              <w:rPr>
                <w:b/>
                <w:bCs/>
                <w:sz w:val="20"/>
                <w:szCs w:val="20"/>
              </w:rPr>
              <w:t>15.000,00</w:t>
            </w:r>
          </w:p>
        </w:tc>
        <w:tc>
          <w:tcPr>
            <w:tcW w:w="1100" w:type="dxa"/>
            <w:tcBorders>
              <w:top w:val="nil"/>
              <w:left w:val="nil"/>
              <w:bottom w:val="nil"/>
              <w:right w:val="nil"/>
            </w:tcBorders>
            <w:shd w:val="clear" w:color="auto" w:fill="auto"/>
            <w:noWrap/>
            <w:vAlign w:val="bottom"/>
            <w:hideMark/>
          </w:tcPr>
          <w:p w14:paraId="68419A98" w14:textId="77777777" w:rsidR="00BE6461" w:rsidRPr="00BE6461" w:rsidRDefault="00BE6461" w:rsidP="00BE6461">
            <w:pPr>
              <w:jc w:val="right"/>
              <w:rPr>
                <w:b/>
                <w:bCs/>
                <w:sz w:val="20"/>
                <w:szCs w:val="20"/>
              </w:rPr>
            </w:pPr>
            <w:r w:rsidRPr="00BE6461">
              <w:rPr>
                <w:b/>
                <w:bCs/>
                <w:sz w:val="20"/>
                <w:szCs w:val="20"/>
              </w:rPr>
              <w:t>60,00</w:t>
            </w:r>
          </w:p>
        </w:tc>
      </w:tr>
      <w:tr w:rsidR="00BE6461" w:rsidRPr="00BE6461" w14:paraId="268F76D2" w14:textId="77777777" w:rsidTr="00BE6461">
        <w:trPr>
          <w:trHeight w:val="300"/>
        </w:trPr>
        <w:tc>
          <w:tcPr>
            <w:tcW w:w="1703" w:type="dxa"/>
            <w:tcBorders>
              <w:top w:val="nil"/>
              <w:left w:val="nil"/>
              <w:bottom w:val="nil"/>
              <w:right w:val="nil"/>
            </w:tcBorders>
            <w:shd w:val="clear" w:color="auto" w:fill="auto"/>
            <w:noWrap/>
            <w:vAlign w:val="bottom"/>
            <w:hideMark/>
          </w:tcPr>
          <w:p w14:paraId="752DE92C" w14:textId="77777777" w:rsidR="00BE6461" w:rsidRPr="00BE6461" w:rsidRDefault="00BE6461" w:rsidP="00BE6461">
            <w:pPr>
              <w:rPr>
                <w:sz w:val="20"/>
                <w:szCs w:val="20"/>
              </w:rPr>
            </w:pPr>
            <w:r w:rsidRPr="00BE6461">
              <w:rPr>
                <w:sz w:val="20"/>
                <w:szCs w:val="20"/>
              </w:rPr>
              <w:t>3294</w:t>
            </w:r>
          </w:p>
        </w:tc>
        <w:tc>
          <w:tcPr>
            <w:tcW w:w="8457" w:type="dxa"/>
            <w:tcBorders>
              <w:top w:val="nil"/>
              <w:left w:val="nil"/>
              <w:bottom w:val="nil"/>
              <w:right w:val="nil"/>
            </w:tcBorders>
            <w:shd w:val="clear" w:color="auto" w:fill="auto"/>
            <w:vAlign w:val="bottom"/>
            <w:hideMark/>
          </w:tcPr>
          <w:p w14:paraId="7D573CF5" w14:textId="77777777" w:rsidR="00BE6461" w:rsidRPr="00BE6461" w:rsidRDefault="00BE6461" w:rsidP="00BE6461">
            <w:pPr>
              <w:rPr>
                <w:sz w:val="20"/>
                <w:szCs w:val="20"/>
              </w:rPr>
            </w:pPr>
            <w:r w:rsidRPr="00BE6461">
              <w:rPr>
                <w:sz w:val="20"/>
                <w:szCs w:val="20"/>
              </w:rPr>
              <w:t>Članarine i norme</w:t>
            </w:r>
          </w:p>
        </w:tc>
        <w:tc>
          <w:tcPr>
            <w:tcW w:w="1503" w:type="dxa"/>
            <w:tcBorders>
              <w:top w:val="nil"/>
              <w:left w:val="nil"/>
              <w:bottom w:val="nil"/>
              <w:right w:val="nil"/>
            </w:tcBorders>
            <w:shd w:val="clear" w:color="auto" w:fill="auto"/>
            <w:noWrap/>
            <w:vAlign w:val="bottom"/>
            <w:hideMark/>
          </w:tcPr>
          <w:p w14:paraId="16CA8C80"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37CC9F6" w14:textId="77777777" w:rsidR="00BE6461" w:rsidRPr="00BE6461" w:rsidRDefault="00BE6461" w:rsidP="00BE6461">
            <w:pPr>
              <w:jc w:val="right"/>
              <w:rPr>
                <w:sz w:val="20"/>
                <w:szCs w:val="20"/>
              </w:rPr>
            </w:pPr>
            <w:r w:rsidRPr="00BE6461">
              <w:rPr>
                <w:sz w:val="20"/>
                <w:szCs w:val="20"/>
              </w:rPr>
              <w:t>15.000,00</w:t>
            </w:r>
          </w:p>
        </w:tc>
        <w:tc>
          <w:tcPr>
            <w:tcW w:w="1100" w:type="dxa"/>
            <w:tcBorders>
              <w:top w:val="nil"/>
              <w:left w:val="nil"/>
              <w:bottom w:val="nil"/>
              <w:right w:val="nil"/>
            </w:tcBorders>
            <w:shd w:val="clear" w:color="auto" w:fill="auto"/>
            <w:noWrap/>
            <w:vAlign w:val="bottom"/>
            <w:hideMark/>
          </w:tcPr>
          <w:p w14:paraId="155CDCCE" w14:textId="77777777" w:rsidR="00BE6461" w:rsidRPr="00BE6461" w:rsidRDefault="00BE6461" w:rsidP="00BE6461">
            <w:pPr>
              <w:jc w:val="right"/>
              <w:rPr>
                <w:sz w:val="20"/>
                <w:szCs w:val="20"/>
              </w:rPr>
            </w:pPr>
          </w:p>
        </w:tc>
      </w:tr>
      <w:tr w:rsidR="00BE6461" w:rsidRPr="00BE6461" w14:paraId="51EC4E9D" w14:textId="77777777" w:rsidTr="00BE6461">
        <w:trPr>
          <w:trHeight w:val="510"/>
        </w:trPr>
        <w:tc>
          <w:tcPr>
            <w:tcW w:w="1703" w:type="dxa"/>
            <w:tcBorders>
              <w:top w:val="single" w:sz="4" w:space="0" w:color="auto"/>
              <w:left w:val="nil"/>
              <w:bottom w:val="single" w:sz="4" w:space="0" w:color="auto"/>
              <w:right w:val="nil"/>
            </w:tcBorders>
            <w:shd w:val="clear" w:color="auto" w:fill="auto"/>
            <w:noWrap/>
            <w:vAlign w:val="bottom"/>
            <w:hideMark/>
          </w:tcPr>
          <w:p w14:paraId="68CE21AA" w14:textId="77777777" w:rsidR="00BE6461" w:rsidRPr="00BE6461" w:rsidRDefault="00BE6461" w:rsidP="00BE6461">
            <w:pPr>
              <w:rPr>
                <w:b/>
                <w:bCs/>
                <w:sz w:val="20"/>
                <w:szCs w:val="20"/>
              </w:rPr>
            </w:pPr>
            <w:r w:rsidRPr="00BE6461">
              <w:rPr>
                <w:b/>
                <w:bCs/>
                <w:sz w:val="20"/>
                <w:szCs w:val="20"/>
              </w:rPr>
              <w:t>A300068</w:t>
            </w:r>
          </w:p>
        </w:tc>
        <w:tc>
          <w:tcPr>
            <w:tcW w:w="8457" w:type="dxa"/>
            <w:tcBorders>
              <w:top w:val="single" w:sz="4" w:space="0" w:color="auto"/>
              <w:left w:val="nil"/>
              <w:bottom w:val="single" w:sz="4" w:space="0" w:color="auto"/>
              <w:right w:val="nil"/>
            </w:tcBorders>
            <w:shd w:val="clear" w:color="auto" w:fill="auto"/>
            <w:vAlign w:val="bottom"/>
            <w:hideMark/>
          </w:tcPr>
          <w:p w14:paraId="46EE6C9F" w14:textId="77777777" w:rsidR="00BE6461" w:rsidRPr="00BE6461" w:rsidRDefault="00BE6461" w:rsidP="00BE6461">
            <w:pPr>
              <w:rPr>
                <w:b/>
                <w:bCs/>
                <w:sz w:val="20"/>
                <w:szCs w:val="20"/>
              </w:rPr>
            </w:pPr>
            <w:r w:rsidRPr="00BE6461">
              <w:rPr>
                <w:b/>
                <w:bCs/>
                <w:sz w:val="20"/>
                <w:szCs w:val="20"/>
              </w:rPr>
              <w:t>Aktivnost: LAGUR - LOKALNA AKCIJSKA GRUPA U RIBARSTVU</w:t>
            </w:r>
          </w:p>
        </w:tc>
        <w:tc>
          <w:tcPr>
            <w:tcW w:w="1503" w:type="dxa"/>
            <w:tcBorders>
              <w:top w:val="single" w:sz="4" w:space="0" w:color="auto"/>
              <w:left w:val="nil"/>
              <w:bottom w:val="single" w:sz="4" w:space="0" w:color="auto"/>
              <w:right w:val="nil"/>
            </w:tcBorders>
            <w:shd w:val="clear" w:color="auto" w:fill="auto"/>
            <w:noWrap/>
            <w:vAlign w:val="bottom"/>
            <w:hideMark/>
          </w:tcPr>
          <w:p w14:paraId="43C9DEE3" w14:textId="77777777" w:rsidR="00BE6461" w:rsidRPr="00BE6461" w:rsidRDefault="00BE6461" w:rsidP="00BE6461">
            <w:pPr>
              <w:jc w:val="right"/>
              <w:rPr>
                <w:b/>
                <w:bCs/>
                <w:sz w:val="20"/>
                <w:szCs w:val="20"/>
              </w:rPr>
            </w:pPr>
            <w:r w:rsidRPr="00BE6461">
              <w:rPr>
                <w:b/>
                <w:bCs/>
                <w:sz w:val="20"/>
                <w:szCs w:val="20"/>
              </w:rPr>
              <w:t>7.000,00</w:t>
            </w:r>
          </w:p>
        </w:tc>
        <w:tc>
          <w:tcPr>
            <w:tcW w:w="1500" w:type="dxa"/>
            <w:tcBorders>
              <w:top w:val="single" w:sz="4" w:space="0" w:color="auto"/>
              <w:left w:val="nil"/>
              <w:bottom w:val="single" w:sz="4" w:space="0" w:color="auto"/>
              <w:right w:val="nil"/>
            </w:tcBorders>
            <w:shd w:val="clear" w:color="auto" w:fill="auto"/>
            <w:noWrap/>
            <w:vAlign w:val="bottom"/>
            <w:hideMark/>
          </w:tcPr>
          <w:p w14:paraId="32787D1D" w14:textId="77777777" w:rsidR="00BE6461" w:rsidRPr="00BE6461" w:rsidRDefault="00BE6461" w:rsidP="00BE6461">
            <w:pPr>
              <w:jc w:val="right"/>
              <w:rPr>
                <w:b/>
                <w:bCs/>
                <w:sz w:val="20"/>
                <w:szCs w:val="20"/>
              </w:rPr>
            </w:pPr>
            <w:r w:rsidRPr="00BE6461">
              <w:rPr>
                <w:b/>
                <w:bCs/>
                <w:sz w:val="20"/>
                <w:szCs w:val="20"/>
              </w:rPr>
              <w:t>7.000,00</w:t>
            </w:r>
          </w:p>
        </w:tc>
        <w:tc>
          <w:tcPr>
            <w:tcW w:w="1100" w:type="dxa"/>
            <w:tcBorders>
              <w:top w:val="single" w:sz="4" w:space="0" w:color="auto"/>
              <w:left w:val="nil"/>
              <w:bottom w:val="single" w:sz="4" w:space="0" w:color="auto"/>
              <w:right w:val="nil"/>
            </w:tcBorders>
            <w:shd w:val="clear" w:color="auto" w:fill="auto"/>
            <w:noWrap/>
            <w:vAlign w:val="bottom"/>
            <w:hideMark/>
          </w:tcPr>
          <w:p w14:paraId="5364826C"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1C0CAB14"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190ADA8"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5662F0F4" w14:textId="77777777" w:rsidR="00BE6461" w:rsidRPr="00BE6461" w:rsidRDefault="00BE6461" w:rsidP="00BE6461">
            <w:pPr>
              <w:jc w:val="right"/>
              <w:rPr>
                <w:b/>
                <w:bCs/>
                <w:color w:val="333333"/>
                <w:sz w:val="20"/>
                <w:szCs w:val="20"/>
              </w:rPr>
            </w:pPr>
            <w:r w:rsidRPr="00BE6461">
              <w:rPr>
                <w:b/>
                <w:bCs/>
                <w:color w:val="333333"/>
                <w:sz w:val="20"/>
                <w:szCs w:val="20"/>
              </w:rPr>
              <w:t>7.000,00</w:t>
            </w:r>
          </w:p>
        </w:tc>
        <w:tc>
          <w:tcPr>
            <w:tcW w:w="1500" w:type="dxa"/>
            <w:tcBorders>
              <w:top w:val="nil"/>
              <w:left w:val="nil"/>
              <w:bottom w:val="nil"/>
              <w:right w:val="nil"/>
            </w:tcBorders>
            <w:shd w:val="clear" w:color="auto" w:fill="auto"/>
            <w:noWrap/>
            <w:vAlign w:val="bottom"/>
            <w:hideMark/>
          </w:tcPr>
          <w:p w14:paraId="2CC2A246" w14:textId="77777777" w:rsidR="00BE6461" w:rsidRPr="00BE6461" w:rsidRDefault="00BE6461" w:rsidP="00BE6461">
            <w:pPr>
              <w:jc w:val="right"/>
              <w:rPr>
                <w:b/>
                <w:bCs/>
                <w:color w:val="333333"/>
                <w:sz w:val="20"/>
                <w:szCs w:val="20"/>
              </w:rPr>
            </w:pPr>
            <w:r w:rsidRPr="00BE6461">
              <w:rPr>
                <w:b/>
                <w:bCs/>
                <w:color w:val="333333"/>
                <w:sz w:val="20"/>
                <w:szCs w:val="20"/>
              </w:rPr>
              <w:t>7.000,00</w:t>
            </w:r>
          </w:p>
        </w:tc>
        <w:tc>
          <w:tcPr>
            <w:tcW w:w="1100" w:type="dxa"/>
            <w:tcBorders>
              <w:top w:val="nil"/>
              <w:left w:val="nil"/>
              <w:bottom w:val="nil"/>
              <w:right w:val="nil"/>
            </w:tcBorders>
            <w:shd w:val="clear" w:color="auto" w:fill="auto"/>
            <w:noWrap/>
            <w:vAlign w:val="bottom"/>
            <w:hideMark/>
          </w:tcPr>
          <w:p w14:paraId="41D824E8"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02710E8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D0BED17"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3D93687E" w14:textId="77777777" w:rsidR="00BE6461" w:rsidRPr="00BE6461" w:rsidRDefault="00BE6461" w:rsidP="00BE6461">
            <w:pPr>
              <w:jc w:val="right"/>
              <w:rPr>
                <w:b/>
                <w:bCs/>
                <w:color w:val="333333"/>
                <w:sz w:val="20"/>
                <w:szCs w:val="20"/>
              </w:rPr>
            </w:pPr>
            <w:r w:rsidRPr="00BE6461">
              <w:rPr>
                <w:b/>
                <w:bCs/>
                <w:color w:val="333333"/>
                <w:sz w:val="20"/>
                <w:szCs w:val="20"/>
              </w:rPr>
              <w:t>7.000,00</w:t>
            </w:r>
          </w:p>
        </w:tc>
        <w:tc>
          <w:tcPr>
            <w:tcW w:w="1500" w:type="dxa"/>
            <w:tcBorders>
              <w:top w:val="nil"/>
              <w:left w:val="nil"/>
              <w:bottom w:val="nil"/>
              <w:right w:val="nil"/>
            </w:tcBorders>
            <w:shd w:val="clear" w:color="auto" w:fill="auto"/>
            <w:noWrap/>
            <w:vAlign w:val="bottom"/>
            <w:hideMark/>
          </w:tcPr>
          <w:p w14:paraId="5B1C7B25" w14:textId="77777777" w:rsidR="00BE6461" w:rsidRPr="00BE6461" w:rsidRDefault="00BE6461" w:rsidP="00BE6461">
            <w:pPr>
              <w:jc w:val="right"/>
              <w:rPr>
                <w:b/>
                <w:bCs/>
                <w:color w:val="333333"/>
                <w:sz w:val="20"/>
                <w:szCs w:val="20"/>
              </w:rPr>
            </w:pPr>
            <w:r w:rsidRPr="00BE6461">
              <w:rPr>
                <w:b/>
                <w:bCs/>
                <w:color w:val="333333"/>
                <w:sz w:val="20"/>
                <w:szCs w:val="20"/>
              </w:rPr>
              <w:t>7.000,00</w:t>
            </w:r>
          </w:p>
        </w:tc>
        <w:tc>
          <w:tcPr>
            <w:tcW w:w="1100" w:type="dxa"/>
            <w:tcBorders>
              <w:top w:val="nil"/>
              <w:left w:val="nil"/>
              <w:bottom w:val="nil"/>
              <w:right w:val="nil"/>
            </w:tcBorders>
            <w:shd w:val="clear" w:color="auto" w:fill="auto"/>
            <w:noWrap/>
            <w:vAlign w:val="bottom"/>
            <w:hideMark/>
          </w:tcPr>
          <w:p w14:paraId="6EAD1E51"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421DC142" w14:textId="77777777" w:rsidTr="00BE6461">
        <w:trPr>
          <w:trHeight w:val="300"/>
        </w:trPr>
        <w:tc>
          <w:tcPr>
            <w:tcW w:w="1703" w:type="dxa"/>
            <w:tcBorders>
              <w:top w:val="nil"/>
              <w:left w:val="nil"/>
              <w:bottom w:val="nil"/>
              <w:right w:val="nil"/>
            </w:tcBorders>
            <w:shd w:val="clear" w:color="auto" w:fill="auto"/>
            <w:noWrap/>
            <w:vAlign w:val="bottom"/>
            <w:hideMark/>
          </w:tcPr>
          <w:p w14:paraId="46460EC1"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08B0DC2F"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03FBA7EE" w14:textId="77777777" w:rsidR="00BE6461" w:rsidRPr="00BE6461" w:rsidRDefault="00BE6461" w:rsidP="00BE6461">
            <w:pPr>
              <w:jc w:val="right"/>
              <w:rPr>
                <w:b/>
                <w:bCs/>
                <w:sz w:val="20"/>
                <w:szCs w:val="20"/>
              </w:rPr>
            </w:pPr>
            <w:r w:rsidRPr="00BE6461">
              <w:rPr>
                <w:b/>
                <w:bCs/>
                <w:sz w:val="20"/>
                <w:szCs w:val="20"/>
              </w:rPr>
              <w:t>7.000,00</w:t>
            </w:r>
          </w:p>
        </w:tc>
        <w:tc>
          <w:tcPr>
            <w:tcW w:w="1500" w:type="dxa"/>
            <w:tcBorders>
              <w:top w:val="nil"/>
              <w:left w:val="nil"/>
              <w:bottom w:val="nil"/>
              <w:right w:val="nil"/>
            </w:tcBorders>
            <w:shd w:val="clear" w:color="auto" w:fill="auto"/>
            <w:noWrap/>
            <w:vAlign w:val="bottom"/>
            <w:hideMark/>
          </w:tcPr>
          <w:p w14:paraId="6866196B" w14:textId="77777777" w:rsidR="00BE6461" w:rsidRPr="00BE6461" w:rsidRDefault="00BE6461" w:rsidP="00BE6461">
            <w:pPr>
              <w:jc w:val="right"/>
              <w:rPr>
                <w:b/>
                <w:bCs/>
                <w:sz w:val="20"/>
                <w:szCs w:val="20"/>
              </w:rPr>
            </w:pPr>
            <w:r w:rsidRPr="00BE6461">
              <w:rPr>
                <w:b/>
                <w:bCs/>
                <w:sz w:val="20"/>
                <w:szCs w:val="20"/>
              </w:rPr>
              <w:t>7.000,00</w:t>
            </w:r>
          </w:p>
        </w:tc>
        <w:tc>
          <w:tcPr>
            <w:tcW w:w="1100" w:type="dxa"/>
            <w:tcBorders>
              <w:top w:val="nil"/>
              <w:left w:val="nil"/>
              <w:bottom w:val="nil"/>
              <w:right w:val="nil"/>
            </w:tcBorders>
            <w:shd w:val="clear" w:color="auto" w:fill="auto"/>
            <w:noWrap/>
            <w:vAlign w:val="bottom"/>
            <w:hideMark/>
          </w:tcPr>
          <w:p w14:paraId="2FEA1469"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49065EE2" w14:textId="77777777" w:rsidTr="00BE6461">
        <w:trPr>
          <w:trHeight w:val="300"/>
        </w:trPr>
        <w:tc>
          <w:tcPr>
            <w:tcW w:w="1703" w:type="dxa"/>
            <w:tcBorders>
              <w:top w:val="nil"/>
              <w:left w:val="nil"/>
              <w:bottom w:val="nil"/>
              <w:right w:val="nil"/>
            </w:tcBorders>
            <w:shd w:val="clear" w:color="auto" w:fill="auto"/>
            <w:noWrap/>
            <w:vAlign w:val="bottom"/>
            <w:hideMark/>
          </w:tcPr>
          <w:p w14:paraId="0A8BD4E6" w14:textId="77777777" w:rsidR="00BE6461" w:rsidRPr="00BE6461" w:rsidRDefault="00BE6461" w:rsidP="00BE6461">
            <w:pPr>
              <w:rPr>
                <w:sz w:val="20"/>
                <w:szCs w:val="20"/>
              </w:rPr>
            </w:pPr>
            <w:r w:rsidRPr="00BE6461">
              <w:rPr>
                <w:sz w:val="20"/>
                <w:szCs w:val="20"/>
              </w:rPr>
              <w:t>3294</w:t>
            </w:r>
          </w:p>
        </w:tc>
        <w:tc>
          <w:tcPr>
            <w:tcW w:w="8457" w:type="dxa"/>
            <w:tcBorders>
              <w:top w:val="nil"/>
              <w:left w:val="nil"/>
              <w:bottom w:val="nil"/>
              <w:right w:val="nil"/>
            </w:tcBorders>
            <w:shd w:val="clear" w:color="auto" w:fill="auto"/>
            <w:vAlign w:val="bottom"/>
            <w:hideMark/>
          </w:tcPr>
          <w:p w14:paraId="31733FD1" w14:textId="77777777" w:rsidR="00BE6461" w:rsidRPr="00BE6461" w:rsidRDefault="00BE6461" w:rsidP="00BE6461">
            <w:pPr>
              <w:rPr>
                <w:sz w:val="20"/>
                <w:szCs w:val="20"/>
              </w:rPr>
            </w:pPr>
            <w:r w:rsidRPr="00BE6461">
              <w:rPr>
                <w:sz w:val="20"/>
                <w:szCs w:val="20"/>
              </w:rPr>
              <w:t>Članarine i norme</w:t>
            </w:r>
          </w:p>
        </w:tc>
        <w:tc>
          <w:tcPr>
            <w:tcW w:w="1503" w:type="dxa"/>
            <w:tcBorders>
              <w:top w:val="nil"/>
              <w:left w:val="nil"/>
              <w:bottom w:val="nil"/>
              <w:right w:val="nil"/>
            </w:tcBorders>
            <w:shd w:val="clear" w:color="auto" w:fill="auto"/>
            <w:noWrap/>
            <w:vAlign w:val="bottom"/>
            <w:hideMark/>
          </w:tcPr>
          <w:p w14:paraId="2D63FA9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6F9209A9" w14:textId="77777777" w:rsidR="00BE6461" w:rsidRPr="00BE6461" w:rsidRDefault="00BE6461" w:rsidP="00BE6461">
            <w:pPr>
              <w:jc w:val="right"/>
              <w:rPr>
                <w:sz w:val="20"/>
                <w:szCs w:val="20"/>
              </w:rPr>
            </w:pPr>
            <w:r w:rsidRPr="00BE6461">
              <w:rPr>
                <w:sz w:val="20"/>
                <w:szCs w:val="20"/>
              </w:rPr>
              <w:t>7.000,00</w:t>
            </w:r>
          </w:p>
        </w:tc>
        <w:tc>
          <w:tcPr>
            <w:tcW w:w="1100" w:type="dxa"/>
            <w:tcBorders>
              <w:top w:val="nil"/>
              <w:left w:val="nil"/>
              <w:bottom w:val="nil"/>
              <w:right w:val="nil"/>
            </w:tcBorders>
            <w:shd w:val="clear" w:color="auto" w:fill="auto"/>
            <w:noWrap/>
            <w:vAlign w:val="bottom"/>
            <w:hideMark/>
          </w:tcPr>
          <w:p w14:paraId="5089942D" w14:textId="77777777" w:rsidR="00BE6461" w:rsidRPr="00BE6461" w:rsidRDefault="00BE6461" w:rsidP="00BE6461">
            <w:pPr>
              <w:jc w:val="right"/>
              <w:rPr>
                <w:sz w:val="20"/>
                <w:szCs w:val="20"/>
              </w:rPr>
            </w:pPr>
          </w:p>
        </w:tc>
      </w:tr>
      <w:tr w:rsidR="00BE6461" w:rsidRPr="00BE6461" w14:paraId="6C36EE5D"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1472EA75" w14:textId="77777777" w:rsidR="00BE6461" w:rsidRPr="00BE6461" w:rsidRDefault="00BE6461" w:rsidP="00BE6461">
            <w:pPr>
              <w:rPr>
                <w:b/>
                <w:bCs/>
                <w:sz w:val="20"/>
                <w:szCs w:val="20"/>
              </w:rPr>
            </w:pPr>
            <w:r w:rsidRPr="00BE6461">
              <w:rPr>
                <w:b/>
                <w:bCs/>
                <w:sz w:val="20"/>
                <w:szCs w:val="20"/>
              </w:rPr>
              <w:t>A300071</w:t>
            </w:r>
          </w:p>
        </w:tc>
        <w:tc>
          <w:tcPr>
            <w:tcW w:w="8457" w:type="dxa"/>
            <w:tcBorders>
              <w:top w:val="single" w:sz="4" w:space="0" w:color="auto"/>
              <w:left w:val="nil"/>
              <w:bottom w:val="single" w:sz="4" w:space="0" w:color="auto"/>
              <w:right w:val="nil"/>
            </w:tcBorders>
            <w:shd w:val="clear" w:color="auto" w:fill="auto"/>
            <w:vAlign w:val="bottom"/>
            <w:hideMark/>
          </w:tcPr>
          <w:p w14:paraId="179942A1" w14:textId="77777777" w:rsidR="00BE6461" w:rsidRPr="00BE6461" w:rsidRDefault="00BE6461" w:rsidP="00BE6461">
            <w:pPr>
              <w:rPr>
                <w:b/>
                <w:bCs/>
                <w:sz w:val="20"/>
                <w:szCs w:val="20"/>
              </w:rPr>
            </w:pPr>
            <w:r w:rsidRPr="00BE6461">
              <w:rPr>
                <w:b/>
                <w:bCs/>
                <w:sz w:val="20"/>
                <w:szCs w:val="20"/>
              </w:rPr>
              <w:t>Aktivnost: PRIPREMA PROJEKATA ZA PRIJAVU</w:t>
            </w:r>
          </w:p>
        </w:tc>
        <w:tc>
          <w:tcPr>
            <w:tcW w:w="1503" w:type="dxa"/>
            <w:tcBorders>
              <w:top w:val="single" w:sz="4" w:space="0" w:color="auto"/>
              <w:left w:val="nil"/>
              <w:bottom w:val="single" w:sz="4" w:space="0" w:color="auto"/>
              <w:right w:val="nil"/>
            </w:tcBorders>
            <w:shd w:val="clear" w:color="auto" w:fill="auto"/>
            <w:noWrap/>
            <w:vAlign w:val="bottom"/>
            <w:hideMark/>
          </w:tcPr>
          <w:p w14:paraId="6D9DCFD6" w14:textId="77777777" w:rsidR="00BE6461" w:rsidRPr="00BE6461" w:rsidRDefault="00BE6461" w:rsidP="00BE6461">
            <w:pPr>
              <w:jc w:val="right"/>
              <w:rPr>
                <w:b/>
                <w:bCs/>
                <w:sz w:val="20"/>
                <w:szCs w:val="20"/>
              </w:rPr>
            </w:pPr>
            <w:r w:rsidRPr="00BE6461">
              <w:rPr>
                <w:b/>
                <w:bCs/>
                <w:sz w:val="20"/>
                <w:szCs w:val="20"/>
              </w:rPr>
              <w:t>181.750,00</w:t>
            </w:r>
          </w:p>
        </w:tc>
        <w:tc>
          <w:tcPr>
            <w:tcW w:w="1500" w:type="dxa"/>
            <w:tcBorders>
              <w:top w:val="single" w:sz="4" w:space="0" w:color="auto"/>
              <w:left w:val="nil"/>
              <w:bottom w:val="single" w:sz="4" w:space="0" w:color="auto"/>
              <w:right w:val="nil"/>
            </w:tcBorders>
            <w:shd w:val="clear" w:color="auto" w:fill="auto"/>
            <w:noWrap/>
            <w:vAlign w:val="bottom"/>
            <w:hideMark/>
          </w:tcPr>
          <w:p w14:paraId="5A3B2B2B" w14:textId="77777777" w:rsidR="00BE6461" w:rsidRPr="00BE6461" w:rsidRDefault="00BE6461" w:rsidP="00BE6461">
            <w:pPr>
              <w:jc w:val="right"/>
              <w:rPr>
                <w:b/>
                <w:bCs/>
                <w:sz w:val="20"/>
                <w:szCs w:val="20"/>
              </w:rPr>
            </w:pPr>
            <w:r w:rsidRPr="00BE6461">
              <w:rPr>
                <w:b/>
                <w:bCs/>
                <w:sz w:val="20"/>
                <w:szCs w:val="20"/>
              </w:rPr>
              <w:t>181.750,00</w:t>
            </w:r>
          </w:p>
        </w:tc>
        <w:tc>
          <w:tcPr>
            <w:tcW w:w="1100" w:type="dxa"/>
            <w:tcBorders>
              <w:top w:val="single" w:sz="4" w:space="0" w:color="auto"/>
              <w:left w:val="nil"/>
              <w:bottom w:val="single" w:sz="4" w:space="0" w:color="auto"/>
              <w:right w:val="nil"/>
            </w:tcBorders>
            <w:shd w:val="clear" w:color="auto" w:fill="auto"/>
            <w:noWrap/>
            <w:vAlign w:val="bottom"/>
            <w:hideMark/>
          </w:tcPr>
          <w:p w14:paraId="2AF3F627"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67643624"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2634878"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05DFDF9D" w14:textId="77777777" w:rsidR="00BE6461" w:rsidRPr="00BE6461" w:rsidRDefault="00BE6461" w:rsidP="00BE6461">
            <w:pPr>
              <w:jc w:val="right"/>
              <w:rPr>
                <w:b/>
                <w:bCs/>
                <w:color w:val="333333"/>
                <w:sz w:val="20"/>
                <w:szCs w:val="20"/>
              </w:rPr>
            </w:pPr>
            <w:r w:rsidRPr="00BE6461">
              <w:rPr>
                <w:b/>
                <w:bCs/>
                <w:color w:val="333333"/>
                <w:sz w:val="20"/>
                <w:szCs w:val="20"/>
              </w:rPr>
              <w:t>181.750,00</w:t>
            </w:r>
          </w:p>
        </w:tc>
        <w:tc>
          <w:tcPr>
            <w:tcW w:w="1500" w:type="dxa"/>
            <w:tcBorders>
              <w:top w:val="nil"/>
              <w:left w:val="nil"/>
              <w:bottom w:val="nil"/>
              <w:right w:val="nil"/>
            </w:tcBorders>
            <w:shd w:val="clear" w:color="auto" w:fill="auto"/>
            <w:noWrap/>
            <w:vAlign w:val="bottom"/>
            <w:hideMark/>
          </w:tcPr>
          <w:p w14:paraId="78925077" w14:textId="77777777" w:rsidR="00BE6461" w:rsidRPr="00BE6461" w:rsidRDefault="00BE6461" w:rsidP="00BE6461">
            <w:pPr>
              <w:jc w:val="right"/>
              <w:rPr>
                <w:b/>
                <w:bCs/>
                <w:color w:val="333333"/>
                <w:sz w:val="20"/>
                <w:szCs w:val="20"/>
              </w:rPr>
            </w:pPr>
            <w:r w:rsidRPr="00BE6461">
              <w:rPr>
                <w:b/>
                <w:bCs/>
                <w:color w:val="333333"/>
                <w:sz w:val="20"/>
                <w:szCs w:val="20"/>
              </w:rPr>
              <w:t>181.750,00</w:t>
            </w:r>
          </w:p>
        </w:tc>
        <w:tc>
          <w:tcPr>
            <w:tcW w:w="1100" w:type="dxa"/>
            <w:tcBorders>
              <w:top w:val="nil"/>
              <w:left w:val="nil"/>
              <w:bottom w:val="nil"/>
              <w:right w:val="nil"/>
            </w:tcBorders>
            <w:shd w:val="clear" w:color="auto" w:fill="auto"/>
            <w:noWrap/>
            <w:vAlign w:val="bottom"/>
            <w:hideMark/>
          </w:tcPr>
          <w:p w14:paraId="2025DB8B"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124ECE9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A7DEA55"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1B937DE5" w14:textId="77777777" w:rsidR="00BE6461" w:rsidRPr="00BE6461" w:rsidRDefault="00BE6461" w:rsidP="00BE6461">
            <w:pPr>
              <w:jc w:val="right"/>
              <w:rPr>
                <w:b/>
                <w:bCs/>
                <w:color w:val="333333"/>
                <w:sz w:val="20"/>
                <w:szCs w:val="20"/>
              </w:rPr>
            </w:pPr>
            <w:r w:rsidRPr="00BE6461">
              <w:rPr>
                <w:b/>
                <w:bCs/>
                <w:color w:val="333333"/>
                <w:sz w:val="20"/>
                <w:szCs w:val="20"/>
              </w:rPr>
              <w:t>181.750,00</w:t>
            </w:r>
          </w:p>
        </w:tc>
        <w:tc>
          <w:tcPr>
            <w:tcW w:w="1500" w:type="dxa"/>
            <w:tcBorders>
              <w:top w:val="nil"/>
              <w:left w:val="nil"/>
              <w:bottom w:val="nil"/>
              <w:right w:val="nil"/>
            </w:tcBorders>
            <w:shd w:val="clear" w:color="auto" w:fill="auto"/>
            <w:noWrap/>
            <w:vAlign w:val="bottom"/>
            <w:hideMark/>
          </w:tcPr>
          <w:p w14:paraId="04518AD1" w14:textId="77777777" w:rsidR="00BE6461" w:rsidRPr="00BE6461" w:rsidRDefault="00BE6461" w:rsidP="00BE6461">
            <w:pPr>
              <w:jc w:val="right"/>
              <w:rPr>
                <w:b/>
                <w:bCs/>
                <w:color w:val="333333"/>
                <w:sz w:val="20"/>
                <w:szCs w:val="20"/>
              </w:rPr>
            </w:pPr>
            <w:r w:rsidRPr="00BE6461">
              <w:rPr>
                <w:b/>
                <w:bCs/>
                <w:color w:val="333333"/>
                <w:sz w:val="20"/>
                <w:szCs w:val="20"/>
              </w:rPr>
              <w:t>181.750,00</w:t>
            </w:r>
          </w:p>
        </w:tc>
        <w:tc>
          <w:tcPr>
            <w:tcW w:w="1100" w:type="dxa"/>
            <w:tcBorders>
              <w:top w:val="nil"/>
              <w:left w:val="nil"/>
              <w:bottom w:val="nil"/>
              <w:right w:val="nil"/>
            </w:tcBorders>
            <w:shd w:val="clear" w:color="auto" w:fill="auto"/>
            <w:noWrap/>
            <w:vAlign w:val="bottom"/>
            <w:hideMark/>
          </w:tcPr>
          <w:p w14:paraId="4747387C"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34653453" w14:textId="77777777" w:rsidTr="00BE6461">
        <w:trPr>
          <w:trHeight w:val="300"/>
        </w:trPr>
        <w:tc>
          <w:tcPr>
            <w:tcW w:w="1703" w:type="dxa"/>
            <w:tcBorders>
              <w:top w:val="nil"/>
              <w:left w:val="nil"/>
              <w:bottom w:val="nil"/>
              <w:right w:val="nil"/>
            </w:tcBorders>
            <w:shd w:val="clear" w:color="auto" w:fill="auto"/>
            <w:noWrap/>
            <w:vAlign w:val="bottom"/>
            <w:hideMark/>
          </w:tcPr>
          <w:p w14:paraId="7458D6D0" w14:textId="77777777" w:rsidR="00BE6461" w:rsidRPr="00BE6461" w:rsidRDefault="00BE6461" w:rsidP="00BE6461">
            <w:pPr>
              <w:rPr>
                <w:b/>
                <w:bCs/>
                <w:sz w:val="20"/>
                <w:szCs w:val="20"/>
              </w:rPr>
            </w:pPr>
            <w:r w:rsidRPr="00BE6461">
              <w:rPr>
                <w:b/>
                <w:bCs/>
                <w:sz w:val="20"/>
                <w:szCs w:val="20"/>
              </w:rPr>
              <w:lastRenderedPageBreak/>
              <w:t>323</w:t>
            </w:r>
          </w:p>
        </w:tc>
        <w:tc>
          <w:tcPr>
            <w:tcW w:w="8457" w:type="dxa"/>
            <w:tcBorders>
              <w:top w:val="nil"/>
              <w:left w:val="nil"/>
              <w:bottom w:val="nil"/>
              <w:right w:val="nil"/>
            </w:tcBorders>
            <w:shd w:val="clear" w:color="auto" w:fill="auto"/>
            <w:vAlign w:val="bottom"/>
            <w:hideMark/>
          </w:tcPr>
          <w:p w14:paraId="0F35E6D9"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21E5BAEC" w14:textId="77777777" w:rsidR="00BE6461" w:rsidRPr="00BE6461" w:rsidRDefault="00BE6461" w:rsidP="00BE6461">
            <w:pPr>
              <w:jc w:val="right"/>
              <w:rPr>
                <w:b/>
                <w:bCs/>
                <w:sz w:val="20"/>
                <w:szCs w:val="20"/>
              </w:rPr>
            </w:pPr>
            <w:r w:rsidRPr="00BE6461">
              <w:rPr>
                <w:b/>
                <w:bCs/>
                <w:sz w:val="20"/>
                <w:szCs w:val="20"/>
              </w:rPr>
              <w:t>181.750,00</w:t>
            </w:r>
          </w:p>
        </w:tc>
        <w:tc>
          <w:tcPr>
            <w:tcW w:w="1500" w:type="dxa"/>
            <w:tcBorders>
              <w:top w:val="nil"/>
              <w:left w:val="nil"/>
              <w:bottom w:val="nil"/>
              <w:right w:val="nil"/>
            </w:tcBorders>
            <w:shd w:val="clear" w:color="auto" w:fill="auto"/>
            <w:noWrap/>
            <w:vAlign w:val="bottom"/>
            <w:hideMark/>
          </w:tcPr>
          <w:p w14:paraId="0540AA08" w14:textId="77777777" w:rsidR="00BE6461" w:rsidRPr="00BE6461" w:rsidRDefault="00BE6461" w:rsidP="00BE6461">
            <w:pPr>
              <w:jc w:val="right"/>
              <w:rPr>
                <w:b/>
                <w:bCs/>
                <w:sz w:val="20"/>
                <w:szCs w:val="20"/>
              </w:rPr>
            </w:pPr>
            <w:r w:rsidRPr="00BE6461">
              <w:rPr>
                <w:b/>
                <w:bCs/>
                <w:sz w:val="20"/>
                <w:szCs w:val="20"/>
              </w:rPr>
              <w:t>181.750,00</w:t>
            </w:r>
          </w:p>
        </w:tc>
        <w:tc>
          <w:tcPr>
            <w:tcW w:w="1100" w:type="dxa"/>
            <w:tcBorders>
              <w:top w:val="nil"/>
              <w:left w:val="nil"/>
              <w:bottom w:val="nil"/>
              <w:right w:val="nil"/>
            </w:tcBorders>
            <w:shd w:val="clear" w:color="auto" w:fill="auto"/>
            <w:noWrap/>
            <w:vAlign w:val="bottom"/>
            <w:hideMark/>
          </w:tcPr>
          <w:p w14:paraId="1CC7B486"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3632A8FD" w14:textId="77777777" w:rsidTr="00BE6461">
        <w:trPr>
          <w:trHeight w:val="300"/>
        </w:trPr>
        <w:tc>
          <w:tcPr>
            <w:tcW w:w="1703" w:type="dxa"/>
            <w:tcBorders>
              <w:top w:val="nil"/>
              <w:left w:val="nil"/>
              <w:bottom w:val="nil"/>
              <w:right w:val="nil"/>
            </w:tcBorders>
            <w:shd w:val="clear" w:color="auto" w:fill="auto"/>
            <w:noWrap/>
            <w:vAlign w:val="bottom"/>
            <w:hideMark/>
          </w:tcPr>
          <w:p w14:paraId="29951E1C"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58B0D65C"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131C7E7C"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472D2693" w14:textId="77777777" w:rsidR="00BE6461" w:rsidRPr="00BE6461" w:rsidRDefault="00BE6461" w:rsidP="00BE6461">
            <w:pPr>
              <w:jc w:val="right"/>
              <w:rPr>
                <w:sz w:val="20"/>
                <w:szCs w:val="20"/>
              </w:rPr>
            </w:pPr>
            <w:r w:rsidRPr="00BE6461">
              <w:rPr>
                <w:sz w:val="20"/>
                <w:szCs w:val="20"/>
              </w:rPr>
              <w:t>181.750,00</w:t>
            </w:r>
          </w:p>
        </w:tc>
        <w:tc>
          <w:tcPr>
            <w:tcW w:w="1100" w:type="dxa"/>
            <w:tcBorders>
              <w:top w:val="nil"/>
              <w:left w:val="nil"/>
              <w:bottom w:val="nil"/>
              <w:right w:val="nil"/>
            </w:tcBorders>
            <w:shd w:val="clear" w:color="auto" w:fill="auto"/>
            <w:noWrap/>
            <w:vAlign w:val="bottom"/>
            <w:hideMark/>
          </w:tcPr>
          <w:p w14:paraId="2A2DB2D7" w14:textId="77777777" w:rsidR="00BE6461" w:rsidRPr="00BE6461" w:rsidRDefault="00BE6461" w:rsidP="00BE6461">
            <w:pPr>
              <w:jc w:val="right"/>
              <w:rPr>
                <w:sz w:val="20"/>
                <w:szCs w:val="20"/>
              </w:rPr>
            </w:pPr>
          </w:p>
        </w:tc>
      </w:tr>
      <w:tr w:rsidR="00BE6461" w:rsidRPr="00BE6461" w14:paraId="08B41BCE"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5089C54E" w14:textId="77777777" w:rsidR="00BE6461" w:rsidRPr="00BE6461" w:rsidRDefault="00BE6461" w:rsidP="00BE6461">
            <w:pPr>
              <w:rPr>
                <w:b/>
                <w:bCs/>
                <w:sz w:val="20"/>
                <w:szCs w:val="20"/>
              </w:rPr>
            </w:pPr>
            <w:r w:rsidRPr="00BE6461">
              <w:rPr>
                <w:b/>
                <w:bCs/>
                <w:sz w:val="20"/>
                <w:szCs w:val="20"/>
              </w:rPr>
              <w:t>A300072</w:t>
            </w:r>
          </w:p>
        </w:tc>
        <w:tc>
          <w:tcPr>
            <w:tcW w:w="8457" w:type="dxa"/>
            <w:tcBorders>
              <w:top w:val="single" w:sz="4" w:space="0" w:color="auto"/>
              <w:left w:val="nil"/>
              <w:bottom w:val="single" w:sz="4" w:space="0" w:color="auto"/>
              <w:right w:val="nil"/>
            </w:tcBorders>
            <w:shd w:val="clear" w:color="auto" w:fill="auto"/>
            <w:vAlign w:val="bottom"/>
            <w:hideMark/>
          </w:tcPr>
          <w:p w14:paraId="5063218B" w14:textId="77777777" w:rsidR="00BE6461" w:rsidRPr="00BE6461" w:rsidRDefault="00BE6461" w:rsidP="00BE6461">
            <w:pPr>
              <w:rPr>
                <w:b/>
                <w:bCs/>
                <w:sz w:val="20"/>
                <w:szCs w:val="20"/>
              </w:rPr>
            </w:pPr>
            <w:r w:rsidRPr="00BE6461">
              <w:rPr>
                <w:b/>
                <w:bCs/>
                <w:sz w:val="20"/>
                <w:szCs w:val="20"/>
              </w:rPr>
              <w:t>Aktivnost: PROJEKT - TOURISM4ALL</w:t>
            </w:r>
          </w:p>
        </w:tc>
        <w:tc>
          <w:tcPr>
            <w:tcW w:w="1503" w:type="dxa"/>
            <w:tcBorders>
              <w:top w:val="single" w:sz="4" w:space="0" w:color="auto"/>
              <w:left w:val="nil"/>
              <w:bottom w:val="single" w:sz="4" w:space="0" w:color="auto"/>
              <w:right w:val="nil"/>
            </w:tcBorders>
            <w:shd w:val="clear" w:color="auto" w:fill="auto"/>
            <w:noWrap/>
            <w:vAlign w:val="bottom"/>
            <w:hideMark/>
          </w:tcPr>
          <w:p w14:paraId="060AB408" w14:textId="77777777" w:rsidR="00BE6461" w:rsidRPr="00BE6461" w:rsidRDefault="00BE6461" w:rsidP="00BE6461">
            <w:pPr>
              <w:jc w:val="right"/>
              <w:rPr>
                <w:b/>
                <w:bCs/>
                <w:sz w:val="20"/>
                <w:szCs w:val="20"/>
              </w:rPr>
            </w:pPr>
            <w:r w:rsidRPr="00BE6461">
              <w:rPr>
                <w:b/>
                <w:bCs/>
                <w:sz w:val="20"/>
                <w:szCs w:val="20"/>
              </w:rPr>
              <w:t>2.250,00</w:t>
            </w:r>
          </w:p>
        </w:tc>
        <w:tc>
          <w:tcPr>
            <w:tcW w:w="1500" w:type="dxa"/>
            <w:tcBorders>
              <w:top w:val="single" w:sz="4" w:space="0" w:color="auto"/>
              <w:left w:val="nil"/>
              <w:bottom w:val="single" w:sz="4" w:space="0" w:color="auto"/>
              <w:right w:val="nil"/>
            </w:tcBorders>
            <w:shd w:val="clear" w:color="auto" w:fill="auto"/>
            <w:noWrap/>
            <w:vAlign w:val="bottom"/>
            <w:hideMark/>
          </w:tcPr>
          <w:p w14:paraId="63A944E9" w14:textId="77777777" w:rsidR="00BE6461" w:rsidRPr="00BE6461" w:rsidRDefault="00BE6461" w:rsidP="00BE6461">
            <w:pPr>
              <w:jc w:val="right"/>
              <w:rPr>
                <w:b/>
                <w:bCs/>
                <w:sz w:val="20"/>
                <w:szCs w:val="20"/>
              </w:rPr>
            </w:pPr>
            <w:r w:rsidRPr="00BE6461">
              <w:rPr>
                <w:b/>
                <w:bCs/>
                <w:sz w:val="20"/>
                <w:szCs w:val="20"/>
              </w:rPr>
              <w:t>2.250,00</w:t>
            </w:r>
          </w:p>
        </w:tc>
        <w:tc>
          <w:tcPr>
            <w:tcW w:w="1100" w:type="dxa"/>
            <w:tcBorders>
              <w:top w:val="single" w:sz="4" w:space="0" w:color="auto"/>
              <w:left w:val="nil"/>
              <w:bottom w:val="single" w:sz="4" w:space="0" w:color="auto"/>
              <w:right w:val="nil"/>
            </w:tcBorders>
            <w:shd w:val="clear" w:color="auto" w:fill="auto"/>
            <w:noWrap/>
            <w:vAlign w:val="bottom"/>
            <w:hideMark/>
          </w:tcPr>
          <w:p w14:paraId="6FC58CB6"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42070246"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09B60B7"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63DA0CC4" w14:textId="77777777" w:rsidR="00BE6461" w:rsidRPr="00BE6461" w:rsidRDefault="00BE6461" w:rsidP="00BE6461">
            <w:pPr>
              <w:jc w:val="right"/>
              <w:rPr>
                <w:b/>
                <w:bCs/>
                <w:color w:val="333333"/>
                <w:sz w:val="20"/>
                <w:szCs w:val="20"/>
              </w:rPr>
            </w:pPr>
            <w:r w:rsidRPr="00BE6461">
              <w:rPr>
                <w:b/>
                <w:bCs/>
                <w:color w:val="333333"/>
                <w:sz w:val="20"/>
                <w:szCs w:val="20"/>
              </w:rPr>
              <w:t>2.250,00</w:t>
            </w:r>
          </w:p>
        </w:tc>
        <w:tc>
          <w:tcPr>
            <w:tcW w:w="1500" w:type="dxa"/>
            <w:tcBorders>
              <w:top w:val="nil"/>
              <w:left w:val="nil"/>
              <w:bottom w:val="nil"/>
              <w:right w:val="nil"/>
            </w:tcBorders>
            <w:shd w:val="clear" w:color="auto" w:fill="auto"/>
            <w:noWrap/>
            <w:vAlign w:val="bottom"/>
            <w:hideMark/>
          </w:tcPr>
          <w:p w14:paraId="3F28B590" w14:textId="77777777" w:rsidR="00BE6461" w:rsidRPr="00BE6461" w:rsidRDefault="00BE6461" w:rsidP="00BE6461">
            <w:pPr>
              <w:jc w:val="right"/>
              <w:rPr>
                <w:b/>
                <w:bCs/>
                <w:color w:val="333333"/>
                <w:sz w:val="20"/>
                <w:szCs w:val="20"/>
              </w:rPr>
            </w:pPr>
            <w:r w:rsidRPr="00BE6461">
              <w:rPr>
                <w:b/>
                <w:bCs/>
                <w:color w:val="333333"/>
                <w:sz w:val="20"/>
                <w:szCs w:val="20"/>
              </w:rPr>
              <w:t>2.250,00</w:t>
            </w:r>
          </w:p>
        </w:tc>
        <w:tc>
          <w:tcPr>
            <w:tcW w:w="1100" w:type="dxa"/>
            <w:tcBorders>
              <w:top w:val="nil"/>
              <w:left w:val="nil"/>
              <w:bottom w:val="nil"/>
              <w:right w:val="nil"/>
            </w:tcBorders>
            <w:shd w:val="clear" w:color="auto" w:fill="auto"/>
            <w:noWrap/>
            <w:vAlign w:val="bottom"/>
            <w:hideMark/>
          </w:tcPr>
          <w:p w14:paraId="17CA2C02"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26BCCC92"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1EEFE17"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689676D8" w14:textId="77777777" w:rsidR="00BE6461" w:rsidRPr="00BE6461" w:rsidRDefault="00BE6461" w:rsidP="00BE6461">
            <w:pPr>
              <w:jc w:val="right"/>
              <w:rPr>
                <w:b/>
                <w:bCs/>
                <w:color w:val="333333"/>
                <w:sz w:val="20"/>
                <w:szCs w:val="20"/>
              </w:rPr>
            </w:pPr>
            <w:r w:rsidRPr="00BE6461">
              <w:rPr>
                <w:b/>
                <w:bCs/>
                <w:color w:val="333333"/>
                <w:sz w:val="20"/>
                <w:szCs w:val="20"/>
              </w:rPr>
              <w:t>2.250,00</w:t>
            </w:r>
          </w:p>
        </w:tc>
        <w:tc>
          <w:tcPr>
            <w:tcW w:w="1500" w:type="dxa"/>
            <w:tcBorders>
              <w:top w:val="nil"/>
              <w:left w:val="nil"/>
              <w:bottom w:val="nil"/>
              <w:right w:val="nil"/>
            </w:tcBorders>
            <w:shd w:val="clear" w:color="auto" w:fill="auto"/>
            <w:noWrap/>
            <w:vAlign w:val="bottom"/>
            <w:hideMark/>
          </w:tcPr>
          <w:p w14:paraId="6F5A290A" w14:textId="77777777" w:rsidR="00BE6461" w:rsidRPr="00BE6461" w:rsidRDefault="00BE6461" w:rsidP="00BE6461">
            <w:pPr>
              <w:jc w:val="right"/>
              <w:rPr>
                <w:b/>
                <w:bCs/>
                <w:color w:val="333333"/>
                <w:sz w:val="20"/>
                <w:szCs w:val="20"/>
              </w:rPr>
            </w:pPr>
            <w:r w:rsidRPr="00BE6461">
              <w:rPr>
                <w:b/>
                <w:bCs/>
                <w:color w:val="333333"/>
                <w:sz w:val="20"/>
                <w:szCs w:val="20"/>
              </w:rPr>
              <w:t>2.250,00</w:t>
            </w:r>
          </w:p>
        </w:tc>
        <w:tc>
          <w:tcPr>
            <w:tcW w:w="1100" w:type="dxa"/>
            <w:tcBorders>
              <w:top w:val="nil"/>
              <w:left w:val="nil"/>
              <w:bottom w:val="nil"/>
              <w:right w:val="nil"/>
            </w:tcBorders>
            <w:shd w:val="clear" w:color="auto" w:fill="auto"/>
            <w:noWrap/>
            <w:vAlign w:val="bottom"/>
            <w:hideMark/>
          </w:tcPr>
          <w:p w14:paraId="70E54609"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5E1B208B" w14:textId="77777777" w:rsidTr="00BE6461">
        <w:trPr>
          <w:trHeight w:val="300"/>
        </w:trPr>
        <w:tc>
          <w:tcPr>
            <w:tcW w:w="1703" w:type="dxa"/>
            <w:tcBorders>
              <w:top w:val="nil"/>
              <w:left w:val="nil"/>
              <w:bottom w:val="nil"/>
              <w:right w:val="nil"/>
            </w:tcBorders>
            <w:shd w:val="clear" w:color="auto" w:fill="auto"/>
            <w:noWrap/>
            <w:vAlign w:val="bottom"/>
            <w:hideMark/>
          </w:tcPr>
          <w:p w14:paraId="3400B5E9"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1A4F8051"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76FA60A4" w14:textId="77777777" w:rsidR="00BE6461" w:rsidRPr="00BE6461" w:rsidRDefault="00BE6461" w:rsidP="00BE6461">
            <w:pPr>
              <w:jc w:val="right"/>
              <w:rPr>
                <w:b/>
                <w:bCs/>
                <w:sz w:val="20"/>
                <w:szCs w:val="20"/>
              </w:rPr>
            </w:pPr>
            <w:r w:rsidRPr="00BE6461">
              <w:rPr>
                <w:b/>
                <w:bCs/>
                <w:sz w:val="20"/>
                <w:szCs w:val="20"/>
              </w:rPr>
              <w:t>2.250,00</w:t>
            </w:r>
          </w:p>
        </w:tc>
        <w:tc>
          <w:tcPr>
            <w:tcW w:w="1500" w:type="dxa"/>
            <w:tcBorders>
              <w:top w:val="nil"/>
              <w:left w:val="nil"/>
              <w:bottom w:val="nil"/>
              <w:right w:val="nil"/>
            </w:tcBorders>
            <w:shd w:val="clear" w:color="auto" w:fill="auto"/>
            <w:noWrap/>
            <w:vAlign w:val="bottom"/>
            <w:hideMark/>
          </w:tcPr>
          <w:p w14:paraId="7E5A5CC6" w14:textId="77777777" w:rsidR="00BE6461" w:rsidRPr="00BE6461" w:rsidRDefault="00BE6461" w:rsidP="00BE6461">
            <w:pPr>
              <w:jc w:val="right"/>
              <w:rPr>
                <w:b/>
                <w:bCs/>
                <w:sz w:val="20"/>
                <w:szCs w:val="20"/>
              </w:rPr>
            </w:pPr>
            <w:r w:rsidRPr="00BE6461">
              <w:rPr>
                <w:b/>
                <w:bCs/>
                <w:sz w:val="20"/>
                <w:szCs w:val="20"/>
              </w:rPr>
              <w:t>2.250,00</w:t>
            </w:r>
          </w:p>
        </w:tc>
        <w:tc>
          <w:tcPr>
            <w:tcW w:w="1100" w:type="dxa"/>
            <w:tcBorders>
              <w:top w:val="nil"/>
              <w:left w:val="nil"/>
              <w:bottom w:val="nil"/>
              <w:right w:val="nil"/>
            </w:tcBorders>
            <w:shd w:val="clear" w:color="auto" w:fill="auto"/>
            <w:noWrap/>
            <w:vAlign w:val="bottom"/>
            <w:hideMark/>
          </w:tcPr>
          <w:p w14:paraId="6BA61907"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3B39C469" w14:textId="77777777" w:rsidTr="00BE6461">
        <w:trPr>
          <w:trHeight w:val="300"/>
        </w:trPr>
        <w:tc>
          <w:tcPr>
            <w:tcW w:w="1703" w:type="dxa"/>
            <w:tcBorders>
              <w:top w:val="nil"/>
              <w:left w:val="nil"/>
              <w:bottom w:val="nil"/>
              <w:right w:val="nil"/>
            </w:tcBorders>
            <w:shd w:val="clear" w:color="auto" w:fill="auto"/>
            <w:noWrap/>
            <w:vAlign w:val="bottom"/>
            <w:hideMark/>
          </w:tcPr>
          <w:p w14:paraId="51BC7034" w14:textId="77777777" w:rsidR="00BE6461" w:rsidRPr="00BE6461" w:rsidRDefault="00BE6461" w:rsidP="00BE6461">
            <w:pPr>
              <w:rPr>
                <w:sz w:val="20"/>
                <w:szCs w:val="20"/>
              </w:rPr>
            </w:pPr>
            <w:r w:rsidRPr="00BE6461">
              <w:rPr>
                <w:sz w:val="20"/>
                <w:szCs w:val="20"/>
              </w:rPr>
              <w:t>3233</w:t>
            </w:r>
          </w:p>
        </w:tc>
        <w:tc>
          <w:tcPr>
            <w:tcW w:w="8457" w:type="dxa"/>
            <w:tcBorders>
              <w:top w:val="nil"/>
              <w:left w:val="nil"/>
              <w:bottom w:val="nil"/>
              <w:right w:val="nil"/>
            </w:tcBorders>
            <w:shd w:val="clear" w:color="auto" w:fill="auto"/>
            <w:vAlign w:val="bottom"/>
            <w:hideMark/>
          </w:tcPr>
          <w:p w14:paraId="45295075" w14:textId="77777777" w:rsidR="00BE6461" w:rsidRPr="00BE6461" w:rsidRDefault="00BE6461" w:rsidP="00BE6461">
            <w:pPr>
              <w:rPr>
                <w:sz w:val="20"/>
                <w:szCs w:val="20"/>
              </w:rPr>
            </w:pPr>
            <w:r w:rsidRPr="00BE6461">
              <w:rPr>
                <w:sz w:val="20"/>
                <w:szCs w:val="20"/>
              </w:rPr>
              <w:t xml:space="preserve">Usluge promidžbe i informiranja                                                                     </w:t>
            </w:r>
          </w:p>
        </w:tc>
        <w:tc>
          <w:tcPr>
            <w:tcW w:w="1503" w:type="dxa"/>
            <w:tcBorders>
              <w:top w:val="nil"/>
              <w:left w:val="nil"/>
              <w:bottom w:val="nil"/>
              <w:right w:val="nil"/>
            </w:tcBorders>
            <w:shd w:val="clear" w:color="auto" w:fill="auto"/>
            <w:noWrap/>
            <w:vAlign w:val="bottom"/>
            <w:hideMark/>
          </w:tcPr>
          <w:p w14:paraId="5D0082FA"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7AD8EED" w14:textId="77777777" w:rsidR="00BE6461" w:rsidRPr="00BE6461" w:rsidRDefault="00BE6461" w:rsidP="00BE6461">
            <w:pPr>
              <w:jc w:val="right"/>
              <w:rPr>
                <w:sz w:val="20"/>
                <w:szCs w:val="20"/>
              </w:rPr>
            </w:pPr>
            <w:r w:rsidRPr="00BE6461">
              <w:rPr>
                <w:sz w:val="20"/>
                <w:szCs w:val="20"/>
              </w:rPr>
              <w:t>2.250,00</w:t>
            </w:r>
          </w:p>
        </w:tc>
        <w:tc>
          <w:tcPr>
            <w:tcW w:w="1100" w:type="dxa"/>
            <w:tcBorders>
              <w:top w:val="nil"/>
              <w:left w:val="nil"/>
              <w:bottom w:val="nil"/>
              <w:right w:val="nil"/>
            </w:tcBorders>
            <w:shd w:val="clear" w:color="auto" w:fill="auto"/>
            <w:noWrap/>
            <w:vAlign w:val="bottom"/>
            <w:hideMark/>
          </w:tcPr>
          <w:p w14:paraId="58511FB2" w14:textId="77777777" w:rsidR="00BE6461" w:rsidRPr="00BE6461" w:rsidRDefault="00BE6461" w:rsidP="00BE6461">
            <w:pPr>
              <w:jc w:val="right"/>
              <w:rPr>
                <w:sz w:val="20"/>
                <w:szCs w:val="20"/>
              </w:rPr>
            </w:pPr>
          </w:p>
        </w:tc>
      </w:tr>
      <w:tr w:rsidR="00BE6461" w:rsidRPr="00BE6461" w14:paraId="32B27B58"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3230B455" w14:textId="77777777" w:rsidR="00BE6461" w:rsidRPr="00BE6461" w:rsidRDefault="00BE6461" w:rsidP="00BE6461">
            <w:pPr>
              <w:rPr>
                <w:b/>
                <w:bCs/>
                <w:sz w:val="20"/>
                <w:szCs w:val="20"/>
              </w:rPr>
            </w:pPr>
            <w:r w:rsidRPr="00BE6461">
              <w:rPr>
                <w:b/>
                <w:bCs/>
                <w:sz w:val="20"/>
                <w:szCs w:val="20"/>
              </w:rPr>
              <w:t>A300076</w:t>
            </w:r>
          </w:p>
        </w:tc>
        <w:tc>
          <w:tcPr>
            <w:tcW w:w="8457" w:type="dxa"/>
            <w:tcBorders>
              <w:top w:val="single" w:sz="4" w:space="0" w:color="auto"/>
              <w:left w:val="nil"/>
              <w:bottom w:val="single" w:sz="4" w:space="0" w:color="auto"/>
              <w:right w:val="nil"/>
            </w:tcBorders>
            <w:shd w:val="clear" w:color="auto" w:fill="auto"/>
            <w:vAlign w:val="bottom"/>
            <w:hideMark/>
          </w:tcPr>
          <w:p w14:paraId="1182DF99" w14:textId="77777777" w:rsidR="00BE6461" w:rsidRPr="00BE6461" w:rsidRDefault="00BE6461" w:rsidP="00BE6461">
            <w:pPr>
              <w:rPr>
                <w:b/>
                <w:bCs/>
                <w:sz w:val="20"/>
                <w:szCs w:val="20"/>
              </w:rPr>
            </w:pPr>
            <w:r w:rsidRPr="00BE6461">
              <w:rPr>
                <w:b/>
                <w:bCs/>
                <w:sz w:val="20"/>
                <w:szCs w:val="20"/>
              </w:rPr>
              <w:t>Aktivnost: LAGUR - PROJEKT - IZ MORA DO BUJA</w:t>
            </w:r>
          </w:p>
        </w:tc>
        <w:tc>
          <w:tcPr>
            <w:tcW w:w="1503" w:type="dxa"/>
            <w:tcBorders>
              <w:top w:val="single" w:sz="4" w:space="0" w:color="auto"/>
              <w:left w:val="nil"/>
              <w:bottom w:val="single" w:sz="4" w:space="0" w:color="auto"/>
              <w:right w:val="nil"/>
            </w:tcBorders>
            <w:shd w:val="clear" w:color="auto" w:fill="auto"/>
            <w:noWrap/>
            <w:vAlign w:val="bottom"/>
            <w:hideMark/>
          </w:tcPr>
          <w:p w14:paraId="64C8A554" w14:textId="77777777" w:rsidR="00BE6461" w:rsidRPr="00BE6461" w:rsidRDefault="00BE6461" w:rsidP="00BE6461">
            <w:pPr>
              <w:jc w:val="right"/>
              <w:rPr>
                <w:b/>
                <w:bCs/>
                <w:sz w:val="20"/>
                <w:szCs w:val="20"/>
              </w:rPr>
            </w:pPr>
            <w:r w:rsidRPr="00BE6461">
              <w:rPr>
                <w:b/>
                <w:bCs/>
                <w:sz w:val="20"/>
                <w:szCs w:val="20"/>
              </w:rPr>
              <w:t>37.500,00</w:t>
            </w:r>
          </w:p>
        </w:tc>
        <w:tc>
          <w:tcPr>
            <w:tcW w:w="1500" w:type="dxa"/>
            <w:tcBorders>
              <w:top w:val="single" w:sz="4" w:space="0" w:color="auto"/>
              <w:left w:val="nil"/>
              <w:bottom w:val="single" w:sz="4" w:space="0" w:color="auto"/>
              <w:right w:val="nil"/>
            </w:tcBorders>
            <w:shd w:val="clear" w:color="auto" w:fill="auto"/>
            <w:noWrap/>
            <w:vAlign w:val="bottom"/>
            <w:hideMark/>
          </w:tcPr>
          <w:p w14:paraId="007B82ED" w14:textId="77777777" w:rsidR="00BE6461" w:rsidRPr="00BE6461" w:rsidRDefault="00BE6461" w:rsidP="00BE6461">
            <w:pPr>
              <w:jc w:val="right"/>
              <w:rPr>
                <w:b/>
                <w:bCs/>
                <w:sz w:val="20"/>
                <w:szCs w:val="20"/>
              </w:rPr>
            </w:pPr>
            <w:r w:rsidRPr="00BE6461">
              <w:rPr>
                <w:b/>
                <w:bCs/>
                <w:sz w:val="20"/>
                <w:szCs w:val="20"/>
              </w:rPr>
              <w:t>37.500,00</w:t>
            </w:r>
          </w:p>
        </w:tc>
        <w:tc>
          <w:tcPr>
            <w:tcW w:w="1100" w:type="dxa"/>
            <w:tcBorders>
              <w:top w:val="single" w:sz="4" w:space="0" w:color="auto"/>
              <w:left w:val="nil"/>
              <w:bottom w:val="single" w:sz="4" w:space="0" w:color="auto"/>
              <w:right w:val="nil"/>
            </w:tcBorders>
            <w:shd w:val="clear" w:color="auto" w:fill="auto"/>
            <w:noWrap/>
            <w:vAlign w:val="bottom"/>
            <w:hideMark/>
          </w:tcPr>
          <w:p w14:paraId="1D5A77CB"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0C79FF91"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0432A0B9"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254C8874" w14:textId="77777777" w:rsidR="00BE6461" w:rsidRPr="00BE6461" w:rsidRDefault="00BE6461" w:rsidP="00BE6461">
            <w:pPr>
              <w:jc w:val="right"/>
              <w:rPr>
                <w:b/>
                <w:bCs/>
                <w:color w:val="333333"/>
                <w:sz w:val="20"/>
                <w:szCs w:val="20"/>
              </w:rPr>
            </w:pPr>
            <w:r w:rsidRPr="00BE6461">
              <w:rPr>
                <w:b/>
                <w:bCs/>
                <w:color w:val="333333"/>
                <w:sz w:val="20"/>
                <w:szCs w:val="20"/>
              </w:rPr>
              <w:t>37.500,00</w:t>
            </w:r>
          </w:p>
        </w:tc>
        <w:tc>
          <w:tcPr>
            <w:tcW w:w="1500" w:type="dxa"/>
            <w:tcBorders>
              <w:top w:val="nil"/>
              <w:left w:val="nil"/>
              <w:bottom w:val="nil"/>
              <w:right w:val="nil"/>
            </w:tcBorders>
            <w:shd w:val="clear" w:color="auto" w:fill="auto"/>
            <w:noWrap/>
            <w:vAlign w:val="bottom"/>
            <w:hideMark/>
          </w:tcPr>
          <w:p w14:paraId="041B7E8F" w14:textId="77777777" w:rsidR="00BE6461" w:rsidRPr="00BE6461" w:rsidRDefault="00BE6461" w:rsidP="00BE6461">
            <w:pPr>
              <w:jc w:val="right"/>
              <w:rPr>
                <w:b/>
                <w:bCs/>
                <w:color w:val="333333"/>
                <w:sz w:val="20"/>
                <w:szCs w:val="20"/>
              </w:rPr>
            </w:pPr>
            <w:r w:rsidRPr="00BE6461">
              <w:rPr>
                <w:b/>
                <w:bCs/>
                <w:color w:val="333333"/>
                <w:sz w:val="20"/>
                <w:szCs w:val="20"/>
              </w:rPr>
              <w:t>37.500,00</w:t>
            </w:r>
          </w:p>
        </w:tc>
        <w:tc>
          <w:tcPr>
            <w:tcW w:w="1100" w:type="dxa"/>
            <w:tcBorders>
              <w:top w:val="nil"/>
              <w:left w:val="nil"/>
              <w:bottom w:val="nil"/>
              <w:right w:val="nil"/>
            </w:tcBorders>
            <w:shd w:val="clear" w:color="auto" w:fill="auto"/>
            <w:noWrap/>
            <w:vAlign w:val="bottom"/>
            <w:hideMark/>
          </w:tcPr>
          <w:p w14:paraId="2DD2D675"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7C15F9F5"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3F4E0A39"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2FEAF2CE" w14:textId="77777777" w:rsidR="00BE6461" w:rsidRPr="00BE6461" w:rsidRDefault="00BE6461" w:rsidP="00BE6461">
            <w:pPr>
              <w:jc w:val="right"/>
              <w:rPr>
                <w:b/>
                <w:bCs/>
                <w:color w:val="333333"/>
                <w:sz w:val="20"/>
                <w:szCs w:val="20"/>
              </w:rPr>
            </w:pPr>
            <w:r w:rsidRPr="00BE6461">
              <w:rPr>
                <w:b/>
                <w:bCs/>
                <w:color w:val="333333"/>
                <w:sz w:val="20"/>
                <w:szCs w:val="20"/>
              </w:rPr>
              <w:t>37.500,00</w:t>
            </w:r>
          </w:p>
        </w:tc>
        <w:tc>
          <w:tcPr>
            <w:tcW w:w="1500" w:type="dxa"/>
            <w:tcBorders>
              <w:top w:val="nil"/>
              <w:left w:val="nil"/>
              <w:bottom w:val="nil"/>
              <w:right w:val="nil"/>
            </w:tcBorders>
            <w:shd w:val="clear" w:color="auto" w:fill="auto"/>
            <w:noWrap/>
            <w:vAlign w:val="bottom"/>
            <w:hideMark/>
          </w:tcPr>
          <w:p w14:paraId="63718C92" w14:textId="77777777" w:rsidR="00BE6461" w:rsidRPr="00BE6461" w:rsidRDefault="00BE6461" w:rsidP="00BE6461">
            <w:pPr>
              <w:jc w:val="right"/>
              <w:rPr>
                <w:b/>
                <w:bCs/>
                <w:color w:val="333333"/>
                <w:sz w:val="20"/>
                <w:szCs w:val="20"/>
              </w:rPr>
            </w:pPr>
            <w:r w:rsidRPr="00BE6461">
              <w:rPr>
                <w:b/>
                <w:bCs/>
                <w:color w:val="333333"/>
                <w:sz w:val="20"/>
                <w:szCs w:val="20"/>
              </w:rPr>
              <w:t>37.500,00</w:t>
            </w:r>
          </w:p>
        </w:tc>
        <w:tc>
          <w:tcPr>
            <w:tcW w:w="1100" w:type="dxa"/>
            <w:tcBorders>
              <w:top w:val="nil"/>
              <w:left w:val="nil"/>
              <w:bottom w:val="nil"/>
              <w:right w:val="nil"/>
            </w:tcBorders>
            <w:shd w:val="clear" w:color="auto" w:fill="auto"/>
            <w:noWrap/>
            <w:vAlign w:val="bottom"/>
            <w:hideMark/>
          </w:tcPr>
          <w:p w14:paraId="162A9EAC" w14:textId="77777777" w:rsidR="00BE6461" w:rsidRPr="00BE6461" w:rsidRDefault="00BE6461" w:rsidP="00BE6461">
            <w:pPr>
              <w:jc w:val="right"/>
              <w:rPr>
                <w:b/>
                <w:bCs/>
                <w:color w:val="333333"/>
                <w:sz w:val="20"/>
                <w:szCs w:val="20"/>
              </w:rPr>
            </w:pPr>
            <w:r w:rsidRPr="00BE6461">
              <w:rPr>
                <w:b/>
                <w:bCs/>
                <w:color w:val="333333"/>
                <w:sz w:val="20"/>
                <w:szCs w:val="20"/>
              </w:rPr>
              <w:t>100,00</w:t>
            </w:r>
          </w:p>
        </w:tc>
      </w:tr>
      <w:tr w:rsidR="00BE6461" w:rsidRPr="00BE6461" w14:paraId="51C96470" w14:textId="77777777" w:rsidTr="00BE6461">
        <w:trPr>
          <w:trHeight w:val="300"/>
        </w:trPr>
        <w:tc>
          <w:tcPr>
            <w:tcW w:w="1703" w:type="dxa"/>
            <w:tcBorders>
              <w:top w:val="nil"/>
              <w:left w:val="nil"/>
              <w:bottom w:val="nil"/>
              <w:right w:val="nil"/>
            </w:tcBorders>
            <w:shd w:val="clear" w:color="auto" w:fill="auto"/>
            <w:noWrap/>
            <w:vAlign w:val="bottom"/>
            <w:hideMark/>
          </w:tcPr>
          <w:p w14:paraId="72232529"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49558B28"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71C861B5" w14:textId="77777777" w:rsidR="00BE6461" w:rsidRPr="00BE6461" w:rsidRDefault="00BE6461" w:rsidP="00BE6461">
            <w:pPr>
              <w:jc w:val="right"/>
              <w:rPr>
                <w:b/>
                <w:bCs/>
                <w:sz w:val="20"/>
                <w:szCs w:val="20"/>
              </w:rPr>
            </w:pPr>
            <w:r w:rsidRPr="00BE6461">
              <w:rPr>
                <w:b/>
                <w:bCs/>
                <w:sz w:val="20"/>
                <w:szCs w:val="20"/>
              </w:rPr>
              <w:t>37.500,00</w:t>
            </w:r>
          </w:p>
        </w:tc>
        <w:tc>
          <w:tcPr>
            <w:tcW w:w="1500" w:type="dxa"/>
            <w:tcBorders>
              <w:top w:val="nil"/>
              <w:left w:val="nil"/>
              <w:bottom w:val="nil"/>
              <w:right w:val="nil"/>
            </w:tcBorders>
            <w:shd w:val="clear" w:color="auto" w:fill="auto"/>
            <w:noWrap/>
            <w:vAlign w:val="bottom"/>
            <w:hideMark/>
          </w:tcPr>
          <w:p w14:paraId="2F595757" w14:textId="77777777" w:rsidR="00BE6461" w:rsidRPr="00BE6461" w:rsidRDefault="00BE6461" w:rsidP="00BE6461">
            <w:pPr>
              <w:jc w:val="right"/>
              <w:rPr>
                <w:b/>
                <w:bCs/>
                <w:sz w:val="20"/>
                <w:szCs w:val="20"/>
              </w:rPr>
            </w:pPr>
            <w:r w:rsidRPr="00BE6461">
              <w:rPr>
                <w:b/>
                <w:bCs/>
                <w:sz w:val="20"/>
                <w:szCs w:val="20"/>
              </w:rPr>
              <w:t>37.500,00</w:t>
            </w:r>
          </w:p>
        </w:tc>
        <w:tc>
          <w:tcPr>
            <w:tcW w:w="1100" w:type="dxa"/>
            <w:tcBorders>
              <w:top w:val="nil"/>
              <w:left w:val="nil"/>
              <w:bottom w:val="nil"/>
              <w:right w:val="nil"/>
            </w:tcBorders>
            <w:shd w:val="clear" w:color="auto" w:fill="auto"/>
            <w:noWrap/>
            <w:vAlign w:val="bottom"/>
            <w:hideMark/>
          </w:tcPr>
          <w:p w14:paraId="11785E61"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74A2AB21" w14:textId="77777777" w:rsidTr="00BE6461">
        <w:trPr>
          <w:trHeight w:val="300"/>
        </w:trPr>
        <w:tc>
          <w:tcPr>
            <w:tcW w:w="1703" w:type="dxa"/>
            <w:tcBorders>
              <w:top w:val="nil"/>
              <w:left w:val="nil"/>
              <w:bottom w:val="nil"/>
              <w:right w:val="nil"/>
            </w:tcBorders>
            <w:shd w:val="clear" w:color="auto" w:fill="auto"/>
            <w:noWrap/>
            <w:vAlign w:val="bottom"/>
            <w:hideMark/>
          </w:tcPr>
          <w:p w14:paraId="361EF52E"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5CB0AD0B"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00EB55D8"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5F48E096" w14:textId="77777777" w:rsidR="00BE6461" w:rsidRPr="00BE6461" w:rsidRDefault="00BE6461" w:rsidP="00BE6461">
            <w:pPr>
              <w:jc w:val="right"/>
              <w:rPr>
                <w:sz w:val="20"/>
                <w:szCs w:val="20"/>
              </w:rPr>
            </w:pPr>
            <w:r w:rsidRPr="00BE6461">
              <w:rPr>
                <w:sz w:val="20"/>
                <w:szCs w:val="20"/>
              </w:rPr>
              <w:t>37.500,00</w:t>
            </w:r>
          </w:p>
        </w:tc>
        <w:tc>
          <w:tcPr>
            <w:tcW w:w="1100" w:type="dxa"/>
            <w:tcBorders>
              <w:top w:val="nil"/>
              <w:left w:val="nil"/>
              <w:bottom w:val="nil"/>
              <w:right w:val="nil"/>
            </w:tcBorders>
            <w:shd w:val="clear" w:color="auto" w:fill="auto"/>
            <w:noWrap/>
            <w:vAlign w:val="bottom"/>
            <w:hideMark/>
          </w:tcPr>
          <w:p w14:paraId="09DCBF47" w14:textId="77777777" w:rsidR="00BE6461" w:rsidRPr="00BE6461" w:rsidRDefault="00BE6461" w:rsidP="00BE6461">
            <w:pPr>
              <w:jc w:val="right"/>
              <w:rPr>
                <w:sz w:val="20"/>
                <w:szCs w:val="20"/>
              </w:rPr>
            </w:pPr>
          </w:p>
        </w:tc>
      </w:tr>
      <w:tr w:rsidR="00BE6461" w:rsidRPr="00BE6461" w14:paraId="6A88A9C8" w14:textId="77777777" w:rsidTr="00BE6461">
        <w:trPr>
          <w:trHeight w:val="255"/>
        </w:trPr>
        <w:tc>
          <w:tcPr>
            <w:tcW w:w="1703" w:type="dxa"/>
            <w:tcBorders>
              <w:top w:val="single" w:sz="4" w:space="0" w:color="auto"/>
              <w:left w:val="nil"/>
              <w:bottom w:val="single" w:sz="4" w:space="0" w:color="auto"/>
              <w:right w:val="nil"/>
            </w:tcBorders>
            <w:shd w:val="clear" w:color="auto" w:fill="auto"/>
            <w:noWrap/>
            <w:vAlign w:val="bottom"/>
            <w:hideMark/>
          </w:tcPr>
          <w:p w14:paraId="1F8C14DD" w14:textId="77777777" w:rsidR="00BE6461" w:rsidRPr="00BE6461" w:rsidRDefault="00BE6461" w:rsidP="00BE6461">
            <w:pPr>
              <w:rPr>
                <w:b/>
                <w:bCs/>
                <w:sz w:val="20"/>
                <w:szCs w:val="20"/>
              </w:rPr>
            </w:pPr>
            <w:r w:rsidRPr="00BE6461">
              <w:rPr>
                <w:b/>
                <w:bCs/>
                <w:sz w:val="20"/>
                <w:szCs w:val="20"/>
              </w:rPr>
              <w:t>A300077</w:t>
            </w:r>
          </w:p>
        </w:tc>
        <w:tc>
          <w:tcPr>
            <w:tcW w:w="8457" w:type="dxa"/>
            <w:tcBorders>
              <w:top w:val="single" w:sz="4" w:space="0" w:color="auto"/>
              <w:left w:val="nil"/>
              <w:bottom w:val="single" w:sz="4" w:space="0" w:color="auto"/>
              <w:right w:val="nil"/>
            </w:tcBorders>
            <w:shd w:val="clear" w:color="auto" w:fill="auto"/>
            <w:vAlign w:val="bottom"/>
            <w:hideMark/>
          </w:tcPr>
          <w:p w14:paraId="5C093022" w14:textId="77777777" w:rsidR="00BE6461" w:rsidRPr="00BE6461" w:rsidRDefault="00BE6461" w:rsidP="00BE6461">
            <w:pPr>
              <w:rPr>
                <w:b/>
                <w:bCs/>
                <w:sz w:val="20"/>
                <w:szCs w:val="20"/>
              </w:rPr>
            </w:pPr>
            <w:r w:rsidRPr="00BE6461">
              <w:rPr>
                <w:b/>
                <w:bCs/>
                <w:sz w:val="20"/>
                <w:szCs w:val="20"/>
              </w:rPr>
              <w:t>Aktivnost: PROJEKT - ISTRACONNECT</w:t>
            </w:r>
          </w:p>
        </w:tc>
        <w:tc>
          <w:tcPr>
            <w:tcW w:w="1503" w:type="dxa"/>
            <w:tcBorders>
              <w:top w:val="single" w:sz="4" w:space="0" w:color="auto"/>
              <w:left w:val="nil"/>
              <w:bottom w:val="single" w:sz="4" w:space="0" w:color="auto"/>
              <w:right w:val="nil"/>
            </w:tcBorders>
            <w:shd w:val="clear" w:color="auto" w:fill="auto"/>
            <w:noWrap/>
            <w:vAlign w:val="bottom"/>
            <w:hideMark/>
          </w:tcPr>
          <w:p w14:paraId="67887DFD" w14:textId="77777777" w:rsidR="00BE6461" w:rsidRPr="00BE6461" w:rsidRDefault="00BE6461" w:rsidP="00BE6461">
            <w:pPr>
              <w:jc w:val="right"/>
              <w:rPr>
                <w:b/>
                <w:bCs/>
                <w:sz w:val="20"/>
                <w:szCs w:val="20"/>
              </w:rPr>
            </w:pPr>
            <w:r w:rsidRPr="00BE6461">
              <w:rPr>
                <w:b/>
                <w:bCs/>
                <w:sz w:val="20"/>
                <w:szCs w:val="20"/>
              </w:rPr>
              <w:t>225.125,00</w:t>
            </w:r>
          </w:p>
        </w:tc>
        <w:tc>
          <w:tcPr>
            <w:tcW w:w="1500" w:type="dxa"/>
            <w:tcBorders>
              <w:top w:val="single" w:sz="4" w:space="0" w:color="auto"/>
              <w:left w:val="nil"/>
              <w:bottom w:val="single" w:sz="4" w:space="0" w:color="auto"/>
              <w:right w:val="nil"/>
            </w:tcBorders>
            <w:shd w:val="clear" w:color="auto" w:fill="auto"/>
            <w:noWrap/>
            <w:vAlign w:val="bottom"/>
            <w:hideMark/>
          </w:tcPr>
          <w:p w14:paraId="7A56337D" w14:textId="77777777" w:rsidR="00BE6461" w:rsidRPr="00BE6461" w:rsidRDefault="00BE6461" w:rsidP="00BE6461">
            <w:pPr>
              <w:jc w:val="right"/>
              <w:rPr>
                <w:b/>
                <w:bCs/>
                <w:sz w:val="20"/>
                <w:szCs w:val="20"/>
              </w:rPr>
            </w:pPr>
            <w:r w:rsidRPr="00BE6461">
              <w:rPr>
                <w:b/>
                <w:bCs/>
                <w:sz w:val="20"/>
                <w:szCs w:val="20"/>
              </w:rPr>
              <w:t>176.747,46</w:t>
            </w:r>
          </w:p>
        </w:tc>
        <w:tc>
          <w:tcPr>
            <w:tcW w:w="1100" w:type="dxa"/>
            <w:tcBorders>
              <w:top w:val="single" w:sz="4" w:space="0" w:color="auto"/>
              <w:left w:val="nil"/>
              <w:bottom w:val="single" w:sz="4" w:space="0" w:color="auto"/>
              <w:right w:val="nil"/>
            </w:tcBorders>
            <w:shd w:val="clear" w:color="auto" w:fill="auto"/>
            <w:noWrap/>
            <w:vAlign w:val="bottom"/>
            <w:hideMark/>
          </w:tcPr>
          <w:p w14:paraId="580247C8" w14:textId="77777777" w:rsidR="00BE6461" w:rsidRPr="00BE6461" w:rsidRDefault="00BE6461" w:rsidP="00BE6461">
            <w:pPr>
              <w:jc w:val="right"/>
              <w:rPr>
                <w:b/>
                <w:bCs/>
                <w:sz w:val="20"/>
                <w:szCs w:val="20"/>
              </w:rPr>
            </w:pPr>
            <w:r w:rsidRPr="00BE6461">
              <w:rPr>
                <w:b/>
                <w:bCs/>
                <w:sz w:val="20"/>
                <w:szCs w:val="20"/>
              </w:rPr>
              <w:t>78,51</w:t>
            </w:r>
          </w:p>
        </w:tc>
      </w:tr>
      <w:tr w:rsidR="00BE6461" w:rsidRPr="00BE6461" w14:paraId="7E53E43B"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7E64D9A" w14:textId="77777777" w:rsidR="00BE6461" w:rsidRPr="00BE6461" w:rsidRDefault="00BE6461" w:rsidP="00BE6461">
            <w:pPr>
              <w:rPr>
                <w:b/>
                <w:bCs/>
                <w:color w:val="333333"/>
                <w:sz w:val="20"/>
                <w:szCs w:val="20"/>
              </w:rPr>
            </w:pPr>
            <w:r w:rsidRPr="00BE6461">
              <w:rPr>
                <w:b/>
                <w:bCs/>
                <w:color w:val="333333"/>
                <w:sz w:val="20"/>
                <w:szCs w:val="20"/>
              </w:rPr>
              <w:t>Izvor 1. OPĆI PRIHODI I PRIMICI</w:t>
            </w:r>
          </w:p>
        </w:tc>
        <w:tc>
          <w:tcPr>
            <w:tcW w:w="1503" w:type="dxa"/>
            <w:tcBorders>
              <w:top w:val="nil"/>
              <w:left w:val="nil"/>
              <w:bottom w:val="nil"/>
              <w:right w:val="nil"/>
            </w:tcBorders>
            <w:shd w:val="clear" w:color="auto" w:fill="auto"/>
            <w:noWrap/>
            <w:vAlign w:val="bottom"/>
            <w:hideMark/>
          </w:tcPr>
          <w:p w14:paraId="793BCEA7" w14:textId="77777777" w:rsidR="00BE6461" w:rsidRPr="00BE6461" w:rsidRDefault="00BE6461" w:rsidP="00BE6461">
            <w:pPr>
              <w:jc w:val="right"/>
              <w:rPr>
                <w:b/>
                <w:bCs/>
                <w:color w:val="333333"/>
                <w:sz w:val="20"/>
                <w:szCs w:val="20"/>
              </w:rPr>
            </w:pPr>
            <w:r w:rsidRPr="00BE6461">
              <w:rPr>
                <w:b/>
                <w:bCs/>
                <w:color w:val="333333"/>
                <w:sz w:val="20"/>
                <w:szCs w:val="20"/>
              </w:rPr>
              <w:t>172.500,00</w:t>
            </w:r>
          </w:p>
        </w:tc>
        <w:tc>
          <w:tcPr>
            <w:tcW w:w="1500" w:type="dxa"/>
            <w:tcBorders>
              <w:top w:val="nil"/>
              <w:left w:val="nil"/>
              <w:bottom w:val="nil"/>
              <w:right w:val="nil"/>
            </w:tcBorders>
            <w:shd w:val="clear" w:color="auto" w:fill="auto"/>
            <w:noWrap/>
            <w:vAlign w:val="bottom"/>
            <w:hideMark/>
          </w:tcPr>
          <w:p w14:paraId="0673E857" w14:textId="77777777" w:rsidR="00BE6461" w:rsidRPr="00BE6461" w:rsidRDefault="00BE6461" w:rsidP="00BE6461">
            <w:pPr>
              <w:jc w:val="right"/>
              <w:rPr>
                <w:b/>
                <w:bCs/>
                <w:color w:val="333333"/>
                <w:sz w:val="20"/>
                <w:szCs w:val="20"/>
              </w:rPr>
            </w:pPr>
            <w:r w:rsidRPr="00BE6461">
              <w:rPr>
                <w:b/>
                <w:bCs/>
                <w:color w:val="333333"/>
                <w:sz w:val="20"/>
                <w:szCs w:val="20"/>
              </w:rPr>
              <w:t>123.750,00</w:t>
            </w:r>
          </w:p>
        </w:tc>
        <w:tc>
          <w:tcPr>
            <w:tcW w:w="1100" w:type="dxa"/>
            <w:tcBorders>
              <w:top w:val="nil"/>
              <w:left w:val="nil"/>
              <w:bottom w:val="nil"/>
              <w:right w:val="nil"/>
            </w:tcBorders>
            <w:shd w:val="clear" w:color="auto" w:fill="auto"/>
            <w:noWrap/>
            <w:vAlign w:val="bottom"/>
            <w:hideMark/>
          </w:tcPr>
          <w:p w14:paraId="27A4F4E6" w14:textId="77777777" w:rsidR="00BE6461" w:rsidRPr="00BE6461" w:rsidRDefault="00BE6461" w:rsidP="00BE6461">
            <w:pPr>
              <w:jc w:val="right"/>
              <w:rPr>
                <w:b/>
                <w:bCs/>
                <w:color w:val="333333"/>
                <w:sz w:val="20"/>
                <w:szCs w:val="20"/>
              </w:rPr>
            </w:pPr>
            <w:r w:rsidRPr="00BE6461">
              <w:rPr>
                <w:b/>
                <w:bCs/>
                <w:color w:val="333333"/>
                <w:sz w:val="20"/>
                <w:szCs w:val="20"/>
              </w:rPr>
              <w:t>71,74</w:t>
            </w:r>
          </w:p>
        </w:tc>
      </w:tr>
      <w:tr w:rsidR="00BE6461" w:rsidRPr="00BE6461" w14:paraId="170E0FFA"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7367B2FA" w14:textId="77777777" w:rsidR="00BE6461" w:rsidRPr="00BE6461" w:rsidRDefault="00BE6461" w:rsidP="00BE6461">
            <w:pPr>
              <w:rPr>
                <w:b/>
                <w:bCs/>
                <w:color w:val="333333"/>
                <w:sz w:val="20"/>
                <w:szCs w:val="20"/>
              </w:rPr>
            </w:pPr>
            <w:r w:rsidRPr="00BE6461">
              <w:rPr>
                <w:b/>
                <w:bCs/>
                <w:color w:val="333333"/>
                <w:sz w:val="20"/>
                <w:szCs w:val="20"/>
              </w:rPr>
              <w:t>Izvor 1.1. OPĆI PRIHODI I PRIMICI</w:t>
            </w:r>
          </w:p>
        </w:tc>
        <w:tc>
          <w:tcPr>
            <w:tcW w:w="1503" w:type="dxa"/>
            <w:tcBorders>
              <w:top w:val="nil"/>
              <w:left w:val="nil"/>
              <w:bottom w:val="nil"/>
              <w:right w:val="nil"/>
            </w:tcBorders>
            <w:shd w:val="clear" w:color="auto" w:fill="auto"/>
            <w:noWrap/>
            <w:vAlign w:val="bottom"/>
            <w:hideMark/>
          </w:tcPr>
          <w:p w14:paraId="6C4A1149" w14:textId="77777777" w:rsidR="00BE6461" w:rsidRPr="00BE6461" w:rsidRDefault="00BE6461" w:rsidP="00BE6461">
            <w:pPr>
              <w:jc w:val="right"/>
              <w:rPr>
                <w:b/>
                <w:bCs/>
                <w:color w:val="333333"/>
                <w:sz w:val="20"/>
                <w:szCs w:val="20"/>
              </w:rPr>
            </w:pPr>
            <w:r w:rsidRPr="00BE6461">
              <w:rPr>
                <w:b/>
                <w:bCs/>
                <w:color w:val="333333"/>
                <w:sz w:val="20"/>
                <w:szCs w:val="20"/>
              </w:rPr>
              <w:t>172.500,00</w:t>
            </w:r>
          </w:p>
        </w:tc>
        <w:tc>
          <w:tcPr>
            <w:tcW w:w="1500" w:type="dxa"/>
            <w:tcBorders>
              <w:top w:val="nil"/>
              <w:left w:val="nil"/>
              <w:bottom w:val="nil"/>
              <w:right w:val="nil"/>
            </w:tcBorders>
            <w:shd w:val="clear" w:color="auto" w:fill="auto"/>
            <w:noWrap/>
            <w:vAlign w:val="bottom"/>
            <w:hideMark/>
          </w:tcPr>
          <w:p w14:paraId="70861015" w14:textId="77777777" w:rsidR="00BE6461" w:rsidRPr="00BE6461" w:rsidRDefault="00BE6461" w:rsidP="00BE6461">
            <w:pPr>
              <w:jc w:val="right"/>
              <w:rPr>
                <w:b/>
                <w:bCs/>
                <w:color w:val="333333"/>
                <w:sz w:val="20"/>
                <w:szCs w:val="20"/>
              </w:rPr>
            </w:pPr>
            <w:r w:rsidRPr="00BE6461">
              <w:rPr>
                <w:b/>
                <w:bCs/>
                <w:color w:val="333333"/>
                <w:sz w:val="20"/>
                <w:szCs w:val="20"/>
              </w:rPr>
              <w:t>123.750,00</w:t>
            </w:r>
          </w:p>
        </w:tc>
        <w:tc>
          <w:tcPr>
            <w:tcW w:w="1100" w:type="dxa"/>
            <w:tcBorders>
              <w:top w:val="nil"/>
              <w:left w:val="nil"/>
              <w:bottom w:val="nil"/>
              <w:right w:val="nil"/>
            </w:tcBorders>
            <w:shd w:val="clear" w:color="auto" w:fill="auto"/>
            <w:noWrap/>
            <w:vAlign w:val="bottom"/>
            <w:hideMark/>
          </w:tcPr>
          <w:p w14:paraId="6223EB7D" w14:textId="77777777" w:rsidR="00BE6461" w:rsidRPr="00BE6461" w:rsidRDefault="00BE6461" w:rsidP="00BE6461">
            <w:pPr>
              <w:jc w:val="right"/>
              <w:rPr>
                <w:b/>
                <w:bCs/>
                <w:color w:val="333333"/>
                <w:sz w:val="20"/>
                <w:szCs w:val="20"/>
              </w:rPr>
            </w:pPr>
            <w:r w:rsidRPr="00BE6461">
              <w:rPr>
                <w:b/>
                <w:bCs/>
                <w:color w:val="333333"/>
                <w:sz w:val="20"/>
                <w:szCs w:val="20"/>
              </w:rPr>
              <w:t>71,74</w:t>
            </w:r>
          </w:p>
        </w:tc>
      </w:tr>
      <w:tr w:rsidR="00BE6461" w:rsidRPr="00BE6461" w14:paraId="0BE19BA6" w14:textId="77777777" w:rsidTr="00BE6461">
        <w:trPr>
          <w:trHeight w:val="300"/>
        </w:trPr>
        <w:tc>
          <w:tcPr>
            <w:tcW w:w="1703" w:type="dxa"/>
            <w:tcBorders>
              <w:top w:val="nil"/>
              <w:left w:val="nil"/>
              <w:bottom w:val="nil"/>
              <w:right w:val="nil"/>
            </w:tcBorders>
            <w:shd w:val="clear" w:color="auto" w:fill="auto"/>
            <w:noWrap/>
            <w:vAlign w:val="bottom"/>
            <w:hideMark/>
          </w:tcPr>
          <w:p w14:paraId="11879D13"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1AA19EAC"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4550EBE0" w14:textId="77777777" w:rsidR="00BE6461" w:rsidRPr="00BE6461" w:rsidRDefault="00BE6461" w:rsidP="00BE6461">
            <w:pPr>
              <w:jc w:val="right"/>
              <w:rPr>
                <w:b/>
                <w:bCs/>
                <w:sz w:val="20"/>
                <w:szCs w:val="20"/>
              </w:rPr>
            </w:pPr>
            <w:r w:rsidRPr="00BE6461">
              <w:rPr>
                <w:b/>
                <w:bCs/>
                <w:sz w:val="20"/>
                <w:szCs w:val="20"/>
              </w:rPr>
              <w:t>172.500,00</w:t>
            </w:r>
          </w:p>
        </w:tc>
        <w:tc>
          <w:tcPr>
            <w:tcW w:w="1500" w:type="dxa"/>
            <w:tcBorders>
              <w:top w:val="nil"/>
              <w:left w:val="nil"/>
              <w:bottom w:val="nil"/>
              <w:right w:val="nil"/>
            </w:tcBorders>
            <w:shd w:val="clear" w:color="auto" w:fill="auto"/>
            <w:noWrap/>
            <w:vAlign w:val="bottom"/>
            <w:hideMark/>
          </w:tcPr>
          <w:p w14:paraId="4C75BD7A" w14:textId="77777777" w:rsidR="00BE6461" w:rsidRPr="00BE6461" w:rsidRDefault="00BE6461" w:rsidP="00BE6461">
            <w:pPr>
              <w:jc w:val="right"/>
              <w:rPr>
                <w:b/>
                <w:bCs/>
                <w:sz w:val="20"/>
                <w:szCs w:val="20"/>
              </w:rPr>
            </w:pPr>
            <w:r w:rsidRPr="00BE6461">
              <w:rPr>
                <w:b/>
                <w:bCs/>
                <w:sz w:val="20"/>
                <w:szCs w:val="20"/>
              </w:rPr>
              <w:t>123.750,00</w:t>
            </w:r>
          </w:p>
        </w:tc>
        <w:tc>
          <w:tcPr>
            <w:tcW w:w="1100" w:type="dxa"/>
            <w:tcBorders>
              <w:top w:val="nil"/>
              <w:left w:val="nil"/>
              <w:bottom w:val="nil"/>
              <w:right w:val="nil"/>
            </w:tcBorders>
            <w:shd w:val="clear" w:color="auto" w:fill="auto"/>
            <w:noWrap/>
            <w:vAlign w:val="bottom"/>
            <w:hideMark/>
          </w:tcPr>
          <w:p w14:paraId="5BF2C7A3" w14:textId="77777777" w:rsidR="00BE6461" w:rsidRPr="00BE6461" w:rsidRDefault="00BE6461" w:rsidP="00BE6461">
            <w:pPr>
              <w:jc w:val="right"/>
              <w:rPr>
                <w:b/>
                <w:bCs/>
                <w:sz w:val="20"/>
                <w:szCs w:val="20"/>
              </w:rPr>
            </w:pPr>
            <w:r w:rsidRPr="00BE6461">
              <w:rPr>
                <w:b/>
                <w:bCs/>
                <w:sz w:val="20"/>
                <w:szCs w:val="20"/>
              </w:rPr>
              <w:t>71,74</w:t>
            </w:r>
          </w:p>
        </w:tc>
      </w:tr>
      <w:tr w:rsidR="00BE6461" w:rsidRPr="00BE6461" w14:paraId="2F2E9F55" w14:textId="77777777" w:rsidTr="00BE6461">
        <w:trPr>
          <w:trHeight w:val="300"/>
        </w:trPr>
        <w:tc>
          <w:tcPr>
            <w:tcW w:w="1703" w:type="dxa"/>
            <w:tcBorders>
              <w:top w:val="nil"/>
              <w:left w:val="nil"/>
              <w:bottom w:val="nil"/>
              <w:right w:val="nil"/>
            </w:tcBorders>
            <w:shd w:val="clear" w:color="auto" w:fill="auto"/>
            <w:noWrap/>
            <w:vAlign w:val="bottom"/>
            <w:hideMark/>
          </w:tcPr>
          <w:p w14:paraId="691CE434" w14:textId="77777777" w:rsidR="00BE6461" w:rsidRPr="00BE6461" w:rsidRDefault="00BE6461" w:rsidP="00BE6461">
            <w:pPr>
              <w:rPr>
                <w:sz w:val="20"/>
                <w:szCs w:val="20"/>
              </w:rPr>
            </w:pPr>
            <w:r w:rsidRPr="00BE6461">
              <w:rPr>
                <w:sz w:val="20"/>
                <w:szCs w:val="20"/>
              </w:rPr>
              <w:t>3237</w:t>
            </w:r>
          </w:p>
        </w:tc>
        <w:tc>
          <w:tcPr>
            <w:tcW w:w="8457" w:type="dxa"/>
            <w:tcBorders>
              <w:top w:val="nil"/>
              <w:left w:val="nil"/>
              <w:bottom w:val="nil"/>
              <w:right w:val="nil"/>
            </w:tcBorders>
            <w:shd w:val="clear" w:color="auto" w:fill="auto"/>
            <w:vAlign w:val="bottom"/>
            <w:hideMark/>
          </w:tcPr>
          <w:p w14:paraId="146B81E0" w14:textId="77777777" w:rsidR="00BE6461" w:rsidRPr="00BE6461" w:rsidRDefault="00BE6461" w:rsidP="00BE6461">
            <w:pPr>
              <w:rPr>
                <w:sz w:val="20"/>
                <w:szCs w:val="20"/>
              </w:rPr>
            </w:pPr>
            <w:r w:rsidRPr="00BE6461">
              <w:rPr>
                <w:sz w:val="20"/>
                <w:szCs w:val="20"/>
              </w:rPr>
              <w:t xml:space="preserve">Intelektualne i osobne usluge                                                                       </w:t>
            </w:r>
          </w:p>
        </w:tc>
        <w:tc>
          <w:tcPr>
            <w:tcW w:w="1503" w:type="dxa"/>
            <w:tcBorders>
              <w:top w:val="nil"/>
              <w:left w:val="nil"/>
              <w:bottom w:val="nil"/>
              <w:right w:val="nil"/>
            </w:tcBorders>
            <w:shd w:val="clear" w:color="auto" w:fill="auto"/>
            <w:noWrap/>
            <w:vAlign w:val="bottom"/>
            <w:hideMark/>
          </w:tcPr>
          <w:p w14:paraId="7B621FD3"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7E6BDD5B" w14:textId="77777777" w:rsidR="00BE6461" w:rsidRPr="00BE6461" w:rsidRDefault="00BE6461" w:rsidP="00BE6461">
            <w:pPr>
              <w:jc w:val="right"/>
              <w:rPr>
                <w:sz w:val="20"/>
                <w:szCs w:val="20"/>
              </w:rPr>
            </w:pPr>
            <w:r w:rsidRPr="00BE6461">
              <w:rPr>
                <w:sz w:val="20"/>
                <w:szCs w:val="20"/>
              </w:rPr>
              <w:t>123.750,00</w:t>
            </w:r>
          </w:p>
        </w:tc>
        <w:tc>
          <w:tcPr>
            <w:tcW w:w="1100" w:type="dxa"/>
            <w:tcBorders>
              <w:top w:val="nil"/>
              <w:left w:val="nil"/>
              <w:bottom w:val="nil"/>
              <w:right w:val="nil"/>
            </w:tcBorders>
            <w:shd w:val="clear" w:color="auto" w:fill="auto"/>
            <w:noWrap/>
            <w:vAlign w:val="bottom"/>
            <w:hideMark/>
          </w:tcPr>
          <w:p w14:paraId="0B17E812" w14:textId="77777777" w:rsidR="00BE6461" w:rsidRPr="00BE6461" w:rsidRDefault="00BE6461" w:rsidP="00BE6461">
            <w:pPr>
              <w:jc w:val="right"/>
              <w:rPr>
                <w:sz w:val="20"/>
                <w:szCs w:val="20"/>
              </w:rPr>
            </w:pPr>
          </w:p>
        </w:tc>
      </w:tr>
      <w:tr w:rsidR="00BE6461" w:rsidRPr="00BE6461" w14:paraId="2FCAC50C"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2AA33A79" w14:textId="77777777" w:rsidR="00BE6461" w:rsidRPr="00BE6461" w:rsidRDefault="00BE6461" w:rsidP="00BE6461">
            <w:pPr>
              <w:rPr>
                <w:b/>
                <w:bCs/>
                <w:color w:val="333333"/>
                <w:sz w:val="20"/>
                <w:szCs w:val="20"/>
              </w:rPr>
            </w:pPr>
            <w:r w:rsidRPr="00BE6461">
              <w:rPr>
                <w:b/>
                <w:bCs/>
                <w:color w:val="333333"/>
                <w:sz w:val="20"/>
                <w:szCs w:val="20"/>
              </w:rPr>
              <w:t>Izvor 5. POMOĆI</w:t>
            </w:r>
          </w:p>
        </w:tc>
        <w:tc>
          <w:tcPr>
            <w:tcW w:w="1503" w:type="dxa"/>
            <w:tcBorders>
              <w:top w:val="nil"/>
              <w:left w:val="nil"/>
              <w:bottom w:val="nil"/>
              <w:right w:val="nil"/>
            </w:tcBorders>
            <w:shd w:val="clear" w:color="auto" w:fill="auto"/>
            <w:noWrap/>
            <w:vAlign w:val="bottom"/>
            <w:hideMark/>
          </w:tcPr>
          <w:p w14:paraId="53070F72" w14:textId="77777777" w:rsidR="00BE6461" w:rsidRPr="00BE6461" w:rsidRDefault="00BE6461" w:rsidP="00BE6461">
            <w:pPr>
              <w:jc w:val="right"/>
              <w:rPr>
                <w:b/>
                <w:bCs/>
                <w:color w:val="333333"/>
                <w:sz w:val="20"/>
                <w:szCs w:val="20"/>
              </w:rPr>
            </w:pPr>
            <w:r w:rsidRPr="00BE6461">
              <w:rPr>
                <w:b/>
                <w:bCs/>
                <w:color w:val="333333"/>
                <w:sz w:val="20"/>
                <w:szCs w:val="20"/>
              </w:rPr>
              <w:t>52.625,00</w:t>
            </w:r>
          </w:p>
        </w:tc>
        <w:tc>
          <w:tcPr>
            <w:tcW w:w="1500" w:type="dxa"/>
            <w:tcBorders>
              <w:top w:val="nil"/>
              <w:left w:val="nil"/>
              <w:bottom w:val="nil"/>
              <w:right w:val="nil"/>
            </w:tcBorders>
            <w:shd w:val="clear" w:color="auto" w:fill="auto"/>
            <w:noWrap/>
            <w:vAlign w:val="bottom"/>
            <w:hideMark/>
          </w:tcPr>
          <w:p w14:paraId="50E859EF" w14:textId="77777777" w:rsidR="00BE6461" w:rsidRPr="00BE6461" w:rsidRDefault="00BE6461" w:rsidP="00BE6461">
            <w:pPr>
              <w:jc w:val="right"/>
              <w:rPr>
                <w:b/>
                <w:bCs/>
                <w:color w:val="333333"/>
                <w:sz w:val="20"/>
                <w:szCs w:val="20"/>
              </w:rPr>
            </w:pPr>
            <w:r w:rsidRPr="00BE6461">
              <w:rPr>
                <w:b/>
                <w:bCs/>
                <w:color w:val="333333"/>
                <w:sz w:val="20"/>
                <w:szCs w:val="20"/>
              </w:rPr>
              <w:t>52.997,46</w:t>
            </w:r>
          </w:p>
        </w:tc>
        <w:tc>
          <w:tcPr>
            <w:tcW w:w="1100" w:type="dxa"/>
            <w:tcBorders>
              <w:top w:val="nil"/>
              <w:left w:val="nil"/>
              <w:bottom w:val="nil"/>
              <w:right w:val="nil"/>
            </w:tcBorders>
            <w:shd w:val="clear" w:color="auto" w:fill="auto"/>
            <w:noWrap/>
            <w:vAlign w:val="bottom"/>
            <w:hideMark/>
          </w:tcPr>
          <w:p w14:paraId="7CCF17A3" w14:textId="77777777" w:rsidR="00BE6461" w:rsidRPr="00BE6461" w:rsidRDefault="00BE6461" w:rsidP="00BE6461">
            <w:pPr>
              <w:jc w:val="right"/>
              <w:rPr>
                <w:b/>
                <w:bCs/>
                <w:color w:val="333333"/>
                <w:sz w:val="20"/>
                <w:szCs w:val="20"/>
              </w:rPr>
            </w:pPr>
            <w:r w:rsidRPr="00BE6461">
              <w:rPr>
                <w:b/>
                <w:bCs/>
                <w:color w:val="333333"/>
                <w:sz w:val="20"/>
                <w:szCs w:val="20"/>
              </w:rPr>
              <w:t>100,71</w:t>
            </w:r>
          </w:p>
        </w:tc>
      </w:tr>
      <w:tr w:rsidR="00BE6461" w:rsidRPr="00BE6461" w14:paraId="3E480003" w14:textId="77777777" w:rsidTr="00BE6461">
        <w:trPr>
          <w:trHeight w:val="300"/>
        </w:trPr>
        <w:tc>
          <w:tcPr>
            <w:tcW w:w="10160" w:type="dxa"/>
            <w:gridSpan w:val="2"/>
            <w:tcBorders>
              <w:top w:val="nil"/>
              <w:left w:val="nil"/>
              <w:bottom w:val="nil"/>
              <w:right w:val="nil"/>
            </w:tcBorders>
            <w:shd w:val="clear" w:color="auto" w:fill="auto"/>
            <w:noWrap/>
            <w:vAlign w:val="bottom"/>
            <w:hideMark/>
          </w:tcPr>
          <w:p w14:paraId="10F62884" w14:textId="77777777" w:rsidR="00BE6461" w:rsidRPr="00BE6461" w:rsidRDefault="00BE6461" w:rsidP="00BE6461">
            <w:pPr>
              <w:rPr>
                <w:b/>
                <w:bCs/>
                <w:color w:val="333333"/>
                <w:sz w:val="20"/>
                <w:szCs w:val="20"/>
              </w:rPr>
            </w:pPr>
            <w:r w:rsidRPr="00BE6461">
              <w:rPr>
                <w:b/>
                <w:bCs/>
                <w:color w:val="333333"/>
                <w:sz w:val="20"/>
                <w:szCs w:val="20"/>
              </w:rPr>
              <w:t>Izvor 5.1. POMOĆI</w:t>
            </w:r>
          </w:p>
        </w:tc>
        <w:tc>
          <w:tcPr>
            <w:tcW w:w="1503" w:type="dxa"/>
            <w:tcBorders>
              <w:top w:val="nil"/>
              <w:left w:val="nil"/>
              <w:bottom w:val="nil"/>
              <w:right w:val="nil"/>
            </w:tcBorders>
            <w:shd w:val="clear" w:color="auto" w:fill="auto"/>
            <w:noWrap/>
            <w:vAlign w:val="bottom"/>
            <w:hideMark/>
          </w:tcPr>
          <w:p w14:paraId="4E7D0A8C" w14:textId="77777777" w:rsidR="00BE6461" w:rsidRPr="00BE6461" w:rsidRDefault="00BE6461" w:rsidP="00BE6461">
            <w:pPr>
              <w:jc w:val="right"/>
              <w:rPr>
                <w:b/>
                <w:bCs/>
                <w:color w:val="333333"/>
                <w:sz w:val="20"/>
                <w:szCs w:val="20"/>
              </w:rPr>
            </w:pPr>
            <w:r w:rsidRPr="00BE6461">
              <w:rPr>
                <w:b/>
                <w:bCs/>
                <w:color w:val="333333"/>
                <w:sz w:val="20"/>
                <w:szCs w:val="20"/>
              </w:rPr>
              <w:t>52.625,00</w:t>
            </w:r>
          </w:p>
        </w:tc>
        <w:tc>
          <w:tcPr>
            <w:tcW w:w="1500" w:type="dxa"/>
            <w:tcBorders>
              <w:top w:val="nil"/>
              <w:left w:val="nil"/>
              <w:bottom w:val="nil"/>
              <w:right w:val="nil"/>
            </w:tcBorders>
            <w:shd w:val="clear" w:color="auto" w:fill="auto"/>
            <w:noWrap/>
            <w:vAlign w:val="bottom"/>
            <w:hideMark/>
          </w:tcPr>
          <w:p w14:paraId="2E0A7859" w14:textId="77777777" w:rsidR="00BE6461" w:rsidRPr="00BE6461" w:rsidRDefault="00BE6461" w:rsidP="00BE6461">
            <w:pPr>
              <w:jc w:val="right"/>
              <w:rPr>
                <w:b/>
                <w:bCs/>
                <w:color w:val="333333"/>
                <w:sz w:val="20"/>
                <w:szCs w:val="20"/>
              </w:rPr>
            </w:pPr>
            <w:r w:rsidRPr="00BE6461">
              <w:rPr>
                <w:b/>
                <w:bCs/>
                <w:color w:val="333333"/>
                <w:sz w:val="20"/>
                <w:szCs w:val="20"/>
              </w:rPr>
              <w:t>52.997,46</w:t>
            </w:r>
          </w:p>
        </w:tc>
        <w:tc>
          <w:tcPr>
            <w:tcW w:w="1100" w:type="dxa"/>
            <w:tcBorders>
              <w:top w:val="nil"/>
              <w:left w:val="nil"/>
              <w:bottom w:val="nil"/>
              <w:right w:val="nil"/>
            </w:tcBorders>
            <w:shd w:val="clear" w:color="auto" w:fill="auto"/>
            <w:noWrap/>
            <w:vAlign w:val="bottom"/>
            <w:hideMark/>
          </w:tcPr>
          <w:p w14:paraId="62B7BFDA" w14:textId="77777777" w:rsidR="00BE6461" w:rsidRPr="00BE6461" w:rsidRDefault="00BE6461" w:rsidP="00BE6461">
            <w:pPr>
              <w:jc w:val="right"/>
              <w:rPr>
                <w:b/>
                <w:bCs/>
                <w:color w:val="333333"/>
                <w:sz w:val="20"/>
                <w:szCs w:val="20"/>
              </w:rPr>
            </w:pPr>
            <w:r w:rsidRPr="00BE6461">
              <w:rPr>
                <w:b/>
                <w:bCs/>
                <w:color w:val="333333"/>
                <w:sz w:val="20"/>
                <w:szCs w:val="20"/>
              </w:rPr>
              <w:t>100,71</w:t>
            </w:r>
          </w:p>
        </w:tc>
      </w:tr>
      <w:tr w:rsidR="00BE6461" w:rsidRPr="00BE6461" w14:paraId="318FECA5" w14:textId="77777777" w:rsidTr="00BE6461">
        <w:trPr>
          <w:trHeight w:val="300"/>
        </w:trPr>
        <w:tc>
          <w:tcPr>
            <w:tcW w:w="1703" w:type="dxa"/>
            <w:tcBorders>
              <w:top w:val="nil"/>
              <w:left w:val="nil"/>
              <w:bottom w:val="nil"/>
              <w:right w:val="nil"/>
            </w:tcBorders>
            <w:shd w:val="clear" w:color="auto" w:fill="auto"/>
            <w:noWrap/>
            <w:vAlign w:val="bottom"/>
            <w:hideMark/>
          </w:tcPr>
          <w:p w14:paraId="6B35498E" w14:textId="77777777" w:rsidR="00BE6461" w:rsidRPr="00BE6461" w:rsidRDefault="00BE6461" w:rsidP="00BE6461">
            <w:pPr>
              <w:rPr>
                <w:b/>
                <w:bCs/>
                <w:sz w:val="20"/>
                <w:szCs w:val="20"/>
              </w:rPr>
            </w:pPr>
            <w:r w:rsidRPr="00BE6461">
              <w:rPr>
                <w:b/>
                <w:bCs/>
                <w:sz w:val="20"/>
                <w:szCs w:val="20"/>
              </w:rPr>
              <w:t>321</w:t>
            </w:r>
          </w:p>
        </w:tc>
        <w:tc>
          <w:tcPr>
            <w:tcW w:w="8457" w:type="dxa"/>
            <w:tcBorders>
              <w:top w:val="nil"/>
              <w:left w:val="nil"/>
              <w:bottom w:val="nil"/>
              <w:right w:val="nil"/>
            </w:tcBorders>
            <w:shd w:val="clear" w:color="auto" w:fill="auto"/>
            <w:vAlign w:val="bottom"/>
            <w:hideMark/>
          </w:tcPr>
          <w:p w14:paraId="7653BDF3" w14:textId="77777777" w:rsidR="00BE6461" w:rsidRPr="00BE6461" w:rsidRDefault="00BE6461" w:rsidP="00BE6461">
            <w:pPr>
              <w:rPr>
                <w:b/>
                <w:bCs/>
                <w:sz w:val="20"/>
                <w:szCs w:val="20"/>
              </w:rPr>
            </w:pPr>
            <w:r w:rsidRPr="00BE6461">
              <w:rPr>
                <w:b/>
                <w:bCs/>
                <w:sz w:val="20"/>
                <w:szCs w:val="20"/>
              </w:rPr>
              <w:t xml:space="preserve">Naknade troškova zaposlenima                                                                        </w:t>
            </w:r>
          </w:p>
        </w:tc>
        <w:tc>
          <w:tcPr>
            <w:tcW w:w="1503" w:type="dxa"/>
            <w:tcBorders>
              <w:top w:val="nil"/>
              <w:left w:val="nil"/>
              <w:bottom w:val="nil"/>
              <w:right w:val="nil"/>
            </w:tcBorders>
            <w:shd w:val="clear" w:color="auto" w:fill="auto"/>
            <w:noWrap/>
            <w:vAlign w:val="bottom"/>
            <w:hideMark/>
          </w:tcPr>
          <w:p w14:paraId="05AB0CBD" w14:textId="77777777" w:rsidR="00BE6461" w:rsidRPr="00BE6461" w:rsidRDefault="00BE6461" w:rsidP="00BE6461">
            <w:pPr>
              <w:jc w:val="right"/>
              <w:rPr>
                <w:b/>
                <w:bCs/>
                <w:sz w:val="20"/>
                <w:szCs w:val="20"/>
              </w:rPr>
            </w:pPr>
            <w:r w:rsidRPr="00BE6461">
              <w:rPr>
                <w:b/>
                <w:bCs/>
                <w:sz w:val="20"/>
                <w:szCs w:val="20"/>
              </w:rPr>
              <w:t>0,00</w:t>
            </w:r>
          </w:p>
        </w:tc>
        <w:tc>
          <w:tcPr>
            <w:tcW w:w="1500" w:type="dxa"/>
            <w:tcBorders>
              <w:top w:val="nil"/>
              <w:left w:val="nil"/>
              <w:bottom w:val="nil"/>
              <w:right w:val="nil"/>
            </w:tcBorders>
            <w:shd w:val="clear" w:color="auto" w:fill="auto"/>
            <w:noWrap/>
            <w:vAlign w:val="bottom"/>
            <w:hideMark/>
          </w:tcPr>
          <w:p w14:paraId="0E147313" w14:textId="77777777" w:rsidR="00BE6461" w:rsidRPr="00BE6461" w:rsidRDefault="00BE6461" w:rsidP="00BE6461">
            <w:pPr>
              <w:jc w:val="right"/>
              <w:rPr>
                <w:b/>
                <w:bCs/>
                <w:sz w:val="20"/>
                <w:szCs w:val="20"/>
              </w:rPr>
            </w:pPr>
            <w:r w:rsidRPr="00BE6461">
              <w:rPr>
                <w:b/>
                <w:bCs/>
                <w:sz w:val="20"/>
                <w:szCs w:val="20"/>
              </w:rPr>
              <w:t>372,46</w:t>
            </w:r>
          </w:p>
        </w:tc>
        <w:tc>
          <w:tcPr>
            <w:tcW w:w="1100" w:type="dxa"/>
            <w:tcBorders>
              <w:top w:val="nil"/>
              <w:left w:val="nil"/>
              <w:bottom w:val="nil"/>
              <w:right w:val="nil"/>
            </w:tcBorders>
            <w:shd w:val="clear" w:color="auto" w:fill="auto"/>
            <w:noWrap/>
            <w:vAlign w:val="bottom"/>
            <w:hideMark/>
          </w:tcPr>
          <w:p w14:paraId="418F4D29" w14:textId="77777777" w:rsidR="00BE6461" w:rsidRPr="00BE6461" w:rsidRDefault="00BE6461" w:rsidP="00BE6461">
            <w:pPr>
              <w:jc w:val="right"/>
              <w:rPr>
                <w:b/>
                <w:bCs/>
                <w:sz w:val="20"/>
                <w:szCs w:val="20"/>
              </w:rPr>
            </w:pPr>
            <w:r w:rsidRPr="00BE6461">
              <w:rPr>
                <w:b/>
                <w:bCs/>
                <w:sz w:val="20"/>
                <w:szCs w:val="20"/>
              </w:rPr>
              <w:t>0,00</w:t>
            </w:r>
          </w:p>
        </w:tc>
      </w:tr>
      <w:tr w:rsidR="00BE6461" w:rsidRPr="00BE6461" w14:paraId="5C2432F2" w14:textId="77777777" w:rsidTr="00BE6461">
        <w:trPr>
          <w:trHeight w:val="300"/>
        </w:trPr>
        <w:tc>
          <w:tcPr>
            <w:tcW w:w="1703" w:type="dxa"/>
            <w:tcBorders>
              <w:top w:val="nil"/>
              <w:left w:val="nil"/>
              <w:bottom w:val="nil"/>
              <w:right w:val="nil"/>
            </w:tcBorders>
            <w:shd w:val="clear" w:color="auto" w:fill="auto"/>
            <w:noWrap/>
            <w:vAlign w:val="bottom"/>
            <w:hideMark/>
          </w:tcPr>
          <w:p w14:paraId="79764C1B" w14:textId="77777777" w:rsidR="00BE6461" w:rsidRPr="00BE6461" w:rsidRDefault="00BE6461" w:rsidP="00BE6461">
            <w:pPr>
              <w:rPr>
                <w:sz w:val="20"/>
                <w:szCs w:val="20"/>
              </w:rPr>
            </w:pPr>
            <w:r w:rsidRPr="00BE6461">
              <w:rPr>
                <w:sz w:val="20"/>
                <w:szCs w:val="20"/>
              </w:rPr>
              <w:t>3211</w:t>
            </w:r>
          </w:p>
        </w:tc>
        <w:tc>
          <w:tcPr>
            <w:tcW w:w="8457" w:type="dxa"/>
            <w:tcBorders>
              <w:top w:val="nil"/>
              <w:left w:val="nil"/>
              <w:bottom w:val="nil"/>
              <w:right w:val="nil"/>
            </w:tcBorders>
            <w:shd w:val="clear" w:color="auto" w:fill="auto"/>
            <w:vAlign w:val="bottom"/>
            <w:hideMark/>
          </w:tcPr>
          <w:p w14:paraId="4A52A3AA" w14:textId="77777777" w:rsidR="00BE6461" w:rsidRPr="00BE6461" w:rsidRDefault="00BE6461" w:rsidP="00BE6461">
            <w:pPr>
              <w:rPr>
                <w:sz w:val="20"/>
                <w:szCs w:val="20"/>
              </w:rPr>
            </w:pPr>
            <w:r w:rsidRPr="00BE6461">
              <w:rPr>
                <w:sz w:val="20"/>
                <w:szCs w:val="20"/>
              </w:rPr>
              <w:t xml:space="preserve">Službena putovanja                                                                                  </w:t>
            </w:r>
          </w:p>
        </w:tc>
        <w:tc>
          <w:tcPr>
            <w:tcW w:w="1503" w:type="dxa"/>
            <w:tcBorders>
              <w:top w:val="nil"/>
              <w:left w:val="nil"/>
              <w:bottom w:val="nil"/>
              <w:right w:val="nil"/>
            </w:tcBorders>
            <w:shd w:val="clear" w:color="auto" w:fill="auto"/>
            <w:noWrap/>
            <w:vAlign w:val="bottom"/>
            <w:hideMark/>
          </w:tcPr>
          <w:p w14:paraId="5F5D9456"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24109072" w14:textId="77777777" w:rsidR="00BE6461" w:rsidRPr="00BE6461" w:rsidRDefault="00BE6461" w:rsidP="00BE6461">
            <w:pPr>
              <w:jc w:val="right"/>
              <w:rPr>
                <w:sz w:val="20"/>
                <w:szCs w:val="20"/>
              </w:rPr>
            </w:pPr>
            <w:r w:rsidRPr="00BE6461">
              <w:rPr>
                <w:sz w:val="20"/>
                <w:szCs w:val="20"/>
              </w:rPr>
              <w:t>372,46</w:t>
            </w:r>
          </w:p>
        </w:tc>
        <w:tc>
          <w:tcPr>
            <w:tcW w:w="1100" w:type="dxa"/>
            <w:tcBorders>
              <w:top w:val="nil"/>
              <w:left w:val="nil"/>
              <w:bottom w:val="nil"/>
              <w:right w:val="nil"/>
            </w:tcBorders>
            <w:shd w:val="clear" w:color="auto" w:fill="auto"/>
            <w:noWrap/>
            <w:vAlign w:val="bottom"/>
            <w:hideMark/>
          </w:tcPr>
          <w:p w14:paraId="2A8219CA" w14:textId="77777777" w:rsidR="00BE6461" w:rsidRPr="00BE6461" w:rsidRDefault="00BE6461" w:rsidP="00BE6461">
            <w:pPr>
              <w:jc w:val="right"/>
              <w:rPr>
                <w:sz w:val="20"/>
                <w:szCs w:val="20"/>
              </w:rPr>
            </w:pPr>
          </w:p>
        </w:tc>
      </w:tr>
      <w:tr w:rsidR="00BE6461" w:rsidRPr="00BE6461" w14:paraId="7706AF42" w14:textId="77777777" w:rsidTr="00BE6461">
        <w:trPr>
          <w:trHeight w:val="300"/>
        </w:trPr>
        <w:tc>
          <w:tcPr>
            <w:tcW w:w="1703" w:type="dxa"/>
            <w:tcBorders>
              <w:top w:val="nil"/>
              <w:left w:val="nil"/>
              <w:bottom w:val="nil"/>
              <w:right w:val="nil"/>
            </w:tcBorders>
            <w:shd w:val="clear" w:color="auto" w:fill="auto"/>
            <w:noWrap/>
            <w:vAlign w:val="bottom"/>
            <w:hideMark/>
          </w:tcPr>
          <w:p w14:paraId="73C36293" w14:textId="77777777" w:rsidR="00BE6461" w:rsidRPr="00BE6461" w:rsidRDefault="00BE6461" w:rsidP="00BE6461">
            <w:pPr>
              <w:rPr>
                <w:b/>
                <w:bCs/>
                <w:sz w:val="20"/>
                <w:szCs w:val="20"/>
              </w:rPr>
            </w:pPr>
            <w:r w:rsidRPr="00BE6461">
              <w:rPr>
                <w:b/>
                <w:bCs/>
                <w:sz w:val="20"/>
                <w:szCs w:val="20"/>
              </w:rPr>
              <w:t>323</w:t>
            </w:r>
          </w:p>
        </w:tc>
        <w:tc>
          <w:tcPr>
            <w:tcW w:w="8457" w:type="dxa"/>
            <w:tcBorders>
              <w:top w:val="nil"/>
              <w:left w:val="nil"/>
              <w:bottom w:val="nil"/>
              <w:right w:val="nil"/>
            </w:tcBorders>
            <w:shd w:val="clear" w:color="auto" w:fill="auto"/>
            <w:vAlign w:val="bottom"/>
            <w:hideMark/>
          </w:tcPr>
          <w:p w14:paraId="29A99A7D" w14:textId="77777777" w:rsidR="00BE6461" w:rsidRPr="00BE6461" w:rsidRDefault="00BE6461" w:rsidP="00BE6461">
            <w:pPr>
              <w:rPr>
                <w:b/>
                <w:bCs/>
                <w:sz w:val="20"/>
                <w:szCs w:val="20"/>
              </w:rPr>
            </w:pPr>
            <w:r w:rsidRPr="00BE6461">
              <w:rPr>
                <w:b/>
                <w:bCs/>
                <w:sz w:val="20"/>
                <w:szCs w:val="20"/>
              </w:rPr>
              <w:t xml:space="preserve">Rashodi za usluge                                                                                   </w:t>
            </w:r>
          </w:p>
        </w:tc>
        <w:tc>
          <w:tcPr>
            <w:tcW w:w="1503" w:type="dxa"/>
            <w:tcBorders>
              <w:top w:val="nil"/>
              <w:left w:val="nil"/>
              <w:bottom w:val="nil"/>
              <w:right w:val="nil"/>
            </w:tcBorders>
            <w:shd w:val="clear" w:color="auto" w:fill="auto"/>
            <w:noWrap/>
            <w:vAlign w:val="bottom"/>
            <w:hideMark/>
          </w:tcPr>
          <w:p w14:paraId="6A987544" w14:textId="77777777" w:rsidR="00BE6461" w:rsidRPr="00BE6461" w:rsidRDefault="00BE6461" w:rsidP="00BE6461">
            <w:pPr>
              <w:jc w:val="right"/>
              <w:rPr>
                <w:b/>
                <w:bCs/>
                <w:sz w:val="20"/>
                <w:szCs w:val="20"/>
              </w:rPr>
            </w:pPr>
            <w:r w:rsidRPr="00BE6461">
              <w:rPr>
                <w:b/>
                <w:bCs/>
                <w:sz w:val="20"/>
                <w:szCs w:val="20"/>
              </w:rPr>
              <w:t>7.000,00</w:t>
            </w:r>
          </w:p>
        </w:tc>
        <w:tc>
          <w:tcPr>
            <w:tcW w:w="1500" w:type="dxa"/>
            <w:tcBorders>
              <w:top w:val="nil"/>
              <w:left w:val="nil"/>
              <w:bottom w:val="nil"/>
              <w:right w:val="nil"/>
            </w:tcBorders>
            <w:shd w:val="clear" w:color="auto" w:fill="auto"/>
            <w:noWrap/>
            <w:vAlign w:val="bottom"/>
            <w:hideMark/>
          </w:tcPr>
          <w:p w14:paraId="75D792F5" w14:textId="77777777" w:rsidR="00BE6461" w:rsidRPr="00BE6461" w:rsidRDefault="00BE6461" w:rsidP="00BE6461">
            <w:pPr>
              <w:jc w:val="right"/>
              <w:rPr>
                <w:b/>
                <w:bCs/>
                <w:sz w:val="20"/>
                <w:szCs w:val="20"/>
              </w:rPr>
            </w:pPr>
            <w:r w:rsidRPr="00BE6461">
              <w:rPr>
                <w:b/>
                <w:bCs/>
                <w:sz w:val="20"/>
                <w:szCs w:val="20"/>
              </w:rPr>
              <w:t>7.000,00</w:t>
            </w:r>
          </w:p>
        </w:tc>
        <w:tc>
          <w:tcPr>
            <w:tcW w:w="1100" w:type="dxa"/>
            <w:tcBorders>
              <w:top w:val="nil"/>
              <w:left w:val="nil"/>
              <w:bottom w:val="nil"/>
              <w:right w:val="nil"/>
            </w:tcBorders>
            <w:shd w:val="clear" w:color="auto" w:fill="auto"/>
            <w:noWrap/>
            <w:vAlign w:val="bottom"/>
            <w:hideMark/>
          </w:tcPr>
          <w:p w14:paraId="6A2DB85D"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27AB6CFC" w14:textId="77777777" w:rsidTr="00BE6461">
        <w:trPr>
          <w:trHeight w:val="300"/>
        </w:trPr>
        <w:tc>
          <w:tcPr>
            <w:tcW w:w="1703" w:type="dxa"/>
            <w:tcBorders>
              <w:top w:val="nil"/>
              <w:left w:val="nil"/>
              <w:bottom w:val="nil"/>
              <w:right w:val="nil"/>
            </w:tcBorders>
            <w:shd w:val="clear" w:color="auto" w:fill="auto"/>
            <w:noWrap/>
            <w:vAlign w:val="bottom"/>
            <w:hideMark/>
          </w:tcPr>
          <w:p w14:paraId="567E7142" w14:textId="77777777" w:rsidR="00BE6461" w:rsidRPr="00BE6461" w:rsidRDefault="00BE6461" w:rsidP="00BE6461">
            <w:pPr>
              <w:rPr>
                <w:sz w:val="20"/>
                <w:szCs w:val="20"/>
              </w:rPr>
            </w:pPr>
            <w:r w:rsidRPr="00BE6461">
              <w:rPr>
                <w:sz w:val="20"/>
                <w:szCs w:val="20"/>
              </w:rPr>
              <w:t>3233</w:t>
            </w:r>
          </w:p>
        </w:tc>
        <w:tc>
          <w:tcPr>
            <w:tcW w:w="8457" w:type="dxa"/>
            <w:tcBorders>
              <w:top w:val="nil"/>
              <w:left w:val="nil"/>
              <w:bottom w:val="nil"/>
              <w:right w:val="nil"/>
            </w:tcBorders>
            <w:shd w:val="clear" w:color="auto" w:fill="auto"/>
            <w:vAlign w:val="bottom"/>
            <w:hideMark/>
          </w:tcPr>
          <w:p w14:paraId="4BCBDB99" w14:textId="77777777" w:rsidR="00BE6461" w:rsidRPr="00BE6461" w:rsidRDefault="00BE6461" w:rsidP="00BE6461">
            <w:pPr>
              <w:rPr>
                <w:sz w:val="20"/>
                <w:szCs w:val="20"/>
              </w:rPr>
            </w:pPr>
            <w:r w:rsidRPr="00BE6461">
              <w:rPr>
                <w:sz w:val="20"/>
                <w:szCs w:val="20"/>
              </w:rPr>
              <w:t xml:space="preserve">Usluge promidžbe i informiranja                                                                     </w:t>
            </w:r>
          </w:p>
        </w:tc>
        <w:tc>
          <w:tcPr>
            <w:tcW w:w="1503" w:type="dxa"/>
            <w:tcBorders>
              <w:top w:val="nil"/>
              <w:left w:val="nil"/>
              <w:bottom w:val="nil"/>
              <w:right w:val="nil"/>
            </w:tcBorders>
            <w:shd w:val="clear" w:color="auto" w:fill="auto"/>
            <w:noWrap/>
            <w:vAlign w:val="bottom"/>
            <w:hideMark/>
          </w:tcPr>
          <w:p w14:paraId="66B468A0" w14:textId="77777777" w:rsidR="00BE6461" w:rsidRPr="00BE6461" w:rsidRDefault="00BE6461" w:rsidP="00BE6461">
            <w:pPr>
              <w:rPr>
                <w:sz w:val="20"/>
                <w:szCs w:val="20"/>
              </w:rPr>
            </w:pPr>
          </w:p>
        </w:tc>
        <w:tc>
          <w:tcPr>
            <w:tcW w:w="1500" w:type="dxa"/>
            <w:tcBorders>
              <w:top w:val="nil"/>
              <w:left w:val="nil"/>
              <w:bottom w:val="nil"/>
              <w:right w:val="nil"/>
            </w:tcBorders>
            <w:shd w:val="clear" w:color="auto" w:fill="auto"/>
            <w:noWrap/>
            <w:vAlign w:val="bottom"/>
            <w:hideMark/>
          </w:tcPr>
          <w:p w14:paraId="321EBF7B" w14:textId="77777777" w:rsidR="00BE6461" w:rsidRPr="00BE6461" w:rsidRDefault="00BE6461" w:rsidP="00BE6461">
            <w:pPr>
              <w:jc w:val="right"/>
              <w:rPr>
                <w:sz w:val="20"/>
                <w:szCs w:val="20"/>
              </w:rPr>
            </w:pPr>
            <w:r w:rsidRPr="00BE6461">
              <w:rPr>
                <w:sz w:val="20"/>
                <w:szCs w:val="20"/>
              </w:rPr>
              <w:t>7.000,00</w:t>
            </w:r>
          </w:p>
        </w:tc>
        <w:tc>
          <w:tcPr>
            <w:tcW w:w="1100" w:type="dxa"/>
            <w:tcBorders>
              <w:top w:val="nil"/>
              <w:left w:val="nil"/>
              <w:bottom w:val="nil"/>
              <w:right w:val="nil"/>
            </w:tcBorders>
            <w:shd w:val="clear" w:color="auto" w:fill="auto"/>
            <w:noWrap/>
            <w:vAlign w:val="bottom"/>
            <w:hideMark/>
          </w:tcPr>
          <w:p w14:paraId="60A4A71A" w14:textId="77777777" w:rsidR="00BE6461" w:rsidRPr="00BE6461" w:rsidRDefault="00BE6461" w:rsidP="00BE6461">
            <w:pPr>
              <w:jc w:val="right"/>
              <w:rPr>
                <w:sz w:val="20"/>
                <w:szCs w:val="20"/>
              </w:rPr>
            </w:pPr>
          </w:p>
        </w:tc>
      </w:tr>
      <w:tr w:rsidR="00BE6461" w:rsidRPr="00BE6461" w14:paraId="08100F24" w14:textId="77777777" w:rsidTr="00BE6461">
        <w:trPr>
          <w:trHeight w:val="300"/>
        </w:trPr>
        <w:tc>
          <w:tcPr>
            <w:tcW w:w="1703" w:type="dxa"/>
            <w:tcBorders>
              <w:top w:val="nil"/>
              <w:left w:val="nil"/>
              <w:bottom w:val="nil"/>
              <w:right w:val="nil"/>
            </w:tcBorders>
            <w:shd w:val="clear" w:color="auto" w:fill="auto"/>
            <w:noWrap/>
            <w:vAlign w:val="bottom"/>
            <w:hideMark/>
          </w:tcPr>
          <w:p w14:paraId="7680BF88" w14:textId="77777777" w:rsidR="00BE6461" w:rsidRPr="00BE6461" w:rsidRDefault="00BE6461" w:rsidP="00BE6461">
            <w:pPr>
              <w:rPr>
                <w:b/>
                <w:bCs/>
                <w:sz w:val="20"/>
                <w:szCs w:val="20"/>
              </w:rPr>
            </w:pPr>
            <w:r w:rsidRPr="00BE6461">
              <w:rPr>
                <w:b/>
                <w:bCs/>
                <w:sz w:val="20"/>
                <w:szCs w:val="20"/>
              </w:rPr>
              <w:t>329</w:t>
            </w:r>
          </w:p>
        </w:tc>
        <w:tc>
          <w:tcPr>
            <w:tcW w:w="8457" w:type="dxa"/>
            <w:tcBorders>
              <w:top w:val="nil"/>
              <w:left w:val="nil"/>
              <w:bottom w:val="nil"/>
              <w:right w:val="nil"/>
            </w:tcBorders>
            <w:shd w:val="clear" w:color="auto" w:fill="auto"/>
            <w:vAlign w:val="bottom"/>
            <w:hideMark/>
          </w:tcPr>
          <w:p w14:paraId="4440C941" w14:textId="77777777" w:rsidR="00BE6461" w:rsidRPr="00BE6461" w:rsidRDefault="00BE6461" w:rsidP="00BE6461">
            <w:pPr>
              <w:rPr>
                <w:b/>
                <w:bCs/>
                <w:sz w:val="20"/>
                <w:szCs w:val="20"/>
              </w:rPr>
            </w:pPr>
            <w:r w:rsidRPr="00BE6461">
              <w:rPr>
                <w:b/>
                <w:bCs/>
                <w:sz w:val="20"/>
                <w:szCs w:val="20"/>
              </w:rPr>
              <w:t xml:space="preserve">Ostali nespomenuti rashodi poslovanja                                                               </w:t>
            </w:r>
          </w:p>
        </w:tc>
        <w:tc>
          <w:tcPr>
            <w:tcW w:w="1503" w:type="dxa"/>
            <w:tcBorders>
              <w:top w:val="nil"/>
              <w:left w:val="nil"/>
              <w:bottom w:val="nil"/>
              <w:right w:val="nil"/>
            </w:tcBorders>
            <w:shd w:val="clear" w:color="auto" w:fill="auto"/>
            <w:noWrap/>
            <w:vAlign w:val="bottom"/>
            <w:hideMark/>
          </w:tcPr>
          <w:p w14:paraId="04759E68" w14:textId="77777777" w:rsidR="00BE6461" w:rsidRPr="00BE6461" w:rsidRDefault="00BE6461" w:rsidP="00BE6461">
            <w:pPr>
              <w:jc w:val="right"/>
              <w:rPr>
                <w:b/>
                <w:bCs/>
                <w:sz w:val="20"/>
                <w:szCs w:val="20"/>
              </w:rPr>
            </w:pPr>
            <w:r w:rsidRPr="00BE6461">
              <w:rPr>
                <w:b/>
                <w:bCs/>
                <w:sz w:val="20"/>
                <w:szCs w:val="20"/>
              </w:rPr>
              <w:t>45.625,00</w:t>
            </w:r>
          </w:p>
        </w:tc>
        <w:tc>
          <w:tcPr>
            <w:tcW w:w="1500" w:type="dxa"/>
            <w:tcBorders>
              <w:top w:val="nil"/>
              <w:left w:val="nil"/>
              <w:bottom w:val="nil"/>
              <w:right w:val="nil"/>
            </w:tcBorders>
            <w:shd w:val="clear" w:color="auto" w:fill="auto"/>
            <w:noWrap/>
            <w:vAlign w:val="bottom"/>
            <w:hideMark/>
          </w:tcPr>
          <w:p w14:paraId="2F4A9C74" w14:textId="77777777" w:rsidR="00BE6461" w:rsidRPr="00BE6461" w:rsidRDefault="00BE6461" w:rsidP="00BE6461">
            <w:pPr>
              <w:jc w:val="right"/>
              <w:rPr>
                <w:b/>
                <w:bCs/>
                <w:sz w:val="20"/>
                <w:szCs w:val="20"/>
              </w:rPr>
            </w:pPr>
            <w:r w:rsidRPr="00BE6461">
              <w:rPr>
                <w:b/>
                <w:bCs/>
                <w:sz w:val="20"/>
                <w:szCs w:val="20"/>
              </w:rPr>
              <w:t>45.625,00</w:t>
            </w:r>
          </w:p>
        </w:tc>
        <w:tc>
          <w:tcPr>
            <w:tcW w:w="1100" w:type="dxa"/>
            <w:tcBorders>
              <w:top w:val="nil"/>
              <w:left w:val="nil"/>
              <w:bottom w:val="nil"/>
              <w:right w:val="nil"/>
            </w:tcBorders>
            <w:shd w:val="clear" w:color="auto" w:fill="auto"/>
            <w:noWrap/>
            <w:vAlign w:val="bottom"/>
            <w:hideMark/>
          </w:tcPr>
          <w:p w14:paraId="5C60C91C" w14:textId="77777777" w:rsidR="00BE6461" w:rsidRPr="00BE6461" w:rsidRDefault="00BE6461" w:rsidP="00BE6461">
            <w:pPr>
              <w:jc w:val="right"/>
              <w:rPr>
                <w:b/>
                <w:bCs/>
                <w:sz w:val="20"/>
                <w:szCs w:val="20"/>
              </w:rPr>
            </w:pPr>
            <w:r w:rsidRPr="00BE6461">
              <w:rPr>
                <w:b/>
                <w:bCs/>
                <w:sz w:val="20"/>
                <w:szCs w:val="20"/>
              </w:rPr>
              <w:t>100,00</w:t>
            </w:r>
          </w:p>
        </w:tc>
      </w:tr>
      <w:tr w:rsidR="00BE6461" w:rsidRPr="00BE6461" w14:paraId="3C31D5FA" w14:textId="77777777" w:rsidTr="00BE6461">
        <w:trPr>
          <w:trHeight w:val="315"/>
        </w:trPr>
        <w:tc>
          <w:tcPr>
            <w:tcW w:w="1703" w:type="dxa"/>
            <w:tcBorders>
              <w:top w:val="nil"/>
              <w:left w:val="nil"/>
              <w:bottom w:val="nil"/>
              <w:right w:val="nil"/>
            </w:tcBorders>
            <w:shd w:val="clear" w:color="auto" w:fill="auto"/>
            <w:noWrap/>
            <w:vAlign w:val="bottom"/>
            <w:hideMark/>
          </w:tcPr>
          <w:p w14:paraId="6B2194FE" w14:textId="77777777" w:rsidR="00BE6461" w:rsidRPr="00BE6461" w:rsidRDefault="00BE6461" w:rsidP="00BE6461">
            <w:pPr>
              <w:rPr>
                <w:sz w:val="20"/>
                <w:szCs w:val="20"/>
              </w:rPr>
            </w:pPr>
            <w:r w:rsidRPr="00BE6461">
              <w:rPr>
                <w:sz w:val="20"/>
                <w:szCs w:val="20"/>
              </w:rPr>
              <w:t>3293</w:t>
            </w:r>
          </w:p>
        </w:tc>
        <w:tc>
          <w:tcPr>
            <w:tcW w:w="8457" w:type="dxa"/>
            <w:tcBorders>
              <w:top w:val="nil"/>
              <w:left w:val="nil"/>
              <w:bottom w:val="nil"/>
              <w:right w:val="nil"/>
            </w:tcBorders>
            <w:shd w:val="clear" w:color="auto" w:fill="auto"/>
            <w:vAlign w:val="bottom"/>
            <w:hideMark/>
          </w:tcPr>
          <w:p w14:paraId="025DC7F8" w14:textId="77777777" w:rsidR="00BE6461" w:rsidRPr="00BE6461" w:rsidRDefault="00BE6461" w:rsidP="00BE6461">
            <w:pPr>
              <w:rPr>
                <w:sz w:val="20"/>
                <w:szCs w:val="20"/>
              </w:rPr>
            </w:pPr>
            <w:r w:rsidRPr="00BE6461">
              <w:rPr>
                <w:sz w:val="20"/>
                <w:szCs w:val="20"/>
              </w:rPr>
              <w:t xml:space="preserve">Reprezentacija                                                                                      </w:t>
            </w:r>
          </w:p>
        </w:tc>
        <w:tc>
          <w:tcPr>
            <w:tcW w:w="1503" w:type="dxa"/>
            <w:tcBorders>
              <w:top w:val="nil"/>
              <w:left w:val="nil"/>
              <w:bottom w:val="double" w:sz="6" w:space="0" w:color="auto"/>
              <w:right w:val="nil"/>
            </w:tcBorders>
            <w:shd w:val="clear" w:color="auto" w:fill="auto"/>
            <w:noWrap/>
            <w:vAlign w:val="bottom"/>
            <w:hideMark/>
          </w:tcPr>
          <w:p w14:paraId="62CD1396" w14:textId="77777777" w:rsidR="00BE6461" w:rsidRPr="00BE6461" w:rsidRDefault="00BE6461" w:rsidP="00BE6461">
            <w:pPr>
              <w:rPr>
                <w:sz w:val="20"/>
                <w:szCs w:val="20"/>
              </w:rPr>
            </w:pPr>
            <w:r w:rsidRPr="00BE6461">
              <w:rPr>
                <w:sz w:val="20"/>
                <w:szCs w:val="20"/>
              </w:rPr>
              <w:t> </w:t>
            </w:r>
          </w:p>
        </w:tc>
        <w:tc>
          <w:tcPr>
            <w:tcW w:w="1500" w:type="dxa"/>
            <w:tcBorders>
              <w:top w:val="nil"/>
              <w:left w:val="nil"/>
              <w:bottom w:val="double" w:sz="6" w:space="0" w:color="auto"/>
              <w:right w:val="nil"/>
            </w:tcBorders>
            <w:shd w:val="clear" w:color="auto" w:fill="auto"/>
            <w:noWrap/>
            <w:vAlign w:val="bottom"/>
            <w:hideMark/>
          </w:tcPr>
          <w:p w14:paraId="70755EEC" w14:textId="77777777" w:rsidR="00BE6461" w:rsidRPr="00BE6461" w:rsidRDefault="00BE6461" w:rsidP="00BE6461">
            <w:pPr>
              <w:jc w:val="right"/>
              <w:rPr>
                <w:sz w:val="20"/>
                <w:szCs w:val="20"/>
              </w:rPr>
            </w:pPr>
            <w:r w:rsidRPr="00BE6461">
              <w:rPr>
                <w:sz w:val="20"/>
                <w:szCs w:val="20"/>
              </w:rPr>
              <w:t>45.625,00</w:t>
            </w:r>
          </w:p>
        </w:tc>
        <w:tc>
          <w:tcPr>
            <w:tcW w:w="1100" w:type="dxa"/>
            <w:tcBorders>
              <w:top w:val="nil"/>
              <w:left w:val="nil"/>
              <w:bottom w:val="double" w:sz="6" w:space="0" w:color="auto"/>
              <w:right w:val="nil"/>
            </w:tcBorders>
            <w:shd w:val="clear" w:color="auto" w:fill="auto"/>
            <w:noWrap/>
            <w:vAlign w:val="bottom"/>
            <w:hideMark/>
          </w:tcPr>
          <w:p w14:paraId="61C7771F" w14:textId="77777777" w:rsidR="00BE6461" w:rsidRPr="00BE6461" w:rsidRDefault="00BE6461" w:rsidP="00BE6461">
            <w:pPr>
              <w:rPr>
                <w:sz w:val="20"/>
                <w:szCs w:val="20"/>
              </w:rPr>
            </w:pPr>
            <w:r w:rsidRPr="00BE6461">
              <w:rPr>
                <w:sz w:val="20"/>
                <w:szCs w:val="20"/>
              </w:rPr>
              <w:t> </w:t>
            </w:r>
          </w:p>
        </w:tc>
      </w:tr>
      <w:tr w:rsidR="00BE6461" w:rsidRPr="00BE6461" w14:paraId="68559045" w14:textId="77777777" w:rsidTr="00BE6461">
        <w:trPr>
          <w:trHeight w:val="600"/>
        </w:trPr>
        <w:tc>
          <w:tcPr>
            <w:tcW w:w="10160" w:type="dxa"/>
            <w:gridSpan w:val="2"/>
            <w:tcBorders>
              <w:top w:val="double" w:sz="6" w:space="0" w:color="auto"/>
              <w:left w:val="nil"/>
              <w:bottom w:val="single" w:sz="8" w:space="0" w:color="auto"/>
              <w:right w:val="nil"/>
            </w:tcBorders>
            <w:shd w:val="clear" w:color="auto" w:fill="auto"/>
            <w:noWrap/>
            <w:vAlign w:val="bottom"/>
            <w:hideMark/>
          </w:tcPr>
          <w:p w14:paraId="5EEA9902" w14:textId="77777777" w:rsidR="00BE6461" w:rsidRPr="00BE6461" w:rsidRDefault="00BE6461" w:rsidP="00BE6461">
            <w:pPr>
              <w:rPr>
                <w:b/>
                <w:bCs/>
                <w:sz w:val="20"/>
                <w:szCs w:val="20"/>
              </w:rPr>
            </w:pPr>
            <w:r w:rsidRPr="00BE6461">
              <w:rPr>
                <w:b/>
                <w:bCs/>
                <w:sz w:val="20"/>
                <w:szCs w:val="20"/>
              </w:rPr>
              <w:t>UKUPNO RASHODI I IZDATCI</w:t>
            </w:r>
          </w:p>
        </w:tc>
        <w:tc>
          <w:tcPr>
            <w:tcW w:w="1503" w:type="dxa"/>
            <w:tcBorders>
              <w:top w:val="nil"/>
              <w:left w:val="nil"/>
              <w:bottom w:val="single" w:sz="8" w:space="0" w:color="auto"/>
              <w:right w:val="nil"/>
            </w:tcBorders>
            <w:shd w:val="clear" w:color="auto" w:fill="auto"/>
            <w:noWrap/>
            <w:vAlign w:val="bottom"/>
            <w:hideMark/>
          </w:tcPr>
          <w:p w14:paraId="68FCBC9D" w14:textId="77777777" w:rsidR="00BE6461" w:rsidRPr="00BE6461" w:rsidRDefault="00BE6461" w:rsidP="00BE6461">
            <w:pPr>
              <w:jc w:val="right"/>
              <w:rPr>
                <w:b/>
                <w:bCs/>
                <w:sz w:val="20"/>
                <w:szCs w:val="20"/>
              </w:rPr>
            </w:pPr>
            <w:r w:rsidRPr="00BE6461">
              <w:rPr>
                <w:b/>
                <w:bCs/>
                <w:sz w:val="20"/>
                <w:szCs w:val="20"/>
              </w:rPr>
              <w:t>41.135.987,25</w:t>
            </w:r>
          </w:p>
        </w:tc>
        <w:tc>
          <w:tcPr>
            <w:tcW w:w="1500" w:type="dxa"/>
            <w:tcBorders>
              <w:top w:val="nil"/>
              <w:left w:val="nil"/>
              <w:bottom w:val="single" w:sz="8" w:space="0" w:color="auto"/>
              <w:right w:val="nil"/>
            </w:tcBorders>
            <w:shd w:val="clear" w:color="auto" w:fill="auto"/>
            <w:noWrap/>
            <w:vAlign w:val="bottom"/>
            <w:hideMark/>
          </w:tcPr>
          <w:p w14:paraId="42DCB98A" w14:textId="77777777" w:rsidR="00BE6461" w:rsidRPr="00BE6461" w:rsidRDefault="00BE6461" w:rsidP="00BE6461">
            <w:pPr>
              <w:jc w:val="right"/>
              <w:rPr>
                <w:b/>
                <w:bCs/>
                <w:sz w:val="20"/>
                <w:szCs w:val="20"/>
              </w:rPr>
            </w:pPr>
            <w:r w:rsidRPr="00BE6461">
              <w:rPr>
                <w:b/>
                <w:bCs/>
                <w:sz w:val="20"/>
                <w:szCs w:val="20"/>
              </w:rPr>
              <w:t>38.178.828,10</w:t>
            </w:r>
          </w:p>
        </w:tc>
        <w:tc>
          <w:tcPr>
            <w:tcW w:w="1100" w:type="dxa"/>
            <w:tcBorders>
              <w:top w:val="nil"/>
              <w:left w:val="nil"/>
              <w:bottom w:val="single" w:sz="8" w:space="0" w:color="auto"/>
              <w:right w:val="nil"/>
            </w:tcBorders>
            <w:shd w:val="clear" w:color="auto" w:fill="auto"/>
            <w:noWrap/>
            <w:vAlign w:val="bottom"/>
            <w:hideMark/>
          </w:tcPr>
          <w:p w14:paraId="28C6A931" w14:textId="77777777" w:rsidR="00BE6461" w:rsidRPr="00BE6461" w:rsidRDefault="00BE6461" w:rsidP="00BE6461">
            <w:pPr>
              <w:jc w:val="right"/>
              <w:rPr>
                <w:b/>
                <w:bCs/>
                <w:sz w:val="20"/>
                <w:szCs w:val="20"/>
              </w:rPr>
            </w:pPr>
            <w:r w:rsidRPr="00BE6461">
              <w:rPr>
                <w:b/>
                <w:bCs/>
                <w:sz w:val="20"/>
                <w:szCs w:val="20"/>
              </w:rPr>
              <w:t>92,81</w:t>
            </w:r>
          </w:p>
        </w:tc>
      </w:tr>
    </w:tbl>
    <w:p w14:paraId="5E301CEA" w14:textId="77777777" w:rsidR="0044560C" w:rsidRDefault="0044560C" w:rsidP="007C2D97">
      <w:pPr>
        <w:pStyle w:val="Title1"/>
        <w:numPr>
          <w:ilvl w:val="0"/>
          <w:numId w:val="0"/>
        </w:numPr>
        <w:rPr>
          <w:rFonts w:ascii="Times New Roman" w:hAnsi="Times New Roman" w:cs="Times New Roman"/>
          <w:sz w:val="24"/>
          <w:szCs w:val="24"/>
        </w:rPr>
      </w:pPr>
    </w:p>
    <w:p w14:paraId="4B5E9EC2" w14:textId="77777777" w:rsidR="0039277D" w:rsidRDefault="0039277D" w:rsidP="007C2D97">
      <w:pPr>
        <w:ind w:left="502"/>
        <w:rPr>
          <w:b/>
          <w:sz w:val="22"/>
          <w:szCs w:val="22"/>
        </w:rPr>
      </w:pPr>
    </w:p>
    <w:p w14:paraId="3062F4EB" w14:textId="7F1E603A" w:rsidR="007C2D97" w:rsidRPr="00E80A17" w:rsidRDefault="007C2D97" w:rsidP="007C2D97">
      <w:pPr>
        <w:ind w:left="502"/>
        <w:rPr>
          <w:b/>
          <w:sz w:val="22"/>
          <w:szCs w:val="22"/>
        </w:rPr>
        <w:sectPr w:rsidR="007C2D97" w:rsidRPr="00E80A17" w:rsidSect="002D0E0C">
          <w:pgSz w:w="16838" w:h="11906" w:orient="landscape"/>
          <w:pgMar w:top="1418" w:right="2663" w:bottom="1418" w:left="1418" w:header="709" w:footer="709" w:gutter="0"/>
          <w:cols w:space="708"/>
          <w:docGrid w:linePitch="360"/>
        </w:sectPr>
      </w:pPr>
    </w:p>
    <w:p w14:paraId="34EF7569" w14:textId="49A5C562" w:rsidR="00A2660D" w:rsidRPr="00F22C87" w:rsidRDefault="007C2D97" w:rsidP="00F22C87">
      <w:pPr>
        <w:pStyle w:val="Naslov1"/>
        <w:numPr>
          <w:ilvl w:val="0"/>
          <w:numId w:val="22"/>
        </w:numPr>
        <w:rPr>
          <w:rFonts w:ascii="Times New Roman" w:hAnsi="Times New Roman"/>
          <w:sz w:val="24"/>
          <w:szCs w:val="24"/>
        </w:rPr>
      </w:pPr>
      <w:bookmarkStart w:id="23" w:name="_Toc133398673"/>
      <w:r w:rsidRPr="00F22C87">
        <w:rPr>
          <w:rFonts w:ascii="Times New Roman" w:hAnsi="Times New Roman"/>
          <w:sz w:val="24"/>
          <w:szCs w:val="24"/>
        </w:rPr>
        <w:lastRenderedPageBreak/>
        <w:t>IZVJEŠTAJ O ZADUŽIVANJU NA DOMAĆEM I STRANOM TRŽIŠTU NOVCA I KAPITALA</w:t>
      </w:r>
      <w:bookmarkEnd w:id="23"/>
    </w:p>
    <w:p w14:paraId="61781FAC" w14:textId="77777777" w:rsidR="00A2660D" w:rsidRPr="00E80A17" w:rsidRDefault="00A2660D" w:rsidP="00A2660D">
      <w:pPr>
        <w:rPr>
          <w:b/>
        </w:rPr>
      </w:pPr>
    </w:p>
    <w:p w14:paraId="5A2C6DDF" w14:textId="59FF0EF7" w:rsidR="00413D17" w:rsidRPr="00E80A17" w:rsidRDefault="00413D17" w:rsidP="0075416A">
      <w:pPr>
        <w:ind w:firstLine="708"/>
      </w:pPr>
      <w:r w:rsidRPr="00E80A17">
        <w:t xml:space="preserve">Zaduživanje jedinica lokalne i područne (regionalne) samouprave, kao i </w:t>
      </w:r>
      <w:r>
        <w:t>dava</w:t>
      </w:r>
      <w:r w:rsidRPr="00E80A17">
        <w:t xml:space="preserve">nje jamstava i suglasnosti pravnim osobama u većinskom </w:t>
      </w:r>
      <w:r>
        <w:t xml:space="preserve">vlasništvu ili suvlasništvu općine, grada ili županije </w:t>
      </w:r>
      <w:r w:rsidRPr="00E80A17">
        <w:t xml:space="preserve">regulirano Zakonom o proračunu („Narodne novine“ broj </w:t>
      </w:r>
      <w:r>
        <w:t>144/21</w:t>
      </w:r>
      <w:r w:rsidRPr="00E80A17">
        <w:t xml:space="preserve">) i Pravilnikom o postupku </w:t>
      </w:r>
      <w:r>
        <w:t xml:space="preserve">dugoročnog </w:t>
      </w:r>
      <w:r w:rsidRPr="00E80A17">
        <w:t>zaduživanja te davanj</w:t>
      </w:r>
      <w:r>
        <w:t>a</w:t>
      </w:r>
      <w:r w:rsidRPr="00E80A17">
        <w:t xml:space="preserve"> jamstava i suglasnosti jedinica lokalne i područne (regionalne) samouprave („Narodne novine“ broj </w:t>
      </w:r>
      <w:r>
        <w:t>67/22</w:t>
      </w:r>
      <w:r w:rsidRPr="00E80A17">
        <w:t>).</w:t>
      </w:r>
      <w:r>
        <w:t xml:space="preserve"> </w:t>
      </w:r>
    </w:p>
    <w:p w14:paraId="5D81DDF2" w14:textId="4CA5F646" w:rsidR="00413D17" w:rsidRDefault="00950EF5" w:rsidP="0075416A">
      <w:pPr>
        <w:ind w:firstLine="708"/>
      </w:pPr>
      <w:r>
        <w:t>Na temelju navedenih propisa jedinica lokalne i područne (regionalne) samouprave može se dugoročno zaduživati za investiciju koja se financira iz njezina proračuna, za kapitalne pomoći trgovačkim društvima i drugim pravnim osobama u većinskom vlasništvu ili suvlasništvu radi realizacije investicije koja se sufinancira iz fondova EU ili projekte čija je realizacija utvrđena posebnim propisima te za financiranje obveza na ime povrata neprihvatljivih troškova koji su bili sufinancirani iz fondova EU.</w:t>
      </w:r>
    </w:p>
    <w:p w14:paraId="3EB30974" w14:textId="130A1C6C" w:rsidR="00C446FE" w:rsidRDefault="0096719A" w:rsidP="0096719A">
      <w:pPr>
        <w:ind w:firstLine="708"/>
      </w:pPr>
      <w:r>
        <w:t xml:space="preserve">Odluku </w:t>
      </w:r>
      <w:r w:rsidR="004D3DCD">
        <w:t>o</w:t>
      </w:r>
      <w:r>
        <w:t xml:space="preserve"> dugoročno</w:t>
      </w:r>
      <w:r w:rsidR="004D3DCD">
        <w:t>m</w:t>
      </w:r>
      <w:r>
        <w:t xml:space="preserve"> zaduživanj</w:t>
      </w:r>
      <w:r w:rsidR="004D3DCD">
        <w:t>u</w:t>
      </w:r>
      <w:r>
        <w:t xml:space="preserve"> donosi predstavničko tijelo. </w:t>
      </w:r>
      <w:r w:rsidR="00950EF5">
        <w:t xml:space="preserve">Jedinice lokalne i područne (regionalne) samouprave dužne su </w:t>
      </w:r>
      <w:r w:rsidR="00B76271">
        <w:t xml:space="preserve">od Vlade </w:t>
      </w:r>
      <w:r w:rsidR="00C446FE">
        <w:t xml:space="preserve">ishoditi suglasnost </w:t>
      </w:r>
      <w:r w:rsidR="00B76271">
        <w:t>za zaduživanje</w:t>
      </w:r>
      <w:r w:rsidR="00C446FE">
        <w:t>. Ukoliko se zaduženje odnosi na realizaciju projekt</w:t>
      </w:r>
      <w:r w:rsidR="00B76271">
        <w:t>a</w:t>
      </w:r>
      <w:r w:rsidR="00C446FE">
        <w:t xml:space="preserve"> koji se sufinancira iz fondova EU, a do visine ukupno prihvatljivog troška, suglasnost za zaduživanje može dati ministar financija.</w:t>
      </w:r>
    </w:p>
    <w:p w14:paraId="0A3CEF9A" w14:textId="382C90C8" w:rsidR="0004402D" w:rsidRDefault="00C446FE" w:rsidP="0096719A">
      <w:pPr>
        <w:ind w:firstLine="708"/>
      </w:pPr>
      <w:r>
        <w:t>Ukupna godišnja obveza jedinica lokalne i područne (regionalne) samouprave može iznositi najviše do 20 posto ostvarenih prihoda u godini koja prethodi godini u kojoj se zadužuje.</w:t>
      </w:r>
      <w:r w:rsidR="0004402D">
        <w:t xml:space="preserve"> Pod ostvarenim proračunskim prihodima podrazumijevaju se ukupni ostvareni prihodi umanjeni za prihode od pomoći iz inozemstva i od subjekata unutar općeg proračuna te donacija i </w:t>
      </w:r>
      <w:r w:rsidR="00B76271">
        <w:t>priho</w:t>
      </w:r>
      <w:r w:rsidR="004A48CB">
        <w:t>de</w:t>
      </w:r>
      <w:r w:rsidR="00B76271">
        <w:t xml:space="preserve"> </w:t>
      </w:r>
      <w:r w:rsidR="0004402D">
        <w:t>s osnove dodatnih udjela u porezu na dohodak za financiranje decentraliziranih funkcija.</w:t>
      </w:r>
    </w:p>
    <w:p w14:paraId="34D37293" w14:textId="128428AC" w:rsidR="0004402D" w:rsidRDefault="0004402D" w:rsidP="0096719A">
      <w:pPr>
        <w:ind w:firstLine="708"/>
      </w:pPr>
      <w:r>
        <w:t>U iznos ukupne godišnje obveze uključen je iznos prosječnoga godišnjeg anuiteta po kreditima, zajmovima, obvezama na osnovi izdanih vrijednosnih papira, danih jamstava i suglasno</w:t>
      </w:r>
      <w:r w:rsidR="00D61BA6">
        <w:t>s</w:t>
      </w:r>
      <w:r>
        <w:t>ti te dospjele obveze iskazane u zadnjem raspoloživom financijskom izvještaju.</w:t>
      </w:r>
    </w:p>
    <w:p w14:paraId="66D13948" w14:textId="003BD908" w:rsidR="00C45D40" w:rsidRDefault="0004402D" w:rsidP="0096719A">
      <w:pPr>
        <w:ind w:firstLine="708"/>
      </w:pPr>
      <w:r>
        <w:t>Navedeno fiskalno ograničenje ne odnosi se na iznos zaduživanja jedinice lokalne i područne (regionalne) samouprave do iz</w:t>
      </w:r>
      <w:r w:rsidR="00D61BA6">
        <w:t>n</w:t>
      </w:r>
      <w:r>
        <w:t>osa prihvatljivog troška projekta koji se sufinancira iz fondova EU te za investicije iz područja unapređenja energetsk</w:t>
      </w:r>
      <w:r w:rsidR="00D61BA6">
        <w:t>e</w:t>
      </w:r>
      <w:r>
        <w:t xml:space="preserve"> učinkovitosti.</w:t>
      </w:r>
    </w:p>
    <w:p w14:paraId="6F8C9393" w14:textId="0FE73F87" w:rsidR="006739CA" w:rsidRDefault="00C45D40" w:rsidP="0096719A">
      <w:pPr>
        <w:ind w:firstLine="708"/>
      </w:pPr>
      <w:r>
        <w:t>Planom proračuna za 2022. godinu nisu planirani</w:t>
      </w:r>
      <w:r w:rsidR="00B76271">
        <w:t>,</w:t>
      </w:r>
      <w:r>
        <w:t xml:space="preserve"> niti </w:t>
      </w:r>
      <w:r w:rsidR="006739CA">
        <w:t xml:space="preserve">su </w:t>
      </w:r>
      <w:r>
        <w:t xml:space="preserve">realizirani primici </w:t>
      </w:r>
      <w:r w:rsidR="000E5103">
        <w:t xml:space="preserve">po osnovi </w:t>
      </w:r>
      <w:r>
        <w:t xml:space="preserve"> nov</w:t>
      </w:r>
      <w:r w:rsidR="000E5103">
        <w:t>og</w:t>
      </w:r>
      <w:r>
        <w:t xml:space="preserve"> dugoročn</w:t>
      </w:r>
      <w:r w:rsidR="000E5103">
        <w:t>og</w:t>
      </w:r>
      <w:r>
        <w:t xml:space="preserve"> zaduživanja.</w:t>
      </w:r>
    </w:p>
    <w:p w14:paraId="3557FBD9" w14:textId="299A19E0" w:rsidR="006739CA" w:rsidRDefault="0096719A" w:rsidP="0096719A">
      <w:pPr>
        <w:ind w:firstLine="708"/>
      </w:pPr>
      <w:r>
        <w:t>Tijekom</w:t>
      </w:r>
      <w:r w:rsidR="006739CA">
        <w:t xml:space="preserve"> 2022. godine, Grad Buje – Buie je uredno </w:t>
      </w:r>
      <w:r w:rsidR="00537543">
        <w:t>pod</w:t>
      </w:r>
      <w:r w:rsidR="006739CA">
        <w:t>m</w:t>
      </w:r>
      <w:r w:rsidR="00D61BA6">
        <w:t>ir</w:t>
      </w:r>
      <w:r w:rsidR="006739CA">
        <w:t xml:space="preserve">io </w:t>
      </w:r>
      <w:r w:rsidR="000C2DD0">
        <w:t xml:space="preserve">sve </w:t>
      </w:r>
      <w:r w:rsidR="00537543">
        <w:t xml:space="preserve">dospjele </w:t>
      </w:r>
      <w:r w:rsidR="006739CA">
        <w:t>kreditne obveze</w:t>
      </w:r>
      <w:r w:rsidR="00B76271">
        <w:t xml:space="preserve"> iz prethodnih razdoblja</w:t>
      </w:r>
      <w:r w:rsidR="006739CA">
        <w:t xml:space="preserve"> prema ugovorenim rokovima</w:t>
      </w:r>
      <w:r w:rsidR="00B76271">
        <w:t xml:space="preserve"> otplate</w:t>
      </w:r>
      <w:r w:rsidR="006739CA">
        <w:t>.</w:t>
      </w:r>
    </w:p>
    <w:p w14:paraId="59887773" w14:textId="112150D4" w:rsidR="006739CA" w:rsidRDefault="00C446FE" w:rsidP="009075FA">
      <w:pPr>
        <w:rPr>
          <w:b/>
          <w:bCs/>
        </w:rPr>
      </w:pPr>
      <w:r>
        <w:t xml:space="preserve"> </w:t>
      </w:r>
    </w:p>
    <w:p w14:paraId="561E6F28" w14:textId="02A0451F" w:rsidR="009075FA" w:rsidRPr="0033296A" w:rsidRDefault="009075FA" w:rsidP="009075FA">
      <w:pPr>
        <w:rPr>
          <w:b/>
          <w:bCs/>
        </w:rPr>
      </w:pPr>
      <w:r w:rsidRPr="0033296A">
        <w:rPr>
          <w:b/>
          <w:bCs/>
        </w:rPr>
        <w:t>Dugoročni krediti</w:t>
      </w:r>
    </w:p>
    <w:p w14:paraId="689B38DB" w14:textId="77777777" w:rsidR="009075FA" w:rsidRPr="0033296A" w:rsidRDefault="009075FA" w:rsidP="009075FA"/>
    <w:p w14:paraId="25E115E8" w14:textId="74359BF4" w:rsidR="009075FA" w:rsidRPr="0033296A" w:rsidRDefault="009075FA" w:rsidP="000716FD">
      <w:pPr>
        <w:ind w:firstLine="708"/>
      </w:pPr>
      <w:r w:rsidRPr="0033296A">
        <w:t xml:space="preserve">Grad Buje – Buie je na temelju Odluke </w:t>
      </w:r>
      <w:r w:rsidR="000A5241">
        <w:t xml:space="preserve">Gradskog vijeća </w:t>
      </w:r>
      <w:r w:rsidRPr="0033296A">
        <w:t>o kreditnom zaduženju (</w:t>
      </w:r>
      <w:r w:rsidR="000716FD">
        <w:t>KLASA</w:t>
      </w:r>
      <w:r w:rsidRPr="0033296A">
        <w:t xml:space="preserve">: 403-01/19-01/03, </w:t>
      </w:r>
      <w:r w:rsidR="000716FD">
        <w:t>URBROJ</w:t>
      </w:r>
      <w:r w:rsidRPr="0033296A">
        <w:t>: 2105/01-02/01-19-16 od 22.07.2019.) i Suglasnosti za zaduženje Ministarstva financija (</w:t>
      </w:r>
      <w:r w:rsidR="000716FD">
        <w:t>KLASA</w:t>
      </w:r>
      <w:r w:rsidRPr="0033296A">
        <w:t xml:space="preserve">: 403-02/19-01/127, </w:t>
      </w:r>
      <w:r w:rsidR="000716FD">
        <w:t>URBROJ</w:t>
      </w:r>
      <w:r w:rsidRPr="0033296A">
        <w:t xml:space="preserve">: 513-05-06-19-2 od 26. kolovoza 2019.) sklopio dana 18.09.2019. godine Ugovor o kreditu s Istarskom kreditnom bankom Umag d.d. (broj 900500278-8) za sufinanciranje projekata </w:t>
      </w:r>
      <w:r w:rsidR="004E7B06">
        <w:t>e</w:t>
      </w:r>
      <w:r w:rsidRPr="0033296A">
        <w:t xml:space="preserve">nergetske obnove zgrade Gradske uprave i zgrade u kojoj je smješten Centar za inkluziju. Ugovoreni iznos kredita </w:t>
      </w:r>
      <w:r w:rsidR="004E7B06">
        <w:t>je</w:t>
      </w:r>
      <w:r w:rsidRPr="0033296A">
        <w:t xml:space="preserve"> 4.089.561,00 kuna, s rokom vraćanja 10 godina od dana prijenosa u otplatu i uključenim počekom od 12 mjeseci. Ugovorena kamatna stopa iznosi 1,20%, a način vraćanja u 36 jednakih tromjesečnih rata. Ugovoreno je sukcesivno korištenje sredstava kredita u razdoblju do 12 mjeseci od sklapanja ugovora.</w:t>
      </w:r>
      <w:r w:rsidR="00432F36">
        <w:t xml:space="preserve"> Ukupno iskorišteni iznos kredita je 2.875.550,84 kuna</w:t>
      </w:r>
      <w:r w:rsidR="00E12C7A">
        <w:t>, a</w:t>
      </w:r>
      <w:r w:rsidR="00DB4664">
        <w:t xml:space="preserve"> k</w:t>
      </w:r>
      <w:r w:rsidR="00E12C7A" w:rsidRPr="0033296A">
        <w:t>redit je prenesen u otplatu  31.03.2020. godine.</w:t>
      </w:r>
      <w:r w:rsidR="00432F36">
        <w:t xml:space="preserve"> </w:t>
      </w:r>
      <w:r w:rsidR="005A581A">
        <w:t xml:space="preserve">Po </w:t>
      </w:r>
      <w:r w:rsidR="005322AB">
        <w:t xml:space="preserve">realiziranoj refundaciji </w:t>
      </w:r>
      <w:r w:rsidR="005A581A">
        <w:t xml:space="preserve">dijela rashoda odnosno </w:t>
      </w:r>
      <w:r w:rsidR="005322AB">
        <w:t>primitku</w:t>
      </w:r>
      <w:r w:rsidR="005A581A">
        <w:t xml:space="preserve"> </w:t>
      </w:r>
      <w:r w:rsidR="00E12C7A" w:rsidRPr="0033296A">
        <w:t xml:space="preserve">sredstava pomoći </w:t>
      </w:r>
      <w:r w:rsidR="000A5241">
        <w:t xml:space="preserve">od </w:t>
      </w:r>
      <w:r w:rsidR="000A5241" w:rsidRPr="0033296A">
        <w:t xml:space="preserve">Ministarstva regionalnog razvoja i fondova Europske </w:t>
      </w:r>
      <w:r w:rsidR="000A5241" w:rsidRPr="0033296A">
        <w:lastRenderedPageBreak/>
        <w:t>unije</w:t>
      </w:r>
      <w:r w:rsidR="000A5241">
        <w:t xml:space="preserve"> </w:t>
      </w:r>
      <w:r w:rsidR="005322AB">
        <w:t>po osnovi</w:t>
      </w:r>
      <w:r w:rsidR="00E12C7A" w:rsidRPr="0033296A">
        <w:t xml:space="preserve"> Odluke o sufinanciranju provedbe EU projekta,</w:t>
      </w:r>
      <w:r w:rsidR="005322AB">
        <w:t xml:space="preserve"> a</w:t>
      </w:r>
      <w:r w:rsidR="00E12C7A" w:rsidRPr="0033296A">
        <w:t xml:space="preserve"> u skladu s odredbama </w:t>
      </w:r>
      <w:r w:rsidR="005322AB">
        <w:t>U</w:t>
      </w:r>
      <w:r w:rsidR="00E12C7A" w:rsidRPr="0033296A">
        <w:t>govora</w:t>
      </w:r>
      <w:r w:rsidR="005322AB">
        <w:t xml:space="preserve"> o kreditu</w:t>
      </w:r>
      <w:r w:rsidR="00E12C7A">
        <w:t>,</w:t>
      </w:r>
      <w:r w:rsidR="00E12C7A" w:rsidRPr="0033296A">
        <w:t xml:space="preserve"> izvršen je </w:t>
      </w:r>
      <w:r w:rsidR="005322AB">
        <w:t xml:space="preserve">djelomični </w:t>
      </w:r>
      <w:r w:rsidR="00E12C7A">
        <w:t xml:space="preserve">prijevremeni </w:t>
      </w:r>
      <w:r w:rsidR="00E12C7A" w:rsidRPr="0033296A">
        <w:t>povrat kredita u iznosu od 1.226.995,46 kuna</w:t>
      </w:r>
      <w:r w:rsidR="00E12C7A">
        <w:t>.</w:t>
      </w:r>
      <w:r w:rsidR="00E12C7A" w:rsidRPr="0033296A">
        <w:t xml:space="preserve"> </w:t>
      </w:r>
      <w:r w:rsidR="000D2D36">
        <w:t>Stanje</w:t>
      </w:r>
      <w:r w:rsidR="000D2D36" w:rsidRPr="0033296A">
        <w:t xml:space="preserve"> kredita </w:t>
      </w:r>
      <w:r w:rsidR="000D2D36">
        <w:t>n</w:t>
      </w:r>
      <w:r w:rsidRPr="0033296A">
        <w:t>a dan 01.01.202</w:t>
      </w:r>
      <w:r w:rsidR="005F39F7">
        <w:t>2</w:t>
      </w:r>
      <w:r w:rsidRPr="0033296A">
        <w:t>. godine bi</w:t>
      </w:r>
      <w:r w:rsidR="00432F36">
        <w:t>l</w:t>
      </w:r>
      <w:r w:rsidRPr="0033296A">
        <w:t xml:space="preserve">o je </w:t>
      </w:r>
      <w:r w:rsidR="00E12C7A">
        <w:t>1.</w:t>
      </w:r>
      <w:r w:rsidR="00777A0F">
        <w:t>511.175,75</w:t>
      </w:r>
      <w:r w:rsidRPr="0033296A">
        <w:t xml:space="preserve"> kuna. U 202</w:t>
      </w:r>
      <w:r w:rsidR="00777A0F">
        <w:t>2</w:t>
      </w:r>
      <w:r w:rsidRPr="0033296A">
        <w:t>. godin</w:t>
      </w:r>
      <w:r w:rsidR="00A93087">
        <w:t>i</w:t>
      </w:r>
      <w:r w:rsidRPr="0033296A">
        <w:t xml:space="preserve"> </w:t>
      </w:r>
      <w:r w:rsidR="00E12C7A">
        <w:t>otplaćen</w:t>
      </w:r>
      <w:r w:rsidR="00FD0C9E">
        <w:t>o je 183.172,84 kuna</w:t>
      </w:r>
      <w:r w:rsidR="004E7B06">
        <w:t xml:space="preserve"> te</w:t>
      </w:r>
      <w:r w:rsidR="00E12C7A">
        <w:t xml:space="preserve"> </w:t>
      </w:r>
      <w:r w:rsidRPr="0033296A">
        <w:t xml:space="preserve">je saldo </w:t>
      </w:r>
      <w:r w:rsidR="00A93087">
        <w:t xml:space="preserve">glavnice </w:t>
      </w:r>
      <w:r w:rsidRPr="0033296A">
        <w:t xml:space="preserve">kredita na dan </w:t>
      </w:r>
      <w:r w:rsidR="00FD0C9E">
        <w:t>31.12</w:t>
      </w:r>
      <w:r w:rsidR="00A93087">
        <w:t>.202</w:t>
      </w:r>
      <w:r w:rsidR="00777A0F">
        <w:t>2</w:t>
      </w:r>
      <w:r w:rsidR="00A93087">
        <w:t>.</w:t>
      </w:r>
      <w:r w:rsidRPr="0033296A">
        <w:t xml:space="preserve"> godin</w:t>
      </w:r>
      <w:r w:rsidR="00E12C7A">
        <w:t>e</w:t>
      </w:r>
      <w:r w:rsidRPr="0033296A">
        <w:t xml:space="preserve"> </w:t>
      </w:r>
      <w:r w:rsidR="00E12C7A">
        <w:t>1.</w:t>
      </w:r>
      <w:r w:rsidR="00FD0C9E">
        <w:t>328.002,91</w:t>
      </w:r>
      <w:r w:rsidRPr="0033296A">
        <w:t xml:space="preserve"> kuna. Dinamika otplate kreditne obveze po godinama prikazana je u sljedećoj tablici.</w:t>
      </w:r>
    </w:p>
    <w:p w14:paraId="7BD4818E" w14:textId="77777777" w:rsidR="000E52C3" w:rsidRPr="0033296A" w:rsidRDefault="000E52C3" w:rsidP="009075FA"/>
    <w:tbl>
      <w:tblPr>
        <w:tblW w:w="6720" w:type="dxa"/>
        <w:tblLook w:val="04A0" w:firstRow="1" w:lastRow="0" w:firstColumn="1" w:lastColumn="0" w:noHBand="0" w:noVBand="1"/>
      </w:tblPr>
      <w:tblGrid>
        <w:gridCol w:w="960"/>
        <w:gridCol w:w="1420"/>
        <w:gridCol w:w="1500"/>
        <w:gridCol w:w="1420"/>
        <w:gridCol w:w="1420"/>
      </w:tblGrid>
      <w:tr w:rsidR="009075FA" w:rsidRPr="0033296A" w14:paraId="21ED5EAE" w14:textId="77777777" w:rsidTr="00516C62">
        <w:trPr>
          <w:trHeight w:val="300"/>
        </w:trPr>
        <w:tc>
          <w:tcPr>
            <w:tcW w:w="6720" w:type="dxa"/>
            <w:gridSpan w:val="5"/>
            <w:tcBorders>
              <w:top w:val="nil"/>
              <w:left w:val="nil"/>
              <w:bottom w:val="nil"/>
              <w:right w:val="nil"/>
            </w:tcBorders>
            <w:shd w:val="clear" w:color="auto" w:fill="auto"/>
            <w:noWrap/>
            <w:vAlign w:val="bottom"/>
            <w:hideMark/>
          </w:tcPr>
          <w:p w14:paraId="200CB0F5" w14:textId="77777777" w:rsidR="009075FA" w:rsidRPr="0033296A" w:rsidRDefault="009075FA" w:rsidP="00516C62">
            <w:pPr>
              <w:jc w:val="center"/>
              <w:rPr>
                <w:sz w:val="16"/>
                <w:szCs w:val="16"/>
              </w:rPr>
            </w:pPr>
            <w:r w:rsidRPr="0033296A">
              <w:rPr>
                <w:sz w:val="16"/>
                <w:szCs w:val="16"/>
              </w:rPr>
              <w:t xml:space="preserve">GODIŠNJI OTPLATNI PLAN </w:t>
            </w:r>
          </w:p>
        </w:tc>
      </w:tr>
      <w:tr w:rsidR="009075FA" w:rsidRPr="0033296A" w14:paraId="3D299053" w14:textId="77777777" w:rsidTr="00516C62">
        <w:trPr>
          <w:trHeight w:val="300"/>
        </w:trPr>
        <w:tc>
          <w:tcPr>
            <w:tcW w:w="6720" w:type="dxa"/>
            <w:gridSpan w:val="5"/>
            <w:tcBorders>
              <w:top w:val="nil"/>
              <w:left w:val="nil"/>
              <w:bottom w:val="nil"/>
              <w:right w:val="nil"/>
            </w:tcBorders>
            <w:shd w:val="clear" w:color="auto" w:fill="auto"/>
            <w:noWrap/>
            <w:vAlign w:val="bottom"/>
            <w:hideMark/>
          </w:tcPr>
          <w:p w14:paraId="2A55EB1D" w14:textId="77777777" w:rsidR="009075FA" w:rsidRPr="0033296A" w:rsidRDefault="009075FA" w:rsidP="00516C62">
            <w:pPr>
              <w:jc w:val="center"/>
              <w:rPr>
                <w:sz w:val="16"/>
                <w:szCs w:val="16"/>
              </w:rPr>
            </w:pPr>
            <w:r w:rsidRPr="0033296A">
              <w:rPr>
                <w:sz w:val="16"/>
                <w:szCs w:val="16"/>
              </w:rPr>
              <w:t>ISTARSKA KREDITNA BANKA UMAG D.D. - dugoročni kredit broj 900500278-8</w:t>
            </w:r>
          </w:p>
        </w:tc>
      </w:tr>
      <w:tr w:rsidR="009075FA" w:rsidRPr="0033296A" w14:paraId="3A0A08A9" w14:textId="77777777" w:rsidTr="00516C62">
        <w:trPr>
          <w:trHeight w:val="300"/>
        </w:trPr>
        <w:tc>
          <w:tcPr>
            <w:tcW w:w="960" w:type="dxa"/>
            <w:tcBorders>
              <w:top w:val="nil"/>
              <w:left w:val="nil"/>
              <w:bottom w:val="nil"/>
              <w:right w:val="nil"/>
            </w:tcBorders>
            <w:shd w:val="clear" w:color="auto" w:fill="auto"/>
            <w:noWrap/>
            <w:vAlign w:val="bottom"/>
            <w:hideMark/>
          </w:tcPr>
          <w:p w14:paraId="7E92A35B" w14:textId="77777777" w:rsidR="009075FA" w:rsidRPr="0033296A" w:rsidRDefault="009075FA" w:rsidP="00516C62">
            <w:pPr>
              <w:jc w:val="center"/>
              <w:rPr>
                <w:sz w:val="16"/>
                <w:szCs w:val="16"/>
              </w:rPr>
            </w:pPr>
          </w:p>
        </w:tc>
        <w:tc>
          <w:tcPr>
            <w:tcW w:w="1420" w:type="dxa"/>
            <w:tcBorders>
              <w:top w:val="nil"/>
              <w:left w:val="nil"/>
              <w:bottom w:val="nil"/>
              <w:right w:val="nil"/>
            </w:tcBorders>
            <w:shd w:val="clear" w:color="auto" w:fill="auto"/>
            <w:noWrap/>
            <w:vAlign w:val="bottom"/>
            <w:hideMark/>
          </w:tcPr>
          <w:p w14:paraId="5A91C6C7" w14:textId="77777777" w:rsidR="009075FA" w:rsidRPr="0033296A" w:rsidRDefault="009075FA" w:rsidP="00516C62">
            <w:pPr>
              <w:rPr>
                <w:sz w:val="20"/>
                <w:szCs w:val="20"/>
              </w:rPr>
            </w:pPr>
          </w:p>
        </w:tc>
        <w:tc>
          <w:tcPr>
            <w:tcW w:w="1500" w:type="dxa"/>
            <w:tcBorders>
              <w:top w:val="nil"/>
              <w:left w:val="nil"/>
              <w:bottom w:val="nil"/>
              <w:right w:val="nil"/>
            </w:tcBorders>
            <w:shd w:val="clear" w:color="auto" w:fill="auto"/>
            <w:noWrap/>
            <w:vAlign w:val="bottom"/>
            <w:hideMark/>
          </w:tcPr>
          <w:p w14:paraId="2583AFB7" w14:textId="77777777" w:rsidR="009075FA" w:rsidRPr="0033296A" w:rsidRDefault="009075FA" w:rsidP="00516C62">
            <w:pPr>
              <w:rPr>
                <w:sz w:val="20"/>
                <w:szCs w:val="20"/>
              </w:rPr>
            </w:pPr>
          </w:p>
        </w:tc>
        <w:tc>
          <w:tcPr>
            <w:tcW w:w="1420" w:type="dxa"/>
            <w:tcBorders>
              <w:top w:val="nil"/>
              <w:left w:val="nil"/>
              <w:bottom w:val="nil"/>
              <w:right w:val="nil"/>
            </w:tcBorders>
            <w:shd w:val="clear" w:color="auto" w:fill="auto"/>
            <w:noWrap/>
            <w:vAlign w:val="bottom"/>
            <w:hideMark/>
          </w:tcPr>
          <w:p w14:paraId="47F8B6C7" w14:textId="77777777" w:rsidR="009075FA" w:rsidRPr="0033296A" w:rsidRDefault="009075FA" w:rsidP="00516C62">
            <w:pPr>
              <w:rPr>
                <w:sz w:val="20"/>
                <w:szCs w:val="20"/>
              </w:rPr>
            </w:pPr>
          </w:p>
        </w:tc>
        <w:tc>
          <w:tcPr>
            <w:tcW w:w="1420" w:type="dxa"/>
            <w:tcBorders>
              <w:top w:val="nil"/>
              <w:left w:val="nil"/>
              <w:bottom w:val="nil"/>
              <w:right w:val="nil"/>
            </w:tcBorders>
            <w:shd w:val="clear" w:color="auto" w:fill="auto"/>
            <w:noWrap/>
            <w:vAlign w:val="bottom"/>
            <w:hideMark/>
          </w:tcPr>
          <w:p w14:paraId="2B88CC15" w14:textId="77777777" w:rsidR="009075FA" w:rsidRPr="0033296A" w:rsidRDefault="009075FA" w:rsidP="00516C62">
            <w:pPr>
              <w:rPr>
                <w:sz w:val="20"/>
                <w:szCs w:val="20"/>
              </w:rPr>
            </w:pPr>
          </w:p>
        </w:tc>
      </w:tr>
      <w:tr w:rsidR="009075FA" w:rsidRPr="0033296A" w14:paraId="035E1D0F" w14:textId="77777777" w:rsidTr="00516C62">
        <w:trPr>
          <w:trHeight w:val="300"/>
        </w:trPr>
        <w:tc>
          <w:tcPr>
            <w:tcW w:w="960" w:type="dxa"/>
            <w:tcBorders>
              <w:top w:val="single" w:sz="4" w:space="0" w:color="auto"/>
              <w:left w:val="nil"/>
              <w:bottom w:val="single" w:sz="4" w:space="0" w:color="auto"/>
              <w:right w:val="nil"/>
            </w:tcBorders>
            <w:shd w:val="clear" w:color="auto" w:fill="auto"/>
            <w:vAlign w:val="bottom"/>
            <w:hideMark/>
          </w:tcPr>
          <w:p w14:paraId="16E2CA6D" w14:textId="77777777" w:rsidR="009075FA" w:rsidRPr="0033296A" w:rsidRDefault="009075FA" w:rsidP="00516C62">
            <w:pPr>
              <w:jc w:val="center"/>
              <w:rPr>
                <w:sz w:val="16"/>
                <w:szCs w:val="16"/>
              </w:rPr>
            </w:pPr>
            <w:r w:rsidRPr="0033296A">
              <w:rPr>
                <w:sz w:val="16"/>
                <w:szCs w:val="16"/>
              </w:rPr>
              <w:t>godina</w:t>
            </w:r>
          </w:p>
        </w:tc>
        <w:tc>
          <w:tcPr>
            <w:tcW w:w="1420" w:type="dxa"/>
            <w:tcBorders>
              <w:top w:val="single" w:sz="4" w:space="0" w:color="auto"/>
              <w:left w:val="nil"/>
              <w:bottom w:val="single" w:sz="4" w:space="0" w:color="auto"/>
              <w:right w:val="nil"/>
            </w:tcBorders>
            <w:shd w:val="clear" w:color="auto" w:fill="auto"/>
            <w:vAlign w:val="bottom"/>
            <w:hideMark/>
          </w:tcPr>
          <w:p w14:paraId="157C6588" w14:textId="77777777" w:rsidR="009075FA" w:rsidRPr="0033296A" w:rsidRDefault="009075FA" w:rsidP="00516C62">
            <w:pPr>
              <w:jc w:val="center"/>
              <w:rPr>
                <w:sz w:val="16"/>
                <w:szCs w:val="16"/>
              </w:rPr>
            </w:pPr>
            <w:r w:rsidRPr="0033296A">
              <w:rPr>
                <w:sz w:val="16"/>
                <w:szCs w:val="16"/>
              </w:rPr>
              <w:t>glavnica</w:t>
            </w:r>
          </w:p>
        </w:tc>
        <w:tc>
          <w:tcPr>
            <w:tcW w:w="1500" w:type="dxa"/>
            <w:tcBorders>
              <w:top w:val="single" w:sz="4" w:space="0" w:color="auto"/>
              <w:left w:val="nil"/>
              <w:bottom w:val="single" w:sz="4" w:space="0" w:color="auto"/>
              <w:right w:val="nil"/>
            </w:tcBorders>
            <w:shd w:val="clear" w:color="auto" w:fill="auto"/>
            <w:vAlign w:val="bottom"/>
            <w:hideMark/>
          </w:tcPr>
          <w:p w14:paraId="604FD325" w14:textId="77777777" w:rsidR="009075FA" w:rsidRPr="0033296A" w:rsidRDefault="009075FA" w:rsidP="00516C62">
            <w:pPr>
              <w:jc w:val="center"/>
              <w:rPr>
                <w:sz w:val="16"/>
                <w:szCs w:val="16"/>
              </w:rPr>
            </w:pPr>
            <w:r w:rsidRPr="0033296A">
              <w:rPr>
                <w:sz w:val="16"/>
                <w:szCs w:val="16"/>
              </w:rPr>
              <w:t>kamate</w:t>
            </w:r>
          </w:p>
        </w:tc>
        <w:tc>
          <w:tcPr>
            <w:tcW w:w="1420" w:type="dxa"/>
            <w:tcBorders>
              <w:top w:val="single" w:sz="4" w:space="0" w:color="auto"/>
              <w:left w:val="nil"/>
              <w:bottom w:val="single" w:sz="4" w:space="0" w:color="auto"/>
              <w:right w:val="nil"/>
            </w:tcBorders>
            <w:shd w:val="clear" w:color="auto" w:fill="auto"/>
            <w:vAlign w:val="bottom"/>
            <w:hideMark/>
          </w:tcPr>
          <w:p w14:paraId="716409E1" w14:textId="77777777" w:rsidR="009075FA" w:rsidRPr="0033296A" w:rsidRDefault="009075FA" w:rsidP="00516C62">
            <w:pPr>
              <w:jc w:val="center"/>
              <w:rPr>
                <w:sz w:val="16"/>
                <w:szCs w:val="16"/>
              </w:rPr>
            </w:pPr>
            <w:r w:rsidRPr="0033296A">
              <w:rPr>
                <w:sz w:val="16"/>
                <w:szCs w:val="16"/>
              </w:rPr>
              <w:t>ukupno</w:t>
            </w:r>
          </w:p>
        </w:tc>
        <w:tc>
          <w:tcPr>
            <w:tcW w:w="1420" w:type="dxa"/>
            <w:tcBorders>
              <w:top w:val="single" w:sz="4" w:space="0" w:color="auto"/>
              <w:left w:val="nil"/>
              <w:bottom w:val="single" w:sz="4" w:space="0" w:color="auto"/>
              <w:right w:val="nil"/>
            </w:tcBorders>
            <w:shd w:val="clear" w:color="auto" w:fill="auto"/>
            <w:vAlign w:val="bottom"/>
            <w:hideMark/>
          </w:tcPr>
          <w:p w14:paraId="25DBFBF8" w14:textId="77777777" w:rsidR="009075FA" w:rsidRPr="0033296A" w:rsidRDefault="009075FA" w:rsidP="00516C62">
            <w:pPr>
              <w:jc w:val="center"/>
              <w:rPr>
                <w:sz w:val="16"/>
                <w:szCs w:val="16"/>
              </w:rPr>
            </w:pPr>
            <w:r w:rsidRPr="0033296A">
              <w:rPr>
                <w:sz w:val="16"/>
                <w:szCs w:val="16"/>
              </w:rPr>
              <w:t>stanje kredita</w:t>
            </w:r>
          </w:p>
        </w:tc>
      </w:tr>
      <w:tr w:rsidR="009075FA" w:rsidRPr="0033296A" w14:paraId="0FE804A3" w14:textId="77777777" w:rsidTr="00516C62">
        <w:trPr>
          <w:trHeight w:val="300"/>
        </w:trPr>
        <w:tc>
          <w:tcPr>
            <w:tcW w:w="960" w:type="dxa"/>
            <w:tcBorders>
              <w:top w:val="nil"/>
              <w:left w:val="nil"/>
              <w:bottom w:val="nil"/>
              <w:right w:val="nil"/>
            </w:tcBorders>
            <w:shd w:val="clear" w:color="auto" w:fill="auto"/>
            <w:noWrap/>
            <w:vAlign w:val="bottom"/>
            <w:hideMark/>
          </w:tcPr>
          <w:p w14:paraId="4C8D7242" w14:textId="77777777" w:rsidR="009075FA" w:rsidRPr="0033296A" w:rsidRDefault="009075FA" w:rsidP="00516C62">
            <w:pPr>
              <w:rPr>
                <w:sz w:val="16"/>
                <w:szCs w:val="16"/>
              </w:rPr>
            </w:pPr>
            <w:r w:rsidRPr="0033296A">
              <w:rPr>
                <w:sz w:val="16"/>
                <w:szCs w:val="16"/>
              </w:rPr>
              <w:t>2020.</w:t>
            </w:r>
          </w:p>
        </w:tc>
        <w:tc>
          <w:tcPr>
            <w:tcW w:w="1420" w:type="dxa"/>
            <w:tcBorders>
              <w:top w:val="nil"/>
              <w:left w:val="nil"/>
              <w:bottom w:val="nil"/>
              <w:right w:val="nil"/>
            </w:tcBorders>
            <w:shd w:val="clear" w:color="auto" w:fill="auto"/>
            <w:noWrap/>
            <w:vAlign w:val="bottom"/>
            <w:hideMark/>
          </w:tcPr>
          <w:p w14:paraId="69653573" w14:textId="77777777" w:rsidR="009075FA" w:rsidRPr="0033296A" w:rsidRDefault="009075FA" w:rsidP="00516C62">
            <w:pPr>
              <w:rPr>
                <w:sz w:val="16"/>
                <w:szCs w:val="16"/>
              </w:rPr>
            </w:pPr>
            <w:r w:rsidRPr="0033296A">
              <w:rPr>
                <w:sz w:val="16"/>
                <w:szCs w:val="16"/>
              </w:rPr>
              <w:t xml:space="preserve">                         -   </w:t>
            </w:r>
          </w:p>
        </w:tc>
        <w:tc>
          <w:tcPr>
            <w:tcW w:w="1500" w:type="dxa"/>
            <w:tcBorders>
              <w:top w:val="nil"/>
              <w:left w:val="nil"/>
              <w:bottom w:val="nil"/>
              <w:right w:val="nil"/>
            </w:tcBorders>
            <w:shd w:val="clear" w:color="auto" w:fill="auto"/>
            <w:noWrap/>
            <w:vAlign w:val="bottom"/>
            <w:hideMark/>
          </w:tcPr>
          <w:p w14:paraId="6AC0770F" w14:textId="77777777" w:rsidR="009075FA" w:rsidRPr="0033296A" w:rsidRDefault="009075FA" w:rsidP="00516C62">
            <w:pPr>
              <w:rPr>
                <w:sz w:val="16"/>
                <w:szCs w:val="16"/>
              </w:rPr>
            </w:pPr>
            <w:r w:rsidRPr="0033296A">
              <w:rPr>
                <w:sz w:val="16"/>
                <w:szCs w:val="16"/>
              </w:rPr>
              <w:t xml:space="preserve">              21.388,94 </w:t>
            </w:r>
          </w:p>
        </w:tc>
        <w:tc>
          <w:tcPr>
            <w:tcW w:w="1420" w:type="dxa"/>
            <w:tcBorders>
              <w:top w:val="nil"/>
              <w:left w:val="nil"/>
              <w:bottom w:val="nil"/>
              <w:right w:val="nil"/>
            </w:tcBorders>
            <w:shd w:val="clear" w:color="auto" w:fill="auto"/>
            <w:noWrap/>
            <w:vAlign w:val="bottom"/>
            <w:hideMark/>
          </w:tcPr>
          <w:p w14:paraId="74A46512" w14:textId="77777777" w:rsidR="009075FA" w:rsidRPr="0033296A" w:rsidRDefault="009075FA" w:rsidP="00516C62">
            <w:pPr>
              <w:rPr>
                <w:sz w:val="16"/>
                <w:szCs w:val="16"/>
              </w:rPr>
            </w:pPr>
            <w:r w:rsidRPr="0033296A">
              <w:rPr>
                <w:sz w:val="16"/>
                <w:szCs w:val="16"/>
              </w:rPr>
              <w:t xml:space="preserve">            21.388,94 </w:t>
            </w:r>
          </w:p>
        </w:tc>
        <w:tc>
          <w:tcPr>
            <w:tcW w:w="1420" w:type="dxa"/>
            <w:tcBorders>
              <w:top w:val="nil"/>
              <w:left w:val="nil"/>
              <w:bottom w:val="nil"/>
              <w:right w:val="nil"/>
            </w:tcBorders>
            <w:shd w:val="clear" w:color="auto" w:fill="auto"/>
            <w:noWrap/>
            <w:vAlign w:val="bottom"/>
            <w:hideMark/>
          </w:tcPr>
          <w:p w14:paraId="61C64F95" w14:textId="77777777" w:rsidR="009075FA" w:rsidRPr="0033296A" w:rsidRDefault="009075FA" w:rsidP="00516C62">
            <w:pPr>
              <w:rPr>
                <w:sz w:val="16"/>
                <w:szCs w:val="16"/>
              </w:rPr>
            </w:pPr>
            <w:r w:rsidRPr="0033296A">
              <w:rPr>
                <w:sz w:val="16"/>
                <w:szCs w:val="16"/>
              </w:rPr>
              <w:t xml:space="preserve">       1.648.555,38 </w:t>
            </w:r>
          </w:p>
        </w:tc>
      </w:tr>
      <w:tr w:rsidR="009075FA" w:rsidRPr="0033296A" w14:paraId="7BB1A9DA" w14:textId="77777777" w:rsidTr="00516C62">
        <w:trPr>
          <w:trHeight w:val="300"/>
        </w:trPr>
        <w:tc>
          <w:tcPr>
            <w:tcW w:w="960" w:type="dxa"/>
            <w:tcBorders>
              <w:top w:val="nil"/>
              <w:left w:val="nil"/>
              <w:bottom w:val="nil"/>
              <w:right w:val="nil"/>
            </w:tcBorders>
            <w:shd w:val="clear" w:color="auto" w:fill="auto"/>
            <w:noWrap/>
            <w:vAlign w:val="bottom"/>
            <w:hideMark/>
          </w:tcPr>
          <w:p w14:paraId="53069E35" w14:textId="77777777" w:rsidR="009075FA" w:rsidRPr="0033296A" w:rsidRDefault="009075FA" w:rsidP="00516C62">
            <w:pPr>
              <w:rPr>
                <w:sz w:val="16"/>
                <w:szCs w:val="16"/>
              </w:rPr>
            </w:pPr>
            <w:r w:rsidRPr="0033296A">
              <w:rPr>
                <w:sz w:val="16"/>
                <w:szCs w:val="16"/>
              </w:rPr>
              <w:t>2021.</w:t>
            </w:r>
          </w:p>
        </w:tc>
        <w:tc>
          <w:tcPr>
            <w:tcW w:w="1420" w:type="dxa"/>
            <w:tcBorders>
              <w:top w:val="nil"/>
              <w:left w:val="nil"/>
              <w:bottom w:val="nil"/>
              <w:right w:val="nil"/>
            </w:tcBorders>
            <w:shd w:val="clear" w:color="auto" w:fill="auto"/>
            <w:noWrap/>
            <w:vAlign w:val="bottom"/>
            <w:hideMark/>
          </w:tcPr>
          <w:p w14:paraId="3FF02B8C" w14:textId="77777777" w:rsidR="009075FA" w:rsidRPr="0033296A" w:rsidRDefault="009075FA" w:rsidP="00516C62">
            <w:pPr>
              <w:rPr>
                <w:sz w:val="16"/>
                <w:szCs w:val="16"/>
              </w:rPr>
            </w:pPr>
            <w:r w:rsidRPr="0033296A">
              <w:rPr>
                <w:sz w:val="16"/>
                <w:szCs w:val="16"/>
              </w:rPr>
              <w:t xml:space="preserve">          137.379,63 </w:t>
            </w:r>
          </w:p>
        </w:tc>
        <w:tc>
          <w:tcPr>
            <w:tcW w:w="1500" w:type="dxa"/>
            <w:tcBorders>
              <w:top w:val="nil"/>
              <w:left w:val="nil"/>
              <w:bottom w:val="nil"/>
              <w:right w:val="nil"/>
            </w:tcBorders>
            <w:shd w:val="clear" w:color="auto" w:fill="auto"/>
            <w:noWrap/>
            <w:vAlign w:val="bottom"/>
            <w:hideMark/>
          </w:tcPr>
          <w:p w14:paraId="7BC380F5" w14:textId="77777777" w:rsidR="009075FA" w:rsidRPr="0033296A" w:rsidRDefault="009075FA" w:rsidP="00516C62">
            <w:pPr>
              <w:rPr>
                <w:sz w:val="16"/>
                <w:szCs w:val="16"/>
              </w:rPr>
            </w:pPr>
            <w:r w:rsidRPr="0033296A">
              <w:rPr>
                <w:sz w:val="16"/>
                <w:szCs w:val="16"/>
              </w:rPr>
              <w:t xml:space="preserve">              19.366,98 </w:t>
            </w:r>
          </w:p>
        </w:tc>
        <w:tc>
          <w:tcPr>
            <w:tcW w:w="1420" w:type="dxa"/>
            <w:tcBorders>
              <w:top w:val="nil"/>
              <w:left w:val="nil"/>
              <w:bottom w:val="nil"/>
              <w:right w:val="nil"/>
            </w:tcBorders>
            <w:shd w:val="clear" w:color="auto" w:fill="auto"/>
            <w:noWrap/>
            <w:vAlign w:val="bottom"/>
            <w:hideMark/>
          </w:tcPr>
          <w:p w14:paraId="163734D0" w14:textId="77777777" w:rsidR="009075FA" w:rsidRPr="0033296A" w:rsidRDefault="009075FA" w:rsidP="00516C62">
            <w:pPr>
              <w:rPr>
                <w:sz w:val="16"/>
                <w:szCs w:val="16"/>
              </w:rPr>
            </w:pPr>
            <w:r w:rsidRPr="0033296A">
              <w:rPr>
                <w:sz w:val="16"/>
                <w:szCs w:val="16"/>
              </w:rPr>
              <w:t xml:space="preserve">          156.746,61 </w:t>
            </w:r>
          </w:p>
        </w:tc>
        <w:tc>
          <w:tcPr>
            <w:tcW w:w="1420" w:type="dxa"/>
            <w:tcBorders>
              <w:top w:val="nil"/>
              <w:left w:val="nil"/>
              <w:bottom w:val="nil"/>
              <w:right w:val="nil"/>
            </w:tcBorders>
            <w:shd w:val="clear" w:color="auto" w:fill="auto"/>
            <w:noWrap/>
            <w:vAlign w:val="bottom"/>
            <w:hideMark/>
          </w:tcPr>
          <w:p w14:paraId="5EF1C223" w14:textId="77777777" w:rsidR="009075FA" w:rsidRPr="0033296A" w:rsidRDefault="009075FA" w:rsidP="00516C62">
            <w:pPr>
              <w:rPr>
                <w:sz w:val="16"/>
                <w:szCs w:val="16"/>
              </w:rPr>
            </w:pPr>
            <w:r w:rsidRPr="0033296A">
              <w:rPr>
                <w:sz w:val="16"/>
                <w:szCs w:val="16"/>
              </w:rPr>
              <w:t xml:space="preserve">       1.511.175,75 </w:t>
            </w:r>
          </w:p>
        </w:tc>
      </w:tr>
      <w:tr w:rsidR="009075FA" w:rsidRPr="0033296A" w14:paraId="5FDCDF76" w14:textId="77777777" w:rsidTr="00516C62">
        <w:trPr>
          <w:trHeight w:val="300"/>
        </w:trPr>
        <w:tc>
          <w:tcPr>
            <w:tcW w:w="960" w:type="dxa"/>
            <w:tcBorders>
              <w:top w:val="nil"/>
              <w:left w:val="nil"/>
              <w:bottom w:val="nil"/>
              <w:right w:val="nil"/>
            </w:tcBorders>
            <w:shd w:val="clear" w:color="auto" w:fill="auto"/>
            <w:noWrap/>
            <w:vAlign w:val="bottom"/>
            <w:hideMark/>
          </w:tcPr>
          <w:p w14:paraId="69CE1B09" w14:textId="77777777" w:rsidR="009075FA" w:rsidRPr="0033296A" w:rsidRDefault="009075FA" w:rsidP="00516C62">
            <w:pPr>
              <w:rPr>
                <w:sz w:val="16"/>
                <w:szCs w:val="16"/>
              </w:rPr>
            </w:pPr>
            <w:r w:rsidRPr="0033296A">
              <w:rPr>
                <w:sz w:val="16"/>
                <w:szCs w:val="16"/>
              </w:rPr>
              <w:t>2022.</w:t>
            </w:r>
          </w:p>
        </w:tc>
        <w:tc>
          <w:tcPr>
            <w:tcW w:w="1420" w:type="dxa"/>
            <w:tcBorders>
              <w:top w:val="nil"/>
              <w:left w:val="nil"/>
              <w:bottom w:val="nil"/>
              <w:right w:val="nil"/>
            </w:tcBorders>
            <w:shd w:val="clear" w:color="auto" w:fill="auto"/>
            <w:noWrap/>
            <w:vAlign w:val="bottom"/>
            <w:hideMark/>
          </w:tcPr>
          <w:p w14:paraId="22F01870" w14:textId="77777777" w:rsidR="009075FA" w:rsidRPr="0033296A" w:rsidRDefault="009075FA" w:rsidP="00516C62">
            <w:pPr>
              <w:rPr>
                <w:sz w:val="16"/>
                <w:szCs w:val="16"/>
              </w:rPr>
            </w:pPr>
            <w:r w:rsidRPr="0033296A">
              <w:rPr>
                <w:sz w:val="16"/>
                <w:szCs w:val="16"/>
              </w:rPr>
              <w:t xml:space="preserve">          183.172,84 </w:t>
            </w:r>
          </w:p>
        </w:tc>
        <w:tc>
          <w:tcPr>
            <w:tcW w:w="1500" w:type="dxa"/>
            <w:tcBorders>
              <w:top w:val="nil"/>
              <w:left w:val="nil"/>
              <w:bottom w:val="nil"/>
              <w:right w:val="nil"/>
            </w:tcBorders>
            <w:shd w:val="clear" w:color="auto" w:fill="auto"/>
            <w:noWrap/>
            <w:vAlign w:val="bottom"/>
            <w:hideMark/>
          </w:tcPr>
          <w:p w14:paraId="6FE6574D" w14:textId="77777777" w:rsidR="009075FA" w:rsidRPr="0033296A" w:rsidRDefault="009075FA" w:rsidP="00516C62">
            <w:pPr>
              <w:rPr>
                <w:sz w:val="16"/>
                <w:szCs w:val="16"/>
              </w:rPr>
            </w:pPr>
            <w:r w:rsidRPr="0033296A">
              <w:rPr>
                <w:sz w:val="16"/>
                <w:szCs w:val="16"/>
              </w:rPr>
              <w:t xml:space="preserve">              17.304,55 </w:t>
            </w:r>
          </w:p>
        </w:tc>
        <w:tc>
          <w:tcPr>
            <w:tcW w:w="1420" w:type="dxa"/>
            <w:tcBorders>
              <w:top w:val="nil"/>
              <w:left w:val="nil"/>
              <w:bottom w:val="nil"/>
              <w:right w:val="nil"/>
            </w:tcBorders>
            <w:shd w:val="clear" w:color="auto" w:fill="auto"/>
            <w:noWrap/>
            <w:vAlign w:val="bottom"/>
            <w:hideMark/>
          </w:tcPr>
          <w:p w14:paraId="72B02446" w14:textId="77777777" w:rsidR="009075FA" w:rsidRPr="0033296A" w:rsidRDefault="009075FA" w:rsidP="00516C62">
            <w:pPr>
              <w:rPr>
                <w:sz w:val="16"/>
                <w:szCs w:val="16"/>
              </w:rPr>
            </w:pPr>
            <w:r w:rsidRPr="0033296A">
              <w:rPr>
                <w:sz w:val="16"/>
                <w:szCs w:val="16"/>
              </w:rPr>
              <w:t xml:space="preserve">          200.477,39 </w:t>
            </w:r>
          </w:p>
        </w:tc>
        <w:tc>
          <w:tcPr>
            <w:tcW w:w="1420" w:type="dxa"/>
            <w:tcBorders>
              <w:top w:val="nil"/>
              <w:left w:val="nil"/>
              <w:bottom w:val="nil"/>
              <w:right w:val="nil"/>
            </w:tcBorders>
            <w:shd w:val="clear" w:color="auto" w:fill="auto"/>
            <w:noWrap/>
            <w:vAlign w:val="bottom"/>
            <w:hideMark/>
          </w:tcPr>
          <w:p w14:paraId="6A6C82A5" w14:textId="77777777" w:rsidR="009075FA" w:rsidRPr="0033296A" w:rsidRDefault="009075FA" w:rsidP="00516C62">
            <w:pPr>
              <w:rPr>
                <w:sz w:val="16"/>
                <w:szCs w:val="16"/>
              </w:rPr>
            </w:pPr>
            <w:r w:rsidRPr="0033296A">
              <w:rPr>
                <w:sz w:val="16"/>
                <w:szCs w:val="16"/>
              </w:rPr>
              <w:t xml:space="preserve">       1.328.002,91 </w:t>
            </w:r>
          </w:p>
        </w:tc>
      </w:tr>
      <w:tr w:rsidR="009075FA" w:rsidRPr="0033296A" w14:paraId="2F9EC53B" w14:textId="77777777" w:rsidTr="00516C62">
        <w:trPr>
          <w:trHeight w:val="300"/>
        </w:trPr>
        <w:tc>
          <w:tcPr>
            <w:tcW w:w="960" w:type="dxa"/>
            <w:tcBorders>
              <w:top w:val="nil"/>
              <w:left w:val="nil"/>
              <w:bottom w:val="nil"/>
              <w:right w:val="nil"/>
            </w:tcBorders>
            <w:shd w:val="clear" w:color="auto" w:fill="auto"/>
            <w:noWrap/>
            <w:vAlign w:val="bottom"/>
            <w:hideMark/>
          </w:tcPr>
          <w:p w14:paraId="3775A4CF" w14:textId="77777777" w:rsidR="009075FA" w:rsidRPr="0033296A" w:rsidRDefault="009075FA" w:rsidP="00516C62">
            <w:pPr>
              <w:rPr>
                <w:sz w:val="16"/>
                <w:szCs w:val="16"/>
              </w:rPr>
            </w:pPr>
            <w:r w:rsidRPr="0033296A">
              <w:rPr>
                <w:sz w:val="16"/>
                <w:szCs w:val="16"/>
              </w:rPr>
              <w:t>2023.</w:t>
            </w:r>
          </w:p>
        </w:tc>
        <w:tc>
          <w:tcPr>
            <w:tcW w:w="1420" w:type="dxa"/>
            <w:tcBorders>
              <w:top w:val="nil"/>
              <w:left w:val="nil"/>
              <w:bottom w:val="nil"/>
              <w:right w:val="nil"/>
            </w:tcBorders>
            <w:shd w:val="clear" w:color="auto" w:fill="auto"/>
            <w:noWrap/>
            <w:vAlign w:val="bottom"/>
            <w:hideMark/>
          </w:tcPr>
          <w:p w14:paraId="3740651A" w14:textId="77777777" w:rsidR="009075FA" w:rsidRPr="0033296A" w:rsidRDefault="009075FA" w:rsidP="00516C62">
            <w:pPr>
              <w:rPr>
                <w:sz w:val="16"/>
                <w:szCs w:val="16"/>
              </w:rPr>
            </w:pPr>
            <w:r w:rsidRPr="0033296A">
              <w:rPr>
                <w:sz w:val="16"/>
                <w:szCs w:val="16"/>
              </w:rPr>
              <w:t xml:space="preserve">          183.172,84 </w:t>
            </w:r>
          </w:p>
        </w:tc>
        <w:tc>
          <w:tcPr>
            <w:tcW w:w="1500" w:type="dxa"/>
            <w:tcBorders>
              <w:top w:val="nil"/>
              <w:left w:val="nil"/>
              <w:bottom w:val="nil"/>
              <w:right w:val="nil"/>
            </w:tcBorders>
            <w:shd w:val="clear" w:color="auto" w:fill="auto"/>
            <w:noWrap/>
            <w:vAlign w:val="bottom"/>
            <w:hideMark/>
          </w:tcPr>
          <w:p w14:paraId="3C73705C" w14:textId="77777777" w:rsidR="009075FA" w:rsidRPr="0033296A" w:rsidRDefault="009075FA" w:rsidP="00516C62">
            <w:pPr>
              <w:rPr>
                <w:sz w:val="16"/>
                <w:szCs w:val="16"/>
              </w:rPr>
            </w:pPr>
            <w:r w:rsidRPr="0033296A">
              <w:rPr>
                <w:sz w:val="16"/>
                <w:szCs w:val="16"/>
              </w:rPr>
              <w:t xml:space="preserve">              15.106,50 </w:t>
            </w:r>
          </w:p>
        </w:tc>
        <w:tc>
          <w:tcPr>
            <w:tcW w:w="1420" w:type="dxa"/>
            <w:tcBorders>
              <w:top w:val="nil"/>
              <w:left w:val="nil"/>
              <w:bottom w:val="nil"/>
              <w:right w:val="nil"/>
            </w:tcBorders>
            <w:shd w:val="clear" w:color="auto" w:fill="auto"/>
            <w:noWrap/>
            <w:vAlign w:val="bottom"/>
            <w:hideMark/>
          </w:tcPr>
          <w:p w14:paraId="33AA5210" w14:textId="77777777" w:rsidR="009075FA" w:rsidRPr="0033296A" w:rsidRDefault="009075FA" w:rsidP="00516C62">
            <w:pPr>
              <w:rPr>
                <w:sz w:val="16"/>
                <w:szCs w:val="16"/>
              </w:rPr>
            </w:pPr>
            <w:r w:rsidRPr="0033296A">
              <w:rPr>
                <w:sz w:val="16"/>
                <w:szCs w:val="16"/>
              </w:rPr>
              <w:t xml:space="preserve">          198.279,34 </w:t>
            </w:r>
          </w:p>
        </w:tc>
        <w:tc>
          <w:tcPr>
            <w:tcW w:w="1420" w:type="dxa"/>
            <w:tcBorders>
              <w:top w:val="nil"/>
              <w:left w:val="nil"/>
              <w:bottom w:val="nil"/>
              <w:right w:val="nil"/>
            </w:tcBorders>
            <w:shd w:val="clear" w:color="auto" w:fill="auto"/>
            <w:noWrap/>
            <w:vAlign w:val="bottom"/>
            <w:hideMark/>
          </w:tcPr>
          <w:p w14:paraId="281B0515" w14:textId="77777777" w:rsidR="009075FA" w:rsidRPr="0033296A" w:rsidRDefault="009075FA" w:rsidP="00516C62">
            <w:pPr>
              <w:rPr>
                <w:sz w:val="16"/>
                <w:szCs w:val="16"/>
              </w:rPr>
            </w:pPr>
            <w:r w:rsidRPr="0033296A">
              <w:rPr>
                <w:sz w:val="16"/>
                <w:szCs w:val="16"/>
              </w:rPr>
              <w:t xml:space="preserve">       1.144.830,07 </w:t>
            </w:r>
          </w:p>
        </w:tc>
      </w:tr>
      <w:tr w:rsidR="009075FA" w:rsidRPr="0033296A" w14:paraId="2F329D00" w14:textId="77777777" w:rsidTr="00516C62">
        <w:trPr>
          <w:trHeight w:val="300"/>
        </w:trPr>
        <w:tc>
          <w:tcPr>
            <w:tcW w:w="960" w:type="dxa"/>
            <w:tcBorders>
              <w:top w:val="nil"/>
              <w:left w:val="nil"/>
              <w:bottom w:val="nil"/>
              <w:right w:val="nil"/>
            </w:tcBorders>
            <w:shd w:val="clear" w:color="auto" w:fill="auto"/>
            <w:noWrap/>
            <w:vAlign w:val="bottom"/>
            <w:hideMark/>
          </w:tcPr>
          <w:p w14:paraId="790130A9" w14:textId="77777777" w:rsidR="009075FA" w:rsidRPr="0033296A" w:rsidRDefault="009075FA" w:rsidP="00516C62">
            <w:pPr>
              <w:rPr>
                <w:sz w:val="16"/>
                <w:szCs w:val="16"/>
              </w:rPr>
            </w:pPr>
            <w:r w:rsidRPr="0033296A">
              <w:rPr>
                <w:sz w:val="16"/>
                <w:szCs w:val="16"/>
              </w:rPr>
              <w:t>2024.</w:t>
            </w:r>
          </w:p>
        </w:tc>
        <w:tc>
          <w:tcPr>
            <w:tcW w:w="1420" w:type="dxa"/>
            <w:tcBorders>
              <w:top w:val="nil"/>
              <w:left w:val="nil"/>
              <w:bottom w:val="nil"/>
              <w:right w:val="nil"/>
            </w:tcBorders>
            <w:shd w:val="clear" w:color="auto" w:fill="auto"/>
            <w:noWrap/>
            <w:vAlign w:val="bottom"/>
            <w:hideMark/>
          </w:tcPr>
          <w:p w14:paraId="3DB4C77E" w14:textId="77777777" w:rsidR="009075FA" w:rsidRPr="0033296A" w:rsidRDefault="009075FA" w:rsidP="00516C62">
            <w:pPr>
              <w:rPr>
                <w:sz w:val="16"/>
                <w:szCs w:val="16"/>
              </w:rPr>
            </w:pPr>
            <w:r w:rsidRPr="0033296A">
              <w:rPr>
                <w:sz w:val="16"/>
                <w:szCs w:val="16"/>
              </w:rPr>
              <w:t xml:space="preserve">          183.172,84 </w:t>
            </w:r>
          </w:p>
        </w:tc>
        <w:tc>
          <w:tcPr>
            <w:tcW w:w="1500" w:type="dxa"/>
            <w:tcBorders>
              <w:top w:val="nil"/>
              <w:left w:val="nil"/>
              <w:bottom w:val="nil"/>
              <w:right w:val="nil"/>
            </w:tcBorders>
            <w:shd w:val="clear" w:color="auto" w:fill="auto"/>
            <w:noWrap/>
            <w:vAlign w:val="bottom"/>
            <w:hideMark/>
          </w:tcPr>
          <w:p w14:paraId="5B560F9A" w14:textId="77777777" w:rsidR="009075FA" w:rsidRPr="0033296A" w:rsidRDefault="009075FA" w:rsidP="00516C62">
            <w:pPr>
              <w:rPr>
                <w:sz w:val="16"/>
                <w:szCs w:val="16"/>
              </w:rPr>
            </w:pPr>
            <w:r w:rsidRPr="0033296A">
              <w:rPr>
                <w:sz w:val="16"/>
                <w:szCs w:val="16"/>
              </w:rPr>
              <w:t xml:space="preserve">              12.910,79 </w:t>
            </w:r>
          </w:p>
        </w:tc>
        <w:tc>
          <w:tcPr>
            <w:tcW w:w="1420" w:type="dxa"/>
            <w:tcBorders>
              <w:top w:val="nil"/>
              <w:left w:val="nil"/>
              <w:bottom w:val="nil"/>
              <w:right w:val="nil"/>
            </w:tcBorders>
            <w:shd w:val="clear" w:color="auto" w:fill="auto"/>
            <w:noWrap/>
            <w:vAlign w:val="bottom"/>
            <w:hideMark/>
          </w:tcPr>
          <w:p w14:paraId="0FA17731" w14:textId="77777777" w:rsidR="009075FA" w:rsidRPr="0033296A" w:rsidRDefault="009075FA" w:rsidP="00516C62">
            <w:pPr>
              <w:rPr>
                <w:sz w:val="16"/>
                <w:szCs w:val="16"/>
              </w:rPr>
            </w:pPr>
            <w:r w:rsidRPr="0033296A">
              <w:rPr>
                <w:sz w:val="16"/>
                <w:szCs w:val="16"/>
              </w:rPr>
              <w:t xml:space="preserve">          196.083,63 </w:t>
            </w:r>
          </w:p>
        </w:tc>
        <w:tc>
          <w:tcPr>
            <w:tcW w:w="1420" w:type="dxa"/>
            <w:tcBorders>
              <w:top w:val="nil"/>
              <w:left w:val="nil"/>
              <w:bottom w:val="nil"/>
              <w:right w:val="nil"/>
            </w:tcBorders>
            <w:shd w:val="clear" w:color="auto" w:fill="auto"/>
            <w:noWrap/>
            <w:vAlign w:val="bottom"/>
            <w:hideMark/>
          </w:tcPr>
          <w:p w14:paraId="40664A06" w14:textId="77777777" w:rsidR="009075FA" w:rsidRPr="0033296A" w:rsidRDefault="009075FA" w:rsidP="00516C62">
            <w:pPr>
              <w:rPr>
                <w:sz w:val="16"/>
                <w:szCs w:val="16"/>
              </w:rPr>
            </w:pPr>
            <w:r w:rsidRPr="0033296A">
              <w:rPr>
                <w:sz w:val="16"/>
                <w:szCs w:val="16"/>
              </w:rPr>
              <w:t xml:space="preserve">          961.657,23 </w:t>
            </w:r>
          </w:p>
        </w:tc>
      </w:tr>
      <w:tr w:rsidR="009075FA" w:rsidRPr="0033296A" w14:paraId="5D93A062" w14:textId="77777777" w:rsidTr="00516C62">
        <w:trPr>
          <w:trHeight w:val="300"/>
        </w:trPr>
        <w:tc>
          <w:tcPr>
            <w:tcW w:w="960" w:type="dxa"/>
            <w:tcBorders>
              <w:top w:val="nil"/>
              <w:left w:val="nil"/>
              <w:bottom w:val="nil"/>
              <w:right w:val="nil"/>
            </w:tcBorders>
            <w:shd w:val="clear" w:color="auto" w:fill="auto"/>
            <w:noWrap/>
            <w:vAlign w:val="bottom"/>
            <w:hideMark/>
          </w:tcPr>
          <w:p w14:paraId="43BDD427" w14:textId="77777777" w:rsidR="009075FA" w:rsidRPr="0033296A" w:rsidRDefault="009075FA" w:rsidP="00516C62">
            <w:pPr>
              <w:rPr>
                <w:sz w:val="16"/>
                <w:szCs w:val="16"/>
              </w:rPr>
            </w:pPr>
            <w:r w:rsidRPr="0033296A">
              <w:rPr>
                <w:sz w:val="16"/>
                <w:szCs w:val="16"/>
              </w:rPr>
              <w:t>2025.</w:t>
            </w:r>
          </w:p>
        </w:tc>
        <w:tc>
          <w:tcPr>
            <w:tcW w:w="1420" w:type="dxa"/>
            <w:tcBorders>
              <w:top w:val="nil"/>
              <w:left w:val="nil"/>
              <w:bottom w:val="nil"/>
              <w:right w:val="nil"/>
            </w:tcBorders>
            <w:shd w:val="clear" w:color="auto" w:fill="auto"/>
            <w:noWrap/>
            <w:vAlign w:val="bottom"/>
            <w:hideMark/>
          </w:tcPr>
          <w:p w14:paraId="6480BD20" w14:textId="77777777" w:rsidR="009075FA" w:rsidRPr="0033296A" w:rsidRDefault="009075FA" w:rsidP="00516C62">
            <w:pPr>
              <w:rPr>
                <w:sz w:val="16"/>
                <w:szCs w:val="16"/>
              </w:rPr>
            </w:pPr>
            <w:r w:rsidRPr="0033296A">
              <w:rPr>
                <w:sz w:val="16"/>
                <w:szCs w:val="16"/>
              </w:rPr>
              <w:t xml:space="preserve">          183.172,84 </w:t>
            </w:r>
          </w:p>
        </w:tc>
        <w:tc>
          <w:tcPr>
            <w:tcW w:w="1500" w:type="dxa"/>
            <w:tcBorders>
              <w:top w:val="nil"/>
              <w:left w:val="nil"/>
              <w:bottom w:val="nil"/>
              <w:right w:val="nil"/>
            </w:tcBorders>
            <w:shd w:val="clear" w:color="auto" w:fill="auto"/>
            <w:noWrap/>
            <w:vAlign w:val="bottom"/>
            <w:hideMark/>
          </w:tcPr>
          <w:p w14:paraId="39E4501D" w14:textId="77777777" w:rsidR="009075FA" w:rsidRPr="0033296A" w:rsidRDefault="009075FA" w:rsidP="00516C62">
            <w:pPr>
              <w:rPr>
                <w:sz w:val="16"/>
                <w:szCs w:val="16"/>
              </w:rPr>
            </w:pPr>
            <w:r w:rsidRPr="0033296A">
              <w:rPr>
                <w:sz w:val="16"/>
                <w:szCs w:val="16"/>
              </w:rPr>
              <w:t xml:space="preserve">              10.710,27 </w:t>
            </w:r>
          </w:p>
        </w:tc>
        <w:tc>
          <w:tcPr>
            <w:tcW w:w="1420" w:type="dxa"/>
            <w:tcBorders>
              <w:top w:val="nil"/>
              <w:left w:val="nil"/>
              <w:bottom w:val="nil"/>
              <w:right w:val="nil"/>
            </w:tcBorders>
            <w:shd w:val="clear" w:color="auto" w:fill="auto"/>
            <w:noWrap/>
            <w:vAlign w:val="bottom"/>
            <w:hideMark/>
          </w:tcPr>
          <w:p w14:paraId="06E23A10" w14:textId="77777777" w:rsidR="009075FA" w:rsidRPr="0033296A" w:rsidRDefault="009075FA" w:rsidP="00516C62">
            <w:pPr>
              <w:rPr>
                <w:sz w:val="16"/>
                <w:szCs w:val="16"/>
              </w:rPr>
            </w:pPr>
            <w:r w:rsidRPr="0033296A">
              <w:rPr>
                <w:sz w:val="16"/>
                <w:szCs w:val="16"/>
              </w:rPr>
              <w:t xml:space="preserve">          193.883,11 </w:t>
            </w:r>
          </w:p>
        </w:tc>
        <w:tc>
          <w:tcPr>
            <w:tcW w:w="1420" w:type="dxa"/>
            <w:tcBorders>
              <w:top w:val="nil"/>
              <w:left w:val="nil"/>
              <w:bottom w:val="nil"/>
              <w:right w:val="nil"/>
            </w:tcBorders>
            <w:shd w:val="clear" w:color="auto" w:fill="auto"/>
            <w:noWrap/>
            <w:vAlign w:val="bottom"/>
            <w:hideMark/>
          </w:tcPr>
          <w:p w14:paraId="2FDA1CE7" w14:textId="77777777" w:rsidR="009075FA" w:rsidRPr="0033296A" w:rsidRDefault="009075FA" w:rsidP="00516C62">
            <w:pPr>
              <w:rPr>
                <w:sz w:val="16"/>
                <w:szCs w:val="16"/>
              </w:rPr>
            </w:pPr>
            <w:r w:rsidRPr="0033296A">
              <w:rPr>
                <w:sz w:val="16"/>
                <w:szCs w:val="16"/>
              </w:rPr>
              <w:t xml:space="preserve">          778.484,39 </w:t>
            </w:r>
          </w:p>
        </w:tc>
      </w:tr>
      <w:tr w:rsidR="009075FA" w:rsidRPr="0033296A" w14:paraId="4D759EFB" w14:textId="77777777" w:rsidTr="00516C62">
        <w:trPr>
          <w:trHeight w:val="300"/>
        </w:trPr>
        <w:tc>
          <w:tcPr>
            <w:tcW w:w="960" w:type="dxa"/>
            <w:tcBorders>
              <w:top w:val="nil"/>
              <w:left w:val="nil"/>
              <w:bottom w:val="nil"/>
              <w:right w:val="nil"/>
            </w:tcBorders>
            <w:shd w:val="clear" w:color="auto" w:fill="auto"/>
            <w:noWrap/>
            <w:vAlign w:val="bottom"/>
            <w:hideMark/>
          </w:tcPr>
          <w:p w14:paraId="037CC0F9" w14:textId="77777777" w:rsidR="009075FA" w:rsidRPr="0033296A" w:rsidRDefault="009075FA" w:rsidP="00516C62">
            <w:pPr>
              <w:rPr>
                <w:sz w:val="16"/>
                <w:szCs w:val="16"/>
              </w:rPr>
            </w:pPr>
            <w:r w:rsidRPr="0033296A">
              <w:rPr>
                <w:sz w:val="16"/>
                <w:szCs w:val="16"/>
              </w:rPr>
              <w:t>2026.</w:t>
            </w:r>
          </w:p>
        </w:tc>
        <w:tc>
          <w:tcPr>
            <w:tcW w:w="1420" w:type="dxa"/>
            <w:tcBorders>
              <w:top w:val="nil"/>
              <w:left w:val="nil"/>
              <w:bottom w:val="nil"/>
              <w:right w:val="nil"/>
            </w:tcBorders>
            <w:shd w:val="clear" w:color="auto" w:fill="auto"/>
            <w:noWrap/>
            <w:vAlign w:val="bottom"/>
            <w:hideMark/>
          </w:tcPr>
          <w:p w14:paraId="6403BD1D" w14:textId="77777777" w:rsidR="009075FA" w:rsidRPr="0033296A" w:rsidRDefault="009075FA" w:rsidP="00516C62">
            <w:pPr>
              <w:rPr>
                <w:sz w:val="16"/>
                <w:szCs w:val="16"/>
              </w:rPr>
            </w:pPr>
            <w:r w:rsidRPr="0033296A">
              <w:rPr>
                <w:sz w:val="16"/>
                <w:szCs w:val="16"/>
              </w:rPr>
              <w:t xml:space="preserve">          183.172,84 </w:t>
            </w:r>
          </w:p>
        </w:tc>
        <w:tc>
          <w:tcPr>
            <w:tcW w:w="1500" w:type="dxa"/>
            <w:tcBorders>
              <w:top w:val="nil"/>
              <w:left w:val="nil"/>
              <w:bottom w:val="nil"/>
              <w:right w:val="nil"/>
            </w:tcBorders>
            <w:shd w:val="clear" w:color="auto" w:fill="auto"/>
            <w:noWrap/>
            <w:vAlign w:val="bottom"/>
            <w:hideMark/>
          </w:tcPr>
          <w:p w14:paraId="7E7AE543" w14:textId="77777777" w:rsidR="009075FA" w:rsidRPr="0033296A" w:rsidRDefault="009075FA" w:rsidP="00516C62">
            <w:pPr>
              <w:rPr>
                <w:sz w:val="16"/>
                <w:szCs w:val="16"/>
              </w:rPr>
            </w:pPr>
            <w:r w:rsidRPr="0033296A">
              <w:rPr>
                <w:sz w:val="16"/>
                <w:szCs w:val="16"/>
              </w:rPr>
              <w:t xml:space="preserve">                8.512,24 </w:t>
            </w:r>
          </w:p>
        </w:tc>
        <w:tc>
          <w:tcPr>
            <w:tcW w:w="1420" w:type="dxa"/>
            <w:tcBorders>
              <w:top w:val="nil"/>
              <w:left w:val="nil"/>
              <w:bottom w:val="nil"/>
              <w:right w:val="nil"/>
            </w:tcBorders>
            <w:shd w:val="clear" w:color="auto" w:fill="auto"/>
            <w:noWrap/>
            <w:vAlign w:val="bottom"/>
            <w:hideMark/>
          </w:tcPr>
          <w:p w14:paraId="4BBA327A" w14:textId="77777777" w:rsidR="009075FA" w:rsidRPr="0033296A" w:rsidRDefault="009075FA" w:rsidP="00516C62">
            <w:pPr>
              <w:rPr>
                <w:sz w:val="16"/>
                <w:szCs w:val="16"/>
              </w:rPr>
            </w:pPr>
            <w:r w:rsidRPr="0033296A">
              <w:rPr>
                <w:sz w:val="16"/>
                <w:szCs w:val="16"/>
              </w:rPr>
              <w:t xml:space="preserve">          191.685,08 </w:t>
            </w:r>
          </w:p>
        </w:tc>
        <w:tc>
          <w:tcPr>
            <w:tcW w:w="1420" w:type="dxa"/>
            <w:tcBorders>
              <w:top w:val="nil"/>
              <w:left w:val="nil"/>
              <w:bottom w:val="nil"/>
              <w:right w:val="nil"/>
            </w:tcBorders>
            <w:shd w:val="clear" w:color="auto" w:fill="auto"/>
            <w:noWrap/>
            <w:vAlign w:val="bottom"/>
            <w:hideMark/>
          </w:tcPr>
          <w:p w14:paraId="412F44F7" w14:textId="77777777" w:rsidR="009075FA" w:rsidRPr="0033296A" w:rsidRDefault="009075FA" w:rsidP="00516C62">
            <w:pPr>
              <w:rPr>
                <w:sz w:val="16"/>
                <w:szCs w:val="16"/>
              </w:rPr>
            </w:pPr>
            <w:r w:rsidRPr="0033296A">
              <w:rPr>
                <w:sz w:val="16"/>
                <w:szCs w:val="16"/>
              </w:rPr>
              <w:t xml:space="preserve">          595.311,55 </w:t>
            </w:r>
          </w:p>
        </w:tc>
      </w:tr>
      <w:tr w:rsidR="009075FA" w:rsidRPr="0033296A" w14:paraId="4AF13B3A" w14:textId="77777777" w:rsidTr="00516C62">
        <w:trPr>
          <w:trHeight w:val="300"/>
        </w:trPr>
        <w:tc>
          <w:tcPr>
            <w:tcW w:w="960" w:type="dxa"/>
            <w:tcBorders>
              <w:top w:val="nil"/>
              <w:left w:val="nil"/>
              <w:bottom w:val="nil"/>
              <w:right w:val="nil"/>
            </w:tcBorders>
            <w:shd w:val="clear" w:color="auto" w:fill="auto"/>
            <w:noWrap/>
            <w:vAlign w:val="bottom"/>
            <w:hideMark/>
          </w:tcPr>
          <w:p w14:paraId="3460E890" w14:textId="77777777" w:rsidR="009075FA" w:rsidRPr="0033296A" w:rsidRDefault="009075FA" w:rsidP="00516C62">
            <w:pPr>
              <w:rPr>
                <w:sz w:val="16"/>
                <w:szCs w:val="16"/>
              </w:rPr>
            </w:pPr>
            <w:r w:rsidRPr="0033296A">
              <w:rPr>
                <w:sz w:val="16"/>
                <w:szCs w:val="16"/>
              </w:rPr>
              <w:t>2027.</w:t>
            </w:r>
          </w:p>
        </w:tc>
        <w:tc>
          <w:tcPr>
            <w:tcW w:w="1420" w:type="dxa"/>
            <w:tcBorders>
              <w:top w:val="nil"/>
              <w:left w:val="nil"/>
              <w:bottom w:val="nil"/>
              <w:right w:val="nil"/>
            </w:tcBorders>
            <w:shd w:val="clear" w:color="auto" w:fill="auto"/>
            <w:noWrap/>
            <w:vAlign w:val="bottom"/>
            <w:hideMark/>
          </w:tcPr>
          <w:p w14:paraId="04C6ACF0" w14:textId="77777777" w:rsidR="009075FA" w:rsidRPr="0033296A" w:rsidRDefault="009075FA" w:rsidP="00516C62">
            <w:pPr>
              <w:rPr>
                <w:sz w:val="16"/>
                <w:szCs w:val="16"/>
              </w:rPr>
            </w:pPr>
            <w:r w:rsidRPr="0033296A">
              <w:rPr>
                <w:sz w:val="16"/>
                <w:szCs w:val="16"/>
              </w:rPr>
              <w:t xml:space="preserve">          183.172,84 </w:t>
            </w:r>
          </w:p>
        </w:tc>
        <w:tc>
          <w:tcPr>
            <w:tcW w:w="1500" w:type="dxa"/>
            <w:tcBorders>
              <w:top w:val="nil"/>
              <w:left w:val="nil"/>
              <w:bottom w:val="nil"/>
              <w:right w:val="nil"/>
            </w:tcBorders>
            <w:shd w:val="clear" w:color="auto" w:fill="auto"/>
            <w:noWrap/>
            <w:vAlign w:val="bottom"/>
            <w:hideMark/>
          </w:tcPr>
          <w:p w14:paraId="54E537BF" w14:textId="77777777" w:rsidR="009075FA" w:rsidRPr="0033296A" w:rsidRDefault="009075FA" w:rsidP="00516C62">
            <w:pPr>
              <w:rPr>
                <w:sz w:val="16"/>
                <w:szCs w:val="16"/>
              </w:rPr>
            </w:pPr>
            <w:r w:rsidRPr="0033296A">
              <w:rPr>
                <w:sz w:val="16"/>
                <w:szCs w:val="16"/>
              </w:rPr>
              <w:t xml:space="preserve">                6.314,19 </w:t>
            </w:r>
          </w:p>
        </w:tc>
        <w:tc>
          <w:tcPr>
            <w:tcW w:w="1420" w:type="dxa"/>
            <w:tcBorders>
              <w:top w:val="nil"/>
              <w:left w:val="nil"/>
              <w:bottom w:val="nil"/>
              <w:right w:val="nil"/>
            </w:tcBorders>
            <w:shd w:val="clear" w:color="auto" w:fill="auto"/>
            <w:noWrap/>
            <w:vAlign w:val="bottom"/>
            <w:hideMark/>
          </w:tcPr>
          <w:p w14:paraId="78987BF1" w14:textId="77777777" w:rsidR="009075FA" w:rsidRPr="0033296A" w:rsidRDefault="009075FA" w:rsidP="00516C62">
            <w:pPr>
              <w:rPr>
                <w:sz w:val="16"/>
                <w:szCs w:val="16"/>
              </w:rPr>
            </w:pPr>
            <w:r w:rsidRPr="0033296A">
              <w:rPr>
                <w:sz w:val="16"/>
                <w:szCs w:val="16"/>
              </w:rPr>
              <w:t xml:space="preserve">          189.487,03 </w:t>
            </w:r>
          </w:p>
        </w:tc>
        <w:tc>
          <w:tcPr>
            <w:tcW w:w="1420" w:type="dxa"/>
            <w:tcBorders>
              <w:top w:val="nil"/>
              <w:left w:val="nil"/>
              <w:bottom w:val="nil"/>
              <w:right w:val="nil"/>
            </w:tcBorders>
            <w:shd w:val="clear" w:color="auto" w:fill="auto"/>
            <w:noWrap/>
            <w:vAlign w:val="bottom"/>
            <w:hideMark/>
          </w:tcPr>
          <w:p w14:paraId="0CD7B96D" w14:textId="77777777" w:rsidR="009075FA" w:rsidRPr="0033296A" w:rsidRDefault="009075FA" w:rsidP="00516C62">
            <w:pPr>
              <w:rPr>
                <w:sz w:val="16"/>
                <w:szCs w:val="16"/>
              </w:rPr>
            </w:pPr>
            <w:r w:rsidRPr="0033296A">
              <w:rPr>
                <w:sz w:val="16"/>
                <w:szCs w:val="16"/>
              </w:rPr>
              <w:t xml:space="preserve">          412.138,71 </w:t>
            </w:r>
          </w:p>
        </w:tc>
      </w:tr>
      <w:tr w:rsidR="009075FA" w:rsidRPr="0033296A" w14:paraId="1E9C023C" w14:textId="77777777" w:rsidTr="00516C62">
        <w:trPr>
          <w:trHeight w:val="300"/>
        </w:trPr>
        <w:tc>
          <w:tcPr>
            <w:tcW w:w="960" w:type="dxa"/>
            <w:tcBorders>
              <w:top w:val="nil"/>
              <w:left w:val="nil"/>
              <w:bottom w:val="nil"/>
              <w:right w:val="nil"/>
            </w:tcBorders>
            <w:shd w:val="clear" w:color="auto" w:fill="auto"/>
            <w:noWrap/>
            <w:vAlign w:val="bottom"/>
            <w:hideMark/>
          </w:tcPr>
          <w:p w14:paraId="2379F57E" w14:textId="77777777" w:rsidR="009075FA" w:rsidRPr="0033296A" w:rsidRDefault="009075FA" w:rsidP="00516C62">
            <w:pPr>
              <w:rPr>
                <w:sz w:val="16"/>
                <w:szCs w:val="16"/>
              </w:rPr>
            </w:pPr>
            <w:r w:rsidRPr="0033296A">
              <w:rPr>
                <w:sz w:val="16"/>
                <w:szCs w:val="16"/>
              </w:rPr>
              <w:t>2028.</w:t>
            </w:r>
          </w:p>
        </w:tc>
        <w:tc>
          <w:tcPr>
            <w:tcW w:w="1420" w:type="dxa"/>
            <w:tcBorders>
              <w:top w:val="nil"/>
              <w:left w:val="nil"/>
              <w:bottom w:val="nil"/>
              <w:right w:val="nil"/>
            </w:tcBorders>
            <w:shd w:val="clear" w:color="auto" w:fill="auto"/>
            <w:noWrap/>
            <w:vAlign w:val="bottom"/>
            <w:hideMark/>
          </w:tcPr>
          <w:p w14:paraId="18CB98F3" w14:textId="77777777" w:rsidR="009075FA" w:rsidRPr="0033296A" w:rsidRDefault="009075FA" w:rsidP="00516C62">
            <w:pPr>
              <w:rPr>
                <w:sz w:val="16"/>
                <w:szCs w:val="16"/>
              </w:rPr>
            </w:pPr>
            <w:r w:rsidRPr="0033296A">
              <w:rPr>
                <w:sz w:val="16"/>
                <w:szCs w:val="16"/>
              </w:rPr>
              <w:t xml:space="preserve">          183.172,84 </w:t>
            </w:r>
          </w:p>
        </w:tc>
        <w:tc>
          <w:tcPr>
            <w:tcW w:w="1500" w:type="dxa"/>
            <w:tcBorders>
              <w:top w:val="nil"/>
              <w:left w:val="nil"/>
              <w:bottom w:val="nil"/>
              <w:right w:val="nil"/>
            </w:tcBorders>
            <w:shd w:val="clear" w:color="auto" w:fill="auto"/>
            <w:noWrap/>
            <w:vAlign w:val="bottom"/>
            <w:hideMark/>
          </w:tcPr>
          <w:p w14:paraId="55B76244" w14:textId="77777777" w:rsidR="009075FA" w:rsidRPr="0033296A" w:rsidRDefault="009075FA" w:rsidP="00516C62">
            <w:pPr>
              <w:rPr>
                <w:sz w:val="16"/>
                <w:szCs w:val="16"/>
              </w:rPr>
            </w:pPr>
            <w:r w:rsidRPr="0033296A">
              <w:rPr>
                <w:sz w:val="16"/>
                <w:szCs w:val="16"/>
              </w:rPr>
              <w:t xml:space="preserve">                4.118,42 </w:t>
            </w:r>
          </w:p>
        </w:tc>
        <w:tc>
          <w:tcPr>
            <w:tcW w:w="1420" w:type="dxa"/>
            <w:tcBorders>
              <w:top w:val="nil"/>
              <w:left w:val="nil"/>
              <w:bottom w:val="nil"/>
              <w:right w:val="nil"/>
            </w:tcBorders>
            <w:shd w:val="clear" w:color="auto" w:fill="auto"/>
            <w:noWrap/>
            <w:vAlign w:val="bottom"/>
            <w:hideMark/>
          </w:tcPr>
          <w:p w14:paraId="7741A92F" w14:textId="77777777" w:rsidR="009075FA" w:rsidRPr="0033296A" w:rsidRDefault="009075FA" w:rsidP="00516C62">
            <w:pPr>
              <w:rPr>
                <w:sz w:val="16"/>
                <w:szCs w:val="16"/>
              </w:rPr>
            </w:pPr>
            <w:r w:rsidRPr="0033296A">
              <w:rPr>
                <w:sz w:val="16"/>
                <w:szCs w:val="16"/>
              </w:rPr>
              <w:t xml:space="preserve">          187.291,26 </w:t>
            </w:r>
          </w:p>
        </w:tc>
        <w:tc>
          <w:tcPr>
            <w:tcW w:w="1420" w:type="dxa"/>
            <w:tcBorders>
              <w:top w:val="nil"/>
              <w:left w:val="nil"/>
              <w:bottom w:val="nil"/>
              <w:right w:val="nil"/>
            </w:tcBorders>
            <w:shd w:val="clear" w:color="auto" w:fill="auto"/>
            <w:noWrap/>
            <w:vAlign w:val="bottom"/>
            <w:hideMark/>
          </w:tcPr>
          <w:p w14:paraId="2D047227" w14:textId="77777777" w:rsidR="009075FA" w:rsidRPr="0033296A" w:rsidRDefault="009075FA" w:rsidP="00516C62">
            <w:pPr>
              <w:rPr>
                <w:sz w:val="16"/>
                <w:szCs w:val="16"/>
              </w:rPr>
            </w:pPr>
            <w:r w:rsidRPr="0033296A">
              <w:rPr>
                <w:sz w:val="16"/>
                <w:szCs w:val="16"/>
              </w:rPr>
              <w:t xml:space="preserve">          228.965,87 </w:t>
            </w:r>
          </w:p>
        </w:tc>
      </w:tr>
      <w:tr w:rsidR="009075FA" w:rsidRPr="0033296A" w14:paraId="40FB2F4F" w14:textId="77777777" w:rsidTr="00516C62">
        <w:trPr>
          <w:trHeight w:val="300"/>
        </w:trPr>
        <w:tc>
          <w:tcPr>
            <w:tcW w:w="960" w:type="dxa"/>
            <w:tcBorders>
              <w:top w:val="nil"/>
              <w:left w:val="nil"/>
              <w:bottom w:val="nil"/>
              <w:right w:val="nil"/>
            </w:tcBorders>
            <w:shd w:val="clear" w:color="auto" w:fill="auto"/>
            <w:noWrap/>
            <w:vAlign w:val="bottom"/>
            <w:hideMark/>
          </w:tcPr>
          <w:p w14:paraId="620E76E2" w14:textId="77777777" w:rsidR="009075FA" w:rsidRPr="0033296A" w:rsidRDefault="009075FA" w:rsidP="00516C62">
            <w:pPr>
              <w:rPr>
                <w:sz w:val="16"/>
                <w:szCs w:val="16"/>
              </w:rPr>
            </w:pPr>
            <w:r w:rsidRPr="0033296A">
              <w:rPr>
                <w:sz w:val="16"/>
                <w:szCs w:val="16"/>
              </w:rPr>
              <w:t>2029.</w:t>
            </w:r>
          </w:p>
        </w:tc>
        <w:tc>
          <w:tcPr>
            <w:tcW w:w="1420" w:type="dxa"/>
            <w:tcBorders>
              <w:top w:val="nil"/>
              <w:left w:val="nil"/>
              <w:bottom w:val="nil"/>
              <w:right w:val="nil"/>
            </w:tcBorders>
            <w:shd w:val="clear" w:color="auto" w:fill="auto"/>
            <w:noWrap/>
            <w:vAlign w:val="bottom"/>
            <w:hideMark/>
          </w:tcPr>
          <w:p w14:paraId="5FF3BA0E" w14:textId="77777777" w:rsidR="009075FA" w:rsidRPr="0033296A" w:rsidRDefault="009075FA" w:rsidP="00516C62">
            <w:pPr>
              <w:rPr>
                <w:sz w:val="16"/>
                <w:szCs w:val="16"/>
              </w:rPr>
            </w:pPr>
            <w:r w:rsidRPr="0033296A">
              <w:rPr>
                <w:sz w:val="16"/>
                <w:szCs w:val="16"/>
              </w:rPr>
              <w:t xml:space="preserve">          183.172,84 </w:t>
            </w:r>
          </w:p>
        </w:tc>
        <w:tc>
          <w:tcPr>
            <w:tcW w:w="1500" w:type="dxa"/>
            <w:tcBorders>
              <w:top w:val="nil"/>
              <w:left w:val="nil"/>
              <w:bottom w:val="nil"/>
              <w:right w:val="nil"/>
            </w:tcBorders>
            <w:shd w:val="clear" w:color="auto" w:fill="auto"/>
            <w:noWrap/>
            <w:vAlign w:val="bottom"/>
            <w:hideMark/>
          </w:tcPr>
          <w:p w14:paraId="243591E4" w14:textId="77777777" w:rsidR="009075FA" w:rsidRPr="0033296A" w:rsidRDefault="009075FA" w:rsidP="00516C62">
            <w:pPr>
              <w:rPr>
                <w:sz w:val="16"/>
                <w:szCs w:val="16"/>
              </w:rPr>
            </w:pPr>
            <w:r w:rsidRPr="0033296A">
              <w:rPr>
                <w:sz w:val="16"/>
                <w:szCs w:val="16"/>
              </w:rPr>
              <w:t xml:space="preserve">                1.918,01 </w:t>
            </w:r>
          </w:p>
        </w:tc>
        <w:tc>
          <w:tcPr>
            <w:tcW w:w="1420" w:type="dxa"/>
            <w:tcBorders>
              <w:top w:val="nil"/>
              <w:left w:val="nil"/>
              <w:bottom w:val="nil"/>
              <w:right w:val="nil"/>
            </w:tcBorders>
            <w:shd w:val="clear" w:color="auto" w:fill="auto"/>
            <w:noWrap/>
            <w:vAlign w:val="bottom"/>
            <w:hideMark/>
          </w:tcPr>
          <w:p w14:paraId="362A9366" w14:textId="77777777" w:rsidR="009075FA" w:rsidRPr="0033296A" w:rsidRDefault="009075FA" w:rsidP="00516C62">
            <w:pPr>
              <w:rPr>
                <w:sz w:val="16"/>
                <w:szCs w:val="16"/>
              </w:rPr>
            </w:pPr>
            <w:r w:rsidRPr="0033296A">
              <w:rPr>
                <w:sz w:val="16"/>
                <w:szCs w:val="16"/>
              </w:rPr>
              <w:t xml:space="preserve">          185.090,85 </w:t>
            </w:r>
          </w:p>
        </w:tc>
        <w:tc>
          <w:tcPr>
            <w:tcW w:w="1420" w:type="dxa"/>
            <w:tcBorders>
              <w:top w:val="nil"/>
              <w:left w:val="nil"/>
              <w:bottom w:val="nil"/>
              <w:right w:val="nil"/>
            </w:tcBorders>
            <w:shd w:val="clear" w:color="auto" w:fill="auto"/>
            <w:noWrap/>
            <w:vAlign w:val="bottom"/>
            <w:hideMark/>
          </w:tcPr>
          <w:p w14:paraId="1A65730B" w14:textId="77777777" w:rsidR="009075FA" w:rsidRPr="0033296A" w:rsidRDefault="009075FA" w:rsidP="00516C62">
            <w:pPr>
              <w:rPr>
                <w:sz w:val="16"/>
                <w:szCs w:val="16"/>
              </w:rPr>
            </w:pPr>
            <w:r w:rsidRPr="0033296A">
              <w:rPr>
                <w:sz w:val="16"/>
                <w:szCs w:val="16"/>
              </w:rPr>
              <w:t xml:space="preserve">            45.793,03 </w:t>
            </w:r>
          </w:p>
        </w:tc>
      </w:tr>
      <w:tr w:rsidR="009075FA" w:rsidRPr="0033296A" w14:paraId="0EF172ED" w14:textId="77777777" w:rsidTr="00516C62">
        <w:trPr>
          <w:trHeight w:val="300"/>
        </w:trPr>
        <w:tc>
          <w:tcPr>
            <w:tcW w:w="960" w:type="dxa"/>
            <w:tcBorders>
              <w:top w:val="nil"/>
              <w:left w:val="nil"/>
              <w:bottom w:val="nil"/>
              <w:right w:val="nil"/>
            </w:tcBorders>
            <w:shd w:val="clear" w:color="auto" w:fill="auto"/>
            <w:noWrap/>
            <w:vAlign w:val="bottom"/>
            <w:hideMark/>
          </w:tcPr>
          <w:p w14:paraId="7F52BA05" w14:textId="77777777" w:rsidR="009075FA" w:rsidRPr="0033296A" w:rsidRDefault="009075FA" w:rsidP="00516C62">
            <w:pPr>
              <w:rPr>
                <w:sz w:val="16"/>
                <w:szCs w:val="16"/>
              </w:rPr>
            </w:pPr>
            <w:r w:rsidRPr="0033296A">
              <w:rPr>
                <w:sz w:val="16"/>
                <w:szCs w:val="16"/>
              </w:rPr>
              <w:t>2030.</w:t>
            </w:r>
          </w:p>
        </w:tc>
        <w:tc>
          <w:tcPr>
            <w:tcW w:w="1420" w:type="dxa"/>
            <w:tcBorders>
              <w:top w:val="nil"/>
              <w:left w:val="nil"/>
              <w:bottom w:val="nil"/>
              <w:right w:val="nil"/>
            </w:tcBorders>
            <w:shd w:val="clear" w:color="auto" w:fill="auto"/>
            <w:noWrap/>
            <w:vAlign w:val="bottom"/>
            <w:hideMark/>
          </w:tcPr>
          <w:p w14:paraId="23B7473B" w14:textId="77777777" w:rsidR="009075FA" w:rsidRPr="0033296A" w:rsidRDefault="009075FA" w:rsidP="00516C62">
            <w:pPr>
              <w:rPr>
                <w:sz w:val="16"/>
                <w:szCs w:val="16"/>
              </w:rPr>
            </w:pPr>
            <w:r w:rsidRPr="0033296A">
              <w:rPr>
                <w:sz w:val="16"/>
                <w:szCs w:val="16"/>
              </w:rPr>
              <w:t xml:space="preserve">            45.793,03 </w:t>
            </w:r>
          </w:p>
        </w:tc>
        <w:tc>
          <w:tcPr>
            <w:tcW w:w="1500" w:type="dxa"/>
            <w:tcBorders>
              <w:top w:val="nil"/>
              <w:left w:val="nil"/>
              <w:bottom w:val="nil"/>
              <w:right w:val="nil"/>
            </w:tcBorders>
            <w:shd w:val="clear" w:color="auto" w:fill="auto"/>
            <w:noWrap/>
            <w:vAlign w:val="bottom"/>
            <w:hideMark/>
          </w:tcPr>
          <w:p w14:paraId="49346E30" w14:textId="77777777" w:rsidR="009075FA" w:rsidRPr="0033296A" w:rsidRDefault="009075FA" w:rsidP="00516C62">
            <w:pPr>
              <w:rPr>
                <w:sz w:val="16"/>
                <w:szCs w:val="16"/>
              </w:rPr>
            </w:pPr>
            <w:r w:rsidRPr="0033296A">
              <w:rPr>
                <w:sz w:val="16"/>
                <w:szCs w:val="16"/>
              </w:rPr>
              <w:t xml:space="preserve">                   135,50 </w:t>
            </w:r>
          </w:p>
        </w:tc>
        <w:tc>
          <w:tcPr>
            <w:tcW w:w="1420" w:type="dxa"/>
            <w:tcBorders>
              <w:top w:val="nil"/>
              <w:left w:val="nil"/>
              <w:bottom w:val="nil"/>
              <w:right w:val="nil"/>
            </w:tcBorders>
            <w:shd w:val="clear" w:color="auto" w:fill="auto"/>
            <w:noWrap/>
            <w:vAlign w:val="bottom"/>
            <w:hideMark/>
          </w:tcPr>
          <w:p w14:paraId="7B73F369" w14:textId="77777777" w:rsidR="009075FA" w:rsidRPr="0033296A" w:rsidRDefault="009075FA" w:rsidP="00516C62">
            <w:pPr>
              <w:rPr>
                <w:sz w:val="16"/>
                <w:szCs w:val="16"/>
              </w:rPr>
            </w:pPr>
            <w:r w:rsidRPr="0033296A">
              <w:rPr>
                <w:sz w:val="16"/>
                <w:szCs w:val="16"/>
              </w:rPr>
              <w:t xml:space="preserve">            45.928,53 </w:t>
            </w:r>
          </w:p>
        </w:tc>
        <w:tc>
          <w:tcPr>
            <w:tcW w:w="1420" w:type="dxa"/>
            <w:tcBorders>
              <w:top w:val="nil"/>
              <w:left w:val="nil"/>
              <w:bottom w:val="nil"/>
              <w:right w:val="nil"/>
            </w:tcBorders>
            <w:shd w:val="clear" w:color="auto" w:fill="auto"/>
            <w:noWrap/>
            <w:vAlign w:val="bottom"/>
            <w:hideMark/>
          </w:tcPr>
          <w:p w14:paraId="2A4E0A64" w14:textId="77777777" w:rsidR="009075FA" w:rsidRPr="0033296A" w:rsidRDefault="009075FA" w:rsidP="00516C62">
            <w:pPr>
              <w:rPr>
                <w:sz w:val="16"/>
                <w:szCs w:val="16"/>
              </w:rPr>
            </w:pPr>
            <w:r w:rsidRPr="0033296A">
              <w:rPr>
                <w:sz w:val="16"/>
                <w:szCs w:val="16"/>
              </w:rPr>
              <w:t xml:space="preserve">                         -   </w:t>
            </w:r>
          </w:p>
        </w:tc>
      </w:tr>
      <w:tr w:rsidR="009075FA" w:rsidRPr="0033296A" w14:paraId="5DB80981" w14:textId="77777777" w:rsidTr="00516C62">
        <w:trPr>
          <w:trHeight w:val="300"/>
        </w:trPr>
        <w:tc>
          <w:tcPr>
            <w:tcW w:w="960" w:type="dxa"/>
            <w:tcBorders>
              <w:top w:val="single" w:sz="4" w:space="0" w:color="auto"/>
              <w:left w:val="nil"/>
              <w:bottom w:val="single" w:sz="4" w:space="0" w:color="auto"/>
              <w:right w:val="nil"/>
            </w:tcBorders>
            <w:shd w:val="clear" w:color="auto" w:fill="auto"/>
            <w:noWrap/>
            <w:vAlign w:val="bottom"/>
            <w:hideMark/>
          </w:tcPr>
          <w:p w14:paraId="5FD2A458" w14:textId="77777777" w:rsidR="009075FA" w:rsidRPr="0033296A" w:rsidRDefault="009075FA" w:rsidP="00516C62">
            <w:pPr>
              <w:rPr>
                <w:sz w:val="16"/>
                <w:szCs w:val="16"/>
              </w:rPr>
            </w:pPr>
            <w:r w:rsidRPr="0033296A">
              <w:rPr>
                <w:sz w:val="16"/>
                <w:szCs w:val="16"/>
              </w:rPr>
              <w:t>sveukupno</w:t>
            </w:r>
          </w:p>
        </w:tc>
        <w:tc>
          <w:tcPr>
            <w:tcW w:w="1420" w:type="dxa"/>
            <w:tcBorders>
              <w:top w:val="single" w:sz="4" w:space="0" w:color="auto"/>
              <w:left w:val="nil"/>
              <w:bottom w:val="single" w:sz="4" w:space="0" w:color="auto"/>
              <w:right w:val="nil"/>
            </w:tcBorders>
            <w:shd w:val="clear" w:color="auto" w:fill="auto"/>
            <w:noWrap/>
            <w:vAlign w:val="bottom"/>
            <w:hideMark/>
          </w:tcPr>
          <w:p w14:paraId="2EF7B14A" w14:textId="77777777" w:rsidR="009075FA" w:rsidRPr="0033296A" w:rsidRDefault="009075FA" w:rsidP="00516C62">
            <w:pPr>
              <w:rPr>
                <w:sz w:val="16"/>
                <w:szCs w:val="16"/>
              </w:rPr>
            </w:pPr>
            <w:r w:rsidRPr="0033296A">
              <w:rPr>
                <w:sz w:val="16"/>
                <w:szCs w:val="16"/>
              </w:rPr>
              <w:t xml:space="preserve">    1.648.555,38    </w:t>
            </w:r>
          </w:p>
        </w:tc>
        <w:tc>
          <w:tcPr>
            <w:tcW w:w="1500" w:type="dxa"/>
            <w:tcBorders>
              <w:top w:val="single" w:sz="4" w:space="0" w:color="auto"/>
              <w:left w:val="nil"/>
              <w:bottom w:val="single" w:sz="4" w:space="0" w:color="auto"/>
              <w:right w:val="nil"/>
            </w:tcBorders>
            <w:shd w:val="clear" w:color="auto" w:fill="auto"/>
            <w:noWrap/>
            <w:vAlign w:val="bottom"/>
            <w:hideMark/>
          </w:tcPr>
          <w:p w14:paraId="6F593E3E" w14:textId="77777777" w:rsidR="009075FA" w:rsidRPr="0033296A" w:rsidRDefault="009075FA" w:rsidP="00516C62">
            <w:pPr>
              <w:rPr>
                <w:sz w:val="16"/>
                <w:szCs w:val="16"/>
              </w:rPr>
            </w:pPr>
            <w:r w:rsidRPr="0033296A">
              <w:rPr>
                <w:sz w:val="16"/>
                <w:szCs w:val="16"/>
              </w:rPr>
              <w:t xml:space="preserve">         117.786,39    </w:t>
            </w:r>
          </w:p>
        </w:tc>
        <w:tc>
          <w:tcPr>
            <w:tcW w:w="1420" w:type="dxa"/>
            <w:tcBorders>
              <w:top w:val="single" w:sz="4" w:space="0" w:color="auto"/>
              <w:left w:val="nil"/>
              <w:bottom w:val="single" w:sz="4" w:space="0" w:color="auto"/>
              <w:right w:val="nil"/>
            </w:tcBorders>
            <w:shd w:val="clear" w:color="auto" w:fill="auto"/>
            <w:noWrap/>
            <w:vAlign w:val="bottom"/>
            <w:hideMark/>
          </w:tcPr>
          <w:p w14:paraId="4DB5D2F9" w14:textId="77777777" w:rsidR="009075FA" w:rsidRPr="0033296A" w:rsidRDefault="009075FA" w:rsidP="00516C62">
            <w:pPr>
              <w:rPr>
                <w:sz w:val="16"/>
                <w:szCs w:val="16"/>
              </w:rPr>
            </w:pPr>
            <w:r w:rsidRPr="0033296A">
              <w:rPr>
                <w:sz w:val="16"/>
                <w:szCs w:val="16"/>
              </w:rPr>
              <w:t xml:space="preserve">    1.766.341,77    </w:t>
            </w:r>
          </w:p>
        </w:tc>
        <w:tc>
          <w:tcPr>
            <w:tcW w:w="1420" w:type="dxa"/>
            <w:tcBorders>
              <w:top w:val="single" w:sz="4" w:space="0" w:color="auto"/>
              <w:left w:val="nil"/>
              <w:bottom w:val="single" w:sz="4" w:space="0" w:color="auto"/>
              <w:right w:val="nil"/>
            </w:tcBorders>
            <w:shd w:val="clear" w:color="auto" w:fill="auto"/>
            <w:noWrap/>
            <w:vAlign w:val="bottom"/>
            <w:hideMark/>
          </w:tcPr>
          <w:p w14:paraId="536B7D70" w14:textId="77777777" w:rsidR="009075FA" w:rsidRPr="0033296A" w:rsidRDefault="009075FA" w:rsidP="00516C62">
            <w:pPr>
              <w:rPr>
                <w:sz w:val="16"/>
                <w:szCs w:val="16"/>
              </w:rPr>
            </w:pPr>
            <w:r w:rsidRPr="0033296A">
              <w:rPr>
                <w:sz w:val="16"/>
                <w:szCs w:val="16"/>
              </w:rPr>
              <w:t> </w:t>
            </w:r>
          </w:p>
        </w:tc>
      </w:tr>
    </w:tbl>
    <w:p w14:paraId="78516F34" w14:textId="77777777" w:rsidR="009075FA" w:rsidRPr="0033296A" w:rsidRDefault="009075FA" w:rsidP="009075FA"/>
    <w:p w14:paraId="6EFF77E9" w14:textId="56D8213D" w:rsidR="009075FA" w:rsidRDefault="009075FA" w:rsidP="009075FA">
      <w:r w:rsidRPr="0033296A">
        <w:t xml:space="preserve">Grad Buje – Buie je na temelju Odluke </w:t>
      </w:r>
      <w:r w:rsidR="000A5241">
        <w:t xml:space="preserve">Gradskog vijeća </w:t>
      </w:r>
      <w:r w:rsidRPr="0033296A">
        <w:t>o kreditnom zaduženju (</w:t>
      </w:r>
      <w:r w:rsidR="00FD0C9E">
        <w:t>KLASA</w:t>
      </w:r>
      <w:r w:rsidRPr="0033296A">
        <w:t xml:space="preserve">: 403-01/20-01/01, </w:t>
      </w:r>
      <w:r w:rsidR="00FD0C9E">
        <w:t>URBROJ</w:t>
      </w:r>
      <w:r w:rsidRPr="0033296A">
        <w:t>: 2105/01-02/01-20-3 od 12.02.2020.) i Suglasnosti za zaduženje Ministarstva financija (</w:t>
      </w:r>
      <w:r w:rsidR="00FD0C9E">
        <w:t>KLASA</w:t>
      </w:r>
      <w:r w:rsidRPr="0033296A">
        <w:t xml:space="preserve">: 403-02/20-01/34, </w:t>
      </w:r>
      <w:r w:rsidR="00FD0C9E">
        <w:t>URBROJ</w:t>
      </w:r>
      <w:r w:rsidRPr="0033296A">
        <w:t xml:space="preserve">: 513-05-06-20-2 od 2. travnja 2020.) sklopio dana 04.05.2020 godine Ugovor o kreditu s Istarskom kreditnom bankom Umag d.d. (broj 9005002846) za sufinanciranje projekta Energetske obnove zgrade dječjeg vrtića. Ugovoreni iznos kredita je 2.696.730,00 kuna, s rokom vraćanja 10 godina od dana prijenosa u otplatu i uključenim počekom od 12 mjeseci. Ugovorena kamatna stopa iznosi 1,20% u prvih 36 mjeseci nakon prijenosa u otplatu, a nakon toga u visini prinosa na trezorske zapise MF RH s dospijećem 364 dana uvećano za 1,30 p.p. Način vraćanja kredita je u 36 jednakih tromjesečnih rata. Ugovoreno je sukcesivno korištenje sredstava kredita u razdoblju do 12 mjeseci od sklapanja ugovora. </w:t>
      </w:r>
      <w:r w:rsidR="005A581A">
        <w:t>K</w:t>
      </w:r>
      <w:r w:rsidRPr="0033296A">
        <w:t>redit</w:t>
      </w:r>
      <w:r w:rsidR="005A581A">
        <w:t>n</w:t>
      </w:r>
      <w:r w:rsidRPr="0033296A">
        <w:t>a</w:t>
      </w:r>
      <w:r w:rsidR="005A581A">
        <w:t xml:space="preserve"> sredstva su</w:t>
      </w:r>
      <w:r w:rsidRPr="0033296A">
        <w:t xml:space="preserve"> u potpunosti iskorištena</w:t>
      </w:r>
      <w:r w:rsidR="00DB4664">
        <w:t>, a kredit je prenesen u otplatu 31.10.2020. godine. S</w:t>
      </w:r>
      <w:r w:rsidRPr="0033296A">
        <w:t xml:space="preserve">tanje kredita na dan </w:t>
      </w:r>
      <w:r w:rsidR="00027216">
        <w:t>01.01.202</w:t>
      </w:r>
      <w:r w:rsidR="00D840C9">
        <w:t>2</w:t>
      </w:r>
      <w:r w:rsidRPr="0033296A">
        <w:t xml:space="preserve">. godine </w:t>
      </w:r>
      <w:r w:rsidR="005A581A">
        <w:t xml:space="preserve">iznosilo </w:t>
      </w:r>
      <w:r w:rsidR="00DB4664">
        <w:t xml:space="preserve">je </w:t>
      </w:r>
      <w:r w:rsidRPr="0033296A">
        <w:t xml:space="preserve">2.696.730,00 kuna. </w:t>
      </w:r>
      <w:r w:rsidR="00D840C9">
        <w:t>U 2</w:t>
      </w:r>
      <w:r w:rsidR="00DB4664">
        <w:t>022. godin</w:t>
      </w:r>
      <w:r w:rsidR="00976D43">
        <w:t>i</w:t>
      </w:r>
      <w:r w:rsidR="00DB4664">
        <w:t xml:space="preserve"> </w:t>
      </w:r>
      <w:r w:rsidR="00D840C9">
        <w:t>otplaćen</w:t>
      </w:r>
      <w:r w:rsidR="00976D43">
        <w:t>o</w:t>
      </w:r>
      <w:r w:rsidR="00D840C9">
        <w:t xml:space="preserve"> </w:t>
      </w:r>
      <w:r w:rsidR="00976D43">
        <w:t xml:space="preserve">je 299.636,68 </w:t>
      </w:r>
      <w:r w:rsidR="001339E7">
        <w:t>k</w:t>
      </w:r>
      <w:r w:rsidR="00976D43">
        <w:t>una</w:t>
      </w:r>
      <w:r w:rsidR="00D840C9">
        <w:t xml:space="preserve"> </w:t>
      </w:r>
      <w:r w:rsidR="00DB4664">
        <w:t xml:space="preserve">te je stanje glavnice kredita na dan </w:t>
      </w:r>
      <w:r w:rsidR="00976D43">
        <w:t>31.12</w:t>
      </w:r>
      <w:r w:rsidR="007C3E55">
        <w:t>.202</w:t>
      </w:r>
      <w:r w:rsidR="00D840C9">
        <w:t>2</w:t>
      </w:r>
      <w:r w:rsidR="00DB4664">
        <w:t>. godine</w:t>
      </w:r>
      <w:r w:rsidR="00D840C9">
        <w:t xml:space="preserve"> 2.</w:t>
      </w:r>
      <w:r w:rsidR="00976D43">
        <w:t>397.093,32</w:t>
      </w:r>
      <w:r w:rsidR="00D840C9">
        <w:t xml:space="preserve"> kuna</w:t>
      </w:r>
      <w:r w:rsidR="00DB4664">
        <w:t xml:space="preserve">. </w:t>
      </w:r>
      <w:r w:rsidR="00C164EF">
        <w:t>D</w:t>
      </w:r>
      <w:r w:rsidRPr="0033296A">
        <w:t>inamika otplate kreditne obveze po godinama prikazana je u sljedećoj tablici.</w:t>
      </w:r>
    </w:p>
    <w:p w14:paraId="38059586" w14:textId="77777777" w:rsidR="00743F01" w:rsidRDefault="00743F01" w:rsidP="009075FA"/>
    <w:p w14:paraId="5C1A19AD" w14:textId="047DEA68" w:rsidR="00876451" w:rsidRDefault="00876451" w:rsidP="009075FA"/>
    <w:tbl>
      <w:tblPr>
        <w:tblW w:w="6640" w:type="dxa"/>
        <w:tblInd w:w="108" w:type="dxa"/>
        <w:tblLook w:val="04A0" w:firstRow="1" w:lastRow="0" w:firstColumn="1" w:lastColumn="0" w:noHBand="0" w:noVBand="1"/>
      </w:tblPr>
      <w:tblGrid>
        <w:gridCol w:w="960"/>
        <w:gridCol w:w="1420"/>
        <w:gridCol w:w="1420"/>
        <w:gridCol w:w="1420"/>
        <w:gridCol w:w="1420"/>
      </w:tblGrid>
      <w:tr w:rsidR="00DB4664" w:rsidRPr="00DB4664" w14:paraId="78BAF467" w14:textId="77777777" w:rsidTr="00DB4664">
        <w:trPr>
          <w:trHeight w:val="255"/>
        </w:trPr>
        <w:tc>
          <w:tcPr>
            <w:tcW w:w="6640" w:type="dxa"/>
            <w:gridSpan w:val="5"/>
            <w:tcBorders>
              <w:top w:val="nil"/>
              <w:left w:val="nil"/>
              <w:bottom w:val="nil"/>
              <w:right w:val="nil"/>
            </w:tcBorders>
            <w:shd w:val="clear" w:color="auto" w:fill="auto"/>
            <w:noWrap/>
            <w:vAlign w:val="bottom"/>
            <w:hideMark/>
          </w:tcPr>
          <w:p w14:paraId="1FBB8A72" w14:textId="77777777" w:rsidR="00DB4664" w:rsidRPr="00DB4664" w:rsidRDefault="00DB4664">
            <w:pPr>
              <w:jc w:val="center"/>
              <w:rPr>
                <w:sz w:val="16"/>
                <w:szCs w:val="16"/>
              </w:rPr>
            </w:pPr>
            <w:r w:rsidRPr="00DB4664">
              <w:rPr>
                <w:sz w:val="16"/>
                <w:szCs w:val="16"/>
              </w:rPr>
              <w:t xml:space="preserve">GODIŠNJI OTPLATNI PLAN </w:t>
            </w:r>
          </w:p>
        </w:tc>
      </w:tr>
      <w:tr w:rsidR="00DB4664" w:rsidRPr="00DB4664" w14:paraId="090BD615" w14:textId="77777777" w:rsidTr="00DB4664">
        <w:trPr>
          <w:trHeight w:val="255"/>
        </w:trPr>
        <w:tc>
          <w:tcPr>
            <w:tcW w:w="6640" w:type="dxa"/>
            <w:gridSpan w:val="5"/>
            <w:tcBorders>
              <w:top w:val="nil"/>
              <w:left w:val="nil"/>
              <w:bottom w:val="nil"/>
              <w:right w:val="nil"/>
            </w:tcBorders>
            <w:shd w:val="clear" w:color="auto" w:fill="auto"/>
            <w:noWrap/>
            <w:vAlign w:val="bottom"/>
            <w:hideMark/>
          </w:tcPr>
          <w:p w14:paraId="373F0E14" w14:textId="77777777" w:rsidR="00DB4664" w:rsidRPr="00DB4664" w:rsidRDefault="00DB4664">
            <w:pPr>
              <w:jc w:val="center"/>
              <w:rPr>
                <w:sz w:val="16"/>
                <w:szCs w:val="16"/>
              </w:rPr>
            </w:pPr>
            <w:r w:rsidRPr="00DB4664">
              <w:rPr>
                <w:sz w:val="16"/>
                <w:szCs w:val="16"/>
              </w:rPr>
              <w:t>ISTARSKA KREDITNA BANKA UMAG D.D. - dugoročni kredit broj 9005002846</w:t>
            </w:r>
          </w:p>
        </w:tc>
      </w:tr>
      <w:tr w:rsidR="00DB4664" w:rsidRPr="00DB4664" w14:paraId="68379E4B" w14:textId="77777777" w:rsidTr="00DB4664">
        <w:trPr>
          <w:trHeight w:val="255"/>
        </w:trPr>
        <w:tc>
          <w:tcPr>
            <w:tcW w:w="960" w:type="dxa"/>
            <w:tcBorders>
              <w:top w:val="nil"/>
              <w:left w:val="nil"/>
              <w:bottom w:val="nil"/>
              <w:right w:val="nil"/>
            </w:tcBorders>
            <w:shd w:val="clear" w:color="auto" w:fill="auto"/>
            <w:noWrap/>
            <w:vAlign w:val="bottom"/>
            <w:hideMark/>
          </w:tcPr>
          <w:p w14:paraId="26209BAD" w14:textId="77777777" w:rsidR="00DB4664" w:rsidRPr="00DB4664" w:rsidRDefault="00DB4664">
            <w:pPr>
              <w:jc w:val="center"/>
              <w:rPr>
                <w:sz w:val="16"/>
                <w:szCs w:val="16"/>
              </w:rPr>
            </w:pPr>
          </w:p>
        </w:tc>
        <w:tc>
          <w:tcPr>
            <w:tcW w:w="1420" w:type="dxa"/>
            <w:tcBorders>
              <w:top w:val="nil"/>
              <w:left w:val="nil"/>
              <w:bottom w:val="nil"/>
              <w:right w:val="nil"/>
            </w:tcBorders>
            <w:shd w:val="clear" w:color="auto" w:fill="auto"/>
            <w:noWrap/>
            <w:vAlign w:val="bottom"/>
            <w:hideMark/>
          </w:tcPr>
          <w:p w14:paraId="4C011097" w14:textId="77777777" w:rsidR="00DB4664" w:rsidRPr="00DB4664" w:rsidRDefault="00DB4664">
            <w:pPr>
              <w:rPr>
                <w:sz w:val="20"/>
                <w:szCs w:val="20"/>
              </w:rPr>
            </w:pPr>
          </w:p>
        </w:tc>
        <w:tc>
          <w:tcPr>
            <w:tcW w:w="1420" w:type="dxa"/>
            <w:tcBorders>
              <w:top w:val="nil"/>
              <w:left w:val="nil"/>
              <w:bottom w:val="nil"/>
              <w:right w:val="nil"/>
            </w:tcBorders>
            <w:shd w:val="clear" w:color="auto" w:fill="auto"/>
            <w:noWrap/>
            <w:vAlign w:val="bottom"/>
            <w:hideMark/>
          </w:tcPr>
          <w:p w14:paraId="5FE65B67" w14:textId="77777777" w:rsidR="00DB4664" w:rsidRPr="00DB4664" w:rsidRDefault="00DB4664">
            <w:pPr>
              <w:rPr>
                <w:sz w:val="20"/>
                <w:szCs w:val="20"/>
              </w:rPr>
            </w:pPr>
          </w:p>
        </w:tc>
        <w:tc>
          <w:tcPr>
            <w:tcW w:w="1420" w:type="dxa"/>
            <w:tcBorders>
              <w:top w:val="nil"/>
              <w:left w:val="nil"/>
              <w:bottom w:val="nil"/>
              <w:right w:val="nil"/>
            </w:tcBorders>
            <w:shd w:val="clear" w:color="auto" w:fill="auto"/>
            <w:noWrap/>
            <w:vAlign w:val="bottom"/>
            <w:hideMark/>
          </w:tcPr>
          <w:p w14:paraId="234D6380" w14:textId="77777777" w:rsidR="00DB4664" w:rsidRPr="00DB4664" w:rsidRDefault="00DB4664">
            <w:pPr>
              <w:rPr>
                <w:sz w:val="20"/>
                <w:szCs w:val="20"/>
              </w:rPr>
            </w:pPr>
          </w:p>
        </w:tc>
        <w:tc>
          <w:tcPr>
            <w:tcW w:w="1420" w:type="dxa"/>
            <w:tcBorders>
              <w:top w:val="nil"/>
              <w:left w:val="nil"/>
              <w:bottom w:val="nil"/>
              <w:right w:val="nil"/>
            </w:tcBorders>
            <w:shd w:val="clear" w:color="auto" w:fill="auto"/>
            <w:noWrap/>
            <w:vAlign w:val="bottom"/>
            <w:hideMark/>
          </w:tcPr>
          <w:p w14:paraId="6AEEDA3F" w14:textId="77777777" w:rsidR="00DB4664" w:rsidRPr="00DB4664" w:rsidRDefault="00DB4664">
            <w:pPr>
              <w:rPr>
                <w:sz w:val="20"/>
                <w:szCs w:val="20"/>
              </w:rPr>
            </w:pPr>
          </w:p>
        </w:tc>
      </w:tr>
      <w:tr w:rsidR="00DB4664" w:rsidRPr="00DB4664" w14:paraId="2AC3D82F" w14:textId="77777777" w:rsidTr="00DB4664">
        <w:trPr>
          <w:trHeight w:val="450"/>
        </w:trPr>
        <w:tc>
          <w:tcPr>
            <w:tcW w:w="960" w:type="dxa"/>
            <w:tcBorders>
              <w:top w:val="single" w:sz="4" w:space="0" w:color="auto"/>
              <w:left w:val="nil"/>
              <w:bottom w:val="single" w:sz="4" w:space="0" w:color="auto"/>
              <w:right w:val="nil"/>
            </w:tcBorders>
            <w:shd w:val="clear" w:color="auto" w:fill="auto"/>
            <w:vAlign w:val="bottom"/>
            <w:hideMark/>
          </w:tcPr>
          <w:p w14:paraId="037E2C5F" w14:textId="77777777" w:rsidR="00DB4664" w:rsidRPr="00DB4664" w:rsidRDefault="00DB4664">
            <w:pPr>
              <w:jc w:val="center"/>
              <w:rPr>
                <w:sz w:val="16"/>
                <w:szCs w:val="16"/>
              </w:rPr>
            </w:pPr>
            <w:r w:rsidRPr="00DB4664">
              <w:rPr>
                <w:sz w:val="16"/>
                <w:szCs w:val="16"/>
              </w:rPr>
              <w:t>godina</w:t>
            </w:r>
          </w:p>
        </w:tc>
        <w:tc>
          <w:tcPr>
            <w:tcW w:w="1420" w:type="dxa"/>
            <w:tcBorders>
              <w:top w:val="single" w:sz="4" w:space="0" w:color="auto"/>
              <w:left w:val="nil"/>
              <w:bottom w:val="single" w:sz="4" w:space="0" w:color="auto"/>
              <w:right w:val="nil"/>
            </w:tcBorders>
            <w:shd w:val="clear" w:color="auto" w:fill="auto"/>
            <w:vAlign w:val="bottom"/>
            <w:hideMark/>
          </w:tcPr>
          <w:p w14:paraId="1A78F7C1" w14:textId="77777777" w:rsidR="00DB4664" w:rsidRPr="00DB4664" w:rsidRDefault="00DB4664">
            <w:pPr>
              <w:jc w:val="center"/>
              <w:rPr>
                <w:sz w:val="16"/>
                <w:szCs w:val="16"/>
              </w:rPr>
            </w:pPr>
            <w:r w:rsidRPr="00DB4664">
              <w:rPr>
                <w:sz w:val="16"/>
                <w:szCs w:val="16"/>
              </w:rPr>
              <w:t>glavnica</w:t>
            </w:r>
          </w:p>
        </w:tc>
        <w:tc>
          <w:tcPr>
            <w:tcW w:w="1420" w:type="dxa"/>
            <w:tcBorders>
              <w:top w:val="single" w:sz="4" w:space="0" w:color="auto"/>
              <w:left w:val="nil"/>
              <w:bottom w:val="single" w:sz="4" w:space="0" w:color="auto"/>
              <w:right w:val="nil"/>
            </w:tcBorders>
            <w:shd w:val="clear" w:color="auto" w:fill="auto"/>
            <w:vAlign w:val="bottom"/>
            <w:hideMark/>
          </w:tcPr>
          <w:p w14:paraId="2DC56647" w14:textId="77777777" w:rsidR="00DB4664" w:rsidRPr="00DB4664" w:rsidRDefault="00DB4664">
            <w:pPr>
              <w:jc w:val="center"/>
              <w:rPr>
                <w:sz w:val="16"/>
                <w:szCs w:val="16"/>
              </w:rPr>
            </w:pPr>
            <w:r w:rsidRPr="00DB4664">
              <w:rPr>
                <w:sz w:val="16"/>
                <w:szCs w:val="16"/>
              </w:rPr>
              <w:t>kamate</w:t>
            </w:r>
          </w:p>
        </w:tc>
        <w:tc>
          <w:tcPr>
            <w:tcW w:w="1420" w:type="dxa"/>
            <w:tcBorders>
              <w:top w:val="single" w:sz="4" w:space="0" w:color="auto"/>
              <w:left w:val="nil"/>
              <w:bottom w:val="single" w:sz="4" w:space="0" w:color="auto"/>
              <w:right w:val="nil"/>
            </w:tcBorders>
            <w:shd w:val="clear" w:color="auto" w:fill="auto"/>
            <w:vAlign w:val="bottom"/>
            <w:hideMark/>
          </w:tcPr>
          <w:p w14:paraId="08F1905B" w14:textId="77777777" w:rsidR="00DB4664" w:rsidRPr="00DB4664" w:rsidRDefault="00DB4664">
            <w:pPr>
              <w:jc w:val="center"/>
              <w:rPr>
                <w:sz w:val="16"/>
                <w:szCs w:val="16"/>
              </w:rPr>
            </w:pPr>
            <w:r w:rsidRPr="00DB4664">
              <w:rPr>
                <w:sz w:val="16"/>
                <w:szCs w:val="16"/>
              </w:rPr>
              <w:t>ukupno</w:t>
            </w:r>
          </w:p>
        </w:tc>
        <w:tc>
          <w:tcPr>
            <w:tcW w:w="1420" w:type="dxa"/>
            <w:tcBorders>
              <w:top w:val="single" w:sz="4" w:space="0" w:color="auto"/>
              <w:left w:val="nil"/>
              <w:bottom w:val="single" w:sz="4" w:space="0" w:color="auto"/>
              <w:right w:val="nil"/>
            </w:tcBorders>
            <w:shd w:val="clear" w:color="auto" w:fill="auto"/>
            <w:vAlign w:val="bottom"/>
            <w:hideMark/>
          </w:tcPr>
          <w:p w14:paraId="363BAF60" w14:textId="77777777" w:rsidR="00DB4664" w:rsidRPr="00DB4664" w:rsidRDefault="00DB4664">
            <w:pPr>
              <w:jc w:val="center"/>
              <w:rPr>
                <w:sz w:val="16"/>
                <w:szCs w:val="16"/>
              </w:rPr>
            </w:pPr>
            <w:r w:rsidRPr="00DB4664">
              <w:rPr>
                <w:sz w:val="16"/>
                <w:szCs w:val="16"/>
              </w:rPr>
              <w:t>stanje kredita</w:t>
            </w:r>
          </w:p>
        </w:tc>
      </w:tr>
      <w:tr w:rsidR="00DB4664" w:rsidRPr="00DB4664" w14:paraId="03F2D293" w14:textId="77777777" w:rsidTr="00DB4664">
        <w:trPr>
          <w:trHeight w:val="255"/>
        </w:trPr>
        <w:tc>
          <w:tcPr>
            <w:tcW w:w="960" w:type="dxa"/>
            <w:tcBorders>
              <w:top w:val="nil"/>
              <w:left w:val="nil"/>
              <w:bottom w:val="nil"/>
              <w:right w:val="nil"/>
            </w:tcBorders>
            <w:shd w:val="clear" w:color="auto" w:fill="auto"/>
            <w:noWrap/>
            <w:vAlign w:val="bottom"/>
            <w:hideMark/>
          </w:tcPr>
          <w:p w14:paraId="3649428A" w14:textId="77777777" w:rsidR="00DB4664" w:rsidRPr="00DB4664" w:rsidRDefault="00DB4664">
            <w:pPr>
              <w:rPr>
                <w:sz w:val="16"/>
                <w:szCs w:val="16"/>
              </w:rPr>
            </w:pPr>
            <w:r w:rsidRPr="00DB4664">
              <w:rPr>
                <w:sz w:val="16"/>
                <w:szCs w:val="16"/>
              </w:rPr>
              <w:t>2020.</w:t>
            </w:r>
          </w:p>
        </w:tc>
        <w:tc>
          <w:tcPr>
            <w:tcW w:w="1420" w:type="dxa"/>
            <w:tcBorders>
              <w:top w:val="nil"/>
              <w:left w:val="nil"/>
              <w:bottom w:val="nil"/>
              <w:right w:val="nil"/>
            </w:tcBorders>
            <w:shd w:val="clear" w:color="auto" w:fill="auto"/>
            <w:noWrap/>
            <w:vAlign w:val="bottom"/>
            <w:hideMark/>
          </w:tcPr>
          <w:p w14:paraId="338A7C34" w14:textId="77777777" w:rsidR="00DB4664" w:rsidRPr="00DB4664" w:rsidRDefault="00DB4664">
            <w:pPr>
              <w:rPr>
                <w:sz w:val="16"/>
                <w:szCs w:val="16"/>
              </w:rPr>
            </w:pPr>
            <w:r w:rsidRPr="00DB4664">
              <w:rPr>
                <w:sz w:val="16"/>
                <w:szCs w:val="16"/>
              </w:rPr>
              <w:t xml:space="preserve">                      -      </w:t>
            </w:r>
          </w:p>
        </w:tc>
        <w:tc>
          <w:tcPr>
            <w:tcW w:w="1420" w:type="dxa"/>
            <w:tcBorders>
              <w:top w:val="nil"/>
              <w:left w:val="nil"/>
              <w:bottom w:val="nil"/>
              <w:right w:val="nil"/>
            </w:tcBorders>
            <w:shd w:val="clear" w:color="auto" w:fill="auto"/>
            <w:noWrap/>
            <w:vAlign w:val="bottom"/>
            <w:hideMark/>
          </w:tcPr>
          <w:p w14:paraId="62CBA916" w14:textId="77777777" w:rsidR="00DB4664" w:rsidRPr="00DB4664" w:rsidRDefault="00DB4664">
            <w:pPr>
              <w:rPr>
                <w:sz w:val="16"/>
                <w:szCs w:val="16"/>
              </w:rPr>
            </w:pPr>
            <w:r w:rsidRPr="00DB4664">
              <w:rPr>
                <w:sz w:val="16"/>
                <w:szCs w:val="16"/>
              </w:rPr>
              <w:t xml:space="preserve">           5.393,46    </w:t>
            </w:r>
          </w:p>
        </w:tc>
        <w:tc>
          <w:tcPr>
            <w:tcW w:w="1420" w:type="dxa"/>
            <w:tcBorders>
              <w:top w:val="nil"/>
              <w:left w:val="nil"/>
              <w:bottom w:val="nil"/>
              <w:right w:val="nil"/>
            </w:tcBorders>
            <w:shd w:val="clear" w:color="auto" w:fill="auto"/>
            <w:noWrap/>
            <w:vAlign w:val="bottom"/>
            <w:hideMark/>
          </w:tcPr>
          <w:p w14:paraId="3A2294CC" w14:textId="77777777" w:rsidR="00DB4664" w:rsidRPr="00DB4664" w:rsidRDefault="00DB4664">
            <w:pPr>
              <w:rPr>
                <w:sz w:val="16"/>
                <w:szCs w:val="16"/>
              </w:rPr>
            </w:pPr>
            <w:r w:rsidRPr="00DB4664">
              <w:rPr>
                <w:sz w:val="16"/>
                <w:szCs w:val="16"/>
              </w:rPr>
              <w:t xml:space="preserve">           5.393,46    </w:t>
            </w:r>
          </w:p>
        </w:tc>
        <w:tc>
          <w:tcPr>
            <w:tcW w:w="1420" w:type="dxa"/>
            <w:tcBorders>
              <w:top w:val="nil"/>
              <w:left w:val="nil"/>
              <w:bottom w:val="nil"/>
              <w:right w:val="nil"/>
            </w:tcBorders>
            <w:shd w:val="clear" w:color="auto" w:fill="auto"/>
            <w:noWrap/>
            <w:vAlign w:val="bottom"/>
            <w:hideMark/>
          </w:tcPr>
          <w:p w14:paraId="5BB32DD9" w14:textId="77777777" w:rsidR="00DB4664" w:rsidRPr="00DB4664" w:rsidRDefault="00DB4664">
            <w:pPr>
              <w:rPr>
                <w:sz w:val="16"/>
                <w:szCs w:val="16"/>
              </w:rPr>
            </w:pPr>
            <w:r w:rsidRPr="00DB4664">
              <w:rPr>
                <w:sz w:val="16"/>
                <w:szCs w:val="16"/>
              </w:rPr>
              <w:t xml:space="preserve">    2.696.730,00    </w:t>
            </w:r>
          </w:p>
        </w:tc>
      </w:tr>
      <w:tr w:rsidR="00DB4664" w:rsidRPr="00DB4664" w14:paraId="5A382F7E" w14:textId="77777777" w:rsidTr="00DB4664">
        <w:trPr>
          <w:trHeight w:val="255"/>
        </w:trPr>
        <w:tc>
          <w:tcPr>
            <w:tcW w:w="960" w:type="dxa"/>
            <w:tcBorders>
              <w:top w:val="nil"/>
              <w:left w:val="nil"/>
              <w:bottom w:val="nil"/>
              <w:right w:val="nil"/>
            </w:tcBorders>
            <w:shd w:val="clear" w:color="auto" w:fill="auto"/>
            <w:noWrap/>
            <w:vAlign w:val="bottom"/>
            <w:hideMark/>
          </w:tcPr>
          <w:p w14:paraId="158504BB" w14:textId="77777777" w:rsidR="00DB4664" w:rsidRPr="00DB4664" w:rsidRDefault="00DB4664">
            <w:pPr>
              <w:rPr>
                <w:sz w:val="16"/>
                <w:szCs w:val="16"/>
              </w:rPr>
            </w:pPr>
            <w:r w:rsidRPr="00DB4664">
              <w:rPr>
                <w:sz w:val="16"/>
                <w:szCs w:val="16"/>
              </w:rPr>
              <w:t>2021.</w:t>
            </w:r>
          </w:p>
        </w:tc>
        <w:tc>
          <w:tcPr>
            <w:tcW w:w="1420" w:type="dxa"/>
            <w:tcBorders>
              <w:top w:val="nil"/>
              <w:left w:val="nil"/>
              <w:bottom w:val="nil"/>
              <w:right w:val="nil"/>
            </w:tcBorders>
            <w:shd w:val="clear" w:color="auto" w:fill="auto"/>
            <w:noWrap/>
            <w:vAlign w:val="bottom"/>
            <w:hideMark/>
          </w:tcPr>
          <w:p w14:paraId="2B133DAC" w14:textId="77777777" w:rsidR="00DB4664" w:rsidRPr="00DB4664" w:rsidRDefault="00DB4664">
            <w:pPr>
              <w:rPr>
                <w:sz w:val="16"/>
                <w:szCs w:val="16"/>
              </w:rPr>
            </w:pPr>
            <w:r w:rsidRPr="00DB4664">
              <w:rPr>
                <w:sz w:val="16"/>
                <w:szCs w:val="16"/>
              </w:rPr>
              <w:t xml:space="preserve">                      -      </w:t>
            </w:r>
          </w:p>
        </w:tc>
        <w:tc>
          <w:tcPr>
            <w:tcW w:w="1420" w:type="dxa"/>
            <w:tcBorders>
              <w:top w:val="nil"/>
              <w:left w:val="nil"/>
              <w:bottom w:val="nil"/>
              <w:right w:val="nil"/>
            </w:tcBorders>
            <w:shd w:val="clear" w:color="auto" w:fill="auto"/>
            <w:noWrap/>
            <w:vAlign w:val="bottom"/>
            <w:hideMark/>
          </w:tcPr>
          <w:p w14:paraId="1C31AAC1" w14:textId="77777777" w:rsidR="00DB4664" w:rsidRPr="00DB4664" w:rsidRDefault="00DB4664">
            <w:pPr>
              <w:rPr>
                <w:sz w:val="16"/>
                <w:szCs w:val="16"/>
              </w:rPr>
            </w:pPr>
            <w:r w:rsidRPr="00DB4664">
              <w:rPr>
                <w:sz w:val="16"/>
                <w:szCs w:val="16"/>
              </w:rPr>
              <w:t xml:space="preserve">         32.360,54    </w:t>
            </w:r>
          </w:p>
        </w:tc>
        <w:tc>
          <w:tcPr>
            <w:tcW w:w="1420" w:type="dxa"/>
            <w:tcBorders>
              <w:top w:val="nil"/>
              <w:left w:val="nil"/>
              <w:bottom w:val="nil"/>
              <w:right w:val="nil"/>
            </w:tcBorders>
            <w:shd w:val="clear" w:color="auto" w:fill="auto"/>
            <w:noWrap/>
            <w:vAlign w:val="bottom"/>
            <w:hideMark/>
          </w:tcPr>
          <w:p w14:paraId="38707B97" w14:textId="77777777" w:rsidR="00DB4664" w:rsidRPr="00DB4664" w:rsidRDefault="00DB4664">
            <w:pPr>
              <w:rPr>
                <w:sz w:val="16"/>
                <w:szCs w:val="16"/>
              </w:rPr>
            </w:pPr>
            <w:r w:rsidRPr="00DB4664">
              <w:rPr>
                <w:sz w:val="16"/>
                <w:szCs w:val="16"/>
              </w:rPr>
              <w:t xml:space="preserve">         32.360,54    </w:t>
            </w:r>
          </w:p>
        </w:tc>
        <w:tc>
          <w:tcPr>
            <w:tcW w:w="1420" w:type="dxa"/>
            <w:tcBorders>
              <w:top w:val="nil"/>
              <w:left w:val="nil"/>
              <w:bottom w:val="nil"/>
              <w:right w:val="nil"/>
            </w:tcBorders>
            <w:shd w:val="clear" w:color="auto" w:fill="auto"/>
            <w:noWrap/>
            <w:vAlign w:val="bottom"/>
            <w:hideMark/>
          </w:tcPr>
          <w:p w14:paraId="4E4222A7" w14:textId="77777777" w:rsidR="00DB4664" w:rsidRPr="00DB4664" w:rsidRDefault="00DB4664">
            <w:pPr>
              <w:rPr>
                <w:sz w:val="16"/>
                <w:szCs w:val="16"/>
              </w:rPr>
            </w:pPr>
            <w:r w:rsidRPr="00DB4664">
              <w:rPr>
                <w:sz w:val="16"/>
                <w:szCs w:val="16"/>
              </w:rPr>
              <w:t xml:space="preserve">    2.696.730,00    </w:t>
            </w:r>
          </w:p>
        </w:tc>
      </w:tr>
      <w:tr w:rsidR="00DB4664" w:rsidRPr="00DB4664" w14:paraId="7B7A083B" w14:textId="77777777" w:rsidTr="00DB4664">
        <w:trPr>
          <w:trHeight w:val="255"/>
        </w:trPr>
        <w:tc>
          <w:tcPr>
            <w:tcW w:w="960" w:type="dxa"/>
            <w:tcBorders>
              <w:top w:val="nil"/>
              <w:left w:val="nil"/>
              <w:bottom w:val="nil"/>
              <w:right w:val="nil"/>
            </w:tcBorders>
            <w:shd w:val="clear" w:color="auto" w:fill="auto"/>
            <w:noWrap/>
            <w:vAlign w:val="bottom"/>
            <w:hideMark/>
          </w:tcPr>
          <w:p w14:paraId="3882D1E9" w14:textId="77777777" w:rsidR="00DB4664" w:rsidRPr="00DB4664" w:rsidRDefault="00DB4664">
            <w:pPr>
              <w:rPr>
                <w:sz w:val="16"/>
                <w:szCs w:val="16"/>
              </w:rPr>
            </w:pPr>
            <w:r w:rsidRPr="00DB4664">
              <w:rPr>
                <w:sz w:val="16"/>
                <w:szCs w:val="16"/>
              </w:rPr>
              <w:t>2022.</w:t>
            </w:r>
          </w:p>
        </w:tc>
        <w:tc>
          <w:tcPr>
            <w:tcW w:w="1420" w:type="dxa"/>
            <w:tcBorders>
              <w:top w:val="nil"/>
              <w:left w:val="nil"/>
              <w:bottom w:val="nil"/>
              <w:right w:val="nil"/>
            </w:tcBorders>
            <w:shd w:val="clear" w:color="auto" w:fill="auto"/>
            <w:noWrap/>
            <w:vAlign w:val="bottom"/>
            <w:hideMark/>
          </w:tcPr>
          <w:p w14:paraId="0DBBA905" w14:textId="77777777" w:rsidR="00DB4664" w:rsidRPr="00DB4664" w:rsidRDefault="00DB4664">
            <w:pPr>
              <w:rPr>
                <w:sz w:val="16"/>
                <w:szCs w:val="16"/>
              </w:rPr>
            </w:pPr>
            <w:r w:rsidRPr="00DB4664">
              <w:rPr>
                <w:sz w:val="16"/>
                <w:szCs w:val="16"/>
              </w:rPr>
              <w:t xml:space="preserve">       299.636,68    </w:t>
            </w:r>
          </w:p>
        </w:tc>
        <w:tc>
          <w:tcPr>
            <w:tcW w:w="1420" w:type="dxa"/>
            <w:tcBorders>
              <w:top w:val="nil"/>
              <w:left w:val="nil"/>
              <w:bottom w:val="nil"/>
              <w:right w:val="nil"/>
            </w:tcBorders>
            <w:shd w:val="clear" w:color="auto" w:fill="auto"/>
            <w:noWrap/>
            <w:vAlign w:val="bottom"/>
            <w:hideMark/>
          </w:tcPr>
          <w:p w14:paraId="734FE254" w14:textId="77777777" w:rsidR="00DB4664" w:rsidRPr="00DB4664" w:rsidRDefault="00DB4664">
            <w:pPr>
              <w:rPr>
                <w:sz w:val="16"/>
                <w:szCs w:val="16"/>
              </w:rPr>
            </w:pPr>
            <w:r w:rsidRPr="00DB4664">
              <w:rPr>
                <w:sz w:val="16"/>
                <w:szCs w:val="16"/>
              </w:rPr>
              <w:t xml:space="preserve">         30.407,79    </w:t>
            </w:r>
          </w:p>
        </w:tc>
        <w:tc>
          <w:tcPr>
            <w:tcW w:w="1420" w:type="dxa"/>
            <w:tcBorders>
              <w:top w:val="nil"/>
              <w:left w:val="nil"/>
              <w:bottom w:val="nil"/>
              <w:right w:val="nil"/>
            </w:tcBorders>
            <w:shd w:val="clear" w:color="auto" w:fill="auto"/>
            <w:noWrap/>
            <w:vAlign w:val="bottom"/>
            <w:hideMark/>
          </w:tcPr>
          <w:p w14:paraId="5AAAB596" w14:textId="77777777" w:rsidR="00DB4664" w:rsidRPr="00DB4664" w:rsidRDefault="00DB4664">
            <w:pPr>
              <w:rPr>
                <w:sz w:val="16"/>
                <w:szCs w:val="16"/>
              </w:rPr>
            </w:pPr>
            <w:r w:rsidRPr="00DB4664">
              <w:rPr>
                <w:sz w:val="16"/>
                <w:szCs w:val="16"/>
              </w:rPr>
              <w:t xml:space="preserve">       330.044,47    </w:t>
            </w:r>
          </w:p>
        </w:tc>
        <w:tc>
          <w:tcPr>
            <w:tcW w:w="1420" w:type="dxa"/>
            <w:tcBorders>
              <w:top w:val="nil"/>
              <w:left w:val="nil"/>
              <w:bottom w:val="nil"/>
              <w:right w:val="nil"/>
            </w:tcBorders>
            <w:shd w:val="clear" w:color="auto" w:fill="auto"/>
            <w:noWrap/>
            <w:vAlign w:val="bottom"/>
            <w:hideMark/>
          </w:tcPr>
          <w:p w14:paraId="62052C1C" w14:textId="77777777" w:rsidR="00DB4664" w:rsidRPr="00DB4664" w:rsidRDefault="00DB4664">
            <w:pPr>
              <w:rPr>
                <w:sz w:val="16"/>
                <w:szCs w:val="16"/>
              </w:rPr>
            </w:pPr>
            <w:r w:rsidRPr="00DB4664">
              <w:rPr>
                <w:sz w:val="16"/>
                <w:szCs w:val="16"/>
              </w:rPr>
              <w:t xml:space="preserve">    2.397.093,32    </w:t>
            </w:r>
          </w:p>
        </w:tc>
      </w:tr>
      <w:tr w:rsidR="00DB4664" w:rsidRPr="00DB4664" w14:paraId="66AE585E" w14:textId="77777777" w:rsidTr="00DB4664">
        <w:trPr>
          <w:trHeight w:val="255"/>
        </w:trPr>
        <w:tc>
          <w:tcPr>
            <w:tcW w:w="960" w:type="dxa"/>
            <w:tcBorders>
              <w:top w:val="nil"/>
              <w:left w:val="nil"/>
              <w:bottom w:val="nil"/>
              <w:right w:val="nil"/>
            </w:tcBorders>
            <w:shd w:val="clear" w:color="auto" w:fill="auto"/>
            <w:noWrap/>
            <w:vAlign w:val="bottom"/>
            <w:hideMark/>
          </w:tcPr>
          <w:p w14:paraId="139ACC60" w14:textId="77777777" w:rsidR="00DB4664" w:rsidRPr="00DB4664" w:rsidRDefault="00DB4664">
            <w:pPr>
              <w:rPr>
                <w:sz w:val="16"/>
                <w:szCs w:val="16"/>
              </w:rPr>
            </w:pPr>
            <w:r w:rsidRPr="00DB4664">
              <w:rPr>
                <w:sz w:val="16"/>
                <w:szCs w:val="16"/>
              </w:rPr>
              <w:t>2023.</w:t>
            </w:r>
          </w:p>
        </w:tc>
        <w:tc>
          <w:tcPr>
            <w:tcW w:w="1420" w:type="dxa"/>
            <w:tcBorders>
              <w:top w:val="nil"/>
              <w:left w:val="nil"/>
              <w:bottom w:val="nil"/>
              <w:right w:val="nil"/>
            </w:tcBorders>
            <w:shd w:val="clear" w:color="auto" w:fill="auto"/>
            <w:noWrap/>
            <w:vAlign w:val="bottom"/>
            <w:hideMark/>
          </w:tcPr>
          <w:p w14:paraId="349F4BFA" w14:textId="77777777" w:rsidR="00DB4664" w:rsidRPr="00DB4664" w:rsidRDefault="00DB4664">
            <w:pPr>
              <w:rPr>
                <w:sz w:val="16"/>
                <w:szCs w:val="16"/>
              </w:rPr>
            </w:pPr>
            <w:r w:rsidRPr="00DB4664">
              <w:rPr>
                <w:sz w:val="16"/>
                <w:szCs w:val="16"/>
              </w:rPr>
              <w:t xml:space="preserve">       299.636,68    </w:t>
            </w:r>
          </w:p>
        </w:tc>
        <w:tc>
          <w:tcPr>
            <w:tcW w:w="1420" w:type="dxa"/>
            <w:tcBorders>
              <w:top w:val="nil"/>
              <w:left w:val="nil"/>
              <w:bottom w:val="nil"/>
              <w:right w:val="nil"/>
            </w:tcBorders>
            <w:shd w:val="clear" w:color="auto" w:fill="auto"/>
            <w:noWrap/>
            <w:vAlign w:val="bottom"/>
            <w:hideMark/>
          </w:tcPr>
          <w:p w14:paraId="5E328C23" w14:textId="77777777" w:rsidR="00DB4664" w:rsidRPr="00DB4664" w:rsidRDefault="00DB4664">
            <w:pPr>
              <w:rPr>
                <w:sz w:val="16"/>
                <w:szCs w:val="16"/>
              </w:rPr>
            </w:pPr>
            <w:r w:rsidRPr="00DB4664">
              <w:rPr>
                <w:sz w:val="16"/>
                <w:szCs w:val="16"/>
              </w:rPr>
              <w:t xml:space="preserve">         26.812,14    </w:t>
            </w:r>
          </w:p>
        </w:tc>
        <w:tc>
          <w:tcPr>
            <w:tcW w:w="1420" w:type="dxa"/>
            <w:tcBorders>
              <w:top w:val="nil"/>
              <w:left w:val="nil"/>
              <w:bottom w:val="nil"/>
              <w:right w:val="nil"/>
            </w:tcBorders>
            <w:shd w:val="clear" w:color="auto" w:fill="auto"/>
            <w:noWrap/>
            <w:vAlign w:val="bottom"/>
            <w:hideMark/>
          </w:tcPr>
          <w:p w14:paraId="5436FE25" w14:textId="77777777" w:rsidR="00DB4664" w:rsidRPr="00DB4664" w:rsidRDefault="00DB4664">
            <w:pPr>
              <w:rPr>
                <w:sz w:val="16"/>
                <w:szCs w:val="16"/>
              </w:rPr>
            </w:pPr>
            <w:r w:rsidRPr="00DB4664">
              <w:rPr>
                <w:sz w:val="16"/>
                <w:szCs w:val="16"/>
              </w:rPr>
              <w:t xml:space="preserve">       326.448,82    </w:t>
            </w:r>
          </w:p>
        </w:tc>
        <w:tc>
          <w:tcPr>
            <w:tcW w:w="1420" w:type="dxa"/>
            <w:tcBorders>
              <w:top w:val="nil"/>
              <w:left w:val="nil"/>
              <w:bottom w:val="nil"/>
              <w:right w:val="nil"/>
            </w:tcBorders>
            <w:shd w:val="clear" w:color="auto" w:fill="auto"/>
            <w:noWrap/>
            <w:vAlign w:val="bottom"/>
            <w:hideMark/>
          </w:tcPr>
          <w:p w14:paraId="5CC0ACB4" w14:textId="77777777" w:rsidR="00DB4664" w:rsidRPr="00DB4664" w:rsidRDefault="00DB4664">
            <w:pPr>
              <w:rPr>
                <w:sz w:val="16"/>
                <w:szCs w:val="16"/>
              </w:rPr>
            </w:pPr>
            <w:r w:rsidRPr="00DB4664">
              <w:rPr>
                <w:sz w:val="16"/>
                <w:szCs w:val="16"/>
              </w:rPr>
              <w:t xml:space="preserve">    2.097.456,64    </w:t>
            </w:r>
          </w:p>
        </w:tc>
      </w:tr>
      <w:tr w:rsidR="00DB4664" w:rsidRPr="00DB4664" w14:paraId="05501BA3" w14:textId="77777777" w:rsidTr="00DB4664">
        <w:trPr>
          <w:trHeight w:val="255"/>
        </w:trPr>
        <w:tc>
          <w:tcPr>
            <w:tcW w:w="960" w:type="dxa"/>
            <w:tcBorders>
              <w:top w:val="nil"/>
              <w:left w:val="nil"/>
              <w:bottom w:val="nil"/>
              <w:right w:val="nil"/>
            </w:tcBorders>
            <w:shd w:val="clear" w:color="auto" w:fill="auto"/>
            <w:noWrap/>
            <w:vAlign w:val="bottom"/>
            <w:hideMark/>
          </w:tcPr>
          <w:p w14:paraId="49810C54" w14:textId="77777777" w:rsidR="00DB4664" w:rsidRPr="00DB4664" w:rsidRDefault="00DB4664">
            <w:pPr>
              <w:rPr>
                <w:sz w:val="16"/>
                <w:szCs w:val="16"/>
              </w:rPr>
            </w:pPr>
            <w:r w:rsidRPr="00DB4664">
              <w:rPr>
                <w:sz w:val="16"/>
                <w:szCs w:val="16"/>
              </w:rPr>
              <w:lastRenderedPageBreak/>
              <w:t>2024.</w:t>
            </w:r>
          </w:p>
        </w:tc>
        <w:tc>
          <w:tcPr>
            <w:tcW w:w="1420" w:type="dxa"/>
            <w:tcBorders>
              <w:top w:val="nil"/>
              <w:left w:val="nil"/>
              <w:bottom w:val="nil"/>
              <w:right w:val="nil"/>
            </w:tcBorders>
            <w:shd w:val="clear" w:color="auto" w:fill="auto"/>
            <w:noWrap/>
            <w:vAlign w:val="bottom"/>
            <w:hideMark/>
          </w:tcPr>
          <w:p w14:paraId="76C2C7DB" w14:textId="77777777" w:rsidR="00DB4664" w:rsidRPr="00DB4664" w:rsidRDefault="00DB4664">
            <w:pPr>
              <w:rPr>
                <w:sz w:val="16"/>
                <w:szCs w:val="16"/>
              </w:rPr>
            </w:pPr>
            <w:r w:rsidRPr="00DB4664">
              <w:rPr>
                <w:sz w:val="16"/>
                <w:szCs w:val="16"/>
              </w:rPr>
              <w:t xml:space="preserve">       299.636,68    </w:t>
            </w:r>
          </w:p>
        </w:tc>
        <w:tc>
          <w:tcPr>
            <w:tcW w:w="1420" w:type="dxa"/>
            <w:tcBorders>
              <w:top w:val="nil"/>
              <w:left w:val="nil"/>
              <w:bottom w:val="nil"/>
              <w:right w:val="nil"/>
            </w:tcBorders>
            <w:shd w:val="clear" w:color="auto" w:fill="auto"/>
            <w:noWrap/>
            <w:vAlign w:val="bottom"/>
            <w:hideMark/>
          </w:tcPr>
          <w:p w14:paraId="297A187E" w14:textId="77777777" w:rsidR="00DB4664" w:rsidRPr="00DB4664" w:rsidRDefault="00DB4664">
            <w:pPr>
              <w:rPr>
                <w:sz w:val="16"/>
                <w:szCs w:val="16"/>
              </w:rPr>
            </w:pPr>
            <w:r w:rsidRPr="00DB4664">
              <w:rPr>
                <w:sz w:val="16"/>
                <w:szCs w:val="16"/>
              </w:rPr>
              <w:t xml:space="preserve">         23.219,58    </w:t>
            </w:r>
          </w:p>
        </w:tc>
        <w:tc>
          <w:tcPr>
            <w:tcW w:w="1420" w:type="dxa"/>
            <w:tcBorders>
              <w:top w:val="nil"/>
              <w:left w:val="nil"/>
              <w:bottom w:val="nil"/>
              <w:right w:val="nil"/>
            </w:tcBorders>
            <w:shd w:val="clear" w:color="auto" w:fill="auto"/>
            <w:noWrap/>
            <w:vAlign w:val="bottom"/>
            <w:hideMark/>
          </w:tcPr>
          <w:p w14:paraId="4C0A5E08" w14:textId="77777777" w:rsidR="00DB4664" w:rsidRPr="00DB4664" w:rsidRDefault="00DB4664">
            <w:pPr>
              <w:rPr>
                <w:sz w:val="16"/>
                <w:szCs w:val="16"/>
              </w:rPr>
            </w:pPr>
            <w:r w:rsidRPr="00DB4664">
              <w:rPr>
                <w:sz w:val="16"/>
                <w:szCs w:val="16"/>
              </w:rPr>
              <w:t xml:space="preserve">       322.856,26    </w:t>
            </w:r>
          </w:p>
        </w:tc>
        <w:tc>
          <w:tcPr>
            <w:tcW w:w="1420" w:type="dxa"/>
            <w:tcBorders>
              <w:top w:val="nil"/>
              <w:left w:val="nil"/>
              <w:bottom w:val="nil"/>
              <w:right w:val="nil"/>
            </w:tcBorders>
            <w:shd w:val="clear" w:color="auto" w:fill="auto"/>
            <w:noWrap/>
            <w:vAlign w:val="bottom"/>
            <w:hideMark/>
          </w:tcPr>
          <w:p w14:paraId="44C644F4" w14:textId="77777777" w:rsidR="00DB4664" w:rsidRPr="00DB4664" w:rsidRDefault="00DB4664">
            <w:pPr>
              <w:rPr>
                <w:sz w:val="16"/>
                <w:szCs w:val="16"/>
              </w:rPr>
            </w:pPr>
            <w:r w:rsidRPr="00DB4664">
              <w:rPr>
                <w:sz w:val="16"/>
                <w:szCs w:val="16"/>
              </w:rPr>
              <w:t xml:space="preserve">    1.797.819,96    </w:t>
            </w:r>
          </w:p>
        </w:tc>
      </w:tr>
      <w:tr w:rsidR="00DB4664" w:rsidRPr="00DB4664" w14:paraId="4FD2065A" w14:textId="77777777" w:rsidTr="00DB4664">
        <w:trPr>
          <w:trHeight w:val="255"/>
        </w:trPr>
        <w:tc>
          <w:tcPr>
            <w:tcW w:w="960" w:type="dxa"/>
            <w:tcBorders>
              <w:top w:val="nil"/>
              <w:left w:val="nil"/>
              <w:bottom w:val="nil"/>
              <w:right w:val="nil"/>
            </w:tcBorders>
            <w:shd w:val="clear" w:color="auto" w:fill="auto"/>
            <w:noWrap/>
            <w:vAlign w:val="bottom"/>
            <w:hideMark/>
          </w:tcPr>
          <w:p w14:paraId="6D40EB44" w14:textId="77777777" w:rsidR="00DB4664" w:rsidRPr="00DB4664" w:rsidRDefault="00DB4664">
            <w:pPr>
              <w:rPr>
                <w:sz w:val="16"/>
                <w:szCs w:val="16"/>
              </w:rPr>
            </w:pPr>
            <w:r w:rsidRPr="00DB4664">
              <w:rPr>
                <w:sz w:val="16"/>
                <w:szCs w:val="16"/>
              </w:rPr>
              <w:t>2025.</w:t>
            </w:r>
          </w:p>
        </w:tc>
        <w:tc>
          <w:tcPr>
            <w:tcW w:w="1420" w:type="dxa"/>
            <w:tcBorders>
              <w:top w:val="nil"/>
              <w:left w:val="nil"/>
              <w:bottom w:val="nil"/>
              <w:right w:val="nil"/>
            </w:tcBorders>
            <w:shd w:val="clear" w:color="auto" w:fill="auto"/>
            <w:noWrap/>
            <w:vAlign w:val="bottom"/>
            <w:hideMark/>
          </w:tcPr>
          <w:p w14:paraId="6E8E929A" w14:textId="77777777" w:rsidR="00DB4664" w:rsidRPr="00DB4664" w:rsidRDefault="00DB4664">
            <w:pPr>
              <w:rPr>
                <w:sz w:val="16"/>
                <w:szCs w:val="16"/>
              </w:rPr>
            </w:pPr>
            <w:r w:rsidRPr="00DB4664">
              <w:rPr>
                <w:sz w:val="16"/>
                <w:szCs w:val="16"/>
              </w:rPr>
              <w:t xml:space="preserve">       299.636,68    </w:t>
            </w:r>
          </w:p>
        </w:tc>
        <w:tc>
          <w:tcPr>
            <w:tcW w:w="1420" w:type="dxa"/>
            <w:tcBorders>
              <w:top w:val="nil"/>
              <w:left w:val="nil"/>
              <w:bottom w:val="nil"/>
              <w:right w:val="nil"/>
            </w:tcBorders>
            <w:shd w:val="clear" w:color="auto" w:fill="auto"/>
            <w:noWrap/>
            <w:vAlign w:val="bottom"/>
            <w:hideMark/>
          </w:tcPr>
          <w:p w14:paraId="6E9B045F" w14:textId="77777777" w:rsidR="00DB4664" w:rsidRPr="00DB4664" w:rsidRDefault="00DB4664">
            <w:pPr>
              <w:rPr>
                <w:sz w:val="16"/>
                <w:szCs w:val="16"/>
              </w:rPr>
            </w:pPr>
            <w:r w:rsidRPr="00DB4664">
              <w:rPr>
                <w:sz w:val="16"/>
                <w:szCs w:val="16"/>
              </w:rPr>
              <w:t xml:space="preserve">         19.620,70    </w:t>
            </w:r>
          </w:p>
        </w:tc>
        <w:tc>
          <w:tcPr>
            <w:tcW w:w="1420" w:type="dxa"/>
            <w:tcBorders>
              <w:top w:val="nil"/>
              <w:left w:val="nil"/>
              <w:bottom w:val="nil"/>
              <w:right w:val="nil"/>
            </w:tcBorders>
            <w:shd w:val="clear" w:color="auto" w:fill="auto"/>
            <w:noWrap/>
            <w:vAlign w:val="bottom"/>
            <w:hideMark/>
          </w:tcPr>
          <w:p w14:paraId="4C03960A" w14:textId="77777777" w:rsidR="00DB4664" w:rsidRPr="00DB4664" w:rsidRDefault="00DB4664">
            <w:pPr>
              <w:rPr>
                <w:sz w:val="16"/>
                <w:szCs w:val="16"/>
              </w:rPr>
            </w:pPr>
            <w:r w:rsidRPr="00DB4664">
              <w:rPr>
                <w:sz w:val="16"/>
                <w:szCs w:val="16"/>
              </w:rPr>
              <w:t xml:space="preserve">       319.257,38    </w:t>
            </w:r>
          </w:p>
        </w:tc>
        <w:tc>
          <w:tcPr>
            <w:tcW w:w="1420" w:type="dxa"/>
            <w:tcBorders>
              <w:top w:val="nil"/>
              <w:left w:val="nil"/>
              <w:bottom w:val="nil"/>
              <w:right w:val="nil"/>
            </w:tcBorders>
            <w:shd w:val="clear" w:color="auto" w:fill="auto"/>
            <w:noWrap/>
            <w:vAlign w:val="bottom"/>
            <w:hideMark/>
          </w:tcPr>
          <w:p w14:paraId="409FDC44" w14:textId="77777777" w:rsidR="00DB4664" w:rsidRPr="00DB4664" w:rsidRDefault="00DB4664">
            <w:pPr>
              <w:rPr>
                <w:sz w:val="16"/>
                <w:szCs w:val="16"/>
              </w:rPr>
            </w:pPr>
            <w:r w:rsidRPr="00DB4664">
              <w:rPr>
                <w:sz w:val="16"/>
                <w:szCs w:val="16"/>
              </w:rPr>
              <w:t xml:space="preserve">    1.498.183,28    </w:t>
            </w:r>
          </w:p>
        </w:tc>
      </w:tr>
      <w:tr w:rsidR="00DB4664" w:rsidRPr="00DB4664" w14:paraId="5BF66C69" w14:textId="77777777" w:rsidTr="00DB4664">
        <w:trPr>
          <w:trHeight w:val="255"/>
        </w:trPr>
        <w:tc>
          <w:tcPr>
            <w:tcW w:w="960" w:type="dxa"/>
            <w:tcBorders>
              <w:top w:val="nil"/>
              <w:left w:val="nil"/>
              <w:bottom w:val="nil"/>
              <w:right w:val="nil"/>
            </w:tcBorders>
            <w:shd w:val="clear" w:color="auto" w:fill="auto"/>
            <w:noWrap/>
            <w:vAlign w:val="bottom"/>
            <w:hideMark/>
          </w:tcPr>
          <w:p w14:paraId="474A88E1" w14:textId="77777777" w:rsidR="00DB4664" w:rsidRPr="00DB4664" w:rsidRDefault="00DB4664">
            <w:pPr>
              <w:rPr>
                <w:sz w:val="16"/>
                <w:szCs w:val="16"/>
              </w:rPr>
            </w:pPr>
            <w:r w:rsidRPr="00DB4664">
              <w:rPr>
                <w:sz w:val="16"/>
                <w:szCs w:val="16"/>
              </w:rPr>
              <w:t>2026.</w:t>
            </w:r>
          </w:p>
        </w:tc>
        <w:tc>
          <w:tcPr>
            <w:tcW w:w="1420" w:type="dxa"/>
            <w:tcBorders>
              <w:top w:val="nil"/>
              <w:left w:val="nil"/>
              <w:bottom w:val="nil"/>
              <w:right w:val="nil"/>
            </w:tcBorders>
            <w:shd w:val="clear" w:color="auto" w:fill="auto"/>
            <w:noWrap/>
            <w:vAlign w:val="bottom"/>
            <w:hideMark/>
          </w:tcPr>
          <w:p w14:paraId="117205F2" w14:textId="77777777" w:rsidR="00DB4664" w:rsidRPr="00DB4664" w:rsidRDefault="00DB4664">
            <w:pPr>
              <w:rPr>
                <w:sz w:val="16"/>
                <w:szCs w:val="16"/>
              </w:rPr>
            </w:pPr>
            <w:r w:rsidRPr="00DB4664">
              <w:rPr>
                <w:sz w:val="16"/>
                <w:szCs w:val="16"/>
              </w:rPr>
              <w:t xml:space="preserve">       299.636,68    </w:t>
            </w:r>
          </w:p>
        </w:tc>
        <w:tc>
          <w:tcPr>
            <w:tcW w:w="1420" w:type="dxa"/>
            <w:tcBorders>
              <w:top w:val="nil"/>
              <w:left w:val="nil"/>
              <w:bottom w:val="nil"/>
              <w:right w:val="nil"/>
            </w:tcBorders>
            <w:shd w:val="clear" w:color="auto" w:fill="auto"/>
            <w:noWrap/>
            <w:vAlign w:val="bottom"/>
            <w:hideMark/>
          </w:tcPr>
          <w:p w14:paraId="5E5ABF19" w14:textId="77777777" w:rsidR="00DB4664" w:rsidRPr="00DB4664" w:rsidRDefault="00DB4664">
            <w:pPr>
              <w:rPr>
                <w:sz w:val="16"/>
                <w:szCs w:val="16"/>
              </w:rPr>
            </w:pPr>
            <w:r w:rsidRPr="00DB4664">
              <w:rPr>
                <w:sz w:val="16"/>
                <w:szCs w:val="16"/>
              </w:rPr>
              <w:t xml:space="preserve">         16.025,22    </w:t>
            </w:r>
          </w:p>
        </w:tc>
        <w:tc>
          <w:tcPr>
            <w:tcW w:w="1420" w:type="dxa"/>
            <w:tcBorders>
              <w:top w:val="nil"/>
              <w:left w:val="nil"/>
              <w:bottom w:val="nil"/>
              <w:right w:val="nil"/>
            </w:tcBorders>
            <w:shd w:val="clear" w:color="auto" w:fill="auto"/>
            <w:noWrap/>
            <w:vAlign w:val="bottom"/>
            <w:hideMark/>
          </w:tcPr>
          <w:p w14:paraId="5A620609" w14:textId="77777777" w:rsidR="00DB4664" w:rsidRPr="00DB4664" w:rsidRDefault="00DB4664">
            <w:pPr>
              <w:rPr>
                <w:sz w:val="16"/>
                <w:szCs w:val="16"/>
              </w:rPr>
            </w:pPr>
            <w:r w:rsidRPr="00DB4664">
              <w:rPr>
                <w:sz w:val="16"/>
                <w:szCs w:val="16"/>
              </w:rPr>
              <w:t xml:space="preserve">       315.661,90    </w:t>
            </w:r>
          </w:p>
        </w:tc>
        <w:tc>
          <w:tcPr>
            <w:tcW w:w="1420" w:type="dxa"/>
            <w:tcBorders>
              <w:top w:val="nil"/>
              <w:left w:val="nil"/>
              <w:bottom w:val="nil"/>
              <w:right w:val="nil"/>
            </w:tcBorders>
            <w:shd w:val="clear" w:color="auto" w:fill="auto"/>
            <w:noWrap/>
            <w:vAlign w:val="bottom"/>
            <w:hideMark/>
          </w:tcPr>
          <w:p w14:paraId="7D8E6CF2" w14:textId="77777777" w:rsidR="00DB4664" w:rsidRPr="00DB4664" w:rsidRDefault="00DB4664">
            <w:pPr>
              <w:rPr>
                <w:sz w:val="16"/>
                <w:szCs w:val="16"/>
              </w:rPr>
            </w:pPr>
            <w:r w:rsidRPr="00DB4664">
              <w:rPr>
                <w:sz w:val="16"/>
                <w:szCs w:val="16"/>
              </w:rPr>
              <w:t xml:space="preserve">    1.198.546,60    </w:t>
            </w:r>
          </w:p>
        </w:tc>
      </w:tr>
      <w:tr w:rsidR="00DB4664" w:rsidRPr="00DB4664" w14:paraId="744282A0" w14:textId="77777777" w:rsidTr="00DB4664">
        <w:trPr>
          <w:trHeight w:val="255"/>
        </w:trPr>
        <w:tc>
          <w:tcPr>
            <w:tcW w:w="960" w:type="dxa"/>
            <w:tcBorders>
              <w:top w:val="nil"/>
              <w:left w:val="nil"/>
              <w:bottom w:val="nil"/>
              <w:right w:val="nil"/>
            </w:tcBorders>
            <w:shd w:val="clear" w:color="auto" w:fill="auto"/>
            <w:noWrap/>
            <w:vAlign w:val="bottom"/>
            <w:hideMark/>
          </w:tcPr>
          <w:p w14:paraId="17A9D296" w14:textId="77777777" w:rsidR="00DB4664" w:rsidRPr="00DB4664" w:rsidRDefault="00DB4664">
            <w:pPr>
              <w:rPr>
                <w:sz w:val="16"/>
                <w:szCs w:val="16"/>
              </w:rPr>
            </w:pPr>
            <w:r w:rsidRPr="00DB4664">
              <w:rPr>
                <w:sz w:val="16"/>
                <w:szCs w:val="16"/>
              </w:rPr>
              <w:t>2027.</w:t>
            </w:r>
          </w:p>
        </w:tc>
        <w:tc>
          <w:tcPr>
            <w:tcW w:w="1420" w:type="dxa"/>
            <w:tcBorders>
              <w:top w:val="nil"/>
              <w:left w:val="nil"/>
              <w:bottom w:val="nil"/>
              <w:right w:val="nil"/>
            </w:tcBorders>
            <w:shd w:val="clear" w:color="auto" w:fill="auto"/>
            <w:noWrap/>
            <w:vAlign w:val="bottom"/>
            <w:hideMark/>
          </w:tcPr>
          <w:p w14:paraId="6900812F" w14:textId="77777777" w:rsidR="00DB4664" w:rsidRPr="00DB4664" w:rsidRDefault="00DB4664">
            <w:pPr>
              <w:rPr>
                <w:sz w:val="16"/>
                <w:szCs w:val="16"/>
              </w:rPr>
            </w:pPr>
            <w:r w:rsidRPr="00DB4664">
              <w:rPr>
                <w:sz w:val="16"/>
                <w:szCs w:val="16"/>
              </w:rPr>
              <w:t xml:space="preserve">       299.636,68    </w:t>
            </w:r>
          </w:p>
        </w:tc>
        <w:tc>
          <w:tcPr>
            <w:tcW w:w="1420" w:type="dxa"/>
            <w:tcBorders>
              <w:top w:val="nil"/>
              <w:left w:val="nil"/>
              <w:bottom w:val="nil"/>
              <w:right w:val="nil"/>
            </w:tcBorders>
            <w:shd w:val="clear" w:color="auto" w:fill="auto"/>
            <w:noWrap/>
            <w:vAlign w:val="bottom"/>
            <w:hideMark/>
          </w:tcPr>
          <w:p w14:paraId="5368C6DC" w14:textId="77777777" w:rsidR="00DB4664" w:rsidRPr="00DB4664" w:rsidRDefault="00DB4664">
            <w:pPr>
              <w:rPr>
                <w:sz w:val="16"/>
                <w:szCs w:val="16"/>
              </w:rPr>
            </w:pPr>
            <w:r w:rsidRPr="00DB4664">
              <w:rPr>
                <w:sz w:val="16"/>
                <w:szCs w:val="16"/>
              </w:rPr>
              <w:t xml:space="preserve">         12.429,60    </w:t>
            </w:r>
          </w:p>
        </w:tc>
        <w:tc>
          <w:tcPr>
            <w:tcW w:w="1420" w:type="dxa"/>
            <w:tcBorders>
              <w:top w:val="nil"/>
              <w:left w:val="nil"/>
              <w:bottom w:val="nil"/>
              <w:right w:val="nil"/>
            </w:tcBorders>
            <w:shd w:val="clear" w:color="auto" w:fill="auto"/>
            <w:noWrap/>
            <w:vAlign w:val="bottom"/>
            <w:hideMark/>
          </w:tcPr>
          <w:p w14:paraId="75A1B724" w14:textId="77777777" w:rsidR="00DB4664" w:rsidRPr="00DB4664" w:rsidRDefault="00DB4664">
            <w:pPr>
              <w:rPr>
                <w:sz w:val="16"/>
                <w:szCs w:val="16"/>
              </w:rPr>
            </w:pPr>
            <w:r w:rsidRPr="00DB4664">
              <w:rPr>
                <w:sz w:val="16"/>
                <w:szCs w:val="16"/>
              </w:rPr>
              <w:t xml:space="preserve">       312.066,28    </w:t>
            </w:r>
          </w:p>
        </w:tc>
        <w:tc>
          <w:tcPr>
            <w:tcW w:w="1420" w:type="dxa"/>
            <w:tcBorders>
              <w:top w:val="nil"/>
              <w:left w:val="nil"/>
              <w:bottom w:val="nil"/>
              <w:right w:val="nil"/>
            </w:tcBorders>
            <w:shd w:val="clear" w:color="auto" w:fill="auto"/>
            <w:noWrap/>
            <w:vAlign w:val="bottom"/>
            <w:hideMark/>
          </w:tcPr>
          <w:p w14:paraId="57FBDC62" w14:textId="77777777" w:rsidR="00DB4664" w:rsidRPr="00DB4664" w:rsidRDefault="00DB4664">
            <w:pPr>
              <w:rPr>
                <w:sz w:val="16"/>
                <w:szCs w:val="16"/>
              </w:rPr>
            </w:pPr>
            <w:r w:rsidRPr="00DB4664">
              <w:rPr>
                <w:sz w:val="16"/>
                <w:szCs w:val="16"/>
              </w:rPr>
              <w:t xml:space="preserve">       898.909,92    </w:t>
            </w:r>
          </w:p>
        </w:tc>
      </w:tr>
      <w:tr w:rsidR="00DB4664" w:rsidRPr="00DB4664" w14:paraId="40F71A34" w14:textId="77777777" w:rsidTr="00DB4664">
        <w:trPr>
          <w:trHeight w:val="255"/>
        </w:trPr>
        <w:tc>
          <w:tcPr>
            <w:tcW w:w="960" w:type="dxa"/>
            <w:tcBorders>
              <w:top w:val="nil"/>
              <w:left w:val="nil"/>
              <w:bottom w:val="nil"/>
              <w:right w:val="nil"/>
            </w:tcBorders>
            <w:shd w:val="clear" w:color="auto" w:fill="auto"/>
            <w:noWrap/>
            <w:vAlign w:val="bottom"/>
            <w:hideMark/>
          </w:tcPr>
          <w:p w14:paraId="369A2AF6" w14:textId="77777777" w:rsidR="00DB4664" w:rsidRPr="00DB4664" w:rsidRDefault="00DB4664">
            <w:pPr>
              <w:rPr>
                <w:sz w:val="16"/>
                <w:szCs w:val="16"/>
              </w:rPr>
            </w:pPr>
            <w:r w:rsidRPr="00DB4664">
              <w:rPr>
                <w:sz w:val="16"/>
                <w:szCs w:val="16"/>
              </w:rPr>
              <w:t>2028.</w:t>
            </w:r>
          </w:p>
        </w:tc>
        <w:tc>
          <w:tcPr>
            <w:tcW w:w="1420" w:type="dxa"/>
            <w:tcBorders>
              <w:top w:val="nil"/>
              <w:left w:val="nil"/>
              <w:bottom w:val="nil"/>
              <w:right w:val="nil"/>
            </w:tcBorders>
            <w:shd w:val="clear" w:color="auto" w:fill="auto"/>
            <w:noWrap/>
            <w:vAlign w:val="bottom"/>
            <w:hideMark/>
          </w:tcPr>
          <w:p w14:paraId="536EFC81" w14:textId="77777777" w:rsidR="00DB4664" w:rsidRPr="00DB4664" w:rsidRDefault="00DB4664">
            <w:pPr>
              <w:rPr>
                <w:sz w:val="16"/>
                <w:szCs w:val="16"/>
              </w:rPr>
            </w:pPr>
            <w:r w:rsidRPr="00DB4664">
              <w:rPr>
                <w:sz w:val="16"/>
                <w:szCs w:val="16"/>
              </w:rPr>
              <w:t xml:space="preserve">       299.636,68    </w:t>
            </w:r>
          </w:p>
        </w:tc>
        <w:tc>
          <w:tcPr>
            <w:tcW w:w="1420" w:type="dxa"/>
            <w:tcBorders>
              <w:top w:val="nil"/>
              <w:left w:val="nil"/>
              <w:bottom w:val="nil"/>
              <w:right w:val="nil"/>
            </w:tcBorders>
            <w:shd w:val="clear" w:color="auto" w:fill="auto"/>
            <w:noWrap/>
            <w:vAlign w:val="bottom"/>
            <w:hideMark/>
          </w:tcPr>
          <w:p w14:paraId="63D9B23C" w14:textId="77777777" w:rsidR="00DB4664" w:rsidRPr="00DB4664" w:rsidRDefault="00DB4664">
            <w:pPr>
              <w:rPr>
                <w:sz w:val="16"/>
                <w:szCs w:val="16"/>
              </w:rPr>
            </w:pPr>
            <w:r w:rsidRPr="00DB4664">
              <w:rPr>
                <w:sz w:val="16"/>
                <w:szCs w:val="16"/>
              </w:rPr>
              <w:t xml:space="preserve">           8.836,89    </w:t>
            </w:r>
          </w:p>
        </w:tc>
        <w:tc>
          <w:tcPr>
            <w:tcW w:w="1420" w:type="dxa"/>
            <w:tcBorders>
              <w:top w:val="nil"/>
              <w:left w:val="nil"/>
              <w:bottom w:val="nil"/>
              <w:right w:val="nil"/>
            </w:tcBorders>
            <w:shd w:val="clear" w:color="auto" w:fill="auto"/>
            <w:noWrap/>
            <w:vAlign w:val="bottom"/>
            <w:hideMark/>
          </w:tcPr>
          <w:p w14:paraId="31978BAD" w14:textId="77777777" w:rsidR="00DB4664" w:rsidRPr="00DB4664" w:rsidRDefault="00DB4664">
            <w:pPr>
              <w:rPr>
                <w:sz w:val="16"/>
                <w:szCs w:val="16"/>
              </w:rPr>
            </w:pPr>
            <w:r w:rsidRPr="00DB4664">
              <w:rPr>
                <w:sz w:val="16"/>
                <w:szCs w:val="16"/>
              </w:rPr>
              <w:t xml:space="preserve">       308.473,57    </w:t>
            </w:r>
          </w:p>
        </w:tc>
        <w:tc>
          <w:tcPr>
            <w:tcW w:w="1420" w:type="dxa"/>
            <w:tcBorders>
              <w:top w:val="nil"/>
              <w:left w:val="nil"/>
              <w:bottom w:val="nil"/>
              <w:right w:val="nil"/>
            </w:tcBorders>
            <w:shd w:val="clear" w:color="auto" w:fill="auto"/>
            <w:noWrap/>
            <w:vAlign w:val="bottom"/>
            <w:hideMark/>
          </w:tcPr>
          <w:p w14:paraId="1DD64A8F" w14:textId="77777777" w:rsidR="00DB4664" w:rsidRPr="00DB4664" w:rsidRDefault="00DB4664">
            <w:pPr>
              <w:rPr>
                <w:sz w:val="16"/>
                <w:szCs w:val="16"/>
              </w:rPr>
            </w:pPr>
            <w:r w:rsidRPr="00DB4664">
              <w:rPr>
                <w:sz w:val="16"/>
                <w:szCs w:val="16"/>
              </w:rPr>
              <w:t xml:space="preserve">       599.273,24    </w:t>
            </w:r>
          </w:p>
        </w:tc>
      </w:tr>
      <w:tr w:rsidR="00DB4664" w:rsidRPr="00DB4664" w14:paraId="0302FCB8" w14:textId="77777777" w:rsidTr="00DB4664">
        <w:trPr>
          <w:trHeight w:val="255"/>
        </w:trPr>
        <w:tc>
          <w:tcPr>
            <w:tcW w:w="960" w:type="dxa"/>
            <w:tcBorders>
              <w:top w:val="nil"/>
              <w:left w:val="nil"/>
              <w:bottom w:val="nil"/>
              <w:right w:val="nil"/>
            </w:tcBorders>
            <w:shd w:val="clear" w:color="auto" w:fill="auto"/>
            <w:noWrap/>
            <w:vAlign w:val="bottom"/>
            <w:hideMark/>
          </w:tcPr>
          <w:p w14:paraId="62B516F4" w14:textId="77777777" w:rsidR="00DB4664" w:rsidRPr="00DB4664" w:rsidRDefault="00DB4664">
            <w:pPr>
              <w:rPr>
                <w:sz w:val="16"/>
                <w:szCs w:val="16"/>
              </w:rPr>
            </w:pPr>
            <w:r w:rsidRPr="00DB4664">
              <w:rPr>
                <w:sz w:val="16"/>
                <w:szCs w:val="16"/>
              </w:rPr>
              <w:t>2029.</w:t>
            </w:r>
          </w:p>
        </w:tc>
        <w:tc>
          <w:tcPr>
            <w:tcW w:w="1420" w:type="dxa"/>
            <w:tcBorders>
              <w:top w:val="nil"/>
              <w:left w:val="nil"/>
              <w:bottom w:val="nil"/>
              <w:right w:val="nil"/>
            </w:tcBorders>
            <w:shd w:val="clear" w:color="auto" w:fill="auto"/>
            <w:noWrap/>
            <w:vAlign w:val="bottom"/>
            <w:hideMark/>
          </w:tcPr>
          <w:p w14:paraId="583E7537" w14:textId="77777777" w:rsidR="00DB4664" w:rsidRPr="00DB4664" w:rsidRDefault="00DB4664">
            <w:pPr>
              <w:rPr>
                <w:sz w:val="16"/>
                <w:szCs w:val="16"/>
              </w:rPr>
            </w:pPr>
            <w:r w:rsidRPr="00DB4664">
              <w:rPr>
                <w:sz w:val="16"/>
                <w:szCs w:val="16"/>
              </w:rPr>
              <w:t xml:space="preserve">       299.636,68    </w:t>
            </w:r>
          </w:p>
        </w:tc>
        <w:tc>
          <w:tcPr>
            <w:tcW w:w="1420" w:type="dxa"/>
            <w:tcBorders>
              <w:top w:val="nil"/>
              <w:left w:val="nil"/>
              <w:bottom w:val="nil"/>
              <w:right w:val="nil"/>
            </w:tcBorders>
            <w:shd w:val="clear" w:color="auto" w:fill="auto"/>
            <w:noWrap/>
            <w:vAlign w:val="bottom"/>
            <w:hideMark/>
          </w:tcPr>
          <w:p w14:paraId="6F23B25E" w14:textId="77777777" w:rsidR="00DB4664" w:rsidRPr="00DB4664" w:rsidRDefault="00DB4664">
            <w:pPr>
              <w:rPr>
                <w:sz w:val="16"/>
                <w:szCs w:val="16"/>
              </w:rPr>
            </w:pPr>
            <w:r w:rsidRPr="00DB4664">
              <w:rPr>
                <w:sz w:val="16"/>
                <w:szCs w:val="16"/>
              </w:rPr>
              <w:t xml:space="preserve">           5.238,23    </w:t>
            </w:r>
          </w:p>
        </w:tc>
        <w:tc>
          <w:tcPr>
            <w:tcW w:w="1420" w:type="dxa"/>
            <w:tcBorders>
              <w:top w:val="nil"/>
              <w:left w:val="nil"/>
              <w:bottom w:val="nil"/>
              <w:right w:val="nil"/>
            </w:tcBorders>
            <w:shd w:val="clear" w:color="auto" w:fill="auto"/>
            <w:noWrap/>
            <w:vAlign w:val="bottom"/>
            <w:hideMark/>
          </w:tcPr>
          <w:p w14:paraId="477EB5DC" w14:textId="77777777" w:rsidR="00DB4664" w:rsidRPr="00DB4664" w:rsidRDefault="00DB4664">
            <w:pPr>
              <w:rPr>
                <w:sz w:val="16"/>
                <w:szCs w:val="16"/>
              </w:rPr>
            </w:pPr>
            <w:r w:rsidRPr="00DB4664">
              <w:rPr>
                <w:sz w:val="16"/>
                <w:szCs w:val="16"/>
              </w:rPr>
              <w:t xml:space="preserve">       304.874,91    </w:t>
            </w:r>
          </w:p>
        </w:tc>
        <w:tc>
          <w:tcPr>
            <w:tcW w:w="1420" w:type="dxa"/>
            <w:tcBorders>
              <w:top w:val="nil"/>
              <w:left w:val="nil"/>
              <w:bottom w:val="nil"/>
              <w:right w:val="nil"/>
            </w:tcBorders>
            <w:shd w:val="clear" w:color="auto" w:fill="auto"/>
            <w:noWrap/>
            <w:vAlign w:val="bottom"/>
            <w:hideMark/>
          </w:tcPr>
          <w:p w14:paraId="6313A08C" w14:textId="77777777" w:rsidR="00DB4664" w:rsidRPr="00DB4664" w:rsidRDefault="00DB4664">
            <w:pPr>
              <w:rPr>
                <w:sz w:val="16"/>
                <w:szCs w:val="16"/>
              </w:rPr>
            </w:pPr>
            <w:r w:rsidRPr="00DB4664">
              <w:rPr>
                <w:sz w:val="16"/>
                <w:szCs w:val="16"/>
              </w:rPr>
              <w:t xml:space="preserve">       299.636,56    </w:t>
            </w:r>
          </w:p>
        </w:tc>
      </w:tr>
      <w:tr w:rsidR="00DB4664" w:rsidRPr="00DB4664" w14:paraId="091DDC82" w14:textId="77777777" w:rsidTr="00DB4664">
        <w:trPr>
          <w:trHeight w:val="255"/>
        </w:trPr>
        <w:tc>
          <w:tcPr>
            <w:tcW w:w="960" w:type="dxa"/>
            <w:tcBorders>
              <w:top w:val="nil"/>
              <w:left w:val="nil"/>
              <w:bottom w:val="nil"/>
              <w:right w:val="nil"/>
            </w:tcBorders>
            <w:shd w:val="clear" w:color="auto" w:fill="auto"/>
            <w:noWrap/>
            <w:vAlign w:val="bottom"/>
            <w:hideMark/>
          </w:tcPr>
          <w:p w14:paraId="24A5DADD" w14:textId="77777777" w:rsidR="00DB4664" w:rsidRPr="00DB4664" w:rsidRDefault="00DB4664">
            <w:pPr>
              <w:rPr>
                <w:sz w:val="16"/>
                <w:szCs w:val="16"/>
              </w:rPr>
            </w:pPr>
            <w:r w:rsidRPr="00DB4664">
              <w:rPr>
                <w:sz w:val="16"/>
                <w:szCs w:val="16"/>
              </w:rPr>
              <w:t>2030.</w:t>
            </w:r>
          </w:p>
        </w:tc>
        <w:tc>
          <w:tcPr>
            <w:tcW w:w="1420" w:type="dxa"/>
            <w:tcBorders>
              <w:top w:val="nil"/>
              <w:left w:val="nil"/>
              <w:bottom w:val="nil"/>
              <w:right w:val="nil"/>
            </w:tcBorders>
            <w:shd w:val="clear" w:color="auto" w:fill="auto"/>
            <w:noWrap/>
            <w:vAlign w:val="bottom"/>
            <w:hideMark/>
          </w:tcPr>
          <w:p w14:paraId="09CA16B9" w14:textId="77777777" w:rsidR="00DB4664" w:rsidRPr="00DB4664" w:rsidRDefault="00DB4664">
            <w:pPr>
              <w:rPr>
                <w:sz w:val="16"/>
                <w:szCs w:val="16"/>
              </w:rPr>
            </w:pPr>
            <w:r w:rsidRPr="00DB4664">
              <w:rPr>
                <w:sz w:val="16"/>
                <w:szCs w:val="16"/>
              </w:rPr>
              <w:t xml:space="preserve">       299.636,56    </w:t>
            </w:r>
          </w:p>
        </w:tc>
        <w:tc>
          <w:tcPr>
            <w:tcW w:w="1420" w:type="dxa"/>
            <w:tcBorders>
              <w:top w:val="nil"/>
              <w:left w:val="nil"/>
              <w:bottom w:val="nil"/>
              <w:right w:val="nil"/>
            </w:tcBorders>
            <w:shd w:val="clear" w:color="auto" w:fill="auto"/>
            <w:noWrap/>
            <w:vAlign w:val="bottom"/>
            <w:hideMark/>
          </w:tcPr>
          <w:p w14:paraId="28D677CC" w14:textId="77777777" w:rsidR="00DB4664" w:rsidRPr="00DB4664" w:rsidRDefault="00DB4664">
            <w:pPr>
              <w:rPr>
                <w:sz w:val="16"/>
                <w:szCs w:val="16"/>
              </w:rPr>
            </w:pPr>
            <w:r w:rsidRPr="00DB4664">
              <w:rPr>
                <w:sz w:val="16"/>
                <w:szCs w:val="16"/>
              </w:rPr>
              <w:t xml:space="preserve">           1.642,67    </w:t>
            </w:r>
          </w:p>
        </w:tc>
        <w:tc>
          <w:tcPr>
            <w:tcW w:w="1420" w:type="dxa"/>
            <w:tcBorders>
              <w:top w:val="nil"/>
              <w:left w:val="nil"/>
              <w:bottom w:val="nil"/>
              <w:right w:val="nil"/>
            </w:tcBorders>
            <w:shd w:val="clear" w:color="auto" w:fill="auto"/>
            <w:noWrap/>
            <w:vAlign w:val="bottom"/>
            <w:hideMark/>
          </w:tcPr>
          <w:p w14:paraId="46BE969D" w14:textId="77777777" w:rsidR="00DB4664" w:rsidRPr="00DB4664" w:rsidRDefault="00DB4664">
            <w:pPr>
              <w:rPr>
                <w:sz w:val="16"/>
                <w:szCs w:val="16"/>
              </w:rPr>
            </w:pPr>
            <w:r w:rsidRPr="00DB4664">
              <w:rPr>
                <w:sz w:val="16"/>
                <w:szCs w:val="16"/>
              </w:rPr>
              <w:t xml:space="preserve">       301.279,23    </w:t>
            </w:r>
          </w:p>
        </w:tc>
        <w:tc>
          <w:tcPr>
            <w:tcW w:w="1420" w:type="dxa"/>
            <w:tcBorders>
              <w:top w:val="nil"/>
              <w:left w:val="nil"/>
              <w:bottom w:val="nil"/>
              <w:right w:val="nil"/>
            </w:tcBorders>
            <w:shd w:val="clear" w:color="auto" w:fill="auto"/>
            <w:noWrap/>
            <w:vAlign w:val="bottom"/>
            <w:hideMark/>
          </w:tcPr>
          <w:p w14:paraId="18A4E625" w14:textId="77777777" w:rsidR="00DB4664" w:rsidRPr="00DB4664" w:rsidRDefault="00DB4664">
            <w:pPr>
              <w:rPr>
                <w:sz w:val="16"/>
                <w:szCs w:val="16"/>
              </w:rPr>
            </w:pPr>
            <w:r w:rsidRPr="00DB4664">
              <w:rPr>
                <w:sz w:val="16"/>
                <w:szCs w:val="16"/>
              </w:rPr>
              <w:t xml:space="preserve">                      -      </w:t>
            </w:r>
          </w:p>
        </w:tc>
      </w:tr>
      <w:tr w:rsidR="00DB4664" w:rsidRPr="00DB4664" w14:paraId="012E1B53" w14:textId="77777777" w:rsidTr="00DB4664">
        <w:trPr>
          <w:trHeight w:val="255"/>
        </w:trPr>
        <w:tc>
          <w:tcPr>
            <w:tcW w:w="960" w:type="dxa"/>
            <w:tcBorders>
              <w:top w:val="single" w:sz="4" w:space="0" w:color="auto"/>
              <w:left w:val="nil"/>
              <w:bottom w:val="single" w:sz="4" w:space="0" w:color="auto"/>
              <w:right w:val="nil"/>
            </w:tcBorders>
            <w:shd w:val="clear" w:color="auto" w:fill="auto"/>
            <w:noWrap/>
            <w:vAlign w:val="bottom"/>
            <w:hideMark/>
          </w:tcPr>
          <w:p w14:paraId="59A10A24" w14:textId="77777777" w:rsidR="00DB4664" w:rsidRPr="00DB4664" w:rsidRDefault="00DB4664">
            <w:pPr>
              <w:rPr>
                <w:sz w:val="16"/>
                <w:szCs w:val="16"/>
              </w:rPr>
            </w:pPr>
            <w:r w:rsidRPr="00DB4664">
              <w:rPr>
                <w:sz w:val="16"/>
                <w:szCs w:val="16"/>
              </w:rPr>
              <w:t>sveukupno</w:t>
            </w:r>
          </w:p>
        </w:tc>
        <w:tc>
          <w:tcPr>
            <w:tcW w:w="1420" w:type="dxa"/>
            <w:tcBorders>
              <w:top w:val="single" w:sz="4" w:space="0" w:color="auto"/>
              <w:left w:val="nil"/>
              <w:bottom w:val="single" w:sz="4" w:space="0" w:color="auto"/>
              <w:right w:val="nil"/>
            </w:tcBorders>
            <w:shd w:val="clear" w:color="auto" w:fill="auto"/>
            <w:noWrap/>
            <w:vAlign w:val="bottom"/>
            <w:hideMark/>
          </w:tcPr>
          <w:p w14:paraId="120EF9A6" w14:textId="77777777" w:rsidR="00DB4664" w:rsidRPr="00DB4664" w:rsidRDefault="00DB4664">
            <w:pPr>
              <w:rPr>
                <w:sz w:val="16"/>
                <w:szCs w:val="16"/>
              </w:rPr>
            </w:pPr>
            <w:r w:rsidRPr="00DB4664">
              <w:rPr>
                <w:sz w:val="16"/>
                <w:szCs w:val="16"/>
              </w:rPr>
              <w:t xml:space="preserve">    2.696.730,00    </w:t>
            </w:r>
          </w:p>
        </w:tc>
        <w:tc>
          <w:tcPr>
            <w:tcW w:w="1420" w:type="dxa"/>
            <w:tcBorders>
              <w:top w:val="single" w:sz="4" w:space="0" w:color="auto"/>
              <w:left w:val="nil"/>
              <w:bottom w:val="single" w:sz="4" w:space="0" w:color="auto"/>
              <w:right w:val="nil"/>
            </w:tcBorders>
            <w:shd w:val="clear" w:color="auto" w:fill="auto"/>
            <w:noWrap/>
            <w:vAlign w:val="bottom"/>
            <w:hideMark/>
          </w:tcPr>
          <w:p w14:paraId="638BFE5D" w14:textId="77777777" w:rsidR="00DB4664" w:rsidRPr="00DB4664" w:rsidRDefault="00DB4664">
            <w:pPr>
              <w:rPr>
                <w:sz w:val="16"/>
                <w:szCs w:val="16"/>
              </w:rPr>
            </w:pPr>
            <w:r w:rsidRPr="00DB4664">
              <w:rPr>
                <w:sz w:val="16"/>
                <w:szCs w:val="16"/>
              </w:rPr>
              <w:t xml:space="preserve">       181.986,82    </w:t>
            </w:r>
          </w:p>
        </w:tc>
        <w:tc>
          <w:tcPr>
            <w:tcW w:w="1420" w:type="dxa"/>
            <w:tcBorders>
              <w:top w:val="single" w:sz="4" w:space="0" w:color="auto"/>
              <w:left w:val="nil"/>
              <w:bottom w:val="single" w:sz="4" w:space="0" w:color="auto"/>
              <w:right w:val="nil"/>
            </w:tcBorders>
            <w:shd w:val="clear" w:color="auto" w:fill="auto"/>
            <w:noWrap/>
            <w:vAlign w:val="bottom"/>
            <w:hideMark/>
          </w:tcPr>
          <w:p w14:paraId="0CAA244F" w14:textId="77777777" w:rsidR="00DB4664" w:rsidRPr="00DB4664" w:rsidRDefault="00DB4664">
            <w:pPr>
              <w:rPr>
                <w:sz w:val="16"/>
                <w:szCs w:val="16"/>
              </w:rPr>
            </w:pPr>
            <w:r w:rsidRPr="00DB4664">
              <w:rPr>
                <w:sz w:val="16"/>
                <w:szCs w:val="16"/>
              </w:rPr>
              <w:t xml:space="preserve">    2.878.716,82    </w:t>
            </w:r>
          </w:p>
        </w:tc>
        <w:tc>
          <w:tcPr>
            <w:tcW w:w="1420" w:type="dxa"/>
            <w:tcBorders>
              <w:top w:val="single" w:sz="4" w:space="0" w:color="auto"/>
              <w:left w:val="nil"/>
              <w:bottom w:val="single" w:sz="4" w:space="0" w:color="auto"/>
              <w:right w:val="nil"/>
            </w:tcBorders>
            <w:shd w:val="clear" w:color="auto" w:fill="auto"/>
            <w:noWrap/>
            <w:vAlign w:val="bottom"/>
            <w:hideMark/>
          </w:tcPr>
          <w:p w14:paraId="763F9B1A" w14:textId="77777777" w:rsidR="00DB4664" w:rsidRPr="00DB4664" w:rsidRDefault="00DB4664">
            <w:pPr>
              <w:rPr>
                <w:sz w:val="16"/>
                <w:szCs w:val="16"/>
              </w:rPr>
            </w:pPr>
            <w:r w:rsidRPr="00DB4664">
              <w:rPr>
                <w:sz w:val="16"/>
                <w:szCs w:val="16"/>
              </w:rPr>
              <w:t> </w:t>
            </w:r>
          </w:p>
        </w:tc>
      </w:tr>
    </w:tbl>
    <w:p w14:paraId="60DB01C3" w14:textId="77777777" w:rsidR="009075FA" w:rsidRPr="0033296A" w:rsidRDefault="009075FA" w:rsidP="009075FA"/>
    <w:p w14:paraId="358C83AA" w14:textId="64892511" w:rsidR="009075FA" w:rsidRDefault="009075FA" w:rsidP="009075FA">
      <w:r w:rsidRPr="0033296A">
        <w:t>Za financiranje projekta Zamjene javne rasvjete LED rasvjetom Gradsko vijeće je 22. listopada 2020. godine donijelo Odluku o kreditnom zaduženju kod Istarske kreditne banke Umag d.d. (</w:t>
      </w:r>
      <w:r w:rsidR="00976D43">
        <w:t>KLASA</w:t>
      </w:r>
      <w:r w:rsidRPr="0033296A">
        <w:t xml:space="preserve">: 403-01/20-01/05, </w:t>
      </w:r>
      <w:r w:rsidR="00976D43">
        <w:t>URBROJ</w:t>
      </w:r>
      <w:r w:rsidRPr="0033296A">
        <w:t>: 2105/01-02/01-20-24)</w:t>
      </w:r>
      <w:r w:rsidR="00E95111">
        <w:t xml:space="preserve">. </w:t>
      </w:r>
      <w:r w:rsidRPr="0033296A">
        <w:t>Vlada RH donijela je Odluku o davanju suglasnosti Gradu Bujama za zaduženje kod Istarske kreditne banke Umag d.d. (</w:t>
      </w:r>
      <w:r w:rsidR="00976D43">
        <w:t>KLASA</w:t>
      </w:r>
      <w:r w:rsidRPr="0033296A">
        <w:t xml:space="preserve">: 022-03/20-04/508, </w:t>
      </w:r>
      <w:r w:rsidR="00976D43">
        <w:t>URBROJ</w:t>
      </w:r>
      <w:r w:rsidRPr="0033296A">
        <w:t>: 50301-05/16-20-2 od 23. prosinca 2020.) u iznosu od 840.116,00 kuna, s rokom otplate od sedam godina uz poček od šest mjeseci, u jednakim tromjesečnim ratama, uz fiksnu godišnju kamatnu stopu 1,00% u prva 24 mjeseca, a po proteku navedenog roka uz promjenjivu godišnju kamatnu stopu u visini prinosa na trezorske zapise Ministarstva financija na 364 dana uvećano za kamatnu maržu od 1,00 p.p. (</w:t>
      </w:r>
      <w:r w:rsidR="00AC1E6F">
        <w:t>u trenutku ugovaranja</w:t>
      </w:r>
      <w:r w:rsidRPr="0033296A">
        <w:t xml:space="preserve"> 1,06%) i jednokratnu naknadu za obradu zahtjeva u visini 0,10% od iznosa odobrenog kredita.</w:t>
      </w:r>
    </w:p>
    <w:p w14:paraId="6AA3D5EA" w14:textId="16D2A2A3" w:rsidR="00C87BED" w:rsidRDefault="00E95111" w:rsidP="009075FA">
      <w:r w:rsidRPr="0033296A">
        <w:t>Ugovor o kreditu s Istarskom kreditnom bankom Umag d.d. (broj 9005002</w:t>
      </w:r>
      <w:r>
        <w:t>95-2</w:t>
      </w:r>
      <w:r w:rsidRPr="0033296A">
        <w:t>)</w:t>
      </w:r>
      <w:r>
        <w:t xml:space="preserve"> sklopljen je 07.01.2021. godine. </w:t>
      </w:r>
      <w:r w:rsidR="000238B6">
        <w:t>Kreditna sredstva su iskorištena u c</w:t>
      </w:r>
      <w:r w:rsidR="0026281D">
        <w:t>i</w:t>
      </w:r>
      <w:r w:rsidR="000238B6">
        <w:t>jelosti</w:t>
      </w:r>
      <w:r w:rsidR="00D840C9">
        <w:t xml:space="preserve">. Stanje kredita na dan 01.01.2022. godine iznosilo je 840.116,00 kuna. </w:t>
      </w:r>
      <w:r w:rsidR="00976D43">
        <w:t>U 2022. godini otplaćeno je 90.012,42 kuna</w:t>
      </w:r>
      <w:r w:rsidR="00D840C9">
        <w:t xml:space="preserve"> te je stanje nedospjele glavnice na dan </w:t>
      </w:r>
      <w:r w:rsidR="00976D43">
        <w:t>31.12</w:t>
      </w:r>
      <w:r w:rsidR="00D840C9">
        <w:t xml:space="preserve">.2022. godine </w:t>
      </w:r>
      <w:r w:rsidR="00976D43">
        <w:t>750.103,58</w:t>
      </w:r>
      <w:r w:rsidR="00D840C9">
        <w:t xml:space="preserve"> kuna.</w:t>
      </w:r>
      <w:r w:rsidR="002F2B00">
        <w:t xml:space="preserve"> </w:t>
      </w:r>
      <w:r w:rsidR="002F2B00" w:rsidRPr="0033296A">
        <w:t>Dinamika otplate kreditne obveze po godinama prikazana je u sljedećoj tablici.</w:t>
      </w:r>
    </w:p>
    <w:p w14:paraId="2A5264F3" w14:textId="2C1ED003" w:rsidR="00C87BED" w:rsidRDefault="00C87BED" w:rsidP="009075FA"/>
    <w:tbl>
      <w:tblPr>
        <w:tblW w:w="6380" w:type="dxa"/>
        <w:tblLook w:val="04A0" w:firstRow="1" w:lastRow="0" w:firstColumn="1" w:lastColumn="0" w:noHBand="0" w:noVBand="1"/>
      </w:tblPr>
      <w:tblGrid>
        <w:gridCol w:w="960"/>
        <w:gridCol w:w="1420"/>
        <w:gridCol w:w="1400"/>
        <w:gridCol w:w="1420"/>
        <w:gridCol w:w="1180"/>
      </w:tblGrid>
      <w:tr w:rsidR="007C3E55" w14:paraId="003F3D9A" w14:textId="77777777" w:rsidTr="00204064">
        <w:trPr>
          <w:trHeight w:val="300"/>
        </w:trPr>
        <w:tc>
          <w:tcPr>
            <w:tcW w:w="6375" w:type="dxa"/>
            <w:gridSpan w:val="5"/>
            <w:tcBorders>
              <w:top w:val="nil"/>
              <w:left w:val="nil"/>
              <w:bottom w:val="nil"/>
              <w:right w:val="nil"/>
            </w:tcBorders>
            <w:shd w:val="clear" w:color="auto" w:fill="auto"/>
            <w:noWrap/>
            <w:vAlign w:val="bottom"/>
            <w:hideMark/>
          </w:tcPr>
          <w:p w14:paraId="7C08FF83" w14:textId="77777777" w:rsidR="007C3E55" w:rsidRDefault="007C3E55">
            <w:pPr>
              <w:jc w:val="center"/>
              <w:rPr>
                <w:sz w:val="16"/>
                <w:szCs w:val="16"/>
              </w:rPr>
            </w:pPr>
            <w:r>
              <w:rPr>
                <w:sz w:val="16"/>
                <w:szCs w:val="16"/>
              </w:rPr>
              <w:t xml:space="preserve">GODIŠNJI OTPLATNI PLAN </w:t>
            </w:r>
          </w:p>
        </w:tc>
      </w:tr>
      <w:tr w:rsidR="007C3E55" w14:paraId="2D5B99A1" w14:textId="77777777" w:rsidTr="00204064">
        <w:trPr>
          <w:trHeight w:val="300"/>
        </w:trPr>
        <w:tc>
          <w:tcPr>
            <w:tcW w:w="6375" w:type="dxa"/>
            <w:gridSpan w:val="5"/>
            <w:tcBorders>
              <w:top w:val="nil"/>
              <w:left w:val="nil"/>
              <w:bottom w:val="nil"/>
              <w:right w:val="nil"/>
            </w:tcBorders>
            <w:shd w:val="clear" w:color="auto" w:fill="auto"/>
            <w:noWrap/>
            <w:vAlign w:val="bottom"/>
            <w:hideMark/>
          </w:tcPr>
          <w:p w14:paraId="152AFDE9" w14:textId="77777777" w:rsidR="007C3E55" w:rsidRDefault="007C3E55">
            <w:pPr>
              <w:jc w:val="center"/>
              <w:rPr>
                <w:sz w:val="16"/>
                <w:szCs w:val="16"/>
              </w:rPr>
            </w:pPr>
            <w:r>
              <w:rPr>
                <w:sz w:val="16"/>
                <w:szCs w:val="16"/>
              </w:rPr>
              <w:t>ISTARSKA KREDITNA BANKA UMAG D.D. - dugoročni kredit broj 9005002952</w:t>
            </w:r>
          </w:p>
        </w:tc>
      </w:tr>
      <w:tr w:rsidR="007C3E55" w14:paraId="5BEDA393" w14:textId="77777777" w:rsidTr="00204064">
        <w:trPr>
          <w:trHeight w:val="465"/>
        </w:trPr>
        <w:tc>
          <w:tcPr>
            <w:tcW w:w="960" w:type="dxa"/>
            <w:tcBorders>
              <w:top w:val="nil"/>
              <w:left w:val="nil"/>
              <w:bottom w:val="nil"/>
              <w:right w:val="nil"/>
            </w:tcBorders>
            <w:shd w:val="clear" w:color="auto" w:fill="auto"/>
            <w:noWrap/>
            <w:vAlign w:val="bottom"/>
            <w:hideMark/>
          </w:tcPr>
          <w:p w14:paraId="2E21905C" w14:textId="77777777" w:rsidR="007C3E55" w:rsidRDefault="007C3E55">
            <w:pPr>
              <w:jc w:val="center"/>
              <w:rPr>
                <w:sz w:val="16"/>
                <w:szCs w:val="16"/>
              </w:rPr>
            </w:pPr>
          </w:p>
        </w:tc>
        <w:tc>
          <w:tcPr>
            <w:tcW w:w="1420" w:type="dxa"/>
            <w:tcBorders>
              <w:top w:val="nil"/>
              <w:left w:val="nil"/>
              <w:bottom w:val="nil"/>
              <w:right w:val="nil"/>
            </w:tcBorders>
            <w:shd w:val="clear" w:color="auto" w:fill="auto"/>
            <w:noWrap/>
            <w:vAlign w:val="bottom"/>
            <w:hideMark/>
          </w:tcPr>
          <w:p w14:paraId="58ABE16D" w14:textId="77777777" w:rsidR="007C3E55" w:rsidRDefault="007C3E55">
            <w:pPr>
              <w:rPr>
                <w:sz w:val="20"/>
                <w:szCs w:val="20"/>
              </w:rPr>
            </w:pPr>
          </w:p>
        </w:tc>
        <w:tc>
          <w:tcPr>
            <w:tcW w:w="1400" w:type="dxa"/>
            <w:tcBorders>
              <w:top w:val="nil"/>
              <w:left w:val="nil"/>
              <w:bottom w:val="nil"/>
              <w:right w:val="nil"/>
            </w:tcBorders>
            <w:shd w:val="clear" w:color="auto" w:fill="auto"/>
            <w:noWrap/>
            <w:vAlign w:val="bottom"/>
            <w:hideMark/>
          </w:tcPr>
          <w:p w14:paraId="54F401CA" w14:textId="77777777" w:rsidR="007C3E55" w:rsidRDefault="007C3E55">
            <w:pPr>
              <w:rPr>
                <w:sz w:val="20"/>
                <w:szCs w:val="20"/>
              </w:rPr>
            </w:pPr>
          </w:p>
        </w:tc>
        <w:tc>
          <w:tcPr>
            <w:tcW w:w="1420" w:type="dxa"/>
            <w:tcBorders>
              <w:top w:val="nil"/>
              <w:left w:val="nil"/>
              <w:bottom w:val="nil"/>
              <w:right w:val="nil"/>
            </w:tcBorders>
            <w:shd w:val="clear" w:color="auto" w:fill="auto"/>
            <w:noWrap/>
            <w:vAlign w:val="bottom"/>
            <w:hideMark/>
          </w:tcPr>
          <w:p w14:paraId="2FF59181" w14:textId="77777777" w:rsidR="007C3E55" w:rsidRDefault="007C3E55">
            <w:pPr>
              <w:rPr>
                <w:sz w:val="20"/>
                <w:szCs w:val="20"/>
              </w:rPr>
            </w:pPr>
          </w:p>
        </w:tc>
        <w:tc>
          <w:tcPr>
            <w:tcW w:w="1180" w:type="dxa"/>
            <w:tcBorders>
              <w:top w:val="nil"/>
              <w:left w:val="nil"/>
              <w:bottom w:val="nil"/>
              <w:right w:val="nil"/>
            </w:tcBorders>
            <w:shd w:val="clear" w:color="auto" w:fill="auto"/>
            <w:noWrap/>
            <w:vAlign w:val="bottom"/>
            <w:hideMark/>
          </w:tcPr>
          <w:p w14:paraId="7ADBC3A6" w14:textId="77777777" w:rsidR="007C3E55" w:rsidRDefault="007C3E55">
            <w:pPr>
              <w:rPr>
                <w:sz w:val="20"/>
                <w:szCs w:val="20"/>
              </w:rPr>
            </w:pPr>
          </w:p>
        </w:tc>
      </w:tr>
      <w:tr w:rsidR="007C3E55" w14:paraId="09C38418" w14:textId="77777777" w:rsidTr="00204064">
        <w:trPr>
          <w:trHeight w:val="300"/>
        </w:trPr>
        <w:tc>
          <w:tcPr>
            <w:tcW w:w="960" w:type="dxa"/>
            <w:tcBorders>
              <w:top w:val="single" w:sz="4" w:space="0" w:color="auto"/>
              <w:left w:val="nil"/>
              <w:bottom w:val="single" w:sz="4" w:space="0" w:color="auto"/>
              <w:right w:val="nil"/>
            </w:tcBorders>
            <w:shd w:val="clear" w:color="auto" w:fill="auto"/>
            <w:vAlign w:val="bottom"/>
            <w:hideMark/>
          </w:tcPr>
          <w:p w14:paraId="4FDC6BAE" w14:textId="77777777" w:rsidR="007C3E55" w:rsidRDefault="007C3E55">
            <w:pPr>
              <w:jc w:val="center"/>
              <w:rPr>
                <w:sz w:val="16"/>
                <w:szCs w:val="16"/>
              </w:rPr>
            </w:pPr>
            <w:r>
              <w:rPr>
                <w:sz w:val="16"/>
                <w:szCs w:val="16"/>
              </w:rPr>
              <w:t>godina</w:t>
            </w:r>
          </w:p>
        </w:tc>
        <w:tc>
          <w:tcPr>
            <w:tcW w:w="1420" w:type="dxa"/>
            <w:tcBorders>
              <w:top w:val="single" w:sz="4" w:space="0" w:color="auto"/>
              <w:left w:val="nil"/>
              <w:bottom w:val="single" w:sz="4" w:space="0" w:color="auto"/>
              <w:right w:val="nil"/>
            </w:tcBorders>
            <w:shd w:val="clear" w:color="auto" w:fill="auto"/>
            <w:vAlign w:val="bottom"/>
            <w:hideMark/>
          </w:tcPr>
          <w:p w14:paraId="561BC3E2" w14:textId="77777777" w:rsidR="007C3E55" w:rsidRDefault="007C3E55">
            <w:pPr>
              <w:jc w:val="center"/>
              <w:rPr>
                <w:sz w:val="16"/>
                <w:szCs w:val="16"/>
              </w:rPr>
            </w:pPr>
            <w:r>
              <w:rPr>
                <w:sz w:val="16"/>
                <w:szCs w:val="16"/>
              </w:rPr>
              <w:t>glavnica</w:t>
            </w:r>
          </w:p>
        </w:tc>
        <w:tc>
          <w:tcPr>
            <w:tcW w:w="1400" w:type="dxa"/>
            <w:tcBorders>
              <w:top w:val="single" w:sz="4" w:space="0" w:color="auto"/>
              <w:left w:val="nil"/>
              <w:bottom w:val="single" w:sz="4" w:space="0" w:color="auto"/>
              <w:right w:val="nil"/>
            </w:tcBorders>
            <w:shd w:val="clear" w:color="auto" w:fill="auto"/>
            <w:vAlign w:val="bottom"/>
            <w:hideMark/>
          </w:tcPr>
          <w:p w14:paraId="02368E7F" w14:textId="77777777" w:rsidR="007C3E55" w:rsidRDefault="007C3E55">
            <w:pPr>
              <w:jc w:val="center"/>
              <w:rPr>
                <w:sz w:val="16"/>
                <w:szCs w:val="16"/>
              </w:rPr>
            </w:pPr>
            <w:r>
              <w:rPr>
                <w:sz w:val="16"/>
                <w:szCs w:val="16"/>
              </w:rPr>
              <w:t>kamate</w:t>
            </w:r>
          </w:p>
        </w:tc>
        <w:tc>
          <w:tcPr>
            <w:tcW w:w="1420" w:type="dxa"/>
            <w:tcBorders>
              <w:top w:val="single" w:sz="4" w:space="0" w:color="auto"/>
              <w:left w:val="nil"/>
              <w:bottom w:val="single" w:sz="4" w:space="0" w:color="auto"/>
              <w:right w:val="nil"/>
            </w:tcBorders>
            <w:shd w:val="clear" w:color="auto" w:fill="auto"/>
            <w:vAlign w:val="bottom"/>
            <w:hideMark/>
          </w:tcPr>
          <w:p w14:paraId="02054601" w14:textId="77777777" w:rsidR="007C3E55" w:rsidRDefault="007C3E55">
            <w:pPr>
              <w:jc w:val="center"/>
              <w:rPr>
                <w:sz w:val="16"/>
                <w:szCs w:val="16"/>
              </w:rPr>
            </w:pPr>
            <w:r>
              <w:rPr>
                <w:sz w:val="16"/>
                <w:szCs w:val="16"/>
              </w:rPr>
              <w:t>ukupno</w:t>
            </w:r>
          </w:p>
        </w:tc>
        <w:tc>
          <w:tcPr>
            <w:tcW w:w="1180" w:type="dxa"/>
            <w:tcBorders>
              <w:top w:val="single" w:sz="4" w:space="0" w:color="auto"/>
              <w:left w:val="nil"/>
              <w:bottom w:val="single" w:sz="4" w:space="0" w:color="auto"/>
              <w:right w:val="nil"/>
            </w:tcBorders>
            <w:shd w:val="clear" w:color="auto" w:fill="auto"/>
            <w:vAlign w:val="bottom"/>
            <w:hideMark/>
          </w:tcPr>
          <w:p w14:paraId="1F5B39C2" w14:textId="77777777" w:rsidR="007C3E55" w:rsidRDefault="007C3E55">
            <w:pPr>
              <w:jc w:val="center"/>
              <w:rPr>
                <w:sz w:val="16"/>
                <w:szCs w:val="16"/>
              </w:rPr>
            </w:pPr>
            <w:r>
              <w:rPr>
                <w:sz w:val="16"/>
                <w:szCs w:val="16"/>
              </w:rPr>
              <w:t>stanje kredita</w:t>
            </w:r>
          </w:p>
        </w:tc>
      </w:tr>
      <w:tr w:rsidR="007C3E55" w14:paraId="4733645D" w14:textId="77777777" w:rsidTr="00204064">
        <w:trPr>
          <w:trHeight w:val="300"/>
        </w:trPr>
        <w:tc>
          <w:tcPr>
            <w:tcW w:w="960" w:type="dxa"/>
            <w:tcBorders>
              <w:top w:val="nil"/>
              <w:left w:val="nil"/>
              <w:bottom w:val="nil"/>
              <w:right w:val="nil"/>
            </w:tcBorders>
            <w:shd w:val="clear" w:color="auto" w:fill="auto"/>
            <w:noWrap/>
            <w:vAlign w:val="bottom"/>
            <w:hideMark/>
          </w:tcPr>
          <w:p w14:paraId="2CAF3688" w14:textId="77777777" w:rsidR="007C3E55" w:rsidRDefault="007C3E55">
            <w:pPr>
              <w:rPr>
                <w:sz w:val="16"/>
                <w:szCs w:val="16"/>
              </w:rPr>
            </w:pPr>
            <w:r>
              <w:rPr>
                <w:sz w:val="16"/>
                <w:szCs w:val="16"/>
              </w:rPr>
              <w:t>2021.</w:t>
            </w:r>
          </w:p>
        </w:tc>
        <w:tc>
          <w:tcPr>
            <w:tcW w:w="1420" w:type="dxa"/>
            <w:tcBorders>
              <w:top w:val="nil"/>
              <w:left w:val="nil"/>
              <w:bottom w:val="nil"/>
              <w:right w:val="nil"/>
            </w:tcBorders>
            <w:shd w:val="clear" w:color="auto" w:fill="auto"/>
            <w:noWrap/>
            <w:vAlign w:val="bottom"/>
            <w:hideMark/>
          </w:tcPr>
          <w:p w14:paraId="58CBC085" w14:textId="77777777" w:rsidR="007C3E55" w:rsidRDefault="007C3E55">
            <w:pPr>
              <w:rPr>
                <w:sz w:val="16"/>
                <w:szCs w:val="16"/>
              </w:rPr>
            </w:pPr>
            <w:r>
              <w:rPr>
                <w:sz w:val="16"/>
                <w:szCs w:val="16"/>
              </w:rPr>
              <w:t xml:space="preserve">                         -   </w:t>
            </w:r>
          </w:p>
        </w:tc>
        <w:tc>
          <w:tcPr>
            <w:tcW w:w="1400" w:type="dxa"/>
            <w:tcBorders>
              <w:top w:val="nil"/>
              <w:left w:val="nil"/>
              <w:bottom w:val="nil"/>
              <w:right w:val="nil"/>
            </w:tcBorders>
            <w:shd w:val="clear" w:color="auto" w:fill="auto"/>
            <w:noWrap/>
            <w:vAlign w:val="bottom"/>
            <w:hideMark/>
          </w:tcPr>
          <w:p w14:paraId="1BA5823D" w14:textId="77777777" w:rsidR="007C3E55" w:rsidRDefault="007C3E55">
            <w:pPr>
              <w:rPr>
                <w:sz w:val="16"/>
                <w:szCs w:val="16"/>
              </w:rPr>
            </w:pPr>
            <w:r>
              <w:rPr>
                <w:sz w:val="16"/>
                <w:szCs w:val="16"/>
              </w:rPr>
              <w:t xml:space="preserve">              3.521,58 </w:t>
            </w:r>
          </w:p>
        </w:tc>
        <w:tc>
          <w:tcPr>
            <w:tcW w:w="1420" w:type="dxa"/>
            <w:tcBorders>
              <w:top w:val="nil"/>
              <w:left w:val="nil"/>
              <w:bottom w:val="nil"/>
              <w:right w:val="nil"/>
            </w:tcBorders>
            <w:shd w:val="clear" w:color="auto" w:fill="auto"/>
            <w:noWrap/>
            <w:vAlign w:val="bottom"/>
            <w:hideMark/>
          </w:tcPr>
          <w:p w14:paraId="3782226C" w14:textId="77777777" w:rsidR="007C3E55" w:rsidRDefault="007C3E55">
            <w:pPr>
              <w:rPr>
                <w:sz w:val="16"/>
                <w:szCs w:val="16"/>
              </w:rPr>
            </w:pPr>
            <w:r>
              <w:rPr>
                <w:sz w:val="16"/>
                <w:szCs w:val="16"/>
              </w:rPr>
              <w:t xml:space="preserve">              3.521,58 </w:t>
            </w:r>
          </w:p>
        </w:tc>
        <w:tc>
          <w:tcPr>
            <w:tcW w:w="1180" w:type="dxa"/>
            <w:tcBorders>
              <w:top w:val="nil"/>
              <w:left w:val="nil"/>
              <w:bottom w:val="nil"/>
              <w:right w:val="nil"/>
            </w:tcBorders>
            <w:shd w:val="clear" w:color="auto" w:fill="auto"/>
            <w:noWrap/>
            <w:vAlign w:val="bottom"/>
            <w:hideMark/>
          </w:tcPr>
          <w:p w14:paraId="166F4EEC" w14:textId="77777777" w:rsidR="007C3E55" w:rsidRDefault="007C3E55">
            <w:pPr>
              <w:rPr>
                <w:sz w:val="16"/>
                <w:szCs w:val="16"/>
              </w:rPr>
            </w:pPr>
            <w:r>
              <w:rPr>
                <w:sz w:val="16"/>
                <w:szCs w:val="16"/>
              </w:rPr>
              <w:t xml:space="preserve">     840.116,00 </w:t>
            </w:r>
          </w:p>
        </w:tc>
      </w:tr>
      <w:tr w:rsidR="007C3E55" w14:paraId="45B05685" w14:textId="77777777" w:rsidTr="00204064">
        <w:trPr>
          <w:trHeight w:val="300"/>
        </w:trPr>
        <w:tc>
          <w:tcPr>
            <w:tcW w:w="960" w:type="dxa"/>
            <w:tcBorders>
              <w:top w:val="nil"/>
              <w:left w:val="nil"/>
              <w:bottom w:val="nil"/>
              <w:right w:val="nil"/>
            </w:tcBorders>
            <w:shd w:val="clear" w:color="auto" w:fill="auto"/>
            <w:noWrap/>
            <w:vAlign w:val="bottom"/>
            <w:hideMark/>
          </w:tcPr>
          <w:p w14:paraId="199E1935" w14:textId="77777777" w:rsidR="007C3E55" w:rsidRDefault="007C3E55">
            <w:pPr>
              <w:rPr>
                <w:sz w:val="16"/>
                <w:szCs w:val="16"/>
              </w:rPr>
            </w:pPr>
            <w:r>
              <w:rPr>
                <w:sz w:val="16"/>
                <w:szCs w:val="16"/>
              </w:rPr>
              <w:t>2022.</w:t>
            </w:r>
          </w:p>
        </w:tc>
        <w:tc>
          <w:tcPr>
            <w:tcW w:w="1420" w:type="dxa"/>
            <w:tcBorders>
              <w:top w:val="nil"/>
              <w:left w:val="nil"/>
              <w:bottom w:val="nil"/>
              <w:right w:val="nil"/>
            </w:tcBorders>
            <w:shd w:val="clear" w:color="auto" w:fill="auto"/>
            <w:noWrap/>
            <w:vAlign w:val="bottom"/>
            <w:hideMark/>
          </w:tcPr>
          <w:p w14:paraId="6139BC6D" w14:textId="77777777" w:rsidR="007C3E55" w:rsidRDefault="007C3E55">
            <w:pPr>
              <w:rPr>
                <w:sz w:val="16"/>
                <w:szCs w:val="16"/>
              </w:rPr>
            </w:pPr>
            <w:r>
              <w:rPr>
                <w:sz w:val="16"/>
                <w:szCs w:val="16"/>
              </w:rPr>
              <w:t xml:space="preserve">            90.012,42 </w:t>
            </w:r>
          </w:p>
        </w:tc>
        <w:tc>
          <w:tcPr>
            <w:tcW w:w="1400" w:type="dxa"/>
            <w:tcBorders>
              <w:top w:val="nil"/>
              <w:left w:val="nil"/>
              <w:bottom w:val="nil"/>
              <w:right w:val="nil"/>
            </w:tcBorders>
            <w:shd w:val="clear" w:color="auto" w:fill="auto"/>
            <w:noWrap/>
            <w:vAlign w:val="bottom"/>
            <w:hideMark/>
          </w:tcPr>
          <w:p w14:paraId="7EFE87F2" w14:textId="77777777" w:rsidR="007C3E55" w:rsidRDefault="007C3E55">
            <w:pPr>
              <w:rPr>
                <w:sz w:val="16"/>
                <w:szCs w:val="16"/>
              </w:rPr>
            </w:pPr>
            <w:r>
              <w:rPr>
                <w:sz w:val="16"/>
                <w:szCs w:val="16"/>
              </w:rPr>
              <w:t xml:space="preserve">              8.023,85 </w:t>
            </w:r>
          </w:p>
        </w:tc>
        <w:tc>
          <w:tcPr>
            <w:tcW w:w="1420" w:type="dxa"/>
            <w:tcBorders>
              <w:top w:val="nil"/>
              <w:left w:val="nil"/>
              <w:bottom w:val="nil"/>
              <w:right w:val="nil"/>
            </w:tcBorders>
            <w:shd w:val="clear" w:color="auto" w:fill="auto"/>
            <w:noWrap/>
            <w:vAlign w:val="bottom"/>
            <w:hideMark/>
          </w:tcPr>
          <w:p w14:paraId="05B253C4" w14:textId="77777777" w:rsidR="007C3E55" w:rsidRDefault="007C3E55">
            <w:pPr>
              <w:rPr>
                <w:sz w:val="16"/>
                <w:szCs w:val="16"/>
              </w:rPr>
            </w:pPr>
            <w:r>
              <w:rPr>
                <w:sz w:val="16"/>
                <w:szCs w:val="16"/>
              </w:rPr>
              <w:t xml:space="preserve">            98.036,27 </w:t>
            </w:r>
          </w:p>
        </w:tc>
        <w:tc>
          <w:tcPr>
            <w:tcW w:w="1180" w:type="dxa"/>
            <w:tcBorders>
              <w:top w:val="nil"/>
              <w:left w:val="nil"/>
              <w:bottom w:val="nil"/>
              <w:right w:val="nil"/>
            </w:tcBorders>
            <w:shd w:val="clear" w:color="auto" w:fill="auto"/>
            <w:noWrap/>
            <w:vAlign w:val="bottom"/>
            <w:hideMark/>
          </w:tcPr>
          <w:p w14:paraId="25443BA1" w14:textId="77777777" w:rsidR="007C3E55" w:rsidRDefault="007C3E55">
            <w:pPr>
              <w:rPr>
                <w:sz w:val="16"/>
                <w:szCs w:val="16"/>
              </w:rPr>
            </w:pPr>
            <w:r>
              <w:rPr>
                <w:sz w:val="16"/>
                <w:szCs w:val="16"/>
              </w:rPr>
              <w:t xml:space="preserve">     750.103,58 </w:t>
            </w:r>
          </w:p>
        </w:tc>
      </w:tr>
      <w:tr w:rsidR="007C3E55" w14:paraId="4AED2AAE" w14:textId="77777777" w:rsidTr="00204064">
        <w:trPr>
          <w:trHeight w:val="300"/>
        </w:trPr>
        <w:tc>
          <w:tcPr>
            <w:tcW w:w="960" w:type="dxa"/>
            <w:tcBorders>
              <w:top w:val="nil"/>
              <w:left w:val="nil"/>
              <w:bottom w:val="nil"/>
              <w:right w:val="nil"/>
            </w:tcBorders>
            <w:shd w:val="clear" w:color="auto" w:fill="auto"/>
            <w:noWrap/>
            <w:vAlign w:val="bottom"/>
            <w:hideMark/>
          </w:tcPr>
          <w:p w14:paraId="18F40DA7" w14:textId="77777777" w:rsidR="007C3E55" w:rsidRDefault="007C3E55">
            <w:pPr>
              <w:rPr>
                <w:sz w:val="16"/>
                <w:szCs w:val="16"/>
              </w:rPr>
            </w:pPr>
            <w:r>
              <w:rPr>
                <w:sz w:val="16"/>
                <w:szCs w:val="16"/>
              </w:rPr>
              <w:t>2023.</w:t>
            </w:r>
          </w:p>
        </w:tc>
        <w:tc>
          <w:tcPr>
            <w:tcW w:w="1420" w:type="dxa"/>
            <w:tcBorders>
              <w:top w:val="nil"/>
              <w:left w:val="nil"/>
              <w:bottom w:val="nil"/>
              <w:right w:val="nil"/>
            </w:tcBorders>
            <w:shd w:val="clear" w:color="auto" w:fill="auto"/>
            <w:noWrap/>
            <w:vAlign w:val="bottom"/>
            <w:hideMark/>
          </w:tcPr>
          <w:p w14:paraId="65BC7145" w14:textId="77777777" w:rsidR="007C3E55" w:rsidRDefault="007C3E55">
            <w:pPr>
              <w:rPr>
                <w:sz w:val="16"/>
                <w:szCs w:val="16"/>
              </w:rPr>
            </w:pPr>
            <w:r>
              <w:rPr>
                <w:sz w:val="16"/>
                <w:szCs w:val="16"/>
              </w:rPr>
              <w:t xml:space="preserve">          120.016,56 </w:t>
            </w:r>
          </w:p>
        </w:tc>
        <w:tc>
          <w:tcPr>
            <w:tcW w:w="1400" w:type="dxa"/>
            <w:tcBorders>
              <w:top w:val="nil"/>
              <w:left w:val="nil"/>
              <w:bottom w:val="nil"/>
              <w:right w:val="nil"/>
            </w:tcBorders>
            <w:shd w:val="clear" w:color="auto" w:fill="auto"/>
            <w:noWrap/>
            <w:vAlign w:val="bottom"/>
            <w:hideMark/>
          </w:tcPr>
          <w:p w14:paraId="0952475A" w14:textId="77777777" w:rsidR="007C3E55" w:rsidRDefault="007C3E55">
            <w:pPr>
              <w:rPr>
                <w:sz w:val="16"/>
                <w:szCs w:val="16"/>
              </w:rPr>
            </w:pPr>
            <w:r>
              <w:rPr>
                <w:sz w:val="16"/>
                <w:szCs w:val="16"/>
              </w:rPr>
              <w:t xml:space="preserve">              6.849,17 </w:t>
            </w:r>
          </w:p>
        </w:tc>
        <w:tc>
          <w:tcPr>
            <w:tcW w:w="1420" w:type="dxa"/>
            <w:tcBorders>
              <w:top w:val="nil"/>
              <w:left w:val="nil"/>
              <w:bottom w:val="nil"/>
              <w:right w:val="nil"/>
            </w:tcBorders>
            <w:shd w:val="clear" w:color="auto" w:fill="auto"/>
            <w:noWrap/>
            <w:vAlign w:val="bottom"/>
            <w:hideMark/>
          </w:tcPr>
          <w:p w14:paraId="3487EEA9" w14:textId="77777777" w:rsidR="007C3E55" w:rsidRDefault="007C3E55">
            <w:pPr>
              <w:rPr>
                <w:sz w:val="16"/>
                <w:szCs w:val="16"/>
              </w:rPr>
            </w:pPr>
            <w:r>
              <w:rPr>
                <w:sz w:val="16"/>
                <w:szCs w:val="16"/>
              </w:rPr>
              <w:t xml:space="preserve">          126.865,73 </w:t>
            </w:r>
          </w:p>
        </w:tc>
        <w:tc>
          <w:tcPr>
            <w:tcW w:w="1180" w:type="dxa"/>
            <w:tcBorders>
              <w:top w:val="nil"/>
              <w:left w:val="nil"/>
              <w:bottom w:val="nil"/>
              <w:right w:val="nil"/>
            </w:tcBorders>
            <w:shd w:val="clear" w:color="auto" w:fill="auto"/>
            <w:noWrap/>
            <w:vAlign w:val="bottom"/>
            <w:hideMark/>
          </w:tcPr>
          <w:p w14:paraId="5DDB8E41" w14:textId="77777777" w:rsidR="007C3E55" w:rsidRDefault="007C3E55">
            <w:pPr>
              <w:rPr>
                <w:sz w:val="16"/>
                <w:szCs w:val="16"/>
              </w:rPr>
            </w:pPr>
            <w:r>
              <w:rPr>
                <w:sz w:val="16"/>
                <w:szCs w:val="16"/>
              </w:rPr>
              <w:t xml:space="preserve">     630.087,02 </w:t>
            </w:r>
          </w:p>
        </w:tc>
      </w:tr>
      <w:tr w:rsidR="007C3E55" w14:paraId="78A10F2B" w14:textId="77777777" w:rsidTr="00204064">
        <w:trPr>
          <w:trHeight w:val="300"/>
        </w:trPr>
        <w:tc>
          <w:tcPr>
            <w:tcW w:w="960" w:type="dxa"/>
            <w:tcBorders>
              <w:top w:val="nil"/>
              <w:left w:val="nil"/>
              <w:bottom w:val="nil"/>
              <w:right w:val="nil"/>
            </w:tcBorders>
            <w:shd w:val="clear" w:color="auto" w:fill="auto"/>
            <w:noWrap/>
            <w:vAlign w:val="bottom"/>
            <w:hideMark/>
          </w:tcPr>
          <w:p w14:paraId="078B319A" w14:textId="77777777" w:rsidR="007C3E55" w:rsidRDefault="007C3E55">
            <w:pPr>
              <w:rPr>
                <w:sz w:val="16"/>
                <w:szCs w:val="16"/>
              </w:rPr>
            </w:pPr>
            <w:r>
              <w:rPr>
                <w:sz w:val="16"/>
                <w:szCs w:val="16"/>
              </w:rPr>
              <w:t>2024.</w:t>
            </w:r>
          </w:p>
        </w:tc>
        <w:tc>
          <w:tcPr>
            <w:tcW w:w="1420" w:type="dxa"/>
            <w:tcBorders>
              <w:top w:val="nil"/>
              <w:left w:val="nil"/>
              <w:bottom w:val="nil"/>
              <w:right w:val="nil"/>
            </w:tcBorders>
            <w:shd w:val="clear" w:color="auto" w:fill="auto"/>
            <w:noWrap/>
            <w:vAlign w:val="bottom"/>
            <w:hideMark/>
          </w:tcPr>
          <w:p w14:paraId="01FA9300" w14:textId="77777777" w:rsidR="007C3E55" w:rsidRDefault="007C3E55">
            <w:pPr>
              <w:rPr>
                <w:sz w:val="16"/>
                <w:szCs w:val="16"/>
              </w:rPr>
            </w:pPr>
            <w:r>
              <w:rPr>
                <w:sz w:val="16"/>
                <w:szCs w:val="16"/>
              </w:rPr>
              <w:t xml:space="preserve">          120.016,56 </w:t>
            </w:r>
          </w:p>
        </w:tc>
        <w:tc>
          <w:tcPr>
            <w:tcW w:w="1400" w:type="dxa"/>
            <w:tcBorders>
              <w:top w:val="nil"/>
              <w:left w:val="nil"/>
              <w:bottom w:val="nil"/>
              <w:right w:val="nil"/>
            </w:tcBorders>
            <w:shd w:val="clear" w:color="auto" w:fill="auto"/>
            <w:noWrap/>
            <w:vAlign w:val="bottom"/>
            <w:hideMark/>
          </w:tcPr>
          <w:p w14:paraId="04E6275E" w14:textId="77777777" w:rsidR="007C3E55" w:rsidRDefault="007C3E55">
            <w:pPr>
              <w:rPr>
                <w:sz w:val="16"/>
                <w:szCs w:val="16"/>
              </w:rPr>
            </w:pPr>
            <w:r>
              <w:rPr>
                <w:sz w:val="16"/>
                <w:szCs w:val="16"/>
              </w:rPr>
              <w:t xml:space="preserve">              5.650,00 </w:t>
            </w:r>
          </w:p>
        </w:tc>
        <w:tc>
          <w:tcPr>
            <w:tcW w:w="1420" w:type="dxa"/>
            <w:tcBorders>
              <w:top w:val="nil"/>
              <w:left w:val="nil"/>
              <w:bottom w:val="nil"/>
              <w:right w:val="nil"/>
            </w:tcBorders>
            <w:shd w:val="clear" w:color="auto" w:fill="auto"/>
            <w:noWrap/>
            <w:vAlign w:val="bottom"/>
            <w:hideMark/>
          </w:tcPr>
          <w:p w14:paraId="0C80F5C1" w14:textId="77777777" w:rsidR="007C3E55" w:rsidRDefault="007C3E55">
            <w:pPr>
              <w:rPr>
                <w:sz w:val="16"/>
                <w:szCs w:val="16"/>
              </w:rPr>
            </w:pPr>
            <w:r>
              <w:rPr>
                <w:sz w:val="16"/>
                <w:szCs w:val="16"/>
              </w:rPr>
              <w:t xml:space="preserve">          125.666,56 </w:t>
            </w:r>
          </w:p>
        </w:tc>
        <w:tc>
          <w:tcPr>
            <w:tcW w:w="1180" w:type="dxa"/>
            <w:tcBorders>
              <w:top w:val="nil"/>
              <w:left w:val="nil"/>
              <w:bottom w:val="nil"/>
              <w:right w:val="nil"/>
            </w:tcBorders>
            <w:shd w:val="clear" w:color="auto" w:fill="auto"/>
            <w:noWrap/>
            <w:vAlign w:val="bottom"/>
            <w:hideMark/>
          </w:tcPr>
          <w:p w14:paraId="4A60A4DA" w14:textId="77777777" w:rsidR="007C3E55" w:rsidRDefault="007C3E55">
            <w:pPr>
              <w:rPr>
                <w:sz w:val="16"/>
                <w:szCs w:val="16"/>
              </w:rPr>
            </w:pPr>
            <w:r>
              <w:rPr>
                <w:sz w:val="16"/>
                <w:szCs w:val="16"/>
              </w:rPr>
              <w:t xml:space="preserve">     510.070,46 </w:t>
            </w:r>
          </w:p>
        </w:tc>
      </w:tr>
      <w:tr w:rsidR="007C3E55" w14:paraId="2CB51D87" w14:textId="77777777" w:rsidTr="00204064">
        <w:trPr>
          <w:trHeight w:val="300"/>
        </w:trPr>
        <w:tc>
          <w:tcPr>
            <w:tcW w:w="960" w:type="dxa"/>
            <w:tcBorders>
              <w:top w:val="nil"/>
              <w:left w:val="nil"/>
              <w:bottom w:val="nil"/>
              <w:right w:val="nil"/>
            </w:tcBorders>
            <w:shd w:val="clear" w:color="auto" w:fill="auto"/>
            <w:noWrap/>
            <w:vAlign w:val="bottom"/>
            <w:hideMark/>
          </w:tcPr>
          <w:p w14:paraId="55CFE4F9" w14:textId="77777777" w:rsidR="007C3E55" w:rsidRDefault="007C3E55">
            <w:pPr>
              <w:rPr>
                <w:sz w:val="16"/>
                <w:szCs w:val="16"/>
              </w:rPr>
            </w:pPr>
            <w:r>
              <w:rPr>
                <w:sz w:val="16"/>
                <w:szCs w:val="16"/>
              </w:rPr>
              <w:t>2025.</w:t>
            </w:r>
          </w:p>
        </w:tc>
        <w:tc>
          <w:tcPr>
            <w:tcW w:w="1420" w:type="dxa"/>
            <w:tcBorders>
              <w:top w:val="nil"/>
              <w:left w:val="nil"/>
              <w:bottom w:val="nil"/>
              <w:right w:val="nil"/>
            </w:tcBorders>
            <w:shd w:val="clear" w:color="auto" w:fill="auto"/>
            <w:noWrap/>
            <w:vAlign w:val="bottom"/>
            <w:hideMark/>
          </w:tcPr>
          <w:p w14:paraId="23900424" w14:textId="77777777" w:rsidR="007C3E55" w:rsidRDefault="007C3E55">
            <w:pPr>
              <w:rPr>
                <w:sz w:val="16"/>
                <w:szCs w:val="16"/>
              </w:rPr>
            </w:pPr>
            <w:r>
              <w:rPr>
                <w:sz w:val="16"/>
                <w:szCs w:val="16"/>
              </w:rPr>
              <w:t xml:space="preserve">          120.016,56 </w:t>
            </w:r>
          </w:p>
        </w:tc>
        <w:tc>
          <w:tcPr>
            <w:tcW w:w="1400" w:type="dxa"/>
            <w:tcBorders>
              <w:top w:val="nil"/>
              <w:left w:val="nil"/>
              <w:bottom w:val="nil"/>
              <w:right w:val="nil"/>
            </w:tcBorders>
            <w:shd w:val="clear" w:color="auto" w:fill="auto"/>
            <w:noWrap/>
            <w:vAlign w:val="bottom"/>
            <w:hideMark/>
          </w:tcPr>
          <w:p w14:paraId="66FBB131" w14:textId="77777777" w:rsidR="007C3E55" w:rsidRDefault="007C3E55">
            <w:pPr>
              <w:rPr>
                <w:sz w:val="16"/>
                <w:szCs w:val="16"/>
              </w:rPr>
            </w:pPr>
            <w:r>
              <w:rPr>
                <w:sz w:val="16"/>
                <w:szCs w:val="16"/>
              </w:rPr>
              <w:t xml:space="preserve">              4.448,79 </w:t>
            </w:r>
          </w:p>
        </w:tc>
        <w:tc>
          <w:tcPr>
            <w:tcW w:w="1420" w:type="dxa"/>
            <w:tcBorders>
              <w:top w:val="nil"/>
              <w:left w:val="nil"/>
              <w:bottom w:val="nil"/>
              <w:right w:val="nil"/>
            </w:tcBorders>
            <w:shd w:val="clear" w:color="auto" w:fill="auto"/>
            <w:noWrap/>
            <w:vAlign w:val="bottom"/>
            <w:hideMark/>
          </w:tcPr>
          <w:p w14:paraId="60C99604" w14:textId="77777777" w:rsidR="007C3E55" w:rsidRDefault="007C3E55">
            <w:pPr>
              <w:rPr>
                <w:sz w:val="16"/>
                <w:szCs w:val="16"/>
              </w:rPr>
            </w:pPr>
            <w:r>
              <w:rPr>
                <w:sz w:val="16"/>
                <w:szCs w:val="16"/>
              </w:rPr>
              <w:t xml:space="preserve">          124.465,35 </w:t>
            </w:r>
          </w:p>
        </w:tc>
        <w:tc>
          <w:tcPr>
            <w:tcW w:w="1180" w:type="dxa"/>
            <w:tcBorders>
              <w:top w:val="nil"/>
              <w:left w:val="nil"/>
              <w:bottom w:val="nil"/>
              <w:right w:val="nil"/>
            </w:tcBorders>
            <w:shd w:val="clear" w:color="auto" w:fill="auto"/>
            <w:noWrap/>
            <w:vAlign w:val="bottom"/>
            <w:hideMark/>
          </w:tcPr>
          <w:p w14:paraId="308D02E7" w14:textId="77777777" w:rsidR="007C3E55" w:rsidRDefault="007C3E55">
            <w:pPr>
              <w:rPr>
                <w:sz w:val="16"/>
                <w:szCs w:val="16"/>
              </w:rPr>
            </w:pPr>
            <w:r>
              <w:rPr>
                <w:sz w:val="16"/>
                <w:szCs w:val="16"/>
              </w:rPr>
              <w:t xml:space="preserve">     390.053,90 </w:t>
            </w:r>
          </w:p>
        </w:tc>
      </w:tr>
      <w:tr w:rsidR="007C3E55" w14:paraId="63D9DA7C" w14:textId="77777777" w:rsidTr="00204064">
        <w:trPr>
          <w:trHeight w:val="300"/>
        </w:trPr>
        <w:tc>
          <w:tcPr>
            <w:tcW w:w="960" w:type="dxa"/>
            <w:tcBorders>
              <w:top w:val="nil"/>
              <w:left w:val="nil"/>
              <w:bottom w:val="nil"/>
              <w:right w:val="nil"/>
            </w:tcBorders>
            <w:shd w:val="clear" w:color="auto" w:fill="auto"/>
            <w:noWrap/>
            <w:vAlign w:val="bottom"/>
            <w:hideMark/>
          </w:tcPr>
          <w:p w14:paraId="3B3A9411" w14:textId="77777777" w:rsidR="007C3E55" w:rsidRDefault="007C3E55">
            <w:pPr>
              <w:rPr>
                <w:sz w:val="16"/>
                <w:szCs w:val="16"/>
              </w:rPr>
            </w:pPr>
            <w:r>
              <w:rPr>
                <w:sz w:val="16"/>
                <w:szCs w:val="16"/>
              </w:rPr>
              <w:t>2026.</w:t>
            </w:r>
          </w:p>
        </w:tc>
        <w:tc>
          <w:tcPr>
            <w:tcW w:w="1420" w:type="dxa"/>
            <w:tcBorders>
              <w:top w:val="nil"/>
              <w:left w:val="nil"/>
              <w:bottom w:val="nil"/>
              <w:right w:val="nil"/>
            </w:tcBorders>
            <w:shd w:val="clear" w:color="auto" w:fill="auto"/>
            <w:noWrap/>
            <w:vAlign w:val="bottom"/>
            <w:hideMark/>
          </w:tcPr>
          <w:p w14:paraId="514F29B7" w14:textId="77777777" w:rsidR="007C3E55" w:rsidRDefault="007C3E55">
            <w:pPr>
              <w:rPr>
                <w:sz w:val="16"/>
                <w:szCs w:val="16"/>
              </w:rPr>
            </w:pPr>
            <w:r>
              <w:rPr>
                <w:sz w:val="16"/>
                <w:szCs w:val="16"/>
              </w:rPr>
              <w:t xml:space="preserve">          120.016,56 </w:t>
            </w:r>
          </w:p>
        </w:tc>
        <w:tc>
          <w:tcPr>
            <w:tcW w:w="1400" w:type="dxa"/>
            <w:tcBorders>
              <w:top w:val="nil"/>
              <w:left w:val="nil"/>
              <w:bottom w:val="nil"/>
              <w:right w:val="nil"/>
            </w:tcBorders>
            <w:shd w:val="clear" w:color="auto" w:fill="auto"/>
            <w:noWrap/>
            <w:vAlign w:val="bottom"/>
            <w:hideMark/>
          </w:tcPr>
          <w:p w14:paraId="65002DA4" w14:textId="77777777" w:rsidR="007C3E55" w:rsidRDefault="007C3E55">
            <w:pPr>
              <w:rPr>
                <w:sz w:val="16"/>
                <w:szCs w:val="16"/>
              </w:rPr>
            </w:pPr>
            <w:r>
              <w:rPr>
                <w:sz w:val="16"/>
                <w:szCs w:val="16"/>
              </w:rPr>
              <w:t xml:space="preserve">              3.248,67 </w:t>
            </w:r>
          </w:p>
        </w:tc>
        <w:tc>
          <w:tcPr>
            <w:tcW w:w="1420" w:type="dxa"/>
            <w:tcBorders>
              <w:top w:val="nil"/>
              <w:left w:val="nil"/>
              <w:bottom w:val="nil"/>
              <w:right w:val="nil"/>
            </w:tcBorders>
            <w:shd w:val="clear" w:color="auto" w:fill="auto"/>
            <w:noWrap/>
            <w:vAlign w:val="bottom"/>
            <w:hideMark/>
          </w:tcPr>
          <w:p w14:paraId="52E3D673" w14:textId="77777777" w:rsidR="007C3E55" w:rsidRDefault="007C3E55">
            <w:pPr>
              <w:rPr>
                <w:sz w:val="16"/>
                <w:szCs w:val="16"/>
              </w:rPr>
            </w:pPr>
            <w:r>
              <w:rPr>
                <w:sz w:val="16"/>
                <w:szCs w:val="16"/>
              </w:rPr>
              <w:t xml:space="preserve">          123.265,23 </w:t>
            </w:r>
          </w:p>
        </w:tc>
        <w:tc>
          <w:tcPr>
            <w:tcW w:w="1180" w:type="dxa"/>
            <w:tcBorders>
              <w:top w:val="nil"/>
              <w:left w:val="nil"/>
              <w:bottom w:val="nil"/>
              <w:right w:val="nil"/>
            </w:tcBorders>
            <w:shd w:val="clear" w:color="auto" w:fill="auto"/>
            <w:noWrap/>
            <w:vAlign w:val="bottom"/>
            <w:hideMark/>
          </w:tcPr>
          <w:p w14:paraId="09A6ECDF" w14:textId="77777777" w:rsidR="007C3E55" w:rsidRDefault="007C3E55">
            <w:pPr>
              <w:rPr>
                <w:sz w:val="16"/>
                <w:szCs w:val="16"/>
              </w:rPr>
            </w:pPr>
            <w:r>
              <w:rPr>
                <w:sz w:val="16"/>
                <w:szCs w:val="16"/>
              </w:rPr>
              <w:t xml:space="preserve">     270.037,34 </w:t>
            </w:r>
          </w:p>
        </w:tc>
      </w:tr>
      <w:tr w:rsidR="007C3E55" w14:paraId="0C92CE54" w14:textId="77777777" w:rsidTr="00204064">
        <w:trPr>
          <w:trHeight w:val="300"/>
        </w:trPr>
        <w:tc>
          <w:tcPr>
            <w:tcW w:w="960" w:type="dxa"/>
            <w:tcBorders>
              <w:top w:val="nil"/>
              <w:left w:val="nil"/>
              <w:bottom w:val="nil"/>
              <w:right w:val="nil"/>
            </w:tcBorders>
            <w:shd w:val="clear" w:color="auto" w:fill="auto"/>
            <w:noWrap/>
            <w:vAlign w:val="bottom"/>
            <w:hideMark/>
          </w:tcPr>
          <w:p w14:paraId="379FBF15" w14:textId="77777777" w:rsidR="007C3E55" w:rsidRDefault="007C3E55">
            <w:pPr>
              <w:rPr>
                <w:sz w:val="16"/>
                <w:szCs w:val="16"/>
              </w:rPr>
            </w:pPr>
            <w:r>
              <w:rPr>
                <w:sz w:val="16"/>
                <w:szCs w:val="16"/>
              </w:rPr>
              <w:t>2027.</w:t>
            </w:r>
          </w:p>
        </w:tc>
        <w:tc>
          <w:tcPr>
            <w:tcW w:w="1420" w:type="dxa"/>
            <w:tcBorders>
              <w:top w:val="nil"/>
              <w:left w:val="nil"/>
              <w:bottom w:val="nil"/>
              <w:right w:val="nil"/>
            </w:tcBorders>
            <w:shd w:val="clear" w:color="auto" w:fill="auto"/>
            <w:noWrap/>
            <w:vAlign w:val="bottom"/>
            <w:hideMark/>
          </w:tcPr>
          <w:p w14:paraId="06726206" w14:textId="77777777" w:rsidR="007C3E55" w:rsidRDefault="007C3E55">
            <w:pPr>
              <w:rPr>
                <w:sz w:val="16"/>
                <w:szCs w:val="16"/>
              </w:rPr>
            </w:pPr>
            <w:r>
              <w:rPr>
                <w:sz w:val="16"/>
                <w:szCs w:val="16"/>
              </w:rPr>
              <w:t xml:space="preserve">          120.016,56 </w:t>
            </w:r>
          </w:p>
        </w:tc>
        <w:tc>
          <w:tcPr>
            <w:tcW w:w="1400" w:type="dxa"/>
            <w:tcBorders>
              <w:top w:val="nil"/>
              <w:left w:val="nil"/>
              <w:bottom w:val="nil"/>
              <w:right w:val="nil"/>
            </w:tcBorders>
            <w:shd w:val="clear" w:color="auto" w:fill="auto"/>
            <w:noWrap/>
            <w:vAlign w:val="bottom"/>
            <w:hideMark/>
          </w:tcPr>
          <w:p w14:paraId="6D27280A" w14:textId="77777777" w:rsidR="007C3E55" w:rsidRDefault="007C3E55">
            <w:pPr>
              <w:rPr>
                <w:sz w:val="16"/>
                <w:szCs w:val="16"/>
              </w:rPr>
            </w:pPr>
            <w:r>
              <w:rPr>
                <w:sz w:val="16"/>
                <w:szCs w:val="16"/>
              </w:rPr>
              <w:t xml:space="preserve">              2.048,51 </w:t>
            </w:r>
          </w:p>
        </w:tc>
        <w:tc>
          <w:tcPr>
            <w:tcW w:w="1420" w:type="dxa"/>
            <w:tcBorders>
              <w:top w:val="nil"/>
              <w:left w:val="nil"/>
              <w:bottom w:val="nil"/>
              <w:right w:val="nil"/>
            </w:tcBorders>
            <w:shd w:val="clear" w:color="auto" w:fill="auto"/>
            <w:noWrap/>
            <w:vAlign w:val="bottom"/>
            <w:hideMark/>
          </w:tcPr>
          <w:p w14:paraId="1237F9C0" w14:textId="77777777" w:rsidR="007C3E55" w:rsidRDefault="007C3E55">
            <w:pPr>
              <w:rPr>
                <w:sz w:val="16"/>
                <w:szCs w:val="16"/>
              </w:rPr>
            </w:pPr>
            <w:r>
              <w:rPr>
                <w:sz w:val="16"/>
                <w:szCs w:val="16"/>
              </w:rPr>
              <w:t xml:space="preserve">          122.065,07 </w:t>
            </w:r>
          </w:p>
        </w:tc>
        <w:tc>
          <w:tcPr>
            <w:tcW w:w="1180" w:type="dxa"/>
            <w:tcBorders>
              <w:top w:val="nil"/>
              <w:left w:val="nil"/>
              <w:bottom w:val="nil"/>
              <w:right w:val="nil"/>
            </w:tcBorders>
            <w:shd w:val="clear" w:color="auto" w:fill="auto"/>
            <w:noWrap/>
            <w:vAlign w:val="bottom"/>
            <w:hideMark/>
          </w:tcPr>
          <w:p w14:paraId="087506CE" w14:textId="77777777" w:rsidR="007C3E55" w:rsidRDefault="007C3E55">
            <w:pPr>
              <w:rPr>
                <w:sz w:val="16"/>
                <w:szCs w:val="16"/>
              </w:rPr>
            </w:pPr>
            <w:r>
              <w:rPr>
                <w:sz w:val="16"/>
                <w:szCs w:val="16"/>
              </w:rPr>
              <w:t xml:space="preserve">     150.020,78 </w:t>
            </w:r>
          </w:p>
        </w:tc>
      </w:tr>
      <w:tr w:rsidR="007C3E55" w14:paraId="34212D04" w14:textId="77777777" w:rsidTr="00204064">
        <w:trPr>
          <w:trHeight w:val="300"/>
        </w:trPr>
        <w:tc>
          <w:tcPr>
            <w:tcW w:w="960" w:type="dxa"/>
            <w:tcBorders>
              <w:top w:val="nil"/>
              <w:left w:val="nil"/>
              <w:bottom w:val="nil"/>
              <w:right w:val="nil"/>
            </w:tcBorders>
            <w:shd w:val="clear" w:color="auto" w:fill="auto"/>
            <w:noWrap/>
            <w:vAlign w:val="bottom"/>
            <w:hideMark/>
          </w:tcPr>
          <w:p w14:paraId="7702168C" w14:textId="77777777" w:rsidR="007C3E55" w:rsidRDefault="007C3E55">
            <w:pPr>
              <w:rPr>
                <w:sz w:val="16"/>
                <w:szCs w:val="16"/>
              </w:rPr>
            </w:pPr>
            <w:r>
              <w:rPr>
                <w:sz w:val="16"/>
                <w:szCs w:val="16"/>
              </w:rPr>
              <w:t>2028.</w:t>
            </w:r>
          </w:p>
        </w:tc>
        <w:tc>
          <w:tcPr>
            <w:tcW w:w="1420" w:type="dxa"/>
            <w:tcBorders>
              <w:top w:val="nil"/>
              <w:left w:val="nil"/>
              <w:bottom w:val="nil"/>
              <w:right w:val="nil"/>
            </w:tcBorders>
            <w:shd w:val="clear" w:color="auto" w:fill="auto"/>
            <w:noWrap/>
            <w:vAlign w:val="bottom"/>
            <w:hideMark/>
          </w:tcPr>
          <w:p w14:paraId="2627F53E" w14:textId="77777777" w:rsidR="007C3E55" w:rsidRDefault="007C3E55">
            <w:pPr>
              <w:rPr>
                <w:sz w:val="16"/>
                <w:szCs w:val="16"/>
              </w:rPr>
            </w:pPr>
            <w:r>
              <w:rPr>
                <w:sz w:val="16"/>
                <w:szCs w:val="16"/>
              </w:rPr>
              <w:t xml:space="preserve">          120.016,56 </w:t>
            </w:r>
          </w:p>
        </w:tc>
        <w:tc>
          <w:tcPr>
            <w:tcW w:w="1400" w:type="dxa"/>
            <w:tcBorders>
              <w:top w:val="nil"/>
              <w:left w:val="nil"/>
              <w:bottom w:val="nil"/>
              <w:right w:val="nil"/>
            </w:tcBorders>
            <w:shd w:val="clear" w:color="auto" w:fill="auto"/>
            <w:noWrap/>
            <w:vAlign w:val="bottom"/>
            <w:hideMark/>
          </w:tcPr>
          <w:p w14:paraId="65F81314" w14:textId="77777777" w:rsidR="007C3E55" w:rsidRDefault="007C3E55">
            <w:pPr>
              <w:rPr>
                <w:sz w:val="16"/>
                <w:szCs w:val="16"/>
              </w:rPr>
            </w:pPr>
            <w:r>
              <w:rPr>
                <w:sz w:val="16"/>
                <w:szCs w:val="16"/>
              </w:rPr>
              <w:t xml:space="preserve">                 849,31 </w:t>
            </w:r>
          </w:p>
        </w:tc>
        <w:tc>
          <w:tcPr>
            <w:tcW w:w="1420" w:type="dxa"/>
            <w:tcBorders>
              <w:top w:val="nil"/>
              <w:left w:val="nil"/>
              <w:bottom w:val="nil"/>
              <w:right w:val="nil"/>
            </w:tcBorders>
            <w:shd w:val="clear" w:color="auto" w:fill="auto"/>
            <w:noWrap/>
            <w:vAlign w:val="bottom"/>
            <w:hideMark/>
          </w:tcPr>
          <w:p w14:paraId="7900D202" w14:textId="77777777" w:rsidR="007C3E55" w:rsidRDefault="007C3E55">
            <w:pPr>
              <w:rPr>
                <w:sz w:val="16"/>
                <w:szCs w:val="16"/>
              </w:rPr>
            </w:pPr>
            <w:r>
              <w:rPr>
                <w:sz w:val="16"/>
                <w:szCs w:val="16"/>
              </w:rPr>
              <w:t xml:space="preserve">          120.865,87 </w:t>
            </w:r>
          </w:p>
        </w:tc>
        <w:tc>
          <w:tcPr>
            <w:tcW w:w="1180" w:type="dxa"/>
            <w:tcBorders>
              <w:top w:val="nil"/>
              <w:left w:val="nil"/>
              <w:bottom w:val="nil"/>
              <w:right w:val="nil"/>
            </w:tcBorders>
            <w:shd w:val="clear" w:color="auto" w:fill="auto"/>
            <w:noWrap/>
            <w:vAlign w:val="bottom"/>
            <w:hideMark/>
          </w:tcPr>
          <w:p w14:paraId="2F859E93" w14:textId="77777777" w:rsidR="007C3E55" w:rsidRDefault="007C3E55">
            <w:pPr>
              <w:rPr>
                <w:sz w:val="16"/>
                <w:szCs w:val="16"/>
              </w:rPr>
            </w:pPr>
            <w:r>
              <w:rPr>
                <w:sz w:val="16"/>
                <w:szCs w:val="16"/>
              </w:rPr>
              <w:t xml:space="preserve">       30.004,22 </w:t>
            </w:r>
          </w:p>
        </w:tc>
      </w:tr>
      <w:tr w:rsidR="007C3E55" w14:paraId="63624134" w14:textId="77777777" w:rsidTr="00204064">
        <w:trPr>
          <w:trHeight w:val="300"/>
        </w:trPr>
        <w:tc>
          <w:tcPr>
            <w:tcW w:w="960" w:type="dxa"/>
            <w:tcBorders>
              <w:top w:val="nil"/>
              <w:left w:val="nil"/>
              <w:bottom w:val="nil"/>
              <w:right w:val="nil"/>
            </w:tcBorders>
            <w:shd w:val="clear" w:color="auto" w:fill="auto"/>
            <w:noWrap/>
            <w:vAlign w:val="bottom"/>
            <w:hideMark/>
          </w:tcPr>
          <w:p w14:paraId="77C8D475" w14:textId="77777777" w:rsidR="007C3E55" w:rsidRDefault="007C3E55">
            <w:pPr>
              <w:rPr>
                <w:sz w:val="16"/>
                <w:szCs w:val="16"/>
              </w:rPr>
            </w:pPr>
            <w:r>
              <w:rPr>
                <w:sz w:val="16"/>
                <w:szCs w:val="16"/>
              </w:rPr>
              <w:t>2029.</w:t>
            </w:r>
          </w:p>
        </w:tc>
        <w:tc>
          <w:tcPr>
            <w:tcW w:w="1420" w:type="dxa"/>
            <w:tcBorders>
              <w:top w:val="nil"/>
              <w:left w:val="nil"/>
              <w:bottom w:val="nil"/>
              <w:right w:val="nil"/>
            </w:tcBorders>
            <w:shd w:val="clear" w:color="auto" w:fill="auto"/>
            <w:noWrap/>
            <w:vAlign w:val="bottom"/>
            <w:hideMark/>
          </w:tcPr>
          <w:p w14:paraId="6E8B7CD2" w14:textId="77777777" w:rsidR="007C3E55" w:rsidRDefault="007C3E55">
            <w:pPr>
              <w:rPr>
                <w:sz w:val="16"/>
                <w:szCs w:val="16"/>
              </w:rPr>
            </w:pPr>
            <w:r>
              <w:rPr>
                <w:sz w:val="16"/>
                <w:szCs w:val="16"/>
              </w:rPr>
              <w:t xml:space="preserve">            30.004,22 </w:t>
            </w:r>
          </w:p>
        </w:tc>
        <w:tc>
          <w:tcPr>
            <w:tcW w:w="1400" w:type="dxa"/>
            <w:tcBorders>
              <w:top w:val="nil"/>
              <w:left w:val="nil"/>
              <w:bottom w:val="nil"/>
              <w:right w:val="nil"/>
            </w:tcBorders>
            <w:shd w:val="clear" w:color="auto" w:fill="auto"/>
            <w:noWrap/>
            <w:vAlign w:val="bottom"/>
            <w:hideMark/>
          </w:tcPr>
          <w:p w14:paraId="784068EA" w14:textId="77777777" w:rsidR="007C3E55" w:rsidRDefault="007C3E55">
            <w:pPr>
              <w:rPr>
                <w:sz w:val="16"/>
                <w:szCs w:val="16"/>
              </w:rPr>
            </w:pPr>
            <w:r>
              <w:rPr>
                <w:sz w:val="16"/>
                <w:szCs w:val="16"/>
              </w:rPr>
              <w:t xml:space="preserve">                   25,48 </w:t>
            </w:r>
          </w:p>
        </w:tc>
        <w:tc>
          <w:tcPr>
            <w:tcW w:w="1420" w:type="dxa"/>
            <w:tcBorders>
              <w:top w:val="nil"/>
              <w:left w:val="nil"/>
              <w:bottom w:val="nil"/>
              <w:right w:val="nil"/>
            </w:tcBorders>
            <w:shd w:val="clear" w:color="auto" w:fill="auto"/>
            <w:noWrap/>
            <w:vAlign w:val="bottom"/>
            <w:hideMark/>
          </w:tcPr>
          <w:p w14:paraId="5A05D71C" w14:textId="77777777" w:rsidR="007C3E55" w:rsidRDefault="007C3E55">
            <w:pPr>
              <w:rPr>
                <w:sz w:val="16"/>
                <w:szCs w:val="16"/>
              </w:rPr>
            </w:pPr>
            <w:r>
              <w:rPr>
                <w:sz w:val="16"/>
                <w:szCs w:val="16"/>
              </w:rPr>
              <w:t xml:space="preserve">            30.029,70 </w:t>
            </w:r>
          </w:p>
        </w:tc>
        <w:tc>
          <w:tcPr>
            <w:tcW w:w="1180" w:type="dxa"/>
            <w:tcBorders>
              <w:top w:val="nil"/>
              <w:left w:val="nil"/>
              <w:bottom w:val="nil"/>
              <w:right w:val="nil"/>
            </w:tcBorders>
            <w:shd w:val="clear" w:color="auto" w:fill="auto"/>
            <w:noWrap/>
            <w:vAlign w:val="bottom"/>
            <w:hideMark/>
          </w:tcPr>
          <w:p w14:paraId="2D1A41FD" w14:textId="77777777" w:rsidR="007C3E55" w:rsidRDefault="007C3E55">
            <w:pPr>
              <w:rPr>
                <w:sz w:val="16"/>
                <w:szCs w:val="16"/>
              </w:rPr>
            </w:pPr>
            <w:r>
              <w:rPr>
                <w:sz w:val="16"/>
                <w:szCs w:val="16"/>
              </w:rPr>
              <w:t xml:space="preserve">                0,00 </w:t>
            </w:r>
          </w:p>
        </w:tc>
      </w:tr>
      <w:tr w:rsidR="007C3E55" w14:paraId="29B039B6" w14:textId="77777777" w:rsidTr="00204064">
        <w:trPr>
          <w:trHeight w:val="300"/>
        </w:trPr>
        <w:tc>
          <w:tcPr>
            <w:tcW w:w="960" w:type="dxa"/>
            <w:tcBorders>
              <w:top w:val="single" w:sz="4" w:space="0" w:color="auto"/>
              <w:left w:val="nil"/>
              <w:bottom w:val="single" w:sz="4" w:space="0" w:color="auto"/>
              <w:right w:val="nil"/>
            </w:tcBorders>
            <w:shd w:val="clear" w:color="auto" w:fill="auto"/>
            <w:noWrap/>
            <w:vAlign w:val="bottom"/>
            <w:hideMark/>
          </w:tcPr>
          <w:p w14:paraId="4B6C4DDE" w14:textId="77777777" w:rsidR="007C3E55" w:rsidRDefault="007C3E55">
            <w:pPr>
              <w:rPr>
                <w:sz w:val="16"/>
                <w:szCs w:val="16"/>
              </w:rPr>
            </w:pPr>
            <w:r>
              <w:rPr>
                <w:sz w:val="16"/>
                <w:szCs w:val="16"/>
              </w:rPr>
              <w:t>sveukupno</w:t>
            </w:r>
          </w:p>
        </w:tc>
        <w:tc>
          <w:tcPr>
            <w:tcW w:w="1420" w:type="dxa"/>
            <w:tcBorders>
              <w:top w:val="single" w:sz="4" w:space="0" w:color="auto"/>
              <w:left w:val="nil"/>
              <w:bottom w:val="single" w:sz="4" w:space="0" w:color="auto"/>
              <w:right w:val="nil"/>
            </w:tcBorders>
            <w:shd w:val="clear" w:color="auto" w:fill="auto"/>
            <w:noWrap/>
            <w:vAlign w:val="bottom"/>
            <w:hideMark/>
          </w:tcPr>
          <w:p w14:paraId="14F41FA8" w14:textId="77777777" w:rsidR="007C3E55" w:rsidRDefault="007C3E55">
            <w:pPr>
              <w:rPr>
                <w:sz w:val="16"/>
                <w:szCs w:val="16"/>
              </w:rPr>
            </w:pPr>
            <w:r>
              <w:rPr>
                <w:sz w:val="16"/>
                <w:szCs w:val="16"/>
              </w:rPr>
              <w:t xml:space="preserve">          840.116,00 </w:t>
            </w:r>
          </w:p>
        </w:tc>
        <w:tc>
          <w:tcPr>
            <w:tcW w:w="1400" w:type="dxa"/>
            <w:tcBorders>
              <w:top w:val="single" w:sz="4" w:space="0" w:color="auto"/>
              <w:left w:val="nil"/>
              <w:bottom w:val="single" w:sz="4" w:space="0" w:color="auto"/>
              <w:right w:val="nil"/>
            </w:tcBorders>
            <w:shd w:val="clear" w:color="auto" w:fill="auto"/>
            <w:noWrap/>
            <w:vAlign w:val="bottom"/>
            <w:hideMark/>
          </w:tcPr>
          <w:p w14:paraId="746F39FC" w14:textId="77777777" w:rsidR="007C3E55" w:rsidRDefault="007C3E55">
            <w:pPr>
              <w:rPr>
                <w:sz w:val="16"/>
                <w:szCs w:val="16"/>
              </w:rPr>
            </w:pPr>
            <w:r>
              <w:rPr>
                <w:sz w:val="16"/>
                <w:szCs w:val="16"/>
              </w:rPr>
              <w:t xml:space="preserve">            34.665,36 </w:t>
            </w:r>
          </w:p>
        </w:tc>
        <w:tc>
          <w:tcPr>
            <w:tcW w:w="1420" w:type="dxa"/>
            <w:tcBorders>
              <w:top w:val="single" w:sz="4" w:space="0" w:color="auto"/>
              <w:left w:val="nil"/>
              <w:bottom w:val="single" w:sz="4" w:space="0" w:color="auto"/>
              <w:right w:val="nil"/>
            </w:tcBorders>
            <w:shd w:val="clear" w:color="auto" w:fill="auto"/>
            <w:noWrap/>
            <w:vAlign w:val="bottom"/>
            <w:hideMark/>
          </w:tcPr>
          <w:p w14:paraId="6A105D19" w14:textId="77777777" w:rsidR="007C3E55" w:rsidRDefault="007C3E55">
            <w:pPr>
              <w:rPr>
                <w:sz w:val="16"/>
                <w:szCs w:val="16"/>
              </w:rPr>
            </w:pPr>
            <w:r>
              <w:rPr>
                <w:sz w:val="16"/>
                <w:szCs w:val="16"/>
              </w:rPr>
              <w:t xml:space="preserve">          874.781,36 </w:t>
            </w:r>
          </w:p>
        </w:tc>
        <w:tc>
          <w:tcPr>
            <w:tcW w:w="1180" w:type="dxa"/>
            <w:tcBorders>
              <w:top w:val="single" w:sz="4" w:space="0" w:color="auto"/>
              <w:left w:val="nil"/>
              <w:bottom w:val="single" w:sz="4" w:space="0" w:color="auto"/>
              <w:right w:val="nil"/>
            </w:tcBorders>
            <w:shd w:val="clear" w:color="auto" w:fill="auto"/>
            <w:noWrap/>
            <w:vAlign w:val="bottom"/>
            <w:hideMark/>
          </w:tcPr>
          <w:p w14:paraId="10D07F4C" w14:textId="77777777" w:rsidR="007C3E55" w:rsidRDefault="007C3E55">
            <w:pPr>
              <w:rPr>
                <w:sz w:val="16"/>
                <w:szCs w:val="16"/>
              </w:rPr>
            </w:pPr>
            <w:r>
              <w:rPr>
                <w:sz w:val="16"/>
                <w:szCs w:val="16"/>
              </w:rPr>
              <w:t> </w:t>
            </w:r>
          </w:p>
        </w:tc>
      </w:tr>
    </w:tbl>
    <w:p w14:paraId="0E8B4D4E" w14:textId="77777777" w:rsidR="00743F01" w:rsidRDefault="00743F01" w:rsidP="00C164EF"/>
    <w:p w14:paraId="75C232C3" w14:textId="6D0C5E51" w:rsidR="00C164EF" w:rsidRDefault="00E95111" w:rsidP="00C164EF">
      <w:r w:rsidRPr="0033296A">
        <w:t>Gradsko vijeće je 22. listopada 2020. godine donijelo Odluku o kreditnom zaduženju kod Hrvatske banke za obnovu i razvitak (</w:t>
      </w:r>
      <w:r w:rsidR="00976D43">
        <w:t>KLASA</w:t>
      </w:r>
      <w:r w:rsidRPr="0033296A">
        <w:t xml:space="preserve">: 403-01/20-01/05, </w:t>
      </w:r>
      <w:r w:rsidR="00976D43">
        <w:t>URBROJ</w:t>
      </w:r>
      <w:r w:rsidRPr="0033296A">
        <w:t>: 2105/01-02/01-20-25)</w:t>
      </w:r>
      <w:r w:rsidR="00C87BED">
        <w:t xml:space="preserve"> z</w:t>
      </w:r>
      <w:r w:rsidR="00C87BED" w:rsidRPr="0033296A">
        <w:t>a financiranje projekta Zamjene javne rasvjete LED rasvjetom</w:t>
      </w:r>
      <w:r w:rsidRPr="0033296A">
        <w:t xml:space="preserve">. </w:t>
      </w:r>
      <w:r w:rsidR="009075FA" w:rsidRPr="0033296A">
        <w:t xml:space="preserve">Vlada RH donijela je Odluku o davanju suglasnosti Gradu Bujama za zaduženje kod Hrvatske banke za obnovu i razvitak </w:t>
      </w:r>
      <w:r w:rsidR="00C87BED" w:rsidRPr="0033296A">
        <w:t>(</w:t>
      </w:r>
      <w:r w:rsidR="00976D43">
        <w:t>KLASA</w:t>
      </w:r>
      <w:r w:rsidR="00C87BED" w:rsidRPr="0033296A">
        <w:t>: 022-03/20-04/50</w:t>
      </w:r>
      <w:r w:rsidR="00C87BED">
        <w:t>7</w:t>
      </w:r>
      <w:r w:rsidR="00C87BED" w:rsidRPr="0033296A">
        <w:t xml:space="preserve">, </w:t>
      </w:r>
      <w:r w:rsidR="00976D43">
        <w:t>URBROJ</w:t>
      </w:r>
      <w:r w:rsidR="00C87BED" w:rsidRPr="0033296A">
        <w:t xml:space="preserve">: 50301-05/16-20-2 od 23. prosinca 2020.) </w:t>
      </w:r>
      <w:r w:rsidR="009075FA" w:rsidRPr="0033296A">
        <w:t>u iznosu od 1.654.489,44 kune, s rokom otplate kredita od sedam godina uz poček od šest mjeseci, u jednakim tromjesečnim ratama, uz fiksnu kamatnu stopu 0,5% i bez naknade za obradu kredita.</w:t>
      </w:r>
      <w:r w:rsidR="00C87BED">
        <w:t xml:space="preserve"> </w:t>
      </w:r>
      <w:r w:rsidR="009075FA" w:rsidRPr="0033296A">
        <w:t xml:space="preserve">Ugovor o kreditu s Hrvatskom bankom za obnovu i razvitak </w:t>
      </w:r>
      <w:r w:rsidR="00C87BED">
        <w:t>(broj ESJR-20-</w:t>
      </w:r>
      <w:r w:rsidR="00C87BED">
        <w:lastRenderedPageBreak/>
        <w:t xml:space="preserve">1101325) sklopljen je 30.12.2020. godine. </w:t>
      </w:r>
      <w:r w:rsidR="000238B6">
        <w:t>Kreditna sredstv</w:t>
      </w:r>
      <w:r w:rsidR="0026281D">
        <w:t>a</w:t>
      </w:r>
      <w:r w:rsidR="000238B6">
        <w:t xml:space="preserve"> iskorištena su u potpunosti</w:t>
      </w:r>
      <w:r w:rsidR="00EB4A93">
        <w:t>. Stanje glavnice kredita na dan 01.01.2022. godine iznosilo je 1.595.400,53 kuna,</w:t>
      </w:r>
      <w:r w:rsidR="000238B6">
        <w:t xml:space="preserve"> a u </w:t>
      </w:r>
      <w:r w:rsidR="00EB4A93">
        <w:t>2022. godin</w:t>
      </w:r>
      <w:r w:rsidR="00976D43">
        <w:t>i</w:t>
      </w:r>
      <w:r w:rsidR="00EB4A93">
        <w:t xml:space="preserve"> </w:t>
      </w:r>
      <w:r w:rsidR="000238B6">
        <w:t>otplaćen</w:t>
      </w:r>
      <w:r w:rsidR="00976D43">
        <w:t>o</w:t>
      </w:r>
      <w:r w:rsidR="000238B6">
        <w:t xml:space="preserve"> </w:t>
      </w:r>
      <w:r w:rsidR="00976D43">
        <w:t>je 236.355,64 kuna</w:t>
      </w:r>
      <w:r w:rsidR="000238B6">
        <w:t xml:space="preserve"> te je stanje kredita na dan 3</w:t>
      </w:r>
      <w:r w:rsidR="00976D43">
        <w:t>1.12</w:t>
      </w:r>
      <w:r w:rsidR="000238B6">
        <w:t>.202</w:t>
      </w:r>
      <w:r w:rsidR="00EB4A93">
        <w:t>2</w:t>
      </w:r>
      <w:r w:rsidR="000238B6">
        <w:t>. godine</w:t>
      </w:r>
      <w:r w:rsidR="00C87BED">
        <w:t xml:space="preserve"> </w:t>
      </w:r>
      <w:r w:rsidR="00976D43">
        <w:t>1.359.044,89</w:t>
      </w:r>
      <w:r w:rsidR="00C87BED">
        <w:t xml:space="preserve"> kun</w:t>
      </w:r>
      <w:r w:rsidR="002F2B00">
        <w:t>a</w:t>
      </w:r>
      <w:r w:rsidR="00C87BED">
        <w:t>.</w:t>
      </w:r>
      <w:r w:rsidR="002F2B00">
        <w:t xml:space="preserve"> </w:t>
      </w:r>
      <w:r w:rsidR="00C164EF" w:rsidRPr="0033296A">
        <w:t>Dinamika otplate kreditne obveze po godinama prikazana je u sljedećoj tablici.</w:t>
      </w:r>
    </w:p>
    <w:tbl>
      <w:tblPr>
        <w:tblW w:w="6160" w:type="dxa"/>
        <w:tblLook w:val="04A0" w:firstRow="1" w:lastRow="0" w:firstColumn="1" w:lastColumn="0" w:noHBand="0" w:noVBand="1"/>
      </w:tblPr>
      <w:tblGrid>
        <w:gridCol w:w="960"/>
        <w:gridCol w:w="1420"/>
        <w:gridCol w:w="1180"/>
        <w:gridCol w:w="1420"/>
        <w:gridCol w:w="1180"/>
      </w:tblGrid>
      <w:tr w:rsidR="00E74AF7" w14:paraId="5E009827" w14:textId="77777777" w:rsidTr="00E74AF7">
        <w:trPr>
          <w:trHeight w:val="300"/>
        </w:trPr>
        <w:tc>
          <w:tcPr>
            <w:tcW w:w="6160" w:type="dxa"/>
            <w:gridSpan w:val="5"/>
            <w:tcBorders>
              <w:top w:val="nil"/>
              <w:left w:val="nil"/>
              <w:bottom w:val="nil"/>
              <w:right w:val="nil"/>
            </w:tcBorders>
            <w:shd w:val="clear" w:color="auto" w:fill="auto"/>
            <w:noWrap/>
            <w:vAlign w:val="bottom"/>
            <w:hideMark/>
          </w:tcPr>
          <w:p w14:paraId="4EB70326" w14:textId="77777777" w:rsidR="00E74AF7" w:rsidRDefault="00E74AF7">
            <w:pPr>
              <w:jc w:val="center"/>
              <w:rPr>
                <w:sz w:val="16"/>
                <w:szCs w:val="16"/>
              </w:rPr>
            </w:pPr>
            <w:r>
              <w:rPr>
                <w:sz w:val="16"/>
                <w:szCs w:val="16"/>
              </w:rPr>
              <w:t xml:space="preserve">GODIŠNJI OTPLATNI PLAN </w:t>
            </w:r>
          </w:p>
        </w:tc>
      </w:tr>
      <w:tr w:rsidR="00E74AF7" w14:paraId="61B8F4F1" w14:textId="77777777" w:rsidTr="00E74AF7">
        <w:trPr>
          <w:trHeight w:val="600"/>
        </w:trPr>
        <w:tc>
          <w:tcPr>
            <w:tcW w:w="6160" w:type="dxa"/>
            <w:gridSpan w:val="5"/>
            <w:tcBorders>
              <w:top w:val="nil"/>
              <w:left w:val="nil"/>
              <w:bottom w:val="nil"/>
              <w:right w:val="nil"/>
            </w:tcBorders>
            <w:shd w:val="clear" w:color="auto" w:fill="auto"/>
            <w:vAlign w:val="bottom"/>
            <w:hideMark/>
          </w:tcPr>
          <w:p w14:paraId="57DA032F" w14:textId="77777777" w:rsidR="00E74AF7" w:rsidRDefault="00E74AF7">
            <w:pPr>
              <w:jc w:val="center"/>
              <w:rPr>
                <w:sz w:val="16"/>
                <w:szCs w:val="16"/>
              </w:rPr>
            </w:pPr>
            <w:r>
              <w:rPr>
                <w:sz w:val="16"/>
                <w:szCs w:val="16"/>
              </w:rPr>
              <w:t>HRVATSKA BANKA ZA OBNOVU I RAZVITAK - dugoročni kredit broj ESJR-20-1101325</w:t>
            </w:r>
          </w:p>
        </w:tc>
      </w:tr>
      <w:tr w:rsidR="00E74AF7" w14:paraId="2599F3BC" w14:textId="77777777" w:rsidTr="00E74AF7">
        <w:trPr>
          <w:trHeight w:val="300"/>
        </w:trPr>
        <w:tc>
          <w:tcPr>
            <w:tcW w:w="960" w:type="dxa"/>
            <w:tcBorders>
              <w:top w:val="nil"/>
              <w:left w:val="nil"/>
              <w:bottom w:val="nil"/>
              <w:right w:val="nil"/>
            </w:tcBorders>
            <w:shd w:val="clear" w:color="auto" w:fill="auto"/>
            <w:noWrap/>
            <w:vAlign w:val="bottom"/>
            <w:hideMark/>
          </w:tcPr>
          <w:p w14:paraId="0F99BDB6" w14:textId="77777777" w:rsidR="00E74AF7" w:rsidRDefault="00E74AF7">
            <w:pPr>
              <w:jc w:val="center"/>
              <w:rPr>
                <w:sz w:val="16"/>
                <w:szCs w:val="16"/>
              </w:rPr>
            </w:pPr>
          </w:p>
        </w:tc>
        <w:tc>
          <w:tcPr>
            <w:tcW w:w="1420" w:type="dxa"/>
            <w:tcBorders>
              <w:top w:val="nil"/>
              <w:left w:val="nil"/>
              <w:bottom w:val="nil"/>
              <w:right w:val="nil"/>
            </w:tcBorders>
            <w:shd w:val="clear" w:color="auto" w:fill="auto"/>
            <w:noWrap/>
            <w:vAlign w:val="bottom"/>
            <w:hideMark/>
          </w:tcPr>
          <w:p w14:paraId="180FA1C5" w14:textId="77777777" w:rsidR="00E74AF7" w:rsidRDefault="00E74AF7">
            <w:pPr>
              <w:rPr>
                <w:sz w:val="20"/>
                <w:szCs w:val="20"/>
              </w:rPr>
            </w:pPr>
          </w:p>
        </w:tc>
        <w:tc>
          <w:tcPr>
            <w:tcW w:w="1180" w:type="dxa"/>
            <w:tcBorders>
              <w:top w:val="nil"/>
              <w:left w:val="nil"/>
              <w:bottom w:val="nil"/>
              <w:right w:val="nil"/>
            </w:tcBorders>
            <w:shd w:val="clear" w:color="auto" w:fill="auto"/>
            <w:noWrap/>
            <w:vAlign w:val="bottom"/>
            <w:hideMark/>
          </w:tcPr>
          <w:p w14:paraId="2ABDD451" w14:textId="77777777" w:rsidR="00E74AF7" w:rsidRDefault="00E74AF7">
            <w:pPr>
              <w:rPr>
                <w:sz w:val="20"/>
                <w:szCs w:val="20"/>
              </w:rPr>
            </w:pPr>
          </w:p>
        </w:tc>
        <w:tc>
          <w:tcPr>
            <w:tcW w:w="1420" w:type="dxa"/>
            <w:tcBorders>
              <w:top w:val="nil"/>
              <w:left w:val="nil"/>
              <w:bottom w:val="nil"/>
              <w:right w:val="nil"/>
            </w:tcBorders>
            <w:shd w:val="clear" w:color="auto" w:fill="auto"/>
            <w:noWrap/>
            <w:vAlign w:val="bottom"/>
            <w:hideMark/>
          </w:tcPr>
          <w:p w14:paraId="4F86E16B" w14:textId="77777777" w:rsidR="00E74AF7" w:rsidRDefault="00E74AF7">
            <w:pPr>
              <w:rPr>
                <w:sz w:val="20"/>
                <w:szCs w:val="20"/>
              </w:rPr>
            </w:pPr>
          </w:p>
        </w:tc>
        <w:tc>
          <w:tcPr>
            <w:tcW w:w="1180" w:type="dxa"/>
            <w:tcBorders>
              <w:top w:val="nil"/>
              <w:left w:val="nil"/>
              <w:bottom w:val="nil"/>
              <w:right w:val="nil"/>
            </w:tcBorders>
            <w:shd w:val="clear" w:color="auto" w:fill="auto"/>
            <w:noWrap/>
            <w:vAlign w:val="bottom"/>
            <w:hideMark/>
          </w:tcPr>
          <w:p w14:paraId="0482B658" w14:textId="77777777" w:rsidR="00E74AF7" w:rsidRDefault="00E74AF7">
            <w:pPr>
              <w:rPr>
                <w:sz w:val="20"/>
                <w:szCs w:val="20"/>
              </w:rPr>
            </w:pPr>
          </w:p>
        </w:tc>
      </w:tr>
      <w:tr w:rsidR="00E74AF7" w14:paraId="508C369D" w14:textId="77777777" w:rsidTr="00E74AF7">
        <w:trPr>
          <w:trHeight w:val="465"/>
        </w:trPr>
        <w:tc>
          <w:tcPr>
            <w:tcW w:w="960" w:type="dxa"/>
            <w:tcBorders>
              <w:top w:val="single" w:sz="4" w:space="0" w:color="auto"/>
              <w:left w:val="nil"/>
              <w:bottom w:val="single" w:sz="4" w:space="0" w:color="auto"/>
              <w:right w:val="nil"/>
            </w:tcBorders>
            <w:shd w:val="clear" w:color="auto" w:fill="auto"/>
            <w:vAlign w:val="bottom"/>
            <w:hideMark/>
          </w:tcPr>
          <w:p w14:paraId="48CFDCFB" w14:textId="77777777" w:rsidR="00E74AF7" w:rsidRDefault="00E74AF7">
            <w:pPr>
              <w:jc w:val="center"/>
              <w:rPr>
                <w:sz w:val="16"/>
                <w:szCs w:val="16"/>
              </w:rPr>
            </w:pPr>
            <w:r>
              <w:rPr>
                <w:sz w:val="16"/>
                <w:szCs w:val="16"/>
              </w:rPr>
              <w:t>godina</w:t>
            </w:r>
          </w:p>
        </w:tc>
        <w:tc>
          <w:tcPr>
            <w:tcW w:w="1420" w:type="dxa"/>
            <w:tcBorders>
              <w:top w:val="single" w:sz="4" w:space="0" w:color="auto"/>
              <w:left w:val="nil"/>
              <w:bottom w:val="single" w:sz="4" w:space="0" w:color="auto"/>
              <w:right w:val="nil"/>
            </w:tcBorders>
            <w:shd w:val="clear" w:color="auto" w:fill="auto"/>
            <w:vAlign w:val="bottom"/>
            <w:hideMark/>
          </w:tcPr>
          <w:p w14:paraId="695D57DB" w14:textId="77777777" w:rsidR="00E74AF7" w:rsidRDefault="00E74AF7">
            <w:pPr>
              <w:jc w:val="center"/>
              <w:rPr>
                <w:sz w:val="16"/>
                <w:szCs w:val="16"/>
              </w:rPr>
            </w:pPr>
            <w:r>
              <w:rPr>
                <w:sz w:val="16"/>
                <w:szCs w:val="16"/>
              </w:rPr>
              <w:t>glavnica</w:t>
            </w:r>
          </w:p>
        </w:tc>
        <w:tc>
          <w:tcPr>
            <w:tcW w:w="1180" w:type="dxa"/>
            <w:tcBorders>
              <w:top w:val="single" w:sz="4" w:space="0" w:color="auto"/>
              <w:left w:val="nil"/>
              <w:bottom w:val="single" w:sz="4" w:space="0" w:color="auto"/>
              <w:right w:val="nil"/>
            </w:tcBorders>
            <w:shd w:val="clear" w:color="auto" w:fill="auto"/>
            <w:vAlign w:val="bottom"/>
            <w:hideMark/>
          </w:tcPr>
          <w:p w14:paraId="3D00621F" w14:textId="77777777" w:rsidR="00E74AF7" w:rsidRDefault="00E74AF7">
            <w:pPr>
              <w:jc w:val="center"/>
              <w:rPr>
                <w:sz w:val="16"/>
                <w:szCs w:val="16"/>
              </w:rPr>
            </w:pPr>
            <w:r>
              <w:rPr>
                <w:sz w:val="16"/>
                <w:szCs w:val="16"/>
              </w:rPr>
              <w:t>kamate</w:t>
            </w:r>
          </w:p>
        </w:tc>
        <w:tc>
          <w:tcPr>
            <w:tcW w:w="1420" w:type="dxa"/>
            <w:tcBorders>
              <w:top w:val="single" w:sz="4" w:space="0" w:color="auto"/>
              <w:left w:val="nil"/>
              <w:bottom w:val="single" w:sz="4" w:space="0" w:color="auto"/>
              <w:right w:val="nil"/>
            </w:tcBorders>
            <w:shd w:val="clear" w:color="auto" w:fill="auto"/>
            <w:vAlign w:val="bottom"/>
            <w:hideMark/>
          </w:tcPr>
          <w:p w14:paraId="52C118E0" w14:textId="77777777" w:rsidR="00E74AF7" w:rsidRDefault="00E74AF7">
            <w:pPr>
              <w:jc w:val="center"/>
              <w:rPr>
                <w:sz w:val="16"/>
                <w:szCs w:val="16"/>
              </w:rPr>
            </w:pPr>
            <w:r>
              <w:rPr>
                <w:sz w:val="16"/>
                <w:szCs w:val="16"/>
              </w:rPr>
              <w:t>ukupno</w:t>
            </w:r>
          </w:p>
        </w:tc>
        <w:tc>
          <w:tcPr>
            <w:tcW w:w="1180" w:type="dxa"/>
            <w:tcBorders>
              <w:top w:val="single" w:sz="4" w:space="0" w:color="auto"/>
              <w:left w:val="nil"/>
              <w:bottom w:val="single" w:sz="4" w:space="0" w:color="auto"/>
              <w:right w:val="nil"/>
            </w:tcBorders>
            <w:shd w:val="clear" w:color="auto" w:fill="auto"/>
            <w:vAlign w:val="bottom"/>
            <w:hideMark/>
          </w:tcPr>
          <w:p w14:paraId="54E42C81" w14:textId="77777777" w:rsidR="00E74AF7" w:rsidRDefault="00E74AF7">
            <w:pPr>
              <w:jc w:val="center"/>
              <w:rPr>
                <w:sz w:val="16"/>
                <w:szCs w:val="16"/>
              </w:rPr>
            </w:pPr>
            <w:r>
              <w:rPr>
                <w:sz w:val="16"/>
                <w:szCs w:val="16"/>
              </w:rPr>
              <w:t>stanje kredita</w:t>
            </w:r>
          </w:p>
        </w:tc>
      </w:tr>
      <w:tr w:rsidR="00E74AF7" w14:paraId="6BE3366C" w14:textId="77777777" w:rsidTr="00E74AF7">
        <w:trPr>
          <w:trHeight w:val="300"/>
        </w:trPr>
        <w:tc>
          <w:tcPr>
            <w:tcW w:w="960" w:type="dxa"/>
            <w:tcBorders>
              <w:top w:val="nil"/>
              <w:left w:val="nil"/>
              <w:bottom w:val="nil"/>
              <w:right w:val="nil"/>
            </w:tcBorders>
            <w:shd w:val="clear" w:color="auto" w:fill="auto"/>
            <w:noWrap/>
            <w:vAlign w:val="bottom"/>
            <w:hideMark/>
          </w:tcPr>
          <w:p w14:paraId="2E181880" w14:textId="77777777" w:rsidR="00E74AF7" w:rsidRDefault="00E74AF7">
            <w:pPr>
              <w:rPr>
                <w:sz w:val="16"/>
                <w:szCs w:val="16"/>
              </w:rPr>
            </w:pPr>
            <w:r>
              <w:rPr>
                <w:sz w:val="16"/>
                <w:szCs w:val="16"/>
              </w:rPr>
              <w:t>2021.</w:t>
            </w:r>
          </w:p>
        </w:tc>
        <w:tc>
          <w:tcPr>
            <w:tcW w:w="1420" w:type="dxa"/>
            <w:tcBorders>
              <w:top w:val="nil"/>
              <w:left w:val="nil"/>
              <w:bottom w:val="nil"/>
              <w:right w:val="nil"/>
            </w:tcBorders>
            <w:shd w:val="clear" w:color="auto" w:fill="auto"/>
            <w:noWrap/>
            <w:vAlign w:val="bottom"/>
            <w:hideMark/>
          </w:tcPr>
          <w:p w14:paraId="6D70BCD1" w14:textId="77777777" w:rsidR="00E74AF7" w:rsidRDefault="00E74AF7">
            <w:pPr>
              <w:rPr>
                <w:sz w:val="16"/>
                <w:szCs w:val="16"/>
              </w:rPr>
            </w:pPr>
            <w:r>
              <w:rPr>
                <w:sz w:val="16"/>
                <w:szCs w:val="16"/>
              </w:rPr>
              <w:t xml:space="preserve">            59.088,91 </w:t>
            </w:r>
          </w:p>
        </w:tc>
        <w:tc>
          <w:tcPr>
            <w:tcW w:w="1180" w:type="dxa"/>
            <w:tcBorders>
              <w:top w:val="nil"/>
              <w:left w:val="nil"/>
              <w:bottom w:val="nil"/>
              <w:right w:val="nil"/>
            </w:tcBorders>
            <w:shd w:val="clear" w:color="auto" w:fill="auto"/>
            <w:noWrap/>
            <w:vAlign w:val="bottom"/>
            <w:hideMark/>
          </w:tcPr>
          <w:p w14:paraId="1908815C" w14:textId="77777777" w:rsidR="00E74AF7" w:rsidRDefault="00E74AF7">
            <w:pPr>
              <w:rPr>
                <w:sz w:val="16"/>
                <w:szCs w:val="16"/>
              </w:rPr>
            </w:pPr>
            <w:r>
              <w:rPr>
                <w:sz w:val="16"/>
                <w:szCs w:val="16"/>
              </w:rPr>
              <w:t xml:space="preserve">         6.232,67 </w:t>
            </w:r>
          </w:p>
        </w:tc>
        <w:tc>
          <w:tcPr>
            <w:tcW w:w="1420" w:type="dxa"/>
            <w:tcBorders>
              <w:top w:val="nil"/>
              <w:left w:val="nil"/>
              <w:bottom w:val="nil"/>
              <w:right w:val="nil"/>
            </w:tcBorders>
            <w:shd w:val="clear" w:color="auto" w:fill="auto"/>
            <w:noWrap/>
            <w:vAlign w:val="bottom"/>
            <w:hideMark/>
          </w:tcPr>
          <w:p w14:paraId="76575B65" w14:textId="77777777" w:rsidR="00E74AF7" w:rsidRDefault="00E74AF7">
            <w:pPr>
              <w:rPr>
                <w:sz w:val="16"/>
                <w:szCs w:val="16"/>
              </w:rPr>
            </w:pPr>
            <w:r>
              <w:rPr>
                <w:sz w:val="16"/>
                <w:szCs w:val="16"/>
              </w:rPr>
              <w:t xml:space="preserve">            65.321,58 </w:t>
            </w:r>
          </w:p>
        </w:tc>
        <w:tc>
          <w:tcPr>
            <w:tcW w:w="1180" w:type="dxa"/>
            <w:tcBorders>
              <w:top w:val="nil"/>
              <w:left w:val="nil"/>
              <w:bottom w:val="nil"/>
              <w:right w:val="nil"/>
            </w:tcBorders>
            <w:shd w:val="clear" w:color="auto" w:fill="auto"/>
            <w:noWrap/>
            <w:vAlign w:val="bottom"/>
            <w:hideMark/>
          </w:tcPr>
          <w:p w14:paraId="105A1BA5" w14:textId="77777777" w:rsidR="00E74AF7" w:rsidRDefault="00E74AF7">
            <w:pPr>
              <w:rPr>
                <w:sz w:val="16"/>
                <w:szCs w:val="16"/>
              </w:rPr>
            </w:pPr>
            <w:r>
              <w:rPr>
                <w:sz w:val="16"/>
                <w:szCs w:val="16"/>
              </w:rPr>
              <w:t xml:space="preserve">  1.595.400,53 </w:t>
            </w:r>
          </w:p>
        </w:tc>
      </w:tr>
      <w:tr w:rsidR="00E74AF7" w14:paraId="14778114" w14:textId="77777777" w:rsidTr="00E74AF7">
        <w:trPr>
          <w:trHeight w:val="300"/>
        </w:trPr>
        <w:tc>
          <w:tcPr>
            <w:tcW w:w="960" w:type="dxa"/>
            <w:tcBorders>
              <w:top w:val="nil"/>
              <w:left w:val="nil"/>
              <w:bottom w:val="nil"/>
              <w:right w:val="nil"/>
            </w:tcBorders>
            <w:shd w:val="clear" w:color="auto" w:fill="auto"/>
            <w:noWrap/>
            <w:vAlign w:val="bottom"/>
            <w:hideMark/>
          </w:tcPr>
          <w:p w14:paraId="06ABB0E5" w14:textId="77777777" w:rsidR="00E74AF7" w:rsidRDefault="00E74AF7">
            <w:pPr>
              <w:rPr>
                <w:sz w:val="16"/>
                <w:szCs w:val="16"/>
              </w:rPr>
            </w:pPr>
            <w:r>
              <w:rPr>
                <w:sz w:val="16"/>
                <w:szCs w:val="16"/>
              </w:rPr>
              <w:t>2022.</w:t>
            </w:r>
          </w:p>
        </w:tc>
        <w:tc>
          <w:tcPr>
            <w:tcW w:w="1420" w:type="dxa"/>
            <w:tcBorders>
              <w:top w:val="nil"/>
              <w:left w:val="nil"/>
              <w:bottom w:val="nil"/>
              <w:right w:val="nil"/>
            </w:tcBorders>
            <w:shd w:val="clear" w:color="auto" w:fill="auto"/>
            <w:noWrap/>
            <w:vAlign w:val="bottom"/>
            <w:hideMark/>
          </w:tcPr>
          <w:p w14:paraId="03ADE4C9" w14:textId="77777777" w:rsidR="00E74AF7" w:rsidRDefault="00E74AF7">
            <w:pPr>
              <w:rPr>
                <w:sz w:val="16"/>
                <w:szCs w:val="16"/>
              </w:rPr>
            </w:pPr>
            <w:r>
              <w:rPr>
                <w:sz w:val="16"/>
                <w:szCs w:val="16"/>
              </w:rPr>
              <w:t xml:space="preserve">          236.355,64 </w:t>
            </w:r>
          </w:p>
        </w:tc>
        <w:tc>
          <w:tcPr>
            <w:tcW w:w="1180" w:type="dxa"/>
            <w:tcBorders>
              <w:top w:val="nil"/>
              <w:left w:val="nil"/>
              <w:bottom w:val="nil"/>
              <w:right w:val="nil"/>
            </w:tcBorders>
            <w:shd w:val="clear" w:color="auto" w:fill="auto"/>
            <w:noWrap/>
            <w:vAlign w:val="bottom"/>
            <w:hideMark/>
          </w:tcPr>
          <w:p w14:paraId="412EB136" w14:textId="77777777" w:rsidR="00E74AF7" w:rsidRDefault="00E74AF7">
            <w:pPr>
              <w:rPr>
                <w:sz w:val="16"/>
                <w:szCs w:val="16"/>
              </w:rPr>
            </w:pPr>
            <w:r>
              <w:rPr>
                <w:sz w:val="16"/>
                <w:szCs w:val="16"/>
              </w:rPr>
              <w:t xml:space="preserve">         7.532,62 </w:t>
            </w:r>
          </w:p>
        </w:tc>
        <w:tc>
          <w:tcPr>
            <w:tcW w:w="1420" w:type="dxa"/>
            <w:tcBorders>
              <w:top w:val="nil"/>
              <w:left w:val="nil"/>
              <w:bottom w:val="nil"/>
              <w:right w:val="nil"/>
            </w:tcBorders>
            <w:shd w:val="clear" w:color="auto" w:fill="auto"/>
            <w:noWrap/>
            <w:vAlign w:val="bottom"/>
            <w:hideMark/>
          </w:tcPr>
          <w:p w14:paraId="37513551" w14:textId="77777777" w:rsidR="00E74AF7" w:rsidRDefault="00E74AF7">
            <w:pPr>
              <w:rPr>
                <w:sz w:val="16"/>
                <w:szCs w:val="16"/>
              </w:rPr>
            </w:pPr>
            <w:r>
              <w:rPr>
                <w:sz w:val="16"/>
                <w:szCs w:val="16"/>
              </w:rPr>
              <w:t xml:space="preserve">          243.888,26 </w:t>
            </w:r>
          </w:p>
        </w:tc>
        <w:tc>
          <w:tcPr>
            <w:tcW w:w="1180" w:type="dxa"/>
            <w:tcBorders>
              <w:top w:val="nil"/>
              <w:left w:val="nil"/>
              <w:bottom w:val="nil"/>
              <w:right w:val="nil"/>
            </w:tcBorders>
            <w:shd w:val="clear" w:color="auto" w:fill="auto"/>
            <w:noWrap/>
            <w:vAlign w:val="bottom"/>
            <w:hideMark/>
          </w:tcPr>
          <w:p w14:paraId="41772FF4" w14:textId="77777777" w:rsidR="00E74AF7" w:rsidRDefault="00E74AF7">
            <w:pPr>
              <w:rPr>
                <w:sz w:val="16"/>
                <w:szCs w:val="16"/>
              </w:rPr>
            </w:pPr>
            <w:r>
              <w:rPr>
                <w:sz w:val="16"/>
                <w:szCs w:val="16"/>
              </w:rPr>
              <w:t xml:space="preserve">  1.359.044,89 </w:t>
            </w:r>
          </w:p>
        </w:tc>
      </w:tr>
      <w:tr w:rsidR="00E74AF7" w14:paraId="0A3D40AD" w14:textId="77777777" w:rsidTr="00E74AF7">
        <w:trPr>
          <w:trHeight w:val="300"/>
        </w:trPr>
        <w:tc>
          <w:tcPr>
            <w:tcW w:w="960" w:type="dxa"/>
            <w:tcBorders>
              <w:top w:val="nil"/>
              <w:left w:val="nil"/>
              <w:bottom w:val="nil"/>
              <w:right w:val="nil"/>
            </w:tcBorders>
            <w:shd w:val="clear" w:color="auto" w:fill="auto"/>
            <w:noWrap/>
            <w:vAlign w:val="bottom"/>
            <w:hideMark/>
          </w:tcPr>
          <w:p w14:paraId="479FA326" w14:textId="77777777" w:rsidR="00E74AF7" w:rsidRDefault="00E74AF7">
            <w:pPr>
              <w:rPr>
                <w:sz w:val="16"/>
                <w:szCs w:val="16"/>
              </w:rPr>
            </w:pPr>
            <w:r>
              <w:rPr>
                <w:sz w:val="16"/>
                <w:szCs w:val="16"/>
              </w:rPr>
              <w:t>2023.</w:t>
            </w:r>
          </w:p>
        </w:tc>
        <w:tc>
          <w:tcPr>
            <w:tcW w:w="1420" w:type="dxa"/>
            <w:tcBorders>
              <w:top w:val="nil"/>
              <w:left w:val="nil"/>
              <w:bottom w:val="nil"/>
              <w:right w:val="nil"/>
            </w:tcBorders>
            <w:shd w:val="clear" w:color="auto" w:fill="auto"/>
            <w:noWrap/>
            <w:vAlign w:val="bottom"/>
            <w:hideMark/>
          </w:tcPr>
          <w:p w14:paraId="5242BC33" w14:textId="77777777" w:rsidR="00E74AF7" w:rsidRDefault="00E74AF7">
            <w:pPr>
              <w:rPr>
                <w:sz w:val="16"/>
                <w:szCs w:val="16"/>
              </w:rPr>
            </w:pPr>
            <w:r>
              <w:rPr>
                <w:sz w:val="16"/>
                <w:szCs w:val="16"/>
              </w:rPr>
              <w:t xml:space="preserve">          236.355,64 </w:t>
            </w:r>
          </w:p>
        </w:tc>
        <w:tc>
          <w:tcPr>
            <w:tcW w:w="1180" w:type="dxa"/>
            <w:tcBorders>
              <w:top w:val="nil"/>
              <w:left w:val="nil"/>
              <w:bottom w:val="nil"/>
              <w:right w:val="nil"/>
            </w:tcBorders>
            <w:shd w:val="clear" w:color="auto" w:fill="auto"/>
            <w:noWrap/>
            <w:vAlign w:val="bottom"/>
            <w:hideMark/>
          </w:tcPr>
          <w:p w14:paraId="653AD0BC" w14:textId="77777777" w:rsidR="00E74AF7" w:rsidRDefault="00E74AF7">
            <w:pPr>
              <w:rPr>
                <w:sz w:val="16"/>
                <w:szCs w:val="16"/>
              </w:rPr>
            </w:pPr>
            <w:r>
              <w:rPr>
                <w:sz w:val="16"/>
                <w:szCs w:val="16"/>
              </w:rPr>
              <w:t xml:space="preserve">         6.350,85 </w:t>
            </w:r>
          </w:p>
        </w:tc>
        <w:tc>
          <w:tcPr>
            <w:tcW w:w="1420" w:type="dxa"/>
            <w:tcBorders>
              <w:top w:val="nil"/>
              <w:left w:val="nil"/>
              <w:bottom w:val="nil"/>
              <w:right w:val="nil"/>
            </w:tcBorders>
            <w:shd w:val="clear" w:color="auto" w:fill="auto"/>
            <w:noWrap/>
            <w:vAlign w:val="bottom"/>
            <w:hideMark/>
          </w:tcPr>
          <w:p w14:paraId="1C669ED4" w14:textId="77777777" w:rsidR="00E74AF7" w:rsidRDefault="00E74AF7">
            <w:pPr>
              <w:rPr>
                <w:sz w:val="16"/>
                <w:szCs w:val="16"/>
              </w:rPr>
            </w:pPr>
            <w:r>
              <w:rPr>
                <w:sz w:val="16"/>
                <w:szCs w:val="16"/>
              </w:rPr>
              <w:t xml:space="preserve">          242.706,49 </w:t>
            </w:r>
          </w:p>
        </w:tc>
        <w:tc>
          <w:tcPr>
            <w:tcW w:w="1180" w:type="dxa"/>
            <w:tcBorders>
              <w:top w:val="nil"/>
              <w:left w:val="nil"/>
              <w:bottom w:val="nil"/>
              <w:right w:val="nil"/>
            </w:tcBorders>
            <w:shd w:val="clear" w:color="auto" w:fill="auto"/>
            <w:noWrap/>
            <w:vAlign w:val="bottom"/>
            <w:hideMark/>
          </w:tcPr>
          <w:p w14:paraId="27E7FF63" w14:textId="77777777" w:rsidR="00E74AF7" w:rsidRDefault="00E74AF7">
            <w:pPr>
              <w:rPr>
                <w:sz w:val="16"/>
                <w:szCs w:val="16"/>
              </w:rPr>
            </w:pPr>
            <w:r>
              <w:rPr>
                <w:sz w:val="16"/>
                <w:szCs w:val="16"/>
              </w:rPr>
              <w:t xml:space="preserve">  1.122.689,25 </w:t>
            </w:r>
          </w:p>
        </w:tc>
      </w:tr>
      <w:tr w:rsidR="00E74AF7" w14:paraId="55CC2943" w14:textId="77777777" w:rsidTr="00E74AF7">
        <w:trPr>
          <w:trHeight w:val="300"/>
        </w:trPr>
        <w:tc>
          <w:tcPr>
            <w:tcW w:w="960" w:type="dxa"/>
            <w:tcBorders>
              <w:top w:val="nil"/>
              <w:left w:val="nil"/>
              <w:bottom w:val="nil"/>
              <w:right w:val="nil"/>
            </w:tcBorders>
            <w:shd w:val="clear" w:color="auto" w:fill="auto"/>
            <w:noWrap/>
            <w:vAlign w:val="bottom"/>
            <w:hideMark/>
          </w:tcPr>
          <w:p w14:paraId="6AE6D9CD" w14:textId="77777777" w:rsidR="00E74AF7" w:rsidRDefault="00E74AF7">
            <w:pPr>
              <w:rPr>
                <w:sz w:val="16"/>
                <w:szCs w:val="16"/>
              </w:rPr>
            </w:pPr>
            <w:r>
              <w:rPr>
                <w:sz w:val="16"/>
                <w:szCs w:val="16"/>
              </w:rPr>
              <w:t>2024.</w:t>
            </w:r>
          </w:p>
        </w:tc>
        <w:tc>
          <w:tcPr>
            <w:tcW w:w="1420" w:type="dxa"/>
            <w:tcBorders>
              <w:top w:val="nil"/>
              <w:left w:val="nil"/>
              <w:bottom w:val="nil"/>
              <w:right w:val="nil"/>
            </w:tcBorders>
            <w:shd w:val="clear" w:color="auto" w:fill="auto"/>
            <w:noWrap/>
            <w:vAlign w:val="bottom"/>
            <w:hideMark/>
          </w:tcPr>
          <w:p w14:paraId="353E8D14" w14:textId="77777777" w:rsidR="00E74AF7" w:rsidRDefault="00E74AF7">
            <w:pPr>
              <w:rPr>
                <w:sz w:val="16"/>
                <w:szCs w:val="16"/>
              </w:rPr>
            </w:pPr>
            <w:r>
              <w:rPr>
                <w:sz w:val="16"/>
                <w:szCs w:val="16"/>
              </w:rPr>
              <w:t xml:space="preserve">          236.355,64 </w:t>
            </w:r>
          </w:p>
        </w:tc>
        <w:tc>
          <w:tcPr>
            <w:tcW w:w="1180" w:type="dxa"/>
            <w:tcBorders>
              <w:top w:val="nil"/>
              <w:left w:val="nil"/>
              <w:bottom w:val="nil"/>
              <w:right w:val="nil"/>
            </w:tcBorders>
            <w:shd w:val="clear" w:color="auto" w:fill="auto"/>
            <w:noWrap/>
            <w:vAlign w:val="bottom"/>
            <w:hideMark/>
          </w:tcPr>
          <w:p w14:paraId="3BB6F8A1" w14:textId="77777777" w:rsidR="00E74AF7" w:rsidRDefault="00E74AF7">
            <w:pPr>
              <w:rPr>
                <w:sz w:val="16"/>
                <w:szCs w:val="16"/>
              </w:rPr>
            </w:pPr>
            <w:r>
              <w:rPr>
                <w:sz w:val="16"/>
                <w:szCs w:val="16"/>
              </w:rPr>
              <w:t xml:space="preserve">         5.171,59 </w:t>
            </w:r>
          </w:p>
        </w:tc>
        <w:tc>
          <w:tcPr>
            <w:tcW w:w="1420" w:type="dxa"/>
            <w:tcBorders>
              <w:top w:val="nil"/>
              <w:left w:val="nil"/>
              <w:bottom w:val="nil"/>
              <w:right w:val="nil"/>
            </w:tcBorders>
            <w:shd w:val="clear" w:color="auto" w:fill="auto"/>
            <w:noWrap/>
            <w:vAlign w:val="bottom"/>
            <w:hideMark/>
          </w:tcPr>
          <w:p w14:paraId="756D1373" w14:textId="77777777" w:rsidR="00E74AF7" w:rsidRDefault="00E74AF7">
            <w:pPr>
              <w:rPr>
                <w:sz w:val="16"/>
                <w:szCs w:val="16"/>
              </w:rPr>
            </w:pPr>
            <w:r>
              <w:rPr>
                <w:sz w:val="16"/>
                <w:szCs w:val="16"/>
              </w:rPr>
              <w:t xml:space="preserve">          241.527,23 </w:t>
            </w:r>
          </w:p>
        </w:tc>
        <w:tc>
          <w:tcPr>
            <w:tcW w:w="1180" w:type="dxa"/>
            <w:tcBorders>
              <w:top w:val="nil"/>
              <w:left w:val="nil"/>
              <w:bottom w:val="nil"/>
              <w:right w:val="nil"/>
            </w:tcBorders>
            <w:shd w:val="clear" w:color="auto" w:fill="auto"/>
            <w:noWrap/>
            <w:vAlign w:val="bottom"/>
            <w:hideMark/>
          </w:tcPr>
          <w:p w14:paraId="7490103F" w14:textId="77777777" w:rsidR="00E74AF7" w:rsidRDefault="00E74AF7">
            <w:pPr>
              <w:rPr>
                <w:sz w:val="16"/>
                <w:szCs w:val="16"/>
              </w:rPr>
            </w:pPr>
            <w:r>
              <w:rPr>
                <w:sz w:val="16"/>
                <w:szCs w:val="16"/>
              </w:rPr>
              <w:t xml:space="preserve">     886.333,61 </w:t>
            </w:r>
          </w:p>
        </w:tc>
      </w:tr>
      <w:tr w:rsidR="00E74AF7" w14:paraId="0B3AA55C" w14:textId="77777777" w:rsidTr="00E74AF7">
        <w:trPr>
          <w:trHeight w:val="300"/>
        </w:trPr>
        <w:tc>
          <w:tcPr>
            <w:tcW w:w="960" w:type="dxa"/>
            <w:tcBorders>
              <w:top w:val="nil"/>
              <w:left w:val="nil"/>
              <w:bottom w:val="nil"/>
              <w:right w:val="nil"/>
            </w:tcBorders>
            <w:shd w:val="clear" w:color="auto" w:fill="auto"/>
            <w:noWrap/>
            <w:vAlign w:val="bottom"/>
            <w:hideMark/>
          </w:tcPr>
          <w:p w14:paraId="1457CA3B" w14:textId="77777777" w:rsidR="00E74AF7" w:rsidRDefault="00E74AF7">
            <w:pPr>
              <w:rPr>
                <w:sz w:val="16"/>
                <w:szCs w:val="16"/>
              </w:rPr>
            </w:pPr>
            <w:r>
              <w:rPr>
                <w:sz w:val="16"/>
                <w:szCs w:val="16"/>
              </w:rPr>
              <w:t>2025.</w:t>
            </w:r>
          </w:p>
        </w:tc>
        <w:tc>
          <w:tcPr>
            <w:tcW w:w="1420" w:type="dxa"/>
            <w:tcBorders>
              <w:top w:val="nil"/>
              <w:left w:val="nil"/>
              <w:bottom w:val="nil"/>
              <w:right w:val="nil"/>
            </w:tcBorders>
            <w:shd w:val="clear" w:color="auto" w:fill="auto"/>
            <w:noWrap/>
            <w:vAlign w:val="bottom"/>
            <w:hideMark/>
          </w:tcPr>
          <w:p w14:paraId="06F5F993" w14:textId="77777777" w:rsidR="00E74AF7" w:rsidRDefault="00E74AF7">
            <w:pPr>
              <w:rPr>
                <w:sz w:val="16"/>
                <w:szCs w:val="16"/>
              </w:rPr>
            </w:pPr>
            <w:r>
              <w:rPr>
                <w:sz w:val="16"/>
                <w:szCs w:val="16"/>
              </w:rPr>
              <w:t xml:space="preserve">          236.355,64 </w:t>
            </w:r>
          </w:p>
        </w:tc>
        <w:tc>
          <w:tcPr>
            <w:tcW w:w="1180" w:type="dxa"/>
            <w:tcBorders>
              <w:top w:val="nil"/>
              <w:left w:val="nil"/>
              <w:bottom w:val="nil"/>
              <w:right w:val="nil"/>
            </w:tcBorders>
            <w:shd w:val="clear" w:color="auto" w:fill="auto"/>
            <w:noWrap/>
            <w:vAlign w:val="bottom"/>
            <w:hideMark/>
          </w:tcPr>
          <w:p w14:paraId="25744276" w14:textId="77777777" w:rsidR="00E74AF7" w:rsidRDefault="00E74AF7">
            <w:pPr>
              <w:rPr>
                <w:sz w:val="16"/>
                <w:szCs w:val="16"/>
              </w:rPr>
            </w:pPr>
            <w:r>
              <w:rPr>
                <w:sz w:val="16"/>
                <w:szCs w:val="16"/>
              </w:rPr>
              <w:t xml:space="preserve">         3.986,26 </w:t>
            </w:r>
          </w:p>
        </w:tc>
        <w:tc>
          <w:tcPr>
            <w:tcW w:w="1420" w:type="dxa"/>
            <w:tcBorders>
              <w:top w:val="nil"/>
              <w:left w:val="nil"/>
              <w:bottom w:val="nil"/>
              <w:right w:val="nil"/>
            </w:tcBorders>
            <w:shd w:val="clear" w:color="auto" w:fill="auto"/>
            <w:noWrap/>
            <w:vAlign w:val="bottom"/>
            <w:hideMark/>
          </w:tcPr>
          <w:p w14:paraId="78267C56" w14:textId="77777777" w:rsidR="00E74AF7" w:rsidRDefault="00E74AF7">
            <w:pPr>
              <w:rPr>
                <w:sz w:val="16"/>
                <w:szCs w:val="16"/>
              </w:rPr>
            </w:pPr>
            <w:r>
              <w:rPr>
                <w:sz w:val="16"/>
                <w:szCs w:val="16"/>
              </w:rPr>
              <w:t xml:space="preserve">          240.341,90 </w:t>
            </w:r>
          </w:p>
        </w:tc>
        <w:tc>
          <w:tcPr>
            <w:tcW w:w="1180" w:type="dxa"/>
            <w:tcBorders>
              <w:top w:val="nil"/>
              <w:left w:val="nil"/>
              <w:bottom w:val="nil"/>
              <w:right w:val="nil"/>
            </w:tcBorders>
            <w:shd w:val="clear" w:color="auto" w:fill="auto"/>
            <w:noWrap/>
            <w:vAlign w:val="bottom"/>
            <w:hideMark/>
          </w:tcPr>
          <w:p w14:paraId="777CD66A" w14:textId="77777777" w:rsidR="00E74AF7" w:rsidRDefault="00E74AF7">
            <w:pPr>
              <w:rPr>
                <w:sz w:val="16"/>
                <w:szCs w:val="16"/>
              </w:rPr>
            </w:pPr>
            <w:r>
              <w:rPr>
                <w:sz w:val="16"/>
                <w:szCs w:val="16"/>
              </w:rPr>
              <w:t xml:space="preserve">     649.977,97 </w:t>
            </w:r>
          </w:p>
        </w:tc>
      </w:tr>
      <w:tr w:rsidR="00E74AF7" w14:paraId="051B6682" w14:textId="77777777" w:rsidTr="00E74AF7">
        <w:trPr>
          <w:trHeight w:val="300"/>
        </w:trPr>
        <w:tc>
          <w:tcPr>
            <w:tcW w:w="960" w:type="dxa"/>
            <w:tcBorders>
              <w:top w:val="nil"/>
              <w:left w:val="nil"/>
              <w:bottom w:val="nil"/>
              <w:right w:val="nil"/>
            </w:tcBorders>
            <w:shd w:val="clear" w:color="auto" w:fill="auto"/>
            <w:noWrap/>
            <w:vAlign w:val="bottom"/>
            <w:hideMark/>
          </w:tcPr>
          <w:p w14:paraId="63E66FD8" w14:textId="77777777" w:rsidR="00E74AF7" w:rsidRDefault="00E74AF7">
            <w:pPr>
              <w:rPr>
                <w:sz w:val="16"/>
                <w:szCs w:val="16"/>
              </w:rPr>
            </w:pPr>
            <w:r>
              <w:rPr>
                <w:sz w:val="16"/>
                <w:szCs w:val="16"/>
              </w:rPr>
              <w:t>2026.</w:t>
            </w:r>
          </w:p>
        </w:tc>
        <w:tc>
          <w:tcPr>
            <w:tcW w:w="1420" w:type="dxa"/>
            <w:tcBorders>
              <w:top w:val="nil"/>
              <w:left w:val="nil"/>
              <w:bottom w:val="nil"/>
              <w:right w:val="nil"/>
            </w:tcBorders>
            <w:shd w:val="clear" w:color="auto" w:fill="auto"/>
            <w:noWrap/>
            <w:vAlign w:val="bottom"/>
            <w:hideMark/>
          </w:tcPr>
          <w:p w14:paraId="1A5D9EDE" w14:textId="77777777" w:rsidR="00E74AF7" w:rsidRDefault="00E74AF7">
            <w:pPr>
              <w:rPr>
                <w:sz w:val="16"/>
                <w:szCs w:val="16"/>
              </w:rPr>
            </w:pPr>
            <w:r>
              <w:rPr>
                <w:sz w:val="16"/>
                <w:szCs w:val="16"/>
              </w:rPr>
              <w:t xml:space="preserve">          236.355,64 </w:t>
            </w:r>
          </w:p>
        </w:tc>
        <w:tc>
          <w:tcPr>
            <w:tcW w:w="1180" w:type="dxa"/>
            <w:tcBorders>
              <w:top w:val="nil"/>
              <w:left w:val="nil"/>
              <w:bottom w:val="nil"/>
              <w:right w:val="nil"/>
            </w:tcBorders>
            <w:shd w:val="clear" w:color="auto" w:fill="auto"/>
            <w:noWrap/>
            <w:vAlign w:val="bottom"/>
            <w:hideMark/>
          </w:tcPr>
          <w:p w14:paraId="14A4659F" w14:textId="77777777" w:rsidR="00E74AF7" w:rsidRDefault="00E74AF7">
            <w:pPr>
              <w:rPr>
                <w:sz w:val="16"/>
                <w:szCs w:val="16"/>
              </w:rPr>
            </w:pPr>
            <w:r>
              <w:rPr>
                <w:sz w:val="16"/>
                <w:szCs w:val="16"/>
              </w:rPr>
              <w:t xml:space="preserve">         2.805,50 </w:t>
            </w:r>
          </w:p>
        </w:tc>
        <w:tc>
          <w:tcPr>
            <w:tcW w:w="1420" w:type="dxa"/>
            <w:tcBorders>
              <w:top w:val="nil"/>
              <w:left w:val="nil"/>
              <w:bottom w:val="nil"/>
              <w:right w:val="nil"/>
            </w:tcBorders>
            <w:shd w:val="clear" w:color="auto" w:fill="auto"/>
            <w:noWrap/>
            <w:vAlign w:val="bottom"/>
            <w:hideMark/>
          </w:tcPr>
          <w:p w14:paraId="01DB365E" w14:textId="77777777" w:rsidR="00E74AF7" w:rsidRDefault="00E74AF7">
            <w:pPr>
              <w:rPr>
                <w:sz w:val="16"/>
                <w:szCs w:val="16"/>
              </w:rPr>
            </w:pPr>
            <w:r>
              <w:rPr>
                <w:sz w:val="16"/>
                <w:szCs w:val="16"/>
              </w:rPr>
              <w:t xml:space="preserve">          239.161,14 </w:t>
            </w:r>
          </w:p>
        </w:tc>
        <w:tc>
          <w:tcPr>
            <w:tcW w:w="1180" w:type="dxa"/>
            <w:tcBorders>
              <w:top w:val="nil"/>
              <w:left w:val="nil"/>
              <w:bottom w:val="nil"/>
              <w:right w:val="nil"/>
            </w:tcBorders>
            <w:shd w:val="clear" w:color="auto" w:fill="auto"/>
            <w:noWrap/>
            <w:vAlign w:val="bottom"/>
            <w:hideMark/>
          </w:tcPr>
          <w:p w14:paraId="51C17110" w14:textId="77777777" w:rsidR="00E74AF7" w:rsidRDefault="00E74AF7">
            <w:pPr>
              <w:rPr>
                <w:sz w:val="16"/>
                <w:szCs w:val="16"/>
              </w:rPr>
            </w:pPr>
            <w:r>
              <w:rPr>
                <w:sz w:val="16"/>
                <w:szCs w:val="16"/>
              </w:rPr>
              <w:t xml:space="preserve">     413.622,33 </w:t>
            </w:r>
          </w:p>
        </w:tc>
      </w:tr>
      <w:tr w:rsidR="00E74AF7" w14:paraId="722445FD" w14:textId="77777777" w:rsidTr="00E74AF7">
        <w:trPr>
          <w:trHeight w:val="300"/>
        </w:trPr>
        <w:tc>
          <w:tcPr>
            <w:tcW w:w="960" w:type="dxa"/>
            <w:tcBorders>
              <w:top w:val="nil"/>
              <w:left w:val="nil"/>
              <w:bottom w:val="nil"/>
              <w:right w:val="nil"/>
            </w:tcBorders>
            <w:shd w:val="clear" w:color="auto" w:fill="auto"/>
            <w:noWrap/>
            <w:vAlign w:val="bottom"/>
            <w:hideMark/>
          </w:tcPr>
          <w:p w14:paraId="07383EBB" w14:textId="77777777" w:rsidR="00E74AF7" w:rsidRDefault="00E74AF7">
            <w:pPr>
              <w:rPr>
                <w:sz w:val="16"/>
                <w:szCs w:val="16"/>
              </w:rPr>
            </w:pPr>
            <w:r>
              <w:rPr>
                <w:sz w:val="16"/>
                <w:szCs w:val="16"/>
              </w:rPr>
              <w:t>2027.</w:t>
            </w:r>
          </w:p>
        </w:tc>
        <w:tc>
          <w:tcPr>
            <w:tcW w:w="1420" w:type="dxa"/>
            <w:tcBorders>
              <w:top w:val="nil"/>
              <w:left w:val="nil"/>
              <w:bottom w:val="nil"/>
              <w:right w:val="nil"/>
            </w:tcBorders>
            <w:shd w:val="clear" w:color="auto" w:fill="auto"/>
            <w:noWrap/>
            <w:vAlign w:val="bottom"/>
            <w:hideMark/>
          </w:tcPr>
          <w:p w14:paraId="13CB3393" w14:textId="77777777" w:rsidR="00E74AF7" w:rsidRDefault="00E74AF7">
            <w:pPr>
              <w:rPr>
                <w:sz w:val="16"/>
                <w:szCs w:val="16"/>
              </w:rPr>
            </w:pPr>
            <w:r>
              <w:rPr>
                <w:sz w:val="16"/>
                <w:szCs w:val="16"/>
              </w:rPr>
              <w:t xml:space="preserve">          236.355,64 </w:t>
            </w:r>
          </w:p>
        </w:tc>
        <w:tc>
          <w:tcPr>
            <w:tcW w:w="1180" w:type="dxa"/>
            <w:tcBorders>
              <w:top w:val="nil"/>
              <w:left w:val="nil"/>
              <w:bottom w:val="nil"/>
              <w:right w:val="nil"/>
            </w:tcBorders>
            <w:shd w:val="clear" w:color="auto" w:fill="auto"/>
            <w:noWrap/>
            <w:vAlign w:val="bottom"/>
            <w:hideMark/>
          </w:tcPr>
          <w:p w14:paraId="7586453F" w14:textId="77777777" w:rsidR="00E74AF7" w:rsidRDefault="00E74AF7">
            <w:pPr>
              <w:rPr>
                <w:sz w:val="16"/>
                <w:szCs w:val="16"/>
              </w:rPr>
            </w:pPr>
            <w:r>
              <w:rPr>
                <w:sz w:val="16"/>
                <w:szCs w:val="16"/>
              </w:rPr>
              <w:t xml:space="preserve">         1.623,74 </w:t>
            </w:r>
          </w:p>
        </w:tc>
        <w:tc>
          <w:tcPr>
            <w:tcW w:w="1420" w:type="dxa"/>
            <w:tcBorders>
              <w:top w:val="nil"/>
              <w:left w:val="nil"/>
              <w:bottom w:val="nil"/>
              <w:right w:val="nil"/>
            </w:tcBorders>
            <w:shd w:val="clear" w:color="auto" w:fill="auto"/>
            <w:noWrap/>
            <w:vAlign w:val="bottom"/>
            <w:hideMark/>
          </w:tcPr>
          <w:p w14:paraId="3B1B8097" w14:textId="77777777" w:rsidR="00E74AF7" w:rsidRDefault="00E74AF7">
            <w:pPr>
              <w:rPr>
                <w:sz w:val="16"/>
                <w:szCs w:val="16"/>
              </w:rPr>
            </w:pPr>
            <w:r>
              <w:rPr>
                <w:sz w:val="16"/>
                <w:szCs w:val="16"/>
              </w:rPr>
              <w:t xml:space="preserve">          237.979,38 </w:t>
            </w:r>
          </w:p>
        </w:tc>
        <w:tc>
          <w:tcPr>
            <w:tcW w:w="1180" w:type="dxa"/>
            <w:tcBorders>
              <w:top w:val="nil"/>
              <w:left w:val="nil"/>
              <w:bottom w:val="nil"/>
              <w:right w:val="nil"/>
            </w:tcBorders>
            <w:shd w:val="clear" w:color="auto" w:fill="auto"/>
            <w:noWrap/>
            <w:vAlign w:val="bottom"/>
            <w:hideMark/>
          </w:tcPr>
          <w:p w14:paraId="292100B1" w14:textId="77777777" w:rsidR="00E74AF7" w:rsidRDefault="00E74AF7">
            <w:pPr>
              <w:rPr>
                <w:sz w:val="16"/>
                <w:szCs w:val="16"/>
              </w:rPr>
            </w:pPr>
            <w:r>
              <w:rPr>
                <w:sz w:val="16"/>
                <w:szCs w:val="16"/>
              </w:rPr>
              <w:t xml:space="preserve">     177.266,69 </w:t>
            </w:r>
          </w:p>
        </w:tc>
      </w:tr>
      <w:tr w:rsidR="00E74AF7" w14:paraId="40D4DD6D" w14:textId="77777777" w:rsidTr="00E74AF7">
        <w:trPr>
          <w:trHeight w:val="300"/>
        </w:trPr>
        <w:tc>
          <w:tcPr>
            <w:tcW w:w="960" w:type="dxa"/>
            <w:tcBorders>
              <w:top w:val="nil"/>
              <w:left w:val="nil"/>
              <w:bottom w:val="nil"/>
              <w:right w:val="nil"/>
            </w:tcBorders>
            <w:shd w:val="clear" w:color="auto" w:fill="auto"/>
            <w:noWrap/>
            <w:vAlign w:val="bottom"/>
            <w:hideMark/>
          </w:tcPr>
          <w:p w14:paraId="749DE3E2" w14:textId="77777777" w:rsidR="00E74AF7" w:rsidRDefault="00E74AF7">
            <w:pPr>
              <w:rPr>
                <w:sz w:val="16"/>
                <w:szCs w:val="16"/>
              </w:rPr>
            </w:pPr>
            <w:r>
              <w:rPr>
                <w:sz w:val="16"/>
                <w:szCs w:val="16"/>
              </w:rPr>
              <w:t>2028.</w:t>
            </w:r>
          </w:p>
        </w:tc>
        <w:tc>
          <w:tcPr>
            <w:tcW w:w="1420" w:type="dxa"/>
            <w:tcBorders>
              <w:top w:val="nil"/>
              <w:left w:val="nil"/>
              <w:bottom w:val="nil"/>
              <w:right w:val="nil"/>
            </w:tcBorders>
            <w:shd w:val="clear" w:color="auto" w:fill="auto"/>
            <w:noWrap/>
            <w:vAlign w:val="bottom"/>
            <w:hideMark/>
          </w:tcPr>
          <w:p w14:paraId="683C415F" w14:textId="77777777" w:rsidR="00E74AF7" w:rsidRDefault="00E74AF7">
            <w:pPr>
              <w:rPr>
                <w:sz w:val="16"/>
                <w:szCs w:val="16"/>
              </w:rPr>
            </w:pPr>
            <w:r>
              <w:rPr>
                <w:sz w:val="16"/>
                <w:szCs w:val="16"/>
              </w:rPr>
              <w:t xml:space="preserve">          177.266,69 </w:t>
            </w:r>
          </w:p>
        </w:tc>
        <w:tc>
          <w:tcPr>
            <w:tcW w:w="1180" w:type="dxa"/>
            <w:tcBorders>
              <w:top w:val="nil"/>
              <w:left w:val="nil"/>
              <w:bottom w:val="nil"/>
              <w:right w:val="nil"/>
            </w:tcBorders>
            <w:shd w:val="clear" w:color="auto" w:fill="auto"/>
            <w:noWrap/>
            <w:vAlign w:val="bottom"/>
            <w:hideMark/>
          </w:tcPr>
          <w:p w14:paraId="6AA4C57B" w14:textId="77777777" w:rsidR="00E74AF7" w:rsidRDefault="00E74AF7">
            <w:pPr>
              <w:rPr>
                <w:sz w:val="16"/>
                <w:szCs w:val="16"/>
              </w:rPr>
            </w:pPr>
            <w:r>
              <w:rPr>
                <w:sz w:val="16"/>
                <w:szCs w:val="16"/>
              </w:rPr>
              <w:t xml:space="preserve">            443,37 </w:t>
            </w:r>
          </w:p>
        </w:tc>
        <w:tc>
          <w:tcPr>
            <w:tcW w:w="1420" w:type="dxa"/>
            <w:tcBorders>
              <w:top w:val="nil"/>
              <w:left w:val="nil"/>
              <w:bottom w:val="nil"/>
              <w:right w:val="nil"/>
            </w:tcBorders>
            <w:shd w:val="clear" w:color="auto" w:fill="auto"/>
            <w:noWrap/>
            <w:vAlign w:val="bottom"/>
            <w:hideMark/>
          </w:tcPr>
          <w:p w14:paraId="4E38F612" w14:textId="77777777" w:rsidR="00E74AF7" w:rsidRDefault="00E74AF7">
            <w:pPr>
              <w:rPr>
                <w:sz w:val="16"/>
                <w:szCs w:val="16"/>
              </w:rPr>
            </w:pPr>
            <w:r>
              <w:rPr>
                <w:sz w:val="16"/>
                <w:szCs w:val="16"/>
              </w:rPr>
              <w:t xml:space="preserve">          177.710,06 </w:t>
            </w:r>
          </w:p>
        </w:tc>
        <w:tc>
          <w:tcPr>
            <w:tcW w:w="1180" w:type="dxa"/>
            <w:tcBorders>
              <w:top w:val="nil"/>
              <w:left w:val="nil"/>
              <w:bottom w:val="nil"/>
              <w:right w:val="nil"/>
            </w:tcBorders>
            <w:shd w:val="clear" w:color="auto" w:fill="auto"/>
            <w:noWrap/>
            <w:vAlign w:val="bottom"/>
            <w:hideMark/>
          </w:tcPr>
          <w:p w14:paraId="7A44EA13" w14:textId="77777777" w:rsidR="00E74AF7" w:rsidRDefault="00E74AF7">
            <w:pPr>
              <w:rPr>
                <w:sz w:val="16"/>
                <w:szCs w:val="16"/>
              </w:rPr>
            </w:pPr>
            <w:r>
              <w:rPr>
                <w:sz w:val="16"/>
                <w:szCs w:val="16"/>
              </w:rPr>
              <w:t xml:space="preserve">                    -   </w:t>
            </w:r>
          </w:p>
        </w:tc>
      </w:tr>
      <w:tr w:rsidR="00E74AF7" w14:paraId="43F9288F" w14:textId="77777777" w:rsidTr="00E74AF7">
        <w:trPr>
          <w:trHeight w:val="300"/>
        </w:trPr>
        <w:tc>
          <w:tcPr>
            <w:tcW w:w="960" w:type="dxa"/>
            <w:tcBorders>
              <w:top w:val="single" w:sz="4" w:space="0" w:color="auto"/>
              <w:left w:val="nil"/>
              <w:bottom w:val="single" w:sz="4" w:space="0" w:color="auto"/>
              <w:right w:val="nil"/>
            </w:tcBorders>
            <w:shd w:val="clear" w:color="auto" w:fill="auto"/>
            <w:noWrap/>
            <w:vAlign w:val="bottom"/>
            <w:hideMark/>
          </w:tcPr>
          <w:p w14:paraId="413F889F" w14:textId="77777777" w:rsidR="00E74AF7" w:rsidRDefault="00E74AF7">
            <w:pPr>
              <w:rPr>
                <w:sz w:val="16"/>
                <w:szCs w:val="16"/>
              </w:rPr>
            </w:pPr>
            <w:r>
              <w:rPr>
                <w:sz w:val="16"/>
                <w:szCs w:val="16"/>
              </w:rPr>
              <w:t>sveukupno</w:t>
            </w:r>
          </w:p>
        </w:tc>
        <w:tc>
          <w:tcPr>
            <w:tcW w:w="1420" w:type="dxa"/>
            <w:tcBorders>
              <w:top w:val="single" w:sz="4" w:space="0" w:color="auto"/>
              <w:left w:val="nil"/>
              <w:bottom w:val="single" w:sz="4" w:space="0" w:color="auto"/>
              <w:right w:val="nil"/>
            </w:tcBorders>
            <w:shd w:val="clear" w:color="auto" w:fill="auto"/>
            <w:noWrap/>
            <w:vAlign w:val="bottom"/>
            <w:hideMark/>
          </w:tcPr>
          <w:p w14:paraId="3D69166D" w14:textId="77777777" w:rsidR="00E74AF7" w:rsidRDefault="00E74AF7">
            <w:pPr>
              <w:rPr>
                <w:sz w:val="16"/>
                <w:szCs w:val="16"/>
              </w:rPr>
            </w:pPr>
            <w:r>
              <w:rPr>
                <w:sz w:val="16"/>
                <w:szCs w:val="16"/>
              </w:rPr>
              <w:t xml:space="preserve">       1.654.489,44 </w:t>
            </w:r>
          </w:p>
        </w:tc>
        <w:tc>
          <w:tcPr>
            <w:tcW w:w="1180" w:type="dxa"/>
            <w:tcBorders>
              <w:top w:val="single" w:sz="4" w:space="0" w:color="auto"/>
              <w:left w:val="nil"/>
              <w:bottom w:val="single" w:sz="4" w:space="0" w:color="auto"/>
              <w:right w:val="nil"/>
            </w:tcBorders>
            <w:shd w:val="clear" w:color="auto" w:fill="auto"/>
            <w:noWrap/>
            <w:vAlign w:val="bottom"/>
            <w:hideMark/>
          </w:tcPr>
          <w:p w14:paraId="038E2533" w14:textId="77777777" w:rsidR="00E74AF7" w:rsidRDefault="00E74AF7">
            <w:pPr>
              <w:rPr>
                <w:sz w:val="16"/>
                <w:szCs w:val="16"/>
              </w:rPr>
            </w:pPr>
            <w:r>
              <w:rPr>
                <w:sz w:val="16"/>
                <w:szCs w:val="16"/>
              </w:rPr>
              <w:t xml:space="preserve">       34.146,60 </w:t>
            </w:r>
          </w:p>
        </w:tc>
        <w:tc>
          <w:tcPr>
            <w:tcW w:w="1420" w:type="dxa"/>
            <w:tcBorders>
              <w:top w:val="single" w:sz="4" w:space="0" w:color="auto"/>
              <w:left w:val="nil"/>
              <w:bottom w:val="single" w:sz="4" w:space="0" w:color="auto"/>
              <w:right w:val="nil"/>
            </w:tcBorders>
            <w:shd w:val="clear" w:color="auto" w:fill="auto"/>
            <w:noWrap/>
            <w:vAlign w:val="bottom"/>
            <w:hideMark/>
          </w:tcPr>
          <w:p w14:paraId="7F35C195" w14:textId="77777777" w:rsidR="00E74AF7" w:rsidRDefault="00E74AF7">
            <w:pPr>
              <w:rPr>
                <w:sz w:val="16"/>
                <w:szCs w:val="16"/>
              </w:rPr>
            </w:pPr>
            <w:r>
              <w:rPr>
                <w:sz w:val="16"/>
                <w:szCs w:val="16"/>
              </w:rPr>
              <w:t xml:space="preserve">       1.688.636,04 </w:t>
            </w:r>
          </w:p>
        </w:tc>
        <w:tc>
          <w:tcPr>
            <w:tcW w:w="1180" w:type="dxa"/>
            <w:tcBorders>
              <w:top w:val="single" w:sz="4" w:space="0" w:color="auto"/>
              <w:left w:val="nil"/>
              <w:bottom w:val="single" w:sz="4" w:space="0" w:color="auto"/>
              <w:right w:val="nil"/>
            </w:tcBorders>
            <w:shd w:val="clear" w:color="auto" w:fill="auto"/>
            <w:noWrap/>
            <w:vAlign w:val="bottom"/>
            <w:hideMark/>
          </w:tcPr>
          <w:p w14:paraId="4C5069D7" w14:textId="77777777" w:rsidR="00E74AF7" w:rsidRDefault="00E74AF7">
            <w:pPr>
              <w:rPr>
                <w:sz w:val="16"/>
                <w:szCs w:val="16"/>
              </w:rPr>
            </w:pPr>
            <w:r>
              <w:rPr>
                <w:sz w:val="16"/>
                <w:szCs w:val="16"/>
              </w:rPr>
              <w:t> </w:t>
            </w:r>
          </w:p>
        </w:tc>
      </w:tr>
    </w:tbl>
    <w:p w14:paraId="36225E8C" w14:textId="274FD85B" w:rsidR="00C164EF" w:rsidRDefault="00C164EF" w:rsidP="009075FA"/>
    <w:p w14:paraId="3E33331C" w14:textId="1F08BE22" w:rsidR="00282356" w:rsidRDefault="005A581A" w:rsidP="009075FA">
      <w:r>
        <w:t>Preg</w:t>
      </w:r>
      <w:r w:rsidR="00C32947">
        <w:t>l</w:t>
      </w:r>
      <w:r>
        <w:t>ed dugoročnih kredita</w:t>
      </w:r>
      <w:r w:rsidR="009D7279">
        <w:t xml:space="preserve"> Grada Buja </w:t>
      </w:r>
      <w:r w:rsidR="00830C42">
        <w:t>–</w:t>
      </w:r>
      <w:r w:rsidR="009D7279">
        <w:t xml:space="preserve"> Buie</w:t>
      </w:r>
    </w:p>
    <w:p w14:paraId="554560D3" w14:textId="77777777" w:rsidR="00204064" w:rsidRDefault="00204064" w:rsidP="009075FA"/>
    <w:tbl>
      <w:tblPr>
        <w:tblW w:w="9314" w:type="dxa"/>
        <w:tblLook w:val="04A0" w:firstRow="1" w:lastRow="0" w:firstColumn="1" w:lastColumn="0" w:noHBand="0" w:noVBand="1"/>
      </w:tblPr>
      <w:tblGrid>
        <w:gridCol w:w="415"/>
        <w:gridCol w:w="795"/>
        <w:gridCol w:w="1479"/>
        <w:gridCol w:w="899"/>
        <w:gridCol w:w="534"/>
        <w:gridCol w:w="657"/>
        <w:gridCol w:w="801"/>
        <w:gridCol w:w="899"/>
        <w:gridCol w:w="851"/>
        <w:gridCol w:w="992"/>
        <w:gridCol w:w="992"/>
      </w:tblGrid>
      <w:tr w:rsidR="00204064" w14:paraId="21A6EE6A" w14:textId="77777777" w:rsidTr="00204064">
        <w:trPr>
          <w:trHeight w:val="420"/>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77E94" w14:textId="77777777" w:rsidR="00204064" w:rsidRDefault="00204064">
            <w:pPr>
              <w:rPr>
                <w:sz w:val="13"/>
                <w:szCs w:val="13"/>
              </w:rPr>
            </w:pPr>
            <w:r>
              <w:rPr>
                <w:sz w:val="13"/>
                <w:szCs w:val="13"/>
              </w:rPr>
              <w:t>red.</w:t>
            </w:r>
            <w:r>
              <w:rPr>
                <w:sz w:val="13"/>
                <w:szCs w:val="13"/>
              </w:rPr>
              <w:br/>
              <w:t>br.</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4FCFA9F0" w14:textId="77777777" w:rsidR="00204064" w:rsidRDefault="00204064">
            <w:pPr>
              <w:rPr>
                <w:sz w:val="13"/>
                <w:szCs w:val="13"/>
              </w:rPr>
            </w:pPr>
            <w:r>
              <w:rPr>
                <w:sz w:val="13"/>
                <w:szCs w:val="13"/>
              </w:rPr>
              <w:t>vrsta kredita</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6CB7428A" w14:textId="77777777" w:rsidR="00204064" w:rsidRDefault="00204064">
            <w:pPr>
              <w:rPr>
                <w:sz w:val="13"/>
                <w:szCs w:val="13"/>
              </w:rPr>
            </w:pPr>
            <w:r>
              <w:rPr>
                <w:sz w:val="13"/>
                <w:szCs w:val="13"/>
              </w:rPr>
              <w:t>naziv pravne osobe</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4D80869E" w14:textId="77777777" w:rsidR="00204064" w:rsidRDefault="00204064">
            <w:pPr>
              <w:rPr>
                <w:sz w:val="13"/>
                <w:szCs w:val="13"/>
              </w:rPr>
            </w:pPr>
            <w:r>
              <w:rPr>
                <w:sz w:val="13"/>
                <w:szCs w:val="13"/>
              </w:rPr>
              <w:t xml:space="preserve">ugovoreni </w:t>
            </w:r>
            <w:r>
              <w:rPr>
                <w:sz w:val="13"/>
                <w:szCs w:val="13"/>
              </w:rPr>
              <w:br/>
              <w:t>iznos</w:t>
            </w: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56B9372F" w14:textId="77777777" w:rsidR="00204064" w:rsidRDefault="00204064">
            <w:pPr>
              <w:jc w:val="center"/>
              <w:rPr>
                <w:sz w:val="13"/>
                <w:szCs w:val="13"/>
              </w:rPr>
            </w:pPr>
            <w:r>
              <w:rPr>
                <w:sz w:val="13"/>
                <w:szCs w:val="13"/>
              </w:rPr>
              <w:t>valuta</w:t>
            </w:r>
          </w:p>
        </w:tc>
        <w:tc>
          <w:tcPr>
            <w:tcW w:w="657" w:type="dxa"/>
            <w:tcBorders>
              <w:top w:val="single" w:sz="4" w:space="0" w:color="auto"/>
              <w:left w:val="nil"/>
              <w:bottom w:val="single" w:sz="4" w:space="0" w:color="auto"/>
              <w:right w:val="single" w:sz="4" w:space="0" w:color="auto"/>
            </w:tcBorders>
            <w:shd w:val="clear" w:color="auto" w:fill="auto"/>
            <w:vAlign w:val="center"/>
            <w:hideMark/>
          </w:tcPr>
          <w:p w14:paraId="1A86F379" w14:textId="77777777" w:rsidR="00204064" w:rsidRDefault="00204064">
            <w:pPr>
              <w:jc w:val="center"/>
              <w:rPr>
                <w:sz w:val="13"/>
                <w:szCs w:val="13"/>
              </w:rPr>
            </w:pPr>
            <w:r>
              <w:rPr>
                <w:sz w:val="13"/>
                <w:szCs w:val="13"/>
              </w:rPr>
              <w:t>kamatna stopa</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463723ED" w14:textId="77777777" w:rsidR="00204064" w:rsidRDefault="00204064">
            <w:pPr>
              <w:jc w:val="center"/>
              <w:rPr>
                <w:sz w:val="13"/>
                <w:szCs w:val="13"/>
              </w:rPr>
            </w:pPr>
            <w:r>
              <w:rPr>
                <w:sz w:val="13"/>
                <w:szCs w:val="13"/>
              </w:rPr>
              <w:t>rok otplate</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4C6A1310" w14:textId="77777777" w:rsidR="00204064" w:rsidRDefault="00204064">
            <w:pPr>
              <w:jc w:val="center"/>
              <w:rPr>
                <w:sz w:val="13"/>
                <w:szCs w:val="13"/>
              </w:rPr>
            </w:pPr>
            <w:r>
              <w:rPr>
                <w:sz w:val="13"/>
                <w:szCs w:val="13"/>
              </w:rPr>
              <w:t>stanje kredita 01.01.2022.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C6A3018" w14:textId="77777777" w:rsidR="00204064" w:rsidRDefault="00204064">
            <w:pPr>
              <w:jc w:val="center"/>
              <w:rPr>
                <w:sz w:val="13"/>
                <w:szCs w:val="13"/>
              </w:rPr>
            </w:pPr>
            <w:r>
              <w:rPr>
                <w:sz w:val="13"/>
                <w:szCs w:val="13"/>
              </w:rPr>
              <w:t>primljeni kredit u tekućoj godini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C3D60C" w14:textId="77777777" w:rsidR="00204064" w:rsidRDefault="00204064">
            <w:pPr>
              <w:jc w:val="center"/>
              <w:rPr>
                <w:sz w:val="13"/>
                <w:szCs w:val="13"/>
              </w:rPr>
            </w:pPr>
            <w:r>
              <w:rPr>
                <w:sz w:val="13"/>
                <w:szCs w:val="13"/>
              </w:rPr>
              <w:t>otplaćeni kredit u tekućoj godini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F74F37" w14:textId="77777777" w:rsidR="00204064" w:rsidRDefault="00204064">
            <w:pPr>
              <w:jc w:val="center"/>
              <w:rPr>
                <w:sz w:val="13"/>
                <w:szCs w:val="13"/>
              </w:rPr>
            </w:pPr>
            <w:r>
              <w:rPr>
                <w:sz w:val="13"/>
                <w:szCs w:val="13"/>
              </w:rPr>
              <w:t>stanje kredita 31.12.2022.</w:t>
            </w:r>
          </w:p>
        </w:tc>
      </w:tr>
      <w:tr w:rsidR="00204064" w14:paraId="289EA4F5" w14:textId="77777777" w:rsidTr="00204064">
        <w:trPr>
          <w:trHeight w:val="105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1C150E89" w14:textId="77777777" w:rsidR="00204064" w:rsidRDefault="00204064">
            <w:pPr>
              <w:rPr>
                <w:sz w:val="13"/>
                <w:szCs w:val="13"/>
              </w:rPr>
            </w:pPr>
            <w:r>
              <w:rPr>
                <w:sz w:val="13"/>
                <w:szCs w:val="13"/>
              </w:rPr>
              <w:t>1.</w:t>
            </w:r>
          </w:p>
        </w:tc>
        <w:tc>
          <w:tcPr>
            <w:tcW w:w="795" w:type="dxa"/>
            <w:tcBorders>
              <w:top w:val="nil"/>
              <w:left w:val="nil"/>
              <w:bottom w:val="single" w:sz="4" w:space="0" w:color="auto"/>
              <w:right w:val="single" w:sz="4" w:space="0" w:color="auto"/>
            </w:tcBorders>
            <w:shd w:val="clear" w:color="auto" w:fill="auto"/>
            <w:vAlign w:val="center"/>
            <w:hideMark/>
          </w:tcPr>
          <w:p w14:paraId="6EDB4FD2" w14:textId="77777777" w:rsidR="00204064" w:rsidRDefault="00204064">
            <w:pPr>
              <w:rPr>
                <w:sz w:val="13"/>
                <w:szCs w:val="13"/>
              </w:rPr>
            </w:pPr>
            <w:r>
              <w:rPr>
                <w:sz w:val="13"/>
                <w:szCs w:val="13"/>
              </w:rPr>
              <w:t>tuzemni dugoročni kredit</w:t>
            </w:r>
          </w:p>
        </w:tc>
        <w:tc>
          <w:tcPr>
            <w:tcW w:w="1479" w:type="dxa"/>
            <w:tcBorders>
              <w:top w:val="nil"/>
              <w:left w:val="nil"/>
              <w:bottom w:val="single" w:sz="4" w:space="0" w:color="auto"/>
              <w:right w:val="single" w:sz="4" w:space="0" w:color="auto"/>
            </w:tcBorders>
            <w:shd w:val="clear" w:color="auto" w:fill="auto"/>
            <w:vAlign w:val="center"/>
            <w:hideMark/>
          </w:tcPr>
          <w:p w14:paraId="6E921203" w14:textId="77777777" w:rsidR="00204064" w:rsidRDefault="00204064">
            <w:pPr>
              <w:rPr>
                <w:sz w:val="13"/>
                <w:szCs w:val="13"/>
              </w:rPr>
            </w:pPr>
            <w:r>
              <w:rPr>
                <w:sz w:val="13"/>
                <w:szCs w:val="13"/>
              </w:rPr>
              <w:t xml:space="preserve">Istarska kreditna banka Umag d.d. / </w:t>
            </w:r>
            <w:r>
              <w:rPr>
                <w:sz w:val="13"/>
                <w:szCs w:val="13"/>
              </w:rPr>
              <w:br/>
              <w:t>energetska obnova zgrade Centra za inkluziju i zgrade Uprave</w:t>
            </w:r>
          </w:p>
        </w:tc>
        <w:tc>
          <w:tcPr>
            <w:tcW w:w="899" w:type="dxa"/>
            <w:tcBorders>
              <w:top w:val="nil"/>
              <w:left w:val="nil"/>
              <w:bottom w:val="single" w:sz="4" w:space="0" w:color="auto"/>
              <w:right w:val="single" w:sz="4" w:space="0" w:color="auto"/>
            </w:tcBorders>
            <w:shd w:val="clear" w:color="auto" w:fill="auto"/>
            <w:noWrap/>
            <w:vAlign w:val="center"/>
            <w:hideMark/>
          </w:tcPr>
          <w:p w14:paraId="74C9FE7D" w14:textId="77777777" w:rsidR="00204064" w:rsidRDefault="00204064">
            <w:pPr>
              <w:rPr>
                <w:sz w:val="13"/>
                <w:szCs w:val="13"/>
              </w:rPr>
            </w:pPr>
            <w:r>
              <w:rPr>
                <w:sz w:val="13"/>
                <w:szCs w:val="13"/>
              </w:rPr>
              <w:t xml:space="preserve">      4.089.561,00    </w:t>
            </w:r>
          </w:p>
        </w:tc>
        <w:tc>
          <w:tcPr>
            <w:tcW w:w="534" w:type="dxa"/>
            <w:tcBorders>
              <w:top w:val="nil"/>
              <w:left w:val="nil"/>
              <w:bottom w:val="single" w:sz="4" w:space="0" w:color="auto"/>
              <w:right w:val="single" w:sz="4" w:space="0" w:color="auto"/>
            </w:tcBorders>
            <w:shd w:val="clear" w:color="auto" w:fill="auto"/>
            <w:noWrap/>
            <w:vAlign w:val="center"/>
            <w:hideMark/>
          </w:tcPr>
          <w:p w14:paraId="0434F5ED" w14:textId="77777777" w:rsidR="00204064" w:rsidRDefault="00204064">
            <w:pPr>
              <w:rPr>
                <w:sz w:val="13"/>
                <w:szCs w:val="13"/>
              </w:rPr>
            </w:pPr>
            <w:r>
              <w:rPr>
                <w:sz w:val="13"/>
                <w:szCs w:val="13"/>
              </w:rPr>
              <w:t xml:space="preserve"> KN </w:t>
            </w:r>
          </w:p>
        </w:tc>
        <w:tc>
          <w:tcPr>
            <w:tcW w:w="657" w:type="dxa"/>
            <w:tcBorders>
              <w:top w:val="nil"/>
              <w:left w:val="nil"/>
              <w:bottom w:val="single" w:sz="4" w:space="0" w:color="auto"/>
              <w:right w:val="single" w:sz="4" w:space="0" w:color="auto"/>
            </w:tcBorders>
            <w:shd w:val="clear" w:color="auto" w:fill="auto"/>
            <w:noWrap/>
            <w:vAlign w:val="center"/>
            <w:hideMark/>
          </w:tcPr>
          <w:p w14:paraId="7ECB49F4" w14:textId="77777777" w:rsidR="00204064" w:rsidRDefault="00204064">
            <w:pPr>
              <w:jc w:val="right"/>
              <w:rPr>
                <w:sz w:val="13"/>
                <w:szCs w:val="13"/>
              </w:rPr>
            </w:pPr>
            <w:r>
              <w:rPr>
                <w:sz w:val="13"/>
                <w:szCs w:val="13"/>
              </w:rPr>
              <w:t>1,20</w:t>
            </w:r>
          </w:p>
        </w:tc>
        <w:tc>
          <w:tcPr>
            <w:tcW w:w="801" w:type="dxa"/>
            <w:tcBorders>
              <w:top w:val="nil"/>
              <w:left w:val="nil"/>
              <w:bottom w:val="single" w:sz="4" w:space="0" w:color="auto"/>
              <w:right w:val="single" w:sz="4" w:space="0" w:color="auto"/>
            </w:tcBorders>
            <w:shd w:val="clear" w:color="auto" w:fill="auto"/>
            <w:noWrap/>
            <w:vAlign w:val="center"/>
            <w:hideMark/>
          </w:tcPr>
          <w:p w14:paraId="57E11312" w14:textId="77777777" w:rsidR="00204064" w:rsidRDefault="00204064">
            <w:pPr>
              <w:jc w:val="right"/>
              <w:rPr>
                <w:sz w:val="13"/>
                <w:szCs w:val="13"/>
              </w:rPr>
            </w:pPr>
            <w:r>
              <w:rPr>
                <w:sz w:val="13"/>
                <w:szCs w:val="13"/>
              </w:rPr>
              <w:t>31.3.2030</w:t>
            </w:r>
          </w:p>
        </w:tc>
        <w:tc>
          <w:tcPr>
            <w:tcW w:w="899" w:type="dxa"/>
            <w:tcBorders>
              <w:top w:val="nil"/>
              <w:left w:val="nil"/>
              <w:bottom w:val="single" w:sz="4" w:space="0" w:color="auto"/>
              <w:right w:val="single" w:sz="4" w:space="0" w:color="auto"/>
            </w:tcBorders>
            <w:shd w:val="clear" w:color="auto" w:fill="auto"/>
            <w:noWrap/>
            <w:vAlign w:val="center"/>
            <w:hideMark/>
          </w:tcPr>
          <w:p w14:paraId="70A57613" w14:textId="77777777" w:rsidR="00204064" w:rsidRDefault="00204064">
            <w:pPr>
              <w:jc w:val="right"/>
              <w:rPr>
                <w:sz w:val="13"/>
                <w:szCs w:val="13"/>
              </w:rPr>
            </w:pPr>
            <w:r>
              <w:rPr>
                <w:sz w:val="13"/>
                <w:szCs w:val="13"/>
              </w:rPr>
              <w:t xml:space="preserve">      1.511.175,75    </w:t>
            </w:r>
          </w:p>
        </w:tc>
        <w:tc>
          <w:tcPr>
            <w:tcW w:w="851" w:type="dxa"/>
            <w:tcBorders>
              <w:top w:val="nil"/>
              <w:left w:val="nil"/>
              <w:bottom w:val="single" w:sz="4" w:space="0" w:color="auto"/>
              <w:right w:val="single" w:sz="4" w:space="0" w:color="auto"/>
            </w:tcBorders>
            <w:shd w:val="clear" w:color="auto" w:fill="auto"/>
            <w:noWrap/>
            <w:vAlign w:val="center"/>
            <w:hideMark/>
          </w:tcPr>
          <w:p w14:paraId="16AF9D42" w14:textId="77777777" w:rsidR="00204064" w:rsidRDefault="00204064">
            <w:pPr>
              <w:jc w:val="right"/>
              <w:rPr>
                <w:sz w:val="13"/>
                <w:szCs w:val="13"/>
              </w:rPr>
            </w:pPr>
            <w:r>
              <w:rPr>
                <w:sz w:val="13"/>
                <w:szCs w:val="13"/>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6A30A53F" w14:textId="77777777" w:rsidR="00204064" w:rsidRDefault="00204064">
            <w:pPr>
              <w:jc w:val="right"/>
              <w:rPr>
                <w:sz w:val="13"/>
                <w:szCs w:val="13"/>
              </w:rPr>
            </w:pPr>
            <w:r>
              <w:rPr>
                <w:sz w:val="13"/>
                <w:szCs w:val="13"/>
              </w:rPr>
              <w:t xml:space="preserve">         183.172,84    </w:t>
            </w:r>
          </w:p>
        </w:tc>
        <w:tc>
          <w:tcPr>
            <w:tcW w:w="992" w:type="dxa"/>
            <w:tcBorders>
              <w:top w:val="nil"/>
              <w:left w:val="nil"/>
              <w:bottom w:val="single" w:sz="4" w:space="0" w:color="auto"/>
              <w:right w:val="single" w:sz="4" w:space="0" w:color="auto"/>
            </w:tcBorders>
            <w:shd w:val="clear" w:color="auto" w:fill="auto"/>
            <w:noWrap/>
            <w:vAlign w:val="center"/>
            <w:hideMark/>
          </w:tcPr>
          <w:p w14:paraId="67404B89" w14:textId="77777777" w:rsidR="00204064" w:rsidRDefault="00204064">
            <w:pPr>
              <w:jc w:val="right"/>
              <w:rPr>
                <w:sz w:val="13"/>
                <w:szCs w:val="13"/>
              </w:rPr>
            </w:pPr>
            <w:r>
              <w:rPr>
                <w:sz w:val="13"/>
                <w:szCs w:val="13"/>
              </w:rPr>
              <w:t xml:space="preserve">      1.328.002,91    </w:t>
            </w:r>
          </w:p>
        </w:tc>
      </w:tr>
      <w:tr w:rsidR="00204064" w14:paraId="4D116266" w14:textId="77777777" w:rsidTr="00204064">
        <w:trPr>
          <w:trHeight w:val="105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692B0AD7" w14:textId="77777777" w:rsidR="00204064" w:rsidRDefault="00204064">
            <w:pPr>
              <w:rPr>
                <w:sz w:val="13"/>
                <w:szCs w:val="13"/>
              </w:rPr>
            </w:pPr>
            <w:r>
              <w:rPr>
                <w:sz w:val="13"/>
                <w:szCs w:val="13"/>
              </w:rPr>
              <w:t>2.</w:t>
            </w:r>
          </w:p>
        </w:tc>
        <w:tc>
          <w:tcPr>
            <w:tcW w:w="795" w:type="dxa"/>
            <w:tcBorders>
              <w:top w:val="nil"/>
              <w:left w:val="nil"/>
              <w:bottom w:val="single" w:sz="4" w:space="0" w:color="auto"/>
              <w:right w:val="single" w:sz="4" w:space="0" w:color="auto"/>
            </w:tcBorders>
            <w:shd w:val="clear" w:color="auto" w:fill="auto"/>
            <w:vAlign w:val="center"/>
            <w:hideMark/>
          </w:tcPr>
          <w:p w14:paraId="334BD105" w14:textId="77777777" w:rsidR="00204064" w:rsidRDefault="00204064">
            <w:pPr>
              <w:rPr>
                <w:sz w:val="13"/>
                <w:szCs w:val="13"/>
              </w:rPr>
            </w:pPr>
            <w:r>
              <w:rPr>
                <w:sz w:val="13"/>
                <w:szCs w:val="13"/>
              </w:rPr>
              <w:t>tuzemni dugoročni kredit</w:t>
            </w:r>
          </w:p>
        </w:tc>
        <w:tc>
          <w:tcPr>
            <w:tcW w:w="1479" w:type="dxa"/>
            <w:tcBorders>
              <w:top w:val="nil"/>
              <w:left w:val="nil"/>
              <w:bottom w:val="single" w:sz="4" w:space="0" w:color="auto"/>
              <w:right w:val="single" w:sz="4" w:space="0" w:color="auto"/>
            </w:tcBorders>
            <w:shd w:val="clear" w:color="auto" w:fill="auto"/>
            <w:vAlign w:val="center"/>
            <w:hideMark/>
          </w:tcPr>
          <w:p w14:paraId="7E9E6A67" w14:textId="77777777" w:rsidR="00204064" w:rsidRDefault="00204064">
            <w:pPr>
              <w:rPr>
                <w:sz w:val="13"/>
                <w:szCs w:val="13"/>
              </w:rPr>
            </w:pPr>
            <w:r>
              <w:rPr>
                <w:sz w:val="13"/>
                <w:szCs w:val="13"/>
              </w:rPr>
              <w:t xml:space="preserve">Istarska kreditna banka Umag d.d. / </w:t>
            </w:r>
            <w:r>
              <w:rPr>
                <w:sz w:val="13"/>
                <w:szCs w:val="13"/>
              </w:rPr>
              <w:br/>
              <w:t>energetska obnova zgrade dječjeg vrtića</w:t>
            </w:r>
          </w:p>
        </w:tc>
        <w:tc>
          <w:tcPr>
            <w:tcW w:w="899" w:type="dxa"/>
            <w:tcBorders>
              <w:top w:val="nil"/>
              <w:left w:val="nil"/>
              <w:bottom w:val="single" w:sz="4" w:space="0" w:color="auto"/>
              <w:right w:val="single" w:sz="4" w:space="0" w:color="auto"/>
            </w:tcBorders>
            <w:shd w:val="clear" w:color="auto" w:fill="auto"/>
            <w:noWrap/>
            <w:vAlign w:val="center"/>
            <w:hideMark/>
          </w:tcPr>
          <w:p w14:paraId="1E64FD76" w14:textId="77777777" w:rsidR="00204064" w:rsidRDefault="00204064">
            <w:pPr>
              <w:rPr>
                <w:sz w:val="13"/>
                <w:szCs w:val="13"/>
              </w:rPr>
            </w:pPr>
            <w:r>
              <w:rPr>
                <w:sz w:val="13"/>
                <w:szCs w:val="13"/>
              </w:rPr>
              <w:t xml:space="preserve">      2.696.730,00    </w:t>
            </w:r>
          </w:p>
        </w:tc>
        <w:tc>
          <w:tcPr>
            <w:tcW w:w="534" w:type="dxa"/>
            <w:tcBorders>
              <w:top w:val="nil"/>
              <w:left w:val="nil"/>
              <w:bottom w:val="single" w:sz="4" w:space="0" w:color="auto"/>
              <w:right w:val="single" w:sz="4" w:space="0" w:color="auto"/>
            </w:tcBorders>
            <w:shd w:val="clear" w:color="auto" w:fill="auto"/>
            <w:noWrap/>
            <w:vAlign w:val="center"/>
            <w:hideMark/>
          </w:tcPr>
          <w:p w14:paraId="235C5E14" w14:textId="77777777" w:rsidR="00204064" w:rsidRDefault="00204064">
            <w:pPr>
              <w:rPr>
                <w:sz w:val="13"/>
                <w:szCs w:val="13"/>
              </w:rPr>
            </w:pPr>
            <w:r>
              <w:rPr>
                <w:sz w:val="13"/>
                <w:szCs w:val="13"/>
              </w:rPr>
              <w:t xml:space="preserve"> KN </w:t>
            </w:r>
          </w:p>
        </w:tc>
        <w:tc>
          <w:tcPr>
            <w:tcW w:w="657" w:type="dxa"/>
            <w:tcBorders>
              <w:top w:val="nil"/>
              <w:left w:val="nil"/>
              <w:bottom w:val="single" w:sz="4" w:space="0" w:color="auto"/>
              <w:right w:val="single" w:sz="4" w:space="0" w:color="auto"/>
            </w:tcBorders>
            <w:shd w:val="clear" w:color="auto" w:fill="auto"/>
            <w:vAlign w:val="center"/>
            <w:hideMark/>
          </w:tcPr>
          <w:p w14:paraId="2991E050" w14:textId="77777777" w:rsidR="00204064" w:rsidRDefault="00204064">
            <w:pPr>
              <w:rPr>
                <w:sz w:val="13"/>
                <w:szCs w:val="13"/>
              </w:rPr>
            </w:pPr>
            <w:r>
              <w:rPr>
                <w:sz w:val="13"/>
                <w:szCs w:val="13"/>
              </w:rPr>
              <w:t>1,2 (36 mj.)</w:t>
            </w:r>
            <w:r>
              <w:rPr>
                <w:sz w:val="13"/>
                <w:szCs w:val="13"/>
              </w:rPr>
              <w:br/>
              <w:t>TZ MF RH + 1,3 p.p.</w:t>
            </w:r>
          </w:p>
        </w:tc>
        <w:tc>
          <w:tcPr>
            <w:tcW w:w="801" w:type="dxa"/>
            <w:tcBorders>
              <w:top w:val="nil"/>
              <w:left w:val="nil"/>
              <w:bottom w:val="single" w:sz="4" w:space="0" w:color="auto"/>
              <w:right w:val="single" w:sz="4" w:space="0" w:color="auto"/>
            </w:tcBorders>
            <w:shd w:val="clear" w:color="auto" w:fill="auto"/>
            <w:noWrap/>
            <w:vAlign w:val="center"/>
            <w:hideMark/>
          </w:tcPr>
          <w:p w14:paraId="5C5715A2" w14:textId="77777777" w:rsidR="00204064" w:rsidRDefault="00204064">
            <w:pPr>
              <w:jc w:val="right"/>
              <w:rPr>
                <w:sz w:val="13"/>
                <w:szCs w:val="13"/>
              </w:rPr>
            </w:pPr>
            <w:r>
              <w:rPr>
                <w:sz w:val="13"/>
                <w:szCs w:val="13"/>
              </w:rPr>
              <w:t>31.10.2030</w:t>
            </w:r>
          </w:p>
        </w:tc>
        <w:tc>
          <w:tcPr>
            <w:tcW w:w="899" w:type="dxa"/>
            <w:tcBorders>
              <w:top w:val="nil"/>
              <w:left w:val="nil"/>
              <w:bottom w:val="single" w:sz="4" w:space="0" w:color="auto"/>
              <w:right w:val="single" w:sz="4" w:space="0" w:color="auto"/>
            </w:tcBorders>
            <w:shd w:val="clear" w:color="auto" w:fill="auto"/>
            <w:noWrap/>
            <w:vAlign w:val="center"/>
            <w:hideMark/>
          </w:tcPr>
          <w:p w14:paraId="13E5C703" w14:textId="77777777" w:rsidR="00204064" w:rsidRDefault="00204064">
            <w:pPr>
              <w:jc w:val="right"/>
              <w:rPr>
                <w:sz w:val="13"/>
                <w:szCs w:val="13"/>
              </w:rPr>
            </w:pPr>
            <w:r>
              <w:rPr>
                <w:sz w:val="13"/>
                <w:szCs w:val="13"/>
              </w:rPr>
              <w:t xml:space="preserve">      2.696.730,00    </w:t>
            </w:r>
          </w:p>
        </w:tc>
        <w:tc>
          <w:tcPr>
            <w:tcW w:w="851" w:type="dxa"/>
            <w:tcBorders>
              <w:top w:val="nil"/>
              <w:left w:val="nil"/>
              <w:bottom w:val="single" w:sz="4" w:space="0" w:color="auto"/>
              <w:right w:val="single" w:sz="4" w:space="0" w:color="auto"/>
            </w:tcBorders>
            <w:shd w:val="clear" w:color="auto" w:fill="auto"/>
            <w:noWrap/>
            <w:vAlign w:val="center"/>
            <w:hideMark/>
          </w:tcPr>
          <w:p w14:paraId="71108BCA" w14:textId="77777777" w:rsidR="00204064" w:rsidRDefault="00204064">
            <w:pPr>
              <w:jc w:val="right"/>
              <w:rPr>
                <w:sz w:val="13"/>
                <w:szCs w:val="13"/>
              </w:rPr>
            </w:pPr>
            <w:r>
              <w:rPr>
                <w:sz w:val="13"/>
                <w:szCs w:val="13"/>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22CFAC16" w14:textId="77777777" w:rsidR="00204064" w:rsidRDefault="00204064">
            <w:pPr>
              <w:jc w:val="right"/>
              <w:rPr>
                <w:sz w:val="13"/>
                <w:szCs w:val="13"/>
              </w:rPr>
            </w:pPr>
            <w:r>
              <w:rPr>
                <w:sz w:val="13"/>
                <w:szCs w:val="13"/>
              </w:rPr>
              <w:t xml:space="preserve">         299.636,68    </w:t>
            </w:r>
          </w:p>
        </w:tc>
        <w:tc>
          <w:tcPr>
            <w:tcW w:w="992" w:type="dxa"/>
            <w:tcBorders>
              <w:top w:val="nil"/>
              <w:left w:val="nil"/>
              <w:bottom w:val="single" w:sz="4" w:space="0" w:color="auto"/>
              <w:right w:val="single" w:sz="4" w:space="0" w:color="auto"/>
            </w:tcBorders>
            <w:shd w:val="clear" w:color="auto" w:fill="auto"/>
            <w:noWrap/>
            <w:vAlign w:val="center"/>
            <w:hideMark/>
          </w:tcPr>
          <w:p w14:paraId="14098A75" w14:textId="77777777" w:rsidR="00204064" w:rsidRDefault="00204064">
            <w:pPr>
              <w:jc w:val="right"/>
              <w:rPr>
                <w:sz w:val="13"/>
                <w:szCs w:val="13"/>
              </w:rPr>
            </w:pPr>
            <w:r>
              <w:rPr>
                <w:sz w:val="13"/>
                <w:szCs w:val="13"/>
              </w:rPr>
              <w:t xml:space="preserve">      2.397.093,32    </w:t>
            </w:r>
          </w:p>
        </w:tc>
      </w:tr>
      <w:tr w:rsidR="00204064" w14:paraId="602B434D" w14:textId="77777777" w:rsidTr="00204064">
        <w:trPr>
          <w:trHeight w:val="105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2EF8D03A" w14:textId="77777777" w:rsidR="00204064" w:rsidRDefault="00204064">
            <w:pPr>
              <w:rPr>
                <w:sz w:val="13"/>
                <w:szCs w:val="13"/>
              </w:rPr>
            </w:pPr>
            <w:r>
              <w:rPr>
                <w:sz w:val="13"/>
                <w:szCs w:val="13"/>
              </w:rPr>
              <w:t>3.</w:t>
            </w:r>
          </w:p>
        </w:tc>
        <w:tc>
          <w:tcPr>
            <w:tcW w:w="795" w:type="dxa"/>
            <w:tcBorders>
              <w:top w:val="nil"/>
              <w:left w:val="nil"/>
              <w:bottom w:val="single" w:sz="4" w:space="0" w:color="auto"/>
              <w:right w:val="single" w:sz="4" w:space="0" w:color="auto"/>
            </w:tcBorders>
            <w:shd w:val="clear" w:color="auto" w:fill="auto"/>
            <w:vAlign w:val="center"/>
            <w:hideMark/>
          </w:tcPr>
          <w:p w14:paraId="1A590D80" w14:textId="77777777" w:rsidR="00204064" w:rsidRDefault="00204064">
            <w:pPr>
              <w:rPr>
                <w:sz w:val="13"/>
                <w:szCs w:val="13"/>
              </w:rPr>
            </w:pPr>
            <w:r>
              <w:rPr>
                <w:sz w:val="13"/>
                <w:szCs w:val="13"/>
              </w:rPr>
              <w:t>tuzemni dugoročni kredit</w:t>
            </w:r>
          </w:p>
        </w:tc>
        <w:tc>
          <w:tcPr>
            <w:tcW w:w="1479" w:type="dxa"/>
            <w:tcBorders>
              <w:top w:val="nil"/>
              <w:left w:val="nil"/>
              <w:bottom w:val="single" w:sz="4" w:space="0" w:color="auto"/>
              <w:right w:val="single" w:sz="4" w:space="0" w:color="auto"/>
            </w:tcBorders>
            <w:shd w:val="clear" w:color="auto" w:fill="auto"/>
            <w:vAlign w:val="center"/>
            <w:hideMark/>
          </w:tcPr>
          <w:p w14:paraId="6567A577" w14:textId="77777777" w:rsidR="00204064" w:rsidRDefault="00204064">
            <w:pPr>
              <w:rPr>
                <w:sz w:val="13"/>
                <w:szCs w:val="13"/>
              </w:rPr>
            </w:pPr>
            <w:r>
              <w:rPr>
                <w:sz w:val="13"/>
                <w:szCs w:val="13"/>
              </w:rPr>
              <w:t xml:space="preserve">Istarska kreditna banka Umag d.d. / </w:t>
            </w:r>
            <w:r>
              <w:rPr>
                <w:sz w:val="13"/>
                <w:szCs w:val="13"/>
              </w:rPr>
              <w:br/>
              <w:t>energetska obnova javne rasvjete</w:t>
            </w:r>
          </w:p>
        </w:tc>
        <w:tc>
          <w:tcPr>
            <w:tcW w:w="899" w:type="dxa"/>
            <w:tcBorders>
              <w:top w:val="nil"/>
              <w:left w:val="nil"/>
              <w:bottom w:val="single" w:sz="4" w:space="0" w:color="auto"/>
              <w:right w:val="single" w:sz="4" w:space="0" w:color="auto"/>
            </w:tcBorders>
            <w:shd w:val="clear" w:color="auto" w:fill="auto"/>
            <w:noWrap/>
            <w:vAlign w:val="center"/>
            <w:hideMark/>
          </w:tcPr>
          <w:p w14:paraId="5443A863" w14:textId="77777777" w:rsidR="00204064" w:rsidRDefault="00204064">
            <w:pPr>
              <w:rPr>
                <w:sz w:val="13"/>
                <w:szCs w:val="13"/>
              </w:rPr>
            </w:pPr>
            <w:r>
              <w:rPr>
                <w:sz w:val="13"/>
                <w:szCs w:val="13"/>
              </w:rPr>
              <w:t xml:space="preserve">         840.116,00    </w:t>
            </w:r>
          </w:p>
        </w:tc>
        <w:tc>
          <w:tcPr>
            <w:tcW w:w="534" w:type="dxa"/>
            <w:tcBorders>
              <w:top w:val="nil"/>
              <w:left w:val="nil"/>
              <w:bottom w:val="single" w:sz="4" w:space="0" w:color="auto"/>
              <w:right w:val="single" w:sz="4" w:space="0" w:color="auto"/>
            </w:tcBorders>
            <w:shd w:val="clear" w:color="auto" w:fill="auto"/>
            <w:noWrap/>
            <w:vAlign w:val="center"/>
            <w:hideMark/>
          </w:tcPr>
          <w:p w14:paraId="429FB5DB" w14:textId="77777777" w:rsidR="00204064" w:rsidRDefault="00204064">
            <w:pPr>
              <w:rPr>
                <w:sz w:val="13"/>
                <w:szCs w:val="13"/>
              </w:rPr>
            </w:pPr>
            <w:r>
              <w:rPr>
                <w:sz w:val="13"/>
                <w:szCs w:val="13"/>
              </w:rPr>
              <w:t xml:space="preserve"> KN </w:t>
            </w:r>
          </w:p>
        </w:tc>
        <w:tc>
          <w:tcPr>
            <w:tcW w:w="657" w:type="dxa"/>
            <w:tcBorders>
              <w:top w:val="nil"/>
              <w:left w:val="nil"/>
              <w:bottom w:val="single" w:sz="4" w:space="0" w:color="auto"/>
              <w:right w:val="single" w:sz="4" w:space="0" w:color="auto"/>
            </w:tcBorders>
            <w:shd w:val="clear" w:color="auto" w:fill="auto"/>
            <w:vAlign w:val="center"/>
            <w:hideMark/>
          </w:tcPr>
          <w:p w14:paraId="04106EE0" w14:textId="77777777" w:rsidR="00204064" w:rsidRDefault="00204064">
            <w:pPr>
              <w:rPr>
                <w:sz w:val="13"/>
                <w:szCs w:val="13"/>
              </w:rPr>
            </w:pPr>
            <w:r>
              <w:rPr>
                <w:sz w:val="13"/>
                <w:szCs w:val="13"/>
              </w:rPr>
              <w:t>1,2 (24 mj.)</w:t>
            </w:r>
            <w:r>
              <w:rPr>
                <w:sz w:val="13"/>
                <w:szCs w:val="13"/>
              </w:rPr>
              <w:br/>
              <w:t>TZ MF RH + 1,3 p.p.</w:t>
            </w:r>
          </w:p>
        </w:tc>
        <w:tc>
          <w:tcPr>
            <w:tcW w:w="801" w:type="dxa"/>
            <w:tcBorders>
              <w:top w:val="nil"/>
              <w:left w:val="nil"/>
              <w:bottom w:val="single" w:sz="4" w:space="0" w:color="auto"/>
              <w:right w:val="single" w:sz="4" w:space="0" w:color="auto"/>
            </w:tcBorders>
            <w:shd w:val="clear" w:color="auto" w:fill="auto"/>
            <w:noWrap/>
            <w:vAlign w:val="center"/>
            <w:hideMark/>
          </w:tcPr>
          <w:p w14:paraId="057A3276" w14:textId="77777777" w:rsidR="00204064" w:rsidRDefault="00204064">
            <w:pPr>
              <w:jc w:val="right"/>
              <w:rPr>
                <w:sz w:val="13"/>
                <w:szCs w:val="13"/>
              </w:rPr>
            </w:pPr>
            <w:r>
              <w:rPr>
                <w:sz w:val="13"/>
                <w:szCs w:val="13"/>
              </w:rPr>
              <w:t>30.6.2028</w:t>
            </w:r>
          </w:p>
        </w:tc>
        <w:tc>
          <w:tcPr>
            <w:tcW w:w="899" w:type="dxa"/>
            <w:tcBorders>
              <w:top w:val="nil"/>
              <w:left w:val="nil"/>
              <w:bottom w:val="single" w:sz="4" w:space="0" w:color="auto"/>
              <w:right w:val="single" w:sz="4" w:space="0" w:color="auto"/>
            </w:tcBorders>
            <w:shd w:val="clear" w:color="auto" w:fill="auto"/>
            <w:noWrap/>
            <w:vAlign w:val="center"/>
            <w:hideMark/>
          </w:tcPr>
          <w:p w14:paraId="3BEE9D5A" w14:textId="77777777" w:rsidR="00204064" w:rsidRDefault="00204064">
            <w:pPr>
              <w:jc w:val="right"/>
              <w:rPr>
                <w:sz w:val="13"/>
                <w:szCs w:val="13"/>
              </w:rPr>
            </w:pPr>
            <w:r>
              <w:rPr>
                <w:sz w:val="13"/>
                <w:szCs w:val="13"/>
              </w:rPr>
              <w:t xml:space="preserve">         840.116,00    </w:t>
            </w:r>
          </w:p>
        </w:tc>
        <w:tc>
          <w:tcPr>
            <w:tcW w:w="851" w:type="dxa"/>
            <w:tcBorders>
              <w:top w:val="nil"/>
              <w:left w:val="nil"/>
              <w:bottom w:val="single" w:sz="4" w:space="0" w:color="auto"/>
              <w:right w:val="single" w:sz="4" w:space="0" w:color="auto"/>
            </w:tcBorders>
            <w:shd w:val="clear" w:color="auto" w:fill="auto"/>
            <w:noWrap/>
            <w:vAlign w:val="center"/>
            <w:hideMark/>
          </w:tcPr>
          <w:p w14:paraId="4C176049" w14:textId="77777777" w:rsidR="00204064" w:rsidRDefault="00204064">
            <w:pPr>
              <w:jc w:val="right"/>
              <w:rPr>
                <w:sz w:val="13"/>
                <w:szCs w:val="13"/>
              </w:rPr>
            </w:pPr>
            <w:r>
              <w:rPr>
                <w:sz w:val="13"/>
                <w:szCs w:val="13"/>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37D59B26" w14:textId="77777777" w:rsidR="00204064" w:rsidRDefault="00204064">
            <w:pPr>
              <w:jc w:val="right"/>
              <w:rPr>
                <w:sz w:val="13"/>
                <w:szCs w:val="13"/>
              </w:rPr>
            </w:pPr>
            <w:r>
              <w:rPr>
                <w:sz w:val="13"/>
                <w:szCs w:val="13"/>
              </w:rPr>
              <w:t xml:space="preserve">            90.012,42    </w:t>
            </w:r>
          </w:p>
        </w:tc>
        <w:tc>
          <w:tcPr>
            <w:tcW w:w="992" w:type="dxa"/>
            <w:tcBorders>
              <w:top w:val="nil"/>
              <w:left w:val="nil"/>
              <w:bottom w:val="single" w:sz="4" w:space="0" w:color="auto"/>
              <w:right w:val="single" w:sz="4" w:space="0" w:color="auto"/>
            </w:tcBorders>
            <w:shd w:val="clear" w:color="auto" w:fill="auto"/>
            <w:noWrap/>
            <w:vAlign w:val="center"/>
            <w:hideMark/>
          </w:tcPr>
          <w:p w14:paraId="18ADD759" w14:textId="77777777" w:rsidR="00204064" w:rsidRDefault="00204064">
            <w:pPr>
              <w:jc w:val="right"/>
              <w:rPr>
                <w:sz w:val="13"/>
                <w:szCs w:val="13"/>
              </w:rPr>
            </w:pPr>
            <w:r>
              <w:rPr>
                <w:sz w:val="13"/>
                <w:szCs w:val="13"/>
              </w:rPr>
              <w:t xml:space="preserve">         750.103,58    </w:t>
            </w:r>
          </w:p>
        </w:tc>
      </w:tr>
      <w:tr w:rsidR="00204064" w14:paraId="767215F6" w14:textId="77777777" w:rsidTr="00204064">
        <w:trPr>
          <w:trHeight w:val="84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76C1D63B" w14:textId="77777777" w:rsidR="00204064" w:rsidRDefault="00204064">
            <w:pPr>
              <w:rPr>
                <w:sz w:val="13"/>
                <w:szCs w:val="13"/>
              </w:rPr>
            </w:pPr>
            <w:r>
              <w:rPr>
                <w:sz w:val="13"/>
                <w:szCs w:val="13"/>
              </w:rPr>
              <w:t>4.</w:t>
            </w:r>
          </w:p>
        </w:tc>
        <w:tc>
          <w:tcPr>
            <w:tcW w:w="795" w:type="dxa"/>
            <w:tcBorders>
              <w:top w:val="nil"/>
              <w:left w:val="nil"/>
              <w:bottom w:val="single" w:sz="4" w:space="0" w:color="auto"/>
              <w:right w:val="single" w:sz="4" w:space="0" w:color="auto"/>
            </w:tcBorders>
            <w:shd w:val="clear" w:color="auto" w:fill="auto"/>
            <w:vAlign w:val="center"/>
            <w:hideMark/>
          </w:tcPr>
          <w:p w14:paraId="05449FE8" w14:textId="77777777" w:rsidR="00204064" w:rsidRDefault="00204064">
            <w:pPr>
              <w:rPr>
                <w:sz w:val="13"/>
                <w:szCs w:val="13"/>
              </w:rPr>
            </w:pPr>
            <w:r>
              <w:rPr>
                <w:sz w:val="13"/>
                <w:szCs w:val="13"/>
              </w:rPr>
              <w:t>tuzemni dugoročni kredit</w:t>
            </w:r>
          </w:p>
        </w:tc>
        <w:tc>
          <w:tcPr>
            <w:tcW w:w="1479" w:type="dxa"/>
            <w:tcBorders>
              <w:top w:val="nil"/>
              <w:left w:val="nil"/>
              <w:bottom w:val="single" w:sz="4" w:space="0" w:color="auto"/>
              <w:right w:val="single" w:sz="4" w:space="0" w:color="auto"/>
            </w:tcBorders>
            <w:shd w:val="clear" w:color="auto" w:fill="auto"/>
            <w:vAlign w:val="center"/>
            <w:hideMark/>
          </w:tcPr>
          <w:p w14:paraId="34B72E2C" w14:textId="77777777" w:rsidR="00204064" w:rsidRDefault="00204064">
            <w:pPr>
              <w:rPr>
                <w:sz w:val="13"/>
                <w:szCs w:val="13"/>
              </w:rPr>
            </w:pPr>
            <w:r>
              <w:rPr>
                <w:sz w:val="13"/>
                <w:szCs w:val="13"/>
              </w:rPr>
              <w:t xml:space="preserve">Hrvatska banka za obnovu i razvitak / </w:t>
            </w:r>
            <w:r>
              <w:rPr>
                <w:sz w:val="13"/>
                <w:szCs w:val="13"/>
              </w:rPr>
              <w:br/>
              <w:t>energetska obnova javne rasvjete</w:t>
            </w:r>
          </w:p>
        </w:tc>
        <w:tc>
          <w:tcPr>
            <w:tcW w:w="899" w:type="dxa"/>
            <w:tcBorders>
              <w:top w:val="nil"/>
              <w:left w:val="nil"/>
              <w:bottom w:val="single" w:sz="4" w:space="0" w:color="auto"/>
              <w:right w:val="single" w:sz="4" w:space="0" w:color="auto"/>
            </w:tcBorders>
            <w:shd w:val="clear" w:color="auto" w:fill="auto"/>
            <w:noWrap/>
            <w:vAlign w:val="center"/>
            <w:hideMark/>
          </w:tcPr>
          <w:p w14:paraId="72730BDF" w14:textId="77777777" w:rsidR="00204064" w:rsidRDefault="00204064">
            <w:pPr>
              <w:rPr>
                <w:sz w:val="13"/>
                <w:szCs w:val="13"/>
              </w:rPr>
            </w:pPr>
            <w:r>
              <w:rPr>
                <w:sz w:val="13"/>
                <w:szCs w:val="13"/>
              </w:rPr>
              <w:t xml:space="preserve">      1.654.489,44    </w:t>
            </w:r>
          </w:p>
        </w:tc>
        <w:tc>
          <w:tcPr>
            <w:tcW w:w="534" w:type="dxa"/>
            <w:tcBorders>
              <w:top w:val="nil"/>
              <w:left w:val="nil"/>
              <w:bottom w:val="single" w:sz="4" w:space="0" w:color="auto"/>
              <w:right w:val="single" w:sz="4" w:space="0" w:color="auto"/>
            </w:tcBorders>
            <w:shd w:val="clear" w:color="auto" w:fill="auto"/>
            <w:noWrap/>
            <w:vAlign w:val="center"/>
            <w:hideMark/>
          </w:tcPr>
          <w:p w14:paraId="429B6B90" w14:textId="77777777" w:rsidR="00204064" w:rsidRDefault="00204064">
            <w:pPr>
              <w:rPr>
                <w:sz w:val="13"/>
                <w:szCs w:val="13"/>
              </w:rPr>
            </w:pPr>
            <w:r>
              <w:rPr>
                <w:sz w:val="13"/>
                <w:szCs w:val="13"/>
              </w:rPr>
              <w:t xml:space="preserve"> KN </w:t>
            </w:r>
          </w:p>
        </w:tc>
        <w:tc>
          <w:tcPr>
            <w:tcW w:w="657" w:type="dxa"/>
            <w:tcBorders>
              <w:top w:val="nil"/>
              <w:left w:val="nil"/>
              <w:bottom w:val="single" w:sz="4" w:space="0" w:color="auto"/>
              <w:right w:val="single" w:sz="4" w:space="0" w:color="auto"/>
            </w:tcBorders>
            <w:shd w:val="clear" w:color="auto" w:fill="auto"/>
            <w:vAlign w:val="center"/>
            <w:hideMark/>
          </w:tcPr>
          <w:p w14:paraId="5F7A4F66" w14:textId="77777777" w:rsidR="00204064" w:rsidRDefault="00204064">
            <w:pPr>
              <w:jc w:val="right"/>
              <w:rPr>
                <w:sz w:val="13"/>
                <w:szCs w:val="13"/>
              </w:rPr>
            </w:pPr>
            <w:r>
              <w:rPr>
                <w:sz w:val="13"/>
                <w:szCs w:val="13"/>
              </w:rPr>
              <w:t>0,50</w:t>
            </w:r>
          </w:p>
        </w:tc>
        <w:tc>
          <w:tcPr>
            <w:tcW w:w="801" w:type="dxa"/>
            <w:tcBorders>
              <w:top w:val="nil"/>
              <w:left w:val="nil"/>
              <w:bottom w:val="single" w:sz="4" w:space="0" w:color="auto"/>
              <w:right w:val="single" w:sz="4" w:space="0" w:color="auto"/>
            </w:tcBorders>
            <w:shd w:val="clear" w:color="auto" w:fill="auto"/>
            <w:noWrap/>
            <w:vAlign w:val="center"/>
            <w:hideMark/>
          </w:tcPr>
          <w:p w14:paraId="7244DEF5" w14:textId="77777777" w:rsidR="00204064" w:rsidRDefault="00204064">
            <w:pPr>
              <w:jc w:val="right"/>
              <w:rPr>
                <w:sz w:val="13"/>
                <w:szCs w:val="13"/>
              </w:rPr>
            </w:pPr>
            <w:r>
              <w:rPr>
                <w:sz w:val="13"/>
                <w:szCs w:val="13"/>
              </w:rPr>
              <w:t>31.8.2028</w:t>
            </w:r>
          </w:p>
        </w:tc>
        <w:tc>
          <w:tcPr>
            <w:tcW w:w="899" w:type="dxa"/>
            <w:tcBorders>
              <w:top w:val="nil"/>
              <w:left w:val="nil"/>
              <w:bottom w:val="single" w:sz="4" w:space="0" w:color="auto"/>
              <w:right w:val="single" w:sz="4" w:space="0" w:color="auto"/>
            </w:tcBorders>
            <w:shd w:val="clear" w:color="auto" w:fill="auto"/>
            <w:noWrap/>
            <w:vAlign w:val="center"/>
            <w:hideMark/>
          </w:tcPr>
          <w:p w14:paraId="572A5437" w14:textId="77777777" w:rsidR="00204064" w:rsidRDefault="00204064">
            <w:pPr>
              <w:jc w:val="right"/>
              <w:rPr>
                <w:sz w:val="13"/>
                <w:szCs w:val="13"/>
              </w:rPr>
            </w:pPr>
            <w:r>
              <w:rPr>
                <w:sz w:val="13"/>
                <w:szCs w:val="13"/>
              </w:rPr>
              <w:t xml:space="preserve">      1.595.400,53    </w:t>
            </w:r>
          </w:p>
        </w:tc>
        <w:tc>
          <w:tcPr>
            <w:tcW w:w="851" w:type="dxa"/>
            <w:tcBorders>
              <w:top w:val="nil"/>
              <w:left w:val="nil"/>
              <w:bottom w:val="single" w:sz="4" w:space="0" w:color="auto"/>
              <w:right w:val="single" w:sz="4" w:space="0" w:color="auto"/>
            </w:tcBorders>
            <w:shd w:val="clear" w:color="auto" w:fill="auto"/>
            <w:noWrap/>
            <w:vAlign w:val="center"/>
            <w:hideMark/>
          </w:tcPr>
          <w:p w14:paraId="0DED9B86" w14:textId="77777777" w:rsidR="00204064" w:rsidRDefault="00204064">
            <w:pPr>
              <w:jc w:val="right"/>
              <w:rPr>
                <w:sz w:val="13"/>
                <w:szCs w:val="13"/>
              </w:rPr>
            </w:pPr>
            <w:r>
              <w:rPr>
                <w:sz w:val="13"/>
                <w:szCs w:val="13"/>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6F74197A" w14:textId="77777777" w:rsidR="00204064" w:rsidRDefault="00204064">
            <w:pPr>
              <w:jc w:val="right"/>
              <w:rPr>
                <w:sz w:val="13"/>
                <w:szCs w:val="13"/>
              </w:rPr>
            </w:pPr>
            <w:r>
              <w:rPr>
                <w:sz w:val="13"/>
                <w:szCs w:val="13"/>
              </w:rPr>
              <w:t xml:space="preserve">         236.355,64    </w:t>
            </w:r>
          </w:p>
        </w:tc>
        <w:tc>
          <w:tcPr>
            <w:tcW w:w="992" w:type="dxa"/>
            <w:tcBorders>
              <w:top w:val="nil"/>
              <w:left w:val="nil"/>
              <w:bottom w:val="single" w:sz="4" w:space="0" w:color="auto"/>
              <w:right w:val="single" w:sz="4" w:space="0" w:color="auto"/>
            </w:tcBorders>
            <w:shd w:val="clear" w:color="auto" w:fill="auto"/>
            <w:noWrap/>
            <w:vAlign w:val="center"/>
            <w:hideMark/>
          </w:tcPr>
          <w:p w14:paraId="54024731" w14:textId="77777777" w:rsidR="00204064" w:rsidRDefault="00204064">
            <w:pPr>
              <w:jc w:val="right"/>
              <w:rPr>
                <w:sz w:val="13"/>
                <w:szCs w:val="13"/>
              </w:rPr>
            </w:pPr>
            <w:r>
              <w:rPr>
                <w:sz w:val="13"/>
                <w:szCs w:val="13"/>
              </w:rPr>
              <w:t xml:space="preserve">      1.359.044,89    </w:t>
            </w:r>
          </w:p>
        </w:tc>
      </w:tr>
      <w:tr w:rsidR="00204064" w14:paraId="7845B5C5" w14:textId="77777777" w:rsidTr="00204064">
        <w:trPr>
          <w:trHeight w:val="210"/>
        </w:trPr>
        <w:tc>
          <w:tcPr>
            <w:tcW w:w="415" w:type="dxa"/>
            <w:tcBorders>
              <w:top w:val="nil"/>
              <w:left w:val="nil"/>
              <w:bottom w:val="nil"/>
              <w:right w:val="nil"/>
            </w:tcBorders>
            <w:shd w:val="clear" w:color="auto" w:fill="auto"/>
            <w:noWrap/>
            <w:vAlign w:val="center"/>
            <w:hideMark/>
          </w:tcPr>
          <w:p w14:paraId="11C1858A" w14:textId="77777777" w:rsidR="00204064" w:rsidRDefault="00204064">
            <w:pPr>
              <w:jc w:val="right"/>
              <w:rPr>
                <w:sz w:val="13"/>
                <w:szCs w:val="13"/>
              </w:rPr>
            </w:pPr>
          </w:p>
        </w:tc>
        <w:tc>
          <w:tcPr>
            <w:tcW w:w="795" w:type="dxa"/>
            <w:tcBorders>
              <w:top w:val="nil"/>
              <w:left w:val="nil"/>
              <w:bottom w:val="nil"/>
              <w:right w:val="nil"/>
            </w:tcBorders>
            <w:shd w:val="clear" w:color="auto" w:fill="auto"/>
            <w:vAlign w:val="center"/>
            <w:hideMark/>
          </w:tcPr>
          <w:p w14:paraId="482CCCAF" w14:textId="77777777" w:rsidR="00204064" w:rsidRDefault="00204064">
            <w:pPr>
              <w:rPr>
                <w:sz w:val="20"/>
                <w:szCs w:val="20"/>
              </w:rPr>
            </w:pPr>
          </w:p>
        </w:tc>
        <w:tc>
          <w:tcPr>
            <w:tcW w:w="1479" w:type="dxa"/>
            <w:tcBorders>
              <w:top w:val="nil"/>
              <w:left w:val="nil"/>
              <w:bottom w:val="nil"/>
              <w:right w:val="nil"/>
            </w:tcBorders>
            <w:shd w:val="clear" w:color="auto" w:fill="auto"/>
            <w:vAlign w:val="center"/>
            <w:hideMark/>
          </w:tcPr>
          <w:p w14:paraId="79B52F56" w14:textId="77777777" w:rsidR="00204064" w:rsidRDefault="00204064">
            <w:pPr>
              <w:rPr>
                <w:sz w:val="20"/>
                <w:szCs w:val="20"/>
              </w:rPr>
            </w:pPr>
          </w:p>
        </w:tc>
        <w:tc>
          <w:tcPr>
            <w:tcW w:w="899" w:type="dxa"/>
            <w:tcBorders>
              <w:top w:val="nil"/>
              <w:left w:val="nil"/>
              <w:bottom w:val="nil"/>
              <w:right w:val="nil"/>
            </w:tcBorders>
            <w:shd w:val="clear" w:color="auto" w:fill="auto"/>
            <w:noWrap/>
            <w:vAlign w:val="center"/>
            <w:hideMark/>
          </w:tcPr>
          <w:p w14:paraId="36E5E74F" w14:textId="77777777" w:rsidR="00204064" w:rsidRDefault="00204064">
            <w:pPr>
              <w:rPr>
                <w:sz w:val="20"/>
                <w:szCs w:val="20"/>
              </w:rPr>
            </w:pPr>
          </w:p>
        </w:tc>
        <w:tc>
          <w:tcPr>
            <w:tcW w:w="534" w:type="dxa"/>
            <w:tcBorders>
              <w:top w:val="nil"/>
              <w:left w:val="nil"/>
              <w:bottom w:val="nil"/>
              <w:right w:val="nil"/>
            </w:tcBorders>
            <w:shd w:val="clear" w:color="auto" w:fill="auto"/>
            <w:noWrap/>
            <w:vAlign w:val="center"/>
            <w:hideMark/>
          </w:tcPr>
          <w:p w14:paraId="2CE79F49" w14:textId="77777777" w:rsidR="00204064" w:rsidRDefault="00204064">
            <w:pPr>
              <w:rPr>
                <w:sz w:val="20"/>
                <w:szCs w:val="20"/>
              </w:rPr>
            </w:pPr>
          </w:p>
        </w:tc>
        <w:tc>
          <w:tcPr>
            <w:tcW w:w="657" w:type="dxa"/>
            <w:tcBorders>
              <w:top w:val="nil"/>
              <w:left w:val="nil"/>
              <w:bottom w:val="nil"/>
              <w:right w:val="nil"/>
            </w:tcBorders>
            <w:shd w:val="clear" w:color="auto" w:fill="auto"/>
            <w:vAlign w:val="center"/>
            <w:hideMark/>
          </w:tcPr>
          <w:p w14:paraId="4CD68857" w14:textId="77777777" w:rsidR="00204064" w:rsidRDefault="00204064">
            <w:pPr>
              <w:rPr>
                <w:sz w:val="20"/>
                <w:szCs w:val="20"/>
              </w:rPr>
            </w:pPr>
          </w:p>
        </w:tc>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5D393CC2" w14:textId="77777777" w:rsidR="00204064" w:rsidRDefault="00204064">
            <w:pPr>
              <w:rPr>
                <w:sz w:val="13"/>
                <w:szCs w:val="13"/>
              </w:rPr>
            </w:pPr>
            <w:r>
              <w:rPr>
                <w:sz w:val="13"/>
                <w:szCs w:val="13"/>
              </w:rPr>
              <w:t>ukupno:</w:t>
            </w:r>
          </w:p>
        </w:tc>
        <w:tc>
          <w:tcPr>
            <w:tcW w:w="899" w:type="dxa"/>
            <w:tcBorders>
              <w:top w:val="nil"/>
              <w:left w:val="nil"/>
              <w:bottom w:val="single" w:sz="4" w:space="0" w:color="auto"/>
              <w:right w:val="single" w:sz="4" w:space="0" w:color="auto"/>
            </w:tcBorders>
            <w:shd w:val="clear" w:color="auto" w:fill="auto"/>
            <w:noWrap/>
            <w:vAlign w:val="center"/>
            <w:hideMark/>
          </w:tcPr>
          <w:p w14:paraId="77DCBF6E" w14:textId="77777777" w:rsidR="00204064" w:rsidRDefault="00204064">
            <w:pPr>
              <w:jc w:val="right"/>
              <w:rPr>
                <w:sz w:val="13"/>
                <w:szCs w:val="13"/>
              </w:rPr>
            </w:pPr>
            <w:r>
              <w:rPr>
                <w:sz w:val="13"/>
                <w:szCs w:val="13"/>
              </w:rPr>
              <w:t xml:space="preserve">      6.643.422,28    </w:t>
            </w:r>
          </w:p>
        </w:tc>
        <w:tc>
          <w:tcPr>
            <w:tcW w:w="851" w:type="dxa"/>
            <w:tcBorders>
              <w:top w:val="nil"/>
              <w:left w:val="nil"/>
              <w:bottom w:val="single" w:sz="4" w:space="0" w:color="auto"/>
              <w:right w:val="single" w:sz="4" w:space="0" w:color="auto"/>
            </w:tcBorders>
            <w:shd w:val="clear" w:color="auto" w:fill="auto"/>
            <w:noWrap/>
            <w:vAlign w:val="center"/>
            <w:hideMark/>
          </w:tcPr>
          <w:p w14:paraId="6AA8E0CF" w14:textId="77777777" w:rsidR="00204064" w:rsidRDefault="00204064">
            <w:pPr>
              <w:jc w:val="right"/>
              <w:rPr>
                <w:sz w:val="13"/>
                <w:szCs w:val="13"/>
              </w:rPr>
            </w:pPr>
            <w:r>
              <w:rPr>
                <w:sz w:val="13"/>
                <w:szCs w:val="13"/>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6BC55D28" w14:textId="77777777" w:rsidR="00204064" w:rsidRDefault="00204064">
            <w:pPr>
              <w:jc w:val="right"/>
              <w:rPr>
                <w:sz w:val="13"/>
                <w:szCs w:val="13"/>
              </w:rPr>
            </w:pPr>
            <w:r>
              <w:rPr>
                <w:sz w:val="13"/>
                <w:szCs w:val="13"/>
              </w:rPr>
              <w:t xml:space="preserve">         809.177,58    </w:t>
            </w:r>
          </w:p>
        </w:tc>
        <w:tc>
          <w:tcPr>
            <w:tcW w:w="992" w:type="dxa"/>
            <w:tcBorders>
              <w:top w:val="nil"/>
              <w:left w:val="nil"/>
              <w:bottom w:val="single" w:sz="4" w:space="0" w:color="auto"/>
              <w:right w:val="single" w:sz="4" w:space="0" w:color="auto"/>
            </w:tcBorders>
            <w:shd w:val="clear" w:color="auto" w:fill="auto"/>
            <w:noWrap/>
            <w:vAlign w:val="center"/>
            <w:hideMark/>
          </w:tcPr>
          <w:p w14:paraId="0D93C052" w14:textId="77777777" w:rsidR="00204064" w:rsidRDefault="00204064">
            <w:pPr>
              <w:jc w:val="right"/>
              <w:rPr>
                <w:sz w:val="13"/>
                <w:szCs w:val="13"/>
              </w:rPr>
            </w:pPr>
            <w:r>
              <w:rPr>
                <w:sz w:val="13"/>
                <w:szCs w:val="13"/>
              </w:rPr>
              <w:t xml:space="preserve">      5.834.244,70    </w:t>
            </w:r>
          </w:p>
        </w:tc>
      </w:tr>
    </w:tbl>
    <w:p w14:paraId="61893342" w14:textId="77777777" w:rsidR="00204064" w:rsidRDefault="00204064" w:rsidP="009075FA"/>
    <w:p w14:paraId="0C201DC3" w14:textId="77777777" w:rsidR="009075FA" w:rsidRPr="0033296A" w:rsidRDefault="009075FA" w:rsidP="009075FA">
      <w:pPr>
        <w:rPr>
          <w:b/>
          <w:bCs/>
        </w:rPr>
      </w:pPr>
      <w:r w:rsidRPr="0033296A">
        <w:rPr>
          <w:b/>
          <w:bCs/>
        </w:rPr>
        <w:t>Kratkoročni krediti</w:t>
      </w:r>
    </w:p>
    <w:p w14:paraId="472277B7" w14:textId="77777777" w:rsidR="009075FA" w:rsidRPr="0033296A" w:rsidRDefault="009075FA" w:rsidP="009075FA"/>
    <w:p w14:paraId="17B2E155" w14:textId="273C4BD2" w:rsidR="008743CF" w:rsidRDefault="009075FA" w:rsidP="00204064">
      <w:pPr>
        <w:ind w:firstLine="708"/>
      </w:pPr>
      <w:r w:rsidRPr="0033296A">
        <w:t xml:space="preserve">Člankom </w:t>
      </w:r>
      <w:r w:rsidR="008743CF">
        <w:t>119.</w:t>
      </w:r>
      <w:r w:rsidRPr="0033296A">
        <w:t xml:space="preserve"> Zakona o proračunu („Narodne novine“ broj </w:t>
      </w:r>
      <w:r w:rsidR="008743CF">
        <w:t>144/21</w:t>
      </w:r>
      <w:r w:rsidRPr="0033296A">
        <w:t xml:space="preserve">) </w:t>
      </w:r>
      <w:r w:rsidR="008743CF">
        <w:t xml:space="preserve">propisano je da je jedinica lokalne i područne (regionalne) samouprave može kratkoročno zadužiti isključivo za premošćivanje jaza nastalog zbog različite dinamike priljeva sredstava i dospijeća obveza, najduže do 12 mjeseci, bez mogućnosti daljnjeg </w:t>
      </w:r>
      <w:proofErr w:type="spellStart"/>
      <w:r w:rsidR="008743CF">
        <w:t>reprograma</w:t>
      </w:r>
      <w:proofErr w:type="spellEnd"/>
      <w:r w:rsidR="008743CF">
        <w:t xml:space="preserve"> ili zatvaranja postojećih obveza po kr</w:t>
      </w:r>
      <w:r w:rsidR="006739CA">
        <w:t>atkoročnim kreditima ili zajmovima uzimanjem novih kratkoročnih kredita ili zajmova.</w:t>
      </w:r>
    </w:p>
    <w:p w14:paraId="1AD540CA" w14:textId="59066EB6" w:rsidR="006739CA" w:rsidRDefault="006739CA" w:rsidP="00204064">
      <w:pPr>
        <w:ind w:firstLine="708"/>
      </w:pPr>
      <w:r>
        <w:lastRenderedPageBreak/>
        <w:t>U 2022. godin</w:t>
      </w:r>
      <w:r w:rsidR="00204064">
        <w:t>i</w:t>
      </w:r>
      <w:r>
        <w:t xml:space="preserve"> Grad Buje – Buie nije </w:t>
      </w:r>
      <w:r w:rsidR="00282356">
        <w:t xml:space="preserve">ugovarao kratkoročna zaduživanja </w:t>
      </w:r>
      <w:r>
        <w:t>uzimanjem kratkor</w:t>
      </w:r>
      <w:r w:rsidR="00D61BA6">
        <w:t>o</w:t>
      </w:r>
      <w:r>
        <w:t>čni</w:t>
      </w:r>
      <w:r w:rsidR="00D61BA6">
        <w:t>h</w:t>
      </w:r>
      <w:r>
        <w:t xml:space="preserve"> kredita.</w:t>
      </w:r>
    </w:p>
    <w:p w14:paraId="63413A98" w14:textId="77777777" w:rsidR="000E52C3" w:rsidRDefault="000E52C3" w:rsidP="009075FA">
      <w:pPr>
        <w:rPr>
          <w:b/>
          <w:bCs/>
        </w:rPr>
      </w:pPr>
    </w:p>
    <w:p w14:paraId="3DCE7EC5" w14:textId="5F3D2B70" w:rsidR="009075FA" w:rsidRPr="0033296A" w:rsidRDefault="00090548" w:rsidP="009075FA">
      <w:pPr>
        <w:rPr>
          <w:b/>
          <w:bCs/>
        </w:rPr>
      </w:pPr>
      <w:r>
        <w:rPr>
          <w:b/>
          <w:bCs/>
        </w:rPr>
        <w:t>Beskamatni z</w:t>
      </w:r>
      <w:r w:rsidR="009075FA" w:rsidRPr="0033296A">
        <w:rPr>
          <w:b/>
          <w:bCs/>
        </w:rPr>
        <w:t>ajm</w:t>
      </w:r>
      <w:r w:rsidR="008653CB">
        <w:rPr>
          <w:b/>
          <w:bCs/>
        </w:rPr>
        <w:t>ovi</w:t>
      </w:r>
      <w:r w:rsidR="009075FA" w:rsidRPr="0033296A">
        <w:rPr>
          <w:b/>
          <w:bCs/>
        </w:rPr>
        <w:t xml:space="preserve"> iz državnog proračuna</w:t>
      </w:r>
    </w:p>
    <w:p w14:paraId="16222906" w14:textId="77777777" w:rsidR="009D7279" w:rsidRDefault="009D7279" w:rsidP="009075FA"/>
    <w:p w14:paraId="5FF273D4" w14:textId="3DCF181B" w:rsidR="009075FA" w:rsidRPr="0033296A" w:rsidRDefault="009075FA" w:rsidP="000E0444">
      <w:pPr>
        <w:ind w:firstLine="708"/>
      </w:pPr>
      <w:r w:rsidRPr="0033296A">
        <w:t>Uslijed posebnih okolnosti nastalih zbog epidemije korona virusa COVID-19</w:t>
      </w:r>
      <w:r w:rsidR="00CD53A4">
        <w:t xml:space="preserve"> u 2020. godini</w:t>
      </w:r>
      <w:r w:rsidRPr="0033296A">
        <w:t>, Vlada Republike Hrvatske je radi održavanja likvidnosti, gospodarske aktivnosti i zadržavanja zaposlenosti</w:t>
      </w:r>
      <w:r w:rsidR="009D7279">
        <w:t>,</w:t>
      </w:r>
      <w:r w:rsidRPr="0033296A">
        <w:t xml:space="preserve"> između ostalih mjera</w:t>
      </w:r>
      <w:r w:rsidR="009D7279">
        <w:t>,</w:t>
      </w:r>
      <w:r w:rsidRPr="0033296A">
        <w:t xml:space="preserve"> omogućila gospodarstvenicima podnošenje zahtjeva za odgodu ili obročno plaćanje poreza i prireza na dohodak. </w:t>
      </w:r>
    </w:p>
    <w:p w14:paraId="73527B82" w14:textId="77777777" w:rsidR="009075FA" w:rsidRPr="0033296A" w:rsidRDefault="009075FA" w:rsidP="000E0444">
      <w:pPr>
        <w:ind w:firstLine="708"/>
      </w:pPr>
      <w:r w:rsidRPr="0033296A">
        <w:t>Slijedom navedenog Ministarstvo financija je donijelo Naputak o načinu isplate beskamatnog zajma JLP(R)S, HZMO i HZZO („Narodne novine“ broj 46/20) kojim je JLP(R)S omogućeno korištenje beskamatnog zajma za premošćivanje situacije nastale zbog različite dinamike priljeva sredstava i dospijeća obveza uslijed odgode plaćanja i/ili obročne otplate, povrata, odnosno oslobođenja od plaćanja poreza i prireza na dohodak.</w:t>
      </w:r>
    </w:p>
    <w:p w14:paraId="66FB262D" w14:textId="46267DED" w:rsidR="00090548" w:rsidRDefault="009075FA" w:rsidP="00743F01">
      <w:pPr>
        <w:ind w:firstLine="708"/>
      </w:pPr>
      <w:r w:rsidRPr="0033296A">
        <w:t xml:space="preserve">Po osnovi beskamatnog zajma radi odgode plaćanja poreza i prireza na dohodak Grad Buje – Buie na dan </w:t>
      </w:r>
      <w:r w:rsidR="00607895">
        <w:t>01.01.</w:t>
      </w:r>
      <w:r w:rsidRPr="0033296A">
        <w:t>202</w:t>
      </w:r>
      <w:r w:rsidR="00376FE5">
        <w:t>2</w:t>
      </w:r>
      <w:r w:rsidRPr="0033296A">
        <w:t>. godine ima</w:t>
      </w:r>
      <w:r w:rsidR="00607895">
        <w:t>o je</w:t>
      </w:r>
      <w:r w:rsidRPr="0033296A">
        <w:t xml:space="preserve"> evidentiranu obvezu u iznosu od 2</w:t>
      </w:r>
      <w:r w:rsidR="00376FE5">
        <w:t>19.349,72</w:t>
      </w:r>
      <w:r w:rsidRPr="0033296A">
        <w:t xml:space="preserve"> kuna</w:t>
      </w:r>
      <w:r w:rsidR="000E0444">
        <w:t>. U tijeku 2022. godine Grad je izvršio povrat sredstava zajma u cijelosti.</w:t>
      </w:r>
    </w:p>
    <w:p w14:paraId="39E9EB02" w14:textId="77777777" w:rsidR="00E260B7" w:rsidRDefault="00E260B7" w:rsidP="000E0444">
      <w:pPr>
        <w:ind w:firstLine="708"/>
      </w:pPr>
    </w:p>
    <w:p w14:paraId="447965D8" w14:textId="1080D7F7" w:rsidR="00090548" w:rsidRDefault="00090548" w:rsidP="000E0444">
      <w:pPr>
        <w:ind w:firstLine="708"/>
      </w:pPr>
      <w:r w:rsidRPr="0033296A">
        <w:t>Ministarstvo financija donijelo je Naputak o isplati sredstava beskamatnog zajma JLPRS uslijed pada prihoda (</w:t>
      </w:r>
      <w:r>
        <w:t>„</w:t>
      </w:r>
      <w:r w:rsidRPr="0033296A">
        <w:t>N</w:t>
      </w:r>
      <w:r>
        <w:t>arodne novine“ broj</w:t>
      </w:r>
      <w:r w:rsidRPr="0033296A">
        <w:t xml:space="preserve"> 130/20). Navedenim Naputkom omogućeno je korištenje sredstava beskamatnog zajma jedinicama koje imaju pad prihoda u 2020. godini u odnosu na 2019. godinu po osnovi poreza i prireza na dohodak, poreza na promet nekretnina, poreza na potrošnju, boravišne pristojbe i komunalne naknade. Gradu Buje – Buie omogućeno je korištenje zajma u iznosu od 300.000,00 kuna s rokom povrata od tri godine od dana isplate sredstava zajma iz državnog proračuna. Sredstva beskamatnog zajma doznačena su 24.12.2020. godine.</w:t>
      </w:r>
      <w:r>
        <w:t xml:space="preserve"> </w:t>
      </w:r>
      <w:r w:rsidR="00A74730">
        <w:t>Stanje zajma na dan 01.01.2022. godine iz</w:t>
      </w:r>
      <w:r w:rsidR="00D61BA6">
        <w:t>n</w:t>
      </w:r>
      <w:r w:rsidR="00A74730">
        <w:t xml:space="preserve">osilo je 100.000,00 kuna, a </w:t>
      </w:r>
      <w:r w:rsidR="000E0444">
        <w:t>do kraja 2022. godine sredstva zajma su u potpunosti vraćena.</w:t>
      </w:r>
    </w:p>
    <w:p w14:paraId="1B1DAFE2" w14:textId="0B990BA9" w:rsidR="00A74730" w:rsidRDefault="00A74730" w:rsidP="00090548"/>
    <w:p w14:paraId="3B0ECCDB" w14:textId="77777777" w:rsidR="005B0776" w:rsidRDefault="00F34E49" w:rsidP="005B0776">
      <w:pPr>
        <w:ind w:firstLine="708"/>
      </w:pPr>
      <w:r>
        <w:t xml:space="preserve">Temeljem Naputka o načinu uplaćivanja prihoda proračuna, obveznih doprinosa te prihoda za financiranje drugih javnih potreba u 2022. godini („Narodne novine“ broj 15/22, 18/22 i 50/22) u glavi VIII Zajedničke odredbe točka 9. Zahtjevi za povrat i </w:t>
      </w:r>
      <w:proofErr w:type="spellStart"/>
      <w:r>
        <w:t>preknjiženje</w:t>
      </w:r>
      <w:proofErr w:type="spellEnd"/>
      <w:r>
        <w:t xml:space="preserve"> javnih prihoda, pod</w:t>
      </w:r>
      <w:r w:rsidR="007E7EC5">
        <w:t xml:space="preserve"> </w:t>
      </w:r>
      <w:r>
        <w:t xml:space="preserve">točkom 9.2. definirano je da će se povrati građanima po godišnjem obračunu poreza na dohodak, ukoliko nema dovoljno sredstava na zajedničkom računu, vršiti na teret Državnog proračuna, a počevši od 01.08.2022. godine vršit će se povrat duga Državnom proračunu sa zajedničkih računa i to do 25% raspoloživih sredstava na računu. </w:t>
      </w:r>
      <w:r w:rsidR="000E0444">
        <w:t>U 2022. godini korištena su sredstva zajma u ukupnom iznosu od 983.355,87 kuna koja su u toku godine i vraćena.</w:t>
      </w:r>
    </w:p>
    <w:p w14:paraId="6D4AAB69" w14:textId="77777777" w:rsidR="00E260B7" w:rsidRDefault="00E260B7" w:rsidP="005B0776">
      <w:pPr>
        <w:ind w:firstLine="708"/>
      </w:pPr>
    </w:p>
    <w:p w14:paraId="3AE7B2CF" w14:textId="77777777" w:rsidR="00E260B7" w:rsidRDefault="00E260B7" w:rsidP="005B0776">
      <w:pPr>
        <w:ind w:firstLine="708"/>
      </w:pPr>
    </w:p>
    <w:p w14:paraId="19E8B0BF" w14:textId="77777777" w:rsidR="00E260B7" w:rsidRDefault="00E260B7" w:rsidP="005B0776">
      <w:pPr>
        <w:ind w:firstLine="708"/>
      </w:pPr>
    </w:p>
    <w:p w14:paraId="0F1E3185" w14:textId="77777777" w:rsidR="00E260B7" w:rsidRDefault="00E260B7" w:rsidP="005B0776">
      <w:pPr>
        <w:ind w:firstLine="708"/>
      </w:pPr>
    </w:p>
    <w:p w14:paraId="03FE683E" w14:textId="77777777" w:rsidR="00E260B7" w:rsidRDefault="00E260B7" w:rsidP="005B0776">
      <w:pPr>
        <w:ind w:firstLine="708"/>
      </w:pPr>
    </w:p>
    <w:p w14:paraId="44E68CEB" w14:textId="77777777" w:rsidR="00E260B7" w:rsidRDefault="00E260B7" w:rsidP="005B0776">
      <w:pPr>
        <w:ind w:firstLine="708"/>
      </w:pPr>
    </w:p>
    <w:p w14:paraId="62CF8700" w14:textId="77777777" w:rsidR="00E260B7" w:rsidRDefault="00E260B7" w:rsidP="005B0776">
      <w:pPr>
        <w:ind w:firstLine="708"/>
      </w:pPr>
    </w:p>
    <w:p w14:paraId="5D842870" w14:textId="77777777" w:rsidR="00E260B7" w:rsidRDefault="00E260B7" w:rsidP="005B0776">
      <w:pPr>
        <w:ind w:firstLine="708"/>
      </w:pPr>
    </w:p>
    <w:p w14:paraId="32C05D42" w14:textId="77777777" w:rsidR="00E260B7" w:rsidRDefault="00E260B7" w:rsidP="005B0776">
      <w:pPr>
        <w:ind w:firstLine="708"/>
      </w:pPr>
    </w:p>
    <w:p w14:paraId="103AD39D" w14:textId="77777777" w:rsidR="00E260B7" w:rsidRDefault="00E260B7" w:rsidP="005B0776">
      <w:pPr>
        <w:ind w:firstLine="708"/>
      </w:pPr>
    </w:p>
    <w:p w14:paraId="723DC05A" w14:textId="77777777" w:rsidR="00E260B7" w:rsidRDefault="00E260B7" w:rsidP="005B0776">
      <w:pPr>
        <w:ind w:firstLine="708"/>
      </w:pPr>
    </w:p>
    <w:p w14:paraId="6A278419" w14:textId="77777777" w:rsidR="00E260B7" w:rsidRDefault="00E260B7" w:rsidP="005B0776">
      <w:pPr>
        <w:ind w:firstLine="708"/>
      </w:pPr>
    </w:p>
    <w:p w14:paraId="6A3914C6" w14:textId="77777777" w:rsidR="00E260B7" w:rsidRDefault="00E260B7" w:rsidP="005B0776">
      <w:pPr>
        <w:ind w:firstLine="708"/>
      </w:pPr>
    </w:p>
    <w:p w14:paraId="6148C2BB" w14:textId="255271C1" w:rsidR="00282356" w:rsidRDefault="009D7279" w:rsidP="009D7279">
      <w:r>
        <w:lastRenderedPageBreak/>
        <w:t>Preg</w:t>
      </w:r>
      <w:r w:rsidR="00C32947">
        <w:t>l</w:t>
      </w:r>
      <w:r>
        <w:t xml:space="preserve">ed </w:t>
      </w:r>
      <w:r w:rsidR="00090548">
        <w:t>beskamatnih</w:t>
      </w:r>
      <w:r>
        <w:t xml:space="preserve"> zajmova </w:t>
      </w:r>
      <w:r w:rsidR="00090548">
        <w:t xml:space="preserve">iz državnog proračuna </w:t>
      </w:r>
      <w:r>
        <w:t xml:space="preserve">Grada Buja </w:t>
      </w:r>
      <w:r w:rsidR="000873CF">
        <w:t>–</w:t>
      </w:r>
      <w:r>
        <w:t xml:space="preserve"> Buie</w:t>
      </w:r>
    </w:p>
    <w:p w14:paraId="2270FE1B" w14:textId="77777777" w:rsidR="00E260B7" w:rsidRDefault="00E260B7" w:rsidP="009D7279"/>
    <w:tbl>
      <w:tblPr>
        <w:tblW w:w="9067" w:type="dxa"/>
        <w:tblLook w:val="04A0" w:firstRow="1" w:lastRow="0" w:firstColumn="1" w:lastColumn="0" w:noHBand="0" w:noVBand="1"/>
      </w:tblPr>
      <w:tblGrid>
        <w:gridCol w:w="415"/>
        <w:gridCol w:w="820"/>
        <w:gridCol w:w="1454"/>
        <w:gridCol w:w="850"/>
        <w:gridCol w:w="534"/>
        <w:gridCol w:w="657"/>
        <w:gridCol w:w="801"/>
        <w:gridCol w:w="843"/>
        <w:gridCol w:w="851"/>
        <w:gridCol w:w="899"/>
        <w:gridCol w:w="943"/>
      </w:tblGrid>
      <w:tr w:rsidR="000E0444" w14:paraId="10F98B5A" w14:textId="77777777" w:rsidTr="000E0444">
        <w:trPr>
          <w:trHeight w:val="420"/>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BD81A" w14:textId="77777777" w:rsidR="000E0444" w:rsidRDefault="000E0444">
            <w:pPr>
              <w:rPr>
                <w:sz w:val="13"/>
                <w:szCs w:val="13"/>
              </w:rPr>
            </w:pPr>
            <w:r>
              <w:rPr>
                <w:sz w:val="13"/>
                <w:szCs w:val="13"/>
              </w:rPr>
              <w:t>red.</w:t>
            </w:r>
            <w:r>
              <w:rPr>
                <w:sz w:val="13"/>
                <w:szCs w:val="13"/>
              </w:rPr>
              <w:br/>
              <w:t>br.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39E23A7" w14:textId="77777777" w:rsidR="000E0444" w:rsidRDefault="000E0444">
            <w:pPr>
              <w:rPr>
                <w:sz w:val="13"/>
                <w:szCs w:val="13"/>
              </w:rPr>
            </w:pPr>
            <w:r>
              <w:rPr>
                <w:sz w:val="13"/>
                <w:szCs w:val="13"/>
              </w:rPr>
              <w:t>vrsta zajma</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14:paraId="54CA9F13" w14:textId="77777777" w:rsidR="000E0444" w:rsidRDefault="000E0444">
            <w:pPr>
              <w:rPr>
                <w:sz w:val="13"/>
                <w:szCs w:val="13"/>
              </w:rPr>
            </w:pPr>
            <w:r>
              <w:rPr>
                <w:sz w:val="13"/>
                <w:szCs w:val="13"/>
              </w:rPr>
              <w:t>naziv pravne osobe /</w:t>
            </w:r>
            <w:r>
              <w:rPr>
                <w:sz w:val="13"/>
                <w:szCs w:val="13"/>
              </w:rPr>
              <w:br/>
              <w:t>namjena zajma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C457AD5" w14:textId="77777777" w:rsidR="000E0444" w:rsidRDefault="000E0444">
            <w:pPr>
              <w:rPr>
                <w:sz w:val="13"/>
                <w:szCs w:val="13"/>
              </w:rPr>
            </w:pPr>
            <w:r>
              <w:rPr>
                <w:sz w:val="13"/>
                <w:szCs w:val="13"/>
              </w:rPr>
              <w:t xml:space="preserve">ugovoreni </w:t>
            </w:r>
            <w:r>
              <w:rPr>
                <w:sz w:val="13"/>
                <w:szCs w:val="13"/>
              </w:rPr>
              <w:br/>
              <w:t>iznos</w:t>
            </w: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108642E8" w14:textId="77777777" w:rsidR="000E0444" w:rsidRDefault="000E0444">
            <w:pPr>
              <w:jc w:val="center"/>
              <w:rPr>
                <w:sz w:val="13"/>
                <w:szCs w:val="13"/>
              </w:rPr>
            </w:pPr>
            <w:r>
              <w:rPr>
                <w:sz w:val="13"/>
                <w:szCs w:val="13"/>
              </w:rPr>
              <w:t>valuta</w:t>
            </w:r>
          </w:p>
        </w:tc>
        <w:tc>
          <w:tcPr>
            <w:tcW w:w="657" w:type="dxa"/>
            <w:tcBorders>
              <w:top w:val="single" w:sz="4" w:space="0" w:color="auto"/>
              <w:left w:val="nil"/>
              <w:bottom w:val="single" w:sz="4" w:space="0" w:color="auto"/>
              <w:right w:val="single" w:sz="4" w:space="0" w:color="auto"/>
            </w:tcBorders>
            <w:shd w:val="clear" w:color="auto" w:fill="auto"/>
            <w:vAlign w:val="center"/>
            <w:hideMark/>
          </w:tcPr>
          <w:p w14:paraId="09C165C6" w14:textId="77777777" w:rsidR="000E0444" w:rsidRDefault="000E0444">
            <w:pPr>
              <w:jc w:val="center"/>
              <w:rPr>
                <w:sz w:val="13"/>
                <w:szCs w:val="13"/>
              </w:rPr>
            </w:pPr>
            <w:r>
              <w:rPr>
                <w:sz w:val="13"/>
                <w:szCs w:val="13"/>
              </w:rPr>
              <w:t>kamatna stopa</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5B6A05D7" w14:textId="77777777" w:rsidR="000E0444" w:rsidRDefault="000E0444">
            <w:pPr>
              <w:jc w:val="center"/>
              <w:rPr>
                <w:sz w:val="13"/>
                <w:szCs w:val="13"/>
              </w:rPr>
            </w:pPr>
            <w:r>
              <w:rPr>
                <w:sz w:val="13"/>
                <w:szCs w:val="13"/>
              </w:rPr>
              <w:t>rok otplate</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0D6EE9B1" w14:textId="77777777" w:rsidR="000E0444" w:rsidRDefault="000E0444">
            <w:pPr>
              <w:jc w:val="center"/>
              <w:rPr>
                <w:sz w:val="13"/>
                <w:szCs w:val="13"/>
              </w:rPr>
            </w:pPr>
            <w:r>
              <w:rPr>
                <w:sz w:val="13"/>
                <w:szCs w:val="13"/>
              </w:rPr>
              <w:t>stanje zajma 01.01.2022.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307E3F2" w14:textId="77777777" w:rsidR="000E0444" w:rsidRDefault="000E0444">
            <w:pPr>
              <w:jc w:val="center"/>
              <w:rPr>
                <w:sz w:val="13"/>
                <w:szCs w:val="13"/>
              </w:rPr>
            </w:pPr>
            <w:r>
              <w:rPr>
                <w:sz w:val="13"/>
                <w:szCs w:val="13"/>
              </w:rPr>
              <w:t>primljeni zajam u tekućoj godini</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10C0A10B" w14:textId="77777777" w:rsidR="000E0444" w:rsidRDefault="000E0444">
            <w:pPr>
              <w:jc w:val="center"/>
              <w:rPr>
                <w:sz w:val="13"/>
                <w:szCs w:val="13"/>
              </w:rPr>
            </w:pPr>
            <w:r>
              <w:rPr>
                <w:sz w:val="13"/>
                <w:szCs w:val="13"/>
              </w:rPr>
              <w:t>otplaćeni zajam u tekućoj godini</w:t>
            </w:r>
          </w:p>
        </w:tc>
        <w:tc>
          <w:tcPr>
            <w:tcW w:w="943" w:type="dxa"/>
            <w:tcBorders>
              <w:top w:val="single" w:sz="4" w:space="0" w:color="auto"/>
              <w:left w:val="nil"/>
              <w:bottom w:val="single" w:sz="4" w:space="0" w:color="auto"/>
              <w:right w:val="single" w:sz="4" w:space="0" w:color="auto"/>
            </w:tcBorders>
            <w:shd w:val="clear" w:color="auto" w:fill="auto"/>
            <w:vAlign w:val="center"/>
            <w:hideMark/>
          </w:tcPr>
          <w:p w14:paraId="48EEECA6" w14:textId="77777777" w:rsidR="000E0444" w:rsidRDefault="000E0444">
            <w:pPr>
              <w:jc w:val="center"/>
              <w:rPr>
                <w:sz w:val="13"/>
                <w:szCs w:val="13"/>
              </w:rPr>
            </w:pPr>
            <w:r>
              <w:rPr>
                <w:sz w:val="13"/>
                <w:szCs w:val="13"/>
              </w:rPr>
              <w:t>stanje zajma 31.12.2022.</w:t>
            </w:r>
          </w:p>
        </w:tc>
      </w:tr>
      <w:tr w:rsidR="000E0444" w14:paraId="20AB63B9" w14:textId="77777777" w:rsidTr="000E0444">
        <w:trPr>
          <w:trHeight w:val="84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5063B683" w14:textId="77777777" w:rsidR="000E0444" w:rsidRDefault="000E0444">
            <w:pPr>
              <w:rPr>
                <w:sz w:val="13"/>
                <w:szCs w:val="13"/>
              </w:rPr>
            </w:pPr>
            <w:r>
              <w:rPr>
                <w:sz w:val="13"/>
                <w:szCs w:val="13"/>
              </w:rPr>
              <w:t>1.</w:t>
            </w:r>
          </w:p>
        </w:tc>
        <w:tc>
          <w:tcPr>
            <w:tcW w:w="820" w:type="dxa"/>
            <w:tcBorders>
              <w:top w:val="nil"/>
              <w:left w:val="nil"/>
              <w:bottom w:val="single" w:sz="4" w:space="0" w:color="auto"/>
              <w:right w:val="single" w:sz="4" w:space="0" w:color="auto"/>
            </w:tcBorders>
            <w:shd w:val="clear" w:color="auto" w:fill="auto"/>
            <w:vAlign w:val="center"/>
            <w:hideMark/>
          </w:tcPr>
          <w:p w14:paraId="1C5DAFFC" w14:textId="77777777" w:rsidR="000E0444" w:rsidRDefault="000E0444">
            <w:pPr>
              <w:rPr>
                <w:sz w:val="13"/>
                <w:szCs w:val="13"/>
              </w:rPr>
            </w:pPr>
            <w:r>
              <w:rPr>
                <w:sz w:val="13"/>
                <w:szCs w:val="13"/>
              </w:rPr>
              <w:t>beskamatni dugoročni zajam</w:t>
            </w:r>
          </w:p>
        </w:tc>
        <w:tc>
          <w:tcPr>
            <w:tcW w:w="1454" w:type="dxa"/>
            <w:tcBorders>
              <w:top w:val="nil"/>
              <w:left w:val="nil"/>
              <w:bottom w:val="single" w:sz="4" w:space="0" w:color="auto"/>
              <w:right w:val="single" w:sz="4" w:space="0" w:color="auto"/>
            </w:tcBorders>
            <w:shd w:val="clear" w:color="auto" w:fill="auto"/>
            <w:vAlign w:val="center"/>
            <w:hideMark/>
          </w:tcPr>
          <w:p w14:paraId="51351BB4" w14:textId="77777777" w:rsidR="000E0444" w:rsidRDefault="000E0444">
            <w:pPr>
              <w:rPr>
                <w:sz w:val="13"/>
                <w:szCs w:val="13"/>
              </w:rPr>
            </w:pPr>
            <w:r>
              <w:rPr>
                <w:sz w:val="13"/>
                <w:szCs w:val="13"/>
              </w:rPr>
              <w:t>Ministarstvo financija -državni proračun / odgođena ili obročna otplata poreza i prireza na dohodak</w:t>
            </w:r>
          </w:p>
        </w:tc>
        <w:tc>
          <w:tcPr>
            <w:tcW w:w="850" w:type="dxa"/>
            <w:tcBorders>
              <w:top w:val="nil"/>
              <w:left w:val="nil"/>
              <w:bottom w:val="single" w:sz="4" w:space="0" w:color="auto"/>
              <w:right w:val="single" w:sz="4" w:space="0" w:color="auto"/>
            </w:tcBorders>
            <w:shd w:val="clear" w:color="auto" w:fill="auto"/>
            <w:noWrap/>
            <w:vAlign w:val="center"/>
            <w:hideMark/>
          </w:tcPr>
          <w:p w14:paraId="7D74BB54" w14:textId="77777777" w:rsidR="000E0444" w:rsidRDefault="000E0444">
            <w:pPr>
              <w:rPr>
                <w:sz w:val="13"/>
                <w:szCs w:val="13"/>
              </w:rPr>
            </w:pPr>
            <w:r>
              <w:rPr>
                <w:sz w:val="13"/>
                <w:szCs w:val="13"/>
              </w:rPr>
              <w:t> </w:t>
            </w:r>
          </w:p>
        </w:tc>
        <w:tc>
          <w:tcPr>
            <w:tcW w:w="534" w:type="dxa"/>
            <w:tcBorders>
              <w:top w:val="nil"/>
              <w:left w:val="nil"/>
              <w:bottom w:val="single" w:sz="4" w:space="0" w:color="auto"/>
              <w:right w:val="single" w:sz="4" w:space="0" w:color="auto"/>
            </w:tcBorders>
            <w:shd w:val="clear" w:color="auto" w:fill="auto"/>
            <w:noWrap/>
            <w:vAlign w:val="center"/>
            <w:hideMark/>
          </w:tcPr>
          <w:p w14:paraId="024377C9" w14:textId="77777777" w:rsidR="000E0444" w:rsidRDefault="000E0444">
            <w:pPr>
              <w:rPr>
                <w:sz w:val="13"/>
                <w:szCs w:val="13"/>
              </w:rPr>
            </w:pPr>
            <w:r>
              <w:rPr>
                <w:sz w:val="13"/>
                <w:szCs w:val="13"/>
              </w:rPr>
              <w:t xml:space="preserve"> KN </w:t>
            </w:r>
          </w:p>
        </w:tc>
        <w:tc>
          <w:tcPr>
            <w:tcW w:w="657" w:type="dxa"/>
            <w:tcBorders>
              <w:top w:val="nil"/>
              <w:left w:val="nil"/>
              <w:bottom w:val="single" w:sz="4" w:space="0" w:color="auto"/>
              <w:right w:val="single" w:sz="4" w:space="0" w:color="auto"/>
            </w:tcBorders>
            <w:shd w:val="clear" w:color="auto" w:fill="auto"/>
            <w:noWrap/>
            <w:vAlign w:val="center"/>
            <w:hideMark/>
          </w:tcPr>
          <w:p w14:paraId="71570DA4" w14:textId="77777777" w:rsidR="000E0444" w:rsidRDefault="000E0444">
            <w:pPr>
              <w:jc w:val="right"/>
              <w:rPr>
                <w:sz w:val="13"/>
                <w:szCs w:val="13"/>
              </w:rPr>
            </w:pPr>
            <w:r>
              <w:rPr>
                <w:sz w:val="13"/>
                <w:szCs w:val="13"/>
              </w:rPr>
              <w:t>0,00</w:t>
            </w:r>
          </w:p>
        </w:tc>
        <w:tc>
          <w:tcPr>
            <w:tcW w:w="801" w:type="dxa"/>
            <w:tcBorders>
              <w:top w:val="nil"/>
              <w:left w:val="nil"/>
              <w:bottom w:val="single" w:sz="4" w:space="0" w:color="auto"/>
              <w:right w:val="single" w:sz="4" w:space="0" w:color="auto"/>
            </w:tcBorders>
            <w:shd w:val="clear" w:color="auto" w:fill="auto"/>
            <w:noWrap/>
            <w:vAlign w:val="center"/>
            <w:hideMark/>
          </w:tcPr>
          <w:p w14:paraId="33B3528E" w14:textId="77777777" w:rsidR="000E0444" w:rsidRDefault="000E0444">
            <w:pPr>
              <w:jc w:val="center"/>
              <w:rPr>
                <w:sz w:val="13"/>
                <w:szCs w:val="13"/>
              </w:rPr>
            </w:pPr>
            <w:r>
              <w:rPr>
                <w:sz w:val="13"/>
                <w:szCs w:val="13"/>
              </w:rPr>
              <w:t>31.12.2023</w:t>
            </w:r>
          </w:p>
        </w:tc>
        <w:tc>
          <w:tcPr>
            <w:tcW w:w="843" w:type="dxa"/>
            <w:tcBorders>
              <w:top w:val="nil"/>
              <w:left w:val="nil"/>
              <w:bottom w:val="single" w:sz="4" w:space="0" w:color="auto"/>
              <w:right w:val="single" w:sz="4" w:space="0" w:color="auto"/>
            </w:tcBorders>
            <w:shd w:val="clear" w:color="auto" w:fill="auto"/>
            <w:noWrap/>
            <w:vAlign w:val="center"/>
            <w:hideMark/>
          </w:tcPr>
          <w:p w14:paraId="0172D374" w14:textId="77777777" w:rsidR="000E0444" w:rsidRDefault="000E0444">
            <w:pPr>
              <w:jc w:val="right"/>
              <w:rPr>
                <w:sz w:val="13"/>
                <w:szCs w:val="13"/>
              </w:rPr>
            </w:pPr>
            <w:r>
              <w:rPr>
                <w:sz w:val="13"/>
                <w:szCs w:val="13"/>
              </w:rPr>
              <w:t xml:space="preserve">         219.349,72    </w:t>
            </w:r>
          </w:p>
        </w:tc>
        <w:tc>
          <w:tcPr>
            <w:tcW w:w="851" w:type="dxa"/>
            <w:tcBorders>
              <w:top w:val="nil"/>
              <w:left w:val="nil"/>
              <w:bottom w:val="single" w:sz="4" w:space="0" w:color="auto"/>
              <w:right w:val="single" w:sz="4" w:space="0" w:color="auto"/>
            </w:tcBorders>
            <w:shd w:val="clear" w:color="auto" w:fill="auto"/>
            <w:noWrap/>
            <w:vAlign w:val="center"/>
            <w:hideMark/>
          </w:tcPr>
          <w:p w14:paraId="2D26AFA8" w14:textId="77777777" w:rsidR="000E0444" w:rsidRDefault="000E0444">
            <w:pPr>
              <w:jc w:val="right"/>
              <w:rPr>
                <w:sz w:val="13"/>
                <w:szCs w:val="13"/>
              </w:rPr>
            </w:pPr>
            <w:r>
              <w:rPr>
                <w:sz w:val="13"/>
                <w:szCs w:val="13"/>
              </w:rPr>
              <w:t xml:space="preserve">                            -      </w:t>
            </w:r>
          </w:p>
        </w:tc>
        <w:tc>
          <w:tcPr>
            <w:tcW w:w="899" w:type="dxa"/>
            <w:tcBorders>
              <w:top w:val="nil"/>
              <w:left w:val="nil"/>
              <w:bottom w:val="single" w:sz="4" w:space="0" w:color="auto"/>
              <w:right w:val="single" w:sz="4" w:space="0" w:color="auto"/>
            </w:tcBorders>
            <w:shd w:val="clear" w:color="auto" w:fill="auto"/>
            <w:noWrap/>
            <w:vAlign w:val="center"/>
            <w:hideMark/>
          </w:tcPr>
          <w:p w14:paraId="402D8172" w14:textId="77777777" w:rsidR="000E0444" w:rsidRDefault="000E0444">
            <w:pPr>
              <w:jc w:val="right"/>
              <w:rPr>
                <w:sz w:val="13"/>
                <w:szCs w:val="13"/>
              </w:rPr>
            </w:pPr>
            <w:r>
              <w:rPr>
                <w:sz w:val="13"/>
                <w:szCs w:val="13"/>
              </w:rPr>
              <w:t xml:space="preserve">         219.349,72    </w:t>
            </w:r>
          </w:p>
        </w:tc>
        <w:tc>
          <w:tcPr>
            <w:tcW w:w="943" w:type="dxa"/>
            <w:tcBorders>
              <w:top w:val="nil"/>
              <w:left w:val="nil"/>
              <w:bottom w:val="single" w:sz="4" w:space="0" w:color="auto"/>
              <w:right w:val="single" w:sz="4" w:space="0" w:color="auto"/>
            </w:tcBorders>
            <w:shd w:val="clear" w:color="auto" w:fill="auto"/>
            <w:noWrap/>
            <w:vAlign w:val="center"/>
            <w:hideMark/>
          </w:tcPr>
          <w:p w14:paraId="2CCBC759" w14:textId="77777777" w:rsidR="000E0444" w:rsidRDefault="000E0444">
            <w:pPr>
              <w:jc w:val="right"/>
              <w:rPr>
                <w:sz w:val="13"/>
                <w:szCs w:val="13"/>
              </w:rPr>
            </w:pPr>
            <w:r>
              <w:rPr>
                <w:sz w:val="13"/>
                <w:szCs w:val="13"/>
              </w:rPr>
              <w:t xml:space="preserve">                            -      </w:t>
            </w:r>
          </w:p>
        </w:tc>
      </w:tr>
      <w:tr w:rsidR="000E0444" w14:paraId="784555B3" w14:textId="77777777" w:rsidTr="000E0444">
        <w:trPr>
          <w:trHeight w:val="63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6A1D6122" w14:textId="77777777" w:rsidR="000E0444" w:rsidRDefault="000E0444">
            <w:pPr>
              <w:rPr>
                <w:sz w:val="13"/>
                <w:szCs w:val="13"/>
              </w:rPr>
            </w:pPr>
            <w:r>
              <w:rPr>
                <w:sz w:val="13"/>
                <w:szCs w:val="13"/>
              </w:rPr>
              <w:t>2.</w:t>
            </w:r>
          </w:p>
        </w:tc>
        <w:tc>
          <w:tcPr>
            <w:tcW w:w="820" w:type="dxa"/>
            <w:tcBorders>
              <w:top w:val="nil"/>
              <w:left w:val="nil"/>
              <w:bottom w:val="single" w:sz="4" w:space="0" w:color="auto"/>
              <w:right w:val="single" w:sz="4" w:space="0" w:color="auto"/>
            </w:tcBorders>
            <w:shd w:val="clear" w:color="auto" w:fill="auto"/>
            <w:vAlign w:val="center"/>
            <w:hideMark/>
          </w:tcPr>
          <w:p w14:paraId="042446A6" w14:textId="77777777" w:rsidR="000E0444" w:rsidRDefault="000E0444">
            <w:pPr>
              <w:rPr>
                <w:sz w:val="13"/>
                <w:szCs w:val="13"/>
              </w:rPr>
            </w:pPr>
            <w:r>
              <w:rPr>
                <w:sz w:val="13"/>
                <w:szCs w:val="13"/>
              </w:rPr>
              <w:t>beskamatni dugoročni zajam</w:t>
            </w:r>
          </w:p>
        </w:tc>
        <w:tc>
          <w:tcPr>
            <w:tcW w:w="1454" w:type="dxa"/>
            <w:tcBorders>
              <w:top w:val="nil"/>
              <w:left w:val="nil"/>
              <w:bottom w:val="single" w:sz="4" w:space="0" w:color="auto"/>
              <w:right w:val="single" w:sz="4" w:space="0" w:color="auto"/>
            </w:tcBorders>
            <w:shd w:val="clear" w:color="auto" w:fill="auto"/>
            <w:vAlign w:val="center"/>
            <w:hideMark/>
          </w:tcPr>
          <w:p w14:paraId="7EB6F3FD" w14:textId="77777777" w:rsidR="000E0444" w:rsidRDefault="000E0444">
            <w:pPr>
              <w:rPr>
                <w:sz w:val="13"/>
                <w:szCs w:val="13"/>
              </w:rPr>
            </w:pPr>
            <w:r>
              <w:rPr>
                <w:sz w:val="13"/>
                <w:szCs w:val="13"/>
              </w:rPr>
              <w:t>Ministarstvo financija - državni proračun / pad prihoda</w:t>
            </w:r>
          </w:p>
        </w:tc>
        <w:tc>
          <w:tcPr>
            <w:tcW w:w="850" w:type="dxa"/>
            <w:tcBorders>
              <w:top w:val="nil"/>
              <w:left w:val="nil"/>
              <w:bottom w:val="single" w:sz="4" w:space="0" w:color="auto"/>
              <w:right w:val="single" w:sz="4" w:space="0" w:color="auto"/>
            </w:tcBorders>
            <w:shd w:val="clear" w:color="auto" w:fill="auto"/>
            <w:noWrap/>
            <w:vAlign w:val="center"/>
            <w:hideMark/>
          </w:tcPr>
          <w:p w14:paraId="4BBB3F20" w14:textId="77777777" w:rsidR="000E0444" w:rsidRDefault="000E0444">
            <w:pPr>
              <w:rPr>
                <w:sz w:val="13"/>
                <w:szCs w:val="13"/>
              </w:rPr>
            </w:pPr>
            <w:r>
              <w:rPr>
                <w:sz w:val="13"/>
                <w:szCs w:val="13"/>
              </w:rPr>
              <w:t> </w:t>
            </w:r>
          </w:p>
        </w:tc>
        <w:tc>
          <w:tcPr>
            <w:tcW w:w="534" w:type="dxa"/>
            <w:tcBorders>
              <w:top w:val="nil"/>
              <w:left w:val="nil"/>
              <w:bottom w:val="single" w:sz="4" w:space="0" w:color="auto"/>
              <w:right w:val="single" w:sz="4" w:space="0" w:color="auto"/>
            </w:tcBorders>
            <w:shd w:val="clear" w:color="auto" w:fill="auto"/>
            <w:noWrap/>
            <w:vAlign w:val="center"/>
            <w:hideMark/>
          </w:tcPr>
          <w:p w14:paraId="69717F2C" w14:textId="77777777" w:rsidR="000E0444" w:rsidRDefault="000E0444">
            <w:pPr>
              <w:rPr>
                <w:sz w:val="13"/>
                <w:szCs w:val="13"/>
              </w:rPr>
            </w:pPr>
            <w:r>
              <w:rPr>
                <w:sz w:val="13"/>
                <w:szCs w:val="13"/>
              </w:rPr>
              <w:t xml:space="preserve"> KN </w:t>
            </w:r>
          </w:p>
        </w:tc>
        <w:tc>
          <w:tcPr>
            <w:tcW w:w="657" w:type="dxa"/>
            <w:tcBorders>
              <w:top w:val="nil"/>
              <w:left w:val="nil"/>
              <w:bottom w:val="single" w:sz="4" w:space="0" w:color="auto"/>
              <w:right w:val="single" w:sz="4" w:space="0" w:color="auto"/>
            </w:tcBorders>
            <w:shd w:val="clear" w:color="auto" w:fill="auto"/>
            <w:noWrap/>
            <w:vAlign w:val="center"/>
            <w:hideMark/>
          </w:tcPr>
          <w:p w14:paraId="42289EF0" w14:textId="77777777" w:rsidR="000E0444" w:rsidRDefault="000E0444">
            <w:pPr>
              <w:jc w:val="right"/>
              <w:rPr>
                <w:sz w:val="13"/>
                <w:szCs w:val="13"/>
              </w:rPr>
            </w:pPr>
            <w:r>
              <w:rPr>
                <w:sz w:val="13"/>
                <w:szCs w:val="13"/>
              </w:rPr>
              <w:t>0,00</w:t>
            </w:r>
          </w:p>
        </w:tc>
        <w:tc>
          <w:tcPr>
            <w:tcW w:w="801" w:type="dxa"/>
            <w:tcBorders>
              <w:top w:val="nil"/>
              <w:left w:val="nil"/>
              <w:bottom w:val="single" w:sz="4" w:space="0" w:color="auto"/>
              <w:right w:val="single" w:sz="4" w:space="0" w:color="auto"/>
            </w:tcBorders>
            <w:shd w:val="clear" w:color="auto" w:fill="auto"/>
            <w:noWrap/>
            <w:vAlign w:val="center"/>
            <w:hideMark/>
          </w:tcPr>
          <w:p w14:paraId="2B6642DE" w14:textId="77777777" w:rsidR="000E0444" w:rsidRDefault="000E0444">
            <w:pPr>
              <w:jc w:val="center"/>
              <w:rPr>
                <w:sz w:val="13"/>
                <w:szCs w:val="13"/>
              </w:rPr>
            </w:pPr>
            <w:r>
              <w:rPr>
                <w:sz w:val="13"/>
                <w:szCs w:val="13"/>
              </w:rPr>
              <w:t>31.12.2023</w:t>
            </w:r>
          </w:p>
        </w:tc>
        <w:tc>
          <w:tcPr>
            <w:tcW w:w="843" w:type="dxa"/>
            <w:tcBorders>
              <w:top w:val="nil"/>
              <w:left w:val="nil"/>
              <w:bottom w:val="single" w:sz="4" w:space="0" w:color="auto"/>
              <w:right w:val="single" w:sz="4" w:space="0" w:color="auto"/>
            </w:tcBorders>
            <w:shd w:val="clear" w:color="auto" w:fill="auto"/>
            <w:noWrap/>
            <w:vAlign w:val="center"/>
            <w:hideMark/>
          </w:tcPr>
          <w:p w14:paraId="0D2004C9" w14:textId="77777777" w:rsidR="000E0444" w:rsidRDefault="000E0444">
            <w:pPr>
              <w:jc w:val="right"/>
              <w:rPr>
                <w:sz w:val="13"/>
                <w:szCs w:val="13"/>
              </w:rPr>
            </w:pPr>
            <w:r>
              <w:rPr>
                <w:sz w:val="13"/>
                <w:szCs w:val="13"/>
              </w:rPr>
              <w:t xml:space="preserve">         100.000,00    </w:t>
            </w:r>
          </w:p>
        </w:tc>
        <w:tc>
          <w:tcPr>
            <w:tcW w:w="851" w:type="dxa"/>
            <w:tcBorders>
              <w:top w:val="nil"/>
              <w:left w:val="nil"/>
              <w:bottom w:val="single" w:sz="4" w:space="0" w:color="auto"/>
              <w:right w:val="single" w:sz="4" w:space="0" w:color="auto"/>
            </w:tcBorders>
            <w:shd w:val="clear" w:color="auto" w:fill="auto"/>
            <w:noWrap/>
            <w:vAlign w:val="center"/>
            <w:hideMark/>
          </w:tcPr>
          <w:p w14:paraId="20644719" w14:textId="77777777" w:rsidR="000E0444" w:rsidRDefault="000E0444">
            <w:pPr>
              <w:jc w:val="right"/>
              <w:rPr>
                <w:sz w:val="13"/>
                <w:szCs w:val="13"/>
              </w:rPr>
            </w:pPr>
            <w:r>
              <w:rPr>
                <w:sz w:val="13"/>
                <w:szCs w:val="13"/>
              </w:rPr>
              <w:t xml:space="preserve">                            -      </w:t>
            </w:r>
          </w:p>
        </w:tc>
        <w:tc>
          <w:tcPr>
            <w:tcW w:w="899" w:type="dxa"/>
            <w:tcBorders>
              <w:top w:val="nil"/>
              <w:left w:val="nil"/>
              <w:bottom w:val="single" w:sz="4" w:space="0" w:color="auto"/>
              <w:right w:val="single" w:sz="4" w:space="0" w:color="auto"/>
            </w:tcBorders>
            <w:shd w:val="clear" w:color="auto" w:fill="auto"/>
            <w:noWrap/>
            <w:vAlign w:val="center"/>
            <w:hideMark/>
          </w:tcPr>
          <w:p w14:paraId="420846C6" w14:textId="77777777" w:rsidR="000E0444" w:rsidRDefault="000E0444">
            <w:pPr>
              <w:jc w:val="right"/>
              <w:rPr>
                <w:sz w:val="13"/>
                <w:szCs w:val="13"/>
              </w:rPr>
            </w:pPr>
            <w:r>
              <w:rPr>
                <w:sz w:val="13"/>
                <w:szCs w:val="13"/>
              </w:rPr>
              <w:t xml:space="preserve">         100.000,00    </w:t>
            </w:r>
          </w:p>
        </w:tc>
        <w:tc>
          <w:tcPr>
            <w:tcW w:w="943" w:type="dxa"/>
            <w:tcBorders>
              <w:top w:val="nil"/>
              <w:left w:val="nil"/>
              <w:bottom w:val="single" w:sz="4" w:space="0" w:color="auto"/>
              <w:right w:val="single" w:sz="4" w:space="0" w:color="auto"/>
            </w:tcBorders>
            <w:shd w:val="clear" w:color="auto" w:fill="auto"/>
            <w:noWrap/>
            <w:vAlign w:val="center"/>
            <w:hideMark/>
          </w:tcPr>
          <w:p w14:paraId="528FF8B7" w14:textId="77777777" w:rsidR="000E0444" w:rsidRDefault="000E0444">
            <w:pPr>
              <w:jc w:val="right"/>
              <w:rPr>
                <w:sz w:val="13"/>
                <w:szCs w:val="13"/>
              </w:rPr>
            </w:pPr>
            <w:r>
              <w:rPr>
                <w:sz w:val="13"/>
                <w:szCs w:val="13"/>
              </w:rPr>
              <w:t xml:space="preserve">                            -      </w:t>
            </w:r>
          </w:p>
        </w:tc>
      </w:tr>
      <w:tr w:rsidR="000E0444" w14:paraId="1A621263" w14:textId="77777777" w:rsidTr="000E0444">
        <w:trPr>
          <w:trHeight w:val="84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16F5B056" w14:textId="77777777" w:rsidR="000E0444" w:rsidRDefault="000E0444">
            <w:pPr>
              <w:rPr>
                <w:sz w:val="13"/>
                <w:szCs w:val="13"/>
              </w:rPr>
            </w:pPr>
            <w:r>
              <w:rPr>
                <w:sz w:val="13"/>
                <w:szCs w:val="13"/>
              </w:rPr>
              <w:t>3.</w:t>
            </w:r>
          </w:p>
        </w:tc>
        <w:tc>
          <w:tcPr>
            <w:tcW w:w="820" w:type="dxa"/>
            <w:tcBorders>
              <w:top w:val="nil"/>
              <w:left w:val="nil"/>
              <w:bottom w:val="single" w:sz="4" w:space="0" w:color="auto"/>
              <w:right w:val="single" w:sz="4" w:space="0" w:color="auto"/>
            </w:tcBorders>
            <w:shd w:val="clear" w:color="auto" w:fill="auto"/>
            <w:vAlign w:val="center"/>
            <w:hideMark/>
          </w:tcPr>
          <w:p w14:paraId="6A7A93E7" w14:textId="77777777" w:rsidR="000E0444" w:rsidRDefault="000E0444">
            <w:pPr>
              <w:rPr>
                <w:sz w:val="13"/>
                <w:szCs w:val="13"/>
              </w:rPr>
            </w:pPr>
            <w:r>
              <w:rPr>
                <w:sz w:val="13"/>
                <w:szCs w:val="13"/>
              </w:rPr>
              <w:t>beskamatni kratkoročni zajam</w:t>
            </w:r>
          </w:p>
        </w:tc>
        <w:tc>
          <w:tcPr>
            <w:tcW w:w="1454" w:type="dxa"/>
            <w:tcBorders>
              <w:top w:val="nil"/>
              <w:left w:val="nil"/>
              <w:bottom w:val="single" w:sz="4" w:space="0" w:color="auto"/>
              <w:right w:val="single" w:sz="4" w:space="0" w:color="auto"/>
            </w:tcBorders>
            <w:shd w:val="clear" w:color="auto" w:fill="auto"/>
            <w:vAlign w:val="center"/>
            <w:hideMark/>
          </w:tcPr>
          <w:p w14:paraId="7B88FBC0" w14:textId="77777777" w:rsidR="000E0444" w:rsidRDefault="000E0444">
            <w:pPr>
              <w:rPr>
                <w:sz w:val="13"/>
                <w:szCs w:val="13"/>
              </w:rPr>
            </w:pPr>
            <w:r>
              <w:rPr>
                <w:sz w:val="13"/>
                <w:szCs w:val="13"/>
              </w:rPr>
              <w:t>Ministarstvo financija -državni proračun / povrat poreza i prireza na dohodak po godišnjim prijavama</w:t>
            </w:r>
          </w:p>
        </w:tc>
        <w:tc>
          <w:tcPr>
            <w:tcW w:w="850" w:type="dxa"/>
            <w:tcBorders>
              <w:top w:val="nil"/>
              <w:left w:val="nil"/>
              <w:bottom w:val="single" w:sz="4" w:space="0" w:color="auto"/>
              <w:right w:val="single" w:sz="4" w:space="0" w:color="auto"/>
            </w:tcBorders>
            <w:shd w:val="clear" w:color="auto" w:fill="auto"/>
            <w:noWrap/>
            <w:vAlign w:val="center"/>
            <w:hideMark/>
          </w:tcPr>
          <w:p w14:paraId="512EF819" w14:textId="77777777" w:rsidR="000E0444" w:rsidRDefault="000E0444">
            <w:pPr>
              <w:rPr>
                <w:sz w:val="13"/>
                <w:szCs w:val="13"/>
              </w:rPr>
            </w:pPr>
            <w:r>
              <w:rPr>
                <w:sz w:val="13"/>
                <w:szCs w:val="13"/>
              </w:rPr>
              <w:t> </w:t>
            </w:r>
          </w:p>
        </w:tc>
        <w:tc>
          <w:tcPr>
            <w:tcW w:w="534" w:type="dxa"/>
            <w:tcBorders>
              <w:top w:val="nil"/>
              <w:left w:val="nil"/>
              <w:bottom w:val="single" w:sz="4" w:space="0" w:color="auto"/>
              <w:right w:val="single" w:sz="4" w:space="0" w:color="auto"/>
            </w:tcBorders>
            <w:shd w:val="clear" w:color="auto" w:fill="auto"/>
            <w:noWrap/>
            <w:vAlign w:val="center"/>
            <w:hideMark/>
          </w:tcPr>
          <w:p w14:paraId="11F0C0F5" w14:textId="77777777" w:rsidR="000E0444" w:rsidRDefault="000E0444">
            <w:pPr>
              <w:rPr>
                <w:sz w:val="13"/>
                <w:szCs w:val="13"/>
              </w:rPr>
            </w:pPr>
            <w:r>
              <w:rPr>
                <w:sz w:val="13"/>
                <w:szCs w:val="13"/>
              </w:rPr>
              <w:t xml:space="preserve"> KN </w:t>
            </w:r>
          </w:p>
        </w:tc>
        <w:tc>
          <w:tcPr>
            <w:tcW w:w="657" w:type="dxa"/>
            <w:tcBorders>
              <w:top w:val="nil"/>
              <w:left w:val="nil"/>
              <w:bottom w:val="single" w:sz="4" w:space="0" w:color="auto"/>
              <w:right w:val="single" w:sz="4" w:space="0" w:color="auto"/>
            </w:tcBorders>
            <w:shd w:val="clear" w:color="auto" w:fill="auto"/>
            <w:vAlign w:val="center"/>
            <w:hideMark/>
          </w:tcPr>
          <w:p w14:paraId="5C2743BB" w14:textId="77777777" w:rsidR="000E0444" w:rsidRDefault="000E0444">
            <w:pPr>
              <w:jc w:val="right"/>
              <w:rPr>
                <w:sz w:val="13"/>
                <w:szCs w:val="13"/>
              </w:rPr>
            </w:pPr>
            <w:r>
              <w:rPr>
                <w:sz w:val="13"/>
                <w:szCs w:val="13"/>
              </w:rPr>
              <w:t>0,00</w:t>
            </w:r>
          </w:p>
        </w:tc>
        <w:tc>
          <w:tcPr>
            <w:tcW w:w="801" w:type="dxa"/>
            <w:tcBorders>
              <w:top w:val="nil"/>
              <w:left w:val="nil"/>
              <w:bottom w:val="single" w:sz="4" w:space="0" w:color="auto"/>
              <w:right w:val="single" w:sz="4" w:space="0" w:color="auto"/>
            </w:tcBorders>
            <w:shd w:val="clear" w:color="auto" w:fill="auto"/>
            <w:noWrap/>
            <w:vAlign w:val="center"/>
            <w:hideMark/>
          </w:tcPr>
          <w:p w14:paraId="695E36C5" w14:textId="77777777" w:rsidR="000E0444" w:rsidRDefault="000E0444">
            <w:pPr>
              <w:jc w:val="center"/>
              <w:rPr>
                <w:sz w:val="13"/>
                <w:szCs w:val="13"/>
              </w:rPr>
            </w:pPr>
            <w:r>
              <w:rPr>
                <w:sz w:val="13"/>
                <w:szCs w:val="13"/>
              </w:rPr>
              <w:t>31.12.2022</w:t>
            </w:r>
          </w:p>
        </w:tc>
        <w:tc>
          <w:tcPr>
            <w:tcW w:w="843" w:type="dxa"/>
            <w:tcBorders>
              <w:top w:val="nil"/>
              <w:left w:val="nil"/>
              <w:bottom w:val="single" w:sz="4" w:space="0" w:color="auto"/>
              <w:right w:val="single" w:sz="4" w:space="0" w:color="auto"/>
            </w:tcBorders>
            <w:shd w:val="clear" w:color="auto" w:fill="auto"/>
            <w:noWrap/>
            <w:vAlign w:val="center"/>
            <w:hideMark/>
          </w:tcPr>
          <w:p w14:paraId="5E681B9A" w14:textId="77777777" w:rsidR="000E0444" w:rsidRDefault="000E0444">
            <w:pPr>
              <w:jc w:val="right"/>
              <w:rPr>
                <w:sz w:val="13"/>
                <w:szCs w:val="13"/>
              </w:rPr>
            </w:pPr>
            <w:r>
              <w:rPr>
                <w:sz w:val="13"/>
                <w:szCs w:val="13"/>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5AF7BC55" w14:textId="77777777" w:rsidR="000E0444" w:rsidRDefault="000E0444">
            <w:pPr>
              <w:jc w:val="right"/>
              <w:rPr>
                <w:sz w:val="13"/>
                <w:szCs w:val="13"/>
              </w:rPr>
            </w:pPr>
            <w:r>
              <w:rPr>
                <w:sz w:val="13"/>
                <w:szCs w:val="13"/>
              </w:rPr>
              <w:t xml:space="preserve">         984.081,55    </w:t>
            </w:r>
          </w:p>
        </w:tc>
        <w:tc>
          <w:tcPr>
            <w:tcW w:w="899" w:type="dxa"/>
            <w:tcBorders>
              <w:top w:val="nil"/>
              <w:left w:val="nil"/>
              <w:bottom w:val="single" w:sz="4" w:space="0" w:color="auto"/>
              <w:right w:val="single" w:sz="4" w:space="0" w:color="auto"/>
            </w:tcBorders>
            <w:shd w:val="clear" w:color="auto" w:fill="auto"/>
            <w:noWrap/>
            <w:vAlign w:val="center"/>
            <w:hideMark/>
          </w:tcPr>
          <w:p w14:paraId="6D00FD77" w14:textId="77777777" w:rsidR="000E0444" w:rsidRDefault="000E0444">
            <w:pPr>
              <w:jc w:val="right"/>
              <w:rPr>
                <w:sz w:val="13"/>
                <w:szCs w:val="13"/>
              </w:rPr>
            </w:pPr>
            <w:r>
              <w:rPr>
                <w:sz w:val="13"/>
                <w:szCs w:val="13"/>
              </w:rPr>
              <w:t xml:space="preserve">         984.081,55    </w:t>
            </w:r>
          </w:p>
        </w:tc>
        <w:tc>
          <w:tcPr>
            <w:tcW w:w="943" w:type="dxa"/>
            <w:tcBorders>
              <w:top w:val="nil"/>
              <w:left w:val="nil"/>
              <w:bottom w:val="single" w:sz="4" w:space="0" w:color="auto"/>
              <w:right w:val="single" w:sz="4" w:space="0" w:color="auto"/>
            </w:tcBorders>
            <w:shd w:val="clear" w:color="auto" w:fill="auto"/>
            <w:noWrap/>
            <w:vAlign w:val="center"/>
            <w:hideMark/>
          </w:tcPr>
          <w:p w14:paraId="5A08B058" w14:textId="77777777" w:rsidR="000E0444" w:rsidRDefault="000E0444">
            <w:pPr>
              <w:jc w:val="right"/>
              <w:rPr>
                <w:sz w:val="13"/>
                <w:szCs w:val="13"/>
              </w:rPr>
            </w:pPr>
            <w:r>
              <w:rPr>
                <w:sz w:val="13"/>
                <w:szCs w:val="13"/>
              </w:rPr>
              <w:t xml:space="preserve">                            -      </w:t>
            </w:r>
          </w:p>
        </w:tc>
      </w:tr>
      <w:tr w:rsidR="000E0444" w14:paraId="45776C37" w14:textId="77777777" w:rsidTr="000E0444">
        <w:trPr>
          <w:trHeight w:val="210"/>
        </w:trPr>
        <w:tc>
          <w:tcPr>
            <w:tcW w:w="415" w:type="dxa"/>
            <w:tcBorders>
              <w:top w:val="nil"/>
              <w:left w:val="nil"/>
              <w:bottom w:val="nil"/>
              <w:right w:val="nil"/>
            </w:tcBorders>
            <w:shd w:val="clear" w:color="auto" w:fill="auto"/>
            <w:noWrap/>
            <w:vAlign w:val="bottom"/>
            <w:hideMark/>
          </w:tcPr>
          <w:p w14:paraId="3F682174" w14:textId="77777777" w:rsidR="000E0444" w:rsidRDefault="000E0444">
            <w:pPr>
              <w:jc w:val="right"/>
              <w:rPr>
                <w:sz w:val="13"/>
                <w:szCs w:val="13"/>
              </w:rPr>
            </w:pPr>
          </w:p>
        </w:tc>
        <w:tc>
          <w:tcPr>
            <w:tcW w:w="820" w:type="dxa"/>
            <w:tcBorders>
              <w:top w:val="nil"/>
              <w:left w:val="nil"/>
              <w:bottom w:val="nil"/>
              <w:right w:val="nil"/>
            </w:tcBorders>
            <w:shd w:val="clear" w:color="auto" w:fill="auto"/>
            <w:noWrap/>
            <w:vAlign w:val="bottom"/>
            <w:hideMark/>
          </w:tcPr>
          <w:p w14:paraId="18D82F8B" w14:textId="77777777" w:rsidR="000E0444" w:rsidRDefault="000E0444">
            <w:pPr>
              <w:rPr>
                <w:sz w:val="20"/>
                <w:szCs w:val="20"/>
              </w:rPr>
            </w:pPr>
          </w:p>
        </w:tc>
        <w:tc>
          <w:tcPr>
            <w:tcW w:w="1454" w:type="dxa"/>
            <w:tcBorders>
              <w:top w:val="nil"/>
              <w:left w:val="nil"/>
              <w:bottom w:val="nil"/>
              <w:right w:val="nil"/>
            </w:tcBorders>
            <w:shd w:val="clear" w:color="auto" w:fill="auto"/>
            <w:noWrap/>
            <w:vAlign w:val="bottom"/>
            <w:hideMark/>
          </w:tcPr>
          <w:p w14:paraId="38A49727" w14:textId="77777777" w:rsidR="000E0444" w:rsidRDefault="000E0444">
            <w:pPr>
              <w:rPr>
                <w:sz w:val="20"/>
                <w:szCs w:val="20"/>
              </w:rPr>
            </w:pPr>
          </w:p>
        </w:tc>
        <w:tc>
          <w:tcPr>
            <w:tcW w:w="850" w:type="dxa"/>
            <w:tcBorders>
              <w:top w:val="nil"/>
              <w:left w:val="nil"/>
              <w:bottom w:val="nil"/>
              <w:right w:val="nil"/>
            </w:tcBorders>
            <w:shd w:val="clear" w:color="auto" w:fill="auto"/>
            <w:noWrap/>
            <w:vAlign w:val="bottom"/>
            <w:hideMark/>
          </w:tcPr>
          <w:p w14:paraId="1D477ABA" w14:textId="77777777" w:rsidR="000E0444" w:rsidRDefault="000E0444">
            <w:pPr>
              <w:rPr>
                <w:sz w:val="20"/>
                <w:szCs w:val="20"/>
              </w:rPr>
            </w:pPr>
          </w:p>
        </w:tc>
        <w:tc>
          <w:tcPr>
            <w:tcW w:w="534" w:type="dxa"/>
            <w:tcBorders>
              <w:top w:val="nil"/>
              <w:left w:val="nil"/>
              <w:bottom w:val="nil"/>
              <w:right w:val="nil"/>
            </w:tcBorders>
            <w:shd w:val="clear" w:color="auto" w:fill="auto"/>
            <w:noWrap/>
            <w:vAlign w:val="bottom"/>
            <w:hideMark/>
          </w:tcPr>
          <w:p w14:paraId="5A3BF6F4" w14:textId="77777777" w:rsidR="000E0444" w:rsidRDefault="000E0444">
            <w:pPr>
              <w:rPr>
                <w:sz w:val="20"/>
                <w:szCs w:val="20"/>
              </w:rPr>
            </w:pPr>
          </w:p>
        </w:tc>
        <w:tc>
          <w:tcPr>
            <w:tcW w:w="657" w:type="dxa"/>
            <w:tcBorders>
              <w:top w:val="nil"/>
              <w:left w:val="nil"/>
              <w:bottom w:val="nil"/>
              <w:right w:val="nil"/>
            </w:tcBorders>
            <w:shd w:val="clear" w:color="auto" w:fill="auto"/>
            <w:noWrap/>
            <w:vAlign w:val="bottom"/>
            <w:hideMark/>
          </w:tcPr>
          <w:p w14:paraId="497DD01F" w14:textId="77777777" w:rsidR="000E0444" w:rsidRDefault="000E0444">
            <w:pPr>
              <w:rPr>
                <w:sz w:val="20"/>
                <w:szCs w:val="20"/>
              </w:rPr>
            </w:pPr>
          </w:p>
        </w:tc>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7AA61B29" w14:textId="77777777" w:rsidR="000E0444" w:rsidRDefault="000E0444">
            <w:pPr>
              <w:rPr>
                <w:sz w:val="13"/>
                <w:szCs w:val="13"/>
              </w:rPr>
            </w:pPr>
            <w:r>
              <w:rPr>
                <w:sz w:val="13"/>
                <w:szCs w:val="13"/>
              </w:rPr>
              <w:t>ukupno:</w:t>
            </w:r>
          </w:p>
        </w:tc>
        <w:tc>
          <w:tcPr>
            <w:tcW w:w="843" w:type="dxa"/>
            <w:tcBorders>
              <w:top w:val="nil"/>
              <w:left w:val="nil"/>
              <w:bottom w:val="single" w:sz="4" w:space="0" w:color="auto"/>
              <w:right w:val="single" w:sz="4" w:space="0" w:color="auto"/>
            </w:tcBorders>
            <w:shd w:val="clear" w:color="auto" w:fill="auto"/>
            <w:noWrap/>
            <w:vAlign w:val="center"/>
            <w:hideMark/>
          </w:tcPr>
          <w:p w14:paraId="516CF54C" w14:textId="77777777" w:rsidR="000E0444" w:rsidRDefault="000E0444">
            <w:pPr>
              <w:jc w:val="right"/>
              <w:rPr>
                <w:sz w:val="13"/>
                <w:szCs w:val="13"/>
              </w:rPr>
            </w:pPr>
            <w:r>
              <w:rPr>
                <w:sz w:val="13"/>
                <w:szCs w:val="13"/>
              </w:rPr>
              <w:t xml:space="preserve">         319.349,72    </w:t>
            </w:r>
          </w:p>
        </w:tc>
        <w:tc>
          <w:tcPr>
            <w:tcW w:w="851" w:type="dxa"/>
            <w:tcBorders>
              <w:top w:val="nil"/>
              <w:left w:val="nil"/>
              <w:bottom w:val="single" w:sz="4" w:space="0" w:color="auto"/>
              <w:right w:val="single" w:sz="4" w:space="0" w:color="auto"/>
            </w:tcBorders>
            <w:shd w:val="clear" w:color="auto" w:fill="auto"/>
            <w:noWrap/>
            <w:vAlign w:val="center"/>
            <w:hideMark/>
          </w:tcPr>
          <w:p w14:paraId="5C0B32C2" w14:textId="77777777" w:rsidR="000E0444" w:rsidRDefault="000E0444">
            <w:pPr>
              <w:jc w:val="right"/>
              <w:rPr>
                <w:sz w:val="13"/>
                <w:szCs w:val="13"/>
              </w:rPr>
            </w:pPr>
            <w:r>
              <w:rPr>
                <w:sz w:val="13"/>
                <w:szCs w:val="13"/>
              </w:rPr>
              <w:t xml:space="preserve">         984.081,55    </w:t>
            </w:r>
          </w:p>
        </w:tc>
        <w:tc>
          <w:tcPr>
            <w:tcW w:w="899" w:type="dxa"/>
            <w:tcBorders>
              <w:top w:val="nil"/>
              <w:left w:val="nil"/>
              <w:bottom w:val="single" w:sz="4" w:space="0" w:color="auto"/>
              <w:right w:val="single" w:sz="4" w:space="0" w:color="auto"/>
            </w:tcBorders>
            <w:shd w:val="clear" w:color="auto" w:fill="auto"/>
            <w:noWrap/>
            <w:vAlign w:val="center"/>
            <w:hideMark/>
          </w:tcPr>
          <w:p w14:paraId="34A727A0" w14:textId="77777777" w:rsidR="000E0444" w:rsidRDefault="000E0444">
            <w:pPr>
              <w:jc w:val="right"/>
              <w:rPr>
                <w:sz w:val="13"/>
                <w:szCs w:val="13"/>
              </w:rPr>
            </w:pPr>
            <w:r>
              <w:rPr>
                <w:sz w:val="13"/>
                <w:szCs w:val="13"/>
              </w:rPr>
              <w:t xml:space="preserve">      1.303.431,27    </w:t>
            </w:r>
          </w:p>
        </w:tc>
        <w:tc>
          <w:tcPr>
            <w:tcW w:w="943" w:type="dxa"/>
            <w:tcBorders>
              <w:top w:val="nil"/>
              <w:left w:val="nil"/>
              <w:bottom w:val="single" w:sz="4" w:space="0" w:color="auto"/>
              <w:right w:val="single" w:sz="4" w:space="0" w:color="auto"/>
            </w:tcBorders>
            <w:shd w:val="clear" w:color="auto" w:fill="auto"/>
            <w:noWrap/>
            <w:vAlign w:val="center"/>
            <w:hideMark/>
          </w:tcPr>
          <w:p w14:paraId="0BA7F53A" w14:textId="77777777" w:rsidR="000E0444" w:rsidRDefault="000E0444">
            <w:pPr>
              <w:jc w:val="right"/>
              <w:rPr>
                <w:sz w:val="13"/>
                <w:szCs w:val="13"/>
              </w:rPr>
            </w:pPr>
            <w:r>
              <w:rPr>
                <w:sz w:val="13"/>
                <w:szCs w:val="13"/>
              </w:rPr>
              <w:t xml:space="preserve">                            -      </w:t>
            </w:r>
          </w:p>
        </w:tc>
      </w:tr>
    </w:tbl>
    <w:p w14:paraId="13AA37D9" w14:textId="77777777" w:rsidR="000E52C3" w:rsidRDefault="000E52C3" w:rsidP="009D7279"/>
    <w:p w14:paraId="4E5E1E77" w14:textId="77777777" w:rsidR="009075FA" w:rsidRPr="0033296A" w:rsidRDefault="009075FA" w:rsidP="006B09E5">
      <w:pPr>
        <w:ind w:firstLine="708"/>
      </w:pPr>
      <w:r w:rsidRPr="0033296A">
        <w:t>Grad Buje – Buie nema potraživanja po osnovi danih zajmova.</w:t>
      </w:r>
    </w:p>
    <w:p w14:paraId="0BC3A123" w14:textId="77777777" w:rsidR="009075FA" w:rsidRPr="0033296A" w:rsidRDefault="009075FA" w:rsidP="009075FA"/>
    <w:p w14:paraId="6B097063" w14:textId="77777777" w:rsidR="009075FA" w:rsidRPr="0033296A" w:rsidRDefault="009075FA" w:rsidP="006B09E5">
      <w:pPr>
        <w:ind w:firstLine="708"/>
      </w:pPr>
      <w:r w:rsidRPr="0033296A">
        <w:t xml:space="preserve">Proračunski korisnici Grada Buja – Buie nemaju ugovorenih obveza kao ni potraživanja po osnovi zaduživanja </w:t>
      </w:r>
      <w:r w:rsidR="009D7279">
        <w:t>kao ni po osnovi</w:t>
      </w:r>
      <w:r w:rsidRPr="0033296A">
        <w:t xml:space="preserve"> danih zajmova.</w:t>
      </w:r>
    </w:p>
    <w:p w14:paraId="7268728A" w14:textId="75328F20" w:rsidR="00F34863" w:rsidRPr="00F34863" w:rsidRDefault="007C2D97" w:rsidP="00F22C87">
      <w:pPr>
        <w:pStyle w:val="Naslov1"/>
        <w:numPr>
          <w:ilvl w:val="0"/>
          <w:numId w:val="22"/>
        </w:numPr>
        <w:rPr>
          <w:rFonts w:ascii="Times New Roman" w:hAnsi="Times New Roman"/>
          <w:sz w:val="24"/>
          <w:szCs w:val="24"/>
        </w:rPr>
      </w:pPr>
      <w:bookmarkStart w:id="24" w:name="_Toc133398674"/>
      <w:r>
        <w:rPr>
          <w:rFonts w:ascii="Times New Roman" w:hAnsi="Times New Roman"/>
          <w:sz w:val="24"/>
          <w:szCs w:val="24"/>
        </w:rPr>
        <w:t>IZVJEŠTAJ O KORIŠTENJU PRORAČUNSKE ZALIHE</w:t>
      </w:r>
      <w:bookmarkEnd w:id="24"/>
    </w:p>
    <w:p w14:paraId="2BFF1663" w14:textId="77777777" w:rsidR="00F34863" w:rsidRPr="00E80A17" w:rsidRDefault="00F34863" w:rsidP="00F34863"/>
    <w:p w14:paraId="6D7D61AA" w14:textId="18DE38A1" w:rsidR="009357A4" w:rsidRPr="00E80A17" w:rsidRDefault="009357A4" w:rsidP="006B09E5">
      <w:pPr>
        <w:pStyle w:val="Tijeloteksta2"/>
        <w:ind w:firstLine="708"/>
        <w:rPr>
          <w:rFonts w:ascii="Times New Roman" w:hAnsi="Times New Roman" w:cs="Times New Roman"/>
          <w:sz w:val="24"/>
        </w:rPr>
      </w:pPr>
      <w:r>
        <w:rPr>
          <w:rFonts w:ascii="Times New Roman" w:hAnsi="Times New Roman" w:cs="Times New Roman"/>
          <w:sz w:val="24"/>
        </w:rPr>
        <w:t>Prema</w:t>
      </w:r>
      <w:r w:rsidR="00F34863" w:rsidRPr="00E80A17">
        <w:rPr>
          <w:rFonts w:ascii="Times New Roman" w:hAnsi="Times New Roman" w:cs="Times New Roman"/>
          <w:sz w:val="24"/>
        </w:rPr>
        <w:t xml:space="preserve"> članku </w:t>
      </w:r>
      <w:r w:rsidR="00FC17E3">
        <w:rPr>
          <w:rFonts w:ascii="Times New Roman" w:hAnsi="Times New Roman" w:cs="Times New Roman"/>
          <w:sz w:val="24"/>
        </w:rPr>
        <w:t>65</w:t>
      </w:r>
      <w:r w:rsidR="00F34863" w:rsidRPr="00E80A17">
        <w:rPr>
          <w:rFonts w:ascii="Times New Roman" w:hAnsi="Times New Roman" w:cs="Times New Roman"/>
          <w:sz w:val="24"/>
        </w:rPr>
        <w:t xml:space="preserve">. Zakona o proračunu („Narodne novine“ broj </w:t>
      </w:r>
      <w:r w:rsidR="00FC17E3">
        <w:rPr>
          <w:rFonts w:ascii="Times New Roman" w:hAnsi="Times New Roman" w:cs="Times New Roman"/>
          <w:sz w:val="24"/>
        </w:rPr>
        <w:t>144/21)</w:t>
      </w:r>
      <w:r w:rsidR="00F34863" w:rsidRPr="00E80A17">
        <w:rPr>
          <w:rFonts w:ascii="Times New Roman" w:hAnsi="Times New Roman" w:cs="Times New Roman"/>
          <w:sz w:val="24"/>
        </w:rPr>
        <w:t xml:space="preserve"> sredstva proračunske zalihe </w:t>
      </w:r>
      <w:r w:rsidR="00FC17E3">
        <w:rPr>
          <w:rFonts w:ascii="Times New Roman" w:hAnsi="Times New Roman" w:cs="Times New Roman"/>
          <w:sz w:val="24"/>
        </w:rPr>
        <w:t xml:space="preserve">koriste </w:t>
      </w:r>
      <w:r w:rsidR="00F34863" w:rsidRPr="00E80A17">
        <w:rPr>
          <w:rFonts w:ascii="Times New Roman" w:hAnsi="Times New Roman" w:cs="Times New Roman"/>
          <w:sz w:val="24"/>
        </w:rPr>
        <w:t>se za financiranje rashoda nastalih pri otklanjanju posljedica elementarnih nepogoda, epidemija, ekoloških i ostalih nepredvidivih nesreća</w:t>
      </w:r>
      <w:r w:rsidR="00FC17E3">
        <w:rPr>
          <w:rFonts w:ascii="Times New Roman" w:hAnsi="Times New Roman" w:cs="Times New Roman"/>
          <w:sz w:val="24"/>
        </w:rPr>
        <w:t xml:space="preserve"> odnosno izvanrednih događaja</w:t>
      </w:r>
      <w:r w:rsidR="00F34863" w:rsidRPr="00E80A17">
        <w:rPr>
          <w:rFonts w:ascii="Times New Roman" w:hAnsi="Times New Roman" w:cs="Times New Roman"/>
          <w:sz w:val="24"/>
        </w:rPr>
        <w:t xml:space="preserve"> tijekom godine.</w:t>
      </w:r>
    </w:p>
    <w:p w14:paraId="591C451C" w14:textId="4AB553A7" w:rsidR="00F34863" w:rsidRDefault="00F34863" w:rsidP="006B09E5">
      <w:pPr>
        <w:pStyle w:val="Tijeloteksta2"/>
        <w:ind w:firstLine="708"/>
        <w:rPr>
          <w:rFonts w:ascii="Times New Roman" w:hAnsi="Times New Roman" w:cs="Times New Roman"/>
          <w:sz w:val="24"/>
        </w:rPr>
      </w:pPr>
      <w:r w:rsidRPr="00E80A17">
        <w:rPr>
          <w:rFonts w:ascii="Times New Roman" w:hAnsi="Times New Roman" w:cs="Times New Roman"/>
          <w:sz w:val="24"/>
        </w:rPr>
        <w:t xml:space="preserve">Planom proračuna i Odlukom o izvršavanju proračuna Grada Buja – Buie </w:t>
      </w:r>
      <w:r w:rsidR="00C32947">
        <w:rPr>
          <w:rFonts w:ascii="Times New Roman" w:hAnsi="Times New Roman" w:cs="Times New Roman"/>
          <w:sz w:val="24"/>
        </w:rPr>
        <w:t>za 202</w:t>
      </w:r>
      <w:r w:rsidR="00FC17E3">
        <w:rPr>
          <w:rFonts w:ascii="Times New Roman" w:hAnsi="Times New Roman" w:cs="Times New Roman"/>
          <w:sz w:val="24"/>
        </w:rPr>
        <w:t>2</w:t>
      </w:r>
      <w:r w:rsidR="00C32947">
        <w:rPr>
          <w:rFonts w:ascii="Times New Roman" w:hAnsi="Times New Roman" w:cs="Times New Roman"/>
          <w:sz w:val="24"/>
        </w:rPr>
        <w:t>. godinu</w:t>
      </w:r>
      <w:r w:rsidR="00E05861">
        <w:rPr>
          <w:rFonts w:ascii="Times New Roman" w:hAnsi="Times New Roman" w:cs="Times New Roman"/>
          <w:sz w:val="24"/>
        </w:rPr>
        <w:t xml:space="preserve">, koji su doneseni na temelju </w:t>
      </w:r>
      <w:r w:rsidR="00B33AF8" w:rsidRPr="00E80A17">
        <w:rPr>
          <w:rFonts w:ascii="Times New Roman" w:hAnsi="Times New Roman" w:cs="Times New Roman"/>
          <w:sz w:val="24"/>
        </w:rPr>
        <w:t>Zakona o proračunu („Narodne novine“ broj 87/08,</w:t>
      </w:r>
      <w:r w:rsidR="00B33AF8" w:rsidRPr="00E80A17">
        <w:rPr>
          <w:rFonts w:ascii="Times New Roman" w:hAnsi="Times New Roman" w:cs="Times New Roman"/>
          <w:bCs/>
          <w:sz w:val="24"/>
        </w:rPr>
        <w:t xml:space="preserve"> 136/12 i 15/15</w:t>
      </w:r>
      <w:r w:rsidR="00B33AF8" w:rsidRPr="00E80A17">
        <w:rPr>
          <w:rFonts w:ascii="Times New Roman" w:hAnsi="Times New Roman" w:cs="Times New Roman"/>
          <w:sz w:val="24"/>
        </w:rPr>
        <w:t>)</w:t>
      </w:r>
      <w:r w:rsidR="00B33AF8">
        <w:rPr>
          <w:rFonts w:ascii="Times New Roman" w:hAnsi="Times New Roman" w:cs="Times New Roman"/>
          <w:sz w:val="24"/>
        </w:rPr>
        <w:t>,</w:t>
      </w:r>
      <w:r w:rsidR="00B33AF8" w:rsidRPr="00E80A17">
        <w:rPr>
          <w:rFonts w:ascii="Times New Roman" w:hAnsi="Times New Roman" w:cs="Times New Roman"/>
          <w:sz w:val="24"/>
        </w:rPr>
        <w:t xml:space="preserve"> </w:t>
      </w:r>
      <w:r w:rsidR="00B33AF8">
        <w:rPr>
          <w:rFonts w:ascii="Times New Roman" w:hAnsi="Times New Roman" w:cs="Times New Roman"/>
          <w:sz w:val="24"/>
        </w:rPr>
        <w:t>a u skladu s odredbama članka 56. Zakona,</w:t>
      </w:r>
      <w:r w:rsidR="009357A4">
        <w:rPr>
          <w:rFonts w:ascii="Times New Roman" w:hAnsi="Times New Roman" w:cs="Times New Roman"/>
          <w:sz w:val="24"/>
        </w:rPr>
        <w:t xml:space="preserve"> </w:t>
      </w:r>
      <w:r w:rsidRPr="00E80A17">
        <w:rPr>
          <w:rFonts w:ascii="Times New Roman" w:hAnsi="Times New Roman" w:cs="Times New Roman"/>
          <w:sz w:val="24"/>
        </w:rPr>
        <w:t xml:space="preserve">utvrđena je visina proračunske zalihe kojom raspolaže Gradonačelnik u iznosu od </w:t>
      </w:r>
      <w:r w:rsidR="007C69BB">
        <w:rPr>
          <w:rFonts w:ascii="Times New Roman" w:hAnsi="Times New Roman" w:cs="Times New Roman"/>
          <w:sz w:val="24"/>
        </w:rPr>
        <w:t>100</w:t>
      </w:r>
      <w:r w:rsidRPr="00E80A17">
        <w:rPr>
          <w:rFonts w:ascii="Times New Roman" w:hAnsi="Times New Roman" w:cs="Times New Roman"/>
          <w:sz w:val="24"/>
        </w:rPr>
        <w:t>.000,00 kuna.</w:t>
      </w:r>
      <w:r w:rsidR="007C69BB">
        <w:rPr>
          <w:rFonts w:ascii="Times New Roman" w:hAnsi="Times New Roman" w:cs="Times New Roman"/>
          <w:sz w:val="24"/>
        </w:rPr>
        <w:t xml:space="preserve"> </w:t>
      </w:r>
    </w:p>
    <w:p w14:paraId="2C9429E6" w14:textId="52D91CEB" w:rsidR="007C69BB" w:rsidRPr="00E80A17" w:rsidRDefault="007C69BB" w:rsidP="006B09E5">
      <w:pPr>
        <w:pStyle w:val="Tijeloteksta2"/>
        <w:ind w:firstLine="708"/>
        <w:rPr>
          <w:rFonts w:ascii="Times New Roman" w:hAnsi="Times New Roman" w:cs="Times New Roman"/>
          <w:sz w:val="24"/>
        </w:rPr>
      </w:pPr>
      <w:r>
        <w:rPr>
          <w:rFonts w:ascii="Times New Roman" w:hAnsi="Times New Roman" w:cs="Times New Roman"/>
          <w:sz w:val="24"/>
        </w:rPr>
        <w:t xml:space="preserve">U </w:t>
      </w:r>
      <w:r w:rsidR="00836714">
        <w:rPr>
          <w:rFonts w:ascii="Times New Roman" w:hAnsi="Times New Roman" w:cs="Times New Roman"/>
          <w:sz w:val="24"/>
        </w:rPr>
        <w:t>2</w:t>
      </w:r>
      <w:r>
        <w:rPr>
          <w:rFonts w:ascii="Times New Roman" w:hAnsi="Times New Roman" w:cs="Times New Roman"/>
          <w:sz w:val="24"/>
        </w:rPr>
        <w:t>02</w:t>
      </w:r>
      <w:r w:rsidR="00FC17E3">
        <w:rPr>
          <w:rFonts w:ascii="Times New Roman" w:hAnsi="Times New Roman" w:cs="Times New Roman"/>
          <w:sz w:val="24"/>
        </w:rPr>
        <w:t>2</w:t>
      </w:r>
      <w:r>
        <w:rPr>
          <w:rFonts w:ascii="Times New Roman" w:hAnsi="Times New Roman" w:cs="Times New Roman"/>
          <w:sz w:val="24"/>
        </w:rPr>
        <w:t>. godin</w:t>
      </w:r>
      <w:r w:rsidR="00FC17E3">
        <w:rPr>
          <w:rFonts w:ascii="Times New Roman" w:hAnsi="Times New Roman" w:cs="Times New Roman"/>
          <w:sz w:val="24"/>
        </w:rPr>
        <w:t>e</w:t>
      </w:r>
      <w:r>
        <w:rPr>
          <w:rFonts w:ascii="Times New Roman" w:hAnsi="Times New Roman" w:cs="Times New Roman"/>
          <w:sz w:val="24"/>
        </w:rPr>
        <w:t xml:space="preserve"> nisu korištena sredstva proračunske zalihe.</w:t>
      </w:r>
    </w:p>
    <w:p w14:paraId="307B0789" w14:textId="278467B6" w:rsidR="002A5394" w:rsidRPr="00BB1CB4" w:rsidRDefault="007C2D97" w:rsidP="00F22C87">
      <w:pPr>
        <w:pStyle w:val="Naslov1"/>
        <w:numPr>
          <w:ilvl w:val="0"/>
          <w:numId w:val="22"/>
        </w:numPr>
        <w:rPr>
          <w:rFonts w:ascii="Times New Roman" w:hAnsi="Times New Roman"/>
          <w:sz w:val="24"/>
          <w:szCs w:val="24"/>
        </w:rPr>
      </w:pPr>
      <w:bookmarkStart w:id="25" w:name="_Toc133398675"/>
      <w:r>
        <w:rPr>
          <w:rFonts w:ascii="Times New Roman" w:hAnsi="Times New Roman"/>
          <w:sz w:val="24"/>
          <w:szCs w:val="24"/>
        </w:rPr>
        <w:t>IZVJEŠTAJ O DANIM JAMSTVIMA I IZDACIMA PO JAMSTVIMA</w:t>
      </w:r>
      <w:bookmarkEnd w:id="25"/>
    </w:p>
    <w:p w14:paraId="0787F8B2" w14:textId="77777777" w:rsidR="002A5394" w:rsidRPr="000E52C3" w:rsidRDefault="002A5394" w:rsidP="002A5394">
      <w:pPr>
        <w:rPr>
          <w:sz w:val="20"/>
          <w:szCs w:val="20"/>
        </w:rPr>
      </w:pPr>
    </w:p>
    <w:p w14:paraId="22186A2B" w14:textId="2BC6871F" w:rsidR="002A5394" w:rsidRPr="00E80A17" w:rsidRDefault="002A5394" w:rsidP="006B09E5">
      <w:pPr>
        <w:pStyle w:val="Tijeloteksta2"/>
        <w:ind w:firstLine="708"/>
        <w:rPr>
          <w:rFonts w:ascii="Times New Roman" w:hAnsi="Times New Roman" w:cs="Times New Roman"/>
          <w:szCs w:val="20"/>
        </w:rPr>
      </w:pPr>
      <w:r w:rsidRPr="000E52C3">
        <w:rPr>
          <w:rFonts w:ascii="Times New Roman" w:hAnsi="Times New Roman" w:cs="Times New Roman"/>
          <w:sz w:val="24"/>
        </w:rPr>
        <w:t xml:space="preserve">U </w:t>
      </w:r>
      <w:r w:rsidRPr="00FF52E3">
        <w:rPr>
          <w:rFonts w:ascii="Times New Roman" w:hAnsi="Times New Roman" w:cs="Times New Roman"/>
          <w:sz w:val="24"/>
        </w:rPr>
        <w:t>20</w:t>
      </w:r>
      <w:r w:rsidR="00F34863">
        <w:rPr>
          <w:rFonts w:ascii="Times New Roman" w:hAnsi="Times New Roman" w:cs="Times New Roman"/>
          <w:sz w:val="24"/>
        </w:rPr>
        <w:t>2</w:t>
      </w:r>
      <w:r w:rsidR="00F65E7D">
        <w:rPr>
          <w:rFonts w:ascii="Times New Roman" w:hAnsi="Times New Roman" w:cs="Times New Roman"/>
          <w:sz w:val="24"/>
        </w:rPr>
        <w:t>2</w:t>
      </w:r>
      <w:r w:rsidRPr="00FF52E3">
        <w:rPr>
          <w:rFonts w:ascii="Times New Roman" w:hAnsi="Times New Roman" w:cs="Times New Roman"/>
          <w:sz w:val="24"/>
        </w:rPr>
        <w:t>. godin</w:t>
      </w:r>
      <w:r w:rsidR="006B09E5">
        <w:rPr>
          <w:rFonts w:ascii="Times New Roman" w:hAnsi="Times New Roman" w:cs="Times New Roman"/>
          <w:sz w:val="24"/>
        </w:rPr>
        <w:t>i</w:t>
      </w:r>
      <w:r w:rsidRPr="00FF52E3">
        <w:rPr>
          <w:rFonts w:ascii="Times New Roman" w:hAnsi="Times New Roman" w:cs="Times New Roman"/>
          <w:sz w:val="24"/>
        </w:rPr>
        <w:t xml:space="preserve"> Grad Buje – Buie nije dao nova jamstva</w:t>
      </w:r>
      <w:r>
        <w:rPr>
          <w:rFonts w:ascii="Times New Roman" w:hAnsi="Times New Roman" w:cs="Times New Roman"/>
          <w:sz w:val="24"/>
        </w:rPr>
        <w:t xml:space="preserve"> pravnim osobama u vlasništvu ili ustanovama čiji je osnivač</w:t>
      </w:r>
      <w:r w:rsidRPr="00FF52E3">
        <w:rPr>
          <w:rFonts w:ascii="Times New Roman" w:hAnsi="Times New Roman" w:cs="Times New Roman"/>
          <w:sz w:val="24"/>
        </w:rPr>
        <w:t>, niti ima aktivnih jamstava iz ranijih razdoblja. U skladu s time</w:t>
      </w:r>
      <w:r>
        <w:rPr>
          <w:rFonts w:ascii="Times New Roman" w:hAnsi="Times New Roman" w:cs="Times New Roman"/>
          <w:sz w:val="24"/>
        </w:rPr>
        <w:t>,</w:t>
      </w:r>
      <w:r w:rsidRPr="00FF52E3">
        <w:rPr>
          <w:rFonts w:ascii="Times New Roman" w:hAnsi="Times New Roman" w:cs="Times New Roman"/>
          <w:sz w:val="24"/>
        </w:rPr>
        <w:t xml:space="preserve"> </w:t>
      </w:r>
      <w:r>
        <w:rPr>
          <w:rFonts w:ascii="Times New Roman" w:hAnsi="Times New Roman" w:cs="Times New Roman"/>
          <w:sz w:val="24"/>
        </w:rPr>
        <w:t xml:space="preserve">u izvještajnom razdoblju </w:t>
      </w:r>
      <w:r w:rsidRPr="00FF52E3">
        <w:rPr>
          <w:rFonts w:ascii="Times New Roman" w:hAnsi="Times New Roman" w:cs="Times New Roman"/>
          <w:sz w:val="24"/>
        </w:rPr>
        <w:t>nije bilo ni protestiranih jamstava.</w:t>
      </w:r>
    </w:p>
    <w:p w14:paraId="1DADC452" w14:textId="554133FE" w:rsidR="002A5394" w:rsidRDefault="002A5394" w:rsidP="006B09E5">
      <w:pPr>
        <w:pStyle w:val="Tijeloteksta2"/>
        <w:ind w:firstLine="708"/>
        <w:rPr>
          <w:rFonts w:ascii="Times New Roman" w:hAnsi="Times New Roman" w:cs="Times New Roman"/>
          <w:sz w:val="24"/>
        </w:rPr>
      </w:pPr>
      <w:r w:rsidRPr="00E80A17">
        <w:rPr>
          <w:rFonts w:ascii="Times New Roman" w:hAnsi="Times New Roman" w:cs="Times New Roman"/>
          <w:sz w:val="24"/>
        </w:rPr>
        <w:t xml:space="preserve">Gradsko vijeće Grada Buja – Buie donijelo je Zaključak o davanju suglasnosti za zaduženje </w:t>
      </w:r>
      <w:r>
        <w:rPr>
          <w:rFonts w:ascii="Times New Roman" w:hAnsi="Times New Roman" w:cs="Times New Roman"/>
          <w:sz w:val="24"/>
        </w:rPr>
        <w:t xml:space="preserve">(bez davanja jamstva za ispunjenje obveza) </w:t>
      </w:r>
      <w:r w:rsidRPr="00E80A17">
        <w:rPr>
          <w:rFonts w:ascii="Times New Roman" w:hAnsi="Times New Roman" w:cs="Times New Roman"/>
          <w:sz w:val="24"/>
        </w:rPr>
        <w:t xml:space="preserve">trgovačkom društvu </w:t>
      </w:r>
      <w:proofErr w:type="spellStart"/>
      <w:r w:rsidRPr="00E80A17">
        <w:rPr>
          <w:rFonts w:ascii="Times New Roman" w:hAnsi="Times New Roman" w:cs="Times New Roman"/>
          <w:sz w:val="24"/>
        </w:rPr>
        <w:t>Civitas</w:t>
      </w:r>
      <w:proofErr w:type="spellEnd"/>
      <w:r w:rsidRPr="00E80A17">
        <w:rPr>
          <w:rFonts w:ascii="Times New Roman" w:hAnsi="Times New Roman" w:cs="Times New Roman"/>
          <w:sz w:val="24"/>
        </w:rPr>
        <w:t xml:space="preserve"> </w:t>
      </w:r>
      <w:proofErr w:type="spellStart"/>
      <w:r w:rsidRPr="00E80A17">
        <w:rPr>
          <w:rFonts w:ascii="Times New Roman" w:hAnsi="Times New Roman" w:cs="Times New Roman"/>
          <w:sz w:val="24"/>
        </w:rPr>
        <w:t>Bulleraum</w:t>
      </w:r>
      <w:proofErr w:type="spellEnd"/>
      <w:r w:rsidRPr="00E80A17">
        <w:rPr>
          <w:rFonts w:ascii="Times New Roman" w:hAnsi="Times New Roman" w:cs="Times New Roman"/>
          <w:sz w:val="24"/>
        </w:rPr>
        <w:t xml:space="preserve"> d.o.o. za kupnju opreme za rad, odnosno nabavu priključnog stroja – </w:t>
      </w:r>
      <w:proofErr w:type="spellStart"/>
      <w:r w:rsidRPr="00E80A17">
        <w:rPr>
          <w:rFonts w:ascii="Times New Roman" w:hAnsi="Times New Roman" w:cs="Times New Roman"/>
          <w:sz w:val="24"/>
        </w:rPr>
        <w:t>malčera</w:t>
      </w:r>
      <w:proofErr w:type="spellEnd"/>
      <w:r w:rsidRPr="00E80A17">
        <w:rPr>
          <w:rFonts w:ascii="Times New Roman" w:hAnsi="Times New Roman" w:cs="Times New Roman"/>
          <w:sz w:val="24"/>
        </w:rPr>
        <w:t xml:space="preserve"> (</w:t>
      </w:r>
      <w:r w:rsidR="006B09E5">
        <w:rPr>
          <w:rFonts w:ascii="Times New Roman" w:hAnsi="Times New Roman" w:cs="Times New Roman"/>
          <w:sz w:val="24"/>
        </w:rPr>
        <w:t>KLASA</w:t>
      </w:r>
      <w:r w:rsidRPr="00E80A17">
        <w:rPr>
          <w:rFonts w:ascii="Times New Roman" w:hAnsi="Times New Roman" w:cs="Times New Roman"/>
          <w:sz w:val="24"/>
        </w:rPr>
        <w:t xml:space="preserve">: 403-01/19-01/02, </w:t>
      </w:r>
      <w:r w:rsidR="006B09E5">
        <w:rPr>
          <w:rFonts w:ascii="Times New Roman" w:hAnsi="Times New Roman" w:cs="Times New Roman"/>
          <w:sz w:val="24"/>
        </w:rPr>
        <w:t>URBROJ</w:t>
      </w:r>
      <w:r w:rsidRPr="00E80A17">
        <w:rPr>
          <w:rFonts w:ascii="Times New Roman" w:hAnsi="Times New Roman" w:cs="Times New Roman"/>
          <w:sz w:val="24"/>
        </w:rPr>
        <w:t>: 2105/01-02-19-2 od 30. svibnja 2019. godine). Po navedenoj Suglasnosti za zaduženje</w:t>
      </w:r>
      <w:r w:rsidR="00C32947">
        <w:rPr>
          <w:rFonts w:ascii="Times New Roman" w:hAnsi="Times New Roman" w:cs="Times New Roman"/>
          <w:sz w:val="24"/>
        </w:rPr>
        <w:t>,</w:t>
      </w:r>
      <w:r w:rsidRPr="00E80A17">
        <w:rPr>
          <w:rFonts w:ascii="Times New Roman" w:hAnsi="Times New Roman" w:cs="Times New Roman"/>
          <w:sz w:val="24"/>
        </w:rPr>
        <w:t xml:space="preserve"> </w:t>
      </w:r>
      <w:r>
        <w:rPr>
          <w:rFonts w:ascii="Times New Roman" w:hAnsi="Times New Roman" w:cs="Times New Roman"/>
          <w:sz w:val="24"/>
        </w:rPr>
        <w:t xml:space="preserve">trgovačko društvo </w:t>
      </w:r>
      <w:proofErr w:type="spellStart"/>
      <w:r>
        <w:rPr>
          <w:rFonts w:ascii="Times New Roman" w:hAnsi="Times New Roman" w:cs="Times New Roman"/>
          <w:sz w:val="24"/>
        </w:rPr>
        <w:t>Civitas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Bullearum</w:t>
      </w:r>
      <w:proofErr w:type="spellEnd"/>
      <w:r>
        <w:rPr>
          <w:rFonts w:ascii="Times New Roman" w:hAnsi="Times New Roman" w:cs="Times New Roman"/>
          <w:sz w:val="24"/>
        </w:rPr>
        <w:t xml:space="preserve"> d.o.o. sklopilo</w:t>
      </w:r>
      <w:r w:rsidR="00115B73">
        <w:rPr>
          <w:rFonts w:ascii="Times New Roman" w:hAnsi="Times New Roman" w:cs="Times New Roman"/>
          <w:sz w:val="24"/>
        </w:rPr>
        <w:t xml:space="preserve"> je</w:t>
      </w:r>
      <w:r>
        <w:rPr>
          <w:rFonts w:ascii="Times New Roman" w:hAnsi="Times New Roman" w:cs="Times New Roman"/>
          <w:sz w:val="24"/>
        </w:rPr>
        <w:t xml:space="preserve"> Ugovor o kreditu s Istarskom kreditnom bankom Umag d.d. (broj 900500277-0) na iznos od 195.000,00 kuna, uz kamatnu stopu od 1,40% i rokom otplate od tri godine u tromjesečnim anuitetima.</w:t>
      </w:r>
    </w:p>
    <w:p w14:paraId="165C0BC8" w14:textId="19505898" w:rsidR="007D05D3" w:rsidRDefault="007D05D3" w:rsidP="007D05D3">
      <w:pPr>
        <w:pStyle w:val="Tijeloteksta2"/>
        <w:rPr>
          <w:rFonts w:ascii="Times New Roman" w:hAnsi="Times New Roman" w:cs="Times New Roman"/>
          <w:sz w:val="24"/>
        </w:rPr>
      </w:pPr>
      <w:r>
        <w:rPr>
          <w:rFonts w:ascii="Times New Roman" w:hAnsi="Times New Roman" w:cs="Times New Roman"/>
          <w:sz w:val="24"/>
        </w:rPr>
        <w:t>Stanje nedospjele glavnice na dan 01.01.2022. godine iznosilo je 43.333,24 kuna</w:t>
      </w:r>
      <w:r w:rsidR="005B0776">
        <w:rPr>
          <w:rFonts w:ascii="Times New Roman" w:hAnsi="Times New Roman" w:cs="Times New Roman"/>
          <w:sz w:val="24"/>
        </w:rPr>
        <w:t>. U rujnu 2022. godine otplaćen je posljednji anuitet te saldo kredita na dan 31.12.2022. godine nula kuna.</w:t>
      </w:r>
    </w:p>
    <w:p w14:paraId="60AE360A" w14:textId="77777777" w:rsidR="007D05D3" w:rsidRDefault="007D05D3" w:rsidP="002A5394">
      <w:pPr>
        <w:pStyle w:val="Tijeloteksta2"/>
        <w:rPr>
          <w:rFonts w:ascii="Times New Roman" w:hAnsi="Times New Roman" w:cs="Times New Roman"/>
          <w:sz w:val="24"/>
        </w:rPr>
      </w:pPr>
    </w:p>
    <w:p w14:paraId="33E38C8F" w14:textId="2FCCE4AF" w:rsidR="007F69AD" w:rsidRPr="00E80A17" w:rsidRDefault="002D1903" w:rsidP="00E260B7">
      <w:pPr>
        <w:pStyle w:val="Tijeloteksta2"/>
        <w:ind w:firstLine="708"/>
        <w:rPr>
          <w:rFonts w:ascii="Times New Roman" w:hAnsi="Times New Roman" w:cs="Times New Roman"/>
          <w:sz w:val="24"/>
        </w:rPr>
      </w:pPr>
      <w:r w:rsidRPr="00E80A17">
        <w:rPr>
          <w:rFonts w:ascii="Times New Roman" w:hAnsi="Times New Roman" w:cs="Times New Roman"/>
          <w:sz w:val="24"/>
        </w:rPr>
        <w:t xml:space="preserve">Gradsko vijeće Grada Buja – Buie donijelo je </w:t>
      </w:r>
      <w:r w:rsidR="00031637">
        <w:rPr>
          <w:rFonts w:ascii="Times New Roman" w:hAnsi="Times New Roman" w:cs="Times New Roman"/>
          <w:sz w:val="24"/>
        </w:rPr>
        <w:t>Odluku</w:t>
      </w:r>
      <w:r w:rsidRPr="00E80A17">
        <w:rPr>
          <w:rFonts w:ascii="Times New Roman" w:hAnsi="Times New Roman" w:cs="Times New Roman"/>
          <w:sz w:val="24"/>
        </w:rPr>
        <w:t xml:space="preserve"> o davanju suglasnosti za zaduženje </w:t>
      </w:r>
      <w:r>
        <w:rPr>
          <w:rFonts w:ascii="Times New Roman" w:hAnsi="Times New Roman" w:cs="Times New Roman"/>
          <w:sz w:val="24"/>
        </w:rPr>
        <w:t xml:space="preserve">(bez davanja jamstva za ispunjenje obveza) </w:t>
      </w:r>
      <w:r w:rsidRPr="00E80A17">
        <w:rPr>
          <w:rFonts w:ascii="Times New Roman" w:hAnsi="Times New Roman" w:cs="Times New Roman"/>
          <w:sz w:val="24"/>
        </w:rPr>
        <w:t xml:space="preserve">trgovačkom društvu </w:t>
      </w:r>
      <w:proofErr w:type="spellStart"/>
      <w:r w:rsidRPr="00E80A17">
        <w:rPr>
          <w:rFonts w:ascii="Times New Roman" w:hAnsi="Times New Roman" w:cs="Times New Roman"/>
          <w:sz w:val="24"/>
        </w:rPr>
        <w:t>Civitas</w:t>
      </w:r>
      <w:proofErr w:type="spellEnd"/>
      <w:r w:rsidRPr="00E80A17">
        <w:rPr>
          <w:rFonts w:ascii="Times New Roman" w:hAnsi="Times New Roman" w:cs="Times New Roman"/>
          <w:sz w:val="24"/>
        </w:rPr>
        <w:t xml:space="preserve"> </w:t>
      </w:r>
      <w:proofErr w:type="spellStart"/>
      <w:r w:rsidRPr="00E80A17">
        <w:rPr>
          <w:rFonts w:ascii="Times New Roman" w:hAnsi="Times New Roman" w:cs="Times New Roman"/>
          <w:sz w:val="24"/>
        </w:rPr>
        <w:t>Bulleraum</w:t>
      </w:r>
      <w:proofErr w:type="spellEnd"/>
      <w:r w:rsidRPr="00E80A17">
        <w:rPr>
          <w:rFonts w:ascii="Times New Roman" w:hAnsi="Times New Roman" w:cs="Times New Roman"/>
          <w:sz w:val="24"/>
        </w:rPr>
        <w:t xml:space="preserve"> </w:t>
      </w:r>
      <w:r w:rsidRPr="00E80A17">
        <w:rPr>
          <w:rFonts w:ascii="Times New Roman" w:hAnsi="Times New Roman" w:cs="Times New Roman"/>
          <w:sz w:val="24"/>
        </w:rPr>
        <w:lastRenderedPageBreak/>
        <w:t xml:space="preserve">d.o.o. za </w:t>
      </w:r>
      <w:r w:rsidR="00031637">
        <w:rPr>
          <w:rFonts w:ascii="Times New Roman" w:hAnsi="Times New Roman" w:cs="Times New Roman"/>
          <w:sz w:val="24"/>
        </w:rPr>
        <w:t xml:space="preserve">nabavu </w:t>
      </w:r>
      <w:r w:rsidRPr="00E80A17">
        <w:rPr>
          <w:rFonts w:ascii="Times New Roman" w:hAnsi="Times New Roman" w:cs="Times New Roman"/>
          <w:sz w:val="24"/>
        </w:rPr>
        <w:t>opreme (</w:t>
      </w:r>
      <w:r w:rsidR="005B0776">
        <w:rPr>
          <w:rFonts w:ascii="Times New Roman" w:hAnsi="Times New Roman" w:cs="Times New Roman"/>
          <w:sz w:val="24"/>
        </w:rPr>
        <w:t>KLASA</w:t>
      </w:r>
      <w:r w:rsidRPr="00E80A17">
        <w:rPr>
          <w:rFonts w:ascii="Times New Roman" w:hAnsi="Times New Roman" w:cs="Times New Roman"/>
          <w:sz w:val="24"/>
        </w:rPr>
        <w:t xml:space="preserve">: </w:t>
      </w:r>
      <w:r w:rsidR="00031637">
        <w:rPr>
          <w:rFonts w:ascii="Times New Roman" w:hAnsi="Times New Roman" w:cs="Times New Roman"/>
          <w:sz w:val="24"/>
        </w:rPr>
        <w:t>403-01/22-01/01</w:t>
      </w:r>
      <w:r w:rsidRPr="00E80A17">
        <w:rPr>
          <w:rFonts w:ascii="Times New Roman" w:hAnsi="Times New Roman" w:cs="Times New Roman"/>
          <w:sz w:val="24"/>
        </w:rPr>
        <w:t xml:space="preserve">, </w:t>
      </w:r>
      <w:r w:rsidR="005B0776">
        <w:rPr>
          <w:rFonts w:ascii="Times New Roman" w:hAnsi="Times New Roman" w:cs="Times New Roman"/>
          <w:sz w:val="24"/>
        </w:rPr>
        <w:t>URBROJ</w:t>
      </w:r>
      <w:r w:rsidRPr="00E80A17">
        <w:rPr>
          <w:rFonts w:ascii="Times New Roman" w:hAnsi="Times New Roman" w:cs="Times New Roman"/>
          <w:sz w:val="24"/>
        </w:rPr>
        <w:t>: 21</w:t>
      </w:r>
      <w:r w:rsidR="00031637">
        <w:rPr>
          <w:rFonts w:ascii="Times New Roman" w:hAnsi="Times New Roman" w:cs="Times New Roman"/>
          <w:sz w:val="24"/>
        </w:rPr>
        <w:t>63-2-02/1-22-3</w:t>
      </w:r>
      <w:r w:rsidRPr="00E80A17">
        <w:rPr>
          <w:rFonts w:ascii="Times New Roman" w:hAnsi="Times New Roman" w:cs="Times New Roman"/>
          <w:sz w:val="24"/>
        </w:rPr>
        <w:t xml:space="preserve"> od </w:t>
      </w:r>
      <w:r w:rsidR="00031637">
        <w:rPr>
          <w:rFonts w:ascii="Times New Roman" w:hAnsi="Times New Roman" w:cs="Times New Roman"/>
          <w:sz w:val="24"/>
        </w:rPr>
        <w:t>14</w:t>
      </w:r>
      <w:r w:rsidRPr="00E80A17">
        <w:rPr>
          <w:rFonts w:ascii="Times New Roman" w:hAnsi="Times New Roman" w:cs="Times New Roman"/>
          <w:sz w:val="24"/>
        </w:rPr>
        <w:t xml:space="preserve">. </w:t>
      </w:r>
      <w:r w:rsidR="00031637">
        <w:rPr>
          <w:rFonts w:ascii="Times New Roman" w:hAnsi="Times New Roman" w:cs="Times New Roman"/>
          <w:sz w:val="24"/>
        </w:rPr>
        <w:t>ožujka</w:t>
      </w:r>
      <w:r w:rsidRPr="00E80A17">
        <w:rPr>
          <w:rFonts w:ascii="Times New Roman" w:hAnsi="Times New Roman" w:cs="Times New Roman"/>
          <w:sz w:val="24"/>
        </w:rPr>
        <w:t xml:space="preserve"> 20</w:t>
      </w:r>
      <w:r w:rsidR="007D05D3">
        <w:rPr>
          <w:rFonts w:ascii="Times New Roman" w:hAnsi="Times New Roman" w:cs="Times New Roman"/>
          <w:sz w:val="24"/>
        </w:rPr>
        <w:t>22</w:t>
      </w:r>
      <w:r w:rsidRPr="00E80A17">
        <w:rPr>
          <w:rFonts w:ascii="Times New Roman" w:hAnsi="Times New Roman" w:cs="Times New Roman"/>
          <w:sz w:val="24"/>
        </w:rPr>
        <w:t>. godine). Po navedenoj Suglasnosti za zaduženje</w:t>
      </w:r>
      <w:r>
        <w:rPr>
          <w:rFonts w:ascii="Times New Roman" w:hAnsi="Times New Roman" w:cs="Times New Roman"/>
          <w:sz w:val="24"/>
        </w:rPr>
        <w:t>,</w:t>
      </w:r>
      <w:r w:rsidRPr="00E80A17">
        <w:rPr>
          <w:rFonts w:ascii="Times New Roman" w:hAnsi="Times New Roman" w:cs="Times New Roman"/>
          <w:sz w:val="24"/>
        </w:rPr>
        <w:t xml:space="preserve"> </w:t>
      </w:r>
      <w:r>
        <w:rPr>
          <w:rFonts w:ascii="Times New Roman" w:hAnsi="Times New Roman" w:cs="Times New Roman"/>
          <w:sz w:val="24"/>
        </w:rPr>
        <w:t xml:space="preserve">trgovačko društvo </w:t>
      </w:r>
      <w:proofErr w:type="spellStart"/>
      <w:r>
        <w:rPr>
          <w:rFonts w:ascii="Times New Roman" w:hAnsi="Times New Roman" w:cs="Times New Roman"/>
          <w:sz w:val="24"/>
        </w:rPr>
        <w:t>Civitas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Bullearum</w:t>
      </w:r>
      <w:proofErr w:type="spellEnd"/>
      <w:r>
        <w:rPr>
          <w:rFonts w:ascii="Times New Roman" w:hAnsi="Times New Roman" w:cs="Times New Roman"/>
          <w:sz w:val="24"/>
        </w:rPr>
        <w:t xml:space="preserve"> d.o.o.  sklopilo </w:t>
      </w:r>
      <w:r w:rsidR="00115B73">
        <w:rPr>
          <w:rFonts w:ascii="Times New Roman" w:hAnsi="Times New Roman" w:cs="Times New Roman"/>
          <w:sz w:val="24"/>
        </w:rPr>
        <w:t xml:space="preserve">je </w:t>
      </w:r>
      <w:r>
        <w:rPr>
          <w:rFonts w:ascii="Times New Roman" w:hAnsi="Times New Roman" w:cs="Times New Roman"/>
          <w:sz w:val="24"/>
        </w:rPr>
        <w:t>Ugovor o kreditu s Istarskom kreditnom bankom Umag d.d. (broj 900500</w:t>
      </w:r>
      <w:r w:rsidR="007D05D3">
        <w:rPr>
          <w:rFonts w:ascii="Times New Roman" w:hAnsi="Times New Roman" w:cs="Times New Roman"/>
          <w:sz w:val="24"/>
        </w:rPr>
        <w:t>316-6</w:t>
      </w:r>
      <w:r>
        <w:rPr>
          <w:rFonts w:ascii="Times New Roman" w:hAnsi="Times New Roman" w:cs="Times New Roman"/>
          <w:sz w:val="24"/>
        </w:rPr>
        <w:t xml:space="preserve">) na iznos od </w:t>
      </w:r>
      <w:r w:rsidR="007D05D3">
        <w:rPr>
          <w:rFonts w:ascii="Times New Roman" w:hAnsi="Times New Roman" w:cs="Times New Roman"/>
          <w:sz w:val="24"/>
        </w:rPr>
        <w:t>1.050.000,00</w:t>
      </w:r>
      <w:r>
        <w:rPr>
          <w:rFonts w:ascii="Times New Roman" w:hAnsi="Times New Roman" w:cs="Times New Roman"/>
          <w:sz w:val="24"/>
        </w:rPr>
        <w:t xml:space="preserve"> kuna</w:t>
      </w:r>
      <w:r w:rsidR="007D05D3">
        <w:rPr>
          <w:rFonts w:ascii="Times New Roman" w:hAnsi="Times New Roman" w:cs="Times New Roman"/>
          <w:sz w:val="24"/>
        </w:rPr>
        <w:t xml:space="preserve"> uz valutnu klauzulu u EUR</w:t>
      </w:r>
      <w:r>
        <w:rPr>
          <w:rFonts w:ascii="Times New Roman" w:hAnsi="Times New Roman" w:cs="Times New Roman"/>
          <w:sz w:val="24"/>
        </w:rPr>
        <w:t xml:space="preserve">, kamatnu stopu </w:t>
      </w:r>
      <w:r w:rsidR="007D05D3">
        <w:rPr>
          <w:rFonts w:ascii="Times New Roman" w:hAnsi="Times New Roman" w:cs="Times New Roman"/>
          <w:sz w:val="24"/>
        </w:rPr>
        <w:t xml:space="preserve">u visini 3-mjesečnog  EURIBOR-a uvećanog za 1,75 p.p. </w:t>
      </w:r>
      <w:r>
        <w:rPr>
          <w:rFonts w:ascii="Times New Roman" w:hAnsi="Times New Roman" w:cs="Times New Roman"/>
          <w:sz w:val="24"/>
        </w:rPr>
        <w:t xml:space="preserve">i rokom otplate od </w:t>
      </w:r>
      <w:r w:rsidR="007D05D3">
        <w:rPr>
          <w:rFonts w:ascii="Times New Roman" w:hAnsi="Times New Roman" w:cs="Times New Roman"/>
          <w:sz w:val="24"/>
        </w:rPr>
        <w:t>deset</w:t>
      </w:r>
      <w:r>
        <w:rPr>
          <w:rFonts w:ascii="Times New Roman" w:hAnsi="Times New Roman" w:cs="Times New Roman"/>
          <w:sz w:val="24"/>
        </w:rPr>
        <w:t xml:space="preserve"> godin</w:t>
      </w:r>
      <w:r w:rsidR="007D05D3">
        <w:rPr>
          <w:rFonts w:ascii="Times New Roman" w:hAnsi="Times New Roman" w:cs="Times New Roman"/>
          <w:sz w:val="24"/>
        </w:rPr>
        <w:t xml:space="preserve">a </w:t>
      </w:r>
      <w:r>
        <w:rPr>
          <w:rFonts w:ascii="Times New Roman" w:hAnsi="Times New Roman" w:cs="Times New Roman"/>
          <w:sz w:val="24"/>
        </w:rPr>
        <w:t>u tromjesečnim anuitetima.</w:t>
      </w:r>
      <w:r w:rsidR="005B0776">
        <w:rPr>
          <w:rFonts w:ascii="Times New Roman" w:hAnsi="Times New Roman" w:cs="Times New Roman"/>
          <w:sz w:val="24"/>
        </w:rPr>
        <w:t xml:space="preserve"> </w:t>
      </w:r>
      <w:r w:rsidR="007F69AD">
        <w:rPr>
          <w:rFonts w:ascii="Times New Roman" w:hAnsi="Times New Roman" w:cs="Times New Roman"/>
          <w:sz w:val="24"/>
        </w:rPr>
        <w:t>Na dan 3</w:t>
      </w:r>
      <w:r w:rsidR="005B0776">
        <w:rPr>
          <w:rFonts w:ascii="Times New Roman" w:hAnsi="Times New Roman" w:cs="Times New Roman"/>
          <w:sz w:val="24"/>
        </w:rPr>
        <w:t>1</w:t>
      </w:r>
      <w:r w:rsidR="007F69AD">
        <w:rPr>
          <w:rFonts w:ascii="Times New Roman" w:hAnsi="Times New Roman" w:cs="Times New Roman"/>
          <w:sz w:val="24"/>
        </w:rPr>
        <w:t>.</w:t>
      </w:r>
      <w:r w:rsidR="005B0776">
        <w:rPr>
          <w:rFonts w:ascii="Times New Roman" w:hAnsi="Times New Roman" w:cs="Times New Roman"/>
          <w:sz w:val="24"/>
        </w:rPr>
        <w:t>12</w:t>
      </w:r>
      <w:r w:rsidR="007F69AD">
        <w:rPr>
          <w:rFonts w:ascii="Times New Roman" w:hAnsi="Times New Roman" w:cs="Times New Roman"/>
          <w:sz w:val="24"/>
        </w:rPr>
        <w:t>.2022. godine stanje iskorištenih sredstava po navedenom kreditu iznosi 294.025,00 kuna.</w:t>
      </w:r>
    </w:p>
    <w:p w14:paraId="14D816DD" w14:textId="77777777" w:rsidR="00A37D06" w:rsidRDefault="00A37D06" w:rsidP="002A5394">
      <w:pPr>
        <w:pStyle w:val="Tijeloteksta2"/>
        <w:rPr>
          <w:rFonts w:ascii="Times New Roman" w:hAnsi="Times New Roman" w:cs="Times New Roman"/>
          <w:sz w:val="24"/>
        </w:rPr>
      </w:pPr>
    </w:p>
    <w:p w14:paraId="16EA66F5" w14:textId="068CE7A9" w:rsidR="00A37D06" w:rsidRDefault="00C32947" w:rsidP="002A5394">
      <w:pPr>
        <w:pStyle w:val="Tijeloteksta2"/>
        <w:rPr>
          <w:rFonts w:ascii="Times New Roman" w:hAnsi="Times New Roman" w:cs="Times New Roman"/>
          <w:sz w:val="24"/>
        </w:rPr>
      </w:pPr>
      <w:r>
        <w:rPr>
          <w:rFonts w:ascii="Times New Roman" w:hAnsi="Times New Roman" w:cs="Times New Roman"/>
          <w:sz w:val="24"/>
        </w:rPr>
        <w:t>Pregled danih suglasnosti za zaduženje</w:t>
      </w:r>
      <w:r w:rsidR="005B0776">
        <w:rPr>
          <w:rFonts w:ascii="Times New Roman" w:hAnsi="Times New Roman" w:cs="Times New Roman"/>
          <w:sz w:val="24"/>
        </w:rPr>
        <w:t xml:space="preserve"> </w:t>
      </w:r>
    </w:p>
    <w:p w14:paraId="2153C695" w14:textId="77777777" w:rsidR="005B0776" w:rsidRDefault="005B0776" w:rsidP="002A5394">
      <w:pPr>
        <w:pStyle w:val="Tijeloteksta2"/>
        <w:rPr>
          <w:rFonts w:ascii="Times New Roman" w:hAnsi="Times New Roman" w:cs="Times New Roman"/>
          <w:sz w:val="24"/>
        </w:rPr>
      </w:pPr>
    </w:p>
    <w:tbl>
      <w:tblPr>
        <w:tblW w:w="9722" w:type="dxa"/>
        <w:tblLook w:val="04A0" w:firstRow="1" w:lastRow="0" w:firstColumn="1" w:lastColumn="0" w:noHBand="0" w:noVBand="1"/>
      </w:tblPr>
      <w:tblGrid>
        <w:gridCol w:w="1117"/>
        <w:gridCol w:w="1430"/>
        <w:gridCol w:w="1134"/>
        <w:gridCol w:w="1134"/>
        <w:gridCol w:w="956"/>
        <w:gridCol w:w="960"/>
        <w:gridCol w:w="1267"/>
        <w:gridCol w:w="1724"/>
      </w:tblGrid>
      <w:tr w:rsidR="002D1903" w:rsidRPr="00107E4C" w14:paraId="4C01D906" w14:textId="77777777" w:rsidTr="005B0776">
        <w:trPr>
          <w:trHeight w:val="720"/>
        </w:trPr>
        <w:tc>
          <w:tcPr>
            <w:tcW w:w="11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42C6F0" w14:textId="77777777" w:rsidR="009F5747" w:rsidRPr="00107E4C" w:rsidRDefault="009F5747">
            <w:pPr>
              <w:jc w:val="center"/>
              <w:rPr>
                <w:sz w:val="18"/>
                <w:szCs w:val="18"/>
              </w:rPr>
            </w:pPr>
            <w:r w:rsidRPr="00107E4C">
              <w:rPr>
                <w:sz w:val="18"/>
                <w:szCs w:val="18"/>
              </w:rPr>
              <w:t xml:space="preserve">datum </w:t>
            </w:r>
            <w:r w:rsidRPr="00107E4C">
              <w:rPr>
                <w:sz w:val="18"/>
                <w:szCs w:val="18"/>
              </w:rPr>
              <w:br/>
              <w:t>suglasnosti</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2D6C1B9" w14:textId="77777777" w:rsidR="009F5747" w:rsidRPr="00107E4C" w:rsidRDefault="009F5747">
            <w:pPr>
              <w:rPr>
                <w:sz w:val="18"/>
                <w:szCs w:val="18"/>
              </w:rPr>
            </w:pPr>
            <w:r w:rsidRPr="00107E4C">
              <w:rPr>
                <w:sz w:val="18"/>
                <w:szCs w:val="18"/>
              </w:rPr>
              <w:t>korisnik suglasnosti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3D2BC8F" w14:textId="77777777" w:rsidR="009F5747" w:rsidRPr="00107E4C" w:rsidRDefault="009F5747">
            <w:pPr>
              <w:rPr>
                <w:sz w:val="18"/>
                <w:szCs w:val="18"/>
              </w:rPr>
            </w:pPr>
            <w:r w:rsidRPr="00107E4C">
              <w:rPr>
                <w:sz w:val="18"/>
                <w:szCs w:val="18"/>
              </w:rPr>
              <w:t>namjena kredita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989896" w14:textId="77777777" w:rsidR="009F5747" w:rsidRPr="00107E4C" w:rsidRDefault="009F5747">
            <w:pPr>
              <w:rPr>
                <w:sz w:val="18"/>
                <w:szCs w:val="18"/>
              </w:rPr>
            </w:pPr>
            <w:r w:rsidRPr="00107E4C">
              <w:rPr>
                <w:sz w:val="18"/>
                <w:szCs w:val="18"/>
              </w:rPr>
              <w:t>davatelj kredita</w:t>
            </w:r>
          </w:p>
        </w:tc>
        <w:tc>
          <w:tcPr>
            <w:tcW w:w="956" w:type="dxa"/>
            <w:tcBorders>
              <w:top w:val="single" w:sz="4" w:space="0" w:color="auto"/>
              <w:left w:val="nil"/>
              <w:bottom w:val="single" w:sz="4" w:space="0" w:color="auto"/>
              <w:right w:val="single" w:sz="4" w:space="0" w:color="auto"/>
            </w:tcBorders>
            <w:shd w:val="clear" w:color="auto" w:fill="auto"/>
            <w:vAlign w:val="bottom"/>
            <w:hideMark/>
          </w:tcPr>
          <w:p w14:paraId="172275C8" w14:textId="77777777" w:rsidR="009F5747" w:rsidRPr="00107E4C" w:rsidRDefault="009F5747">
            <w:pPr>
              <w:jc w:val="center"/>
              <w:rPr>
                <w:sz w:val="18"/>
                <w:szCs w:val="18"/>
              </w:rPr>
            </w:pPr>
            <w:r w:rsidRPr="00107E4C">
              <w:rPr>
                <w:sz w:val="18"/>
                <w:szCs w:val="18"/>
              </w:rPr>
              <w:t xml:space="preserve">datum realizacije </w:t>
            </w:r>
            <w:r w:rsidRPr="00107E4C">
              <w:rPr>
                <w:sz w:val="18"/>
                <w:szCs w:val="18"/>
              </w:rPr>
              <w:br/>
              <w:t>kredita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0D317B" w14:textId="77777777" w:rsidR="009F5747" w:rsidRPr="00107E4C" w:rsidRDefault="009F5747">
            <w:pPr>
              <w:jc w:val="center"/>
              <w:rPr>
                <w:sz w:val="18"/>
                <w:szCs w:val="18"/>
              </w:rPr>
            </w:pPr>
            <w:r w:rsidRPr="00107E4C">
              <w:rPr>
                <w:sz w:val="18"/>
                <w:szCs w:val="18"/>
              </w:rPr>
              <w:t>rok otplate</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352FFB86" w14:textId="77777777" w:rsidR="009F5747" w:rsidRPr="00107E4C" w:rsidRDefault="009F5747">
            <w:pPr>
              <w:jc w:val="center"/>
              <w:rPr>
                <w:sz w:val="18"/>
                <w:szCs w:val="18"/>
              </w:rPr>
            </w:pPr>
            <w:r w:rsidRPr="00107E4C">
              <w:rPr>
                <w:sz w:val="18"/>
                <w:szCs w:val="18"/>
              </w:rPr>
              <w:t>iznos u KN</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CD1143B" w14:textId="77777777" w:rsidR="009F5747" w:rsidRPr="00107E4C" w:rsidRDefault="009F5747">
            <w:pPr>
              <w:jc w:val="center"/>
              <w:rPr>
                <w:sz w:val="18"/>
                <w:szCs w:val="18"/>
              </w:rPr>
            </w:pPr>
            <w:r w:rsidRPr="00107E4C">
              <w:rPr>
                <w:sz w:val="18"/>
                <w:szCs w:val="18"/>
              </w:rPr>
              <w:t>kamatna stopa</w:t>
            </w:r>
          </w:p>
        </w:tc>
      </w:tr>
      <w:tr w:rsidR="005B0776" w:rsidRPr="00107E4C" w14:paraId="098DA2E8" w14:textId="77777777" w:rsidTr="005B0776">
        <w:trPr>
          <w:trHeight w:val="960"/>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7DEFA0DB" w14:textId="33EF4BC3" w:rsidR="005B0776" w:rsidRPr="00107E4C" w:rsidRDefault="005B0776">
            <w:pPr>
              <w:jc w:val="right"/>
              <w:rPr>
                <w:sz w:val="18"/>
                <w:szCs w:val="18"/>
              </w:rPr>
            </w:pPr>
            <w:r w:rsidRPr="00107E4C">
              <w:rPr>
                <w:sz w:val="18"/>
                <w:szCs w:val="18"/>
              </w:rPr>
              <w:t>14.3.2022</w:t>
            </w:r>
          </w:p>
        </w:tc>
        <w:tc>
          <w:tcPr>
            <w:tcW w:w="1430" w:type="dxa"/>
            <w:tcBorders>
              <w:top w:val="nil"/>
              <w:left w:val="nil"/>
              <w:bottom w:val="single" w:sz="4" w:space="0" w:color="auto"/>
              <w:right w:val="single" w:sz="4" w:space="0" w:color="auto"/>
            </w:tcBorders>
            <w:shd w:val="clear" w:color="auto" w:fill="auto"/>
            <w:vAlign w:val="bottom"/>
            <w:hideMark/>
          </w:tcPr>
          <w:p w14:paraId="6CFADE0D" w14:textId="1D485E4D" w:rsidR="005B0776" w:rsidRPr="00107E4C" w:rsidRDefault="005B0776">
            <w:pPr>
              <w:rPr>
                <w:sz w:val="18"/>
                <w:szCs w:val="18"/>
              </w:rPr>
            </w:pPr>
            <w:proofErr w:type="spellStart"/>
            <w:r w:rsidRPr="00107E4C">
              <w:rPr>
                <w:sz w:val="18"/>
                <w:szCs w:val="18"/>
              </w:rPr>
              <w:t>Civitas</w:t>
            </w:r>
            <w:proofErr w:type="spellEnd"/>
            <w:r w:rsidRPr="00107E4C">
              <w:rPr>
                <w:sz w:val="18"/>
                <w:szCs w:val="18"/>
              </w:rPr>
              <w:t xml:space="preserve"> </w:t>
            </w:r>
            <w:proofErr w:type="spellStart"/>
            <w:r w:rsidRPr="00107E4C">
              <w:rPr>
                <w:sz w:val="18"/>
                <w:szCs w:val="18"/>
              </w:rPr>
              <w:t>Bullearum</w:t>
            </w:r>
            <w:proofErr w:type="spellEnd"/>
            <w:r w:rsidRPr="00107E4C">
              <w:rPr>
                <w:sz w:val="18"/>
                <w:szCs w:val="18"/>
              </w:rPr>
              <w:t xml:space="preserve"> d.o.o. Buje</w:t>
            </w:r>
          </w:p>
        </w:tc>
        <w:tc>
          <w:tcPr>
            <w:tcW w:w="1134" w:type="dxa"/>
            <w:tcBorders>
              <w:top w:val="nil"/>
              <w:left w:val="nil"/>
              <w:bottom w:val="single" w:sz="4" w:space="0" w:color="auto"/>
              <w:right w:val="single" w:sz="4" w:space="0" w:color="auto"/>
            </w:tcBorders>
            <w:shd w:val="clear" w:color="auto" w:fill="auto"/>
            <w:vAlign w:val="bottom"/>
            <w:hideMark/>
          </w:tcPr>
          <w:p w14:paraId="6F259986" w14:textId="1AF27047" w:rsidR="005B0776" w:rsidRPr="00107E4C" w:rsidRDefault="005B0776">
            <w:pPr>
              <w:rPr>
                <w:sz w:val="18"/>
                <w:szCs w:val="18"/>
              </w:rPr>
            </w:pPr>
            <w:r w:rsidRPr="00107E4C">
              <w:rPr>
                <w:sz w:val="18"/>
                <w:szCs w:val="18"/>
              </w:rPr>
              <w:t>nabava opreme</w:t>
            </w:r>
          </w:p>
        </w:tc>
        <w:tc>
          <w:tcPr>
            <w:tcW w:w="1134" w:type="dxa"/>
            <w:tcBorders>
              <w:top w:val="nil"/>
              <w:left w:val="nil"/>
              <w:bottom w:val="single" w:sz="4" w:space="0" w:color="auto"/>
              <w:right w:val="single" w:sz="4" w:space="0" w:color="auto"/>
            </w:tcBorders>
            <w:shd w:val="clear" w:color="auto" w:fill="auto"/>
            <w:vAlign w:val="bottom"/>
            <w:hideMark/>
          </w:tcPr>
          <w:p w14:paraId="107F8CD0" w14:textId="1FDEA439" w:rsidR="005B0776" w:rsidRPr="00107E4C" w:rsidRDefault="005B0776">
            <w:pPr>
              <w:rPr>
                <w:sz w:val="18"/>
                <w:szCs w:val="18"/>
              </w:rPr>
            </w:pPr>
            <w:r w:rsidRPr="00107E4C">
              <w:rPr>
                <w:sz w:val="18"/>
                <w:szCs w:val="18"/>
              </w:rPr>
              <w:t>Istarska kreditna banka Umag d.d.</w:t>
            </w:r>
          </w:p>
        </w:tc>
        <w:tc>
          <w:tcPr>
            <w:tcW w:w="956" w:type="dxa"/>
            <w:tcBorders>
              <w:top w:val="nil"/>
              <w:left w:val="nil"/>
              <w:bottom w:val="single" w:sz="4" w:space="0" w:color="auto"/>
              <w:right w:val="single" w:sz="4" w:space="0" w:color="auto"/>
            </w:tcBorders>
            <w:shd w:val="clear" w:color="auto" w:fill="auto"/>
            <w:vAlign w:val="bottom"/>
            <w:hideMark/>
          </w:tcPr>
          <w:p w14:paraId="0849C708" w14:textId="5A71E047" w:rsidR="005B0776" w:rsidRPr="00107E4C" w:rsidRDefault="005B0776">
            <w:pPr>
              <w:jc w:val="center"/>
              <w:rPr>
                <w:sz w:val="18"/>
                <w:szCs w:val="18"/>
              </w:rPr>
            </w:pPr>
            <w:r w:rsidRPr="00107E4C">
              <w:rPr>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11652B9E" w14:textId="2890B8A8" w:rsidR="005B0776" w:rsidRPr="00107E4C" w:rsidRDefault="005B0776">
            <w:pPr>
              <w:rPr>
                <w:sz w:val="18"/>
                <w:szCs w:val="18"/>
              </w:rPr>
            </w:pPr>
            <w:r w:rsidRPr="00107E4C">
              <w:rPr>
                <w:sz w:val="18"/>
                <w:szCs w:val="18"/>
              </w:rPr>
              <w:t>12 godina</w:t>
            </w:r>
          </w:p>
        </w:tc>
        <w:tc>
          <w:tcPr>
            <w:tcW w:w="1267" w:type="dxa"/>
            <w:tcBorders>
              <w:top w:val="nil"/>
              <w:left w:val="nil"/>
              <w:bottom w:val="single" w:sz="4" w:space="0" w:color="auto"/>
              <w:right w:val="single" w:sz="4" w:space="0" w:color="auto"/>
            </w:tcBorders>
            <w:shd w:val="clear" w:color="auto" w:fill="auto"/>
            <w:noWrap/>
            <w:vAlign w:val="bottom"/>
            <w:hideMark/>
          </w:tcPr>
          <w:p w14:paraId="7146F83B" w14:textId="169A1FD7" w:rsidR="005B0776" w:rsidRPr="00107E4C" w:rsidRDefault="005B0776">
            <w:pPr>
              <w:rPr>
                <w:sz w:val="18"/>
                <w:szCs w:val="18"/>
              </w:rPr>
            </w:pPr>
            <w:r w:rsidRPr="00107E4C">
              <w:rPr>
                <w:sz w:val="18"/>
                <w:szCs w:val="18"/>
              </w:rPr>
              <w:t xml:space="preserve">     1.050.000,00    </w:t>
            </w:r>
          </w:p>
        </w:tc>
        <w:tc>
          <w:tcPr>
            <w:tcW w:w="1724" w:type="dxa"/>
            <w:tcBorders>
              <w:top w:val="nil"/>
              <w:left w:val="nil"/>
              <w:bottom w:val="single" w:sz="4" w:space="0" w:color="auto"/>
              <w:right w:val="single" w:sz="4" w:space="0" w:color="auto"/>
            </w:tcBorders>
            <w:shd w:val="clear" w:color="auto" w:fill="auto"/>
            <w:vAlign w:val="bottom"/>
            <w:hideMark/>
          </w:tcPr>
          <w:p w14:paraId="4AADD33D" w14:textId="51D3B26A" w:rsidR="005B0776" w:rsidRPr="00107E4C" w:rsidRDefault="005B0776" w:rsidP="007D05D3">
            <w:pPr>
              <w:ind w:right="133"/>
              <w:jc w:val="center"/>
              <w:rPr>
                <w:sz w:val="18"/>
                <w:szCs w:val="18"/>
              </w:rPr>
            </w:pPr>
            <w:proofErr w:type="spellStart"/>
            <w:r w:rsidRPr="00107E4C">
              <w:rPr>
                <w:sz w:val="18"/>
                <w:szCs w:val="18"/>
              </w:rPr>
              <w:t>tromjes.EURIBOR</w:t>
            </w:r>
            <w:proofErr w:type="spellEnd"/>
            <w:r w:rsidRPr="00107E4C">
              <w:rPr>
                <w:sz w:val="18"/>
                <w:szCs w:val="18"/>
              </w:rPr>
              <w:t xml:space="preserve"> + 1,75 p.p., promjenjiva</w:t>
            </w:r>
          </w:p>
        </w:tc>
      </w:tr>
    </w:tbl>
    <w:p w14:paraId="7A073C9B" w14:textId="77777777" w:rsidR="00C32947" w:rsidRDefault="00C32947" w:rsidP="00326DC5">
      <w:pPr>
        <w:pStyle w:val="Tijeloteksta2"/>
        <w:rPr>
          <w:rFonts w:ascii="Times New Roman" w:hAnsi="Times New Roman" w:cs="Times New Roman"/>
          <w:sz w:val="24"/>
        </w:rPr>
      </w:pPr>
    </w:p>
    <w:p w14:paraId="7CCC7446" w14:textId="0223D943" w:rsidR="005712E4" w:rsidRPr="00F22C87" w:rsidRDefault="007C2D97" w:rsidP="00F22C87">
      <w:pPr>
        <w:pStyle w:val="Naslov1"/>
        <w:numPr>
          <w:ilvl w:val="0"/>
          <w:numId w:val="22"/>
        </w:numPr>
        <w:rPr>
          <w:rFonts w:ascii="Times New Roman" w:hAnsi="Times New Roman"/>
          <w:sz w:val="24"/>
          <w:szCs w:val="24"/>
        </w:rPr>
      </w:pPr>
      <w:bookmarkStart w:id="26" w:name="_Toc133398676"/>
      <w:r w:rsidRPr="00F22C87">
        <w:rPr>
          <w:rFonts w:ascii="Times New Roman" w:hAnsi="Times New Roman"/>
          <w:sz w:val="24"/>
          <w:szCs w:val="24"/>
        </w:rPr>
        <w:t>OBRAZLOŽENJE PRIHODA I PRIMITAKA, RASHODA I IZDATAKA PRORAČUNA GRADA BUJA – BUIE U 202</w:t>
      </w:r>
      <w:r w:rsidR="00351C1B">
        <w:rPr>
          <w:rFonts w:ascii="Times New Roman" w:hAnsi="Times New Roman"/>
          <w:sz w:val="24"/>
          <w:szCs w:val="24"/>
        </w:rPr>
        <w:t>2</w:t>
      </w:r>
      <w:r w:rsidRPr="00F22C87">
        <w:rPr>
          <w:rFonts w:ascii="Times New Roman" w:hAnsi="Times New Roman"/>
          <w:sz w:val="24"/>
          <w:szCs w:val="24"/>
        </w:rPr>
        <w:t>. GODIN</w:t>
      </w:r>
      <w:r w:rsidR="005B0776">
        <w:rPr>
          <w:rFonts w:ascii="Times New Roman" w:hAnsi="Times New Roman"/>
          <w:sz w:val="24"/>
          <w:szCs w:val="24"/>
        </w:rPr>
        <w:t>I</w:t>
      </w:r>
      <w:bookmarkEnd w:id="26"/>
    </w:p>
    <w:p w14:paraId="4A95AC1F" w14:textId="77777777" w:rsidR="005712E4" w:rsidRPr="00E80A17" w:rsidRDefault="005712E4" w:rsidP="005712E4">
      <w:pPr>
        <w:rPr>
          <w:b/>
          <w:sz w:val="22"/>
          <w:szCs w:val="22"/>
        </w:rPr>
      </w:pPr>
    </w:p>
    <w:p w14:paraId="6AF9037E" w14:textId="2BFC9980" w:rsidR="005712E4" w:rsidRPr="00E80A17" w:rsidRDefault="005712E4" w:rsidP="00733CD7">
      <w:pPr>
        <w:ind w:firstLine="708"/>
        <w:rPr>
          <w:bCs/>
        </w:rPr>
      </w:pPr>
      <w:r w:rsidRPr="00E80A17">
        <w:rPr>
          <w:bCs/>
        </w:rPr>
        <w:t>U 20</w:t>
      </w:r>
      <w:r w:rsidR="004D092B">
        <w:rPr>
          <w:bCs/>
        </w:rPr>
        <w:t>2</w:t>
      </w:r>
      <w:r w:rsidR="00351C1B">
        <w:rPr>
          <w:bCs/>
        </w:rPr>
        <w:t>2</w:t>
      </w:r>
      <w:r w:rsidRPr="00E80A17">
        <w:rPr>
          <w:bCs/>
        </w:rPr>
        <w:t>. godin</w:t>
      </w:r>
      <w:r w:rsidR="00763BB7">
        <w:rPr>
          <w:bCs/>
        </w:rPr>
        <w:t>i</w:t>
      </w:r>
      <w:r w:rsidRPr="00E80A17">
        <w:rPr>
          <w:bCs/>
        </w:rPr>
        <w:t xml:space="preserve"> Grad Buje </w:t>
      </w:r>
      <w:r w:rsidR="00A35A41" w:rsidRPr="00E80A17">
        <w:rPr>
          <w:bCs/>
        </w:rPr>
        <w:t>– Buie</w:t>
      </w:r>
      <w:r w:rsidR="00B8365F" w:rsidRPr="00E80A17">
        <w:rPr>
          <w:bCs/>
        </w:rPr>
        <w:t xml:space="preserve"> je</w:t>
      </w:r>
      <w:r w:rsidR="00A35A41" w:rsidRPr="00E80A17">
        <w:rPr>
          <w:bCs/>
        </w:rPr>
        <w:t xml:space="preserve"> </w:t>
      </w:r>
      <w:r w:rsidR="009D7E5E" w:rsidRPr="00E80A17">
        <w:rPr>
          <w:bCs/>
        </w:rPr>
        <w:t xml:space="preserve">s proračunskim korisnicima </w:t>
      </w:r>
      <w:r w:rsidRPr="00E80A17">
        <w:rPr>
          <w:bCs/>
        </w:rPr>
        <w:t xml:space="preserve">ostvario </w:t>
      </w:r>
      <w:r w:rsidRPr="00E80A17">
        <w:rPr>
          <w:b/>
          <w:bCs/>
        </w:rPr>
        <w:t>ukupne prihode i</w:t>
      </w:r>
      <w:r w:rsidRPr="00E80A17">
        <w:rPr>
          <w:bCs/>
        </w:rPr>
        <w:t xml:space="preserve"> </w:t>
      </w:r>
      <w:r w:rsidRPr="00E80A17">
        <w:rPr>
          <w:b/>
          <w:bCs/>
        </w:rPr>
        <w:t>primitke</w:t>
      </w:r>
      <w:r w:rsidRPr="00E80A17">
        <w:rPr>
          <w:bCs/>
        </w:rPr>
        <w:t xml:space="preserve"> u iznosu od </w:t>
      </w:r>
      <w:r w:rsidR="00763BB7">
        <w:rPr>
          <w:b/>
          <w:bCs/>
        </w:rPr>
        <w:t>3</w:t>
      </w:r>
      <w:r w:rsidR="00CC7A4E">
        <w:rPr>
          <w:b/>
          <w:bCs/>
        </w:rPr>
        <w:t>7.</w:t>
      </w:r>
      <w:r w:rsidR="00763BB7">
        <w:rPr>
          <w:b/>
          <w:bCs/>
        </w:rPr>
        <w:t>914.939,20</w:t>
      </w:r>
      <w:r w:rsidR="00A35A41" w:rsidRPr="00E80A17">
        <w:rPr>
          <w:b/>
          <w:bCs/>
        </w:rPr>
        <w:t xml:space="preserve"> </w:t>
      </w:r>
      <w:r w:rsidRPr="00E80A17">
        <w:rPr>
          <w:b/>
          <w:bCs/>
        </w:rPr>
        <w:t>kuna</w:t>
      </w:r>
      <w:r w:rsidR="00D72F3C" w:rsidRPr="00E80A17">
        <w:rPr>
          <w:bCs/>
        </w:rPr>
        <w:t xml:space="preserve"> odnosno </w:t>
      </w:r>
      <w:r w:rsidR="00763BB7">
        <w:rPr>
          <w:bCs/>
        </w:rPr>
        <w:t>93,44</w:t>
      </w:r>
      <w:r w:rsidRPr="00E80A17">
        <w:rPr>
          <w:bCs/>
        </w:rPr>
        <w:t>% od plana.</w:t>
      </w:r>
    </w:p>
    <w:p w14:paraId="6E07D7A1" w14:textId="42393201" w:rsidR="005712E4" w:rsidRPr="00E80A17" w:rsidRDefault="005712E4" w:rsidP="005712E4">
      <w:pPr>
        <w:rPr>
          <w:bCs/>
        </w:rPr>
      </w:pPr>
      <w:r w:rsidRPr="00E80A17">
        <w:rPr>
          <w:b/>
          <w:bCs/>
        </w:rPr>
        <w:t>Ukupni rashodi i izdaci</w:t>
      </w:r>
      <w:r w:rsidRPr="00E80A17">
        <w:rPr>
          <w:bCs/>
        </w:rPr>
        <w:t xml:space="preserve"> ostvareni su u iznosu od </w:t>
      </w:r>
      <w:r w:rsidR="00763BB7">
        <w:rPr>
          <w:b/>
          <w:bCs/>
        </w:rPr>
        <w:t>38.178.828,10</w:t>
      </w:r>
      <w:r w:rsidRPr="00E80A17">
        <w:rPr>
          <w:b/>
          <w:bCs/>
        </w:rPr>
        <w:t xml:space="preserve"> kuna</w:t>
      </w:r>
      <w:r w:rsidRPr="00E80A17">
        <w:rPr>
          <w:bCs/>
        </w:rPr>
        <w:t xml:space="preserve"> odnosno </w:t>
      </w:r>
      <w:r w:rsidR="00763BB7">
        <w:rPr>
          <w:bCs/>
        </w:rPr>
        <w:t>92,81</w:t>
      </w:r>
      <w:r w:rsidRPr="00E80A17">
        <w:rPr>
          <w:bCs/>
        </w:rPr>
        <w:t>% od plana.</w:t>
      </w:r>
    </w:p>
    <w:p w14:paraId="110D49A3" w14:textId="7DA30F94" w:rsidR="005712E4" w:rsidRPr="00E80A17" w:rsidRDefault="005712E4" w:rsidP="00733CD7">
      <w:pPr>
        <w:ind w:right="70" w:firstLine="708"/>
      </w:pPr>
      <w:r w:rsidRPr="00E80A17">
        <w:t xml:space="preserve">Iz navedenog proizlazi da je </w:t>
      </w:r>
      <w:r w:rsidRPr="00E80A17">
        <w:rPr>
          <w:b/>
        </w:rPr>
        <w:t xml:space="preserve">ostvaren </w:t>
      </w:r>
      <w:r w:rsidR="00763BB7">
        <w:rPr>
          <w:b/>
        </w:rPr>
        <w:t>manjak</w:t>
      </w:r>
      <w:r w:rsidRPr="00E80A17">
        <w:rPr>
          <w:b/>
        </w:rPr>
        <w:t xml:space="preserve"> prihoda i primitaka tekućeg razdoblja </w:t>
      </w:r>
      <w:r w:rsidRPr="00E80A17">
        <w:t xml:space="preserve">u </w:t>
      </w:r>
      <w:r w:rsidR="00F62B34">
        <w:t xml:space="preserve">sveukupnom </w:t>
      </w:r>
      <w:r w:rsidRPr="00E80A17">
        <w:t xml:space="preserve">iznosu od </w:t>
      </w:r>
      <w:r w:rsidR="00733CD7">
        <w:rPr>
          <w:b/>
        </w:rPr>
        <w:t>263.888,90</w:t>
      </w:r>
      <w:r w:rsidRPr="00E80A17">
        <w:rPr>
          <w:b/>
        </w:rPr>
        <w:t xml:space="preserve"> kuna.</w:t>
      </w:r>
      <w:r w:rsidRPr="00E80A17">
        <w:t xml:space="preserve"> </w:t>
      </w:r>
    </w:p>
    <w:p w14:paraId="45CEB1E7" w14:textId="77777777" w:rsidR="005712E4" w:rsidRPr="00E80A17" w:rsidRDefault="005712E4" w:rsidP="005712E4">
      <w:pPr>
        <w:ind w:right="70"/>
      </w:pPr>
    </w:p>
    <w:p w14:paraId="258BD3E5" w14:textId="7ECA93C2" w:rsidR="005712E4" w:rsidRPr="00E80A17" w:rsidRDefault="005712E4" w:rsidP="005712E4">
      <w:pPr>
        <w:ind w:right="70"/>
      </w:pPr>
      <w:r w:rsidRPr="00E80A17">
        <w:t>Grad Buje (</w:t>
      </w:r>
      <w:r w:rsidR="00733CD7">
        <w:t>manjak</w:t>
      </w:r>
      <w:r w:rsidRPr="00E80A17">
        <w:t xml:space="preserve">)   </w:t>
      </w:r>
      <w:r w:rsidR="00FF4D6E" w:rsidRPr="00E80A17">
        <w:t xml:space="preserve">                             </w:t>
      </w:r>
      <w:r w:rsidR="00D72F3C" w:rsidRPr="00E80A17">
        <w:t xml:space="preserve"> </w:t>
      </w:r>
      <w:r w:rsidR="00B8365F" w:rsidRPr="00E80A17">
        <w:t xml:space="preserve">    </w:t>
      </w:r>
      <w:r w:rsidR="002E79F7" w:rsidRPr="00E80A17">
        <w:t xml:space="preserve">  </w:t>
      </w:r>
      <w:r w:rsidR="00B8365F" w:rsidRPr="00E80A17">
        <w:t xml:space="preserve">   </w:t>
      </w:r>
      <w:r w:rsidR="009B5209">
        <w:t xml:space="preserve">    </w:t>
      </w:r>
      <w:r w:rsidR="00733CD7">
        <w:t>-109.280,43</w:t>
      </w:r>
    </w:p>
    <w:p w14:paraId="004CBE07" w14:textId="0460D4C6" w:rsidR="005712E4" w:rsidRPr="00E80A17" w:rsidRDefault="005712E4" w:rsidP="005712E4">
      <w:pPr>
        <w:ind w:right="70"/>
      </w:pPr>
      <w:r w:rsidRPr="00E80A17">
        <w:t>Dječji vrtić Buje (</w:t>
      </w:r>
      <w:r w:rsidR="00B965FF">
        <w:t>manjak</w:t>
      </w:r>
      <w:r w:rsidRPr="00E80A17">
        <w:t>)</w:t>
      </w:r>
      <w:r w:rsidR="004543EB" w:rsidRPr="00E80A17">
        <w:t xml:space="preserve">     </w:t>
      </w:r>
      <w:r w:rsidRPr="00E80A17">
        <w:t xml:space="preserve">                     </w:t>
      </w:r>
      <w:r w:rsidR="00FF4D6E" w:rsidRPr="00E80A17">
        <w:t xml:space="preserve">    </w:t>
      </w:r>
      <w:r w:rsidR="00CC15C6" w:rsidRPr="00E80A17">
        <w:t xml:space="preserve">      </w:t>
      </w:r>
      <w:r w:rsidR="00733CD7">
        <w:t>-180.187,99</w:t>
      </w:r>
    </w:p>
    <w:p w14:paraId="1B22D11C" w14:textId="0315EED4" w:rsidR="005712E4" w:rsidRPr="00E80A17" w:rsidRDefault="005712E4" w:rsidP="005712E4">
      <w:pPr>
        <w:ind w:right="70"/>
      </w:pPr>
      <w:r w:rsidRPr="00E80A17">
        <w:t>Talijanski dječji vrtić</w:t>
      </w:r>
      <w:r w:rsidR="00CC15C6" w:rsidRPr="00E80A17">
        <w:t xml:space="preserve"> Mrvica </w:t>
      </w:r>
      <w:r w:rsidR="004543EB" w:rsidRPr="00E80A17">
        <w:t>(</w:t>
      </w:r>
      <w:r w:rsidR="00BB6070">
        <w:t>manja</w:t>
      </w:r>
      <w:r w:rsidR="004543EB" w:rsidRPr="00E80A17">
        <w:t>k</w:t>
      </w:r>
      <w:r w:rsidR="00CC15C6" w:rsidRPr="00E80A17">
        <w:t xml:space="preserve">)        </w:t>
      </w:r>
      <w:r w:rsidR="00D72F3C" w:rsidRPr="00E80A17">
        <w:t xml:space="preserve">   </w:t>
      </w:r>
      <w:r w:rsidR="00B8365F" w:rsidRPr="00E80A17">
        <w:t xml:space="preserve"> </w:t>
      </w:r>
      <w:r w:rsidR="004543EB" w:rsidRPr="00E80A17">
        <w:t xml:space="preserve">   </w:t>
      </w:r>
      <w:r w:rsidR="002E79F7" w:rsidRPr="00E80A17">
        <w:t xml:space="preserve">  </w:t>
      </w:r>
      <w:r w:rsidR="004543EB" w:rsidRPr="00E80A17">
        <w:t xml:space="preserve"> </w:t>
      </w:r>
      <w:r w:rsidR="00733CD7">
        <w:t>-73.738,78</w:t>
      </w:r>
    </w:p>
    <w:p w14:paraId="21BCEC5A" w14:textId="044C9C51" w:rsidR="005712E4" w:rsidRPr="00E80A17" w:rsidRDefault="005712E4" w:rsidP="005712E4">
      <w:pPr>
        <w:ind w:right="70"/>
        <w:rPr>
          <w:u w:val="single"/>
        </w:rPr>
      </w:pPr>
      <w:r w:rsidRPr="00E80A17">
        <w:rPr>
          <w:u w:val="single"/>
        </w:rPr>
        <w:t>Pučko otvoreno učilište Buje  (</w:t>
      </w:r>
      <w:r w:rsidR="00B965FF">
        <w:rPr>
          <w:u w:val="single"/>
        </w:rPr>
        <w:t>višak</w:t>
      </w:r>
      <w:r w:rsidR="00B8365F" w:rsidRPr="00E80A17">
        <w:rPr>
          <w:u w:val="single"/>
        </w:rPr>
        <w:t xml:space="preserve">)     </w:t>
      </w:r>
      <w:r w:rsidR="002E79F7" w:rsidRPr="00E80A17">
        <w:rPr>
          <w:u w:val="single"/>
        </w:rPr>
        <w:t xml:space="preserve">      </w:t>
      </w:r>
      <w:r w:rsidR="00B8365F" w:rsidRPr="00E80A17">
        <w:rPr>
          <w:u w:val="single"/>
        </w:rPr>
        <w:t xml:space="preserve">  </w:t>
      </w:r>
      <w:r w:rsidR="00B965FF">
        <w:rPr>
          <w:u w:val="single"/>
        </w:rPr>
        <w:t xml:space="preserve">     </w:t>
      </w:r>
      <w:r w:rsidR="00BB6070">
        <w:rPr>
          <w:u w:val="single"/>
        </w:rPr>
        <w:t xml:space="preserve">  </w:t>
      </w:r>
      <w:r w:rsidR="00733CD7">
        <w:rPr>
          <w:u w:val="single"/>
        </w:rPr>
        <w:t xml:space="preserve"> </w:t>
      </w:r>
      <w:r w:rsidR="00BB6070">
        <w:rPr>
          <w:u w:val="single"/>
        </w:rPr>
        <w:t xml:space="preserve"> </w:t>
      </w:r>
      <w:r w:rsidR="00733CD7">
        <w:rPr>
          <w:u w:val="single"/>
        </w:rPr>
        <w:t>99.318,30</w:t>
      </w:r>
      <w:r w:rsidR="00BB6070">
        <w:rPr>
          <w:u w:val="single"/>
        </w:rPr>
        <w:t xml:space="preserve"> </w:t>
      </w:r>
    </w:p>
    <w:p w14:paraId="67C3FE00" w14:textId="0A7697D4" w:rsidR="005712E4" w:rsidRPr="00E80A17" w:rsidRDefault="005712E4" w:rsidP="005712E4">
      <w:pPr>
        <w:ind w:right="70"/>
      </w:pPr>
      <w:r w:rsidRPr="00E80A17">
        <w:t>sveukupn</w:t>
      </w:r>
      <w:r w:rsidR="00D72F3C" w:rsidRPr="00E80A17">
        <w:t>o</w:t>
      </w:r>
      <w:r w:rsidRPr="00E80A17">
        <w:t xml:space="preserve"> </w:t>
      </w:r>
      <w:r w:rsidR="00D72F3C" w:rsidRPr="00E80A17">
        <w:t>(</w:t>
      </w:r>
      <w:r w:rsidR="00733CD7">
        <w:t>manjak</w:t>
      </w:r>
      <w:r w:rsidR="00D72F3C" w:rsidRPr="00E80A17">
        <w:t>)</w:t>
      </w:r>
      <w:r w:rsidR="00FF4D6E" w:rsidRPr="00E80A17">
        <w:t xml:space="preserve">   </w:t>
      </w:r>
      <w:r w:rsidR="00D72F3C" w:rsidRPr="00E80A17">
        <w:t xml:space="preserve">                         </w:t>
      </w:r>
      <w:r w:rsidR="00B8365F" w:rsidRPr="00E80A17">
        <w:t xml:space="preserve">    </w:t>
      </w:r>
      <w:r w:rsidR="00D72F3C" w:rsidRPr="00E80A17">
        <w:t xml:space="preserve">     </w:t>
      </w:r>
      <w:r w:rsidR="004E33D4" w:rsidRPr="00E80A17">
        <w:t xml:space="preserve">  </w:t>
      </w:r>
      <w:r w:rsidR="002E79F7" w:rsidRPr="00E80A17">
        <w:t xml:space="preserve">   </w:t>
      </w:r>
      <w:r w:rsidR="004E33D4" w:rsidRPr="00E80A17">
        <w:t xml:space="preserve"> </w:t>
      </w:r>
      <w:r w:rsidR="009B5209">
        <w:t xml:space="preserve">   </w:t>
      </w:r>
      <w:r w:rsidR="00733CD7">
        <w:t>-263.888,90</w:t>
      </w:r>
      <w:r w:rsidR="009B5209">
        <w:t xml:space="preserve"> </w:t>
      </w:r>
      <w:r w:rsidR="00FF4D6E" w:rsidRPr="00E80A17">
        <w:t xml:space="preserve">                                    </w:t>
      </w:r>
      <w:r w:rsidRPr="00E80A17">
        <w:t xml:space="preserve"> </w:t>
      </w:r>
    </w:p>
    <w:p w14:paraId="572FF63E" w14:textId="77777777" w:rsidR="00733CD7" w:rsidRDefault="00733CD7" w:rsidP="005712E4">
      <w:pPr>
        <w:ind w:right="70"/>
      </w:pPr>
    </w:p>
    <w:p w14:paraId="0A4FE967" w14:textId="6F373E52" w:rsidR="005712E4" w:rsidRPr="00E80A17" w:rsidRDefault="005712E4" w:rsidP="00E260B7">
      <w:pPr>
        <w:ind w:right="70" w:firstLine="708"/>
      </w:pPr>
      <w:r w:rsidRPr="00E80A17">
        <w:t xml:space="preserve">Preneseni </w:t>
      </w:r>
      <w:r w:rsidR="00B965FF">
        <w:t>višak</w:t>
      </w:r>
      <w:r w:rsidRPr="00E80A17">
        <w:t xml:space="preserve"> iz prethodnih godina utvrđen </w:t>
      </w:r>
      <w:r w:rsidR="0062395B">
        <w:t>G</w:t>
      </w:r>
      <w:r w:rsidRPr="00E80A17">
        <w:t>odišnjim obračunom proračuna za 20</w:t>
      </w:r>
      <w:r w:rsidR="009B5209">
        <w:t>2</w:t>
      </w:r>
      <w:r w:rsidR="00B965FF">
        <w:t>1</w:t>
      </w:r>
      <w:r w:rsidRPr="00E80A17">
        <w:t xml:space="preserve">. godinu i financijskim izvještajima </w:t>
      </w:r>
      <w:r w:rsidR="00D72F3C" w:rsidRPr="00E80A17">
        <w:t xml:space="preserve">proračuna i </w:t>
      </w:r>
      <w:r w:rsidRPr="00E80A17">
        <w:t>proračunskih korisnika za 20</w:t>
      </w:r>
      <w:r w:rsidR="009B5209">
        <w:t>2</w:t>
      </w:r>
      <w:r w:rsidR="00B965FF">
        <w:t>1</w:t>
      </w:r>
      <w:r w:rsidRPr="00E80A17">
        <w:t>. godinu</w:t>
      </w:r>
      <w:r w:rsidR="0076505A" w:rsidRPr="00E80A17">
        <w:t>,</w:t>
      </w:r>
      <w:r w:rsidRPr="00E80A17">
        <w:t xml:space="preserve"> iznosi</w:t>
      </w:r>
      <w:r w:rsidR="0076505A" w:rsidRPr="00E80A17">
        <w:t xml:space="preserve"> sveukupno </w:t>
      </w:r>
      <w:r w:rsidR="00B965FF">
        <w:t>560.931,06</w:t>
      </w:r>
      <w:r w:rsidR="00D72F3C" w:rsidRPr="00E80A17">
        <w:t xml:space="preserve"> </w:t>
      </w:r>
      <w:r w:rsidRPr="00E80A17">
        <w:t>kuna.</w:t>
      </w:r>
      <w:r w:rsidR="005321D0">
        <w:t xml:space="preserve"> </w:t>
      </w:r>
    </w:p>
    <w:p w14:paraId="36B9C8B8" w14:textId="77777777" w:rsidR="005712E4" w:rsidRPr="00E80A17" w:rsidRDefault="005712E4" w:rsidP="005712E4">
      <w:pPr>
        <w:ind w:right="70"/>
      </w:pPr>
    </w:p>
    <w:p w14:paraId="10560C72" w14:textId="2F2EED3D" w:rsidR="001546DD" w:rsidRPr="00E80A17" w:rsidRDefault="001546DD" w:rsidP="001546DD">
      <w:pPr>
        <w:ind w:right="70"/>
      </w:pPr>
      <w:r w:rsidRPr="00E80A17">
        <w:t>Grad Buje (</w:t>
      </w:r>
      <w:r w:rsidR="007559C6">
        <w:t>višak</w:t>
      </w:r>
      <w:r w:rsidRPr="00E80A17">
        <w:t xml:space="preserve">)                          </w:t>
      </w:r>
      <w:r w:rsidR="00E32B1F" w:rsidRPr="00E80A17">
        <w:t xml:space="preserve">  </w:t>
      </w:r>
      <w:r w:rsidR="00CC15C6" w:rsidRPr="00E80A17">
        <w:t xml:space="preserve">      </w:t>
      </w:r>
      <w:r w:rsidR="00BC4578" w:rsidRPr="00E80A17">
        <w:t xml:space="preserve">    </w:t>
      </w:r>
      <w:r w:rsidR="002E79F7" w:rsidRPr="00E80A17">
        <w:t xml:space="preserve">  </w:t>
      </w:r>
      <w:r w:rsidR="00D00EDE">
        <w:t xml:space="preserve">   </w:t>
      </w:r>
      <w:r w:rsidR="007559C6">
        <w:t xml:space="preserve">     615.451,31</w:t>
      </w:r>
    </w:p>
    <w:p w14:paraId="50281D79" w14:textId="7B9D30A6" w:rsidR="001546DD" w:rsidRPr="00E80A17" w:rsidRDefault="001546DD" w:rsidP="001546DD">
      <w:pPr>
        <w:ind w:right="70"/>
      </w:pPr>
      <w:r w:rsidRPr="00E80A17">
        <w:t>Dječji vrtić Buje (</w:t>
      </w:r>
      <w:r w:rsidR="007559C6">
        <w:t>višak</w:t>
      </w:r>
      <w:r w:rsidRPr="00E80A17">
        <w:t xml:space="preserve">)             </w:t>
      </w:r>
      <w:r w:rsidR="00CC15C6" w:rsidRPr="00E80A17">
        <w:t xml:space="preserve">         </w:t>
      </w:r>
      <w:r w:rsidR="00E32B1F" w:rsidRPr="00E80A17">
        <w:t xml:space="preserve">  </w:t>
      </w:r>
      <w:r w:rsidR="00BC4578" w:rsidRPr="00E80A17">
        <w:t xml:space="preserve">   </w:t>
      </w:r>
      <w:r w:rsidR="002E79F7" w:rsidRPr="00E80A17">
        <w:t xml:space="preserve">   </w:t>
      </w:r>
      <w:r w:rsidRPr="00E80A17">
        <w:t xml:space="preserve"> </w:t>
      </w:r>
      <w:r w:rsidR="00D72F3C" w:rsidRPr="00E80A17">
        <w:t xml:space="preserve"> </w:t>
      </w:r>
      <w:r w:rsidR="00D00EDE">
        <w:t xml:space="preserve">   </w:t>
      </w:r>
      <w:r w:rsidR="007559C6">
        <w:t xml:space="preserve">     24.695,58</w:t>
      </w:r>
      <w:r w:rsidRPr="00E80A17">
        <w:t xml:space="preserve">       </w:t>
      </w:r>
    </w:p>
    <w:p w14:paraId="2DFF7D4E" w14:textId="68F9CCC8" w:rsidR="001546DD" w:rsidRPr="00E80A17" w:rsidRDefault="001546DD" w:rsidP="001546DD">
      <w:pPr>
        <w:ind w:right="70"/>
      </w:pPr>
      <w:r w:rsidRPr="00E80A17">
        <w:t>Talijanski dječji vrtić Mrvica (</w:t>
      </w:r>
      <w:r w:rsidR="007559C6">
        <w:t>manjak</w:t>
      </w:r>
      <w:r w:rsidRPr="00E80A17">
        <w:t xml:space="preserve">) </w:t>
      </w:r>
      <w:r w:rsidR="00CC15C6" w:rsidRPr="00E80A17">
        <w:t xml:space="preserve"> </w:t>
      </w:r>
      <w:r w:rsidRPr="00E80A17">
        <w:t xml:space="preserve">    </w:t>
      </w:r>
      <w:r w:rsidR="00BC4578" w:rsidRPr="00E80A17">
        <w:t xml:space="preserve">    </w:t>
      </w:r>
      <w:r w:rsidRPr="00E80A17">
        <w:t xml:space="preserve"> </w:t>
      </w:r>
      <w:r w:rsidR="002E79F7" w:rsidRPr="00E80A17">
        <w:t xml:space="preserve">    </w:t>
      </w:r>
      <w:r w:rsidR="007559C6">
        <w:t xml:space="preserve">-35.238,75     </w:t>
      </w:r>
    </w:p>
    <w:p w14:paraId="3D76E4B7" w14:textId="3FA01289" w:rsidR="001546DD" w:rsidRPr="00E80A17" w:rsidRDefault="001546DD" w:rsidP="001546DD">
      <w:pPr>
        <w:ind w:right="70"/>
        <w:rPr>
          <w:u w:val="single"/>
        </w:rPr>
      </w:pPr>
      <w:r w:rsidRPr="00E80A17">
        <w:rPr>
          <w:u w:val="single"/>
        </w:rPr>
        <w:t>Pučko otvoreno učilište Buje (</w:t>
      </w:r>
      <w:r w:rsidR="007559C6">
        <w:rPr>
          <w:u w:val="single"/>
        </w:rPr>
        <w:t>manjak</w:t>
      </w:r>
      <w:r w:rsidRPr="00E80A17">
        <w:rPr>
          <w:u w:val="single"/>
        </w:rPr>
        <w:t xml:space="preserve">)   </w:t>
      </w:r>
      <w:r w:rsidR="00BC4578" w:rsidRPr="00E80A17">
        <w:rPr>
          <w:u w:val="single"/>
        </w:rPr>
        <w:t xml:space="preserve">    </w:t>
      </w:r>
      <w:r w:rsidRPr="00E80A17">
        <w:rPr>
          <w:u w:val="single"/>
        </w:rPr>
        <w:t xml:space="preserve"> </w:t>
      </w:r>
      <w:r w:rsidR="00E32B1F" w:rsidRPr="00E80A17">
        <w:rPr>
          <w:u w:val="single"/>
        </w:rPr>
        <w:t xml:space="preserve"> </w:t>
      </w:r>
      <w:r w:rsidR="004543EB" w:rsidRPr="00E80A17">
        <w:rPr>
          <w:u w:val="single"/>
        </w:rPr>
        <w:t xml:space="preserve"> </w:t>
      </w:r>
      <w:r w:rsidR="002E79F7" w:rsidRPr="00E80A17">
        <w:rPr>
          <w:u w:val="single"/>
        </w:rPr>
        <w:t xml:space="preserve">   </w:t>
      </w:r>
      <w:r w:rsidR="007559C6">
        <w:rPr>
          <w:u w:val="single"/>
        </w:rPr>
        <w:t xml:space="preserve"> </w:t>
      </w:r>
      <w:r w:rsidR="002E79F7" w:rsidRPr="00E80A17">
        <w:rPr>
          <w:u w:val="single"/>
        </w:rPr>
        <w:t xml:space="preserve">  </w:t>
      </w:r>
      <w:r w:rsidR="007559C6">
        <w:rPr>
          <w:u w:val="single"/>
        </w:rPr>
        <w:t>-43.977,08</w:t>
      </w:r>
    </w:p>
    <w:p w14:paraId="15310FFB" w14:textId="3114526B" w:rsidR="001546DD" w:rsidRPr="00E80A17" w:rsidRDefault="001546DD" w:rsidP="001546DD">
      <w:pPr>
        <w:ind w:right="70"/>
      </w:pPr>
      <w:r w:rsidRPr="00E80A17">
        <w:t xml:space="preserve">sveukupni </w:t>
      </w:r>
      <w:r w:rsidR="007559C6">
        <w:t>višak</w:t>
      </w:r>
      <w:r w:rsidRPr="00E80A17">
        <w:t xml:space="preserve">                            </w:t>
      </w:r>
      <w:r w:rsidR="00E32B1F" w:rsidRPr="00E80A17">
        <w:t xml:space="preserve"> </w:t>
      </w:r>
      <w:r w:rsidR="00BC4578" w:rsidRPr="00E80A17">
        <w:t xml:space="preserve">    </w:t>
      </w:r>
      <w:r w:rsidR="00E32B1F" w:rsidRPr="00E80A17">
        <w:t xml:space="preserve"> </w:t>
      </w:r>
      <w:r w:rsidR="00CC15C6" w:rsidRPr="00E80A17">
        <w:t xml:space="preserve">   </w:t>
      </w:r>
      <w:r w:rsidR="002E79F7" w:rsidRPr="00E80A17">
        <w:t xml:space="preserve">    </w:t>
      </w:r>
      <w:r w:rsidR="00CC15C6" w:rsidRPr="00E80A17">
        <w:t xml:space="preserve">   </w:t>
      </w:r>
      <w:r w:rsidR="00FD3DF1">
        <w:t xml:space="preserve">  </w:t>
      </w:r>
      <w:r w:rsidR="007559C6">
        <w:t xml:space="preserve">     560.931,06</w:t>
      </w:r>
      <w:r w:rsidR="00BB6070">
        <w:t xml:space="preserve"> </w:t>
      </w:r>
    </w:p>
    <w:p w14:paraId="163EDF50" w14:textId="77777777" w:rsidR="005712E4" w:rsidRPr="00E80A17" w:rsidRDefault="005712E4" w:rsidP="005712E4">
      <w:pPr>
        <w:ind w:right="70"/>
      </w:pPr>
    </w:p>
    <w:p w14:paraId="0509AC59" w14:textId="073782C0" w:rsidR="005712E4" w:rsidRPr="00E80A17" w:rsidRDefault="005712E4" w:rsidP="00E260B7">
      <w:pPr>
        <w:ind w:right="70" w:firstLine="708"/>
      </w:pPr>
      <w:r w:rsidRPr="00E80A17">
        <w:t xml:space="preserve">Sveukupni </w:t>
      </w:r>
      <w:r w:rsidR="00FD3DF1">
        <w:t>viš</w:t>
      </w:r>
      <w:r w:rsidRPr="00E80A17">
        <w:t xml:space="preserve">ak prihoda i primitaka </w:t>
      </w:r>
      <w:r w:rsidR="00FD3DF1">
        <w:t>raspoloživ</w:t>
      </w:r>
      <w:r w:rsidRPr="00E80A17">
        <w:t xml:space="preserve"> u sljedećem razdoblju iznosi</w:t>
      </w:r>
      <w:r w:rsidR="00DD16A3" w:rsidRPr="00E80A17">
        <w:t xml:space="preserve"> </w:t>
      </w:r>
      <w:r w:rsidR="00733CD7">
        <w:t>297.042,16</w:t>
      </w:r>
      <w:r w:rsidR="00BB6070">
        <w:t xml:space="preserve"> </w:t>
      </w:r>
      <w:r w:rsidRPr="00E80A17">
        <w:t xml:space="preserve">kuna. </w:t>
      </w:r>
    </w:p>
    <w:p w14:paraId="5F259338" w14:textId="77777777" w:rsidR="002E79F7" w:rsidRPr="00E80A17" w:rsidRDefault="002E79F7" w:rsidP="005712E4">
      <w:pPr>
        <w:ind w:right="70"/>
      </w:pPr>
    </w:p>
    <w:p w14:paraId="3F8DB0B9" w14:textId="58574730" w:rsidR="005712E4" w:rsidRPr="00E80A17" w:rsidRDefault="005712E4" w:rsidP="005712E4">
      <w:pPr>
        <w:ind w:right="70"/>
      </w:pPr>
      <w:r w:rsidRPr="00E80A17">
        <w:t>Grad Buje (</w:t>
      </w:r>
      <w:r w:rsidR="00FD3DF1">
        <w:t>viš</w:t>
      </w:r>
      <w:r w:rsidR="00BB6070">
        <w:t>ak</w:t>
      </w:r>
      <w:r w:rsidRPr="00E80A17">
        <w:t xml:space="preserve">)                           </w:t>
      </w:r>
      <w:r w:rsidR="00BC4578" w:rsidRPr="00E80A17">
        <w:t xml:space="preserve">  </w:t>
      </w:r>
      <w:r w:rsidR="00CC15C6" w:rsidRPr="00E80A17">
        <w:t xml:space="preserve">     </w:t>
      </w:r>
      <w:r w:rsidR="00BC4578" w:rsidRPr="00E80A17">
        <w:t xml:space="preserve"> </w:t>
      </w:r>
      <w:r w:rsidR="002E79F7" w:rsidRPr="00E80A17">
        <w:t xml:space="preserve">  </w:t>
      </w:r>
      <w:r w:rsidR="00FD3DF1">
        <w:t xml:space="preserve">  </w:t>
      </w:r>
      <w:r w:rsidR="00D62A25">
        <w:t xml:space="preserve"> </w:t>
      </w:r>
      <w:r w:rsidR="00FD3DF1">
        <w:t xml:space="preserve"> </w:t>
      </w:r>
      <w:r w:rsidR="00733CD7">
        <w:t xml:space="preserve">    </w:t>
      </w:r>
      <w:r w:rsidR="00FD3DF1">
        <w:t xml:space="preserve"> </w:t>
      </w:r>
      <w:r w:rsidR="00733CD7">
        <w:t>506.170,88</w:t>
      </w:r>
    </w:p>
    <w:p w14:paraId="39C179D5" w14:textId="01A448CB" w:rsidR="005712E4" w:rsidRPr="00E80A17" w:rsidRDefault="005712E4" w:rsidP="005712E4">
      <w:pPr>
        <w:ind w:right="70"/>
      </w:pPr>
      <w:r w:rsidRPr="00E80A17">
        <w:t>Dječji vrtić Buje (</w:t>
      </w:r>
      <w:r w:rsidR="007559C6">
        <w:t>manjak</w:t>
      </w:r>
      <w:r w:rsidRPr="00E80A17">
        <w:t>)</w:t>
      </w:r>
      <w:r w:rsidR="00D72F3C" w:rsidRPr="00E80A17">
        <w:t xml:space="preserve"> </w:t>
      </w:r>
      <w:r w:rsidR="004543EB" w:rsidRPr="00E80A17">
        <w:t xml:space="preserve">    </w:t>
      </w:r>
      <w:r w:rsidR="00D72F3C" w:rsidRPr="00E80A17">
        <w:t xml:space="preserve">    </w:t>
      </w:r>
      <w:r w:rsidRPr="00E80A17">
        <w:t xml:space="preserve">                </w:t>
      </w:r>
      <w:r w:rsidR="00DD16A3" w:rsidRPr="00E80A17">
        <w:t xml:space="preserve">  </w:t>
      </w:r>
      <w:r w:rsidRPr="00E80A17">
        <w:t xml:space="preserve">  </w:t>
      </w:r>
      <w:r w:rsidR="00BC4578" w:rsidRPr="00E80A17">
        <w:t xml:space="preserve"> </w:t>
      </w:r>
      <w:r w:rsidR="00D62A25">
        <w:t xml:space="preserve"> </w:t>
      </w:r>
      <w:r w:rsidR="00BC4578" w:rsidRPr="00E80A17">
        <w:t xml:space="preserve"> </w:t>
      </w:r>
      <w:r w:rsidR="00733CD7">
        <w:t>-155.492,41</w:t>
      </w:r>
      <w:r w:rsidR="002E79F7" w:rsidRPr="00E80A17">
        <w:t xml:space="preserve"> </w:t>
      </w:r>
      <w:r w:rsidRPr="00E80A17">
        <w:t xml:space="preserve">       </w:t>
      </w:r>
    </w:p>
    <w:p w14:paraId="4E6BA4F0" w14:textId="18FC030E" w:rsidR="005712E4" w:rsidRPr="00E80A17" w:rsidRDefault="005712E4" w:rsidP="005712E4">
      <w:pPr>
        <w:ind w:right="70"/>
      </w:pPr>
      <w:r w:rsidRPr="00E80A17">
        <w:t>Talijanski dječji vrtić Mrvica (</w:t>
      </w:r>
      <w:r w:rsidR="00BB6070">
        <w:t>manjak</w:t>
      </w:r>
      <w:r w:rsidRPr="00E80A17">
        <w:t xml:space="preserve">)      </w:t>
      </w:r>
      <w:r w:rsidR="00D62A25">
        <w:t xml:space="preserve"> </w:t>
      </w:r>
      <w:r w:rsidRPr="00E80A17">
        <w:t xml:space="preserve"> </w:t>
      </w:r>
      <w:r w:rsidR="00E32B1F" w:rsidRPr="00E80A17">
        <w:t xml:space="preserve"> </w:t>
      </w:r>
      <w:r w:rsidR="00BC4578" w:rsidRPr="00E80A17">
        <w:t xml:space="preserve"> </w:t>
      </w:r>
      <w:r w:rsidR="00E32B1F" w:rsidRPr="00E80A17">
        <w:t xml:space="preserve"> </w:t>
      </w:r>
      <w:r w:rsidR="00BC4578" w:rsidRPr="00E80A17">
        <w:t xml:space="preserve"> </w:t>
      </w:r>
      <w:r w:rsidR="00733CD7">
        <w:t>-108.977,53</w:t>
      </w:r>
      <w:r w:rsidR="00BC4578" w:rsidRPr="00E80A17">
        <w:t xml:space="preserve"> </w:t>
      </w:r>
    </w:p>
    <w:p w14:paraId="12A36CBF" w14:textId="4750BEDB" w:rsidR="005712E4" w:rsidRPr="00E80A17" w:rsidRDefault="005712E4" w:rsidP="005712E4">
      <w:pPr>
        <w:ind w:right="70"/>
        <w:rPr>
          <w:u w:val="single"/>
        </w:rPr>
      </w:pPr>
      <w:r w:rsidRPr="00E80A17">
        <w:rPr>
          <w:u w:val="single"/>
        </w:rPr>
        <w:lastRenderedPageBreak/>
        <w:t>Pučko otvoreno učilište Buje (</w:t>
      </w:r>
      <w:r w:rsidR="007559C6">
        <w:rPr>
          <w:u w:val="single"/>
        </w:rPr>
        <w:t>višak</w:t>
      </w:r>
      <w:r w:rsidRPr="00E80A17">
        <w:rPr>
          <w:u w:val="single"/>
        </w:rPr>
        <w:t xml:space="preserve">)  </w:t>
      </w:r>
      <w:r w:rsidR="00E32B1F" w:rsidRPr="00E80A17">
        <w:rPr>
          <w:u w:val="single"/>
        </w:rPr>
        <w:t xml:space="preserve">  </w:t>
      </w:r>
      <w:r w:rsidRPr="00E80A17">
        <w:rPr>
          <w:u w:val="single"/>
        </w:rPr>
        <w:t xml:space="preserve"> </w:t>
      </w:r>
      <w:r w:rsidR="00BC4578" w:rsidRPr="00E80A17">
        <w:rPr>
          <w:u w:val="single"/>
        </w:rPr>
        <w:t xml:space="preserve"> </w:t>
      </w:r>
      <w:r w:rsidRPr="00E80A17">
        <w:rPr>
          <w:u w:val="single"/>
        </w:rPr>
        <w:t xml:space="preserve"> </w:t>
      </w:r>
      <w:r w:rsidR="00BC4578" w:rsidRPr="00E80A17">
        <w:rPr>
          <w:u w:val="single"/>
        </w:rPr>
        <w:t xml:space="preserve"> </w:t>
      </w:r>
      <w:r w:rsidR="00D62A25">
        <w:rPr>
          <w:u w:val="single"/>
        </w:rPr>
        <w:t xml:space="preserve"> </w:t>
      </w:r>
      <w:r w:rsidR="00BC4578" w:rsidRPr="00E80A17">
        <w:rPr>
          <w:u w:val="single"/>
        </w:rPr>
        <w:t xml:space="preserve"> </w:t>
      </w:r>
      <w:r w:rsidR="002E79F7" w:rsidRPr="00E80A17">
        <w:rPr>
          <w:u w:val="single"/>
        </w:rPr>
        <w:t xml:space="preserve">    </w:t>
      </w:r>
      <w:r w:rsidR="007559C6">
        <w:rPr>
          <w:u w:val="single"/>
        </w:rPr>
        <w:t xml:space="preserve"> </w:t>
      </w:r>
      <w:r w:rsidR="00733CD7">
        <w:rPr>
          <w:u w:val="single"/>
        </w:rPr>
        <w:t xml:space="preserve"> </w:t>
      </w:r>
      <w:r w:rsidR="007559C6">
        <w:rPr>
          <w:u w:val="single"/>
        </w:rPr>
        <w:t xml:space="preserve">   </w:t>
      </w:r>
      <w:r w:rsidR="00733CD7">
        <w:rPr>
          <w:u w:val="single"/>
        </w:rPr>
        <w:t>55.341,22</w:t>
      </w:r>
    </w:p>
    <w:p w14:paraId="228FA1E5" w14:textId="764C753A" w:rsidR="00F86AC0" w:rsidRPr="00E80A17" w:rsidRDefault="005712E4" w:rsidP="005712E4">
      <w:pPr>
        <w:ind w:right="70"/>
      </w:pPr>
      <w:r w:rsidRPr="00E80A17">
        <w:t xml:space="preserve">sveukupni </w:t>
      </w:r>
      <w:r w:rsidR="00FD3DF1">
        <w:t>viš</w:t>
      </w:r>
      <w:r w:rsidR="00BB6070">
        <w:t>ak</w:t>
      </w:r>
      <w:r w:rsidR="00BB6070">
        <w:tab/>
      </w:r>
      <w:r w:rsidR="00BB6070">
        <w:tab/>
      </w:r>
      <w:r w:rsidR="00BB6070">
        <w:tab/>
        <w:t xml:space="preserve">      </w:t>
      </w:r>
      <w:r w:rsidR="00D62A25">
        <w:t xml:space="preserve">  </w:t>
      </w:r>
      <w:r w:rsidR="00BB6070">
        <w:t xml:space="preserve">    </w:t>
      </w:r>
      <w:r w:rsidR="00FD3DF1">
        <w:t xml:space="preserve"> </w:t>
      </w:r>
      <w:r w:rsidR="00733CD7">
        <w:t xml:space="preserve">   297.042,16</w:t>
      </w:r>
      <w:r w:rsidR="00BB6070">
        <w:tab/>
        <w:t xml:space="preserve">    </w:t>
      </w:r>
      <w:r w:rsidRPr="00E80A17">
        <w:t xml:space="preserve">                            </w:t>
      </w:r>
      <w:r w:rsidR="00CC15C6" w:rsidRPr="00E80A17">
        <w:t xml:space="preserve">      </w:t>
      </w:r>
      <w:r w:rsidR="002E79F7" w:rsidRPr="00E80A17">
        <w:t xml:space="preserve">    </w:t>
      </w:r>
      <w:r w:rsidRPr="00E80A17">
        <w:t xml:space="preserve"> </w:t>
      </w:r>
      <w:r w:rsidR="00E32B1F" w:rsidRPr="00E80A17">
        <w:t xml:space="preserve">   </w:t>
      </w:r>
      <w:r w:rsidR="00BC4578" w:rsidRPr="00E80A17">
        <w:t xml:space="preserve">  </w:t>
      </w:r>
    </w:p>
    <w:p w14:paraId="7B42A51B" w14:textId="77777777" w:rsidR="005712E4" w:rsidRPr="00E80A17" w:rsidRDefault="005712E4" w:rsidP="005712E4">
      <w:pPr>
        <w:ind w:right="70"/>
        <w:rPr>
          <w:b/>
          <w:sz w:val="20"/>
          <w:szCs w:val="20"/>
        </w:rPr>
      </w:pPr>
    </w:p>
    <w:p w14:paraId="46C4F19F" w14:textId="77777777" w:rsidR="00BC4578" w:rsidRPr="00E80A17" w:rsidRDefault="00BC4578" w:rsidP="005712E4">
      <w:pPr>
        <w:ind w:right="70"/>
        <w:rPr>
          <w:b/>
          <w:sz w:val="20"/>
          <w:szCs w:val="20"/>
        </w:rPr>
      </w:pPr>
    </w:p>
    <w:p w14:paraId="2FBB6BB8" w14:textId="77777777" w:rsidR="005712E4" w:rsidRPr="00E80A17" w:rsidRDefault="005712E4" w:rsidP="005712E4">
      <w:pPr>
        <w:ind w:left="1080"/>
        <w:rPr>
          <w:b/>
          <w:bCs/>
        </w:rPr>
      </w:pPr>
      <w:r w:rsidRPr="00E80A17">
        <w:rPr>
          <w:b/>
          <w:bCs/>
        </w:rPr>
        <w:t>PRIHODI I PRIMICI</w:t>
      </w:r>
    </w:p>
    <w:p w14:paraId="269F8344" w14:textId="77777777" w:rsidR="005712E4" w:rsidRPr="00E80A17" w:rsidRDefault="005712E4" w:rsidP="005712E4">
      <w:pPr>
        <w:ind w:right="70"/>
      </w:pPr>
    </w:p>
    <w:p w14:paraId="507B825F" w14:textId="7958EE7C" w:rsidR="00316E29" w:rsidRDefault="005712E4" w:rsidP="004B6F99">
      <w:pPr>
        <w:ind w:right="70" w:firstLine="708"/>
      </w:pPr>
      <w:r w:rsidRPr="00E80A17">
        <w:t xml:space="preserve">U </w:t>
      </w:r>
      <w:r w:rsidR="008665D6">
        <w:t>sljedećoj</w:t>
      </w:r>
      <w:r w:rsidRPr="00E80A17">
        <w:t xml:space="preserve"> </w:t>
      </w:r>
      <w:r w:rsidR="008665D6">
        <w:t xml:space="preserve">tablici </w:t>
      </w:r>
      <w:r w:rsidRPr="00E80A17">
        <w:t xml:space="preserve">daje se pregled ostvarenih prihoda i primitaka Proračuna Grada Buja </w:t>
      </w:r>
      <w:r w:rsidR="00FD6BFB" w:rsidRPr="00E80A17">
        <w:t xml:space="preserve">– </w:t>
      </w:r>
      <w:r w:rsidR="008C4335">
        <w:t>B</w:t>
      </w:r>
      <w:r w:rsidR="00FD6BFB" w:rsidRPr="00E80A17">
        <w:t xml:space="preserve">uie </w:t>
      </w:r>
      <w:r w:rsidRPr="00E80A17">
        <w:t>u 20</w:t>
      </w:r>
      <w:r w:rsidR="00BB6070">
        <w:t>2</w:t>
      </w:r>
      <w:r w:rsidR="003F2EFB">
        <w:t>2</w:t>
      </w:r>
      <w:r w:rsidRPr="00E80A17">
        <w:t>. godin</w:t>
      </w:r>
      <w:r w:rsidR="00733CD7">
        <w:t>i</w:t>
      </w:r>
      <w:r w:rsidR="00E51353">
        <w:t xml:space="preserve"> u odnosu na Plan za 20</w:t>
      </w:r>
      <w:r w:rsidR="00BB6070">
        <w:t>2</w:t>
      </w:r>
      <w:r w:rsidR="003F2EFB">
        <w:t>2</w:t>
      </w:r>
      <w:r w:rsidR="00E51353">
        <w:t xml:space="preserve">. godinu </w:t>
      </w:r>
      <w:r w:rsidR="00343A9B">
        <w:t xml:space="preserve">i u odnosu na prihode i primitke ostvarene u </w:t>
      </w:r>
      <w:r w:rsidR="001843B3">
        <w:t>prethodn</w:t>
      </w:r>
      <w:r w:rsidR="00733CD7">
        <w:t>oj</w:t>
      </w:r>
      <w:r w:rsidR="001843B3">
        <w:t xml:space="preserve"> godin</w:t>
      </w:r>
      <w:r w:rsidR="00733CD7">
        <w:t>i</w:t>
      </w:r>
      <w:r w:rsidR="00405EF0">
        <w:t>,</w:t>
      </w:r>
      <w:r w:rsidRPr="00E80A17">
        <w:t xml:space="preserve"> po osnovnim </w:t>
      </w:r>
      <w:r w:rsidR="00711CE3">
        <w:t>kategorijama</w:t>
      </w:r>
      <w:r w:rsidRPr="00E80A17">
        <w:t>.</w:t>
      </w:r>
    </w:p>
    <w:p w14:paraId="5544E152" w14:textId="77777777" w:rsidR="000B0168" w:rsidRDefault="000B0168" w:rsidP="005712E4">
      <w:pPr>
        <w:ind w:right="70"/>
      </w:pPr>
    </w:p>
    <w:tbl>
      <w:tblPr>
        <w:tblW w:w="9782" w:type="dxa"/>
        <w:tblLayout w:type="fixed"/>
        <w:tblLook w:val="04A0" w:firstRow="1" w:lastRow="0" w:firstColumn="1" w:lastColumn="0" w:noHBand="0" w:noVBand="1"/>
      </w:tblPr>
      <w:tblGrid>
        <w:gridCol w:w="640"/>
        <w:gridCol w:w="2621"/>
        <w:gridCol w:w="1418"/>
        <w:gridCol w:w="1251"/>
        <w:gridCol w:w="1251"/>
        <w:gridCol w:w="711"/>
        <w:gridCol w:w="926"/>
        <w:gridCol w:w="964"/>
      </w:tblGrid>
      <w:tr w:rsidR="00E55A11" w14:paraId="3EE23663" w14:textId="77777777" w:rsidTr="005471CD">
        <w:trPr>
          <w:trHeight w:val="240"/>
        </w:trPr>
        <w:tc>
          <w:tcPr>
            <w:tcW w:w="9782" w:type="dxa"/>
            <w:gridSpan w:val="8"/>
            <w:tcBorders>
              <w:top w:val="nil"/>
              <w:left w:val="nil"/>
              <w:bottom w:val="nil"/>
              <w:right w:val="nil"/>
            </w:tcBorders>
            <w:shd w:val="clear" w:color="auto" w:fill="auto"/>
            <w:noWrap/>
            <w:vAlign w:val="center"/>
            <w:hideMark/>
          </w:tcPr>
          <w:p w14:paraId="0CA55CB5" w14:textId="170757BE" w:rsidR="00E55A11" w:rsidRDefault="00E55A11">
            <w:pPr>
              <w:rPr>
                <w:sz w:val="20"/>
                <w:szCs w:val="20"/>
              </w:rPr>
            </w:pPr>
            <w:r>
              <w:rPr>
                <w:sz w:val="18"/>
                <w:szCs w:val="18"/>
              </w:rPr>
              <w:t>Ostvareni prihodi i primici u 2022. godini u odnosu na ostvareno u 2021. godini i na plan za 2022. godinu</w:t>
            </w:r>
          </w:p>
        </w:tc>
      </w:tr>
      <w:tr w:rsidR="000B0168" w14:paraId="779AFC62" w14:textId="77777777" w:rsidTr="000B0168">
        <w:trPr>
          <w:trHeight w:val="240"/>
        </w:trPr>
        <w:tc>
          <w:tcPr>
            <w:tcW w:w="640" w:type="dxa"/>
            <w:tcBorders>
              <w:top w:val="nil"/>
              <w:left w:val="nil"/>
              <w:bottom w:val="nil"/>
              <w:right w:val="nil"/>
            </w:tcBorders>
            <w:shd w:val="clear" w:color="auto" w:fill="auto"/>
            <w:noWrap/>
            <w:vAlign w:val="bottom"/>
            <w:hideMark/>
          </w:tcPr>
          <w:p w14:paraId="074D5B5F" w14:textId="77777777" w:rsidR="000B0168" w:rsidRDefault="000B0168">
            <w:pPr>
              <w:rPr>
                <w:sz w:val="20"/>
                <w:szCs w:val="20"/>
              </w:rPr>
            </w:pPr>
          </w:p>
        </w:tc>
        <w:tc>
          <w:tcPr>
            <w:tcW w:w="2621" w:type="dxa"/>
            <w:tcBorders>
              <w:top w:val="nil"/>
              <w:left w:val="nil"/>
              <w:bottom w:val="nil"/>
              <w:right w:val="nil"/>
            </w:tcBorders>
            <w:shd w:val="clear" w:color="auto" w:fill="auto"/>
            <w:noWrap/>
            <w:vAlign w:val="bottom"/>
            <w:hideMark/>
          </w:tcPr>
          <w:p w14:paraId="3DB6F21A" w14:textId="77777777" w:rsidR="000B0168" w:rsidRDefault="000B0168">
            <w:pPr>
              <w:rPr>
                <w:sz w:val="20"/>
                <w:szCs w:val="20"/>
              </w:rPr>
            </w:pPr>
          </w:p>
        </w:tc>
        <w:tc>
          <w:tcPr>
            <w:tcW w:w="1418" w:type="dxa"/>
            <w:tcBorders>
              <w:top w:val="nil"/>
              <w:left w:val="nil"/>
              <w:bottom w:val="nil"/>
              <w:right w:val="nil"/>
            </w:tcBorders>
            <w:shd w:val="clear" w:color="auto" w:fill="auto"/>
            <w:noWrap/>
            <w:vAlign w:val="bottom"/>
            <w:hideMark/>
          </w:tcPr>
          <w:p w14:paraId="2E7297D4" w14:textId="77777777" w:rsidR="000B0168" w:rsidRDefault="000B0168">
            <w:pPr>
              <w:rPr>
                <w:sz w:val="20"/>
                <w:szCs w:val="20"/>
              </w:rPr>
            </w:pPr>
          </w:p>
        </w:tc>
        <w:tc>
          <w:tcPr>
            <w:tcW w:w="1251" w:type="dxa"/>
            <w:tcBorders>
              <w:top w:val="nil"/>
              <w:left w:val="nil"/>
              <w:bottom w:val="nil"/>
              <w:right w:val="nil"/>
            </w:tcBorders>
            <w:shd w:val="clear" w:color="auto" w:fill="auto"/>
            <w:noWrap/>
            <w:vAlign w:val="bottom"/>
            <w:hideMark/>
          </w:tcPr>
          <w:p w14:paraId="7D376552" w14:textId="77777777" w:rsidR="000B0168" w:rsidRDefault="000B0168">
            <w:pPr>
              <w:rPr>
                <w:sz w:val="20"/>
                <w:szCs w:val="20"/>
              </w:rPr>
            </w:pPr>
          </w:p>
        </w:tc>
        <w:tc>
          <w:tcPr>
            <w:tcW w:w="1251" w:type="dxa"/>
            <w:tcBorders>
              <w:top w:val="nil"/>
              <w:left w:val="nil"/>
              <w:bottom w:val="nil"/>
              <w:right w:val="nil"/>
            </w:tcBorders>
            <w:shd w:val="clear" w:color="auto" w:fill="auto"/>
            <w:noWrap/>
            <w:vAlign w:val="bottom"/>
            <w:hideMark/>
          </w:tcPr>
          <w:p w14:paraId="5136FBAA" w14:textId="77777777" w:rsidR="000B0168" w:rsidRDefault="000B0168">
            <w:pPr>
              <w:rPr>
                <w:sz w:val="20"/>
                <w:szCs w:val="20"/>
              </w:rPr>
            </w:pPr>
          </w:p>
        </w:tc>
        <w:tc>
          <w:tcPr>
            <w:tcW w:w="711" w:type="dxa"/>
            <w:tcBorders>
              <w:top w:val="nil"/>
              <w:left w:val="nil"/>
              <w:bottom w:val="nil"/>
              <w:right w:val="nil"/>
            </w:tcBorders>
            <w:shd w:val="clear" w:color="auto" w:fill="auto"/>
            <w:noWrap/>
            <w:vAlign w:val="bottom"/>
            <w:hideMark/>
          </w:tcPr>
          <w:p w14:paraId="456192C8" w14:textId="77777777" w:rsidR="000B0168" w:rsidRDefault="000B0168">
            <w:pPr>
              <w:rPr>
                <w:sz w:val="20"/>
                <w:szCs w:val="20"/>
              </w:rPr>
            </w:pPr>
          </w:p>
        </w:tc>
        <w:tc>
          <w:tcPr>
            <w:tcW w:w="926" w:type="dxa"/>
            <w:tcBorders>
              <w:top w:val="nil"/>
              <w:left w:val="nil"/>
              <w:bottom w:val="nil"/>
              <w:right w:val="nil"/>
            </w:tcBorders>
            <w:shd w:val="clear" w:color="auto" w:fill="auto"/>
            <w:noWrap/>
            <w:vAlign w:val="bottom"/>
            <w:hideMark/>
          </w:tcPr>
          <w:p w14:paraId="4B48DD52" w14:textId="77777777" w:rsidR="000B0168" w:rsidRDefault="000B0168">
            <w:pPr>
              <w:rPr>
                <w:sz w:val="20"/>
                <w:szCs w:val="20"/>
              </w:rPr>
            </w:pPr>
          </w:p>
        </w:tc>
        <w:tc>
          <w:tcPr>
            <w:tcW w:w="964" w:type="dxa"/>
            <w:tcBorders>
              <w:top w:val="nil"/>
              <w:left w:val="nil"/>
              <w:bottom w:val="nil"/>
              <w:right w:val="nil"/>
            </w:tcBorders>
            <w:shd w:val="clear" w:color="auto" w:fill="auto"/>
            <w:noWrap/>
            <w:vAlign w:val="bottom"/>
            <w:hideMark/>
          </w:tcPr>
          <w:p w14:paraId="455F6463" w14:textId="77777777" w:rsidR="000B0168" w:rsidRDefault="000B0168">
            <w:pPr>
              <w:rPr>
                <w:sz w:val="20"/>
                <w:szCs w:val="20"/>
              </w:rPr>
            </w:pPr>
          </w:p>
        </w:tc>
      </w:tr>
      <w:tr w:rsidR="000B0168" w14:paraId="6E7B1A1E" w14:textId="77777777" w:rsidTr="000B0168">
        <w:trPr>
          <w:trHeight w:val="675"/>
        </w:trPr>
        <w:tc>
          <w:tcPr>
            <w:tcW w:w="640" w:type="dxa"/>
            <w:tcBorders>
              <w:top w:val="nil"/>
              <w:left w:val="nil"/>
              <w:bottom w:val="single" w:sz="4" w:space="0" w:color="auto"/>
              <w:right w:val="nil"/>
            </w:tcBorders>
            <w:shd w:val="clear" w:color="auto" w:fill="auto"/>
            <w:vAlign w:val="bottom"/>
            <w:hideMark/>
          </w:tcPr>
          <w:p w14:paraId="0FD13450" w14:textId="77777777" w:rsidR="000B0168" w:rsidRDefault="000B0168">
            <w:pPr>
              <w:rPr>
                <w:sz w:val="18"/>
                <w:szCs w:val="18"/>
              </w:rPr>
            </w:pPr>
            <w:r>
              <w:rPr>
                <w:sz w:val="18"/>
                <w:szCs w:val="18"/>
              </w:rPr>
              <w:t>red.</w:t>
            </w:r>
            <w:r>
              <w:rPr>
                <w:sz w:val="18"/>
                <w:szCs w:val="18"/>
              </w:rPr>
              <w:br/>
              <w:t>br.</w:t>
            </w:r>
          </w:p>
        </w:tc>
        <w:tc>
          <w:tcPr>
            <w:tcW w:w="2621" w:type="dxa"/>
            <w:tcBorders>
              <w:top w:val="nil"/>
              <w:left w:val="nil"/>
              <w:bottom w:val="single" w:sz="4" w:space="0" w:color="auto"/>
              <w:right w:val="nil"/>
            </w:tcBorders>
            <w:shd w:val="clear" w:color="auto" w:fill="auto"/>
            <w:noWrap/>
            <w:vAlign w:val="bottom"/>
            <w:hideMark/>
          </w:tcPr>
          <w:p w14:paraId="67D0AC83" w14:textId="77777777" w:rsidR="000B0168" w:rsidRDefault="000B0168">
            <w:pPr>
              <w:rPr>
                <w:sz w:val="18"/>
                <w:szCs w:val="18"/>
              </w:rPr>
            </w:pPr>
            <w:r>
              <w:rPr>
                <w:sz w:val="18"/>
                <w:szCs w:val="18"/>
              </w:rPr>
              <w:t>opis</w:t>
            </w:r>
          </w:p>
        </w:tc>
        <w:tc>
          <w:tcPr>
            <w:tcW w:w="1418" w:type="dxa"/>
            <w:tcBorders>
              <w:top w:val="nil"/>
              <w:left w:val="nil"/>
              <w:bottom w:val="single" w:sz="4" w:space="0" w:color="auto"/>
              <w:right w:val="nil"/>
            </w:tcBorders>
            <w:shd w:val="clear" w:color="auto" w:fill="auto"/>
            <w:vAlign w:val="bottom"/>
            <w:hideMark/>
          </w:tcPr>
          <w:p w14:paraId="4B771A6C" w14:textId="77777777" w:rsidR="000B0168" w:rsidRDefault="000B0168">
            <w:pPr>
              <w:jc w:val="center"/>
              <w:rPr>
                <w:sz w:val="18"/>
                <w:szCs w:val="18"/>
              </w:rPr>
            </w:pPr>
            <w:r>
              <w:rPr>
                <w:sz w:val="18"/>
                <w:szCs w:val="18"/>
              </w:rPr>
              <w:t xml:space="preserve"> ostvareno </w:t>
            </w:r>
            <w:r>
              <w:rPr>
                <w:sz w:val="18"/>
                <w:szCs w:val="18"/>
              </w:rPr>
              <w:br/>
              <w:t xml:space="preserve">2021. </w:t>
            </w:r>
          </w:p>
        </w:tc>
        <w:tc>
          <w:tcPr>
            <w:tcW w:w="1251" w:type="dxa"/>
            <w:tcBorders>
              <w:top w:val="nil"/>
              <w:left w:val="nil"/>
              <w:bottom w:val="single" w:sz="4" w:space="0" w:color="auto"/>
              <w:right w:val="nil"/>
            </w:tcBorders>
            <w:shd w:val="clear" w:color="auto" w:fill="auto"/>
            <w:noWrap/>
            <w:vAlign w:val="bottom"/>
            <w:hideMark/>
          </w:tcPr>
          <w:p w14:paraId="333D6C3D" w14:textId="77777777" w:rsidR="000B0168" w:rsidRDefault="000B0168">
            <w:pPr>
              <w:jc w:val="center"/>
              <w:rPr>
                <w:sz w:val="18"/>
                <w:szCs w:val="18"/>
              </w:rPr>
            </w:pPr>
            <w:r>
              <w:rPr>
                <w:sz w:val="18"/>
                <w:szCs w:val="18"/>
              </w:rPr>
              <w:t xml:space="preserve"> plan 2022. </w:t>
            </w:r>
          </w:p>
        </w:tc>
        <w:tc>
          <w:tcPr>
            <w:tcW w:w="1251" w:type="dxa"/>
            <w:tcBorders>
              <w:top w:val="nil"/>
              <w:left w:val="nil"/>
              <w:bottom w:val="single" w:sz="4" w:space="0" w:color="auto"/>
              <w:right w:val="nil"/>
            </w:tcBorders>
            <w:shd w:val="clear" w:color="auto" w:fill="auto"/>
            <w:vAlign w:val="bottom"/>
            <w:hideMark/>
          </w:tcPr>
          <w:p w14:paraId="566E332E" w14:textId="77777777" w:rsidR="000B0168" w:rsidRDefault="000B0168">
            <w:pPr>
              <w:jc w:val="center"/>
              <w:rPr>
                <w:sz w:val="18"/>
                <w:szCs w:val="18"/>
              </w:rPr>
            </w:pPr>
            <w:r>
              <w:rPr>
                <w:sz w:val="18"/>
                <w:szCs w:val="18"/>
              </w:rPr>
              <w:t xml:space="preserve"> ostvareno </w:t>
            </w:r>
            <w:r>
              <w:rPr>
                <w:sz w:val="18"/>
                <w:szCs w:val="18"/>
              </w:rPr>
              <w:br/>
              <w:t xml:space="preserve">2022. </w:t>
            </w:r>
          </w:p>
        </w:tc>
        <w:tc>
          <w:tcPr>
            <w:tcW w:w="711" w:type="dxa"/>
            <w:tcBorders>
              <w:top w:val="nil"/>
              <w:left w:val="nil"/>
              <w:bottom w:val="single" w:sz="4" w:space="0" w:color="auto"/>
              <w:right w:val="nil"/>
            </w:tcBorders>
            <w:shd w:val="clear" w:color="auto" w:fill="auto"/>
            <w:vAlign w:val="bottom"/>
            <w:hideMark/>
          </w:tcPr>
          <w:p w14:paraId="5CAE4F70" w14:textId="77777777" w:rsidR="000B0168" w:rsidRDefault="000B0168">
            <w:pPr>
              <w:jc w:val="center"/>
              <w:rPr>
                <w:sz w:val="18"/>
                <w:szCs w:val="18"/>
              </w:rPr>
            </w:pPr>
            <w:r>
              <w:rPr>
                <w:sz w:val="18"/>
                <w:szCs w:val="18"/>
              </w:rPr>
              <w:t>udio</w:t>
            </w:r>
            <w:r>
              <w:rPr>
                <w:sz w:val="18"/>
                <w:szCs w:val="18"/>
              </w:rPr>
              <w:br/>
              <w:t>%</w:t>
            </w:r>
          </w:p>
        </w:tc>
        <w:tc>
          <w:tcPr>
            <w:tcW w:w="926" w:type="dxa"/>
            <w:tcBorders>
              <w:top w:val="nil"/>
              <w:left w:val="nil"/>
              <w:bottom w:val="single" w:sz="4" w:space="0" w:color="auto"/>
              <w:right w:val="nil"/>
            </w:tcBorders>
            <w:shd w:val="clear" w:color="auto" w:fill="auto"/>
            <w:vAlign w:val="bottom"/>
            <w:hideMark/>
          </w:tcPr>
          <w:p w14:paraId="262A72D3" w14:textId="77777777" w:rsidR="000B0168" w:rsidRDefault="000B0168">
            <w:pPr>
              <w:jc w:val="center"/>
              <w:rPr>
                <w:sz w:val="18"/>
                <w:szCs w:val="18"/>
              </w:rPr>
            </w:pPr>
            <w:r>
              <w:rPr>
                <w:sz w:val="18"/>
                <w:szCs w:val="18"/>
              </w:rPr>
              <w:t>indeks</w:t>
            </w:r>
            <w:r>
              <w:rPr>
                <w:sz w:val="18"/>
                <w:szCs w:val="18"/>
              </w:rPr>
              <w:br/>
              <w:t>(5/3*100)</w:t>
            </w:r>
          </w:p>
        </w:tc>
        <w:tc>
          <w:tcPr>
            <w:tcW w:w="964" w:type="dxa"/>
            <w:tcBorders>
              <w:top w:val="nil"/>
              <w:left w:val="nil"/>
              <w:bottom w:val="single" w:sz="4" w:space="0" w:color="auto"/>
              <w:right w:val="nil"/>
            </w:tcBorders>
            <w:shd w:val="clear" w:color="auto" w:fill="auto"/>
            <w:vAlign w:val="bottom"/>
            <w:hideMark/>
          </w:tcPr>
          <w:p w14:paraId="4583DB26" w14:textId="77777777" w:rsidR="000B0168" w:rsidRDefault="000B0168">
            <w:pPr>
              <w:jc w:val="center"/>
              <w:rPr>
                <w:sz w:val="18"/>
                <w:szCs w:val="18"/>
              </w:rPr>
            </w:pPr>
            <w:r>
              <w:rPr>
                <w:sz w:val="18"/>
                <w:szCs w:val="18"/>
              </w:rPr>
              <w:t>indeks</w:t>
            </w:r>
            <w:r>
              <w:rPr>
                <w:sz w:val="18"/>
                <w:szCs w:val="18"/>
              </w:rPr>
              <w:br/>
              <w:t>(5/4*100)</w:t>
            </w:r>
          </w:p>
        </w:tc>
      </w:tr>
      <w:tr w:rsidR="000B0168" w14:paraId="65F62494" w14:textId="77777777" w:rsidTr="000B0168">
        <w:trPr>
          <w:trHeight w:val="240"/>
        </w:trPr>
        <w:tc>
          <w:tcPr>
            <w:tcW w:w="640" w:type="dxa"/>
            <w:tcBorders>
              <w:top w:val="nil"/>
              <w:left w:val="nil"/>
              <w:bottom w:val="single" w:sz="4" w:space="0" w:color="auto"/>
              <w:right w:val="nil"/>
            </w:tcBorders>
            <w:shd w:val="clear" w:color="auto" w:fill="auto"/>
            <w:noWrap/>
            <w:vAlign w:val="bottom"/>
            <w:hideMark/>
          </w:tcPr>
          <w:p w14:paraId="03A5DE86" w14:textId="77777777" w:rsidR="000B0168" w:rsidRDefault="000B0168">
            <w:pPr>
              <w:jc w:val="center"/>
              <w:rPr>
                <w:sz w:val="18"/>
                <w:szCs w:val="18"/>
              </w:rPr>
            </w:pPr>
            <w:r>
              <w:rPr>
                <w:sz w:val="18"/>
                <w:szCs w:val="18"/>
              </w:rPr>
              <w:t>1</w:t>
            </w:r>
          </w:p>
        </w:tc>
        <w:tc>
          <w:tcPr>
            <w:tcW w:w="2621" w:type="dxa"/>
            <w:tcBorders>
              <w:top w:val="nil"/>
              <w:left w:val="nil"/>
              <w:bottom w:val="single" w:sz="4" w:space="0" w:color="auto"/>
              <w:right w:val="nil"/>
            </w:tcBorders>
            <w:shd w:val="clear" w:color="auto" w:fill="auto"/>
            <w:noWrap/>
            <w:vAlign w:val="bottom"/>
            <w:hideMark/>
          </w:tcPr>
          <w:p w14:paraId="0D566445" w14:textId="77777777" w:rsidR="000B0168" w:rsidRDefault="000B0168">
            <w:pPr>
              <w:jc w:val="center"/>
              <w:rPr>
                <w:sz w:val="18"/>
                <w:szCs w:val="18"/>
              </w:rPr>
            </w:pPr>
            <w:r>
              <w:rPr>
                <w:sz w:val="18"/>
                <w:szCs w:val="18"/>
              </w:rPr>
              <w:t>2</w:t>
            </w:r>
          </w:p>
        </w:tc>
        <w:tc>
          <w:tcPr>
            <w:tcW w:w="1418" w:type="dxa"/>
            <w:tcBorders>
              <w:top w:val="nil"/>
              <w:left w:val="nil"/>
              <w:bottom w:val="single" w:sz="4" w:space="0" w:color="auto"/>
              <w:right w:val="nil"/>
            </w:tcBorders>
            <w:shd w:val="clear" w:color="auto" w:fill="auto"/>
            <w:noWrap/>
            <w:vAlign w:val="bottom"/>
            <w:hideMark/>
          </w:tcPr>
          <w:p w14:paraId="46515746" w14:textId="77777777" w:rsidR="000B0168" w:rsidRDefault="000B0168">
            <w:pPr>
              <w:jc w:val="center"/>
              <w:rPr>
                <w:sz w:val="18"/>
                <w:szCs w:val="18"/>
              </w:rPr>
            </w:pPr>
            <w:r>
              <w:rPr>
                <w:sz w:val="18"/>
                <w:szCs w:val="18"/>
              </w:rPr>
              <w:t>3</w:t>
            </w:r>
          </w:p>
        </w:tc>
        <w:tc>
          <w:tcPr>
            <w:tcW w:w="1251" w:type="dxa"/>
            <w:tcBorders>
              <w:top w:val="nil"/>
              <w:left w:val="nil"/>
              <w:bottom w:val="single" w:sz="4" w:space="0" w:color="auto"/>
              <w:right w:val="nil"/>
            </w:tcBorders>
            <w:shd w:val="clear" w:color="auto" w:fill="auto"/>
            <w:noWrap/>
            <w:vAlign w:val="bottom"/>
            <w:hideMark/>
          </w:tcPr>
          <w:p w14:paraId="398DF8B7" w14:textId="77777777" w:rsidR="000B0168" w:rsidRDefault="000B0168">
            <w:pPr>
              <w:jc w:val="center"/>
              <w:rPr>
                <w:sz w:val="18"/>
                <w:szCs w:val="18"/>
              </w:rPr>
            </w:pPr>
            <w:r>
              <w:rPr>
                <w:sz w:val="18"/>
                <w:szCs w:val="18"/>
              </w:rPr>
              <w:t>4</w:t>
            </w:r>
          </w:p>
        </w:tc>
        <w:tc>
          <w:tcPr>
            <w:tcW w:w="1251" w:type="dxa"/>
            <w:tcBorders>
              <w:top w:val="nil"/>
              <w:left w:val="nil"/>
              <w:bottom w:val="single" w:sz="4" w:space="0" w:color="auto"/>
              <w:right w:val="nil"/>
            </w:tcBorders>
            <w:shd w:val="clear" w:color="auto" w:fill="auto"/>
            <w:noWrap/>
            <w:vAlign w:val="bottom"/>
            <w:hideMark/>
          </w:tcPr>
          <w:p w14:paraId="168B479E" w14:textId="77777777" w:rsidR="000B0168" w:rsidRDefault="000B0168">
            <w:pPr>
              <w:jc w:val="center"/>
              <w:rPr>
                <w:sz w:val="18"/>
                <w:szCs w:val="18"/>
              </w:rPr>
            </w:pPr>
            <w:r>
              <w:rPr>
                <w:sz w:val="18"/>
                <w:szCs w:val="18"/>
              </w:rPr>
              <w:t>5</w:t>
            </w:r>
          </w:p>
        </w:tc>
        <w:tc>
          <w:tcPr>
            <w:tcW w:w="711" w:type="dxa"/>
            <w:tcBorders>
              <w:top w:val="nil"/>
              <w:left w:val="nil"/>
              <w:bottom w:val="single" w:sz="4" w:space="0" w:color="auto"/>
              <w:right w:val="nil"/>
            </w:tcBorders>
            <w:shd w:val="clear" w:color="auto" w:fill="auto"/>
            <w:noWrap/>
            <w:vAlign w:val="bottom"/>
            <w:hideMark/>
          </w:tcPr>
          <w:p w14:paraId="784748A5" w14:textId="77777777" w:rsidR="000B0168" w:rsidRDefault="000B0168">
            <w:pPr>
              <w:jc w:val="center"/>
              <w:rPr>
                <w:sz w:val="18"/>
                <w:szCs w:val="18"/>
              </w:rPr>
            </w:pPr>
            <w:r>
              <w:rPr>
                <w:sz w:val="18"/>
                <w:szCs w:val="18"/>
              </w:rPr>
              <w:t>6</w:t>
            </w:r>
          </w:p>
        </w:tc>
        <w:tc>
          <w:tcPr>
            <w:tcW w:w="926" w:type="dxa"/>
            <w:tcBorders>
              <w:top w:val="nil"/>
              <w:left w:val="nil"/>
              <w:bottom w:val="single" w:sz="4" w:space="0" w:color="auto"/>
              <w:right w:val="nil"/>
            </w:tcBorders>
            <w:shd w:val="clear" w:color="auto" w:fill="auto"/>
            <w:noWrap/>
            <w:vAlign w:val="bottom"/>
            <w:hideMark/>
          </w:tcPr>
          <w:p w14:paraId="61BAD062" w14:textId="77777777" w:rsidR="000B0168" w:rsidRDefault="000B0168">
            <w:pPr>
              <w:jc w:val="center"/>
              <w:rPr>
                <w:sz w:val="18"/>
                <w:szCs w:val="18"/>
              </w:rPr>
            </w:pPr>
            <w:r>
              <w:rPr>
                <w:sz w:val="18"/>
                <w:szCs w:val="18"/>
              </w:rPr>
              <w:t>7</w:t>
            </w:r>
          </w:p>
        </w:tc>
        <w:tc>
          <w:tcPr>
            <w:tcW w:w="964" w:type="dxa"/>
            <w:tcBorders>
              <w:top w:val="nil"/>
              <w:left w:val="nil"/>
              <w:bottom w:val="single" w:sz="4" w:space="0" w:color="auto"/>
              <w:right w:val="nil"/>
            </w:tcBorders>
            <w:shd w:val="clear" w:color="auto" w:fill="auto"/>
            <w:noWrap/>
            <w:vAlign w:val="bottom"/>
            <w:hideMark/>
          </w:tcPr>
          <w:p w14:paraId="56D935EA" w14:textId="77777777" w:rsidR="000B0168" w:rsidRDefault="000B0168">
            <w:pPr>
              <w:jc w:val="center"/>
              <w:rPr>
                <w:sz w:val="18"/>
                <w:szCs w:val="18"/>
              </w:rPr>
            </w:pPr>
            <w:r>
              <w:rPr>
                <w:sz w:val="18"/>
                <w:szCs w:val="18"/>
              </w:rPr>
              <w:t>8</w:t>
            </w:r>
          </w:p>
        </w:tc>
      </w:tr>
      <w:tr w:rsidR="000B0168" w14:paraId="249793E4" w14:textId="77777777" w:rsidTr="000B0168">
        <w:trPr>
          <w:trHeight w:val="240"/>
        </w:trPr>
        <w:tc>
          <w:tcPr>
            <w:tcW w:w="640" w:type="dxa"/>
            <w:tcBorders>
              <w:top w:val="nil"/>
              <w:left w:val="nil"/>
              <w:bottom w:val="nil"/>
              <w:right w:val="nil"/>
            </w:tcBorders>
            <w:shd w:val="clear" w:color="000000" w:fill="FFCC99"/>
            <w:noWrap/>
            <w:vAlign w:val="bottom"/>
            <w:hideMark/>
          </w:tcPr>
          <w:p w14:paraId="2EE6220D" w14:textId="77777777" w:rsidR="000B0168" w:rsidRDefault="000B0168">
            <w:pPr>
              <w:rPr>
                <w:b/>
                <w:bCs/>
                <w:sz w:val="18"/>
                <w:szCs w:val="18"/>
              </w:rPr>
            </w:pPr>
            <w:r>
              <w:rPr>
                <w:b/>
                <w:bCs/>
                <w:sz w:val="18"/>
                <w:szCs w:val="18"/>
              </w:rPr>
              <w:t>1.</w:t>
            </w:r>
          </w:p>
        </w:tc>
        <w:tc>
          <w:tcPr>
            <w:tcW w:w="2621" w:type="dxa"/>
            <w:tcBorders>
              <w:top w:val="nil"/>
              <w:left w:val="nil"/>
              <w:bottom w:val="nil"/>
              <w:right w:val="nil"/>
            </w:tcBorders>
            <w:shd w:val="clear" w:color="000000" w:fill="FFCC99"/>
            <w:noWrap/>
            <w:vAlign w:val="bottom"/>
            <w:hideMark/>
          </w:tcPr>
          <w:p w14:paraId="4DB50FDC" w14:textId="77777777" w:rsidR="000B0168" w:rsidRDefault="000B0168">
            <w:pPr>
              <w:rPr>
                <w:b/>
                <w:bCs/>
                <w:sz w:val="18"/>
                <w:szCs w:val="18"/>
              </w:rPr>
            </w:pPr>
            <w:r>
              <w:rPr>
                <w:b/>
                <w:bCs/>
                <w:sz w:val="18"/>
                <w:szCs w:val="18"/>
              </w:rPr>
              <w:t>Prihodi poslovanja</w:t>
            </w:r>
          </w:p>
        </w:tc>
        <w:tc>
          <w:tcPr>
            <w:tcW w:w="1418" w:type="dxa"/>
            <w:tcBorders>
              <w:top w:val="nil"/>
              <w:left w:val="nil"/>
              <w:bottom w:val="nil"/>
              <w:right w:val="nil"/>
            </w:tcBorders>
            <w:shd w:val="clear" w:color="000000" w:fill="FFCC99"/>
            <w:noWrap/>
            <w:vAlign w:val="bottom"/>
            <w:hideMark/>
          </w:tcPr>
          <w:p w14:paraId="362E3B2C" w14:textId="77777777" w:rsidR="000B0168" w:rsidRDefault="000B0168" w:rsidP="000B0168">
            <w:pPr>
              <w:jc w:val="right"/>
              <w:rPr>
                <w:b/>
                <w:bCs/>
                <w:sz w:val="18"/>
                <w:szCs w:val="18"/>
              </w:rPr>
            </w:pPr>
            <w:r>
              <w:rPr>
                <w:b/>
                <w:bCs/>
                <w:sz w:val="18"/>
                <w:szCs w:val="18"/>
              </w:rPr>
              <w:t xml:space="preserve">     32.174.692,70    </w:t>
            </w:r>
          </w:p>
        </w:tc>
        <w:tc>
          <w:tcPr>
            <w:tcW w:w="1251" w:type="dxa"/>
            <w:tcBorders>
              <w:top w:val="nil"/>
              <w:left w:val="nil"/>
              <w:bottom w:val="nil"/>
              <w:right w:val="nil"/>
            </w:tcBorders>
            <w:shd w:val="clear" w:color="000000" w:fill="FFCC99"/>
            <w:noWrap/>
            <w:vAlign w:val="bottom"/>
            <w:hideMark/>
          </w:tcPr>
          <w:p w14:paraId="26A0CF11" w14:textId="77777777" w:rsidR="000B0168" w:rsidRDefault="000B0168" w:rsidP="000B0168">
            <w:pPr>
              <w:jc w:val="right"/>
              <w:rPr>
                <w:b/>
                <w:bCs/>
                <w:sz w:val="18"/>
                <w:szCs w:val="18"/>
              </w:rPr>
            </w:pPr>
            <w:r>
              <w:rPr>
                <w:b/>
                <w:bCs/>
                <w:sz w:val="18"/>
                <w:szCs w:val="18"/>
              </w:rPr>
              <w:t xml:space="preserve">     34.475.056,19    </w:t>
            </w:r>
          </w:p>
        </w:tc>
        <w:tc>
          <w:tcPr>
            <w:tcW w:w="1251" w:type="dxa"/>
            <w:tcBorders>
              <w:top w:val="nil"/>
              <w:left w:val="nil"/>
              <w:bottom w:val="nil"/>
              <w:right w:val="nil"/>
            </w:tcBorders>
            <w:shd w:val="clear" w:color="000000" w:fill="FFCC99"/>
            <w:noWrap/>
            <w:vAlign w:val="bottom"/>
            <w:hideMark/>
          </w:tcPr>
          <w:p w14:paraId="02348EFA" w14:textId="77777777" w:rsidR="000B0168" w:rsidRDefault="000B0168" w:rsidP="000B0168">
            <w:pPr>
              <w:jc w:val="right"/>
              <w:rPr>
                <w:b/>
                <w:bCs/>
                <w:sz w:val="18"/>
                <w:szCs w:val="18"/>
              </w:rPr>
            </w:pPr>
            <w:r>
              <w:rPr>
                <w:b/>
                <w:bCs/>
                <w:sz w:val="18"/>
                <w:szCs w:val="18"/>
              </w:rPr>
              <w:t xml:space="preserve">     33.918.466,04    </w:t>
            </w:r>
          </w:p>
        </w:tc>
        <w:tc>
          <w:tcPr>
            <w:tcW w:w="711" w:type="dxa"/>
            <w:tcBorders>
              <w:top w:val="nil"/>
              <w:left w:val="nil"/>
              <w:bottom w:val="nil"/>
              <w:right w:val="nil"/>
            </w:tcBorders>
            <w:shd w:val="clear" w:color="000000" w:fill="FFCC99"/>
            <w:noWrap/>
            <w:vAlign w:val="bottom"/>
            <w:hideMark/>
          </w:tcPr>
          <w:p w14:paraId="355DD175" w14:textId="77777777" w:rsidR="000B0168" w:rsidRDefault="000B0168">
            <w:pPr>
              <w:jc w:val="right"/>
              <w:rPr>
                <w:b/>
                <w:bCs/>
                <w:sz w:val="18"/>
                <w:szCs w:val="18"/>
              </w:rPr>
            </w:pPr>
            <w:r>
              <w:rPr>
                <w:b/>
                <w:bCs/>
                <w:sz w:val="18"/>
                <w:szCs w:val="18"/>
              </w:rPr>
              <w:t>89,46</w:t>
            </w:r>
          </w:p>
        </w:tc>
        <w:tc>
          <w:tcPr>
            <w:tcW w:w="926" w:type="dxa"/>
            <w:tcBorders>
              <w:top w:val="nil"/>
              <w:left w:val="nil"/>
              <w:bottom w:val="nil"/>
              <w:right w:val="nil"/>
            </w:tcBorders>
            <w:shd w:val="clear" w:color="000000" w:fill="FFCC99"/>
            <w:noWrap/>
            <w:vAlign w:val="bottom"/>
            <w:hideMark/>
          </w:tcPr>
          <w:p w14:paraId="6B3937AA" w14:textId="77777777" w:rsidR="000B0168" w:rsidRDefault="000B0168">
            <w:pPr>
              <w:jc w:val="right"/>
              <w:rPr>
                <w:b/>
                <w:bCs/>
                <w:sz w:val="18"/>
                <w:szCs w:val="18"/>
              </w:rPr>
            </w:pPr>
            <w:r>
              <w:rPr>
                <w:b/>
                <w:bCs/>
                <w:sz w:val="18"/>
                <w:szCs w:val="18"/>
              </w:rPr>
              <w:t>105</w:t>
            </w:r>
          </w:p>
        </w:tc>
        <w:tc>
          <w:tcPr>
            <w:tcW w:w="964" w:type="dxa"/>
            <w:tcBorders>
              <w:top w:val="nil"/>
              <w:left w:val="nil"/>
              <w:bottom w:val="nil"/>
              <w:right w:val="nil"/>
            </w:tcBorders>
            <w:shd w:val="clear" w:color="000000" w:fill="FFCC99"/>
            <w:noWrap/>
            <w:vAlign w:val="bottom"/>
            <w:hideMark/>
          </w:tcPr>
          <w:p w14:paraId="0D197484" w14:textId="77777777" w:rsidR="000B0168" w:rsidRDefault="000B0168">
            <w:pPr>
              <w:jc w:val="right"/>
              <w:rPr>
                <w:b/>
                <w:bCs/>
                <w:sz w:val="18"/>
                <w:szCs w:val="18"/>
              </w:rPr>
            </w:pPr>
            <w:r>
              <w:rPr>
                <w:b/>
                <w:bCs/>
                <w:sz w:val="18"/>
                <w:szCs w:val="18"/>
              </w:rPr>
              <w:t>98</w:t>
            </w:r>
          </w:p>
        </w:tc>
      </w:tr>
      <w:tr w:rsidR="000B0168" w14:paraId="6AD17C2C" w14:textId="77777777" w:rsidTr="000B0168">
        <w:trPr>
          <w:trHeight w:val="240"/>
        </w:trPr>
        <w:tc>
          <w:tcPr>
            <w:tcW w:w="640" w:type="dxa"/>
            <w:tcBorders>
              <w:top w:val="nil"/>
              <w:left w:val="nil"/>
              <w:bottom w:val="nil"/>
              <w:right w:val="nil"/>
            </w:tcBorders>
            <w:shd w:val="clear" w:color="000000" w:fill="CCFFFF"/>
            <w:noWrap/>
            <w:vAlign w:val="bottom"/>
            <w:hideMark/>
          </w:tcPr>
          <w:p w14:paraId="6611648C" w14:textId="77777777" w:rsidR="000B0168" w:rsidRDefault="000B0168">
            <w:pPr>
              <w:rPr>
                <w:sz w:val="18"/>
                <w:szCs w:val="18"/>
              </w:rPr>
            </w:pPr>
            <w:r>
              <w:rPr>
                <w:sz w:val="18"/>
                <w:szCs w:val="18"/>
              </w:rPr>
              <w:t>1.1.</w:t>
            </w:r>
          </w:p>
        </w:tc>
        <w:tc>
          <w:tcPr>
            <w:tcW w:w="2621" w:type="dxa"/>
            <w:tcBorders>
              <w:top w:val="nil"/>
              <w:left w:val="nil"/>
              <w:bottom w:val="nil"/>
              <w:right w:val="nil"/>
            </w:tcBorders>
            <w:shd w:val="clear" w:color="000000" w:fill="CCFFFF"/>
            <w:noWrap/>
            <w:vAlign w:val="bottom"/>
            <w:hideMark/>
          </w:tcPr>
          <w:p w14:paraId="444B3D14" w14:textId="77777777" w:rsidR="000B0168" w:rsidRDefault="000B0168">
            <w:pPr>
              <w:rPr>
                <w:sz w:val="18"/>
                <w:szCs w:val="18"/>
              </w:rPr>
            </w:pPr>
            <w:r>
              <w:rPr>
                <w:sz w:val="18"/>
                <w:szCs w:val="18"/>
              </w:rPr>
              <w:t>Prihodi od poreza</w:t>
            </w:r>
          </w:p>
        </w:tc>
        <w:tc>
          <w:tcPr>
            <w:tcW w:w="1418" w:type="dxa"/>
            <w:tcBorders>
              <w:top w:val="nil"/>
              <w:left w:val="nil"/>
              <w:bottom w:val="nil"/>
              <w:right w:val="nil"/>
            </w:tcBorders>
            <w:shd w:val="clear" w:color="000000" w:fill="CCFFFF"/>
            <w:noWrap/>
            <w:vAlign w:val="bottom"/>
            <w:hideMark/>
          </w:tcPr>
          <w:p w14:paraId="15730987" w14:textId="77777777" w:rsidR="000B0168" w:rsidRDefault="000B0168" w:rsidP="000B0168">
            <w:pPr>
              <w:jc w:val="right"/>
              <w:rPr>
                <w:sz w:val="18"/>
                <w:szCs w:val="18"/>
              </w:rPr>
            </w:pPr>
            <w:r>
              <w:rPr>
                <w:sz w:val="18"/>
                <w:szCs w:val="18"/>
              </w:rPr>
              <w:t xml:space="preserve">     13.338.337,97    </w:t>
            </w:r>
          </w:p>
        </w:tc>
        <w:tc>
          <w:tcPr>
            <w:tcW w:w="1251" w:type="dxa"/>
            <w:tcBorders>
              <w:top w:val="nil"/>
              <w:left w:val="nil"/>
              <w:bottom w:val="nil"/>
              <w:right w:val="nil"/>
            </w:tcBorders>
            <w:shd w:val="clear" w:color="000000" w:fill="CCFFFF"/>
            <w:noWrap/>
            <w:vAlign w:val="bottom"/>
            <w:hideMark/>
          </w:tcPr>
          <w:p w14:paraId="79412AAD" w14:textId="77777777" w:rsidR="000B0168" w:rsidRDefault="000B0168" w:rsidP="000B0168">
            <w:pPr>
              <w:jc w:val="right"/>
              <w:rPr>
                <w:sz w:val="18"/>
                <w:szCs w:val="18"/>
              </w:rPr>
            </w:pPr>
            <w:r>
              <w:rPr>
                <w:sz w:val="18"/>
                <w:szCs w:val="18"/>
              </w:rPr>
              <w:t xml:space="preserve">     18.216.009,71    </w:t>
            </w:r>
          </w:p>
        </w:tc>
        <w:tc>
          <w:tcPr>
            <w:tcW w:w="1251" w:type="dxa"/>
            <w:tcBorders>
              <w:top w:val="nil"/>
              <w:left w:val="nil"/>
              <w:bottom w:val="nil"/>
              <w:right w:val="nil"/>
            </w:tcBorders>
            <w:shd w:val="clear" w:color="000000" w:fill="CCFFFF"/>
            <w:noWrap/>
            <w:vAlign w:val="bottom"/>
            <w:hideMark/>
          </w:tcPr>
          <w:p w14:paraId="540F163F" w14:textId="77777777" w:rsidR="000B0168" w:rsidRDefault="000B0168" w:rsidP="000B0168">
            <w:pPr>
              <w:jc w:val="right"/>
              <w:rPr>
                <w:sz w:val="18"/>
                <w:szCs w:val="18"/>
              </w:rPr>
            </w:pPr>
            <w:r>
              <w:rPr>
                <w:sz w:val="18"/>
                <w:szCs w:val="18"/>
              </w:rPr>
              <w:t xml:space="preserve">     19.074.734,72    </w:t>
            </w:r>
          </w:p>
        </w:tc>
        <w:tc>
          <w:tcPr>
            <w:tcW w:w="711" w:type="dxa"/>
            <w:tcBorders>
              <w:top w:val="nil"/>
              <w:left w:val="nil"/>
              <w:bottom w:val="nil"/>
              <w:right w:val="nil"/>
            </w:tcBorders>
            <w:shd w:val="clear" w:color="000000" w:fill="CCFFFF"/>
            <w:noWrap/>
            <w:vAlign w:val="bottom"/>
            <w:hideMark/>
          </w:tcPr>
          <w:p w14:paraId="61D56233" w14:textId="77777777" w:rsidR="000B0168" w:rsidRDefault="000B0168">
            <w:pPr>
              <w:jc w:val="right"/>
              <w:rPr>
                <w:sz w:val="18"/>
                <w:szCs w:val="18"/>
              </w:rPr>
            </w:pPr>
            <w:r>
              <w:rPr>
                <w:sz w:val="18"/>
                <w:szCs w:val="18"/>
              </w:rPr>
              <w:t>50,31</w:t>
            </w:r>
          </w:p>
        </w:tc>
        <w:tc>
          <w:tcPr>
            <w:tcW w:w="926" w:type="dxa"/>
            <w:tcBorders>
              <w:top w:val="nil"/>
              <w:left w:val="nil"/>
              <w:bottom w:val="nil"/>
              <w:right w:val="nil"/>
            </w:tcBorders>
            <w:shd w:val="clear" w:color="000000" w:fill="CCFFFF"/>
            <w:noWrap/>
            <w:vAlign w:val="bottom"/>
            <w:hideMark/>
          </w:tcPr>
          <w:p w14:paraId="52252D45" w14:textId="77777777" w:rsidR="000B0168" w:rsidRDefault="000B0168">
            <w:pPr>
              <w:jc w:val="right"/>
              <w:rPr>
                <w:sz w:val="18"/>
                <w:szCs w:val="18"/>
              </w:rPr>
            </w:pPr>
            <w:r>
              <w:rPr>
                <w:sz w:val="18"/>
                <w:szCs w:val="18"/>
              </w:rPr>
              <w:t>143</w:t>
            </w:r>
          </w:p>
        </w:tc>
        <w:tc>
          <w:tcPr>
            <w:tcW w:w="964" w:type="dxa"/>
            <w:tcBorders>
              <w:top w:val="nil"/>
              <w:left w:val="nil"/>
              <w:bottom w:val="nil"/>
              <w:right w:val="nil"/>
            </w:tcBorders>
            <w:shd w:val="clear" w:color="000000" w:fill="CCFFFF"/>
            <w:noWrap/>
            <w:vAlign w:val="bottom"/>
            <w:hideMark/>
          </w:tcPr>
          <w:p w14:paraId="77469BBC" w14:textId="77777777" w:rsidR="000B0168" w:rsidRDefault="000B0168">
            <w:pPr>
              <w:jc w:val="right"/>
              <w:rPr>
                <w:sz w:val="18"/>
                <w:szCs w:val="18"/>
              </w:rPr>
            </w:pPr>
            <w:r>
              <w:rPr>
                <w:sz w:val="18"/>
                <w:szCs w:val="18"/>
              </w:rPr>
              <w:t>105</w:t>
            </w:r>
          </w:p>
        </w:tc>
      </w:tr>
      <w:tr w:rsidR="000B0168" w14:paraId="09B17B02" w14:textId="77777777" w:rsidTr="000B0168">
        <w:trPr>
          <w:trHeight w:val="240"/>
        </w:trPr>
        <w:tc>
          <w:tcPr>
            <w:tcW w:w="640" w:type="dxa"/>
            <w:tcBorders>
              <w:top w:val="nil"/>
              <w:left w:val="nil"/>
              <w:bottom w:val="nil"/>
              <w:right w:val="nil"/>
            </w:tcBorders>
            <w:shd w:val="clear" w:color="auto" w:fill="auto"/>
            <w:noWrap/>
            <w:vAlign w:val="bottom"/>
            <w:hideMark/>
          </w:tcPr>
          <w:p w14:paraId="01958E03" w14:textId="77777777" w:rsidR="000B0168" w:rsidRDefault="000B0168">
            <w:pPr>
              <w:rPr>
                <w:sz w:val="18"/>
                <w:szCs w:val="18"/>
              </w:rPr>
            </w:pPr>
            <w:r>
              <w:rPr>
                <w:sz w:val="18"/>
                <w:szCs w:val="18"/>
              </w:rPr>
              <w:t>1.1.1.</w:t>
            </w:r>
          </w:p>
        </w:tc>
        <w:tc>
          <w:tcPr>
            <w:tcW w:w="2621" w:type="dxa"/>
            <w:tcBorders>
              <w:top w:val="nil"/>
              <w:left w:val="nil"/>
              <w:bottom w:val="nil"/>
              <w:right w:val="nil"/>
            </w:tcBorders>
            <w:shd w:val="clear" w:color="auto" w:fill="auto"/>
            <w:noWrap/>
            <w:vAlign w:val="bottom"/>
            <w:hideMark/>
          </w:tcPr>
          <w:p w14:paraId="6175BD77" w14:textId="77777777" w:rsidR="000B0168" w:rsidRDefault="000B0168">
            <w:pPr>
              <w:rPr>
                <w:sz w:val="18"/>
                <w:szCs w:val="18"/>
              </w:rPr>
            </w:pPr>
            <w:r>
              <w:rPr>
                <w:sz w:val="18"/>
                <w:szCs w:val="18"/>
              </w:rPr>
              <w:t>Porez i prirez na dohodak</w:t>
            </w:r>
          </w:p>
        </w:tc>
        <w:tc>
          <w:tcPr>
            <w:tcW w:w="1418" w:type="dxa"/>
            <w:tcBorders>
              <w:top w:val="nil"/>
              <w:left w:val="nil"/>
              <w:bottom w:val="nil"/>
              <w:right w:val="nil"/>
            </w:tcBorders>
            <w:shd w:val="clear" w:color="auto" w:fill="auto"/>
            <w:noWrap/>
            <w:vAlign w:val="bottom"/>
            <w:hideMark/>
          </w:tcPr>
          <w:p w14:paraId="7CF256CB" w14:textId="77777777" w:rsidR="000B0168" w:rsidRDefault="000B0168" w:rsidP="000B0168">
            <w:pPr>
              <w:jc w:val="right"/>
              <w:rPr>
                <w:sz w:val="18"/>
                <w:szCs w:val="18"/>
              </w:rPr>
            </w:pPr>
            <w:r>
              <w:rPr>
                <w:sz w:val="18"/>
                <w:szCs w:val="18"/>
              </w:rPr>
              <w:t xml:space="preserve">       7.941.727,63    </w:t>
            </w:r>
          </w:p>
        </w:tc>
        <w:tc>
          <w:tcPr>
            <w:tcW w:w="1251" w:type="dxa"/>
            <w:tcBorders>
              <w:top w:val="nil"/>
              <w:left w:val="nil"/>
              <w:bottom w:val="nil"/>
              <w:right w:val="nil"/>
            </w:tcBorders>
            <w:shd w:val="clear" w:color="auto" w:fill="auto"/>
            <w:noWrap/>
            <w:vAlign w:val="bottom"/>
            <w:hideMark/>
          </w:tcPr>
          <w:p w14:paraId="77F8A9DF" w14:textId="77777777" w:rsidR="000B0168" w:rsidRDefault="000B0168" w:rsidP="000B0168">
            <w:pPr>
              <w:jc w:val="right"/>
              <w:rPr>
                <w:sz w:val="18"/>
                <w:szCs w:val="18"/>
              </w:rPr>
            </w:pPr>
            <w:r>
              <w:rPr>
                <w:sz w:val="18"/>
                <w:szCs w:val="18"/>
              </w:rPr>
              <w:t xml:space="preserve">     10.407.009,71    </w:t>
            </w:r>
          </w:p>
        </w:tc>
        <w:tc>
          <w:tcPr>
            <w:tcW w:w="1251" w:type="dxa"/>
            <w:tcBorders>
              <w:top w:val="nil"/>
              <w:left w:val="nil"/>
              <w:bottom w:val="nil"/>
              <w:right w:val="nil"/>
            </w:tcBorders>
            <w:shd w:val="clear" w:color="auto" w:fill="auto"/>
            <w:noWrap/>
            <w:vAlign w:val="bottom"/>
            <w:hideMark/>
          </w:tcPr>
          <w:p w14:paraId="1999C13B" w14:textId="77777777" w:rsidR="000B0168" w:rsidRDefault="000B0168" w:rsidP="000B0168">
            <w:pPr>
              <w:jc w:val="right"/>
              <w:rPr>
                <w:sz w:val="18"/>
                <w:szCs w:val="18"/>
              </w:rPr>
            </w:pPr>
            <w:r>
              <w:rPr>
                <w:sz w:val="18"/>
                <w:szCs w:val="18"/>
              </w:rPr>
              <w:t xml:space="preserve">     11.147.022,05    </w:t>
            </w:r>
          </w:p>
        </w:tc>
        <w:tc>
          <w:tcPr>
            <w:tcW w:w="711" w:type="dxa"/>
            <w:tcBorders>
              <w:top w:val="nil"/>
              <w:left w:val="nil"/>
              <w:bottom w:val="nil"/>
              <w:right w:val="nil"/>
            </w:tcBorders>
            <w:shd w:val="clear" w:color="auto" w:fill="auto"/>
            <w:noWrap/>
            <w:vAlign w:val="bottom"/>
            <w:hideMark/>
          </w:tcPr>
          <w:p w14:paraId="3A96B998" w14:textId="77777777" w:rsidR="000B0168" w:rsidRDefault="000B0168">
            <w:pPr>
              <w:jc w:val="right"/>
              <w:rPr>
                <w:sz w:val="18"/>
                <w:szCs w:val="18"/>
              </w:rPr>
            </w:pPr>
            <w:r>
              <w:rPr>
                <w:sz w:val="18"/>
                <w:szCs w:val="18"/>
              </w:rPr>
              <w:t>29,40</w:t>
            </w:r>
          </w:p>
        </w:tc>
        <w:tc>
          <w:tcPr>
            <w:tcW w:w="926" w:type="dxa"/>
            <w:tcBorders>
              <w:top w:val="nil"/>
              <w:left w:val="nil"/>
              <w:bottom w:val="nil"/>
              <w:right w:val="nil"/>
            </w:tcBorders>
            <w:shd w:val="clear" w:color="auto" w:fill="auto"/>
            <w:noWrap/>
            <w:vAlign w:val="bottom"/>
            <w:hideMark/>
          </w:tcPr>
          <w:p w14:paraId="435AC8CC" w14:textId="77777777" w:rsidR="000B0168" w:rsidRDefault="000B0168">
            <w:pPr>
              <w:jc w:val="right"/>
              <w:rPr>
                <w:sz w:val="18"/>
                <w:szCs w:val="18"/>
              </w:rPr>
            </w:pPr>
            <w:r>
              <w:rPr>
                <w:sz w:val="18"/>
                <w:szCs w:val="18"/>
              </w:rPr>
              <w:t>140</w:t>
            </w:r>
          </w:p>
        </w:tc>
        <w:tc>
          <w:tcPr>
            <w:tcW w:w="964" w:type="dxa"/>
            <w:tcBorders>
              <w:top w:val="nil"/>
              <w:left w:val="nil"/>
              <w:bottom w:val="nil"/>
              <w:right w:val="nil"/>
            </w:tcBorders>
            <w:shd w:val="clear" w:color="auto" w:fill="auto"/>
            <w:noWrap/>
            <w:vAlign w:val="bottom"/>
            <w:hideMark/>
          </w:tcPr>
          <w:p w14:paraId="0CD60604" w14:textId="77777777" w:rsidR="000B0168" w:rsidRDefault="000B0168">
            <w:pPr>
              <w:jc w:val="right"/>
              <w:rPr>
                <w:sz w:val="18"/>
                <w:szCs w:val="18"/>
              </w:rPr>
            </w:pPr>
            <w:r>
              <w:rPr>
                <w:sz w:val="18"/>
                <w:szCs w:val="18"/>
              </w:rPr>
              <w:t>107</w:t>
            </w:r>
          </w:p>
        </w:tc>
      </w:tr>
      <w:tr w:rsidR="000B0168" w14:paraId="5D83F7AB" w14:textId="77777777" w:rsidTr="000B0168">
        <w:trPr>
          <w:trHeight w:val="240"/>
        </w:trPr>
        <w:tc>
          <w:tcPr>
            <w:tcW w:w="640" w:type="dxa"/>
            <w:tcBorders>
              <w:top w:val="nil"/>
              <w:left w:val="nil"/>
              <w:bottom w:val="nil"/>
              <w:right w:val="nil"/>
            </w:tcBorders>
            <w:shd w:val="clear" w:color="auto" w:fill="auto"/>
            <w:noWrap/>
            <w:vAlign w:val="bottom"/>
            <w:hideMark/>
          </w:tcPr>
          <w:p w14:paraId="78C8AE00" w14:textId="77777777" w:rsidR="000B0168" w:rsidRDefault="000B0168">
            <w:pPr>
              <w:rPr>
                <w:sz w:val="18"/>
                <w:szCs w:val="18"/>
              </w:rPr>
            </w:pPr>
            <w:r>
              <w:rPr>
                <w:sz w:val="18"/>
                <w:szCs w:val="18"/>
              </w:rPr>
              <w:t>1.1.2.</w:t>
            </w:r>
          </w:p>
        </w:tc>
        <w:tc>
          <w:tcPr>
            <w:tcW w:w="2621" w:type="dxa"/>
            <w:tcBorders>
              <w:top w:val="nil"/>
              <w:left w:val="nil"/>
              <w:bottom w:val="nil"/>
              <w:right w:val="nil"/>
            </w:tcBorders>
            <w:shd w:val="clear" w:color="auto" w:fill="auto"/>
            <w:noWrap/>
            <w:vAlign w:val="bottom"/>
            <w:hideMark/>
          </w:tcPr>
          <w:p w14:paraId="45C831A2" w14:textId="77777777" w:rsidR="000B0168" w:rsidRDefault="000B0168">
            <w:pPr>
              <w:rPr>
                <w:sz w:val="18"/>
                <w:szCs w:val="18"/>
              </w:rPr>
            </w:pPr>
            <w:r>
              <w:rPr>
                <w:sz w:val="18"/>
                <w:szCs w:val="18"/>
              </w:rPr>
              <w:t>Porezi na imovinu</w:t>
            </w:r>
          </w:p>
        </w:tc>
        <w:tc>
          <w:tcPr>
            <w:tcW w:w="1418" w:type="dxa"/>
            <w:tcBorders>
              <w:top w:val="nil"/>
              <w:left w:val="nil"/>
              <w:bottom w:val="nil"/>
              <w:right w:val="nil"/>
            </w:tcBorders>
            <w:shd w:val="clear" w:color="auto" w:fill="auto"/>
            <w:noWrap/>
            <w:vAlign w:val="bottom"/>
            <w:hideMark/>
          </w:tcPr>
          <w:p w14:paraId="2C24E29A" w14:textId="77777777" w:rsidR="000B0168" w:rsidRDefault="000B0168" w:rsidP="000B0168">
            <w:pPr>
              <w:jc w:val="right"/>
              <w:rPr>
                <w:sz w:val="18"/>
                <w:szCs w:val="18"/>
              </w:rPr>
            </w:pPr>
            <w:r>
              <w:rPr>
                <w:sz w:val="18"/>
                <w:szCs w:val="18"/>
              </w:rPr>
              <w:t xml:space="preserve">       5.112.353,51    </w:t>
            </w:r>
          </w:p>
        </w:tc>
        <w:tc>
          <w:tcPr>
            <w:tcW w:w="1251" w:type="dxa"/>
            <w:tcBorders>
              <w:top w:val="nil"/>
              <w:left w:val="nil"/>
              <w:bottom w:val="nil"/>
              <w:right w:val="nil"/>
            </w:tcBorders>
            <w:shd w:val="clear" w:color="auto" w:fill="auto"/>
            <w:noWrap/>
            <w:vAlign w:val="bottom"/>
            <w:hideMark/>
          </w:tcPr>
          <w:p w14:paraId="1E16041E" w14:textId="77777777" w:rsidR="000B0168" w:rsidRDefault="000B0168" w:rsidP="000B0168">
            <w:pPr>
              <w:jc w:val="right"/>
              <w:rPr>
                <w:sz w:val="18"/>
                <w:szCs w:val="18"/>
              </w:rPr>
            </w:pPr>
            <w:r>
              <w:rPr>
                <w:sz w:val="18"/>
                <w:szCs w:val="18"/>
              </w:rPr>
              <w:t xml:space="preserve">       7.298.000,00    </w:t>
            </w:r>
          </w:p>
        </w:tc>
        <w:tc>
          <w:tcPr>
            <w:tcW w:w="1251" w:type="dxa"/>
            <w:tcBorders>
              <w:top w:val="nil"/>
              <w:left w:val="nil"/>
              <w:bottom w:val="nil"/>
              <w:right w:val="nil"/>
            </w:tcBorders>
            <w:shd w:val="clear" w:color="auto" w:fill="auto"/>
            <w:noWrap/>
            <w:vAlign w:val="bottom"/>
            <w:hideMark/>
          </w:tcPr>
          <w:p w14:paraId="4DA8A207" w14:textId="77777777" w:rsidR="000B0168" w:rsidRDefault="000B0168" w:rsidP="000B0168">
            <w:pPr>
              <w:jc w:val="right"/>
              <w:rPr>
                <w:sz w:val="18"/>
                <w:szCs w:val="18"/>
              </w:rPr>
            </w:pPr>
            <w:r>
              <w:rPr>
                <w:sz w:val="18"/>
                <w:szCs w:val="18"/>
              </w:rPr>
              <w:t xml:space="preserve">       7.424.184,56    </w:t>
            </w:r>
          </w:p>
        </w:tc>
        <w:tc>
          <w:tcPr>
            <w:tcW w:w="711" w:type="dxa"/>
            <w:tcBorders>
              <w:top w:val="nil"/>
              <w:left w:val="nil"/>
              <w:bottom w:val="nil"/>
              <w:right w:val="nil"/>
            </w:tcBorders>
            <w:shd w:val="clear" w:color="auto" w:fill="auto"/>
            <w:noWrap/>
            <w:vAlign w:val="bottom"/>
            <w:hideMark/>
          </w:tcPr>
          <w:p w14:paraId="595CCA0C" w14:textId="77777777" w:rsidR="000B0168" w:rsidRDefault="000B0168">
            <w:pPr>
              <w:jc w:val="right"/>
              <w:rPr>
                <w:sz w:val="18"/>
                <w:szCs w:val="18"/>
              </w:rPr>
            </w:pPr>
            <w:r>
              <w:rPr>
                <w:sz w:val="18"/>
                <w:szCs w:val="18"/>
              </w:rPr>
              <w:t>19,58</w:t>
            </w:r>
          </w:p>
        </w:tc>
        <w:tc>
          <w:tcPr>
            <w:tcW w:w="926" w:type="dxa"/>
            <w:tcBorders>
              <w:top w:val="nil"/>
              <w:left w:val="nil"/>
              <w:bottom w:val="nil"/>
              <w:right w:val="nil"/>
            </w:tcBorders>
            <w:shd w:val="clear" w:color="auto" w:fill="auto"/>
            <w:noWrap/>
            <w:vAlign w:val="bottom"/>
            <w:hideMark/>
          </w:tcPr>
          <w:p w14:paraId="57C01097" w14:textId="77777777" w:rsidR="000B0168" w:rsidRDefault="000B0168">
            <w:pPr>
              <w:jc w:val="right"/>
              <w:rPr>
                <w:sz w:val="18"/>
                <w:szCs w:val="18"/>
              </w:rPr>
            </w:pPr>
            <w:r>
              <w:rPr>
                <w:sz w:val="18"/>
                <w:szCs w:val="18"/>
              </w:rPr>
              <w:t>145</w:t>
            </w:r>
          </w:p>
        </w:tc>
        <w:tc>
          <w:tcPr>
            <w:tcW w:w="964" w:type="dxa"/>
            <w:tcBorders>
              <w:top w:val="nil"/>
              <w:left w:val="nil"/>
              <w:bottom w:val="nil"/>
              <w:right w:val="nil"/>
            </w:tcBorders>
            <w:shd w:val="clear" w:color="auto" w:fill="auto"/>
            <w:noWrap/>
            <w:vAlign w:val="bottom"/>
            <w:hideMark/>
          </w:tcPr>
          <w:p w14:paraId="7E494FB6" w14:textId="77777777" w:rsidR="000B0168" w:rsidRDefault="000B0168">
            <w:pPr>
              <w:jc w:val="right"/>
              <w:rPr>
                <w:sz w:val="18"/>
                <w:szCs w:val="18"/>
              </w:rPr>
            </w:pPr>
            <w:r>
              <w:rPr>
                <w:sz w:val="18"/>
                <w:szCs w:val="18"/>
              </w:rPr>
              <w:t>102</w:t>
            </w:r>
          </w:p>
        </w:tc>
      </w:tr>
      <w:tr w:rsidR="000B0168" w14:paraId="2D17150E" w14:textId="77777777" w:rsidTr="000B0168">
        <w:trPr>
          <w:trHeight w:val="240"/>
        </w:trPr>
        <w:tc>
          <w:tcPr>
            <w:tcW w:w="640" w:type="dxa"/>
            <w:tcBorders>
              <w:top w:val="nil"/>
              <w:left w:val="nil"/>
              <w:bottom w:val="nil"/>
              <w:right w:val="nil"/>
            </w:tcBorders>
            <w:shd w:val="clear" w:color="auto" w:fill="auto"/>
            <w:noWrap/>
            <w:vAlign w:val="bottom"/>
            <w:hideMark/>
          </w:tcPr>
          <w:p w14:paraId="2AC15362" w14:textId="77777777" w:rsidR="000B0168" w:rsidRDefault="000B0168">
            <w:pPr>
              <w:rPr>
                <w:sz w:val="18"/>
                <w:szCs w:val="18"/>
              </w:rPr>
            </w:pPr>
            <w:r>
              <w:rPr>
                <w:sz w:val="18"/>
                <w:szCs w:val="18"/>
              </w:rPr>
              <w:t>1.1.3.</w:t>
            </w:r>
          </w:p>
        </w:tc>
        <w:tc>
          <w:tcPr>
            <w:tcW w:w="2621" w:type="dxa"/>
            <w:tcBorders>
              <w:top w:val="nil"/>
              <w:left w:val="nil"/>
              <w:bottom w:val="nil"/>
              <w:right w:val="nil"/>
            </w:tcBorders>
            <w:shd w:val="clear" w:color="auto" w:fill="auto"/>
            <w:noWrap/>
            <w:vAlign w:val="bottom"/>
            <w:hideMark/>
          </w:tcPr>
          <w:p w14:paraId="55A89E88" w14:textId="77777777" w:rsidR="000B0168" w:rsidRDefault="000B0168">
            <w:pPr>
              <w:rPr>
                <w:sz w:val="18"/>
                <w:szCs w:val="18"/>
              </w:rPr>
            </w:pPr>
            <w:r>
              <w:rPr>
                <w:sz w:val="18"/>
                <w:szCs w:val="18"/>
              </w:rPr>
              <w:t>Porezi na robu i usluge</w:t>
            </w:r>
          </w:p>
        </w:tc>
        <w:tc>
          <w:tcPr>
            <w:tcW w:w="1418" w:type="dxa"/>
            <w:tcBorders>
              <w:top w:val="nil"/>
              <w:left w:val="nil"/>
              <w:bottom w:val="nil"/>
              <w:right w:val="nil"/>
            </w:tcBorders>
            <w:shd w:val="clear" w:color="auto" w:fill="auto"/>
            <w:noWrap/>
            <w:vAlign w:val="bottom"/>
            <w:hideMark/>
          </w:tcPr>
          <w:p w14:paraId="40D6AFA2" w14:textId="77777777" w:rsidR="000B0168" w:rsidRDefault="000B0168" w:rsidP="000B0168">
            <w:pPr>
              <w:jc w:val="right"/>
              <w:rPr>
                <w:sz w:val="18"/>
                <w:szCs w:val="18"/>
              </w:rPr>
            </w:pPr>
            <w:r>
              <w:rPr>
                <w:sz w:val="18"/>
                <w:szCs w:val="18"/>
              </w:rPr>
              <w:t xml:space="preserve">          284.256,83    </w:t>
            </w:r>
          </w:p>
        </w:tc>
        <w:tc>
          <w:tcPr>
            <w:tcW w:w="1251" w:type="dxa"/>
            <w:tcBorders>
              <w:top w:val="nil"/>
              <w:left w:val="nil"/>
              <w:bottom w:val="nil"/>
              <w:right w:val="nil"/>
            </w:tcBorders>
            <w:shd w:val="clear" w:color="auto" w:fill="auto"/>
            <w:noWrap/>
            <w:vAlign w:val="bottom"/>
            <w:hideMark/>
          </w:tcPr>
          <w:p w14:paraId="071CA6BB" w14:textId="77777777" w:rsidR="000B0168" w:rsidRDefault="000B0168" w:rsidP="000B0168">
            <w:pPr>
              <w:jc w:val="right"/>
              <w:rPr>
                <w:sz w:val="18"/>
                <w:szCs w:val="18"/>
              </w:rPr>
            </w:pPr>
            <w:r>
              <w:rPr>
                <w:sz w:val="18"/>
                <w:szCs w:val="18"/>
              </w:rPr>
              <w:t xml:space="preserve">          511.000,00    </w:t>
            </w:r>
          </w:p>
        </w:tc>
        <w:tc>
          <w:tcPr>
            <w:tcW w:w="1251" w:type="dxa"/>
            <w:tcBorders>
              <w:top w:val="nil"/>
              <w:left w:val="nil"/>
              <w:bottom w:val="nil"/>
              <w:right w:val="nil"/>
            </w:tcBorders>
            <w:shd w:val="clear" w:color="auto" w:fill="auto"/>
            <w:noWrap/>
            <w:vAlign w:val="bottom"/>
            <w:hideMark/>
          </w:tcPr>
          <w:p w14:paraId="71351558" w14:textId="77777777" w:rsidR="000B0168" w:rsidRDefault="000B0168" w:rsidP="000B0168">
            <w:pPr>
              <w:jc w:val="right"/>
              <w:rPr>
                <w:sz w:val="18"/>
                <w:szCs w:val="18"/>
              </w:rPr>
            </w:pPr>
            <w:r>
              <w:rPr>
                <w:sz w:val="18"/>
                <w:szCs w:val="18"/>
              </w:rPr>
              <w:t xml:space="preserve">          503.528,11    </w:t>
            </w:r>
          </w:p>
        </w:tc>
        <w:tc>
          <w:tcPr>
            <w:tcW w:w="711" w:type="dxa"/>
            <w:tcBorders>
              <w:top w:val="nil"/>
              <w:left w:val="nil"/>
              <w:bottom w:val="nil"/>
              <w:right w:val="nil"/>
            </w:tcBorders>
            <w:shd w:val="clear" w:color="auto" w:fill="auto"/>
            <w:noWrap/>
            <w:vAlign w:val="bottom"/>
            <w:hideMark/>
          </w:tcPr>
          <w:p w14:paraId="1C80C0C4" w14:textId="77777777" w:rsidR="000B0168" w:rsidRDefault="000B0168">
            <w:pPr>
              <w:jc w:val="right"/>
              <w:rPr>
                <w:sz w:val="18"/>
                <w:szCs w:val="18"/>
              </w:rPr>
            </w:pPr>
            <w:r>
              <w:rPr>
                <w:sz w:val="18"/>
                <w:szCs w:val="18"/>
              </w:rPr>
              <w:t>1,33</w:t>
            </w:r>
          </w:p>
        </w:tc>
        <w:tc>
          <w:tcPr>
            <w:tcW w:w="926" w:type="dxa"/>
            <w:tcBorders>
              <w:top w:val="nil"/>
              <w:left w:val="nil"/>
              <w:bottom w:val="nil"/>
              <w:right w:val="nil"/>
            </w:tcBorders>
            <w:shd w:val="clear" w:color="auto" w:fill="auto"/>
            <w:noWrap/>
            <w:vAlign w:val="bottom"/>
            <w:hideMark/>
          </w:tcPr>
          <w:p w14:paraId="126FD2FB" w14:textId="77777777" w:rsidR="000B0168" w:rsidRDefault="000B0168">
            <w:pPr>
              <w:jc w:val="right"/>
              <w:rPr>
                <w:sz w:val="18"/>
                <w:szCs w:val="18"/>
              </w:rPr>
            </w:pPr>
            <w:r>
              <w:rPr>
                <w:sz w:val="18"/>
                <w:szCs w:val="18"/>
              </w:rPr>
              <w:t>177</w:t>
            </w:r>
          </w:p>
        </w:tc>
        <w:tc>
          <w:tcPr>
            <w:tcW w:w="964" w:type="dxa"/>
            <w:tcBorders>
              <w:top w:val="nil"/>
              <w:left w:val="nil"/>
              <w:bottom w:val="nil"/>
              <w:right w:val="nil"/>
            </w:tcBorders>
            <w:shd w:val="clear" w:color="auto" w:fill="auto"/>
            <w:noWrap/>
            <w:vAlign w:val="bottom"/>
            <w:hideMark/>
          </w:tcPr>
          <w:p w14:paraId="66FDAE5D" w14:textId="77777777" w:rsidR="000B0168" w:rsidRDefault="000B0168">
            <w:pPr>
              <w:jc w:val="right"/>
              <w:rPr>
                <w:sz w:val="18"/>
                <w:szCs w:val="18"/>
              </w:rPr>
            </w:pPr>
            <w:r>
              <w:rPr>
                <w:sz w:val="18"/>
                <w:szCs w:val="18"/>
              </w:rPr>
              <w:t>99</w:t>
            </w:r>
          </w:p>
        </w:tc>
      </w:tr>
      <w:tr w:rsidR="000B0168" w14:paraId="3D8E95D8" w14:textId="77777777" w:rsidTr="000B0168">
        <w:trPr>
          <w:trHeight w:val="480"/>
        </w:trPr>
        <w:tc>
          <w:tcPr>
            <w:tcW w:w="640" w:type="dxa"/>
            <w:tcBorders>
              <w:top w:val="nil"/>
              <w:left w:val="nil"/>
              <w:bottom w:val="nil"/>
              <w:right w:val="nil"/>
            </w:tcBorders>
            <w:shd w:val="clear" w:color="000000" w:fill="CCFFFF"/>
            <w:noWrap/>
            <w:vAlign w:val="bottom"/>
            <w:hideMark/>
          </w:tcPr>
          <w:p w14:paraId="698F89CF" w14:textId="77777777" w:rsidR="000B0168" w:rsidRDefault="000B0168">
            <w:pPr>
              <w:rPr>
                <w:sz w:val="18"/>
                <w:szCs w:val="18"/>
              </w:rPr>
            </w:pPr>
            <w:r>
              <w:rPr>
                <w:sz w:val="18"/>
                <w:szCs w:val="18"/>
              </w:rPr>
              <w:t>1.2.</w:t>
            </w:r>
          </w:p>
        </w:tc>
        <w:tc>
          <w:tcPr>
            <w:tcW w:w="2621" w:type="dxa"/>
            <w:tcBorders>
              <w:top w:val="nil"/>
              <w:left w:val="nil"/>
              <w:bottom w:val="nil"/>
              <w:right w:val="nil"/>
            </w:tcBorders>
            <w:shd w:val="clear" w:color="000000" w:fill="CCFFFF"/>
            <w:vAlign w:val="bottom"/>
            <w:hideMark/>
          </w:tcPr>
          <w:p w14:paraId="42A6AE3B" w14:textId="77777777" w:rsidR="000B0168" w:rsidRDefault="000B0168">
            <w:pPr>
              <w:rPr>
                <w:sz w:val="18"/>
                <w:szCs w:val="18"/>
              </w:rPr>
            </w:pPr>
            <w:r>
              <w:rPr>
                <w:sz w:val="18"/>
                <w:szCs w:val="18"/>
              </w:rPr>
              <w:t>Pomoći iz inozemstva i od subjekata</w:t>
            </w:r>
            <w:r>
              <w:rPr>
                <w:sz w:val="18"/>
                <w:szCs w:val="18"/>
              </w:rPr>
              <w:br/>
              <w:t>unutar općeg proračuna</w:t>
            </w:r>
          </w:p>
        </w:tc>
        <w:tc>
          <w:tcPr>
            <w:tcW w:w="1418" w:type="dxa"/>
            <w:tcBorders>
              <w:top w:val="nil"/>
              <w:left w:val="nil"/>
              <w:bottom w:val="nil"/>
              <w:right w:val="nil"/>
            </w:tcBorders>
            <w:shd w:val="clear" w:color="000000" w:fill="CCFFFF"/>
            <w:vAlign w:val="bottom"/>
            <w:hideMark/>
          </w:tcPr>
          <w:p w14:paraId="0F76D3B8" w14:textId="77777777" w:rsidR="000B0168" w:rsidRDefault="000B0168" w:rsidP="000B0168">
            <w:pPr>
              <w:jc w:val="right"/>
              <w:rPr>
                <w:sz w:val="18"/>
                <w:szCs w:val="18"/>
              </w:rPr>
            </w:pPr>
            <w:r>
              <w:rPr>
                <w:sz w:val="18"/>
                <w:szCs w:val="18"/>
              </w:rPr>
              <w:t xml:space="preserve">       7.513.355,43    </w:t>
            </w:r>
          </w:p>
        </w:tc>
        <w:tc>
          <w:tcPr>
            <w:tcW w:w="1251" w:type="dxa"/>
            <w:tcBorders>
              <w:top w:val="nil"/>
              <w:left w:val="nil"/>
              <w:bottom w:val="nil"/>
              <w:right w:val="nil"/>
            </w:tcBorders>
            <w:shd w:val="clear" w:color="000000" w:fill="CCFFFF"/>
            <w:vAlign w:val="bottom"/>
            <w:hideMark/>
          </w:tcPr>
          <w:p w14:paraId="5CA4FBDB" w14:textId="77777777" w:rsidR="000B0168" w:rsidRDefault="000B0168" w:rsidP="000B0168">
            <w:pPr>
              <w:jc w:val="right"/>
              <w:rPr>
                <w:sz w:val="18"/>
                <w:szCs w:val="18"/>
              </w:rPr>
            </w:pPr>
            <w:r>
              <w:rPr>
                <w:sz w:val="18"/>
                <w:szCs w:val="18"/>
              </w:rPr>
              <w:t xml:space="preserve">       3.273.448,70    </w:t>
            </w:r>
          </w:p>
        </w:tc>
        <w:tc>
          <w:tcPr>
            <w:tcW w:w="1251" w:type="dxa"/>
            <w:tcBorders>
              <w:top w:val="nil"/>
              <w:left w:val="nil"/>
              <w:bottom w:val="nil"/>
              <w:right w:val="nil"/>
            </w:tcBorders>
            <w:shd w:val="clear" w:color="000000" w:fill="CCFFFF"/>
            <w:vAlign w:val="bottom"/>
            <w:hideMark/>
          </w:tcPr>
          <w:p w14:paraId="405EDB5F" w14:textId="77777777" w:rsidR="000B0168" w:rsidRDefault="000B0168" w:rsidP="000B0168">
            <w:pPr>
              <w:jc w:val="right"/>
              <w:rPr>
                <w:sz w:val="18"/>
                <w:szCs w:val="18"/>
              </w:rPr>
            </w:pPr>
            <w:r>
              <w:rPr>
                <w:sz w:val="18"/>
                <w:szCs w:val="18"/>
              </w:rPr>
              <w:t xml:space="preserve">       3.688.904,86    </w:t>
            </w:r>
          </w:p>
        </w:tc>
        <w:tc>
          <w:tcPr>
            <w:tcW w:w="711" w:type="dxa"/>
            <w:tcBorders>
              <w:top w:val="nil"/>
              <w:left w:val="nil"/>
              <w:bottom w:val="nil"/>
              <w:right w:val="nil"/>
            </w:tcBorders>
            <w:shd w:val="clear" w:color="000000" w:fill="CCFFFF"/>
            <w:noWrap/>
            <w:vAlign w:val="bottom"/>
            <w:hideMark/>
          </w:tcPr>
          <w:p w14:paraId="1212AB0C" w14:textId="77777777" w:rsidR="000B0168" w:rsidRDefault="000B0168">
            <w:pPr>
              <w:jc w:val="right"/>
              <w:rPr>
                <w:sz w:val="18"/>
                <w:szCs w:val="18"/>
              </w:rPr>
            </w:pPr>
            <w:r>
              <w:rPr>
                <w:sz w:val="18"/>
                <w:szCs w:val="18"/>
              </w:rPr>
              <w:t>9,73</w:t>
            </w:r>
          </w:p>
        </w:tc>
        <w:tc>
          <w:tcPr>
            <w:tcW w:w="926" w:type="dxa"/>
            <w:tcBorders>
              <w:top w:val="nil"/>
              <w:left w:val="nil"/>
              <w:bottom w:val="nil"/>
              <w:right w:val="nil"/>
            </w:tcBorders>
            <w:shd w:val="clear" w:color="000000" w:fill="CCFFFF"/>
            <w:vAlign w:val="bottom"/>
            <w:hideMark/>
          </w:tcPr>
          <w:p w14:paraId="7138B589" w14:textId="77777777" w:rsidR="000B0168" w:rsidRDefault="000B0168">
            <w:pPr>
              <w:jc w:val="right"/>
              <w:rPr>
                <w:sz w:val="18"/>
                <w:szCs w:val="18"/>
              </w:rPr>
            </w:pPr>
            <w:r>
              <w:rPr>
                <w:sz w:val="18"/>
                <w:szCs w:val="18"/>
              </w:rPr>
              <w:t>49</w:t>
            </w:r>
          </w:p>
        </w:tc>
        <w:tc>
          <w:tcPr>
            <w:tcW w:w="964" w:type="dxa"/>
            <w:tcBorders>
              <w:top w:val="nil"/>
              <w:left w:val="nil"/>
              <w:bottom w:val="nil"/>
              <w:right w:val="nil"/>
            </w:tcBorders>
            <w:shd w:val="clear" w:color="000000" w:fill="CCFFFF"/>
            <w:vAlign w:val="bottom"/>
            <w:hideMark/>
          </w:tcPr>
          <w:p w14:paraId="2799423B" w14:textId="77777777" w:rsidR="000B0168" w:rsidRDefault="000B0168">
            <w:pPr>
              <w:jc w:val="right"/>
              <w:rPr>
                <w:sz w:val="18"/>
                <w:szCs w:val="18"/>
              </w:rPr>
            </w:pPr>
            <w:r>
              <w:rPr>
                <w:sz w:val="18"/>
                <w:szCs w:val="18"/>
              </w:rPr>
              <w:t>113</w:t>
            </w:r>
          </w:p>
        </w:tc>
      </w:tr>
      <w:tr w:rsidR="000B0168" w14:paraId="4F18A625" w14:textId="77777777" w:rsidTr="000B0168">
        <w:trPr>
          <w:trHeight w:val="240"/>
        </w:trPr>
        <w:tc>
          <w:tcPr>
            <w:tcW w:w="640" w:type="dxa"/>
            <w:tcBorders>
              <w:top w:val="nil"/>
              <w:left w:val="nil"/>
              <w:bottom w:val="nil"/>
              <w:right w:val="nil"/>
            </w:tcBorders>
            <w:shd w:val="clear" w:color="auto" w:fill="auto"/>
            <w:noWrap/>
            <w:vAlign w:val="bottom"/>
            <w:hideMark/>
          </w:tcPr>
          <w:p w14:paraId="22175317" w14:textId="77777777" w:rsidR="000B0168" w:rsidRDefault="000B0168">
            <w:pPr>
              <w:rPr>
                <w:sz w:val="18"/>
                <w:szCs w:val="18"/>
              </w:rPr>
            </w:pPr>
            <w:r>
              <w:rPr>
                <w:sz w:val="18"/>
                <w:szCs w:val="18"/>
              </w:rPr>
              <w:t>1.2.1.</w:t>
            </w:r>
          </w:p>
        </w:tc>
        <w:tc>
          <w:tcPr>
            <w:tcW w:w="2621" w:type="dxa"/>
            <w:tcBorders>
              <w:top w:val="nil"/>
              <w:left w:val="nil"/>
              <w:bottom w:val="nil"/>
              <w:right w:val="nil"/>
            </w:tcBorders>
            <w:shd w:val="clear" w:color="auto" w:fill="auto"/>
            <w:vAlign w:val="bottom"/>
            <w:hideMark/>
          </w:tcPr>
          <w:p w14:paraId="73DB681A" w14:textId="77777777" w:rsidR="000B0168" w:rsidRDefault="000B0168">
            <w:pPr>
              <w:rPr>
                <w:sz w:val="18"/>
                <w:szCs w:val="18"/>
              </w:rPr>
            </w:pPr>
            <w:r>
              <w:rPr>
                <w:sz w:val="18"/>
                <w:szCs w:val="18"/>
              </w:rPr>
              <w:t xml:space="preserve">Pomoći od </w:t>
            </w:r>
            <w:proofErr w:type="spellStart"/>
            <w:r>
              <w:rPr>
                <w:sz w:val="18"/>
                <w:szCs w:val="18"/>
              </w:rPr>
              <w:t>međunar.organz</w:t>
            </w:r>
            <w:proofErr w:type="spellEnd"/>
            <w:r>
              <w:rPr>
                <w:sz w:val="18"/>
                <w:szCs w:val="18"/>
              </w:rPr>
              <w:t xml:space="preserve">. te </w:t>
            </w:r>
            <w:proofErr w:type="spellStart"/>
            <w:r>
              <w:rPr>
                <w:sz w:val="18"/>
                <w:szCs w:val="18"/>
              </w:rPr>
              <w:t>instit.i</w:t>
            </w:r>
            <w:proofErr w:type="spellEnd"/>
            <w:r>
              <w:rPr>
                <w:sz w:val="18"/>
                <w:szCs w:val="18"/>
              </w:rPr>
              <w:t xml:space="preserve"> tijela EU </w:t>
            </w:r>
          </w:p>
        </w:tc>
        <w:tc>
          <w:tcPr>
            <w:tcW w:w="1418" w:type="dxa"/>
            <w:tcBorders>
              <w:top w:val="nil"/>
              <w:left w:val="nil"/>
              <w:bottom w:val="nil"/>
              <w:right w:val="nil"/>
            </w:tcBorders>
            <w:shd w:val="clear" w:color="auto" w:fill="auto"/>
            <w:noWrap/>
            <w:vAlign w:val="bottom"/>
            <w:hideMark/>
          </w:tcPr>
          <w:p w14:paraId="4335A9FA" w14:textId="77777777" w:rsidR="000B0168" w:rsidRDefault="000B0168" w:rsidP="000B0168">
            <w:pPr>
              <w:jc w:val="right"/>
              <w:rPr>
                <w:sz w:val="18"/>
                <w:szCs w:val="18"/>
              </w:rPr>
            </w:pPr>
            <w:r>
              <w:rPr>
                <w:sz w:val="18"/>
                <w:szCs w:val="18"/>
              </w:rPr>
              <w:t xml:space="preserve">          357.264,53    </w:t>
            </w:r>
          </w:p>
        </w:tc>
        <w:tc>
          <w:tcPr>
            <w:tcW w:w="1251" w:type="dxa"/>
            <w:tcBorders>
              <w:top w:val="nil"/>
              <w:left w:val="nil"/>
              <w:bottom w:val="nil"/>
              <w:right w:val="nil"/>
            </w:tcBorders>
            <w:shd w:val="clear" w:color="auto" w:fill="auto"/>
            <w:noWrap/>
            <w:vAlign w:val="bottom"/>
            <w:hideMark/>
          </w:tcPr>
          <w:p w14:paraId="7CC6B176" w14:textId="77777777" w:rsidR="000B0168" w:rsidRDefault="000B0168" w:rsidP="000B0168">
            <w:pPr>
              <w:jc w:val="right"/>
              <w:rPr>
                <w:sz w:val="18"/>
                <w:szCs w:val="18"/>
              </w:rPr>
            </w:pPr>
            <w:r>
              <w:rPr>
                <w:sz w:val="18"/>
                <w:szCs w:val="18"/>
              </w:rPr>
              <w:t xml:space="preserve">            89.528,58    </w:t>
            </w:r>
          </w:p>
        </w:tc>
        <w:tc>
          <w:tcPr>
            <w:tcW w:w="1251" w:type="dxa"/>
            <w:tcBorders>
              <w:top w:val="nil"/>
              <w:left w:val="nil"/>
              <w:bottom w:val="nil"/>
              <w:right w:val="nil"/>
            </w:tcBorders>
            <w:shd w:val="clear" w:color="auto" w:fill="auto"/>
            <w:noWrap/>
            <w:vAlign w:val="bottom"/>
            <w:hideMark/>
          </w:tcPr>
          <w:p w14:paraId="6D92ED4E" w14:textId="77777777" w:rsidR="000B0168" w:rsidRDefault="000B0168" w:rsidP="000B0168">
            <w:pPr>
              <w:jc w:val="right"/>
              <w:rPr>
                <w:sz w:val="18"/>
                <w:szCs w:val="18"/>
              </w:rPr>
            </w:pPr>
            <w:r>
              <w:rPr>
                <w:sz w:val="18"/>
                <w:szCs w:val="18"/>
              </w:rPr>
              <w:t xml:space="preserve">            89.528,58    </w:t>
            </w:r>
          </w:p>
        </w:tc>
        <w:tc>
          <w:tcPr>
            <w:tcW w:w="711" w:type="dxa"/>
            <w:tcBorders>
              <w:top w:val="nil"/>
              <w:left w:val="nil"/>
              <w:bottom w:val="nil"/>
              <w:right w:val="nil"/>
            </w:tcBorders>
            <w:shd w:val="clear" w:color="auto" w:fill="auto"/>
            <w:noWrap/>
            <w:vAlign w:val="bottom"/>
            <w:hideMark/>
          </w:tcPr>
          <w:p w14:paraId="38A6C9D7" w14:textId="77777777" w:rsidR="000B0168" w:rsidRDefault="000B0168">
            <w:pPr>
              <w:jc w:val="right"/>
              <w:rPr>
                <w:sz w:val="18"/>
                <w:szCs w:val="18"/>
              </w:rPr>
            </w:pPr>
            <w:r>
              <w:rPr>
                <w:sz w:val="18"/>
                <w:szCs w:val="18"/>
              </w:rPr>
              <w:t>0,24</w:t>
            </w:r>
          </w:p>
        </w:tc>
        <w:tc>
          <w:tcPr>
            <w:tcW w:w="926" w:type="dxa"/>
            <w:tcBorders>
              <w:top w:val="nil"/>
              <w:left w:val="nil"/>
              <w:bottom w:val="nil"/>
              <w:right w:val="nil"/>
            </w:tcBorders>
            <w:shd w:val="clear" w:color="auto" w:fill="auto"/>
            <w:noWrap/>
            <w:vAlign w:val="bottom"/>
            <w:hideMark/>
          </w:tcPr>
          <w:p w14:paraId="719A045C" w14:textId="77777777" w:rsidR="000B0168" w:rsidRDefault="000B0168">
            <w:pPr>
              <w:jc w:val="right"/>
              <w:rPr>
                <w:sz w:val="18"/>
                <w:szCs w:val="18"/>
              </w:rPr>
            </w:pPr>
            <w:r>
              <w:rPr>
                <w:sz w:val="18"/>
                <w:szCs w:val="18"/>
              </w:rPr>
              <w:t>25</w:t>
            </w:r>
          </w:p>
        </w:tc>
        <w:tc>
          <w:tcPr>
            <w:tcW w:w="964" w:type="dxa"/>
            <w:tcBorders>
              <w:top w:val="nil"/>
              <w:left w:val="nil"/>
              <w:bottom w:val="nil"/>
              <w:right w:val="nil"/>
            </w:tcBorders>
            <w:shd w:val="clear" w:color="auto" w:fill="auto"/>
            <w:noWrap/>
            <w:vAlign w:val="bottom"/>
            <w:hideMark/>
          </w:tcPr>
          <w:p w14:paraId="3CA633A9" w14:textId="77777777" w:rsidR="000B0168" w:rsidRDefault="000B0168">
            <w:pPr>
              <w:jc w:val="right"/>
              <w:rPr>
                <w:sz w:val="18"/>
                <w:szCs w:val="18"/>
              </w:rPr>
            </w:pPr>
            <w:r>
              <w:rPr>
                <w:sz w:val="18"/>
                <w:szCs w:val="18"/>
              </w:rPr>
              <w:t>0</w:t>
            </w:r>
          </w:p>
        </w:tc>
      </w:tr>
      <w:tr w:rsidR="000B0168" w14:paraId="65708CBF" w14:textId="77777777" w:rsidTr="000B0168">
        <w:trPr>
          <w:trHeight w:val="240"/>
        </w:trPr>
        <w:tc>
          <w:tcPr>
            <w:tcW w:w="640" w:type="dxa"/>
            <w:tcBorders>
              <w:top w:val="nil"/>
              <w:left w:val="nil"/>
              <w:bottom w:val="nil"/>
              <w:right w:val="nil"/>
            </w:tcBorders>
            <w:shd w:val="clear" w:color="auto" w:fill="auto"/>
            <w:noWrap/>
            <w:vAlign w:val="bottom"/>
            <w:hideMark/>
          </w:tcPr>
          <w:p w14:paraId="7FAACBC7" w14:textId="77777777" w:rsidR="000B0168" w:rsidRDefault="000B0168">
            <w:pPr>
              <w:rPr>
                <w:sz w:val="18"/>
                <w:szCs w:val="18"/>
              </w:rPr>
            </w:pPr>
            <w:r>
              <w:rPr>
                <w:sz w:val="18"/>
                <w:szCs w:val="18"/>
              </w:rPr>
              <w:t>1.2.2.</w:t>
            </w:r>
          </w:p>
        </w:tc>
        <w:tc>
          <w:tcPr>
            <w:tcW w:w="2621" w:type="dxa"/>
            <w:tcBorders>
              <w:top w:val="nil"/>
              <w:left w:val="nil"/>
              <w:bottom w:val="nil"/>
              <w:right w:val="nil"/>
            </w:tcBorders>
            <w:shd w:val="clear" w:color="auto" w:fill="auto"/>
            <w:vAlign w:val="bottom"/>
            <w:hideMark/>
          </w:tcPr>
          <w:p w14:paraId="5658988A" w14:textId="77777777" w:rsidR="000B0168" w:rsidRDefault="000B0168">
            <w:pPr>
              <w:rPr>
                <w:sz w:val="18"/>
                <w:szCs w:val="18"/>
              </w:rPr>
            </w:pPr>
            <w:r>
              <w:rPr>
                <w:sz w:val="18"/>
                <w:szCs w:val="18"/>
              </w:rPr>
              <w:t>Pomoći proračunu iz drugih proračuna</w:t>
            </w:r>
          </w:p>
        </w:tc>
        <w:tc>
          <w:tcPr>
            <w:tcW w:w="1418" w:type="dxa"/>
            <w:tcBorders>
              <w:top w:val="nil"/>
              <w:left w:val="nil"/>
              <w:bottom w:val="nil"/>
              <w:right w:val="nil"/>
            </w:tcBorders>
            <w:shd w:val="clear" w:color="auto" w:fill="auto"/>
            <w:noWrap/>
            <w:vAlign w:val="bottom"/>
            <w:hideMark/>
          </w:tcPr>
          <w:p w14:paraId="1FE0BABB" w14:textId="77777777" w:rsidR="000B0168" w:rsidRDefault="000B0168" w:rsidP="000B0168">
            <w:pPr>
              <w:jc w:val="right"/>
              <w:rPr>
                <w:sz w:val="18"/>
                <w:szCs w:val="18"/>
              </w:rPr>
            </w:pPr>
            <w:r>
              <w:rPr>
                <w:sz w:val="18"/>
                <w:szCs w:val="18"/>
              </w:rPr>
              <w:t xml:space="preserve">       4.591.766,67    </w:t>
            </w:r>
          </w:p>
        </w:tc>
        <w:tc>
          <w:tcPr>
            <w:tcW w:w="1251" w:type="dxa"/>
            <w:tcBorders>
              <w:top w:val="nil"/>
              <w:left w:val="nil"/>
              <w:bottom w:val="nil"/>
              <w:right w:val="nil"/>
            </w:tcBorders>
            <w:shd w:val="clear" w:color="auto" w:fill="auto"/>
            <w:noWrap/>
            <w:vAlign w:val="bottom"/>
            <w:hideMark/>
          </w:tcPr>
          <w:p w14:paraId="0B684E2F" w14:textId="77777777" w:rsidR="000B0168" w:rsidRDefault="000B0168" w:rsidP="000B0168">
            <w:pPr>
              <w:jc w:val="right"/>
              <w:rPr>
                <w:sz w:val="18"/>
                <w:szCs w:val="18"/>
              </w:rPr>
            </w:pPr>
            <w:r>
              <w:rPr>
                <w:sz w:val="18"/>
                <w:szCs w:val="18"/>
              </w:rPr>
              <w:t xml:space="preserve">       1.681.357,50    </w:t>
            </w:r>
          </w:p>
        </w:tc>
        <w:tc>
          <w:tcPr>
            <w:tcW w:w="1251" w:type="dxa"/>
            <w:tcBorders>
              <w:top w:val="nil"/>
              <w:left w:val="nil"/>
              <w:bottom w:val="nil"/>
              <w:right w:val="nil"/>
            </w:tcBorders>
            <w:shd w:val="clear" w:color="auto" w:fill="auto"/>
            <w:noWrap/>
            <w:vAlign w:val="bottom"/>
            <w:hideMark/>
          </w:tcPr>
          <w:p w14:paraId="3B8C2808" w14:textId="77777777" w:rsidR="000B0168" w:rsidRDefault="000B0168" w:rsidP="000B0168">
            <w:pPr>
              <w:jc w:val="right"/>
              <w:rPr>
                <w:sz w:val="18"/>
                <w:szCs w:val="18"/>
              </w:rPr>
            </w:pPr>
            <w:r>
              <w:rPr>
                <w:sz w:val="18"/>
                <w:szCs w:val="18"/>
              </w:rPr>
              <w:t xml:space="preserve">       2.072.725,02    </w:t>
            </w:r>
          </w:p>
        </w:tc>
        <w:tc>
          <w:tcPr>
            <w:tcW w:w="711" w:type="dxa"/>
            <w:tcBorders>
              <w:top w:val="nil"/>
              <w:left w:val="nil"/>
              <w:bottom w:val="nil"/>
              <w:right w:val="nil"/>
            </w:tcBorders>
            <w:shd w:val="clear" w:color="auto" w:fill="auto"/>
            <w:noWrap/>
            <w:vAlign w:val="bottom"/>
            <w:hideMark/>
          </w:tcPr>
          <w:p w14:paraId="0AE89546" w14:textId="77777777" w:rsidR="000B0168" w:rsidRDefault="000B0168">
            <w:pPr>
              <w:jc w:val="right"/>
              <w:rPr>
                <w:sz w:val="18"/>
                <w:szCs w:val="18"/>
              </w:rPr>
            </w:pPr>
            <w:r>
              <w:rPr>
                <w:sz w:val="18"/>
                <w:szCs w:val="18"/>
              </w:rPr>
              <w:t>5,47</w:t>
            </w:r>
          </w:p>
        </w:tc>
        <w:tc>
          <w:tcPr>
            <w:tcW w:w="926" w:type="dxa"/>
            <w:tcBorders>
              <w:top w:val="nil"/>
              <w:left w:val="nil"/>
              <w:bottom w:val="nil"/>
              <w:right w:val="nil"/>
            </w:tcBorders>
            <w:shd w:val="clear" w:color="auto" w:fill="auto"/>
            <w:noWrap/>
            <w:vAlign w:val="bottom"/>
            <w:hideMark/>
          </w:tcPr>
          <w:p w14:paraId="17B35428" w14:textId="77777777" w:rsidR="000B0168" w:rsidRDefault="000B0168">
            <w:pPr>
              <w:jc w:val="right"/>
              <w:rPr>
                <w:sz w:val="18"/>
                <w:szCs w:val="18"/>
              </w:rPr>
            </w:pPr>
            <w:r>
              <w:rPr>
                <w:sz w:val="18"/>
                <w:szCs w:val="18"/>
              </w:rPr>
              <w:t>45</w:t>
            </w:r>
          </w:p>
        </w:tc>
        <w:tc>
          <w:tcPr>
            <w:tcW w:w="964" w:type="dxa"/>
            <w:tcBorders>
              <w:top w:val="nil"/>
              <w:left w:val="nil"/>
              <w:bottom w:val="nil"/>
              <w:right w:val="nil"/>
            </w:tcBorders>
            <w:shd w:val="clear" w:color="auto" w:fill="auto"/>
            <w:noWrap/>
            <w:vAlign w:val="bottom"/>
            <w:hideMark/>
          </w:tcPr>
          <w:p w14:paraId="55B03F13" w14:textId="77777777" w:rsidR="000B0168" w:rsidRDefault="000B0168">
            <w:pPr>
              <w:jc w:val="right"/>
              <w:rPr>
                <w:sz w:val="18"/>
                <w:szCs w:val="18"/>
              </w:rPr>
            </w:pPr>
            <w:r>
              <w:rPr>
                <w:sz w:val="18"/>
                <w:szCs w:val="18"/>
              </w:rPr>
              <w:t>123</w:t>
            </w:r>
          </w:p>
        </w:tc>
      </w:tr>
      <w:tr w:rsidR="000B0168" w14:paraId="4BA26966" w14:textId="77777777" w:rsidTr="000B0168">
        <w:trPr>
          <w:trHeight w:val="240"/>
        </w:trPr>
        <w:tc>
          <w:tcPr>
            <w:tcW w:w="640" w:type="dxa"/>
            <w:tcBorders>
              <w:top w:val="nil"/>
              <w:left w:val="nil"/>
              <w:bottom w:val="nil"/>
              <w:right w:val="nil"/>
            </w:tcBorders>
            <w:shd w:val="clear" w:color="auto" w:fill="auto"/>
            <w:noWrap/>
            <w:vAlign w:val="bottom"/>
            <w:hideMark/>
          </w:tcPr>
          <w:p w14:paraId="29D47B37" w14:textId="77777777" w:rsidR="000B0168" w:rsidRDefault="000B0168">
            <w:pPr>
              <w:rPr>
                <w:sz w:val="18"/>
                <w:szCs w:val="18"/>
              </w:rPr>
            </w:pPr>
            <w:r>
              <w:rPr>
                <w:sz w:val="18"/>
                <w:szCs w:val="18"/>
              </w:rPr>
              <w:t>1.2.3.</w:t>
            </w:r>
          </w:p>
        </w:tc>
        <w:tc>
          <w:tcPr>
            <w:tcW w:w="2621" w:type="dxa"/>
            <w:tcBorders>
              <w:top w:val="nil"/>
              <w:left w:val="nil"/>
              <w:bottom w:val="nil"/>
              <w:right w:val="nil"/>
            </w:tcBorders>
            <w:shd w:val="clear" w:color="auto" w:fill="auto"/>
            <w:vAlign w:val="bottom"/>
            <w:hideMark/>
          </w:tcPr>
          <w:p w14:paraId="5787C22C" w14:textId="77777777" w:rsidR="000B0168" w:rsidRDefault="000B0168">
            <w:pPr>
              <w:rPr>
                <w:sz w:val="18"/>
                <w:szCs w:val="18"/>
              </w:rPr>
            </w:pPr>
            <w:r>
              <w:rPr>
                <w:sz w:val="18"/>
                <w:szCs w:val="18"/>
              </w:rPr>
              <w:t>Pomoći izravnanja za decentralizirane funkcije</w:t>
            </w:r>
          </w:p>
        </w:tc>
        <w:tc>
          <w:tcPr>
            <w:tcW w:w="1418" w:type="dxa"/>
            <w:tcBorders>
              <w:top w:val="nil"/>
              <w:left w:val="nil"/>
              <w:bottom w:val="nil"/>
              <w:right w:val="nil"/>
            </w:tcBorders>
            <w:shd w:val="clear" w:color="auto" w:fill="auto"/>
            <w:noWrap/>
            <w:vAlign w:val="bottom"/>
            <w:hideMark/>
          </w:tcPr>
          <w:p w14:paraId="0E30FFFC" w14:textId="77777777" w:rsidR="000B0168" w:rsidRDefault="000B0168" w:rsidP="000B0168">
            <w:pPr>
              <w:jc w:val="right"/>
              <w:rPr>
                <w:sz w:val="18"/>
                <w:szCs w:val="18"/>
              </w:rPr>
            </w:pPr>
            <w:r>
              <w:rPr>
                <w:sz w:val="18"/>
                <w:szCs w:val="18"/>
              </w:rPr>
              <w:t xml:space="preserve">          735.444,00    </w:t>
            </w:r>
          </w:p>
        </w:tc>
        <w:tc>
          <w:tcPr>
            <w:tcW w:w="1251" w:type="dxa"/>
            <w:tcBorders>
              <w:top w:val="nil"/>
              <w:left w:val="nil"/>
              <w:bottom w:val="nil"/>
              <w:right w:val="nil"/>
            </w:tcBorders>
            <w:shd w:val="clear" w:color="auto" w:fill="auto"/>
            <w:noWrap/>
            <w:vAlign w:val="bottom"/>
            <w:hideMark/>
          </w:tcPr>
          <w:p w14:paraId="08D90C8A" w14:textId="77777777" w:rsidR="000B0168" w:rsidRDefault="000B0168" w:rsidP="000B0168">
            <w:pPr>
              <w:jc w:val="right"/>
              <w:rPr>
                <w:sz w:val="18"/>
                <w:szCs w:val="18"/>
              </w:rPr>
            </w:pPr>
            <w:r>
              <w:rPr>
                <w:sz w:val="18"/>
                <w:szCs w:val="18"/>
              </w:rPr>
              <w:t xml:space="preserve">          750.000,00    </w:t>
            </w:r>
          </w:p>
        </w:tc>
        <w:tc>
          <w:tcPr>
            <w:tcW w:w="1251" w:type="dxa"/>
            <w:tcBorders>
              <w:top w:val="nil"/>
              <w:left w:val="nil"/>
              <w:bottom w:val="nil"/>
              <w:right w:val="nil"/>
            </w:tcBorders>
            <w:shd w:val="clear" w:color="auto" w:fill="auto"/>
            <w:noWrap/>
            <w:vAlign w:val="bottom"/>
            <w:hideMark/>
          </w:tcPr>
          <w:p w14:paraId="09C2C122" w14:textId="77777777" w:rsidR="000B0168" w:rsidRDefault="000B0168" w:rsidP="000B0168">
            <w:pPr>
              <w:jc w:val="right"/>
              <w:rPr>
                <w:sz w:val="18"/>
                <w:szCs w:val="18"/>
              </w:rPr>
            </w:pPr>
            <w:r>
              <w:rPr>
                <w:sz w:val="18"/>
                <w:szCs w:val="18"/>
              </w:rPr>
              <w:t xml:space="preserve">          686.019,00    </w:t>
            </w:r>
          </w:p>
        </w:tc>
        <w:tc>
          <w:tcPr>
            <w:tcW w:w="711" w:type="dxa"/>
            <w:tcBorders>
              <w:top w:val="nil"/>
              <w:left w:val="nil"/>
              <w:bottom w:val="nil"/>
              <w:right w:val="nil"/>
            </w:tcBorders>
            <w:shd w:val="clear" w:color="auto" w:fill="auto"/>
            <w:noWrap/>
            <w:vAlign w:val="bottom"/>
            <w:hideMark/>
          </w:tcPr>
          <w:p w14:paraId="0F77F545" w14:textId="77777777" w:rsidR="000B0168" w:rsidRDefault="000B0168">
            <w:pPr>
              <w:jc w:val="right"/>
              <w:rPr>
                <w:sz w:val="18"/>
                <w:szCs w:val="18"/>
              </w:rPr>
            </w:pPr>
            <w:r>
              <w:rPr>
                <w:sz w:val="18"/>
                <w:szCs w:val="18"/>
              </w:rPr>
              <w:t>1,81</w:t>
            </w:r>
          </w:p>
        </w:tc>
        <w:tc>
          <w:tcPr>
            <w:tcW w:w="926" w:type="dxa"/>
            <w:tcBorders>
              <w:top w:val="nil"/>
              <w:left w:val="nil"/>
              <w:bottom w:val="nil"/>
              <w:right w:val="nil"/>
            </w:tcBorders>
            <w:shd w:val="clear" w:color="auto" w:fill="auto"/>
            <w:noWrap/>
            <w:vAlign w:val="bottom"/>
            <w:hideMark/>
          </w:tcPr>
          <w:p w14:paraId="08090939" w14:textId="77777777" w:rsidR="000B0168" w:rsidRDefault="000B0168">
            <w:pPr>
              <w:jc w:val="right"/>
              <w:rPr>
                <w:sz w:val="18"/>
                <w:szCs w:val="18"/>
              </w:rPr>
            </w:pPr>
            <w:r>
              <w:rPr>
                <w:sz w:val="18"/>
                <w:szCs w:val="18"/>
              </w:rPr>
              <w:t>93</w:t>
            </w:r>
          </w:p>
        </w:tc>
        <w:tc>
          <w:tcPr>
            <w:tcW w:w="964" w:type="dxa"/>
            <w:tcBorders>
              <w:top w:val="nil"/>
              <w:left w:val="nil"/>
              <w:bottom w:val="nil"/>
              <w:right w:val="nil"/>
            </w:tcBorders>
            <w:shd w:val="clear" w:color="auto" w:fill="auto"/>
            <w:noWrap/>
            <w:vAlign w:val="bottom"/>
            <w:hideMark/>
          </w:tcPr>
          <w:p w14:paraId="5DB3892D" w14:textId="77777777" w:rsidR="000B0168" w:rsidRDefault="000B0168">
            <w:pPr>
              <w:jc w:val="right"/>
              <w:rPr>
                <w:sz w:val="18"/>
                <w:szCs w:val="18"/>
              </w:rPr>
            </w:pPr>
            <w:r>
              <w:rPr>
                <w:sz w:val="18"/>
                <w:szCs w:val="18"/>
              </w:rPr>
              <w:t>91</w:t>
            </w:r>
          </w:p>
        </w:tc>
      </w:tr>
      <w:tr w:rsidR="000B0168" w14:paraId="6DBD9D9B" w14:textId="77777777" w:rsidTr="000B0168">
        <w:trPr>
          <w:trHeight w:val="240"/>
        </w:trPr>
        <w:tc>
          <w:tcPr>
            <w:tcW w:w="640" w:type="dxa"/>
            <w:tcBorders>
              <w:top w:val="nil"/>
              <w:left w:val="nil"/>
              <w:bottom w:val="nil"/>
              <w:right w:val="nil"/>
            </w:tcBorders>
            <w:shd w:val="clear" w:color="auto" w:fill="auto"/>
            <w:noWrap/>
            <w:vAlign w:val="bottom"/>
            <w:hideMark/>
          </w:tcPr>
          <w:p w14:paraId="30B25708" w14:textId="77777777" w:rsidR="000B0168" w:rsidRDefault="000B0168">
            <w:pPr>
              <w:rPr>
                <w:sz w:val="18"/>
                <w:szCs w:val="18"/>
              </w:rPr>
            </w:pPr>
            <w:r>
              <w:rPr>
                <w:sz w:val="18"/>
                <w:szCs w:val="18"/>
              </w:rPr>
              <w:t>1.2.4.</w:t>
            </w:r>
          </w:p>
        </w:tc>
        <w:tc>
          <w:tcPr>
            <w:tcW w:w="2621" w:type="dxa"/>
            <w:tcBorders>
              <w:top w:val="nil"/>
              <w:left w:val="nil"/>
              <w:bottom w:val="nil"/>
              <w:right w:val="nil"/>
            </w:tcBorders>
            <w:shd w:val="clear" w:color="auto" w:fill="auto"/>
            <w:vAlign w:val="bottom"/>
            <w:hideMark/>
          </w:tcPr>
          <w:p w14:paraId="44C193BD" w14:textId="77777777" w:rsidR="000B0168" w:rsidRDefault="000B0168">
            <w:pPr>
              <w:rPr>
                <w:sz w:val="18"/>
                <w:szCs w:val="18"/>
              </w:rPr>
            </w:pPr>
            <w:r>
              <w:rPr>
                <w:sz w:val="18"/>
                <w:szCs w:val="18"/>
              </w:rPr>
              <w:t xml:space="preserve">Pomoći </w:t>
            </w:r>
            <w:proofErr w:type="spellStart"/>
            <w:r>
              <w:rPr>
                <w:sz w:val="18"/>
                <w:szCs w:val="18"/>
              </w:rPr>
              <w:t>pror.korisnicima</w:t>
            </w:r>
            <w:proofErr w:type="spellEnd"/>
            <w:r>
              <w:rPr>
                <w:sz w:val="18"/>
                <w:szCs w:val="18"/>
              </w:rPr>
              <w:t xml:space="preserve"> iz </w:t>
            </w:r>
            <w:proofErr w:type="spellStart"/>
            <w:r>
              <w:rPr>
                <w:sz w:val="18"/>
                <w:szCs w:val="18"/>
              </w:rPr>
              <w:t>pror.koji</w:t>
            </w:r>
            <w:proofErr w:type="spellEnd"/>
            <w:r>
              <w:rPr>
                <w:sz w:val="18"/>
                <w:szCs w:val="18"/>
              </w:rPr>
              <w:t xml:space="preserve"> im nije nadležan</w:t>
            </w:r>
          </w:p>
        </w:tc>
        <w:tc>
          <w:tcPr>
            <w:tcW w:w="1418" w:type="dxa"/>
            <w:tcBorders>
              <w:top w:val="nil"/>
              <w:left w:val="nil"/>
              <w:bottom w:val="nil"/>
              <w:right w:val="nil"/>
            </w:tcBorders>
            <w:shd w:val="clear" w:color="auto" w:fill="auto"/>
            <w:noWrap/>
            <w:vAlign w:val="bottom"/>
            <w:hideMark/>
          </w:tcPr>
          <w:p w14:paraId="514D9E96" w14:textId="77777777" w:rsidR="000B0168" w:rsidRDefault="000B0168" w:rsidP="000B0168">
            <w:pPr>
              <w:jc w:val="right"/>
              <w:rPr>
                <w:sz w:val="18"/>
                <w:szCs w:val="18"/>
              </w:rPr>
            </w:pPr>
            <w:r>
              <w:rPr>
                <w:sz w:val="18"/>
                <w:szCs w:val="18"/>
              </w:rPr>
              <w:t xml:space="preserve">          620.107,29    </w:t>
            </w:r>
          </w:p>
        </w:tc>
        <w:tc>
          <w:tcPr>
            <w:tcW w:w="1251" w:type="dxa"/>
            <w:tcBorders>
              <w:top w:val="nil"/>
              <w:left w:val="nil"/>
              <w:bottom w:val="nil"/>
              <w:right w:val="nil"/>
            </w:tcBorders>
            <w:shd w:val="clear" w:color="auto" w:fill="auto"/>
            <w:noWrap/>
            <w:vAlign w:val="bottom"/>
            <w:hideMark/>
          </w:tcPr>
          <w:p w14:paraId="29C9D409" w14:textId="77777777" w:rsidR="000B0168" w:rsidRDefault="000B0168" w:rsidP="000B0168">
            <w:pPr>
              <w:jc w:val="right"/>
              <w:rPr>
                <w:sz w:val="18"/>
                <w:szCs w:val="18"/>
              </w:rPr>
            </w:pPr>
            <w:r>
              <w:rPr>
                <w:sz w:val="18"/>
                <w:szCs w:val="18"/>
              </w:rPr>
              <w:t xml:space="preserve">          699.937,62    </w:t>
            </w:r>
          </w:p>
        </w:tc>
        <w:tc>
          <w:tcPr>
            <w:tcW w:w="1251" w:type="dxa"/>
            <w:tcBorders>
              <w:top w:val="nil"/>
              <w:left w:val="nil"/>
              <w:bottom w:val="nil"/>
              <w:right w:val="nil"/>
            </w:tcBorders>
            <w:shd w:val="clear" w:color="auto" w:fill="auto"/>
            <w:noWrap/>
            <w:vAlign w:val="bottom"/>
            <w:hideMark/>
          </w:tcPr>
          <w:p w14:paraId="3ED81431" w14:textId="77777777" w:rsidR="000B0168" w:rsidRDefault="000B0168" w:rsidP="000B0168">
            <w:pPr>
              <w:jc w:val="right"/>
              <w:rPr>
                <w:sz w:val="18"/>
                <w:szCs w:val="18"/>
              </w:rPr>
            </w:pPr>
            <w:r>
              <w:rPr>
                <w:sz w:val="18"/>
                <w:szCs w:val="18"/>
              </w:rPr>
              <w:t xml:space="preserve">          840.632,26    </w:t>
            </w:r>
          </w:p>
        </w:tc>
        <w:tc>
          <w:tcPr>
            <w:tcW w:w="711" w:type="dxa"/>
            <w:tcBorders>
              <w:top w:val="nil"/>
              <w:left w:val="nil"/>
              <w:bottom w:val="nil"/>
              <w:right w:val="nil"/>
            </w:tcBorders>
            <w:shd w:val="clear" w:color="auto" w:fill="auto"/>
            <w:noWrap/>
            <w:vAlign w:val="bottom"/>
            <w:hideMark/>
          </w:tcPr>
          <w:p w14:paraId="028B7B1D" w14:textId="77777777" w:rsidR="000B0168" w:rsidRDefault="000B0168">
            <w:pPr>
              <w:jc w:val="right"/>
              <w:rPr>
                <w:sz w:val="18"/>
                <w:szCs w:val="18"/>
              </w:rPr>
            </w:pPr>
            <w:r>
              <w:rPr>
                <w:sz w:val="18"/>
                <w:szCs w:val="18"/>
              </w:rPr>
              <w:t>2,22</w:t>
            </w:r>
          </w:p>
        </w:tc>
        <w:tc>
          <w:tcPr>
            <w:tcW w:w="926" w:type="dxa"/>
            <w:tcBorders>
              <w:top w:val="nil"/>
              <w:left w:val="nil"/>
              <w:bottom w:val="nil"/>
              <w:right w:val="nil"/>
            </w:tcBorders>
            <w:shd w:val="clear" w:color="auto" w:fill="auto"/>
            <w:noWrap/>
            <w:vAlign w:val="bottom"/>
            <w:hideMark/>
          </w:tcPr>
          <w:p w14:paraId="3BFEBCCF" w14:textId="77777777" w:rsidR="000B0168" w:rsidRDefault="000B0168">
            <w:pPr>
              <w:jc w:val="right"/>
              <w:rPr>
                <w:sz w:val="18"/>
                <w:szCs w:val="18"/>
              </w:rPr>
            </w:pPr>
            <w:r>
              <w:rPr>
                <w:sz w:val="18"/>
                <w:szCs w:val="18"/>
              </w:rPr>
              <w:t>136</w:t>
            </w:r>
          </w:p>
        </w:tc>
        <w:tc>
          <w:tcPr>
            <w:tcW w:w="964" w:type="dxa"/>
            <w:tcBorders>
              <w:top w:val="nil"/>
              <w:left w:val="nil"/>
              <w:bottom w:val="nil"/>
              <w:right w:val="nil"/>
            </w:tcBorders>
            <w:shd w:val="clear" w:color="auto" w:fill="auto"/>
            <w:noWrap/>
            <w:vAlign w:val="bottom"/>
            <w:hideMark/>
          </w:tcPr>
          <w:p w14:paraId="369E30A9" w14:textId="77777777" w:rsidR="000B0168" w:rsidRDefault="000B0168">
            <w:pPr>
              <w:jc w:val="right"/>
              <w:rPr>
                <w:sz w:val="18"/>
                <w:szCs w:val="18"/>
              </w:rPr>
            </w:pPr>
            <w:r>
              <w:rPr>
                <w:sz w:val="18"/>
                <w:szCs w:val="18"/>
              </w:rPr>
              <w:t>120</w:t>
            </w:r>
          </w:p>
        </w:tc>
      </w:tr>
      <w:tr w:rsidR="000B0168" w14:paraId="61FE6645" w14:textId="77777777" w:rsidTr="000B0168">
        <w:trPr>
          <w:trHeight w:val="240"/>
        </w:trPr>
        <w:tc>
          <w:tcPr>
            <w:tcW w:w="640" w:type="dxa"/>
            <w:tcBorders>
              <w:top w:val="nil"/>
              <w:left w:val="nil"/>
              <w:bottom w:val="nil"/>
              <w:right w:val="nil"/>
            </w:tcBorders>
            <w:shd w:val="clear" w:color="auto" w:fill="auto"/>
            <w:noWrap/>
            <w:vAlign w:val="bottom"/>
            <w:hideMark/>
          </w:tcPr>
          <w:p w14:paraId="1E5437D3" w14:textId="77777777" w:rsidR="000B0168" w:rsidRDefault="000B0168">
            <w:pPr>
              <w:rPr>
                <w:sz w:val="18"/>
                <w:szCs w:val="18"/>
              </w:rPr>
            </w:pPr>
            <w:r>
              <w:rPr>
                <w:sz w:val="18"/>
                <w:szCs w:val="18"/>
              </w:rPr>
              <w:t>1.2.5.</w:t>
            </w:r>
          </w:p>
        </w:tc>
        <w:tc>
          <w:tcPr>
            <w:tcW w:w="2621" w:type="dxa"/>
            <w:tcBorders>
              <w:top w:val="nil"/>
              <w:left w:val="nil"/>
              <w:bottom w:val="nil"/>
              <w:right w:val="nil"/>
            </w:tcBorders>
            <w:shd w:val="clear" w:color="auto" w:fill="auto"/>
            <w:vAlign w:val="bottom"/>
            <w:hideMark/>
          </w:tcPr>
          <w:p w14:paraId="1FEE5E84" w14:textId="77777777" w:rsidR="000B0168" w:rsidRDefault="000B0168">
            <w:pPr>
              <w:rPr>
                <w:sz w:val="18"/>
                <w:szCs w:val="18"/>
              </w:rPr>
            </w:pPr>
            <w:r>
              <w:rPr>
                <w:sz w:val="18"/>
                <w:szCs w:val="18"/>
              </w:rPr>
              <w:t>Pomoći temeljem prijenosa EU sredstava</w:t>
            </w:r>
          </w:p>
        </w:tc>
        <w:tc>
          <w:tcPr>
            <w:tcW w:w="1418" w:type="dxa"/>
            <w:tcBorders>
              <w:top w:val="nil"/>
              <w:left w:val="nil"/>
              <w:bottom w:val="nil"/>
              <w:right w:val="nil"/>
            </w:tcBorders>
            <w:shd w:val="clear" w:color="auto" w:fill="auto"/>
            <w:noWrap/>
            <w:vAlign w:val="bottom"/>
            <w:hideMark/>
          </w:tcPr>
          <w:p w14:paraId="16AC9EA9" w14:textId="77777777" w:rsidR="000B0168" w:rsidRDefault="000B0168" w:rsidP="000B0168">
            <w:pPr>
              <w:jc w:val="right"/>
              <w:rPr>
                <w:sz w:val="18"/>
                <w:szCs w:val="18"/>
              </w:rPr>
            </w:pPr>
            <w:r>
              <w:rPr>
                <w:sz w:val="18"/>
                <w:szCs w:val="18"/>
              </w:rPr>
              <w:t xml:space="preserve">       1.208.772,94    </w:t>
            </w:r>
          </w:p>
        </w:tc>
        <w:tc>
          <w:tcPr>
            <w:tcW w:w="1251" w:type="dxa"/>
            <w:tcBorders>
              <w:top w:val="nil"/>
              <w:left w:val="nil"/>
              <w:bottom w:val="nil"/>
              <w:right w:val="nil"/>
            </w:tcBorders>
            <w:shd w:val="clear" w:color="auto" w:fill="auto"/>
            <w:noWrap/>
            <w:vAlign w:val="bottom"/>
            <w:hideMark/>
          </w:tcPr>
          <w:p w14:paraId="774F6F6A" w14:textId="77777777" w:rsidR="000B0168" w:rsidRDefault="000B0168" w:rsidP="000B0168">
            <w:pPr>
              <w:jc w:val="right"/>
              <w:rPr>
                <w:sz w:val="18"/>
                <w:szCs w:val="18"/>
              </w:rPr>
            </w:pPr>
            <w:r>
              <w:rPr>
                <w:sz w:val="18"/>
                <w:szCs w:val="18"/>
              </w:rPr>
              <w:t xml:space="preserve">            52.625,00    </w:t>
            </w:r>
          </w:p>
        </w:tc>
        <w:tc>
          <w:tcPr>
            <w:tcW w:w="1251" w:type="dxa"/>
            <w:tcBorders>
              <w:top w:val="nil"/>
              <w:left w:val="nil"/>
              <w:bottom w:val="nil"/>
              <w:right w:val="nil"/>
            </w:tcBorders>
            <w:shd w:val="clear" w:color="auto" w:fill="auto"/>
            <w:noWrap/>
            <w:vAlign w:val="bottom"/>
            <w:hideMark/>
          </w:tcPr>
          <w:p w14:paraId="3D723449" w14:textId="77777777" w:rsidR="000B0168" w:rsidRDefault="000B0168" w:rsidP="000B0168">
            <w:pPr>
              <w:jc w:val="right"/>
              <w:rPr>
                <w:sz w:val="18"/>
                <w:szCs w:val="18"/>
              </w:rPr>
            </w:pPr>
            <w:r>
              <w:rPr>
                <w:sz w:val="18"/>
                <w:szCs w:val="18"/>
              </w:rPr>
              <w:t xml:space="preserve">                         -      </w:t>
            </w:r>
          </w:p>
        </w:tc>
        <w:tc>
          <w:tcPr>
            <w:tcW w:w="711" w:type="dxa"/>
            <w:tcBorders>
              <w:top w:val="nil"/>
              <w:left w:val="nil"/>
              <w:bottom w:val="nil"/>
              <w:right w:val="nil"/>
            </w:tcBorders>
            <w:shd w:val="clear" w:color="auto" w:fill="auto"/>
            <w:noWrap/>
            <w:vAlign w:val="bottom"/>
            <w:hideMark/>
          </w:tcPr>
          <w:p w14:paraId="614CBB3F" w14:textId="77777777" w:rsidR="000B0168" w:rsidRDefault="000B0168">
            <w:pPr>
              <w:jc w:val="right"/>
              <w:rPr>
                <w:sz w:val="18"/>
                <w:szCs w:val="18"/>
              </w:rPr>
            </w:pPr>
            <w:r>
              <w:rPr>
                <w:sz w:val="18"/>
                <w:szCs w:val="18"/>
              </w:rPr>
              <w:t>0,00</w:t>
            </w:r>
          </w:p>
        </w:tc>
        <w:tc>
          <w:tcPr>
            <w:tcW w:w="926" w:type="dxa"/>
            <w:tcBorders>
              <w:top w:val="nil"/>
              <w:left w:val="nil"/>
              <w:bottom w:val="nil"/>
              <w:right w:val="nil"/>
            </w:tcBorders>
            <w:shd w:val="clear" w:color="auto" w:fill="auto"/>
            <w:noWrap/>
            <w:vAlign w:val="bottom"/>
            <w:hideMark/>
          </w:tcPr>
          <w:p w14:paraId="57B83AD9" w14:textId="77777777" w:rsidR="000B0168" w:rsidRDefault="000B0168">
            <w:pPr>
              <w:jc w:val="right"/>
              <w:rPr>
                <w:sz w:val="18"/>
                <w:szCs w:val="18"/>
              </w:rPr>
            </w:pPr>
            <w:r>
              <w:rPr>
                <w:sz w:val="18"/>
                <w:szCs w:val="18"/>
              </w:rPr>
              <w:t>0</w:t>
            </w:r>
          </w:p>
        </w:tc>
        <w:tc>
          <w:tcPr>
            <w:tcW w:w="964" w:type="dxa"/>
            <w:tcBorders>
              <w:top w:val="nil"/>
              <w:left w:val="nil"/>
              <w:bottom w:val="nil"/>
              <w:right w:val="nil"/>
            </w:tcBorders>
            <w:shd w:val="clear" w:color="auto" w:fill="auto"/>
            <w:noWrap/>
            <w:vAlign w:val="bottom"/>
            <w:hideMark/>
          </w:tcPr>
          <w:p w14:paraId="51B6844D" w14:textId="77777777" w:rsidR="000B0168" w:rsidRDefault="000B0168">
            <w:pPr>
              <w:jc w:val="right"/>
              <w:rPr>
                <w:sz w:val="18"/>
                <w:szCs w:val="18"/>
              </w:rPr>
            </w:pPr>
            <w:r>
              <w:rPr>
                <w:sz w:val="18"/>
                <w:szCs w:val="18"/>
              </w:rPr>
              <w:t>0</w:t>
            </w:r>
          </w:p>
        </w:tc>
      </w:tr>
      <w:tr w:rsidR="000B0168" w14:paraId="7C415D4C" w14:textId="77777777" w:rsidTr="000B0168">
        <w:trPr>
          <w:trHeight w:val="240"/>
        </w:trPr>
        <w:tc>
          <w:tcPr>
            <w:tcW w:w="640" w:type="dxa"/>
            <w:tcBorders>
              <w:top w:val="nil"/>
              <w:left w:val="nil"/>
              <w:bottom w:val="nil"/>
              <w:right w:val="nil"/>
            </w:tcBorders>
            <w:shd w:val="clear" w:color="000000" w:fill="CCFFFF"/>
            <w:noWrap/>
            <w:vAlign w:val="bottom"/>
            <w:hideMark/>
          </w:tcPr>
          <w:p w14:paraId="77A65F45" w14:textId="77777777" w:rsidR="000B0168" w:rsidRDefault="000B0168">
            <w:pPr>
              <w:rPr>
                <w:sz w:val="18"/>
                <w:szCs w:val="18"/>
              </w:rPr>
            </w:pPr>
            <w:r>
              <w:rPr>
                <w:sz w:val="18"/>
                <w:szCs w:val="18"/>
              </w:rPr>
              <w:t>1.3.</w:t>
            </w:r>
          </w:p>
        </w:tc>
        <w:tc>
          <w:tcPr>
            <w:tcW w:w="2621" w:type="dxa"/>
            <w:tcBorders>
              <w:top w:val="nil"/>
              <w:left w:val="nil"/>
              <w:bottom w:val="nil"/>
              <w:right w:val="nil"/>
            </w:tcBorders>
            <w:shd w:val="clear" w:color="000000" w:fill="CCFFFF"/>
            <w:noWrap/>
            <w:vAlign w:val="bottom"/>
            <w:hideMark/>
          </w:tcPr>
          <w:p w14:paraId="44A1E416" w14:textId="77777777" w:rsidR="000B0168" w:rsidRDefault="000B0168">
            <w:pPr>
              <w:rPr>
                <w:sz w:val="18"/>
                <w:szCs w:val="18"/>
              </w:rPr>
            </w:pPr>
            <w:r>
              <w:rPr>
                <w:sz w:val="18"/>
                <w:szCs w:val="18"/>
              </w:rPr>
              <w:t>Prihodi od imovine</w:t>
            </w:r>
          </w:p>
        </w:tc>
        <w:tc>
          <w:tcPr>
            <w:tcW w:w="1418" w:type="dxa"/>
            <w:tcBorders>
              <w:top w:val="nil"/>
              <w:left w:val="nil"/>
              <w:bottom w:val="nil"/>
              <w:right w:val="nil"/>
            </w:tcBorders>
            <w:shd w:val="clear" w:color="000000" w:fill="CCFFFF"/>
            <w:noWrap/>
            <w:vAlign w:val="bottom"/>
            <w:hideMark/>
          </w:tcPr>
          <w:p w14:paraId="11B7E9F3" w14:textId="77777777" w:rsidR="000B0168" w:rsidRDefault="000B0168" w:rsidP="000B0168">
            <w:pPr>
              <w:jc w:val="right"/>
              <w:rPr>
                <w:sz w:val="18"/>
                <w:szCs w:val="18"/>
              </w:rPr>
            </w:pPr>
            <w:r>
              <w:rPr>
                <w:sz w:val="18"/>
                <w:szCs w:val="18"/>
              </w:rPr>
              <w:t xml:space="preserve">       1.472.416,63    </w:t>
            </w:r>
          </w:p>
        </w:tc>
        <w:tc>
          <w:tcPr>
            <w:tcW w:w="1251" w:type="dxa"/>
            <w:tcBorders>
              <w:top w:val="nil"/>
              <w:left w:val="nil"/>
              <w:bottom w:val="nil"/>
              <w:right w:val="nil"/>
            </w:tcBorders>
            <w:shd w:val="clear" w:color="000000" w:fill="CCFFFF"/>
            <w:noWrap/>
            <w:vAlign w:val="bottom"/>
            <w:hideMark/>
          </w:tcPr>
          <w:p w14:paraId="5796CD77" w14:textId="77777777" w:rsidR="000B0168" w:rsidRDefault="000B0168" w:rsidP="000B0168">
            <w:pPr>
              <w:jc w:val="right"/>
              <w:rPr>
                <w:sz w:val="18"/>
                <w:szCs w:val="18"/>
              </w:rPr>
            </w:pPr>
            <w:r>
              <w:rPr>
                <w:sz w:val="18"/>
                <w:szCs w:val="18"/>
              </w:rPr>
              <w:t xml:space="preserve">       1.565.134,00    </w:t>
            </w:r>
          </w:p>
        </w:tc>
        <w:tc>
          <w:tcPr>
            <w:tcW w:w="1251" w:type="dxa"/>
            <w:tcBorders>
              <w:top w:val="nil"/>
              <w:left w:val="nil"/>
              <w:bottom w:val="nil"/>
              <w:right w:val="nil"/>
            </w:tcBorders>
            <w:shd w:val="clear" w:color="000000" w:fill="CCFFFF"/>
            <w:noWrap/>
            <w:vAlign w:val="bottom"/>
            <w:hideMark/>
          </w:tcPr>
          <w:p w14:paraId="4F55454A" w14:textId="77777777" w:rsidR="000B0168" w:rsidRDefault="000B0168" w:rsidP="000B0168">
            <w:pPr>
              <w:jc w:val="right"/>
              <w:rPr>
                <w:sz w:val="18"/>
                <w:szCs w:val="18"/>
              </w:rPr>
            </w:pPr>
            <w:r>
              <w:rPr>
                <w:sz w:val="18"/>
                <w:szCs w:val="18"/>
              </w:rPr>
              <w:t xml:space="preserve">       1.514.223,77    </w:t>
            </w:r>
          </w:p>
        </w:tc>
        <w:tc>
          <w:tcPr>
            <w:tcW w:w="711" w:type="dxa"/>
            <w:tcBorders>
              <w:top w:val="nil"/>
              <w:left w:val="nil"/>
              <w:bottom w:val="nil"/>
              <w:right w:val="nil"/>
            </w:tcBorders>
            <w:shd w:val="clear" w:color="000000" w:fill="CCFFFF"/>
            <w:noWrap/>
            <w:vAlign w:val="bottom"/>
            <w:hideMark/>
          </w:tcPr>
          <w:p w14:paraId="155019C7" w14:textId="77777777" w:rsidR="000B0168" w:rsidRDefault="000B0168">
            <w:pPr>
              <w:jc w:val="right"/>
              <w:rPr>
                <w:sz w:val="18"/>
                <w:szCs w:val="18"/>
              </w:rPr>
            </w:pPr>
            <w:r>
              <w:rPr>
                <w:sz w:val="18"/>
                <w:szCs w:val="18"/>
              </w:rPr>
              <w:t>3,99</w:t>
            </w:r>
          </w:p>
        </w:tc>
        <w:tc>
          <w:tcPr>
            <w:tcW w:w="926" w:type="dxa"/>
            <w:tcBorders>
              <w:top w:val="nil"/>
              <w:left w:val="nil"/>
              <w:bottom w:val="nil"/>
              <w:right w:val="nil"/>
            </w:tcBorders>
            <w:shd w:val="clear" w:color="000000" w:fill="CCFFFF"/>
            <w:noWrap/>
            <w:vAlign w:val="bottom"/>
            <w:hideMark/>
          </w:tcPr>
          <w:p w14:paraId="3CF99E5E" w14:textId="77777777" w:rsidR="000B0168" w:rsidRDefault="000B0168">
            <w:pPr>
              <w:jc w:val="right"/>
              <w:rPr>
                <w:sz w:val="18"/>
                <w:szCs w:val="18"/>
              </w:rPr>
            </w:pPr>
            <w:r>
              <w:rPr>
                <w:sz w:val="18"/>
                <w:szCs w:val="18"/>
              </w:rPr>
              <w:t>103</w:t>
            </w:r>
          </w:p>
        </w:tc>
        <w:tc>
          <w:tcPr>
            <w:tcW w:w="964" w:type="dxa"/>
            <w:tcBorders>
              <w:top w:val="nil"/>
              <w:left w:val="nil"/>
              <w:bottom w:val="nil"/>
              <w:right w:val="nil"/>
            </w:tcBorders>
            <w:shd w:val="clear" w:color="000000" w:fill="CCFFFF"/>
            <w:noWrap/>
            <w:vAlign w:val="bottom"/>
            <w:hideMark/>
          </w:tcPr>
          <w:p w14:paraId="4F3D4308" w14:textId="77777777" w:rsidR="000B0168" w:rsidRDefault="000B0168">
            <w:pPr>
              <w:jc w:val="right"/>
              <w:rPr>
                <w:sz w:val="18"/>
                <w:szCs w:val="18"/>
              </w:rPr>
            </w:pPr>
            <w:r>
              <w:rPr>
                <w:sz w:val="18"/>
                <w:szCs w:val="18"/>
              </w:rPr>
              <w:t>97</w:t>
            </w:r>
          </w:p>
        </w:tc>
      </w:tr>
      <w:tr w:rsidR="000B0168" w14:paraId="3BF8805B" w14:textId="77777777" w:rsidTr="000B0168">
        <w:trPr>
          <w:trHeight w:val="240"/>
        </w:trPr>
        <w:tc>
          <w:tcPr>
            <w:tcW w:w="640" w:type="dxa"/>
            <w:tcBorders>
              <w:top w:val="nil"/>
              <w:left w:val="nil"/>
              <w:bottom w:val="nil"/>
              <w:right w:val="nil"/>
            </w:tcBorders>
            <w:shd w:val="clear" w:color="auto" w:fill="auto"/>
            <w:noWrap/>
            <w:vAlign w:val="bottom"/>
            <w:hideMark/>
          </w:tcPr>
          <w:p w14:paraId="72A5332E" w14:textId="77777777" w:rsidR="000B0168" w:rsidRDefault="000B0168">
            <w:pPr>
              <w:rPr>
                <w:sz w:val="18"/>
                <w:szCs w:val="18"/>
              </w:rPr>
            </w:pPr>
            <w:r>
              <w:rPr>
                <w:sz w:val="18"/>
                <w:szCs w:val="18"/>
              </w:rPr>
              <w:t>1.3.1.</w:t>
            </w:r>
          </w:p>
        </w:tc>
        <w:tc>
          <w:tcPr>
            <w:tcW w:w="2621" w:type="dxa"/>
            <w:tcBorders>
              <w:top w:val="nil"/>
              <w:left w:val="nil"/>
              <w:bottom w:val="nil"/>
              <w:right w:val="nil"/>
            </w:tcBorders>
            <w:shd w:val="clear" w:color="auto" w:fill="auto"/>
            <w:vAlign w:val="bottom"/>
            <w:hideMark/>
          </w:tcPr>
          <w:p w14:paraId="46A94E3E" w14:textId="77777777" w:rsidR="000B0168" w:rsidRDefault="000B0168">
            <w:pPr>
              <w:rPr>
                <w:sz w:val="18"/>
                <w:szCs w:val="18"/>
              </w:rPr>
            </w:pPr>
            <w:r>
              <w:rPr>
                <w:sz w:val="18"/>
                <w:szCs w:val="18"/>
              </w:rPr>
              <w:t>Prihodi od financijske imovine</w:t>
            </w:r>
          </w:p>
        </w:tc>
        <w:tc>
          <w:tcPr>
            <w:tcW w:w="1418" w:type="dxa"/>
            <w:tcBorders>
              <w:top w:val="nil"/>
              <w:left w:val="nil"/>
              <w:bottom w:val="nil"/>
              <w:right w:val="nil"/>
            </w:tcBorders>
            <w:shd w:val="clear" w:color="auto" w:fill="auto"/>
            <w:noWrap/>
            <w:vAlign w:val="bottom"/>
            <w:hideMark/>
          </w:tcPr>
          <w:p w14:paraId="682B74F7" w14:textId="77777777" w:rsidR="000B0168" w:rsidRDefault="000B0168" w:rsidP="000B0168">
            <w:pPr>
              <w:jc w:val="right"/>
              <w:rPr>
                <w:sz w:val="18"/>
                <w:szCs w:val="18"/>
              </w:rPr>
            </w:pPr>
            <w:r>
              <w:rPr>
                <w:sz w:val="18"/>
                <w:szCs w:val="18"/>
              </w:rPr>
              <w:t xml:space="preserve">          124.482,19    </w:t>
            </w:r>
          </w:p>
        </w:tc>
        <w:tc>
          <w:tcPr>
            <w:tcW w:w="1251" w:type="dxa"/>
            <w:tcBorders>
              <w:top w:val="nil"/>
              <w:left w:val="nil"/>
              <w:bottom w:val="nil"/>
              <w:right w:val="nil"/>
            </w:tcBorders>
            <w:shd w:val="clear" w:color="auto" w:fill="auto"/>
            <w:noWrap/>
            <w:vAlign w:val="bottom"/>
            <w:hideMark/>
          </w:tcPr>
          <w:p w14:paraId="66331CC4" w14:textId="77777777" w:rsidR="000B0168" w:rsidRDefault="000B0168" w:rsidP="000B0168">
            <w:pPr>
              <w:jc w:val="right"/>
              <w:rPr>
                <w:sz w:val="18"/>
                <w:szCs w:val="18"/>
              </w:rPr>
            </w:pPr>
            <w:r>
              <w:rPr>
                <w:sz w:val="18"/>
                <w:szCs w:val="18"/>
              </w:rPr>
              <w:t xml:space="preserve">          126.000,00    </w:t>
            </w:r>
          </w:p>
        </w:tc>
        <w:tc>
          <w:tcPr>
            <w:tcW w:w="1251" w:type="dxa"/>
            <w:tcBorders>
              <w:top w:val="nil"/>
              <w:left w:val="nil"/>
              <w:bottom w:val="nil"/>
              <w:right w:val="nil"/>
            </w:tcBorders>
            <w:shd w:val="clear" w:color="auto" w:fill="auto"/>
            <w:noWrap/>
            <w:vAlign w:val="bottom"/>
            <w:hideMark/>
          </w:tcPr>
          <w:p w14:paraId="51E380C4" w14:textId="77777777" w:rsidR="000B0168" w:rsidRDefault="000B0168" w:rsidP="000B0168">
            <w:pPr>
              <w:jc w:val="right"/>
              <w:rPr>
                <w:sz w:val="18"/>
                <w:szCs w:val="18"/>
              </w:rPr>
            </w:pPr>
            <w:r>
              <w:rPr>
                <w:sz w:val="18"/>
                <w:szCs w:val="18"/>
              </w:rPr>
              <w:t xml:space="preserve">          123.872,77    </w:t>
            </w:r>
          </w:p>
        </w:tc>
        <w:tc>
          <w:tcPr>
            <w:tcW w:w="711" w:type="dxa"/>
            <w:tcBorders>
              <w:top w:val="nil"/>
              <w:left w:val="nil"/>
              <w:bottom w:val="nil"/>
              <w:right w:val="nil"/>
            </w:tcBorders>
            <w:shd w:val="clear" w:color="auto" w:fill="auto"/>
            <w:noWrap/>
            <w:vAlign w:val="bottom"/>
            <w:hideMark/>
          </w:tcPr>
          <w:p w14:paraId="1FCFB8D2" w14:textId="77777777" w:rsidR="000B0168" w:rsidRDefault="000B0168">
            <w:pPr>
              <w:jc w:val="right"/>
              <w:rPr>
                <w:sz w:val="18"/>
                <w:szCs w:val="18"/>
              </w:rPr>
            </w:pPr>
            <w:r>
              <w:rPr>
                <w:sz w:val="18"/>
                <w:szCs w:val="18"/>
              </w:rPr>
              <w:t>0,33</w:t>
            </w:r>
          </w:p>
        </w:tc>
        <w:tc>
          <w:tcPr>
            <w:tcW w:w="926" w:type="dxa"/>
            <w:tcBorders>
              <w:top w:val="nil"/>
              <w:left w:val="nil"/>
              <w:bottom w:val="nil"/>
              <w:right w:val="nil"/>
            </w:tcBorders>
            <w:shd w:val="clear" w:color="auto" w:fill="auto"/>
            <w:noWrap/>
            <w:vAlign w:val="bottom"/>
            <w:hideMark/>
          </w:tcPr>
          <w:p w14:paraId="7EF20D0D" w14:textId="77777777" w:rsidR="000B0168" w:rsidRDefault="000B0168">
            <w:pPr>
              <w:jc w:val="right"/>
              <w:rPr>
                <w:sz w:val="18"/>
                <w:szCs w:val="18"/>
              </w:rPr>
            </w:pPr>
            <w:r>
              <w:rPr>
                <w:sz w:val="18"/>
                <w:szCs w:val="18"/>
              </w:rPr>
              <w:t>100</w:t>
            </w:r>
          </w:p>
        </w:tc>
        <w:tc>
          <w:tcPr>
            <w:tcW w:w="964" w:type="dxa"/>
            <w:tcBorders>
              <w:top w:val="nil"/>
              <w:left w:val="nil"/>
              <w:bottom w:val="nil"/>
              <w:right w:val="nil"/>
            </w:tcBorders>
            <w:shd w:val="clear" w:color="auto" w:fill="auto"/>
            <w:noWrap/>
            <w:vAlign w:val="bottom"/>
            <w:hideMark/>
          </w:tcPr>
          <w:p w14:paraId="26EBB7D7" w14:textId="77777777" w:rsidR="000B0168" w:rsidRDefault="000B0168">
            <w:pPr>
              <w:jc w:val="right"/>
              <w:rPr>
                <w:sz w:val="18"/>
                <w:szCs w:val="18"/>
              </w:rPr>
            </w:pPr>
            <w:r>
              <w:rPr>
                <w:sz w:val="18"/>
                <w:szCs w:val="18"/>
              </w:rPr>
              <w:t>98</w:t>
            </w:r>
          </w:p>
        </w:tc>
      </w:tr>
      <w:tr w:rsidR="000B0168" w14:paraId="27D2A70C" w14:textId="77777777" w:rsidTr="000B0168">
        <w:trPr>
          <w:trHeight w:val="240"/>
        </w:trPr>
        <w:tc>
          <w:tcPr>
            <w:tcW w:w="640" w:type="dxa"/>
            <w:tcBorders>
              <w:top w:val="nil"/>
              <w:left w:val="nil"/>
              <w:bottom w:val="nil"/>
              <w:right w:val="nil"/>
            </w:tcBorders>
            <w:shd w:val="clear" w:color="auto" w:fill="auto"/>
            <w:noWrap/>
            <w:vAlign w:val="bottom"/>
            <w:hideMark/>
          </w:tcPr>
          <w:p w14:paraId="47610750" w14:textId="77777777" w:rsidR="000B0168" w:rsidRDefault="000B0168">
            <w:pPr>
              <w:rPr>
                <w:sz w:val="18"/>
                <w:szCs w:val="18"/>
              </w:rPr>
            </w:pPr>
            <w:r>
              <w:rPr>
                <w:sz w:val="18"/>
                <w:szCs w:val="18"/>
              </w:rPr>
              <w:t>1.3.2.</w:t>
            </w:r>
          </w:p>
        </w:tc>
        <w:tc>
          <w:tcPr>
            <w:tcW w:w="2621" w:type="dxa"/>
            <w:tcBorders>
              <w:top w:val="nil"/>
              <w:left w:val="nil"/>
              <w:bottom w:val="nil"/>
              <w:right w:val="nil"/>
            </w:tcBorders>
            <w:shd w:val="clear" w:color="auto" w:fill="auto"/>
            <w:vAlign w:val="bottom"/>
            <w:hideMark/>
          </w:tcPr>
          <w:p w14:paraId="7062633F" w14:textId="77777777" w:rsidR="000B0168" w:rsidRDefault="000B0168">
            <w:pPr>
              <w:rPr>
                <w:sz w:val="18"/>
                <w:szCs w:val="18"/>
              </w:rPr>
            </w:pPr>
            <w:r>
              <w:rPr>
                <w:sz w:val="18"/>
                <w:szCs w:val="18"/>
              </w:rPr>
              <w:t>Prihodi od nefinancijske imovine</w:t>
            </w:r>
          </w:p>
        </w:tc>
        <w:tc>
          <w:tcPr>
            <w:tcW w:w="1418" w:type="dxa"/>
            <w:tcBorders>
              <w:top w:val="nil"/>
              <w:left w:val="nil"/>
              <w:bottom w:val="nil"/>
              <w:right w:val="nil"/>
            </w:tcBorders>
            <w:shd w:val="clear" w:color="auto" w:fill="auto"/>
            <w:noWrap/>
            <w:vAlign w:val="bottom"/>
            <w:hideMark/>
          </w:tcPr>
          <w:p w14:paraId="09866A44" w14:textId="77777777" w:rsidR="000B0168" w:rsidRDefault="000B0168" w:rsidP="000B0168">
            <w:pPr>
              <w:jc w:val="right"/>
              <w:rPr>
                <w:sz w:val="18"/>
                <w:szCs w:val="18"/>
              </w:rPr>
            </w:pPr>
            <w:r>
              <w:rPr>
                <w:sz w:val="18"/>
                <w:szCs w:val="18"/>
              </w:rPr>
              <w:t xml:space="preserve">       1.322.517,59    </w:t>
            </w:r>
          </w:p>
        </w:tc>
        <w:tc>
          <w:tcPr>
            <w:tcW w:w="1251" w:type="dxa"/>
            <w:tcBorders>
              <w:top w:val="nil"/>
              <w:left w:val="nil"/>
              <w:bottom w:val="nil"/>
              <w:right w:val="nil"/>
            </w:tcBorders>
            <w:shd w:val="clear" w:color="auto" w:fill="auto"/>
            <w:noWrap/>
            <w:vAlign w:val="bottom"/>
            <w:hideMark/>
          </w:tcPr>
          <w:p w14:paraId="04A76848" w14:textId="77777777" w:rsidR="000B0168" w:rsidRDefault="000B0168" w:rsidP="000B0168">
            <w:pPr>
              <w:jc w:val="right"/>
              <w:rPr>
                <w:sz w:val="18"/>
                <w:szCs w:val="18"/>
              </w:rPr>
            </w:pPr>
            <w:r>
              <w:rPr>
                <w:sz w:val="18"/>
                <w:szCs w:val="18"/>
              </w:rPr>
              <w:t xml:space="preserve">       1.401.634,00    </w:t>
            </w:r>
          </w:p>
        </w:tc>
        <w:tc>
          <w:tcPr>
            <w:tcW w:w="1251" w:type="dxa"/>
            <w:tcBorders>
              <w:top w:val="nil"/>
              <w:left w:val="nil"/>
              <w:bottom w:val="nil"/>
              <w:right w:val="nil"/>
            </w:tcBorders>
            <w:shd w:val="clear" w:color="auto" w:fill="auto"/>
            <w:noWrap/>
            <w:vAlign w:val="bottom"/>
            <w:hideMark/>
          </w:tcPr>
          <w:p w14:paraId="255840C3" w14:textId="77777777" w:rsidR="000B0168" w:rsidRDefault="000B0168" w:rsidP="000B0168">
            <w:pPr>
              <w:jc w:val="right"/>
              <w:rPr>
                <w:sz w:val="18"/>
                <w:szCs w:val="18"/>
              </w:rPr>
            </w:pPr>
            <w:r>
              <w:rPr>
                <w:sz w:val="18"/>
                <w:szCs w:val="18"/>
              </w:rPr>
              <w:t xml:space="preserve">       1.356.277,45    </w:t>
            </w:r>
          </w:p>
        </w:tc>
        <w:tc>
          <w:tcPr>
            <w:tcW w:w="711" w:type="dxa"/>
            <w:tcBorders>
              <w:top w:val="nil"/>
              <w:left w:val="nil"/>
              <w:bottom w:val="nil"/>
              <w:right w:val="nil"/>
            </w:tcBorders>
            <w:shd w:val="clear" w:color="auto" w:fill="auto"/>
            <w:noWrap/>
            <w:vAlign w:val="bottom"/>
            <w:hideMark/>
          </w:tcPr>
          <w:p w14:paraId="45B951EE" w14:textId="77777777" w:rsidR="000B0168" w:rsidRDefault="000B0168">
            <w:pPr>
              <w:jc w:val="right"/>
              <w:rPr>
                <w:sz w:val="18"/>
                <w:szCs w:val="18"/>
              </w:rPr>
            </w:pPr>
            <w:r>
              <w:rPr>
                <w:sz w:val="18"/>
                <w:szCs w:val="18"/>
              </w:rPr>
              <w:t>3,58</w:t>
            </w:r>
          </w:p>
        </w:tc>
        <w:tc>
          <w:tcPr>
            <w:tcW w:w="926" w:type="dxa"/>
            <w:tcBorders>
              <w:top w:val="nil"/>
              <w:left w:val="nil"/>
              <w:bottom w:val="nil"/>
              <w:right w:val="nil"/>
            </w:tcBorders>
            <w:shd w:val="clear" w:color="auto" w:fill="auto"/>
            <w:noWrap/>
            <w:vAlign w:val="bottom"/>
            <w:hideMark/>
          </w:tcPr>
          <w:p w14:paraId="7188F02C" w14:textId="77777777" w:rsidR="000B0168" w:rsidRDefault="000B0168">
            <w:pPr>
              <w:jc w:val="right"/>
              <w:rPr>
                <w:sz w:val="18"/>
                <w:szCs w:val="18"/>
              </w:rPr>
            </w:pPr>
            <w:r>
              <w:rPr>
                <w:sz w:val="18"/>
                <w:szCs w:val="18"/>
              </w:rPr>
              <w:t>103</w:t>
            </w:r>
          </w:p>
        </w:tc>
        <w:tc>
          <w:tcPr>
            <w:tcW w:w="964" w:type="dxa"/>
            <w:tcBorders>
              <w:top w:val="nil"/>
              <w:left w:val="nil"/>
              <w:bottom w:val="nil"/>
              <w:right w:val="nil"/>
            </w:tcBorders>
            <w:shd w:val="clear" w:color="auto" w:fill="auto"/>
            <w:noWrap/>
            <w:vAlign w:val="bottom"/>
            <w:hideMark/>
          </w:tcPr>
          <w:p w14:paraId="2D72CA96" w14:textId="77777777" w:rsidR="000B0168" w:rsidRDefault="000B0168">
            <w:pPr>
              <w:jc w:val="right"/>
              <w:rPr>
                <w:sz w:val="18"/>
                <w:szCs w:val="18"/>
              </w:rPr>
            </w:pPr>
            <w:r>
              <w:rPr>
                <w:sz w:val="18"/>
                <w:szCs w:val="18"/>
              </w:rPr>
              <w:t>97</w:t>
            </w:r>
          </w:p>
        </w:tc>
      </w:tr>
      <w:tr w:rsidR="000B0168" w14:paraId="2B83E333" w14:textId="77777777" w:rsidTr="000B0168">
        <w:trPr>
          <w:trHeight w:val="240"/>
        </w:trPr>
        <w:tc>
          <w:tcPr>
            <w:tcW w:w="640" w:type="dxa"/>
            <w:tcBorders>
              <w:top w:val="nil"/>
              <w:left w:val="nil"/>
              <w:bottom w:val="nil"/>
              <w:right w:val="nil"/>
            </w:tcBorders>
            <w:shd w:val="clear" w:color="auto" w:fill="auto"/>
            <w:noWrap/>
            <w:vAlign w:val="bottom"/>
            <w:hideMark/>
          </w:tcPr>
          <w:p w14:paraId="575F46EF" w14:textId="77777777" w:rsidR="000B0168" w:rsidRDefault="000B0168">
            <w:pPr>
              <w:rPr>
                <w:sz w:val="18"/>
                <w:szCs w:val="18"/>
              </w:rPr>
            </w:pPr>
            <w:r>
              <w:rPr>
                <w:sz w:val="18"/>
                <w:szCs w:val="18"/>
              </w:rPr>
              <w:t>1.3.3.</w:t>
            </w:r>
          </w:p>
        </w:tc>
        <w:tc>
          <w:tcPr>
            <w:tcW w:w="2621" w:type="dxa"/>
            <w:tcBorders>
              <w:top w:val="nil"/>
              <w:left w:val="nil"/>
              <w:bottom w:val="nil"/>
              <w:right w:val="nil"/>
            </w:tcBorders>
            <w:shd w:val="clear" w:color="auto" w:fill="auto"/>
            <w:vAlign w:val="bottom"/>
            <w:hideMark/>
          </w:tcPr>
          <w:p w14:paraId="7D3114EA" w14:textId="77777777" w:rsidR="000B0168" w:rsidRDefault="000B0168">
            <w:pPr>
              <w:rPr>
                <w:sz w:val="18"/>
                <w:szCs w:val="18"/>
              </w:rPr>
            </w:pPr>
            <w:r>
              <w:rPr>
                <w:sz w:val="18"/>
                <w:szCs w:val="18"/>
              </w:rPr>
              <w:t>Prihodi od kamata na dane zajmove</w:t>
            </w:r>
          </w:p>
        </w:tc>
        <w:tc>
          <w:tcPr>
            <w:tcW w:w="1418" w:type="dxa"/>
            <w:tcBorders>
              <w:top w:val="nil"/>
              <w:left w:val="nil"/>
              <w:bottom w:val="nil"/>
              <w:right w:val="nil"/>
            </w:tcBorders>
            <w:shd w:val="clear" w:color="auto" w:fill="auto"/>
            <w:noWrap/>
            <w:vAlign w:val="bottom"/>
            <w:hideMark/>
          </w:tcPr>
          <w:p w14:paraId="5EFC49E5" w14:textId="77777777" w:rsidR="000B0168" w:rsidRDefault="000B0168" w:rsidP="000B0168">
            <w:pPr>
              <w:jc w:val="right"/>
              <w:rPr>
                <w:sz w:val="18"/>
                <w:szCs w:val="18"/>
              </w:rPr>
            </w:pPr>
            <w:r>
              <w:rPr>
                <w:sz w:val="18"/>
                <w:szCs w:val="18"/>
              </w:rPr>
              <w:t xml:space="preserve">            25.416,85    </w:t>
            </w:r>
          </w:p>
        </w:tc>
        <w:tc>
          <w:tcPr>
            <w:tcW w:w="1251" w:type="dxa"/>
            <w:tcBorders>
              <w:top w:val="nil"/>
              <w:left w:val="nil"/>
              <w:bottom w:val="nil"/>
              <w:right w:val="nil"/>
            </w:tcBorders>
            <w:shd w:val="clear" w:color="auto" w:fill="auto"/>
            <w:noWrap/>
            <w:vAlign w:val="bottom"/>
            <w:hideMark/>
          </w:tcPr>
          <w:p w14:paraId="0FABBDD2" w14:textId="77777777" w:rsidR="000B0168" w:rsidRDefault="000B0168" w:rsidP="000B0168">
            <w:pPr>
              <w:jc w:val="right"/>
              <w:rPr>
                <w:sz w:val="18"/>
                <w:szCs w:val="18"/>
              </w:rPr>
            </w:pPr>
            <w:r>
              <w:rPr>
                <w:sz w:val="18"/>
                <w:szCs w:val="18"/>
              </w:rPr>
              <w:t xml:space="preserve">            37.500,00    </w:t>
            </w:r>
          </w:p>
        </w:tc>
        <w:tc>
          <w:tcPr>
            <w:tcW w:w="1251" w:type="dxa"/>
            <w:tcBorders>
              <w:top w:val="nil"/>
              <w:left w:val="nil"/>
              <w:bottom w:val="nil"/>
              <w:right w:val="nil"/>
            </w:tcBorders>
            <w:shd w:val="clear" w:color="auto" w:fill="auto"/>
            <w:noWrap/>
            <w:vAlign w:val="bottom"/>
            <w:hideMark/>
          </w:tcPr>
          <w:p w14:paraId="4A9DDCC8" w14:textId="77777777" w:rsidR="000B0168" w:rsidRDefault="000B0168" w:rsidP="000B0168">
            <w:pPr>
              <w:jc w:val="right"/>
              <w:rPr>
                <w:sz w:val="18"/>
                <w:szCs w:val="18"/>
              </w:rPr>
            </w:pPr>
            <w:r>
              <w:rPr>
                <w:sz w:val="18"/>
                <w:szCs w:val="18"/>
              </w:rPr>
              <w:t xml:space="preserve">            34.073,55    </w:t>
            </w:r>
          </w:p>
        </w:tc>
        <w:tc>
          <w:tcPr>
            <w:tcW w:w="711" w:type="dxa"/>
            <w:tcBorders>
              <w:top w:val="nil"/>
              <w:left w:val="nil"/>
              <w:bottom w:val="nil"/>
              <w:right w:val="nil"/>
            </w:tcBorders>
            <w:shd w:val="clear" w:color="auto" w:fill="auto"/>
            <w:noWrap/>
            <w:vAlign w:val="bottom"/>
            <w:hideMark/>
          </w:tcPr>
          <w:p w14:paraId="252BC70A" w14:textId="77777777" w:rsidR="000B0168" w:rsidRDefault="000B0168">
            <w:pPr>
              <w:jc w:val="right"/>
              <w:rPr>
                <w:sz w:val="18"/>
                <w:szCs w:val="18"/>
              </w:rPr>
            </w:pPr>
            <w:r>
              <w:rPr>
                <w:sz w:val="18"/>
                <w:szCs w:val="18"/>
              </w:rPr>
              <w:t>0,09</w:t>
            </w:r>
          </w:p>
        </w:tc>
        <w:tc>
          <w:tcPr>
            <w:tcW w:w="926" w:type="dxa"/>
            <w:tcBorders>
              <w:top w:val="nil"/>
              <w:left w:val="nil"/>
              <w:bottom w:val="nil"/>
              <w:right w:val="nil"/>
            </w:tcBorders>
            <w:shd w:val="clear" w:color="auto" w:fill="auto"/>
            <w:noWrap/>
            <w:vAlign w:val="bottom"/>
            <w:hideMark/>
          </w:tcPr>
          <w:p w14:paraId="1B7F9111" w14:textId="77777777" w:rsidR="000B0168" w:rsidRDefault="000B0168">
            <w:pPr>
              <w:jc w:val="right"/>
              <w:rPr>
                <w:sz w:val="18"/>
                <w:szCs w:val="18"/>
              </w:rPr>
            </w:pPr>
            <w:r>
              <w:rPr>
                <w:sz w:val="18"/>
                <w:szCs w:val="18"/>
              </w:rPr>
              <w:t>134</w:t>
            </w:r>
          </w:p>
        </w:tc>
        <w:tc>
          <w:tcPr>
            <w:tcW w:w="964" w:type="dxa"/>
            <w:tcBorders>
              <w:top w:val="nil"/>
              <w:left w:val="nil"/>
              <w:bottom w:val="nil"/>
              <w:right w:val="nil"/>
            </w:tcBorders>
            <w:shd w:val="clear" w:color="auto" w:fill="auto"/>
            <w:noWrap/>
            <w:vAlign w:val="bottom"/>
            <w:hideMark/>
          </w:tcPr>
          <w:p w14:paraId="07ED0921" w14:textId="77777777" w:rsidR="000B0168" w:rsidRDefault="000B0168">
            <w:pPr>
              <w:jc w:val="right"/>
              <w:rPr>
                <w:sz w:val="18"/>
                <w:szCs w:val="18"/>
              </w:rPr>
            </w:pPr>
            <w:r>
              <w:rPr>
                <w:sz w:val="18"/>
                <w:szCs w:val="18"/>
              </w:rPr>
              <w:t>91</w:t>
            </w:r>
          </w:p>
        </w:tc>
      </w:tr>
      <w:tr w:rsidR="000B0168" w14:paraId="15D2FED2" w14:textId="77777777" w:rsidTr="000B0168">
        <w:trPr>
          <w:trHeight w:val="510"/>
        </w:trPr>
        <w:tc>
          <w:tcPr>
            <w:tcW w:w="640" w:type="dxa"/>
            <w:tcBorders>
              <w:top w:val="nil"/>
              <w:left w:val="nil"/>
              <w:bottom w:val="nil"/>
              <w:right w:val="nil"/>
            </w:tcBorders>
            <w:shd w:val="clear" w:color="000000" w:fill="CCFFFF"/>
            <w:noWrap/>
            <w:vAlign w:val="bottom"/>
            <w:hideMark/>
          </w:tcPr>
          <w:p w14:paraId="7DAFD572" w14:textId="77777777" w:rsidR="000B0168" w:rsidRDefault="000B0168">
            <w:pPr>
              <w:rPr>
                <w:sz w:val="18"/>
                <w:szCs w:val="18"/>
              </w:rPr>
            </w:pPr>
            <w:r>
              <w:rPr>
                <w:sz w:val="18"/>
                <w:szCs w:val="18"/>
              </w:rPr>
              <w:t>1.4.</w:t>
            </w:r>
          </w:p>
        </w:tc>
        <w:tc>
          <w:tcPr>
            <w:tcW w:w="2621" w:type="dxa"/>
            <w:tcBorders>
              <w:top w:val="nil"/>
              <w:left w:val="nil"/>
              <w:bottom w:val="nil"/>
              <w:right w:val="nil"/>
            </w:tcBorders>
            <w:shd w:val="clear" w:color="000000" w:fill="CCFFFF"/>
            <w:vAlign w:val="bottom"/>
            <w:hideMark/>
          </w:tcPr>
          <w:p w14:paraId="5D9C5FE9" w14:textId="77777777" w:rsidR="000B0168" w:rsidRDefault="000B0168">
            <w:pPr>
              <w:rPr>
                <w:sz w:val="18"/>
                <w:szCs w:val="18"/>
              </w:rPr>
            </w:pPr>
            <w:r>
              <w:rPr>
                <w:sz w:val="18"/>
                <w:szCs w:val="18"/>
              </w:rPr>
              <w:t xml:space="preserve">Prihodi od upravnih i administrativnih </w:t>
            </w:r>
            <w:r>
              <w:rPr>
                <w:sz w:val="18"/>
                <w:szCs w:val="18"/>
              </w:rPr>
              <w:br/>
              <w:t>pristojbi i prihodi po posebnim propisima</w:t>
            </w:r>
          </w:p>
        </w:tc>
        <w:tc>
          <w:tcPr>
            <w:tcW w:w="1418" w:type="dxa"/>
            <w:tcBorders>
              <w:top w:val="nil"/>
              <w:left w:val="nil"/>
              <w:bottom w:val="nil"/>
              <w:right w:val="nil"/>
            </w:tcBorders>
            <w:shd w:val="clear" w:color="000000" w:fill="CCFFFF"/>
            <w:vAlign w:val="bottom"/>
            <w:hideMark/>
          </w:tcPr>
          <w:p w14:paraId="53186441" w14:textId="77777777" w:rsidR="000B0168" w:rsidRDefault="000B0168" w:rsidP="000B0168">
            <w:pPr>
              <w:jc w:val="right"/>
              <w:rPr>
                <w:sz w:val="18"/>
                <w:szCs w:val="18"/>
              </w:rPr>
            </w:pPr>
            <w:r>
              <w:rPr>
                <w:sz w:val="18"/>
                <w:szCs w:val="18"/>
              </w:rPr>
              <w:t xml:space="preserve">       9.376.231,75    </w:t>
            </w:r>
          </w:p>
        </w:tc>
        <w:tc>
          <w:tcPr>
            <w:tcW w:w="1251" w:type="dxa"/>
            <w:tcBorders>
              <w:top w:val="nil"/>
              <w:left w:val="nil"/>
              <w:bottom w:val="nil"/>
              <w:right w:val="nil"/>
            </w:tcBorders>
            <w:shd w:val="clear" w:color="000000" w:fill="CCFFFF"/>
            <w:vAlign w:val="bottom"/>
            <w:hideMark/>
          </w:tcPr>
          <w:p w14:paraId="69CB000E" w14:textId="77777777" w:rsidR="000B0168" w:rsidRDefault="000B0168" w:rsidP="000B0168">
            <w:pPr>
              <w:jc w:val="right"/>
              <w:rPr>
                <w:sz w:val="18"/>
                <w:szCs w:val="18"/>
              </w:rPr>
            </w:pPr>
            <w:r>
              <w:rPr>
                <w:sz w:val="18"/>
                <w:szCs w:val="18"/>
              </w:rPr>
              <w:t xml:space="preserve">     11.104.679,42    </w:t>
            </w:r>
          </w:p>
        </w:tc>
        <w:tc>
          <w:tcPr>
            <w:tcW w:w="1251" w:type="dxa"/>
            <w:tcBorders>
              <w:top w:val="nil"/>
              <w:left w:val="nil"/>
              <w:bottom w:val="nil"/>
              <w:right w:val="nil"/>
            </w:tcBorders>
            <w:shd w:val="clear" w:color="000000" w:fill="CCFFFF"/>
            <w:vAlign w:val="bottom"/>
            <w:hideMark/>
          </w:tcPr>
          <w:p w14:paraId="2BCE0F40" w14:textId="77777777" w:rsidR="000B0168" w:rsidRDefault="000B0168" w:rsidP="000B0168">
            <w:pPr>
              <w:jc w:val="right"/>
              <w:rPr>
                <w:sz w:val="18"/>
                <w:szCs w:val="18"/>
              </w:rPr>
            </w:pPr>
            <w:r>
              <w:rPr>
                <w:sz w:val="18"/>
                <w:szCs w:val="18"/>
              </w:rPr>
              <w:t xml:space="preserve">       9.314.109,38    </w:t>
            </w:r>
          </w:p>
        </w:tc>
        <w:tc>
          <w:tcPr>
            <w:tcW w:w="711" w:type="dxa"/>
            <w:tcBorders>
              <w:top w:val="nil"/>
              <w:left w:val="nil"/>
              <w:bottom w:val="nil"/>
              <w:right w:val="nil"/>
            </w:tcBorders>
            <w:shd w:val="clear" w:color="000000" w:fill="CCFFFF"/>
            <w:vAlign w:val="bottom"/>
            <w:hideMark/>
          </w:tcPr>
          <w:p w14:paraId="1B2BCEE3" w14:textId="77777777" w:rsidR="000B0168" w:rsidRDefault="000B0168">
            <w:pPr>
              <w:jc w:val="right"/>
              <w:rPr>
                <w:sz w:val="18"/>
                <w:szCs w:val="18"/>
              </w:rPr>
            </w:pPr>
            <w:r>
              <w:rPr>
                <w:sz w:val="18"/>
                <w:szCs w:val="18"/>
              </w:rPr>
              <w:t>24,57</w:t>
            </w:r>
          </w:p>
        </w:tc>
        <w:tc>
          <w:tcPr>
            <w:tcW w:w="926" w:type="dxa"/>
            <w:tcBorders>
              <w:top w:val="nil"/>
              <w:left w:val="nil"/>
              <w:bottom w:val="nil"/>
              <w:right w:val="nil"/>
            </w:tcBorders>
            <w:shd w:val="clear" w:color="000000" w:fill="CCFFFF"/>
            <w:vAlign w:val="bottom"/>
            <w:hideMark/>
          </w:tcPr>
          <w:p w14:paraId="7AAC9CA0" w14:textId="77777777" w:rsidR="000B0168" w:rsidRDefault="000B0168">
            <w:pPr>
              <w:jc w:val="right"/>
              <w:rPr>
                <w:sz w:val="18"/>
                <w:szCs w:val="18"/>
              </w:rPr>
            </w:pPr>
            <w:r>
              <w:rPr>
                <w:sz w:val="18"/>
                <w:szCs w:val="18"/>
              </w:rPr>
              <w:t>99</w:t>
            </w:r>
          </w:p>
        </w:tc>
        <w:tc>
          <w:tcPr>
            <w:tcW w:w="964" w:type="dxa"/>
            <w:tcBorders>
              <w:top w:val="nil"/>
              <w:left w:val="nil"/>
              <w:bottom w:val="nil"/>
              <w:right w:val="nil"/>
            </w:tcBorders>
            <w:shd w:val="clear" w:color="000000" w:fill="CCFFFF"/>
            <w:vAlign w:val="bottom"/>
            <w:hideMark/>
          </w:tcPr>
          <w:p w14:paraId="4B018EE0" w14:textId="77777777" w:rsidR="000B0168" w:rsidRDefault="000B0168">
            <w:pPr>
              <w:jc w:val="right"/>
              <w:rPr>
                <w:sz w:val="18"/>
                <w:szCs w:val="18"/>
              </w:rPr>
            </w:pPr>
            <w:r>
              <w:rPr>
                <w:sz w:val="18"/>
                <w:szCs w:val="18"/>
              </w:rPr>
              <w:t>84</w:t>
            </w:r>
          </w:p>
        </w:tc>
      </w:tr>
      <w:tr w:rsidR="000B0168" w14:paraId="5F9AA5B9" w14:textId="77777777" w:rsidTr="000B0168">
        <w:trPr>
          <w:trHeight w:val="240"/>
        </w:trPr>
        <w:tc>
          <w:tcPr>
            <w:tcW w:w="640" w:type="dxa"/>
            <w:tcBorders>
              <w:top w:val="nil"/>
              <w:left w:val="nil"/>
              <w:bottom w:val="nil"/>
              <w:right w:val="nil"/>
            </w:tcBorders>
            <w:shd w:val="clear" w:color="auto" w:fill="auto"/>
            <w:noWrap/>
            <w:vAlign w:val="bottom"/>
            <w:hideMark/>
          </w:tcPr>
          <w:p w14:paraId="5A8670CA" w14:textId="77777777" w:rsidR="000B0168" w:rsidRDefault="000B0168">
            <w:pPr>
              <w:rPr>
                <w:sz w:val="18"/>
                <w:szCs w:val="18"/>
              </w:rPr>
            </w:pPr>
            <w:r>
              <w:rPr>
                <w:sz w:val="18"/>
                <w:szCs w:val="18"/>
              </w:rPr>
              <w:t>1.4.1.</w:t>
            </w:r>
          </w:p>
        </w:tc>
        <w:tc>
          <w:tcPr>
            <w:tcW w:w="2621" w:type="dxa"/>
            <w:tcBorders>
              <w:top w:val="nil"/>
              <w:left w:val="nil"/>
              <w:bottom w:val="nil"/>
              <w:right w:val="nil"/>
            </w:tcBorders>
            <w:shd w:val="clear" w:color="auto" w:fill="auto"/>
            <w:vAlign w:val="bottom"/>
            <w:hideMark/>
          </w:tcPr>
          <w:p w14:paraId="72A1DF8E" w14:textId="77777777" w:rsidR="000B0168" w:rsidRDefault="000B0168">
            <w:pPr>
              <w:rPr>
                <w:sz w:val="18"/>
                <w:szCs w:val="18"/>
              </w:rPr>
            </w:pPr>
            <w:r>
              <w:rPr>
                <w:sz w:val="18"/>
                <w:szCs w:val="18"/>
              </w:rPr>
              <w:t>Upravne i administrativne pristojbe</w:t>
            </w:r>
          </w:p>
        </w:tc>
        <w:tc>
          <w:tcPr>
            <w:tcW w:w="1418" w:type="dxa"/>
            <w:tcBorders>
              <w:top w:val="nil"/>
              <w:left w:val="nil"/>
              <w:bottom w:val="nil"/>
              <w:right w:val="nil"/>
            </w:tcBorders>
            <w:shd w:val="clear" w:color="auto" w:fill="auto"/>
            <w:noWrap/>
            <w:vAlign w:val="bottom"/>
            <w:hideMark/>
          </w:tcPr>
          <w:p w14:paraId="470A3330" w14:textId="77777777" w:rsidR="000B0168" w:rsidRDefault="000B0168" w:rsidP="000B0168">
            <w:pPr>
              <w:jc w:val="right"/>
              <w:rPr>
                <w:sz w:val="18"/>
                <w:szCs w:val="18"/>
              </w:rPr>
            </w:pPr>
            <w:r>
              <w:rPr>
                <w:sz w:val="18"/>
                <w:szCs w:val="18"/>
              </w:rPr>
              <w:t xml:space="preserve">          330.875,46    </w:t>
            </w:r>
          </w:p>
        </w:tc>
        <w:tc>
          <w:tcPr>
            <w:tcW w:w="1251" w:type="dxa"/>
            <w:tcBorders>
              <w:top w:val="nil"/>
              <w:left w:val="nil"/>
              <w:bottom w:val="nil"/>
              <w:right w:val="nil"/>
            </w:tcBorders>
            <w:shd w:val="clear" w:color="auto" w:fill="auto"/>
            <w:noWrap/>
            <w:vAlign w:val="bottom"/>
            <w:hideMark/>
          </w:tcPr>
          <w:p w14:paraId="6D5A81CA" w14:textId="77777777" w:rsidR="000B0168" w:rsidRDefault="000B0168" w:rsidP="000B0168">
            <w:pPr>
              <w:jc w:val="right"/>
              <w:rPr>
                <w:sz w:val="18"/>
                <w:szCs w:val="18"/>
              </w:rPr>
            </w:pPr>
            <w:r>
              <w:rPr>
                <w:sz w:val="18"/>
                <w:szCs w:val="18"/>
              </w:rPr>
              <w:t xml:space="preserve">          405.000,00    </w:t>
            </w:r>
          </w:p>
        </w:tc>
        <w:tc>
          <w:tcPr>
            <w:tcW w:w="1251" w:type="dxa"/>
            <w:tcBorders>
              <w:top w:val="nil"/>
              <w:left w:val="nil"/>
              <w:bottom w:val="nil"/>
              <w:right w:val="nil"/>
            </w:tcBorders>
            <w:shd w:val="clear" w:color="auto" w:fill="auto"/>
            <w:noWrap/>
            <w:vAlign w:val="bottom"/>
            <w:hideMark/>
          </w:tcPr>
          <w:p w14:paraId="44321BEB" w14:textId="77777777" w:rsidR="000B0168" w:rsidRDefault="000B0168" w:rsidP="000B0168">
            <w:pPr>
              <w:jc w:val="right"/>
              <w:rPr>
                <w:sz w:val="18"/>
                <w:szCs w:val="18"/>
              </w:rPr>
            </w:pPr>
            <w:r>
              <w:rPr>
                <w:sz w:val="18"/>
                <w:szCs w:val="18"/>
              </w:rPr>
              <w:t xml:space="preserve">          397.562,33    </w:t>
            </w:r>
          </w:p>
        </w:tc>
        <w:tc>
          <w:tcPr>
            <w:tcW w:w="711" w:type="dxa"/>
            <w:tcBorders>
              <w:top w:val="nil"/>
              <w:left w:val="nil"/>
              <w:bottom w:val="nil"/>
              <w:right w:val="nil"/>
            </w:tcBorders>
            <w:shd w:val="clear" w:color="auto" w:fill="auto"/>
            <w:noWrap/>
            <w:vAlign w:val="bottom"/>
            <w:hideMark/>
          </w:tcPr>
          <w:p w14:paraId="5165D1D3" w14:textId="77777777" w:rsidR="000B0168" w:rsidRDefault="000B0168">
            <w:pPr>
              <w:jc w:val="right"/>
              <w:rPr>
                <w:sz w:val="18"/>
                <w:szCs w:val="18"/>
              </w:rPr>
            </w:pPr>
            <w:r>
              <w:rPr>
                <w:sz w:val="18"/>
                <w:szCs w:val="18"/>
              </w:rPr>
              <w:t>1,05</w:t>
            </w:r>
          </w:p>
        </w:tc>
        <w:tc>
          <w:tcPr>
            <w:tcW w:w="926" w:type="dxa"/>
            <w:tcBorders>
              <w:top w:val="nil"/>
              <w:left w:val="nil"/>
              <w:bottom w:val="nil"/>
              <w:right w:val="nil"/>
            </w:tcBorders>
            <w:shd w:val="clear" w:color="auto" w:fill="auto"/>
            <w:noWrap/>
            <w:vAlign w:val="bottom"/>
            <w:hideMark/>
          </w:tcPr>
          <w:p w14:paraId="4A2F621F" w14:textId="77777777" w:rsidR="000B0168" w:rsidRDefault="000B0168">
            <w:pPr>
              <w:jc w:val="right"/>
              <w:rPr>
                <w:sz w:val="18"/>
                <w:szCs w:val="18"/>
              </w:rPr>
            </w:pPr>
            <w:r>
              <w:rPr>
                <w:sz w:val="18"/>
                <w:szCs w:val="18"/>
              </w:rPr>
              <w:t>120</w:t>
            </w:r>
          </w:p>
        </w:tc>
        <w:tc>
          <w:tcPr>
            <w:tcW w:w="964" w:type="dxa"/>
            <w:tcBorders>
              <w:top w:val="nil"/>
              <w:left w:val="nil"/>
              <w:bottom w:val="nil"/>
              <w:right w:val="nil"/>
            </w:tcBorders>
            <w:shd w:val="clear" w:color="auto" w:fill="auto"/>
            <w:noWrap/>
            <w:vAlign w:val="bottom"/>
            <w:hideMark/>
          </w:tcPr>
          <w:p w14:paraId="16D40A45" w14:textId="77777777" w:rsidR="000B0168" w:rsidRDefault="000B0168">
            <w:pPr>
              <w:jc w:val="right"/>
              <w:rPr>
                <w:sz w:val="18"/>
                <w:szCs w:val="18"/>
              </w:rPr>
            </w:pPr>
            <w:r>
              <w:rPr>
                <w:sz w:val="18"/>
                <w:szCs w:val="18"/>
              </w:rPr>
              <w:t>98</w:t>
            </w:r>
          </w:p>
        </w:tc>
      </w:tr>
      <w:tr w:rsidR="000B0168" w14:paraId="3C7ABD7D" w14:textId="77777777" w:rsidTr="000B0168">
        <w:trPr>
          <w:trHeight w:val="240"/>
        </w:trPr>
        <w:tc>
          <w:tcPr>
            <w:tcW w:w="640" w:type="dxa"/>
            <w:tcBorders>
              <w:top w:val="nil"/>
              <w:left w:val="nil"/>
              <w:bottom w:val="nil"/>
              <w:right w:val="nil"/>
            </w:tcBorders>
            <w:shd w:val="clear" w:color="auto" w:fill="auto"/>
            <w:noWrap/>
            <w:vAlign w:val="bottom"/>
            <w:hideMark/>
          </w:tcPr>
          <w:p w14:paraId="4AD48DF0" w14:textId="77777777" w:rsidR="000B0168" w:rsidRDefault="000B0168">
            <w:pPr>
              <w:rPr>
                <w:sz w:val="18"/>
                <w:szCs w:val="18"/>
              </w:rPr>
            </w:pPr>
            <w:r>
              <w:rPr>
                <w:sz w:val="18"/>
                <w:szCs w:val="18"/>
              </w:rPr>
              <w:t>1.4.2.</w:t>
            </w:r>
          </w:p>
        </w:tc>
        <w:tc>
          <w:tcPr>
            <w:tcW w:w="2621" w:type="dxa"/>
            <w:tcBorders>
              <w:top w:val="nil"/>
              <w:left w:val="nil"/>
              <w:bottom w:val="nil"/>
              <w:right w:val="nil"/>
            </w:tcBorders>
            <w:shd w:val="clear" w:color="auto" w:fill="auto"/>
            <w:vAlign w:val="bottom"/>
            <w:hideMark/>
          </w:tcPr>
          <w:p w14:paraId="575600F6" w14:textId="77777777" w:rsidR="000B0168" w:rsidRDefault="000B0168">
            <w:pPr>
              <w:rPr>
                <w:sz w:val="18"/>
                <w:szCs w:val="18"/>
              </w:rPr>
            </w:pPr>
            <w:r>
              <w:rPr>
                <w:sz w:val="18"/>
                <w:szCs w:val="18"/>
              </w:rPr>
              <w:t>Prihodi po posebnim propisima</w:t>
            </w:r>
          </w:p>
        </w:tc>
        <w:tc>
          <w:tcPr>
            <w:tcW w:w="1418" w:type="dxa"/>
            <w:tcBorders>
              <w:top w:val="nil"/>
              <w:left w:val="nil"/>
              <w:bottom w:val="nil"/>
              <w:right w:val="nil"/>
            </w:tcBorders>
            <w:shd w:val="clear" w:color="auto" w:fill="auto"/>
            <w:noWrap/>
            <w:vAlign w:val="bottom"/>
            <w:hideMark/>
          </w:tcPr>
          <w:p w14:paraId="196FAFDE" w14:textId="77777777" w:rsidR="000B0168" w:rsidRDefault="000B0168" w:rsidP="000B0168">
            <w:pPr>
              <w:jc w:val="right"/>
              <w:rPr>
                <w:sz w:val="18"/>
                <w:szCs w:val="18"/>
              </w:rPr>
            </w:pPr>
            <w:r>
              <w:rPr>
                <w:sz w:val="18"/>
                <w:szCs w:val="18"/>
              </w:rPr>
              <w:t xml:space="preserve">       1.261.054,15    </w:t>
            </w:r>
          </w:p>
        </w:tc>
        <w:tc>
          <w:tcPr>
            <w:tcW w:w="1251" w:type="dxa"/>
            <w:tcBorders>
              <w:top w:val="nil"/>
              <w:left w:val="nil"/>
              <w:bottom w:val="nil"/>
              <w:right w:val="nil"/>
            </w:tcBorders>
            <w:shd w:val="clear" w:color="auto" w:fill="auto"/>
            <w:noWrap/>
            <w:vAlign w:val="bottom"/>
            <w:hideMark/>
          </w:tcPr>
          <w:p w14:paraId="6CBA8A99" w14:textId="77777777" w:rsidR="000B0168" w:rsidRDefault="000B0168" w:rsidP="000B0168">
            <w:pPr>
              <w:jc w:val="right"/>
              <w:rPr>
                <w:sz w:val="18"/>
                <w:szCs w:val="18"/>
              </w:rPr>
            </w:pPr>
            <w:r>
              <w:rPr>
                <w:sz w:val="18"/>
                <w:szCs w:val="18"/>
              </w:rPr>
              <w:t xml:space="preserve">       1.426.679,42    </w:t>
            </w:r>
          </w:p>
        </w:tc>
        <w:tc>
          <w:tcPr>
            <w:tcW w:w="1251" w:type="dxa"/>
            <w:tcBorders>
              <w:top w:val="nil"/>
              <w:left w:val="nil"/>
              <w:bottom w:val="nil"/>
              <w:right w:val="nil"/>
            </w:tcBorders>
            <w:shd w:val="clear" w:color="auto" w:fill="auto"/>
            <w:noWrap/>
            <w:vAlign w:val="bottom"/>
            <w:hideMark/>
          </w:tcPr>
          <w:p w14:paraId="4B63FD34" w14:textId="77777777" w:rsidR="000B0168" w:rsidRDefault="000B0168" w:rsidP="000B0168">
            <w:pPr>
              <w:jc w:val="right"/>
              <w:rPr>
                <w:sz w:val="18"/>
                <w:szCs w:val="18"/>
              </w:rPr>
            </w:pPr>
            <w:r>
              <w:rPr>
                <w:sz w:val="18"/>
                <w:szCs w:val="18"/>
              </w:rPr>
              <w:t xml:space="preserve">       1.159.355,51    </w:t>
            </w:r>
          </w:p>
        </w:tc>
        <w:tc>
          <w:tcPr>
            <w:tcW w:w="711" w:type="dxa"/>
            <w:tcBorders>
              <w:top w:val="nil"/>
              <w:left w:val="nil"/>
              <w:bottom w:val="nil"/>
              <w:right w:val="nil"/>
            </w:tcBorders>
            <w:shd w:val="clear" w:color="auto" w:fill="auto"/>
            <w:noWrap/>
            <w:vAlign w:val="bottom"/>
            <w:hideMark/>
          </w:tcPr>
          <w:p w14:paraId="55F583D7" w14:textId="77777777" w:rsidR="000B0168" w:rsidRDefault="000B0168">
            <w:pPr>
              <w:jc w:val="right"/>
              <w:rPr>
                <w:sz w:val="18"/>
                <w:szCs w:val="18"/>
              </w:rPr>
            </w:pPr>
            <w:r>
              <w:rPr>
                <w:sz w:val="18"/>
                <w:szCs w:val="18"/>
              </w:rPr>
              <w:t>3,06</w:t>
            </w:r>
          </w:p>
        </w:tc>
        <w:tc>
          <w:tcPr>
            <w:tcW w:w="926" w:type="dxa"/>
            <w:tcBorders>
              <w:top w:val="nil"/>
              <w:left w:val="nil"/>
              <w:bottom w:val="nil"/>
              <w:right w:val="nil"/>
            </w:tcBorders>
            <w:shd w:val="clear" w:color="auto" w:fill="auto"/>
            <w:noWrap/>
            <w:vAlign w:val="bottom"/>
            <w:hideMark/>
          </w:tcPr>
          <w:p w14:paraId="46CFA1AD" w14:textId="77777777" w:rsidR="000B0168" w:rsidRDefault="000B0168">
            <w:pPr>
              <w:jc w:val="right"/>
              <w:rPr>
                <w:sz w:val="18"/>
                <w:szCs w:val="18"/>
              </w:rPr>
            </w:pPr>
            <w:r>
              <w:rPr>
                <w:sz w:val="18"/>
                <w:szCs w:val="18"/>
              </w:rPr>
              <w:t>92</w:t>
            </w:r>
          </w:p>
        </w:tc>
        <w:tc>
          <w:tcPr>
            <w:tcW w:w="964" w:type="dxa"/>
            <w:tcBorders>
              <w:top w:val="nil"/>
              <w:left w:val="nil"/>
              <w:bottom w:val="nil"/>
              <w:right w:val="nil"/>
            </w:tcBorders>
            <w:shd w:val="clear" w:color="auto" w:fill="auto"/>
            <w:noWrap/>
            <w:vAlign w:val="bottom"/>
            <w:hideMark/>
          </w:tcPr>
          <w:p w14:paraId="267A4A22" w14:textId="77777777" w:rsidR="000B0168" w:rsidRDefault="000B0168">
            <w:pPr>
              <w:jc w:val="right"/>
              <w:rPr>
                <w:sz w:val="18"/>
                <w:szCs w:val="18"/>
              </w:rPr>
            </w:pPr>
            <w:r>
              <w:rPr>
                <w:sz w:val="18"/>
                <w:szCs w:val="18"/>
              </w:rPr>
              <w:t>81</w:t>
            </w:r>
          </w:p>
        </w:tc>
      </w:tr>
      <w:tr w:rsidR="000B0168" w14:paraId="5ECBE46C" w14:textId="77777777" w:rsidTr="000B0168">
        <w:trPr>
          <w:trHeight w:val="240"/>
        </w:trPr>
        <w:tc>
          <w:tcPr>
            <w:tcW w:w="640" w:type="dxa"/>
            <w:tcBorders>
              <w:top w:val="nil"/>
              <w:left w:val="nil"/>
              <w:bottom w:val="nil"/>
              <w:right w:val="nil"/>
            </w:tcBorders>
            <w:shd w:val="clear" w:color="auto" w:fill="auto"/>
            <w:noWrap/>
            <w:vAlign w:val="bottom"/>
            <w:hideMark/>
          </w:tcPr>
          <w:p w14:paraId="4BC434A8" w14:textId="77777777" w:rsidR="000B0168" w:rsidRDefault="000B0168">
            <w:pPr>
              <w:rPr>
                <w:sz w:val="18"/>
                <w:szCs w:val="18"/>
              </w:rPr>
            </w:pPr>
            <w:r>
              <w:rPr>
                <w:sz w:val="18"/>
                <w:szCs w:val="18"/>
              </w:rPr>
              <w:t>1.4.3.</w:t>
            </w:r>
          </w:p>
        </w:tc>
        <w:tc>
          <w:tcPr>
            <w:tcW w:w="2621" w:type="dxa"/>
            <w:tcBorders>
              <w:top w:val="nil"/>
              <w:left w:val="nil"/>
              <w:bottom w:val="nil"/>
              <w:right w:val="nil"/>
            </w:tcBorders>
            <w:shd w:val="clear" w:color="auto" w:fill="auto"/>
            <w:vAlign w:val="bottom"/>
            <w:hideMark/>
          </w:tcPr>
          <w:p w14:paraId="4124FF7A" w14:textId="77777777" w:rsidR="000B0168" w:rsidRDefault="000B0168">
            <w:pPr>
              <w:rPr>
                <w:sz w:val="18"/>
                <w:szCs w:val="18"/>
              </w:rPr>
            </w:pPr>
            <w:r>
              <w:rPr>
                <w:sz w:val="18"/>
                <w:szCs w:val="18"/>
              </w:rPr>
              <w:t>Komunalni doprinosi i naknade</w:t>
            </w:r>
          </w:p>
        </w:tc>
        <w:tc>
          <w:tcPr>
            <w:tcW w:w="1418" w:type="dxa"/>
            <w:tcBorders>
              <w:top w:val="nil"/>
              <w:left w:val="nil"/>
              <w:bottom w:val="nil"/>
              <w:right w:val="nil"/>
            </w:tcBorders>
            <w:shd w:val="clear" w:color="auto" w:fill="auto"/>
            <w:noWrap/>
            <w:vAlign w:val="bottom"/>
            <w:hideMark/>
          </w:tcPr>
          <w:p w14:paraId="4369BB1E" w14:textId="77777777" w:rsidR="000B0168" w:rsidRDefault="000B0168" w:rsidP="000B0168">
            <w:pPr>
              <w:jc w:val="right"/>
              <w:rPr>
                <w:sz w:val="18"/>
                <w:szCs w:val="18"/>
              </w:rPr>
            </w:pPr>
            <w:r>
              <w:rPr>
                <w:sz w:val="18"/>
                <w:szCs w:val="18"/>
              </w:rPr>
              <w:t xml:space="preserve">       7.784.302,14    </w:t>
            </w:r>
          </w:p>
        </w:tc>
        <w:tc>
          <w:tcPr>
            <w:tcW w:w="1251" w:type="dxa"/>
            <w:tcBorders>
              <w:top w:val="nil"/>
              <w:left w:val="nil"/>
              <w:bottom w:val="nil"/>
              <w:right w:val="nil"/>
            </w:tcBorders>
            <w:shd w:val="clear" w:color="auto" w:fill="auto"/>
            <w:noWrap/>
            <w:vAlign w:val="bottom"/>
            <w:hideMark/>
          </w:tcPr>
          <w:p w14:paraId="4A3C58E5" w14:textId="77777777" w:rsidR="000B0168" w:rsidRDefault="000B0168" w:rsidP="000B0168">
            <w:pPr>
              <w:jc w:val="right"/>
              <w:rPr>
                <w:sz w:val="18"/>
                <w:szCs w:val="18"/>
              </w:rPr>
            </w:pPr>
            <w:r>
              <w:rPr>
                <w:sz w:val="18"/>
                <w:szCs w:val="18"/>
              </w:rPr>
              <w:t xml:space="preserve">       9.273.000,00    </w:t>
            </w:r>
          </w:p>
        </w:tc>
        <w:tc>
          <w:tcPr>
            <w:tcW w:w="1251" w:type="dxa"/>
            <w:tcBorders>
              <w:top w:val="nil"/>
              <w:left w:val="nil"/>
              <w:bottom w:val="nil"/>
              <w:right w:val="nil"/>
            </w:tcBorders>
            <w:shd w:val="clear" w:color="auto" w:fill="auto"/>
            <w:noWrap/>
            <w:vAlign w:val="bottom"/>
            <w:hideMark/>
          </w:tcPr>
          <w:p w14:paraId="082B31B8" w14:textId="77777777" w:rsidR="000B0168" w:rsidRDefault="000B0168" w:rsidP="000B0168">
            <w:pPr>
              <w:jc w:val="right"/>
              <w:rPr>
                <w:sz w:val="18"/>
                <w:szCs w:val="18"/>
              </w:rPr>
            </w:pPr>
            <w:r>
              <w:rPr>
                <w:sz w:val="18"/>
                <w:szCs w:val="18"/>
              </w:rPr>
              <w:t xml:space="preserve">       7.757.191,54    </w:t>
            </w:r>
          </w:p>
        </w:tc>
        <w:tc>
          <w:tcPr>
            <w:tcW w:w="711" w:type="dxa"/>
            <w:tcBorders>
              <w:top w:val="nil"/>
              <w:left w:val="nil"/>
              <w:bottom w:val="nil"/>
              <w:right w:val="nil"/>
            </w:tcBorders>
            <w:shd w:val="clear" w:color="auto" w:fill="auto"/>
            <w:noWrap/>
            <w:vAlign w:val="bottom"/>
            <w:hideMark/>
          </w:tcPr>
          <w:p w14:paraId="7C1F223A" w14:textId="77777777" w:rsidR="000B0168" w:rsidRDefault="000B0168">
            <w:pPr>
              <w:jc w:val="right"/>
              <w:rPr>
                <w:sz w:val="18"/>
                <w:szCs w:val="18"/>
              </w:rPr>
            </w:pPr>
            <w:r>
              <w:rPr>
                <w:sz w:val="18"/>
                <w:szCs w:val="18"/>
              </w:rPr>
              <w:t>20,46</w:t>
            </w:r>
          </w:p>
        </w:tc>
        <w:tc>
          <w:tcPr>
            <w:tcW w:w="926" w:type="dxa"/>
            <w:tcBorders>
              <w:top w:val="nil"/>
              <w:left w:val="nil"/>
              <w:bottom w:val="nil"/>
              <w:right w:val="nil"/>
            </w:tcBorders>
            <w:shd w:val="clear" w:color="auto" w:fill="auto"/>
            <w:noWrap/>
            <w:vAlign w:val="bottom"/>
            <w:hideMark/>
          </w:tcPr>
          <w:p w14:paraId="517108B9" w14:textId="77777777" w:rsidR="000B0168" w:rsidRDefault="000B0168">
            <w:pPr>
              <w:jc w:val="right"/>
              <w:rPr>
                <w:sz w:val="18"/>
                <w:szCs w:val="18"/>
              </w:rPr>
            </w:pPr>
            <w:r>
              <w:rPr>
                <w:sz w:val="18"/>
                <w:szCs w:val="18"/>
              </w:rPr>
              <w:t>100</w:t>
            </w:r>
          </w:p>
        </w:tc>
        <w:tc>
          <w:tcPr>
            <w:tcW w:w="964" w:type="dxa"/>
            <w:tcBorders>
              <w:top w:val="nil"/>
              <w:left w:val="nil"/>
              <w:bottom w:val="nil"/>
              <w:right w:val="nil"/>
            </w:tcBorders>
            <w:shd w:val="clear" w:color="auto" w:fill="auto"/>
            <w:noWrap/>
            <w:vAlign w:val="bottom"/>
            <w:hideMark/>
          </w:tcPr>
          <w:p w14:paraId="78689292" w14:textId="77777777" w:rsidR="000B0168" w:rsidRDefault="000B0168">
            <w:pPr>
              <w:jc w:val="right"/>
              <w:rPr>
                <w:sz w:val="18"/>
                <w:szCs w:val="18"/>
              </w:rPr>
            </w:pPr>
            <w:r>
              <w:rPr>
                <w:sz w:val="18"/>
                <w:szCs w:val="18"/>
              </w:rPr>
              <w:t>84</w:t>
            </w:r>
          </w:p>
        </w:tc>
      </w:tr>
      <w:tr w:rsidR="000B0168" w14:paraId="246832A2" w14:textId="77777777" w:rsidTr="000B0168">
        <w:trPr>
          <w:trHeight w:val="420"/>
        </w:trPr>
        <w:tc>
          <w:tcPr>
            <w:tcW w:w="640" w:type="dxa"/>
            <w:tcBorders>
              <w:top w:val="nil"/>
              <w:left w:val="nil"/>
              <w:bottom w:val="nil"/>
              <w:right w:val="nil"/>
            </w:tcBorders>
            <w:shd w:val="clear" w:color="000000" w:fill="CCFFFF"/>
            <w:noWrap/>
            <w:vAlign w:val="bottom"/>
            <w:hideMark/>
          </w:tcPr>
          <w:p w14:paraId="4F06E6F7" w14:textId="77777777" w:rsidR="000B0168" w:rsidRDefault="000B0168">
            <w:pPr>
              <w:rPr>
                <w:sz w:val="18"/>
                <w:szCs w:val="18"/>
              </w:rPr>
            </w:pPr>
            <w:r>
              <w:rPr>
                <w:sz w:val="18"/>
                <w:szCs w:val="18"/>
              </w:rPr>
              <w:t>1.5.</w:t>
            </w:r>
          </w:p>
        </w:tc>
        <w:tc>
          <w:tcPr>
            <w:tcW w:w="2621" w:type="dxa"/>
            <w:tcBorders>
              <w:top w:val="nil"/>
              <w:left w:val="nil"/>
              <w:bottom w:val="nil"/>
              <w:right w:val="nil"/>
            </w:tcBorders>
            <w:shd w:val="clear" w:color="000000" w:fill="CCFFFF"/>
            <w:vAlign w:val="bottom"/>
            <w:hideMark/>
          </w:tcPr>
          <w:p w14:paraId="56D76281" w14:textId="77777777" w:rsidR="000B0168" w:rsidRDefault="000B0168">
            <w:pPr>
              <w:rPr>
                <w:sz w:val="18"/>
                <w:szCs w:val="18"/>
              </w:rPr>
            </w:pPr>
            <w:r>
              <w:rPr>
                <w:sz w:val="18"/>
                <w:szCs w:val="18"/>
              </w:rPr>
              <w:t>Prihodi od prodaje proizvoda i roba te pruženih usluga i prihodi od donacija</w:t>
            </w:r>
          </w:p>
        </w:tc>
        <w:tc>
          <w:tcPr>
            <w:tcW w:w="1418" w:type="dxa"/>
            <w:tcBorders>
              <w:top w:val="nil"/>
              <w:left w:val="nil"/>
              <w:bottom w:val="nil"/>
              <w:right w:val="nil"/>
            </w:tcBorders>
            <w:shd w:val="clear" w:color="000000" w:fill="CCFFFF"/>
            <w:noWrap/>
            <w:vAlign w:val="bottom"/>
            <w:hideMark/>
          </w:tcPr>
          <w:p w14:paraId="1FEAC15D" w14:textId="77777777" w:rsidR="000B0168" w:rsidRDefault="000B0168" w:rsidP="000B0168">
            <w:pPr>
              <w:jc w:val="right"/>
              <w:rPr>
                <w:sz w:val="18"/>
                <w:szCs w:val="18"/>
              </w:rPr>
            </w:pPr>
            <w:r>
              <w:rPr>
                <w:sz w:val="18"/>
                <w:szCs w:val="18"/>
              </w:rPr>
              <w:t xml:space="preserve">          428.776,83    </w:t>
            </w:r>
          </w:p>
        </w:tc>
        <w:tc>
          <w:tcPr>
            <w:tcW w:w="1251" w:type="dxa"/>
            <w:tcBorders>
              <w:top w:val="nil"/>
              <w:left w:val="nil"/>
              <w:bottom w:val="nil"/>
              <w:right w:val="nil"/>
            </w:tcBorders>
            <w:shd w:val="clear" w:color="000000" w:fill="CCFFFF"/>
            <w:noWrap/>
            <w:vAlign w:val="bottom"/>
            <w:hideMark/>
          </w:tcPr>
          <w:p w14:paraId="0C08BFBD" w14:textId="77777777" w:rsidR="000B0168" w:rsidRDefault="000B0168" w:rsidP="000B0168">
            <w:pPr>
              <w:jc w:val="right"/>
              <w:rPr>
                <w:sz w:val="18"/>
                <w:szCs w:val="18"/>
              </w:rPr>
            </w:pPr>
            <w:r>
              <w:rPr>
                <w:sz w:val="18"/>
                <w:szCs w:val="18"/>
              </w:rPr>
              <w:t xml:space="preserve">          260.784,36    </w:t>
            </w:r>
          </w:p>
        </w:tc>
        <w:tc>
          <w:tcPr>
            <w:tcW w:w="1251" w:type="dxa"/>
            <w:tcBorders>
              <w:top w:val="nil"/>
              <w:left w:val="nil"/>
              <w:bottom w:val="nil"/>
              <w:right w:val="nil"/>
            </w:tcBorders>
            <w:shd w:val="clear" w:color="000000" w:fill="CCFFFF"/>
            <w:noWrap/>
            <w:vAlign w:val="bottom"/>
            <w:hideMark/>
          </w:tcPr>
          <w:p w14:paraId="46B07CEB" w14:textId="77777777" w:rsidR="000B0168" w:rsidRDefault="000B0168" w:rsidP="000B0168">
            <w:pPr>
              <w:jc w:val="right"/>
              <w:rPr>
                <w:sz w:val="18"/>
                <w:szCs w:val="18"/>
              </w:rPr>
            </w:pPr>
            <w:r>
              <w:rPr>
                <w:sz w:val="18"/>
                <w:szCs w:val="18"/>
              </w:rPr>
              <w:t xml:space="preserve">          284.761,81    </w:t>
            </w:r>
          </w:p>
        </w:tc>
        <w:tc>
          <w:tcPr>
            <w:tcW w:w="711" w:type="dxa"/>
            <w:tcBorders>
              <w:top w:val="nil"/>
              <w:left w:val="nil"/>
              <w:bottom w:val="nil"/>
              <w:right w:val="nil"/>
            </w:tcBorders>
            <w:shd w:val="clear" w:color="000000" w:fill="CCFFFF"/>
            <w:noWrap/>
            <w:vAlign w:val="bottom"/>
            <w:hideMark/>
          </w:tcPr>
          <w:p w14:paraId="7BB5133E" w14:textId="77777777" w:rsidR="000B0168" w:rsidRDefault="000B0168">
            <w:pPr>
              <w:jc w:val="right"/>
              <w:rPr>
                <w:sz w:val="18"/>
                <w:szCs w:val="18"/>
              </w:rPr>
            </w:pPr>
            <w:r>
              <w:rPr>
                <w:sz w:val="18"/>
                <w:szCs w:val="18"/>
              </w:rPr>
              <w:t>0,75</w:t>
            </w:r>
          </w:p>
        </w:tc>
        <w:tc>
          <w:tcPr>
            <w:tcW w:w="926" w:type="dxa"/>
            <w:tcBorders>
              <w:top w:val="nil"/>
              <w:left w:val="nil"/>
              <w:bottom w:val="nil"/>
              <w:right w:val="nil"/>
            </w:tcBorders>
            <w:shd w:val="clear" w:color="000000" w:fill="CCFFFF"/>
            <w:noWrap/>
            <w:vAlign w:val="bottom"/>
            <w:hideMark/>
          </w:tcPr>
          <w:p w14:paraId="6CB0237D" w14:textId="77777777" w:rsidR="000B0168" w:rsidRDefault="000B0168">
            <w:pPr>
              <w:jc w:val="right"/>
              <w:rPr>
                <w:sz w:val="18"/>
                <w:szCs w:val="18"/>
              </w:rPr>
            </w:pPr>
            <w:r>
              <w:rPr>
                <w:sz w:val="18"/>
                <w:szCs w:val="18"/>
              </w:rPr>
              <w:t>66</w:t>
            </w:r>
          </w:p>
        </w:tc>
        <w:tc>
          <w:tcPr>
            <w:tcW w:w="964" w:type="dxa"/>
            <w:tcBorders>
              <w:top w:val="nil"/>
              <w:left w:val="nil"/>
              <w:bottom w:val="nil"/>
              <w:right w:val="nil"/>
            </w:tcBorders>
            <w:shd w:val="clear" w:color="000000" w:fill="CCFFFF"/>
            <w:noWrap/>
            <w:vAlign w:val="bottom"/>
            <w:hideMark/>
          </w:tcPr>
          <w:p w14:paraId="3C4E56E4" w14:textId="77777777" w:rsidR="000B0168" w:rsidRDefault="000B0168">
            <w:pPr>
              <w:jc w:val="right"/>
              <w:rPr>
                <w:sz w:val="18"/>
                <w:szCs w:val="18"/>
              </w:rPr>
            </w:pPr>
            <w:r>
              <w:rPr>
                <w:sz w:val="18"/>
                <w:szCs w:val="18"/>
              </w:rPr>
              <w:t>109</w:t>
            </w:r>
          </w:p>
        </w:tc>
      </w:tr>
      <w:tr w:rsidR="000B0168" w14:paraId="537E3C40" w14:textId="77777777" w:rsidTr="000B0168">
        <w:trPr>
          <w:trHeight w:val="240"/>
        </w:trPr>
        <w:tc>
          <w:tcPr>
            <w:tcW w:w="640" w:type="dxa"/>
            <w:tcBorders>
              <w:top w:val="nil"/>
              <w:left w:val="nil"/>
              <w:bottom w:val="nil"/>
              <w:right w:val="nil"/>
            </w:tcBorders>
            <w:shd w:val="clear" w:color="auto" w:fill="auto"/>
            <w:noWrap/>
            <w:vAlign w:val="bottom"/>
            <w:hideMark/>
          </w:tcPr>
          <w:p w14:paraId="4C6B4778" w14:textId="77777777" w:rsidR="000B0168" w:rsidRDefault="000B0168">
            <w:pPr>
              <w:rPr>
                <w:sz w:val="18"/>
                <w:szCs w:val="18"/>
              </w:rPr>
            </w:pPr>
            <w:r>
              <w:rPr>
                <w:sz w:val="18"/>
                <w:szCs w:val="18"/>
              </w:rPr>
              <w:t>1.5.1.</w:t>
            </w:r>
          </w:p>
        </w:tc>
        <w:tc>
          <w:tcPr>
            <w:tcW w:w="2621" w:type="dxa"/>
            <w:tcBorders>
              <w:top w:val="nil"/>
              <w:left w:val="nil"/>
              <w:bottom w:val="nil"/>
              <w:right w:val="nil"/>
            </w:tcBorders>
            <w:shd w:val="clear" w:color="auto" w:fill="auto"/>
            <w:vAlign w:val="bottom"/>
            <w:hideMark/>
          </w:tcPr>
          <w:p w14:paraId="4AA19F89" w14:textId="77777777" w:rsidR="000B0168" w:rsidRDefault="000B0168">
            <w:pPr>
              <w:rPr>
                <w:sz w:val="18"/>
                <w:szCs w:val="18"/>
              </w:rPr>
            </w:pPr>
            <w:r>
              <w:rPr>
                <w:sz w:val="18"/>
                <w:szCs w:val="18"/>
              </w:rPr>
              <w:t>Prihodi od prodaje proizvoda i pruženih usluga</w:t>
            </w:r>
          </w:p>
        </w:tc>
        <w:tc>
          <w:tcPr>
            <w:tcW w:w="1418" w:type="dxa"/>
            <w:tcBorders>
              <w:top w:val="nil"/>
              <w:left w:val="nil"/>
              <w:bottom w:val="nil"/>
              <w:right w:val="nil"/>
            </w:tcBorders>
            <w:shd w:val="clear" w:color="auto" w:fill="auto"/>
            <w:noWrap/>
            <w:vAlign w:val="bottom"/>
            <w:hideMark/>
          </w:tcPr>
          <w:p w14:paraId="3572158D" w14:textId="77777777" w:rsidR="000B0168" w:rsidRDefault="000B0168" w:rsidP="000B0168">
            <w:pPr>
              <w:jc w:val="right"/>
              <w:rPr>
                <w:sz w:val="18"/>
                <w:szCs w:val="18"/>
              </w:rPr>
            </w:pPr>
            <w:r>
              <w:rPr>
                <w:sz w:val="18"/>
                <w:szCs w:val="18"/>
              </w:rPr>
              <w:t xml:space="preserve">          206.022,93    </w:t>
            </w:r>
          </w:p>
        </w:tc>
        <w:tc>
          <w:tcPr>
            <w:tcW w:w="1251" w:type="dxa"/>
            <w:tcBorders>
              <w:top w:val="nil"/>
              <w:left w:val="nil"/>
              <w:bottom w:val="nil"/>
              <w:right w:val="nil"/>
            </w:tcBorders>
            <w:shd w:val="clear" w:color="auto" w:fill="auto"/>
            <w:noWrap/>
            <w:vAlign w:val="bottom"/>
            <w:hideMark/>
          </w:tcPr>
          <w:p w14:paraId="74B18056" w14:textId="77777777" w:rsidR="000B0168" w:rsidRDefault="000B0168" w:rsidP="000B0168">
            <w:pPr>
              <w:jc w:val="right"/>
              <w:rPr>
                <w:sz w:val="18"/>
                <w:szCs w:val="18"/>
              </w:rPr>
            </w:pPr>
            <w:r>
              <w:rPr>
                <w:sz w:val="18"/>
                <w:szCs w:val="18"/>
              </w:rPr>
              <w:t xml:space="preserve">          223.000,00    </w:t>
            </w:r>
          </w:p>
        </w:tc>
        <w:tc>
          <w:tcPr>
            <w:tcW w:w="1251" w:type="dxa"/>
            <w:tcBorders>
              <w:top w:val="nil"/>
              <w:left w:val="nil"/>
              <w:bottom w:val="nil"/>
              <w:right w:val="nil"/>
            </w:tcBorders>
            <w:shd w:val="clear" w:color="auto" w:fill="auto"/>
            <w:noWrap/>
            <w:vAlign w:val="bottom"/>
            <w:hideMark/>
          </w:tcPr>
          <w:p w14:paraId="58955355" w14:textId="77777777" w:rsidR="000B0168" w:rsidRDefault="000B0168" w:rsidP="000B0168">
            <w:pPr>
              <w:jc w:val="right"/>
              <w:rPr>
                <w:sz w:val="18"/>
                <w:szCs w:val="18"/>
              </w:rPr>
            </w:pPr>
            <w:r>
              <w:rPr>
                <w:sz w:val="18"/>
                <w:szCs w:val="18"/>
              </w:rPr>
              <w:t xml:space="preserve">          213.294,41    </w:t>
            </w:r>
          </w:p>
        </w:tc>
        <w:tc>
          <w:tcPr>
            <w:tcW w:w="711" w:type="dxa"/>
            <w:tcBorders>
              <w:top w:val="nil"/>
              <w:left w:val="nil"/>
              <w:bottom w:val="nil"/>
              <w:right w:val="nil"/>
            </w:tcBorders>
            <w:shd w:val="clear" w:color="auto" w:fill="auto"/>
            <w:noWrap/>
            <w:vAlign w:val="bottom"/>
            <w:hideMark/>
          </w:tcPr>
          <w:p w14:paraId="73AAD9E3" w14:textId="77777777" w:rsidR="000B0168" w:rsidRDefault="000B0168">
            <w:pPr>
              <w:jc w:val="right"/>
              <w:rPr>
                <w:sz w:val="18"/>
                <w:szCs w:val="18"/>
              </w:rPr>
            </w:pPr>
            <w:r>
              <w:rPr>
                <w:sz w:val="18"/>
                <w:szCs w:val="18"/>
              </w:rPr>
              <w:t>0,56</w:t>
            </w:r>
          </w:p>
        </w:tc>
        <w:tc>
          <w:tcPr>
            <w:tcW w:w="926" w:type="dxa"/>
            <w:tcBorders>
              <w:top w:val="nil"/>
              <w:left w:val="nil"/>
              <w:bottom w:val="nil"/>
              <w:right w:val="nil"/>
            </w:tcBorders>
            <w:shd w:val="clear" w:color="auto" w:fill="auto"/>
            <w:noWrap/>
            <w:vAlign w:val="bottom"/>
            <w:hideMark/>
          </w:tcPr>
          <w:p w14:paraId="7C75DCE3" w14:textId="77777777" w:rsidR="000B0168" w:rsidRDefault="000B0168">
            <w:pPr>
              <w:jc w:val="right"/>
              <w:rPr>
                <w:sz w:val="18"/>
                <w:szCs w:val="18"/>
              </w:rPr>
            </w:pPr>
            <w:r>
              <w:rPr>
                <w:sz w:val="18"/>
                <w:szCs w:val="18"/>
              </w:rPr>
              <w:t>104</w:t>
            </w:r>
          </w:p>
        </w:tc>
        <w:tc>
          <w:tcPr>
            <w:tcW w:w="964" w:type="dxa"/>
            <w:tcBorders>
              <w:top w:val="nil"/>
              <w:left w:val="nil"/>
              <w:bottom w:val="nil"/>
              <w:right w:val="nil"/>
            </w:tcBorders>
            <w:shd w:val="clear" w:color="auto" w:fill="auto"/>
            <w:noWrap/>
            <w:vAlign w:val="bottom"/>
            <w:hideMark/>
          </w:tcPr>
          <w:p w14:paraId="50A7E162" w14:textId="77777777" w:rsidR="000B0168" w:rsidRDefault="000B0168">
            <w:pPr>
              <w:jc w:val="right"/>
              <w:rPr>
                <w:sz w:val="18"/>
                <w:szCs w:val="18"/>
              </w:rPr>
            </w:pPr>
            <w:r>
              <w:rPr>
                <w:sz w:val="18"/>
                <w:szCs w:val="18"/>
              </w:rPr>
              <w:t>96</w:t>
            </w:r>
          </w:p>
        </w:tc>
      </w:tr>
      <w:tr w:rsidR="000B0168" w14:paraId="66296D58" w14:textId="77777777" w:rsidTr="000B0168">
        <w:trPr>
          <w:trHeight w:val="480"/>
        </w:trPr>
        <w:tc>
          <w:tcPr>
            <w:tcW w:w="640" w:type="dxa"/>
            <w:tcBorders>
              <w:top w:val="nil"/>
              <w:left w:val="nil"/>
              <w:bottom w:val="nil"/>
              <w:right w:val="nil"/>
            </w:tcBorders>
            <w:shd w:val="clear" w:color="auto" w:fill="auto"/>
            <w:noWrap/>
            <w:vAlign w:val="bottom"/>
            <w:hideMark/>
          </w:tcPr>
          <w:p w14:paraId="2CDA4050" w14:textId="77777777" w:rsidR="000B0168" w:rsidRDefault="000B0168">
            <w:pPr>
              <w:rPr>
                <w:sz w:val="18"/>
                <w:szCs w:val="18"/>
              </w:rPr>
            </w:pPr>
            <w:r>
              <w:rPr>
                <w:sz w:val="18"/>
                <w:szCs w:val="18"/>
              </w:rPr>
              <w:lastRenderedPageBreak/>
              <w:t>1.5.2.</w:t>
            </w:r>
          </w:p>
        </w:tc>
        <w:tc>
          <w:tcPr>
            <w:tcW w:w="2621" w:type="dxa"/>
            <w:tcBorders>
              <w:top w:val="nil"/>
              <w:left w:val="nil"/>
              <w:bottom w:val="nil"/>
              <w:right w:val="nil"/>
            </w:tcBorders>
            <w:shd w:val="clear" w:color="auto" w:fill="auto"/>
            <w:vAlign w:val="bottom"/>
            <w:hideMark/>
          </w:tcPr>
          <w:p w14:paraId="4BE20777" w14:textId="77777777" w:rsidR="000B0168" w:rsidRDefault="000B0168">
            <w:pPr>
              <w:rPr>
                <w:sz w:val="18"/>
                <w:szCs w:val="18"/>
              </w:rPr>
            </w:pPr>
            <w:r>
              <w:rPr>
                <w:sz w:val="18"/>
                <w:szCs w:val="18"/>
              </w:rPr>
              <w:t xml:space="preserve">Donacije od pravnih i fizičkih osoba izvan </w:t>
            </w:r>
            <w:r>
              <w:rPr>
                <w:sz w:val="18"/>
                <w:szCs w:val="18"/>
              </w:rPr>
              <w:br/>
              <w:t>općeg proračuna</w:t>
            </w:r>
          </w:p>
        </w:tc>
        <w:tc>
          <w:tcPr>
            <w:tcW w:w="1418" w:type="dxa"/>
            <w:tcBorders>
              <w:top w:val="nil"/>
              <w:left w:val="nil"/>
              <w:bottom w:val="nil"/>
              <w:right w:val="nil"/>
            </w:tcBorders>
            <w:shd w:val="clear" w:color="auto" w:fill="auto"/>
            <w:noWrap/>
            <w:vAlign w:val="bottom"/>
            <w:hideMark/>
          </w:tcPr>
          <w:p w14:paraId="3945483B" w14:textId="77777777" w:rsidR="000B0168" w:rsidRDefault="000B0168" w:rsidP="000B0168">
            <w:pPr>
              <w:jc w:val="right"/>
              <w:rPr>
                <w:sz w:val="18"/>
                <w:szCs w:val="18"/>
              </w:rPr>
            </w:pPr>
            <w:r>
              <w:rPr>
                <w:sz w:val="18"/>
                <w:szCs w:val="18"/>
              </w:rPr>
              <w:t xml:space="preserve">          222.753,90    </w:t>
            </w:r>
          </w:p>
        </w:tc>
        <w:tc>
          <w:tcPr>
            <w:tcW w:w="1251" w:type="dxa"/>
            <w:tcBorders>
              <w:top w:val="nil"/>
              <w:left w:val="nil"/>
              <w:bottom w:val="nil"/>
              <w:right w:val="nil"/>
            </w:tcBorders>
            <w:shd w:val="clear" w:color="auto" w:fill="auto"/>
            <w:noWrap/>
            <w:vAlign w:val="bottom"/>
            <w:hideMark/>
          </w:tcPr>
          <w:p w14:paraId="31F0DDC5" w14:textId="77777777" w:rsidR="000B0168" w:rsidRDefault="000B0168" w:rsidP="000B0168">
            <w:pPr>
              <w:jc w:val="right"/>
              <w:rPr>
                <w:sz w:val="18"/>
                <w:szCs w:val="18"/>
              </w:rPr>
            </w:pPr>
            <w:r>
              <w:rPr>
                <w:sz w:val="18"/>
                <w:szCs w:val="18"/>
              </w:rPr>
              <w:t xml:space="preserve">            37.784,36    </w:t>
            </w:r>
          </w:p>
        </w:tc>
        <w:tc>
          <w:tcPr>
            <w:tcW w:w="1251" w:type="dxa"/>
            <w:tcBorders>
              <w:top w:val="nil"/>
              <w:left w:val="nil"/>
              <w:bottom w:val="nil"/>
              <w:right w:val="nil"/>
            </w:tcBorders>
            <w:shd w:val="clear" w:color="auto" w:fill="auto"/>
            <w:noWrap/>
            <w:vAlign w:val="bottom"/>
            <w:hideMark/>
          </w:tcPr>
          <w:p w14:paraId="00789C59" w14:textId="77777777" w:rsidR="000B0168" w:rsidRDefault="000B0168" w:rsidP="000B0168">
            <w:pPr>
              <w:jc w:val="right"/>
              <w:rPr>
                <w:sz w:val="18"/>
                <w:szCs w:val="18"/>
              </w:rPr>
            </w:pPr>
            <w:r>
              <w:rPr>
                <w:sz w:val="18"/>
                <w:szCs w:val="18"/>
              </w:rPr>
              <w:t xml:space="preserve">            71.467,40    </w:t>
            </w:r>
          </w:p>
        </w:tc>
        <w:tc>
          <w:tcPr>
            <w:tcW w:w="711" w:type="dxa"/>
            <w:tcBorders>
              <w:top w:val="nil"/>
              <w:left w:val="nil"/>
              <w:bottom w:val="nil"/>
              <w:right w:val="nil"/>
            </w:tcBorders>
            <w:shd w:val="clear" w:color="auto" w:fill="auto"/>
            <w:noWrap/>
            <w:vAlign w:val="bottom"/>
            <w:hideMark/>
          </w:tcPr>
          <w:p w14:paraId="2E12A447" w14:textId="77777777" w:rsidR="000B0168" w:rsidRDefault="000B0168">
            <w:pPr>
              <w:jc w:val="right"/>
              <w:rPr>
                <w:sz w:val="18"/>
                <w:szCs w:val="18"/>
              </w:rPr>
            </w:pPr>
            <w:r>
              <w:rPr>
                <w:sz w:val="18"/>
                <w:szCs w:val="18"/>
              </w:rPr>
              <w:t>0,19</w:t>
            </w:r>
          </w:p>
        </w:tc>
        <w:tc>
          <w:tcPr>
            <w:tcW w:w="926" w:type="dxa"/>
            <w:tcBorders>
              <w:top w:val="nil"/>
              <w:left w:val="nil"/>
              <w:bottom w:val="nil"/>
              <w:right w:val="nil"/>
            </w:tcBorders>
            <w:shd w:val="clear" w:color="auto" w:fill="auto"/>
            <w:noWrap/>
            <w:vAlign w:val="bottom"/>
            <w:hideMark/>
          </w:tcPr>
          <w:p w14:paraId="1C34F623" w14:textId="77777777" w:rsidR="000B0168" w:rsidRDefault="000B0168">
            <w:pPr>
              <w:jc w:val="right"/>
              <w:rPr>
                <w:sz w:val="18"/>
                <w:szCs w:val="18"/>
              </w:rPr>
            </w:pPr>
            <w:r>
              <w:rPr>
                <w:sz w:val="18"/>
                <w:szCs w:val="18"/>
              </w:rPr>
              <w:t>0</w:t>
            </w:r>
          </w:p>
        </w:tc>
        <w:tc>
          <w:tcPr>
            <w:tcW w:w="964" w:type="dxa"/>
            <w:tcBorders>
              <w:top w:val="nil"/>
              <w:left w:val="nil"/>
              <w:bottom w:val="nil"/>
              <w:right w:val="nil"/>
            </w:tcBorders>
            <w:shd w:val="clear" w:color="auto" w:fill="auto"/>
            <w:noWrap/>
            <w:vAlign w:val="bottom"/>
            <w:hideMark/>
          </w:tcPr>
          <w:p w14:paraId="36D3607D" w14:textId="77777777" w:rsidR="000B0168" w:rsidRDefault="000B0168">
            <w:pPr>
              <w:jc w:val="right"/>
              <w:rPr>
                <w:sz w:val="18"/>
                <w:szCs w:val="18"/>
              </w:rPr>
            </w:pPr>
            <w:r>
              <w:rPr>
                <w:sz w:val="18"/>
                <w:szCs w:val="18"/>
              </w:rPr>
              <w:t>189</w:t>
            </w:r>
          </w:p>
        </w:tc>
      </w:tr>
      <w:tr w:rsidR="000B0168" w14:paraId="19197B14" w14:textId="77777777" w:rsidTr="000B0168">
        <w:trPr>
          <w:trHeight w:val="240"/>
        </w:trPr>
        <w:tc>
          <w:tcPr>
            <w:tcW w:w="640" w:type="dxa"/>
            <w:tcBorders>
              <w:top w:val="nil"/>
              <w:left w:val="nil"/>
              <w:bottom w:val="nil"/>
              <w:right w:val="nil"/>
            </w:tcBorders>
            <w:shd w:val="clear" w:color="000000" w:fill="CCFFFF"/>
            <w:noWrap/>
            <w:vAlign w:val="bottom"/>
            <w:hideMark/>
          </w:tcPr>
          <w:p w14:paraId="5E54A787" w14:textId="77777777" w:rsidR="000B0168" w:rsidRDefault="000B0168">
            <w:pPr>
              <w:rPr>
                <w:sz w:val="18"/>
                <w:szCs w:val="18"/>
              </w:rPr>
            </w:pPr>
            <w:r>
              <w:rPr>
                <w:sz w:val="18"/>
                <w:szCs w:val="18"/>
              </w:rPr>
              <w:t>1.6.</w:t>
            </w:r>
          </w:p>
        </w:tc>
        <w:tc>
          <w:tcPr>
            <w:tcW w:w="2621" w:type="dxa"/>
            <w:tcBorders>
              <w:top w:val="nil"/>
              <w:left w:val="nil"/>
              <w:bottom w:val="nil"/>
              <w:right w:val="nil"/>
            </w:tcBorders>
            <w:shd w:val="clear" w:color="000000" w:fill="CCFFFF"/>
            <w:noWrap/>
            <w:vAlign w:val="bottom"/>
            <w:hideMark/>
          </w:tcPr>
          <w:p w14:paraId="70ABC8B9" w14:textId="77777777" w:rsidR="000B0168" w:rsidRDefault="000B0168">
            <w:pPr>
              <w:rPr>
                <w:sz w:val="18"/>
                <w:szCs w:val="18"/>
              </w:rPr>
            </w:pPr>
            <w:r>
              <w:rPr>
                <w:sz w:val="18"/>
                <w:szCs w:val="18"/>
              </w:rPr>
              <w:t>Kazne, upravne mjere i ostali prihodi</w:t>
            </w:r>
          </w:p>
        </w:tc>
        <w:tc>
          <w:tcPr>
            <w:tcW w:w="1418" w:type="dxa"/>
            <w:tcBorders>
              <w:top w:val="nil"/>
              <w:left w:val="nil"/>
              <w:bottom w:val="nil"/>
              <w:right w:val="nil"/>
            </w:tcBorders>
            <w:shd w:val="clear" w:color="000000" w:fill="CCFFFF"/>
            <w:noWrap/>
            <w:vAlign w:val="bottom"/>
            <w:hideMark/>
          </w:tcPr>
          <w:p w14:paraId="09404384" w14:textId="77777777" w:rsidR="000B0168" w:rsidRDefault="000B0168" w:rsidP="000B0168">
            <w:pPr>
              <w:jc w:val="right"/>
              <w:rPr>
                <w:sz w:val="18"/>
                <w:szCs w:val="18"/>
              </w:rPr>
            </w:pPr>
            <w:r>
              <w:rPr>
                <w:sz w:val="18"/>
                <w:szCs w:val="18"/>
              </w:rPr>
              <w:t xml:space="preserve">            45.574,09    </w:t>
            </w:r>
          </w:p>
        </w:tc>
        <w:tc>
          <w:tcPr>
            <w:tcW w:w="1251" w:type="dxa"/>
            <w:tcBorders>
              <w:top w:val="nil"/>
              <w:left w:val="nil"/>
              <w:bottom w:val="nil"/>
              <w:right w:val="nil"/>
            </w:tcBorders>
            <w:shd w:val="clear" w:color="000000" w:fill="CCFFFF"/>
            <w:noWrap/>
            <w:vAlign w:val="bottom"/>
            <w:hideMark/>
          </w:tcPr>
          <w:p w14:paraId="016ADE6C" w14:textId="77777777" w:rsidR="000B0168" w:rsidRDefault="000B0168" w:rsidP="000B0168">
            <w:pPr>
              <w:jc w:val="right"/>
              <w:rPr>
                <w:sz w:val="18"/>
                <w:szCs w:val="18"/>
              </w:rPr>
            </w:pPr>
            <w:r>
              <w:rPr>
                <w:sz w:val="18"/>
                <w:szCs w:val="18"/>
              </w:rPr>
              <w:t xml:space="preserve">            55.000,00    </w:t>
            </w:r>
          </w:p>
        </w:tc>
        <w:tc>
          <w:tcPr>
            <w:tcW w:w="1251" w:type="dxa"/>
            <w:tcBorders>
              <w:top w:val="nil"/>
              <w:left w:val="nil"/>
              <w:bottom w:val="nil"/>
              <w:right w:val="nil"/>
            </w:tcBorders>
            <w:shd w:val="clear" w:color="000000" w:fill="CCFFFF"/>
            <w:noWrap/>
            <w:vAlign w:val="bottom"/>
            <w:hideMark/>
          </w:tcPr>
          <w:p w14:paraId="7BE382F0" w14:textId="77777777" w:rsidR="000B0168" w:rsidRDefault="000B0168" w:rsidP="000B0168">
            <w:pPr>
              <w:jc w:val="right"/>
              <w:rPr>
                <w:sz w:val="18"/>
                <w:szCs w:val="18"/>
              </w:rPr>
            </w:pPr>
            <w:r>
              <w:rPr>
                <w:sz w:val="18"/>
                <w:szCs w:val="18"/>
              </w:rPr>
              <w:t xml:space="preserve">            41.731,50    </w:t>
            </w:r>
          </w:p>
        </w:tc>
        <w:tc>
          <w:tcPr>
            <w:tcW w:w="711" w:type="dxa"/>
            <w:tcBorders>
              <w:top w:val="nil"/>
              <w:left w:val="nil"/>
              <w:bottom w:val="nil"/>
              <w:right w:val="nil"/>
            </w:tcBorders>
            <w:shd w:val="clear" w:color="000000" w:fill="CCFFFF"/>
            <w:noWrap/>
            <w:vAlign w:val="bottom"/>
            <w:hideMark/>
          </w:tcPr>
          <w:p w14:paraId="622329BF" w14:textId="77777777" w:rsidR="000B0168" w:rsidRDefault="000B0168">
            <w:pPr>
              <w:jc w:val="right"/>
              <w:rPr>
                <w:sz w:val="18"/>
                <w:szCs w:val="18"/>
              </w:rPr>
            </w:pPr>
            <w:r>
              <w:rPr>
                <w:sz w:val="18"/>
                <w:szCs w:val="18"/>
              </w:rPr>
              <w:t>0,11</w:t>
            </w:r>
          </w:p>
        </w:tc>
        <w:tc>
          <w:tcPr>
            <w:tcW w:w="926" w:type="dxa"/>
            <w:tcBorders>
              <w:top w:val="nil"/>
              <w:left w:val="nil"/>
              <w:bottom w:val="nil"/>
              <w:right w:val="nil"/>
            </w:tcBorders>
            <w:shd w:val="clear" w:color="000000" w:fill="CCFFFF"/>
            <w:noWrap/>
            <w:vAlign w:val="bottom"/>
            <w:hideMark/>
          </w:tcPr>
          <w:p w14:paraId="7A0573CD" w14:textId="77777777" w:rsidR="000B0168" w:rsidRDefault="000B0168">
            <w:pPr>
              <w:jc w:val="right"/>
              <w:rPr>
                <w:sz w:val="18"/>
                <w:szCs w:val="18"/>
              </w:rPr>
            </w:pPr>
            <w:r>
              <w:rPr>
                <w:sz w:val="18"/>
                <w:szCs w:val="18"/>
              </w:rPr>
              <w:t>92</w:t>
            </w:r>
          </w:p>
        </w:tc>
        <w:tc>
          <w:tcPr>
            <w:tcW w:w="964" w:type="dxa"/>
            <w:tcBorders>
              <w:top w:val="nil"/>
              <w:left w:val="nil"/>
              <w:bottom w:val="nil"/>
              <w:right w:val="nil"/>
            </w:tcBorders>
            <w:shd w:val="clear" w:color="000000" w:fill="CCFFFF"/>
            <w:noWrap/>
            <w:vAlign w:val="bottom"/>
            <w:hideMark/>
          </w:tcPr>
          <w:p w14:paraId="3E38837F" w14:textId="77777777" w:rsidR="000B0168" w:rsidRDefault="000B0168">
            <w:pPr>
              <w:jc w:val="right"/>
              <w:rPr>
                <w:sz w:val="18"/>
                <w:szCs w:val="18"/>
              </w:rPr>
            </w:pPr>
            <w:r>
              <w:rPr>
                <w:sz w:val="18"/>
                <w:szCs w:val="18"/>
              </w:rPr>
              <w:t>76</w:t>
            </w:r>
          </w:p>
        </w:tc>
      </w:tr>
      <w:tr w:rsidR="000B0168" w14:paraId="2268D0E8" w14:textId="77777777" w:rsidTr="000B0168">
        <w:trPr>
          <w:trHeight w:val="240"/>
        </w:trPr>
        <w:tc>
          <w:tcPr>
            <w:tcW w:w="640" w:type="dxa"/>
            <w:tcBorders>
              <w:top w:val="nil"/>
              <w:left w:val="nil"/>
              <w:bottom w:val="nil"/>
              <w:right w:val="nil"/>
            </w:tcBorders>
            <w:shd w:val="clear" w:color="auto" w:fill="auto"/>
            <w:noWrap/>
            <w:vAlign w:val="bottom"/>
            <w:hideMark/>
          </w:tcPr>
          <w:p w14:paraId="01935CE0" w14:textId="77777777" w:rsidR="000B0168" w:rsidRDefault="000B0168">
            <w:pPr>
              <w:rPr>
                <w:sz w:val="18"/>
                <w:szCs w:val="18"/>
              </w:rPr>
            </w:pPr>
            <w:r>
              <w:rPr>
                <w:sz w:val="18"/>
                <w:szCs w:val="18"/>
              </w:rPr>
              <w:t>1.6.1.</w:t>
            </w:r>
          </w:p>
        </w:tc>
        <w:tc>
          <w:tcPr>
            <w:tcW w:w="2621" w:type="dxa"/>
            <w:tcBorders>
              <w:top w:val="nil"/>
              <w:left w:val="nil"/>
              <w:bottom w:val="nil"/>
              <w:right w:val="nil"/>
            </w:tcBorders>
            <w:shd w:val="clear" w:color="auto" w:fill="auto"/>
            <w:vAlign w:val="bottom"/>
            <w:hideMark/>
          </w:tcPr>
          <w:p w14:paraId="0D5EB01B" w14:textId="77777777" w:rsidR="000B0168" w:rsidRDefault="000B0168">
            <w:pPr>
              <w:rPr>
                <w:sz w:val="18"/>
                <w:szCs w:val="18"/>
              </w:rPr>
            </w:pPr>
            <w:r>
              <w:rPr>
                <w:sz w:val="18"/>
                <w:szCs w:val="18"/>
              </w:rPr>
              <w:t>Kazne i upravne mjere</w:t>
            </w:r>
          </w:p>
        </w:tc>
        <w:tc>
          <w:tcPr>
            <w:tcW w:w="1418" w:type="dxa"/>
            <w:tcBorders>
              <w:top w:val="nil"/>
              <w:left w:val="nil"/>
              <w:bottom w:val="nil"/>
              <w:right w:val="nil"/>
            </w:tcBorders>
            <w:shd w:val="clear" w:color="auto" w:fill="auto"/>
            <w:noWrap/>
            <w:vAlign w:val="bottom"/>
            <w:hideMark/>
          </w:tcPr>
          <w:p w14:paraId="0496AE2A" w14:textId="77777777" w:rsidR="000B0168" w:rsidRDefault="000B0168" w:rsidP="000B0168">
            <w:pPr>
              <w:jc w:val="right"/>
              <w:rPr>
                <w:sz w:val="18"/>
                <w:szCs w:val="18"/>
              </w:rPr>
            </w:pPr>
            <w:r>
              <w:rPr>
                <w:sz w:val="18"/>
                <w:szCs w:val="18"/>
              </w:rPr>
              <w:t xml:space="preserve">            19.182,38    </w:t>
            </w:r>
          </w:p>
        </w:tc>
        <w:tc>
          <w:tcPr>
            <w:tcW w:w="1251" w:type="dxa"/>
            <w:tcBorders>
              <w:top w:val="nil"/>
              <w:left w:val="nil"/>
              <w:bottom w:val="nil"/>
              <w:right w:val="nil"/>
            </w:tcBorders>
            <w:shd w:val="clear" w:color="auto" w:fill="auto"/>
            <w:noWrap/>
            <w:vAlign w:val="bottom"/>
            <w:hideMark/>
          </w:tcPr>
          <w:p w14:paraId="23A442A3" w14:textId="77777777" w:rsidR="000B0168" w:rsidRDefault="000B0168" w:rsidP="000B0168">
            <w:pPr>
              <w:jc w:val="right"/>
              <w:rPr>
                <w:sz w:val="18"/>
                <w:szCs w:val="18"/>
              </w:rPr>
            </w:pPr>
            <w:r>
              <w:rPr>
                <w:sz w:val="18"/>
                <w:szCs w:val="18"/>
              </w:rPr>
              <w:t xml:space="preserve">            35.000,00    </w:t>
            </w:r>
          </w:p>
        </w:tc>
        <w:tc>
          <w:tcPr>
            <w:tcW w:w="1251" w:type="dxa"/>
            <w:tcBorders>
              <w:top w:val="nil"/>
              <w:left w:val="nil"/>
              <w:bottom w:val="nil"/>
              <w:right w:val="nil"/>
            </w:tcBorders>
            <w:shd w:val="clear" w:color="auto" w:fill="auto"/>
            <w:noWrap/>
            <w:vAlign w:val="bottom"/>
            <w:hideMark/>
          </w:tcPr>
          <w:p w14:paraId="6F9D19FA" w14:textId="77777777" w:rsidR="000B0168" w:rsidRDefault="000B0168" w:rsidP="000B0168">
            <w:pPr>
              <w:jc w:val="right"/>
              <w:rPr>
                <w:sz w:val="18"/>
                <w:szCs w:val="18"/>
              </w:rPr>
            </w:pPr>
            <w:r>
              <w:rPr>
                <w:sz w:val="18"/>
                <w:szCs w:val="18"/>
              </w:rPr>
              <w:t xml:space="preserve">            26.126,59    </w:t>
            </w:r>
          </w:p>
        </w:tc>
        <w:tc>
          <w:tcPr>
            <w:tcW w:w="711" w:type="dxa"/>
            <w:tcBorders>
              <w:top w:val="nil"/>
              <w:left w:val="nil"/>
              <w:bottom w:val="nil"/>
              <w:right w:val="nil"/>
            </w:tcBorders>
            <w:shd w:val="clear" w:color="auto" w:fill="auto"/>
            <w:noWrap/>
            <w:vAlign w:val="bottom"/>
            <w:hideMark/>
          </w:tcPr>
          <w:p w14:paraId="78FA7B33" w14:textId="77777777" w:rsidR="000B0168" w:rsidRDefault="000B0168">
            <w:pPr>
              <w:jc w:val="right"/>
              <w:rPr>
                <w:sz w:val="18"/>
                <w:szCs w:val="18"/>
              </w:rPr>
            </w:pPr>
            <w:r>
              <w:rPr>
                <w:sz w:val="18"/>
                <w:szCs w:val="18"/>
              </w:rPr>
              <w:t>0,07</w:t>
            </w:r>
          </w:p>
        </w:tc>
        <w:tc>
          <w:tcPr>
            <w:tcW w:w="926" w:type="dxa"/>
            <w:tcBorders>
              <w:top w:val="nil"/>
              <w:left w:val="nil"/>
              <w:bottom w:val="nil"/>
              <w:right w:val="nil"/>
            </w:tcBorders>
            <w:shd w:val="clear" w:color="auto" w:fill="auto"/>
            <w:noWrap/>
            <w:vAlign w:val="bottom"/>
            <w:hideMark/>
          </w:tcPr>
          <w:p w14:paraId="3C554100" w14:textId="77777777" w:rsidR="000B0168" w:rsidRDefault="000B0168">
            <w:pPr>
              <w:jc w:val="right"/>
              <w:rPr>
                <w:sz w:val="18"/>
                <w:szCs w:val="18"/>
              </w:rPr>
            </w:pPr>
            <w:r>
              <w:rPr>
                <w:sz w:val="18"/>
                <w:szCs w:val="18"/>
              </w:rPr>
              <w:t>136</w:t>
            </w:r>
          </w:p>
        </w:tc>
        <w:tc>
          <w:tcPr>
            <w:tcW w:w="964" w:type="dxa"/>
            <w:tcBorders>
              <w:top w:val="nil"/>
              <w:left w:val="nil"/>
              <w:bottom w:val="nil"/>
              <w:right w:val="nil"/>
            </w:tcBorders>
            <w:shd w:val="clear" w:color="auto" w:fill="auto"/>
            <w:noWrap/>
            <w:vAlign w:val="bottom"/>
            <w:hideMark/>
          </w:tcPr>
          <w:p w14:paraId="2DAB5F03" w14:textId="77777777" w:rsidR="000B0168" w:rsidRDefault="000B0168">
            <w:pPr>
              <w:jc w:val="right"/>
              <w:rPr>
                <w:sz w:val="18"/>
                <w:szCs w:val="18"/>
              </w:rPr>
            </w:pPr>
            <w:r>
              <w:rPr>
                <w:sz w:val="18"/>
                <w:szCs w:val="18"/>
              </w:rPr>
              <w:t>75</w:t>
            </w:r>
          </w:p>
        </w:tc>
      </w:tr>
      <w:tr w:rsidR="000B0168" w14:paraId="6BF0DE44" w14:textId="77777777" w:rsidTr="000B0168">
        <w:trPr>
          <w:trHeight w:val="240"/>
        </w:trPr>
        <w:tc>
          <w:tcPr>
            <w:tcW w:w="640" w:type="dxa"/>
            <w:tcBorders>
              <w:top w:val="nil"/>
              <w:left w:val="nil"/>
              <w:bottom w:val="nil"/>
              <w:right w:val="nil"/>
            </w:tcBorders>
            <w:shd w:val="clear" w:color="auto" w:fill="auto"/>
            <w:noWrap/>
            <w:vAlign w:val="bottom"/>
            <w:hideMark/>
          </w:tcPr>
          <w:p w14:paraId="2A230D74" w14:textId="77777777" w:rsidR="000B0168" w:rsidRDefault="000B0168">
            <w:pPr>
              <w:rPr>
                <w:sz w:val="18"/>
                <w:szCs w:val="18"/>
              </w:rPr>
            </w:pPr>
            <w:r>
              <w:rPr>
                <w:sz w:val="18"/>
                <w:szCs w:val="18"/>
              </w:rPr>
              <w:t>1.6.2.</w:t>
            </w:r>
          </w:p>
        </w:tc>
        <w:tc>
          <w:tcPr>
            <w:tcW w:w="2621" w:type="dxa"/>
            <w:tcBorders>
              <w:top w:val="nil"/>
              <w:left w:val="nil"/>
              <w:bottom w:val="nil"/>
              <w:right w:val="nil"/>
            </w:tcBorders>
            <w:shd w:val="clear" w:color="auto" w:fill="auto"/>
            <w:vAlign w:val="bottom"/>
            <w:hideMark/>
          </w:tcPr>
          <w:p w14:paraId="1DC7E552" w14:textId="77777777" w:rsidR="000B0168" w:rsidRDefault="000B0168">
            <w:pPr>
              <w:rPr>
                <w:sz w:val="18"/>
                <w:szCs w:val="18"/>
              </w:rPr>
            </w:pPr>
            <w:r>
              <w:rPr>
                <w:sz w:val="18"/>
                <w:szCs w:val="18"/>
              </w:rPr>
              <w:t>Ostali prihodi</w:t>
            </w:r>
          </w:p>
        </w:tc>
        <w:tc>
          <w:tcPr>
            <w:tcW w:w="1418" w:type="dxa"/>
            <w:tcBorders>
              <w:top w:val="nil"/>
              <w:left w:val="nil"/>
              <w:bottom w:val="nil"/>
              <w:right w:val="nil"/>
            </w:tcBorders>
            <w:shd w:val="clear" w:color="auto" w:fill="auto"/>
            <w:noWrap/>
            <w:vAlign w:val="bottom"/>
            <w:hideMark/>
          </w:tcPr>
          <w:p w14:paraId="18B54DE3" w14:textId="77777777" w:rsidR="000B0168" w:rsidRDefault="000B0168" w:rsidP="000B0168">
            <w:pPr>
              <w:jc w:val="right"/>
              <w:rPr>
                <w:sz w:val="18"/>
                <w:szCs w:val="18"/>
              </w:rPr>
            </w:pPr>
            <w:r>
              <w:rPr>
                <w:sz w:val="18"/>
                <w:szCs w:val="18"/>
              </w:rPr>
              <w:t xml:space="preserve">            26.391,71    </w:t>
            </w:r>
          </w:p>
        </w:tc>
        <w:tc>
          <w:tcPr>
            <w:tcW w:w="1251" w:type="dxa"/>
            <w:tcBorders>
              <w:top w:val="nil"/>
              <w:left w:val="nil"/>
              <w:bottom w:val="nil"/>
              <w:right w:val="nil"/>
            </w:tcBorders>
            <w:shd w:val="clear" w:color="auto" w:fill="auto"/>
            <w:noWrap/>
            <w:vAlign w:val="bottom"/>
            <w:hideMark/>
          </w:tcPr>
          <w:p w14:paraId="7E79C1CC" w14:textId="77777777" w:rsidR="000B0168" w:rsidRDefault="000B0168" w:rsidP="000B0168">
            <w:pPr>
              <w:jc w:val="right"/>
              <w:rPr>
                <w:sz w:val="18"/>
                <w:szCs w:val="18"/>
              </w:rPr>
            </w:pPr>
            <w:r>
              <w:rPr>
                <w:sz w:val="18"/>
                <w:szCs w:val="18"/>
              </w:rPr>
              <w:t xml:space="preserve">            20.000,00    </w:t>
            </w:r>
          </w:p>
        </w:tc>
        <w:tc>
          <w:tcPr>
            <w:tcW w:w="1251" w:type="dxa"/>
            <w:tcBorders>
              <w:top w:val="nil"/>
              <w:left w:val="nil"/>
              <w:bottom w:val="nil"/>
              <w:right w:val="nil"/>
            </w:tcBorders>
            <w:shd w:val="clear" w:color="auto" w:fill="auto"/>
            <w:noWrap/>
            <w:vAlign w:val="bottom"/>
            <w:hideMark/>
          </w:tcPr>
          <w:p w14:paraId="200CA220" w14:textId="77777777" w:rsidR="000B0168" w:rsidRDefault="000B0168" w:rsidP="000B0168">
            <w:pPr>
              <w:jc w:val="right"/>
              <w:rPr>
                <w:sz w:val="18"/>
                <w:szCs w:val="18"/>
              </w:rPr>
            </w:pPr>
            <w:r>
              <w:rPr>
                <w:sz w:val="18"/>
                <w:szCs w:val="18"/>
              </w:rPr>
              <w:t xml:space="preserve">            15.604,91    </w:t>
            </w:r>
          </w:p>
        </w:tc>
        <w:tc>
          <w:tcPr>
            <w:tcW w:w="711" w:type="dxa"/>
            <w:tcBorders>
              <w:top w:val="nil"/>
              <w:left w:val="nil"/>
              <w:bottom w:val="nil"/>
              <w:right w:val="nil"/>
            </w:tcBorders>
            <w:shd w:val="clear" w:color="auto" w:fill="auto"/>
            <w:noWrap/>
            <w:vAlign w:val="bottom"/>
            <w:hideMark/>
          </w:tcPr>
          <w:p w14:paraId="1FB47893" w14:textId="77777777" w:rsidR="000B0168" w:rsidRDefault="000B0168">
            <w:pPr>
              <w:jc w:val="right"/>
              <w:rPr>
                <w:sz w:val="18"/>
                <w:szCs w:val="18"/>
              </w:rPr>
            </w:pPr>
            <w:r>
              <w:rPr>
                <w:sz w:val="18"/>
                <w:szCs w:val="18"/>
              </w:rPr>
              <w:t>0,04</w:t>
            </w:r>
          </w:p>
        </w:tc>
        <w:tc>
          <w:tcPr>
            <w:tcW w:w="926" w:type="dxa"/>
            <w:tcBorders>
              <w:top w:val="nil"/>
              <w:left w:val="nil"/>
              <w:bottom w:val="nil"/>
              <w:right w:val="nil"/>
            </w:tcBorders>
            <w:shd w:val="clear" w:color="auto" w:fill="auto"/>
            <w:noWrap/>
            <w:vAlign w:val="bottom"/>
            <w:hideMark/>
          </w:tcPr>
          <w:p w14:paraId="698255CC" w14:textId="77777777" w:rsidR="000B0168" w:rsidRDefault="000B0168">
            <w:pPr>
              <w:jc w:val="right"/>
              <w:rPr>
                <w:sz w:val="18"/>
                <w:szCs w:val="18"/>
              </w:rPr>
            </w:pPr>
            <w:r>
              <w:rPr>
                <w:sz w:val="18"/>
                <w:szCs w:val="18"/>
              </w:rPr>
              <w:t>59</w:t>
            </w:r>
          </w:p>
        </w:tc>
        <w:tc>
          <w:tcPr>
            <w:tcW w:w="964" w:type="dxa"/>
            <w:tcBorders>
              <w:top w:val="nil"/>
              <w:left w:val="nil"/>
              <w:bottom w:val="nil"/>
              <w:right w:val="nil"/>
            </w:tcBorders>
            <w:shd w:val="clear" w:color="auto" w:fill="auto"/>
            <w:noWrap/>
            <w:vAlign w:val="bottom"/>
            <w:hideMark/>
          </w:tcPr>
          <w:p w14:paraId="48226E5E" w14:textId="77777777" w:rsidR="000B0168" w:rsidRDefault="000B0168">
            <w:pPr>
              <w:jc w:val="right"/>
              <w:rPr>
                <w:sz w:val="18"/>
                <w:szCs w:val="18"/>
              </w:rPr>
            </w:pPr>
            <w:r>
              <w:rPr>
                <w:sz w:val="18"/>
                <w:szCs w:val="18"/>
              </w:rPr>
              <w:t>78</w:t>
            </w:r>
          </w:p>
        </w:tc>
      </w:tr>
      <w:tr w:rsidR="000B0168" w14:paraId="7D8C412A" w14:textId="77777777" w:rsidTr="000B0168">
        <w:trPr>
          <w:trHeight w:val="240"/>
        </w:trPr>
        <w:tc>
          <w:tcPr>
            <w:tcW w:w="640" w:type="dxa"/>
            <w:tcBorders>
              <w:top w:val="nil"/>
              <w:left w:val="nil"/>
              <w:bottom w:val="nil"/>
              <w:right w:val="nil"/>
            </w:tcBorders>
            <w:shd w:val="clear" w:color="000000" w:fill="FFCC99"/>
            <w:noWrap/>
            <w:vAlign w:val="bottom"/>
            <w:hideMark/>
          </w:tcPr>
          <w:p w14:paraId="128BD9E8" w14:textId="77777777" w:rsidR="000B0168" w:rsidRDefault="000B0168">
            <w:pPr>
              <w:rPr>
                <w:b/>
                <w:bCs/>
                <w:sz w:val="18"/>
                <w:szCs w:val="18"/>
              </w:rPr>
            </w:pPr>
            <w:r>
              <w:rPr>
                <w:b/>
                <w:bCs/>
                <w:sz w:val="18"/>
                <w:szCs w:val="18"/>
              </w:rPr>
              <w:t>2.</w:t>
            </w:r>
          </w:p>
        </w:tc>
        <w:tc>
          <w:tcPr>
            <w:tcW w:w="2621" w:type="dxa"/>
            <w:tcBorders>
              <w:top w:val="nil"/>
              <w:left w:val="nil"/>
              <w:bottom w:val="nil"/>
              <w:right w:val="nil"/>
            </w:tcBorders>
            <w:shd w:val="clear" w:color="000000" w:fill="FFCC99"/>
            <w:vAlign w:val="bottom"/>
            <w:hideMark/>
          </w:tcPr>
          <w:p w14:paraId="1A334EDC" w14:textId="77777777" w:rsidR="000B0168" w:rsidRDefault="000B0168">
            <w:pPr>
              <w:rPr>
                <w:b/>
                <w:bCs/>
                <w:sz w:val="18"/>
                <w:szCs w:val="18"/>
              </w:rPr>
            </w:pPr>
            <w:r>
              <w:rPr>
                <w:b/>
                <w:bCs/>
                <w:sz w:val="18"/>
                <w:szCs w:val="18"/>
              </w:rPr>
              <w:t>Prihodi od prodaje nefinancijske imovine</w:t>
            </w:r>
          </w:p>
        </w:tc>
        <w:tc>
          <w:tcPr>
            <w:tcW w:w="1418" w:type="dxa"/>
            <w:tcBorders>
              <w:top w:val="nil"/>
              <w:left w:val="nil"/>
              <w:bottom w:val="nil"/>
              <w:right w:val="nil"/>
            </w:tcBorders>
            <w:shd w:val="clear" w:color="000000" w:fill="FFCC99"/>
            <w:vAlign w:val="bottom"/>
            <w:hideMark/>
          </w:tcPr>
          <w:p w14:paraId="3D64FC87" w14:textId="77777777" w:rsidR="000B0168" w:rsidRDefault="000B0168" w:rsidP="000B0168">
            <w:pPr>
              <w:jc w:val="right"/>
              <w:rPr>
                <w:b/>
                <w:bCs/>
                <w:sz w:val="18"/>
                <w:szCs w:val="18"/>
              </w:rPr>
            </w:pPr>
            <w:r>
              <w:rPr>
                <w:b/>
                <w:bCs/>
                <w:sz w:val="18"/>
                <w:szCs w:val="18"/>
              </w:rPr>
              <w:t xml:space="preserve">       4.580.232,11    </w:t>
            </w:r>
          </w:p>
        </w:tc>
        <w:tc>
          <w:tcPr>
            <w:tcW w:w="1251" w:type="dxa"/>
            <w:tcBorders>
              <w:top w:val="nil"/>
              <w:left w:val="nil"/>
              <w:bottom w:val="nil"/>
              <w:right w:val="nil"/>
            </w:tcBorders>
            <w:shd w:val="clear" w:color="000000" w:fill="FFCC99"/>
            <w:vAlign w:val="bottom"/>
            <w:hideMark/>
          </w:tcPr>
          <w:p w14:paraId="6638A021" w14:textId="77777777" w:rsidR="000B0168" w:rsidRDefault="000B0168" w:rsidP="000B0168">
            <w:pPr>
              <w:jc w:val="right"/>
              <w:rPr>
                <w:b/>
                <w:bCs/>
                <w:sz w:val="18"/>
                <w:szCs w:val="18"/>
              </w:rPr>
            </w:pPr>
            <w:r>
              <w:rPr>
                <w:b/>
                <w:bCs/>
                <w:sz w:val="18"/>
                <w:szCs w:val="18"/>
              </w:rPr>
              <w:t xml:space="preserve">       6.100.000,00    </w:t>
            </w:r>
          </w:p>
        </w:tc>
        <w:tc>
          <w:tcPr>
            <w:tcW w:w="1251" w:type="dxa"/>
            <w:tcBorders>
              <w:top w:val="nil"/>
              <w:left w:val="nil"/>
              <w:bottom w:val="nil"/>
              <w:right w:val="nil"/>
            </w:tcBorders>
            <w:shd w:val="clear" w:color="000000" w:fill="FFCC99"/>
            <w:vAlign w:val="bottom"/>
            <w:hideMark/>
          </w:tcPr>
          <w:p w14:paraId="25641112" w14:textId="77777777" w:rsidR="000B0168" w:rsidRDefault="000B0168" w:rsidP="000B0168">
            <w:pPr>
              <w:jc w:val="right"/>
              <w:rPr>
                <w:b/>
                <w:bCs/>
                <w:sz w:val="18"/>
                <w:szCs w:val="18"/>
              </w:rPr>
            </w:pPr>
            <w:r>
              <w:rPr>
                <w:b/>
                <w:bCs/>
                <w:sz w:val="18"/>
                <w:szCs w:val="18"/>
              </w:rPr>
              <w:t xml:space="preserve">       3.996.473,16    </w:t>
            </w:r>
          </w:p>
        </w:tc>
        <w:tc>
          <w:tcPr>
            <w:tcW w:w="711" w:type="dxa"/>
            <w:tcBorders>
              <w:top w:val="nil"/>
              <w:left w:val="nil"/>
              <w:bottom w:val="nil"/>
              <w:right w:val="nil"/>
            </w:tcBorders>
            <w:shd w:val="clear" w:color="000000" w:fill="FFCC99"/>
            <w:vAlign w:val="bottom"/>
            <w:hideMark/>
          </w:tcPr>
          <w:p w14:paraId="0AEF956B" w14:textId="77777777" w:rsidR="000B0168" w:rsidRDefault="000B0168">
            <w:pPr>
              <w:jc w:val="right"/>
              <w:rPr>
                <w:b/>
                <w:bCs/>
                <w:sz w:val="18"/>
                <w:szCs w:val="18"/>
              </w:rPr>
            </w:pPr>
            <w:r>
              <w:rPr>
                <w:b/>
                <w:bCs/>
                <w:sz w:val="18"/>
                <w:szCs w:val="18"/>
              </w:rPr>
              <w:t>10,54</w:t>
            </w:r>
          </w:p>
        </w:tc>
        <w:tc>
          <w:tcPr>
            <w:tcW w:w="926" w:type="dxa"/>
            <w:tcBorders>
              <w:top w:val="nil"/>
              <w:left w:val="nil"/>
              <w:bottom w:val="nil"/>
              <w:right w:val="nil"/>
            </w:tcBorders>
            <w:shd w:val="clear" w:color="000000" w:fill="FFCC99"/>
            <w:vAlign w:val="bottom"/>
            <w:hideMark/>
          </w:tcPr>
          <w:p w14:paraId="2443CDFD" w14:textId="77777777" w:rsidR="000B0168" w:rsidRDefault="000B0168">
            <w:pPr>
              <w:jc w:val="right"/>
              <w:rPr>
                <w:b/>
                <w:bCs/>
                <w:sz w:val="18"/>
                <w:szCs w:val="18"/>
              </w:rPr>
            </w:pPr>
            <w:r>
              <w:rPr>
                <w:b/>
                <w:bCs/>
                <w:sz w:val="18"/>
                <w:szCs w:val="18"/>
              </w:rPr>
              <w:t>87</w:t>
            </w:r>
          </w:p>
        </w:tc>
        <w:tc>
          <w:tcPr>
            <w:tcW w:w="964" w:type="dxa"/>
            <w:tcBorders>
              <w:top w:val="nil"/>
              <w:left w:val="nil"/>
              <w:bottom w:val="nil"/>
              <w:right w:val="nil"/>
            </w:tcBorders>
            <w:shd w:val="clear" w:color="000000" w:fill="FFCC99"/>
            <w:vAlign w:val="bottom"/>
            <w:hideMark/>
          </w:tcPr>
          <w:p w14:paraId="58422B84" w14:textId="77777777" w:rsidR="000B0168" w:rsidRDefault="000B0168">
            <w:pPr>
              <w:jc w:val="right"/>
              <w:rPr>
                <w:b/>
                <w:bCs/>
                <w:sz w:val="18"/>
                <w:szCs w:val="18"/>
              </w:rPr>
            </w:pPr>
            <w:r>
              <w:rPr>
                <w:b/>
                <w:bCs/>
                <w:sz w:val="18"/>
                <w:szCs w:val="18"/>
              </w:rPr>
              <w:t>66</w:t>
            </w:r>
          </w:p>
        </w:tc>
      </w:tr>
      <w:tr w:rsidR="000B0168" w14:paraId="54662B19" w14:textId="77777777" w:rsidTr="000B0168">
        <w:trPr>
          <w:trHeight w:val="240"/>
        </w:trPr>
        <w:tc>
          <w:tcPr>
            <w:tcW w:w="640" w:type="dxa"/>
            <w:tcBorders>
              <w:top w:val="nil"/>
              <w:left w:val="nil"/>
              <w:bottom w:val="nil"/>
              <w:right w:val="nil"/>
            </w:tcBorders>
            <w:shd w:val="clear" w:color="000000" w:fill="CCFFFF"/>
            <w:noWrap/>
            <w:vAlign w:val="bottom"/>
            <w:hideMark/>
          </w:tcPr>
          <w:p w14:paraId="08ACDCC6" w14:textId="77777777" w:rsidR="000B0168" w:rsidRDefault="000B0168">
            <w:pPr>
              <w:rPr>
                <w:sz w:val="18"/>
                <w:szCs w:val="18"/>
              </w:rPr>
            </w:pPr>
            <w:r>
              <w:rPr>
                <w:sz w:val="18"/>
                <w:szCs w:val="18"/>
              </w:rPr>
              <w:t>2.1.</w:t>
            </w:r>
          </w:p>
        </w:tc>
        <w:tc>
          <w:tcPr>
            <w:tcW w:w="2621" w:type="dxa"/>
            <w:tcBorders>
              <w:top w:val="nil"/>
              <w:left w:val="nil"/>
              <w:bottom w:val="nil"/>
              <w:right w:val="nil"/>
            </w:tcBorders>
            <w:shd w:val="clear" w:color="000000" w:fill="CCFFFF"/>
            <w:noWrap/>
            <w:vAlign w:val="bottom"/>
            <w:hideMark/>
          </w:tcPr>
          <w:p w14:paraId="6A9E5CC9" w14:textId="77777777" w:rsidR="000B0168" w:rsidRDefault="000B0168">
            <w:pPr>
              <w:rPr>
                <w:sz w:val="18"/>
                <w:szCs w:val="18"/>
              </w:rPr>
            </w:pPr>
            <w:r>
              <w:rPr>
                <w:sz w:val="18"/>
                <w:szCs w:val="18"/>
              </w:rPr>
              <w:t xml:space="preserve">Prihodi od prodaje </w:t>
            </w:r>
            <w:proofErr w:type="spellStart"/>
            <w:r>
              <w:rPr>
                <w:sz w:val="18"/>
                <w:szCs w:val="18"/>
              </w:rPr>
              <w:t>neproizvedene</w:t>
            </w:r>
            <w:proofErr w:type="spellEnd"/>
            <w:r>
              <w:rPr>
                <w:sz w:val="18"/>
                <w:szCs w:val="18"/>
              </w:rPr>
              <w:t xml:space="preserve"> </w:t>
            </w:r>
            <w:proofErr w:type="spellStart"/>
            <w:r>
              <w:rPr>
                <w:sz w:val="18"/>
                <w:szCs w:val="18"/>
              </w:rPr>
              <w:t>dugotr.imovine</w:t>
            </w:r>
            <w:proofErr w:type="spellEnd"/>
          </w:p>
        </w:tc>
        <w:tc>
          <w:tcPr>
            <w:tcW w:w="1418" w:type="dxa"/>
            <w:tcBorders>
              <w:top w:val="nil"/>
              <w:left w:val="nil"/>
              <w:bottom w:val="nil"/>
              <w:right w:val="nil"/>
            </w:tcBorders>
            <w:shd w:val="clear" w:color="000000" w:fill="CCFFFF"/>
            <w:noWrap/>
            <w:vAlign w:val="bottom"/>
            <w:hideMark/>
          </w:tcPr>
          <w:p w14:paraId="585A8873" w14:textId="77777777" w:rsidR="000B0168" w:rsidRDefault="000B0168" w:rsidP="000B0168">
            <w:pPr>
              <w:jc w:val="right"/>
              <w:rPr>
                <w:sz w:val="18"/>
                <w:szCs w:val="18"/>
              </w:rPr>
            </w:pPr>
            <w:r>
              <w:rPr>
                <w:sz w:val="18"/>
                <w:szCs w:val="18"/>
              </w:rPr>
              <w:t xml:space="preserve">       3.471.903,68    </w:t>
            </w:r>
          </w:p>
        </w:tc>
        <w:tc>
          <w:tcPr>
            <w:tcW w:w="1251" w:type="dxa"/>
            <w:tcBorders>
              <w:top w:val="nil"/>
              <w:left w:val="nil"/>
              <w:bottom w:val="nil"/>
              <w:right w:val="nil"/>
            </w:tcBorders>
            <w:shd w:val="clear" w:color="000000" w:fill="CCFFFF"/>
            <w:noWrap/>
            <w:vAlign w:val="bottom"/>
            <w:hideMark/>
          </w:tcPr>
          <w:p w14:paraId="2431802A" w14:textId="77777777" w:rsidR="000B0168" w:rsidRDefault="000B0168" w:rsidP="000B0168">
            <w:pPr>
              <w:jc w:val="right"/>
              <w:rPr>
                <w:sz w:val="18"/>
                <w:szCs w:val="18"/>
              </w:rPr>
            </w:pPr>
            <w:r>
              <w:rPr>
                <w:sz w:val="18"/>
                <w:szCs w:val="18"/>
              </w:rPr>
              <w:t xml:space="preserve">       3.960.000,00    </w:t>
            </w:r>
          </w:p>
        </w:tc>
        <w:tc>
          <w:tcPr>
            <w:tcW w:w="1251" w:type="dxa"/>
            <w:tcBorders>
              <w:top w:val="nil"/>
              <w:left w:val="nil"/>
              <w:bottom w:val="nil"/>
              <w:right w:val="nil"/>
            </w:tcBorders>
            <w:shd w:val="clear" w:color="000000" w:fill="CCFFFF"/>
            <w:noWrap/>
            <w:vAlign w:val="bottom"/>
            <w:hideMark/>
          </w:tcPr>
          <w:p w14:paraId="1A0EA3AD" w14:textId="77777777" w:rsidR="000B0168" w:rsidRDefault="000B0168" w:rsidP="000B0168">
            <w:pPr>
              <w:jc w:val="right"/>
              <w:rPr>
                <w:sz w:val="18"/>
                <w:szCs w:val="18"/>
              </w:rPr>
            </w:pPr>
            <w:r>
              <w:rPr>
                <w:sz w:val="18"/>
                <w:szCs w:val="18"/>
              </w:rPr>
              <w:t xml:space="preserve">       2.722.982,26    </w:t>
            </w:r>
          </w:p>
        </w:tc>
        <w:tc>
          <w:tcPr>
            <w:tcW w:w="711" w:type="dxa"/>
            <w:tcBorders>
              <w:top w:val="nil"/>
              <w:left w:val="nil"/>
              <w:bottom w:val="nil"/>
              <w:right w:val="nil"/>
            </w:tcBorders>
            <w:shd w:val="clear" w:color="000000" w:fill="CCFFFF"/>
            <w:noWrap/>
            <w:vAlign w:val="bottom"/>
            <w:hideMark/>
          </w:tcPr>
          <w:p w14:paraId="3EA9E436" w14:textId="77777777" w:rsidR="000B0168" w:rsidRDefault="000B0168">
            <w:pPr>
              <w:jc w:val="right"/>
              <w:rPr>
                <w:sz w:val="18"/>
                <w:szCs w:val="18"/>
              </w:rPr>
            </w:pPr>
            <w:r>
              <w:rPr>
                <w:sz w:val="18"/>
                <w:szCs w:val="18"/>
              </w:rPr>
              <w:t>7,18</w:t>
            </w:r>
          </w:p>
        </w:tc>
        <w:tc>
          <w:tcPr>
            <w:tcW w:w="926" w:type="dxa"/>
            <w:tcBorders>
              <w:top w:val="nil"/>
              <w:left w:val="nil"/>
              <w:bottom w:val="nil"/>
              <w:right w:val="nil"/>
            </w:tcBorders>
            <w:shd w:val="clear" w:color="000000" w:fill="CCFFFF"/>
            <w:noWrap/>
            <w:vAlign w:val="bottom"/>
            <w:hideMark/>
          </w:tcPr>
          <w:p w14:paraId="16A4C695" w14:textId="77777777" w:rsidR="000B0168" w:rsidRDefault="000B0168">
            <w:pPr>
              <w:jc w:val="right"/>
              <w:rPr>
                <w:sz w:val="18"/>
                <w:szCs w:val="18"/>
              </w:rPr>
            </w:pPr>
            <w:r>
              <w:rPr>
                <w:sz w:val="18"/>
                <w:szCs w:val="18"/>
              </w:rPr>
              <w:t>78</w:t>
            </w:r>
          </w:p>
        </w:tc>
        <w:tc>
          <w:tcPr>
            <w:tcW w:w="964" w:type="dxa"/>
            <w:tcBorders>
              <w:top w:val="nil"/>
              <w:left w:val="nil"/>
              <w:bottom w:val="nil"/>
              <w:right w:val="nil"/>
            </w:tcBorders>
            <w:shd w:val="clear" w:color="000000" w:fill="CCFFFF"/>
            <w:noWrap/>
            <w:vAlign w:val="bottom"/>
            <w:hideMark/>
          </w:tcPr>
          <w:p w14:paraId="4A63093C" w14:textId="77777777" w:rsidR="000B0168" w:rsidRDefault="000B0168">
            <w:pPr>
              <w:jc w:val="right"/>
              <w:rPr>
                <w:sz w:val="18"/>
                <w:szCs w:val="18"/>
              </w:rPr>
            </w:pPr>
            <w:r>
              <w:rPr>
                <w:sz w:val="18"/>
                <w:szCs w:val="18"/>
              </w:rPr>
              <w:t>69</w:t>
            </w:r>
          </w:p>
        </w:tc>
      </w:tr>
      <w:tr w:rsidR="000B0168" w14:paraId="115F4EF1" w14:textId="77777777" w:rsidTr="000B0168">
        <w:trPr>
          <w:trHeight w:val="240"/>
        </w:trPr>
        <w:tc>
          <w:tcPr>
            <w:tcW w:w="640" w:type="dxa"/>
            <w:tcBorders>
              <w:top w:val="nil"/>
              <w:left w:val="nil"/>
              <w:bottom w:val="nil"/>
              <w:right w:val="nil"/>
            </w:tcBorders>
            <w:shd w:val="clear" w:color="000000" w:fill="CCFFFF"/>
            <w:noWrap/>
            <w:vAlign w:val="bottom"/>
            <w:hideMark/>
          </w:tcPr>
          <w:p w14:paraId="6E9031ED" w14:textId="77777777" w:rsidR="000B0168" w:rsidRDefault="000B0168">
            <w:pPr>
              <w:rPr>
                <w:sz w:val="18"/>
                <w:szCs w:val="18"/>
              </w:rPr>
            </w:pPr>
            <w:r>
              <w:rPr>
                <w:sz w:val="18"/>
                <w:szCs w:val="18"/>
              </w:rPr>
              <w:t>2.2.</w:t>
            </w:r>
          </w:p>
        </w:tc>
        <w:tc>
          <w:tcPr>
            <w:tcW w:w="2621" w:type="dxa"/>
            <w:tcBorders>
              <w:top w:val="nil"/>
              <w:left w:val="nil"/>
              <w:bottom w:val="nil"/>
              <w:right w:val="nil"/>
            </w:tcBorders>
            <w:shd w:val="clear" w:color="000000" w:fill="CCFFFF"/>
            <w:vAlign w:val="bottom"/>
            <w:hideMark/>
          </w:tcPr>
          <w:p w14:paraId="2CD834C1" w14:textId="77777777" w:rsidR="000B0168" w:rsidRDefault="000B0168">
            <w:pPr>
              <w:rPr>
                <w:sz w:val="18"/>
                <w:szCs w:val="18"/>
              </w:rPr>
            </w:pPr>
            <w:r>
              <w:rPr>
                <w:sz w:val="18"/>
                <w:szCs w:val="18"/>
              </w:rPr>
              <w:t>Prihodi od prodaje proizvedene dugotrajne imovine</w:t>
            </w:r>
          </w:p>
        </w:tc>
        <w:tc>
          <w:tcPr>
            <w:tcW w:w="1418" w:type="dxa"/>
            <w:tcBorders>
              <w:top w:val="nil"/>
              <w:left w:val="nil"/>
              <w:bottom w:val="nil"/>
              <w:right w:val="nil"/>
            </w:tcBorders>
            <w:shd w:val="clear" w:color="000000" w:fill="CCFFFF"/>
            <w:noWrap/>
            <w:vAlign w:val="bottom"/>
            <w:hideMark/>
          </w:tcPr>
          <w:p w14:paraId="7D6C9A10" w14:textId="77777777" w:rsidR="000B0168" w:rsidRDefault="000B0168" w:rsidP="000B0168">
            <w:pPr>
              <w:jc w:val="right"/>
              <w:rPr>
                <w:sz w:val="18"/>
                <w:szCs w:val="18"/>
              </w:rPr>
            </w:pPr>
            <w:r>
              <w:rPr>
                <w:sz w:val="18"/>
                <w:szCs w:val="18"/>
              </w:rPr>
              <w:t xml:space="preserve">       1.108.328,43    </w:t>
            </w:r>
          </w:p>
        </w:tc>
        <w:tc>
          <w:tcPr>
            <w:tcW w:w="1251" w:type="dxa"/>
            <w:tcBorders>
              <w:top w:val="nil"/>
              <w:left w:val="nil"/>
              <w:bottom w:val="nil"/>
              <w:right w:val="nil"/>
            </w:tcBorders>
            <w:shd w:val="clear" w:color="000000" w:fill="CCFFFF"/>
            <w:noWrap/>
            <w:vAlign w:val="bottom"/>
            <w:hideMark/>
          </w:tcPr>
          <w:p w14:paraId="4A5F62BB" w14:textId="77777777" w:rsidR="000B0168" w:rsidRDefault="000B0168" w:rsidP="000B0168">
            <w:pPr>
              <w:jc w:val="right"/>
              <w:rPr>
                <w:sz w:val="18"/>
                <w:szCs w:val="18"/>
              </w:rPr>
            </w:pPr>
            <w:r>
              <w:rPr>
                <w:sz w:val="18"/>
                <w:szCs w:val="18"/>
              </w:rPr>
              <w:t xml:space="preserve">       2.140.000,00    </w:t>
            </w:r>
          </w:p>
        </w:tc>
        <w:tc>
          <w:tcPr>
            <w:tcW w:w="1251" w:type="dxa"/>
            <w:tcBorders>
              <w:top w:val="nil"/>
              <w:left w:val="nil"/>
              <w:bottom w:val="nil"/>
              <w:right w:val="nil"/>
            </w:tcBorders>
            <w:shd w:val="clear" w:color="000000" w:fill="CCFFFF"/>
            <w:noWrap/>
            <w:vAlign w:val="bottom"/>
            <w:hideMark/>
          </w:tcPr>
          <w:p w14:paraId="485B70C8" w14:textId="77777777" w:rsidR="000B0168" w:rsidRDefault="000B0168" w:rsidP="000B0168">
            <w:pPr>
              <w:jc w:val="right"/>
              <w:rPr>
                <w:sz w:val="18"/>
                <w:szCs w:val="18"/>
              </w:rPr>
            </w:pPr>
            <w:r>
              <w:rPr>
                <w:sz w:val="18"/>
                <w:szCs w:val="18"/>
              </w:rPr>
              <w:t xml:space="preserve">       1.273.490,90    </w:t>
            </w:r>
          </w:p>
        </w:tc>
        <w:tc>
          <w:tcPr>
            <w:tcW w:w="711" w:type="dxa"/>
            <w:tcBorders>
              <w:top w:val="nil"/>
              <w:left w:val="nil"/>
              <w:bottom w:val="nil"/>
              <w:right w:val="nil"/>
            </w:tcBorders>
            <w:shd w:val="clear" w:color="000000" w:fill="CCFFFF"/>
            <w:noWrap/>
            <w:vAlign w:val="bottom"/>
            <w:hideMark/>
          </w:tcPr>
          <w:p w14:paraId="7702821E" w14:textId="77777777" w:rsidR="000B0168" w:rsidRDefault="000B0168">
            <w:pPr>
              <w:jc w:val="right"/>
              <w:rPr>
                <w:sz w:val="18"/>
                <w:szCs w:val="18"/>
              </w:rPr>
            </w:pPr>
            <w:r>
              <w:rPr>
                <w:sz w:val="18"/>
                <w:szCs w:val="18"/>
              </w:rPr>
              <w:t>3,36</w:t>
            </w:r>
          </w:p>
        </w:tc>
        <w:tc>
          <w:tcPr>
            <w:tcW w:w="926" w:type="dxa"/>
            <w:tcBorders>
              <w:top w:val="nil"/>
              <w:left w:val="nil"/>
              <w:bottom w:val="nil"/>
              <w:right w:val="nil"/>
            </w:tcBorders>
            <w:shd w:val="clear" w:color="000000" w:fill="CCFFFF"/>
            <w:noWrap/>
            <w:vAlign w:val="bottom"/>
            <w:hideMark/>
          </w:tcPr>
          <w:p w14:paraId="3646B475" w14:textId="77777777" w:rsidR="000B0168" w:rsidRDefault="000B0168">
            <w:pPr>
              <w:jc w:val="right"/>
              <w:rPr>
                <w:sz w:val="18"/>
                <w:szCs w:val="18"/>
              </w:rPr>
            </w:pPr>
            <w:r>
              <w:rPr>
                <w:sz w:val="18"/>
                <w:szCs w:val="18"/>
              </w:rPr>
              <w:t>115</w:t>
            </w:r>
          </w:p>
        </w:tc>
        <w:tc>
          <w:tcPr>
            <w:tcW w:w="964" w:type="dxa"/>
            <w:tcBorders>
              <w:top w:val="nil"/>
              <w:left w:val="nil"/>
              <w:bottom w:val="nil"/>
              <w:right w:val="nil"/>
            </w:tcBorders>
            <w:shd w:val="clear" w:color="000000" w:fill="CCFFFF"/>
            <w:noWrap/>
            <w:vAlign w:val="bottom"/>
            <w:hideMark/>
          </w:tcPr>
          <w:p w14:paraId="5185B436" w14:textId="77777777" w:rsidR="000B0168" w:rsidRDefault="000B0168">
            <w:pPr>
              <w:jc w:val="right"/>
              <w:rPr>
                <w:sz w:val="18"/>
                <w:szCs w:val="18"/>
              </w:rPr>
            </w:pPr>
            <w:r>
              <w:rPr>
                <w:sz w:val="18"/>
                <w:szCs w:val="18"/>
              </w:rPr>
              <w:t>60</w:t>
            </w:r>
          </w:p>
        </w:tc>
      </w:tr>
      <w:tr w:rsidR="000B0168" w14:paraId="348423B8" w14:textId="77777777" w:rsidTr="000B0168">
        <w:trPr>
          <w:trHeight w:val="240"/>
        </w:trPr>
        <w:tc>
          <w:tcPr>
            <w:tcW w:w="640" w:type="dxa"/>
            <w:tcBorders>
              <w:top w:val="nil"/>
              <w:left w:val="nil"/>
              <w:bottom w:val="nil"/>
              <w:right w:val="nil"/>
            </w:tcBorders>
            <w:shd w:val="clear" w:color="000000" w:fill="FFCC99"/>
            <w:noWrap/>
            <w:vAlign w:val="bottom"/>
            <w:hideMark/>
          </w:tcPr>
          <w:p w14:paraId="1064266E" w14:textId="77777777" w:rsidR="000B0168" w:rsidRDefault="000B0168">
            <w:pPr>
              <w:rPr>
                <w:b/>
                <w:bCs/>
                <w:sz w:val="18"/>
                <w:szCs w:val="18"/>
              </w:rPr>
            </w:pPr>
            <w:r>
              <w:rPr>
                <w:b/>
                <w:bCs/>
                <w:sz w:val="18"/>
                <w:szCs w:val="18"/>
              </w:rPr>
              <w:t>3.</w:t>
            </w:r>
          </w:p>
        </w:tc>
        <w:tc>
          <w:tcPr>
            <w:tcW w:w="2621" w:type="dxa"/>
            <w:tcBorders>
              <w:top w:val="nil"/>
              <w:left w:val="nil"/>
              <w:bottom w:val="nil"/>
              <w:right w:val="nil"/>
            </w:tcBorders>
            <w:shd w:val="clear" w:color="000000" w:fill="FFCC99"/>
            <w:noWrap/>
            <w:vAlign w:val="bottom"/>
            <w:hideMark/>
          </w:tcPr>
          <w:p w14:paraId="6D230A3F" w14:textId="77777777" w:rsidR="000B0168" w:rsidRDefault="000B0168">
            <w:pPr>
              <w:rPr>
                <w:b/>
                <w:bCs/>
                <w:sz w:val="18"/>
                <w:szCs w:val="18"/>
              </w:rPr>
            </w:pPr>
            <w:r>
              <w:rPr>
                <w:b/>
                <w:bCs/>
                <w:sz w:val="18"/>
                <w:szCs w:val="18"/>
              </w:rPr>
              <w:t>Primici od financijske imovine i zaduživanja</w:t>
            </w:r>
          </w:p>
        </w:tc>
        <w:tc>
          <w:tcPr>
            <w:tcW w:w="1418" w:type="dxa"/>
            <w:tcBorders>
              <w:top w:val="nil"/>
              <w:left w:val="nil"/>
              <w:bottom w:val="nil"/>
              <w:right w:val="nil"/>
            </w:tcBorders>
            <w:shd w:val="clear" w:color="000000" w:fill="FFCC99"/>
            <w:noWrap/>
            <w:vAlign w:val="bottom"/>
            <w:hideMark/>
          </w:tcPr>
          <w:p w14:paraId="744D0D3E" w14:textId="77777777" w:rsidR="000B0168" w:rsidRDefault="000B0168" w:rsidP="000B0168">
            <w:pPr>
              <w:jc w:val="right"/>
              <w:rPr>
                <w:b/>
                <w:bCs/>
                <w:sz w:val="18"/>
                <w:szCs w:val="18"/>
              </w:rPr>
            </w:pPr>
            <w:r>
              <w:rPr>
                <w:b/>
                <w:bCs/>
                <w:sz w:val="18"/>
                <w:szCs w:val="18"/>
              </w:rPr>
              <w:t xml:space="preserve">       2.514.605,44    </w:t>
            </w:r>
          </w:p>
        </w:tc>
        <w:tc>
          <w:tcPr>
            <w:tcW w:w="1251" w:type="dxa"/>
            <w:tcBorders>
              <w:top w:val="nil"/>
              <w:left w:val="nil"/>
              <w:bottom w:val="nil"/>
              <w:right w:val="nil"/>
            </w:tcBorders>
            <w:shd w:val="clear" w:color="000000" w:fill="FFCC99"/>
            <w:noWrap/>
            <w:vAlign w:val="bottom"/>
            <w:hideMark/>
          </w:tcPr>
          <w:p w14:paraId="4B01F530" w14:textId="77777777" w:rsidR="000B0168" w:rsidRDefault="000B0168" w:rsidP="000B0168">
            <w:pPr>
              <w:jc w:val="right"/>
              <w:rPr>
                <w:b/>
                <w:bCs/>
                <w:sz w:val="18"/>
                <w:szCs w:val="18"/>
              </w:rPr>
            </w:pPr>
            <w:r>
              <w:rPr>
                <w:b/>
                <w:bCs/>
                <w:sz w:val="18"/>
                <w:szCs w:val="18"/>
              </w:rPr>
              <w:t xml:space="preserve">                         -      </w:t>
            </w:r>
          </w:p>
        </w:tc>
        <w:tc>
          <w:tcPr>
            <w:tcW w:w="1251" w:type="dxa"/>
            <w:tcBorders>
              <w:top w:val="nil"/>
              <w:left w:val="nil"/>
              <w:bottom w:val="nil"/>
              <w:right w:val="nil"/>
            </w:tcBorders>
            <w:shd w:val="clear" w:color="000000" w:fill="FFCC99"/>
            <w:noWrap/>
            <w:vAlign w:val="bottom"/>
            <w:hideMark/>
          </w:tcPr>
          <w:p w14:paraId="25282169" w14:textId="77777777" w:rsidR="000B0168" w:rsidRDefault="000B0168" w:rsidP="000B0168">
            <w:pPr>
              <w:jc w:val="right"/>
              <w:rPr>
                <w:b/>
                <w:bCs/>
                <w:sz w:val="18"/>
                <w:szCs w:val="18"/>
              </w:rPr>
            </w:pPr>
            <w:r>
              <w:rPr>
                <w:b/>
                <w:bCs/>
                <w:sz w:val="18"/>
                <w:szCs w:val="18"/>
              </w:rPr>
              <w:t xml:space="preserve">                         -      </w:t>
            </w:r>
          </w:p>
        </w:tc>
        <w:tc>
          <w:tcPr>
            <w:tcW w:w="711" w:type="dxa"/>
            <w:tcBorders>
              <w:top w:val="nil"/>
              <w:left w:val="nil"/>
              <w:bottom w:val="nil"/>
              <w:right w:val="nil"/>
            </w:tcBorders>
            <w:shd w:val="clear" w:color="000000" w:fill="FFCC99"/>
            <w:noWrap/>
            <w:vAlign w:val="bottom"/>
            <w:hideMark/>
          </w:tcPr>
          <w:p w14:paraId="0F966D00" w14:textId="77777777" w:rsidR="000B0168" w:rsidRDefault="000B0168">
            <w:pPr>
              <w:jc w:val="right"/>
              <w:rPr>
                <w:b/>
                <w:bCs/>
                <w:sz w:val="18"/>
                <w:szCs w:val="18"/>
              </w:rPr>
            </w:pPr>
            <w:r>
              <w:rPr>
                <w:b/>
                <w:bCs/>
                <w:sz w:val="18"/>
                <w:szCs w:val="18"/>
              </w:rPr>
              <w:t>0,00</w:t>
            </w:r>
          </w:p>
        </w:tc>
        <w:tc>
          <w:tcPr>
            <w:tcW w:w="926" w:type="dxa"/>
            <w:tcBorders>
              <w:top w:val="nil"/>
              <w:left w:val="nil"/>
              <w:bottom w:val="nil"/>
              <w:right w:val="nil"/>
            </w:tcBorders>
            <w:shd w:val="clear" w:color="000000" w:fill="FFCC99"/>
            <w:vAlign w:val="bottom"/>
            <w:hideMark/>
          </w:tcPr>
          <w:p w14:paraId="18E040CA" w14:textId="77777777" w:rsidR="000B0168" w:rsidRDefault="000B0168">
            <w:pPr>
              <w:jc w:val="right"/>
              <w:rPr>
                <w:b/>
                <w:bCs/>
                <w:sz w:val="18"/>
                <w:szCs w:val="18"/>
              </w:rPr>
            </w:pPr>
            <w:r>
              <w:rPr>
                <w:b/>
                <w:bCs/>
                <w:sz w:val="18"/>
                <w:szCs w:val="18"/>
              </w:rPr>
              <w:t>0</w:t>
            </w:r>
          </w:p>
        </w:tc>
        <w:tc>
          <w:tcPr>
            <w:tcW w:w="964" w:type="dxa"/>
            <w:tcBorders>
              <w:top w:val="nil"/>
              <w:left w:val="nil"/>
              <w:bottom w:val="nil"/>
              <w:right w:val="nil"/>
            </w:tcBorders>
            <w:shd w:val="clear" w:color="000000" w:fill="FFCC99"/>
            <w:vAlign w:val="bottom"/>
            <w:hideMark/>
          </w:tcPr>
          <w:p w14:paraId="6E224A2A" w14:textId="77777777" w:rsidR="000B0168" w:rsidRDefault="000B0168">
            <w:pPr>
              <w:jc w:val="right"/>
              <w:rPr>
                <w:b/>
                <w:bCs/>
                <w:sz w:val="18"/>
                <w:szCs w:val="18"/>
              </w:rPr>
            </w:pPr>
            <w:r>
              <w:rPr>
                <w:b/>
                <w:bCs/>
                <w:sz w:val="18"/>
                <w:szCs w:val="18"/>
              </w:rPr>
              <w:t>0</w:t>
            </w:r>
          </w:p>
        </w:tc>
      </w:tr>
      <w:tr w:rsidR="000B0168" w14:paraId="02F7A771" w14:textId="77777777" w:rsidTr="000B0168">
        <w:trPr>
          <w:trHeight w:val="240"/>
        </w:trPr>
        <w:tc>
          <w:tcPr>
            <w:tcW w:w="640" w:type="dxa"/>
            <w:tcBorders>
              <w:top w:val="nil"/>
              <w:left w:val="nil"/>
              <w:bottom w:val="nil"/>
              <w:right w:val="nil"/>
            </w:tcBorders>
            <w:shd w:val="clear" w:color="000000" w:fill="CCFFFF"/>
            <w:noWrap/>
            <w:vAlign w:val="bottom"/>
            <w:hideMark/>
          </w:tcPr>
          <w:p w14:paraId="4C5B2A6D" w14:textId="77777777" w:rsidR="000B0168" w:rsidRDefault="000B0168">
            <w:pPr>
              <w:rPr>
                <w:sz w:val="18"/>
                <w:szCs w:val="18"/>
              </w:rPr>
            </w:pPr>
            <w:r>
              <w:rPr>
                <w:sz w:val="18"/>
                <w:szCs w:val="18"/>
              </w:rPr>
              <w:t>3.1.</w:t>
            </w:r>
          </w:p>
        </w:tc>
        <w:tc>
          <w:tcPr>
            <w:tcW w:w="2621" w:type="dxa"/>
            <w:tcBorders>
              <w:top w:val="nil"/>
              <w:left w:val="nil"/>
              <w:bottom w:val="nil"/>
              <w:right w:val="nil"/>
            </w:tcBorders>
            <w:shd w:val="clear" w:color="000000" w:fill="CCFFFF"/>
            <w:noWrap/>
            <w:vAlign w:val="bottom"/>
            <w:hideMark/>
          </w:tcPr>
          <w:p w14:paraId="6077769B" w14:textId="77777777" w:rsidR="000B0168" w:rsidRDefault="000B0168">
            <w:pPr>
              <w:rPr>
                <w:sz w:val="18"/>
                <w:szCs w:val="18"/>
              </w:rPr>
            </w:pPr>
            <w:r>
              <w:rPr>
                <w:sz w:val="18"/>
                <w:szCs w:val="18"/>
              </w:rPr>
              <w:t>Primici od prodaje dionica i udjela u glavnici</w:t>
            </w:r>
          </w:p>
        </w:tc>
        <w:tc>
          <w:tcPr>
            <w:tcW w:w="1418" w:type="dxa"/>
            <w:tcBorders>
              <w:top w:val="nil"/>
              <w:left w:val="nil"/>
              <w:bottom w:val="nil"/>
              <w:right w:val="nil"/>
            </w:tcBorders>
            <w:shd w:val="clear" w:color="000000" w:fill="CCFFFF"/>
            <w:noWrap/>
            <w:vAlign w:val="bottom"/>
            <w:hideMark/>
          </w:tcPr>
          <w:p w14:paraId="620DFE6F" w14:textId="77777777" w:rsidR="000B0168" w:rsidRDefault="000B0168" w:rsidP="000B0168">
            <w:pPr>
              <w:jc w:val="right"/>
              <w:rPr>
                <w:sz w:val="18"/>
                <w:szCs w:val="18"/>
              </w:rPr>
            </w:pPr>
            <w:r>
              <w:rPr>
                <w:sz w:val="18"/>
                <w:szCs w:val="18"/>
              </w:rPr>
              <w:t xml:space="preserve">            20.000,00    </w:t>
            </w:r>
          </w:p>
        </w:tc>
        <w:tc>
          <w:tcPr>
            <w:tcW w:w="1251" w:type="dxa"/>
            <w:tcBorders>
              <w:top w:val="nil"/>
              <w:left w:val="nil"/>
              <w:bottom w:val="nil"/>
              <w:right w:val="nil"/>
            </w:tcBorders>
            <w:shd w:val="clear" w:color="000000" w:fill="CCFFFF"/>
            <w:noWrap/>
            <w:vAlign w:val="bottom"/>
            <w:hideMark/>
          </w:tcPr>
          <w:p w14:paraId="4DE6D844" w14:textId="77777777" w:rsidR="000B0168" w:rsidRDefault="000B0168" w:rsidP="000B0168">
            <w:pPr>
              <w:jc w:val="right"/>
              <w:rPr>
                <w:sz w:val="18"/>
                <w:szCs w:val="18"/>
              </w:rPr>
            </w:pPr>
            <w:r>
              <w:rPr>
                <w:sz w:val="18"/>
                <w:szCs w:val="18"/>
              </w:rPr>
              <w:t xml:space="preserve">                         -      </w:t>
            </w:r>
          </w:p>
        </w:tc>
        <w:tc>
          <w:tcPr>
            <w:tcW w:w="1251" w:type="dxa"/>
            <w:tcBorders>
              <w:top w:val="nil"/>
              <w:left w:val="nil"/>
              <w:bottom w:val="nil"/>
              <w:right w:val="nil"/>
            </w:tcBorders>
            <w:shd w:val="clear" w:color="000000" w:fill="CCFFFF"/>
            <w:noWrap/>
            <w:vAlign w:val="bottom"/>
            <w:hideMark/>
          </w:tcPr>
          <w:p w14:paraId="2C0390C8" w14:textId="77777777" w:rsidR="000B0168" w:rsidRDefault="000B0168" w:rsidP="000B0168">
            <w:pPr>
              <w:jc w:val="right"/>
              <w:rPr>
                <w:sz w:val="18"/>
                <w:szCs w:val="18"/>
              </w:rPr>
            </w:pPr>
            <w:r>
              <w:rPr>
                <w:sz w:val="18"/>
                <w:szCs w:val="18"/>
              </w:rPr>
              <w:t xml:space="preserve">                         -      </w:t>
            </w:r>
          </w:p>
        </w:tc>
        <w:tc>
          <w:tcPr>
            <w:tcW w:w="711" w:type="dxa"/>
            <w:tcBorders>
              <w:top w:val="nil"/>
              <w:left w:val="nil"/>
              <w:bottom w:val="nil"/>
              <w:right w:val="nil"/>
            </w:tcBorders>
            <w:shd w:val="clear" w:color="000000" w:fill="CCFFFF"/>
            <w:noWrap/>
            <w:vAlign w:val="bottom"/>
            <w:hideMark/>
          </w:tcPr>
          <w:p w14:paraId="1FD60799" w14:textId="77777777" w:rsidR="000B0168" w:rsidRDefault="000B0168">
            <w:pPr>
              <w:jc w:val="right"/>
              <w:rPr>
                <w:sz w:val="18"/>
                <w:szCs w:val="18"/>
              </w:rPr>
            </w:pPr>
            <w:r>
              <w:rPr>
                <w:sz w:val="18"/>
                <w:szCs w:val="18"/>
              </w:rPr>
              <w:t>0,00</w:t>
            </w:r>
          </w:p>
        </w:tc>
        <w:tc>
          <w:tcPr>
            <w:tcW w:w="926" w:type="dxa"/>
            <w:tcBorders>
              <w:top w:val="nil"/>
              <w:left w:val="nil"/>
              <w:bottom w:val="nil"/>
              <w:right w:val="nil"/>
            </w:tcBorders>
            <w:shd w:val="clear" w:color="000000" w:fill="CCFFFF"/>
            <w:noWrap/>
            <w:vAlign w:val="bottom"/>
            <w:hideMark/>
          </w:tcPr>
          <w:p w14:paraId="70EE423C" w14:textId="77777777" w:rsidR="000B0168" w:rsidRDefault="000B0168">
            <w:pPr>
              <w:jc w:val="right"/>
              <w:rPr>
                <w:sz w:val="18"/>
                <w:szCs w:val="18"/>
              </w:rPr>
            </w:pPr>
            <w:r>
              <w:rPr>
                <w:sz w:val="18"/>
                <w:szCs w:val="18"/>
              </w:rPr>
              <w:t>0</w:t>
            </w:r>
          </w:p>
        </w:tc>
        <w:tc>
          <w:tcPr>
            <w:tcW w:w="964" w:type="dxa"/>
            <w:tcBorders>
              <w:top w:val="nil"/>
              <w:left w:val="nil"/>
              <w:bottom w:val="nil"/>
              <w:right w:val="nil"/>
            </w:tcBorders>
            <w:shd w:val="clear" w:color="000000" w:fill="CCFFFF"/>
            <w:noWrap/>
            <w:vAlign w:val="bottom"/>
            <w:hideMark/>
          </w:tcPr>
          <w:p w14:paraId="7F6FE6D6" w14:textId="77777777" w:rsidR="000B0168" w:rsidRDefault="000B0168">
            <w:pPr>
              <w:jc w:val="right"/>
              <w:rPr>
                <w:sz w:val="18"/>
                <w:szCs w:val="18"/>
              </w:rPr>
            </w:pPr>
            <w:r>
              <w:rPr>
                <w:sz w:val="18"/>
                <w:szCs w:val="18"/>
              </w:rPr>
              <w:t>0</w:t>
            </w:r>
          </w:p>
        </w:tc>
      </w:tr>
      <w:tr w:rsidR="000B0168" w14:paraId="116722B3" w14:textId="77777777" w:rsidTr="000B0168">
        <w:trPr>
          <w:trHeight w:val="240"/>
        </w:trPr>
        <w:tc>
          <w:tcPr>
            <w:tcW w:w="640" w:type="dxa"/>
            <w:tcBorders>
              <w:top w:val="nil"/>
              <w:left w:val="nil"/>
              <w:bottom w:val="nil"/>
              <w:right w:val="nil"/>
            </w:tcBorders>
            <w:shd w:val="clear" w:color="000000" w:fill="CCFFFF"/>
            <w:noWrap/>
            <w:vAlign w:val="bottom"/>
            <w:hideMark/>
          </w:tcPr>
          <w:p w14:paraId="71DF4BBA" w14:textId="77777777" w:rsidR="000B0168" w:rsidRDefault="000B0168">
            <w:pPr>
              <w:rPr>
                <w:sz w:val="18"/>
                <w:szCs w:val="18"/>
              </w:rPr>
            </w:pPr>
            <w:r>
              <w:rPr>
                <w:sz w:val="18"/>
                <w:szCs w:val="18"/>
              </w:rPr>
              <w:t>3.2.</w:t>
            </w:r>
          </w:p>
        </w:tc>
        <w:tc>
          <w:tcPr>
            <w:tcW w:w="2621" w:type="dxa"/>
            <w:tcBorders>
              <w:top w:val="nil"/>
              <w:left w:val="nil"/>
              <w:bottom w:val="nil"/>
              <w:right w:val="nil"/>
            </w:tcBorders>
            <w:shd w:val="clear" w:color="000000" w:fill="CCFFFF"/>
            <w:vAlign w:val="bottom"/>
            <w:hideMark/>
          </w:tcPr>
          <w:p w14:paraId="1E6908D3" w14:textId="77777777" w:rsidR="000B0168" w:rsidRDefault="000B0168">
            <w:pPr>
              <w:rPr>
                <w:sz w:val="18"/>
                <w:szCs w:val="18"/>
              </w:rPr>
            </w:pPr>
            <w:r>
              <w:rPr>
                <w:sz w:val="18"/>
                <w:szCs w:val="18"/>
              </w:rPr>
              <w:t>Primici od zaduživanja</w:t>
            </w:r>
          </w:p>
        </w:tc>
        <w:tc>
          <w:tcPr>
            <w:tcW w:w="1418" w:type="dxa"/>
            <w:tcBorders>
              <w:top w:val="nil"/>
              <w:left w:val="nil"/>
              <w:bottom w:val="nil"/>
              <w:right w:val="nil"/>
            </w:tcBorders>
            <w:shd w:val="clear" w:color="000000" w:fill="CCFFFF"/>
            <w:noWrap/>
            <w:vAlign w:val="bottom"/>
            <w:hideMark/>
          </w:tcPr>
          <w:p w14:paraId="3E844093" w14:textId="77777777" w:rsidR="000B0168" w:rsidRDefault="000B0168" w:rsidP="000B0168">
            <w:pPr>
              <w:jc w:val="right"/>
              <w:rPr>
                <w:sz w:val="18"/>
                <w:szCs w:val="18"/>
              </w:rPr>
            </w:pPr>
            <w:r>
              <w:rPr>
                <w:sz w:val="18"/>
                <w:szCs w:val="18"/>
              </w:rPr>
              <w:t xml:space="preserve">       2.494.605,44    </w:t>
            </w:r>
          </w:p>
        </w:tc>
        <w:tc>
          <w:tcPr>
            <w:tcW w:w="1251" w:type="dxa"/>
            <w:tcBorders>
              <w:top w:val="nil"/>
              <w:left w:val="nil"/>
              <w:bottom w:val="nil"/>
              <w:right w:val="nil"/>
            </w:tcBorders>
            <w:shd w:val="clear" w:color="000000" w:fill="CCFFFF"/>
            <w:noWrap/>
            <w:vAlign w:val="bottom"/>
            <w:hideMark/>
          </w:tcPr>
          <w:p w14:paraId="72AE0A89" w14:textId="77777777" w:rsidR="000B0168" w:rsidRDefault="000B0168" w:rsidP="000B0168">
            <w:pPr>
              <w:jc w:val="right"/>
              <w:rPr>
                <w:sz w:val="18"/>
                <w:szCs w:val="18"/>
              </w:rPr>
            </w:pPr>
            <w:r>
              <w:rPr>
                <w:sz w:val="18"/>
                <w:szCs w:val="18"/>
              </w:rPr>
              <w:t xml:space="preserve">                         -      </w:t>
            </w:r>
          </w:p>
        </w:tc>
        <w:tc>
          <w:tcPr>
            <w:tcW w:w="1251" w:type="dxa"/>
            <w:tcBorders>
              <w:top w:val="nil"/>
              <w:left w:val="nil"/>
              <w:bottom w:val="nil"/>
              <w:right w:val="nil"/>
            </w:tcBorders>
            <w:shd w:val="clear" w:color="000000" w:fill="CCFFFF"/>
            <w:noWrap/>
            <w:vAlign w:val="bottom"/>
            <w:hideMark/>
          </w:tcPr>
          <w:p w14:paraId="19D72062" w14:textId="77777777" w:rsidR="000B0168" w:rsidRDefault="000B0168" w:rsidP="000B0168">
            <w:pPr>
              <w:jc w:val="right"/>
              <w:rPr>
                <w:sz w:val="18"/>
                <w:szCs w:val="18"/>
              </w:rPr>
            </w:pPr>
            <w:r>
              <w:rPr>
                <w:sz w:val="18"/>
                <w:szCs w:val="18"/>
              </w:rPr>
              <w:t xml:space="preserve">                         -      </w:t>
            </w:r>
          </w:p>
        </w:tc>
        <w:tc>
          <w:tcPr>
            <w:tcW w:w="711" w:type="dxa"/>
            <w:tcBorders>
              <w:top w:val="nil"/>
              <w:left w:val="nil"/>
              <w:bottom w:val="nil"/>
              <w:right w:val="nil"/>
            </w:tcBorders>
            <w:shd w:val="clear" w:color="000000" w:fill="CCFFFF"/>
            <w:noWrap/>
            <w:vAlign w:val="bottom"/>
            <w:hideMark/>
          </w:tcPr>
          <w:p w14:paraId="6D0217C1" w14:textId="77777777" w:rsidR="000B0168" w:rsidRDefault="000B0168">
            <w:pPr>
              <w:jc w:val="right"/>
              <w:rPr>
                <w:sz w:val="18"/>
                <w:szCs w:val="18"/>
              </w:rPr>
            </w:pPr>
            <w:r>
              <w:rPr>
                <w:sz w:val="18"/>
                <w:szCs w:val="18"/>
              </w:rPr>
              <w:t>0,00</w:t>
            </w:r>
          </w:p>
        </w:tc>
        <w:tc>
          <w:tcPr>
            <w:tcW w:w="926" w:type="dxa"/>
            <w:tcBorders>
              <w:top w:val="nil"/>
              <w:left w:val="nil"/>
              <w:bottom w:val="nil"/>
              <w:right w:val="nil"/>
            </w:tcBorders>
            <w:shd w:val="clear" w:color="000000" w:fill="CCFFFF"/>
            <w:noWrap/>
            <w:vAlign w:val="bottom"/>
            <w:hideMark/>
          </w:tcPr>
          <w:p w14:paraId="0456443F" w14:textId="77777777" w:rsidR="000B0168" w:rsidRDefault="000B0168">
            <w:pPr>
              <w:jc w:val="right"/>
              <w:rPr>
                <w:sz w:val="18"/>
                <w:szCs w:val="18"/>
              </w:rPr>
            </w:pPr>
            <w:r>
              <w:rPr>
                <w:sz w:val="18"/>
                <w:szCs w:val="18"/>
              </w:rPr>
              <w:t>0</w:t>
            </w:r>
          </w:p>
        </w:tc>
        <w:tc>
          <w:tcPr>
            <w:tcW w:w="964" w:type="dxa"/>
            <w:tcBorders>
              <w:top w:val="nil"/>
              <w:left w:val="nil"/>
              <w:bottom w:val="nil"/>
              <w:right w:val="nil"/>
            </w:tcBorders>
            <w:shd w:val="clear" w:color="000000" w:fill="CCFFFF"/>
            <w:noWrap/>
            <w:vAlign w:val="bottom"/>
            <w:hideMark/>
          </w:tcPr>
          <w:p w14:paraId="7C84E58C" w14:textId="77777777" w:rsidR="000B0168" w:rsidRDefault="000B0168">
            <w:pPr>
              <w:jc w:val="right"/>
              <w:rPr>
                <w:sz w:val="18"/>
                <w:szCs w:val="18"/>
              </w:rPr>
            </w:pPr>
            <w:r>
              <w:rPr>
                <w:sz w:val="18"/>
                <w:szCs w:val="18"/>
              </w:rPr>
              <w:t>0</w:t>
            </w:r>
          </w:p>
        </w:tc>
      </w:tr>
      <w:tr w:rsidR="000B0168" w14:paraId="7FE7FCD4" w14:textId="77777777" w:rsidTr="000B0168">
        <w:trPr>
          <w:trHeight w:val="240"/>
        </w:trPr>
        <w:tc>
          <w:tcPr>
            <w:tcW w:w="640" w:type="dxa"/>
            <w:tcBorders>
              <w:top w:val="single" w:sz="4" w:space="0" w:color="auto"/>
              <w:left w:val="nil"/>
              <w:bottom w:val="single" w:sz="4" w:space="0" w:color="auto"/>
              <w:right w:val="nil"/>
            </w:tcBorders>
            <w:shd w:val="clear" w:color="auto" w:fill="auto"/>
            <w:noWrap/>
            <w:vAlign w:val="bottom"/>
            <w:hideMark/>
          </w:tcPr>
          <w:p w14:paraId="3CAAE3CD" w14:textId="77777777" w:rsidR="000B0168" w:rsidRDefault="000B0168">
            <w:pPr>
              <w:rPr>
                <w:b/>
                <w:bCs/>
                <w:sz w:val="18"/>
                <w:szCs w:val="18"/>
              </w:rPr>
            </w:pPr>
            <w:r>
              <w:rPr>
                <w:b/>
                <w:bCs/>
                <w:sz w:val="18"/>
                <w:szCs w:val="18"/>
              </w:rPr>
              <w:t> </w:t>
            </w:r>
          </w:p>
        </w:tc>
        <w:tc>
          <w:tcPr>
            <w:tcW w:w="2621" w:type="dxa"/>
            <w:tcBorders>
              <w:top w:val="single" w:sz="4" w:space="0" w:color="auto"/>
              <w:left w:val="nil"/>
              <w:bottom w:val="single" w:sz="4" w:space="0" w:color="auto"/>
              <w:right w:val="nil"/>
            </w:tcBorders>
            <w:shd w:val="clear" w:color="auto" w:fill="auto"/>
            <w:noWrap/>
            <w:vAlign w:val="bottom"/>
            <w:hideMark/>
          </w:tcPr>
          <w:p w14:paraId="02F200D9" w14:textId="77777777" w:rsidR="000B0168" w:rsidRDefault="000B0168">
            <w:pPr>
              <w:rPr>
                <w:b/>
                <w:bCs/>
                <w:sz w:val="18"/>
                <w:szCs w:val="18"/>
              </w:rPr>
            </w:pPr>
            <w:r>
              <w:rPr>
                <w:b/>
                <w:bCs/>
                <w:sz w:val="18"/>
                <w:szCs w:val="18"/>
              </w:rPr>
              <w:t>UKUPNI PRIHODI I PRIMICI</w:t>
            </w:r>
          </w:p>
        </w:tc>
        <w:tc>
          <w:tcPr>
            <w:tcW w:w="1418" w:type="dxa"/>
            <w:tcBorders>
              <w:top w:val="single" w:sz="4" w:space="0" w:color="auto"/>
              <w:left w:val="nil"/>
              <w:bottom w:val="single" w:sz="4" w:space="0" w:color="auto"/>
              <w:right w:val="nil"/>
            </w:tcBorders>
            <w:shd w:val="clear" w:color="auto" w:fill="auto"/>
            <w:noWrap/>
            <w:vAlign w:val="bottom"/>
            <w:hideMark/>
          </w:tcPr>
          <w:p w14:paraId="1917425A" w14:textId="77777777" w:rsidR="000B0168" w:rsidRDefault="000B0168" w:rsidP="000B0168">
            <w:pPr>
              <w:jc w:val="right"/>
              <w:rPr>
                <w:b/>
                <w:bCs/>
                <w:sz w:val="18"/>
                <w:szCs w:val="18"/>
              </w:rPr>
            </w:pPr>
            <w:r>
              <w:rPr>
                <w:b/>
                <w:bCs/>
                <w:sz w:val="18"/>
                <w:szCs w:val="18"/>
              </w:rPr>
              <w:t xml:space="preserve">     39.269.530,25    </w:t>
            </w:r>
          </w:p>
        </w:tc>
        <w:tc>
          <w:tcPr>
            <w:tcW w:w="1251" w:type="dxa"/>
            <w:tcBorders>
              <w:top w:val="single" w:sz="4" w:space="0" w:color="auto"/>
              <w:left w:val="nil"/>
              <w:bottom w:val="single" w:sz="4" w:space="0" w:color="auto"/>
              <w:right w:val="nil"/>
            </w:tcBorders>
            <w:shd w:val="clear" w:color="auto" w:fill="auto"/>
            <w:noWrap/>
            <w:vAlign w:val="bottom"/>
            <w:hideMark/>
          </w:tcPr>
          <w:p w14:paraId="2C592F0C" w14:textId="77777777" w:rsidR="000B0168" w:rsidRDefault="000B0168" w:rsidP="000B0168">
            <w:pPr>
              <w:jc w:val="right"/>
              <w:rPr>
                <w:b/>
                <w:bCs/>
                <w:sz w:val="18"/>
                <w:szCs w:val="18"/>
              </w:rPr>
            </w:pPr>
            <w:r>
              <w:rPr>
                <w:b/>
                <w:bCs/>
                <w:sz w:val="18"/>
                <w:szCs w:val="18"/>
              </w:rPr>
              <w:t xml:space="preserve">     40.575.056,19    </w:t>
            </w:r>
          </w:p>
        </w:tc>
        <w:tc>
          <w:tcPr>
            <w:tcW w:w="1251" w:type="dxa"/>
            <w:tcBorders>
              <w:top w:val="single" w:sz="4" w:space="0" w:color="auto"/>
              <w:left w:val="nil"/>
              <w:bottom w:val="single" w:sz="4" w:space="0" w:color="auto"/>
              <w:right w:val="nil"/>
            </w:tcBorders>
            <w:shd w:val="clear" w:color="auto" w:fill="auto"/>
            <w:noWrap/>
            <w:vAlign w:val="bottom"/>
            <w:hideMark/>
          </w:tcPr>
          <w:p w14:paraId="746E9A40" w14:textId="77777777" w:rsidR="000B0168" w:rsidRDefault="000B0168" w:rsidP="000B0168">
            <w:pPr>
              <w:jc w:val="right"/>
              <w:rPr>
                <w:b/>
                <w:bCs/>
                <w:sz w:val="18"/>
                <w:szCs w:val="18"/>
              </w:rPr>
            </w:pPr>
            <w:r>
              <w:rPr>
                <w:b/>
                <w:bCs/>
                <w:sz w:val="18"/>
                <w:szCs w:val="18"/>
              </w:rPr>
              <w:t xml:space="preserve">     37.914.939,20    </w:t>
            </w:r>
          </w:p>
        </w:tc>
        <w:tc>
          <w:tcPr>
            <w:tcW w:w="711" w:type="dxa"/>
            <w:tcBorders>
              <w:top w:val="single" w:sz="4" w:space="0" w:color="auto"/>
              <w:left w:val="nil"/>
              <w:bottom w:val="single" w:sz="4" w:space="0" w:color="auto"/>
              <w:right w:val="nil"/>
            </w:tcBorders>
            <w:shd w:val="clear" w:color="auto" w:fill="auto"/>
            <w:noWrap/>
            <w:vAlign w:val="bottom"/>
            <w:hideMark/>
          </w:tcPr>
          <w:p w14:paraId="5220809C" w14:textId="77777777" w:rsidR="000B0168" w:rsidRDefault="000B0168">
            <w:pPr>
              <w:jc w:val="right"/>
              <w:rPr>
                <w:b/>
                <w:bCs/>
                <w:sz w:val="18"/>
                <w:szCs w:val="18"/>
              </w:rPr>
            </w:pPr>
            <w:r>
              <w:rPr>
                <w:b/>
                <w:bCs/>
                <w:sz w:val="18"/>
                <w:szCs w:val="18"/>
              </w:rPr>
              <w:t>100,00</w:t>
            </w:r>
          </w:p>
        </w:tc>
        <w:tc>
          <w:tcPr>
            <w:tcW w:w="926" w:type="dxa"/>
            <w:tcBorders>
              <w:top w:val="single" w:sz="4" w:space="0" w:color="auto"/>
              <w:left w:val="nil"/>
              <w:bottom w:val="single" w:sz="4" w:space="0" w:color="auto"/>
              <w:right w:val="nil"/>
            </w:tcBorders>
            <w:shd w:val="clear" w:color="auto" w:fill="auto"/>
            <w:noWrap/>
            <w:vAlign w:val="bottom"/>
            <w:hideMark/>
          </w:tcPr>
          <w:p w14:paraId="43F2C826" w14:textId="77777777" w:rsidR="000B0168" w:rsidRDefault="000B0168">
            <w:pPr>
              <w:jc w:val="right"/>
              <w:rPr>
                <w:b/>
                <w:bCs/>
                <w:sz w:val="18"/>
                <w:szCs w:val="18"/>
              </w:rPr>
            </w:pPr>
            <w:r>
              <w:rPr>
                <w:b/>
                <w:bCs/>
                <w:sz w:val="18"/>
                <w:szCs w:val="18"/>
              </w:rPr>
              <w:t>97</w:t>
            </w:r>
          </w:p>
        </w:tc>
        <w:tc>
          <w:tcPr>
            <w:tcW w:w="964" w:type="dxa"/>
            <w:tcBorders>
              <w:top w:val="single" w:sz="4" w:space="0" w:color="auto"/>
              <w:left w:val="nil"/>
              <w:bottom w:val="single" w:sz="4" w:space="0" w:color="auto"/>
              <w:right w:val="nil"/>
            </w:tcBorders>
            <w:shd w:val="clear" w:color="auto" w:fill="auto"/>
            <w:noWrap/>
            <w:vAlign w:val="bottom"/>
            <w:hideMark/>
          </w:tcPr>
          <w:p w14:paraId="53F52DB9" w14:textId="77777777" w:rsidR="000B0168" w:rsidRDefault="000B0168">
            <w:pPr>
              <w:jc w:val="right"/>
              <w:rPr>
                <w:b/>
                <w:bCs/>
                <w:sz w:val="18"/>
                <w:szCs w:val="18"/>
              </w:rPr>
            </w:pPr>
            <w:r>
              <w:rPr>
                <w:b/>
                <w:bCs/>
                <w:sz w:val="18"/>
                <w:szCs w:val="18"/>
              </w:rPr>
              <w:t>93</w:t>
            </w:r>
          </w:p>
        </w:tc>
      </w:tr>
      <w:tr w:rsidR="000B0168" w14:paraId="55A90AEE" w14:textId="77777777" w:rsidTr="000B0168">
        <w:trPr>
          <w:trHeight w:val="240"/>
        </w:trPr>
        <w:tc>
          <w:tcPr>
            <w:tcW w:w="640" w:type="dxa"/>
            <w:tcBorders>
              <w:top w:val="nil"/>
              <w:left w:val="nil"/>
              <w:bottom w:val="nil"/>
              <w:right w:val="nil"/>
            </w:tcBorders>
            <w:shd w:val="clear" w:color="000000" w:fill="FFCC99"/>
            <w:noWrap/>
            <w:vAlign w:val="bottom"/>
            <w:hideMark/>
          </w:tcPr>
          <w:p w14:paraId="01DB3D11" w14:textId="77777777" w:rsidR="000B0168" w:rsidRDefault="000B0168">
            <w:pPr>
              <w:rPr>
                <w:b/>
                <w:bCs/>
                <w:sz w:val="18"/>
                <w:szCs w:val="18"/>
              </w:rPr>
            </w:pPr>
            <w:r>
              <w:rPr>
                <w:b/>
                <w:bCs/>
                <w:sz w:val="18"/>
                <w:szCs w:val="18"/>
              </w:rPr>
              <w:t>4.</w:t>
            </w:r>
          </w:p>
        </w:tc>
        <w:tc>
          <w:tcPr>
            <w:tcW w:w="2621" w:type="dxa"/>
            <w:tcBorders>
              <w:top w:val="nil"/>
              <w:left w:val="nil"/>
              <w:bottom w:val="nil"/>
              <w:right w:val="nil"/>
            </w:tcBorders>
            <w:shd w:val="clear" w:color="000000" w:fill="FFCC99"/>
            <w:vAlign w:val="bottom"/>
            <w:hideMark/>
          </w:tcPr>
          <w:p w14:paraId="52C265F4" w14:textId="77777777" w:rsidR="000B0168" w:rsidRDefault="000B0168">
            <w:pPr>
              <w:rPr>
                <w:b/>
                <w:bCs/>
                <w:sz w:val="18"/>
                <w:szCs w:val="18"/>
              </w:rPr>
            </w:pPr>
            <w:r>
              <w:rPr>
                <w:b/>
                <w:bCs/>
                <w:sz w:val="18"/>
                <w:szCs w:val="18"/>
              </w:rPr>
              <w:t>Višak/manjak prihoda iz prethodne godine</w:t>
            </w:r>
          </w:p>
        </w:tc>
        <w:tc>
          <w:tcPr>
            <w:tcW w:w="1418" w:type="dxa"/>
            <w:tcBorders>
              <w:top w:val="nil"/>
              <w:left w:val="nil"/>
              <w:bottom w:val="nil"/>
              <w:right w:val="nil"/>
            </w:tcBorders>
            <w:shd w:val="clear" w:color="000000" w:fill="FFCC99"/>
            <w:noWrap/>
            <w:vAlign w:val="bottom"/>
            <w:hideMark/>
          </w:tcPr>
          <w:p w14:paraId="06CE2500" w14:textId="397091D8" w:rsidR="000B0168" w:rsidRDefault="000B0168" w:rsidP="000B0168">
            <w:pPr>
              <w:jc w:val="right"/>
              <w:rPr>
                <w:b/>
                <w:bCs/>
                <w:sz w:val="18"/>
                <w:szCs w:val="18"/>
              </w:rPr>
            </w:pPr>
            <w:r>
              <w:rPr>
                <w:b/>
                <w:bCs/>
                <w:sz w:val="18"/>
                <w:szCs w:val="18"/>
              </w:rPr>
              <w:t xml:space="preserve">-607.156,79    </w:t>
            </w:r>
          </w:p>
        </w:tc>
        <w:tc>
          <w:tcPr>
            <w:tcW w:w="1251" w:type="dxa"/>
            <w:tcBorders>
              <w:top w:val="nil"/>
              <w:left w:val="nil"/>
              <w:bottom w:val="nil"/>
              <w:right w:val="nil"/>
            </w:tcBorders>
            <w:shd w:val="clear" w:color="000000" w:fill="FFCC99"/>
            <w:noWrap/>
            <w:vAlign w:val="bottom"/>
            <w:hideMark/>
          </w:tcPr>
          <w:p w14:paraId="2D6E35EF" w14:textId="77777777" w:rsidR="000B0168" w:rsidRDefault="000B0168" w:rsidP="000B0168">
            <w:pPr>
              <w:jc w:val="right"/>
              <w:rPr>
                <w:b/>
                <w:bCs/>
                <w:sz w:val="18"/>
                <w:szCs w:val="18"/>
              </w:rPr>
            </w:pPr>
            <w:r>
              <w:rPr>
                <w:b/>
                <w:bCs/>
                <w:sz w:val="18"/>
                <w:szCs w:val="18"/>
              </w:rPr>
              <w:t xml:space="preserve">          560.931,06    </w:t>
            </w:r>
          </w:p>
        </w:tc>
        <w:tc>
          <w:tcPr>
            <w:tcW w:w="1251" w:type="dxa"/>
            <w:tcBorders>
              <w:top w:val="nil"/>
              <w:left w:val="nil"/>
              <w:bottom w:val="nil"/>
              <w:right w:val="nil"/>
            </w:tcBorders>
            <w:shd w:val="clear" w:color="000000" w:fill="FFCC99"/>
            <w:noWrap/>
            <w:vAlign w:val="bottom"/>
            <w:hideMark/>
          </w:tcPr>
          <w:p w14:paraId="7817EFDB" w14:textId="77777777" w:rsidR="000B0168" w:rsidRDefault="000B0168" w:rsidP="000B0168">
            <w:pPr>
              <w:jc w:val="right"/>
              <w:rPr>
                <w:b/>
                <w:bCs/>
                <w:sz w:val="18"/>
                <w:szCs w:val="18"/>
              </w:rPr>
            </w:pPr>
            <w:r>
              <w:rPr>
                <w:b/>
                <w:bCs/>
                <w:sz w:val="18"/>
                <w:szCs w:val="18"/>
              </w:rPr>
              <w:t xml:space="preserve">          560.931,06    </w:t>
            </w:r>
          </w:p>
        </w:tc>
        <w:tc>
          <w:tcPr>
            <w:tcW w:w="711" w:type="dxa"/>
            <w:tcBorders>
              <w:top w:val="nil"/>
              <w:left w:val="nil"/>
              <w:bottom w:val="nil"/>
              <w:right w:val="nil"/>
            </w:tcBorders>
            <w:shd w:val="clear" w:color="000000" w:fill="FFCC99"/>
            <w:noWrap/>
            <w:vAlign w:val="bottom"/>
            <w:hideMark/>
          </w:tcPr>
          <w:p w14:paraId="4959A330" w14:textId="77777777" w:rsidR="000B0168" w:rsidRDefault="000B0168">
            <w:pPr>
              <w:rPr>
                <w:b/>
                <w:bCs/>
                <w:sz w:val="18"/>
                <w:szCs w:val="18"/>
              </w:rPr>
            </w:pPr>
            <w:r>
              <w:rPr>
                <w:b/>
                <w:bCs/>
                <w:sz w:val="18"/>
                <w:szCs w:val="18"/>
              </w:rPr>
              <w:t> </w:t>
            </w:r>
          </w:p>
        </w:tc>
        <w:tc>
          <w:tcPr>
            <w:tcW w:w="926" w:type="dxa"/>
            <w:tcBorders>
              <w:top w:val="nil"/>
              <w:left w:val="nil"/>
              <w:bottom w:val="nil"/>
              <w:right w:val="nil"/>
            </w:tcBorders>
            <w:shd w:val="clear" w:color="000000" w:fill="FFCC99"/>
            <w:noWrap/>
            <w:vAlign w:val="bottom"/>
            <w:hideMark/>
          </w:tcPr>
          <w:p w14:paraId="0ED64161" w14:textId="77777777" w:rsidR="000B0168" w:rsidRDefault="000B0168">
            <w:pPr>
              <w:jc w:val="right"/>
              <w:rPr>
                <w:b/>
                <w:bCs/>
                <w:sz w:val="18"/>
                <w:szCs w:val="18"/>
              </w:rPr>
            </w:pPr>
            <w:r>
              <w:rPr>
                <w:b/>
                <w:bCs/>
                <w:sz w:val="18"/>
                <w:szCs w:val="18"/>
              </w:rPr>
              <w:t>-92</w:t>
            </w:r>
          </w:p>
        </w:tc>
        <w:tc>
          <w:tcPr>
            <w:tcW w:w="964" w:type="dxa"/>
            <w:tcBorders>
              <w:top w:val="nil"/>
              <w:left w:val="nil"/>
              <w:bottom w:val="nil"/>
              <w:right w:val="nil"/>
            </w:tcBorders>
            <w:shd w:val="clear" w:color="000000" w:fill="FFCC99"/>
            <w:noWrap/>
            <w:vAlign w:val="bottom"/>
            <w:hideMark/>
          </w:tcPr>
          <w:p w14:paraId="4C96F104" w14:textId="77777777" w:rsidR="000B0168" w:rsidRDefault="000B0168">
            <w:pPr>
              <w:jc w:val="right"/>
              <w:rPr>
                <w:b/>
                <w:bCs/>
                <w:sz w:val="18"/>
                <w:szCs w:val="18"/>
              </w:rPr>
            </w:pPr>
            <w:r>
              <w:rPr>
                <w:b/>
                <w:bCs/>
                <w:sz w:val="18"/>
                <w:szCs w:val="18"/>
              </w:rPr>
              <w:t>100</w:t>
            </w:r>
          </w:p>
        </w:tc>
      </w:tr>
      <w:tr w:rsidR="000B0168" w14:paraId="2C346CCF" w14:textId="77777777" w:rsidTr="000B0168">
        <w:trPr>
          <w:trHeight w:val="240"/>
        </w:trPr>
        <w:tc>
          <w:tcPr>
            <w:tcW w:w="640" w:type="dxa"/>
            <w:tcBorders>
              <w:top w:val="single" w:sz="4" w:space="0" w:color="auto"/>
              <w:left w:val="nil"/>
              <w:bottom w:val="single" w:sz="4" w:space="0" w:color="auto"/>
              <w:right w:val="nil"/>
            </w:tcBorders>
            <w:shd w:val="clear" w:color="auto" w:fill="auto"/>
            <w:noWrap/>
            <w:vAlign w:val="bottom"/>
            <w:hideMark/>
          </w:tcPr>
          <w:p w14:paraId="51153C8E" w14:textId="77777777" w:rsidR="000B0168" w:rsidRDefault="000B0168">
            <w:pPr>
              <w:rPr>
                <w:b/>
                <w:bCs/>
                <w:sz w:val="18"/>
                <w:szCs w:val="18"/>
              </w:rPr>
            </w:pPr>
            <w:r>
              <w:rPr>
                <w:b/>
                <w:bCs/>
                <w:sz w:val="18"/>
                <w:szCs w:val="18"/>
              </w:rPr>
              <w:t> </w:t>
            </w:r>
          </w:p>
        </w:tc>
        <w:tc>
          <w:tcPr>
            <w:tcW w:w="2621" w:type="dxa"/>
            <w:tcBorders>
              <w:top w:val="single" w:sz="4" w:space="0" w:color="auto"/>
              <w:left w:val="nil"/>
              <w:bottom w:val="single" w:sz="4" w:space="0" w:color="auto"/>
              <w:right w:val="nil"/>
            </w:tcBorders>
            <w:shd w:val="clear" w:color="auto" w:fill="auto"/>
            <w:noWrap/>
            <w:vAlign w:val="bottom"/>
            <w:hideMark/>
          </w:tcPr>
          <w:p w14:paraId="36C0E33C" w14:textId="77777777" w:rsidR="000B0168" w:rsidRDefault="000B0168">
            <w:pPr>
              <w:rPr>
                <w:b/>
                <w:bCs/>
                <w:sz w:val="18"/>
                <w:szCs w:val="18"/>
              </w:rPr>
            </w:pPr>
            <w:r>
              <w:rPr>
                <w:b/>
                <w:bCs/>
                <w:sz w:val="18"/>
                <w:szCs w:val="18"/>
              </w:rPr>
              <w:t>UKUPNO RASPOLOŽIVO</w:t>
            </w:r>
          </w:p>
        </w:tc>
        <w:tc>
          <w:tcPr>
            <w:tcW w:w="1418" w:type="dxa"/>
            <w:tcBorders>
              <w:top w:val="single" w:sz="4" w:space="0" w:color="auto"/>
              <w:left w:val="nil"/>
              <w:bottom w:val="single" w:sz="4" w:space="0" w:color="auto"/>
              <w:right w:val="nil"/>
            </w:tcBorders>
            <w:shd w:val="clear" w:color="auto" w:fill="auto"/>
            <w:noWrap/>
            <w:vAlign w:val="bottom"/>
            <w:hideMark/>
          </w:tcPr>
          <w:p w14:paraId="20DA51DC" w14:textId="77777777" w:rsidR="000B0168" w:rsidRDefault="000B0168" w:rsidP="000B0168">
            <w:pPr>
              <w:jc w:val="right"/>
              <w:rPr>
                <w:b/>
                <w:bCs/>
                <w:sz w:val="18"/>
                <w:szCs w:val="18"/>
              </w:rPr>
            </w:pPr>
            <w:r>
              <w:rPr>
                <w:b/>
                <w:bCs/>
                <w:sz w:val="18"/>
                <w:szCs w:val="18"/>
              </w:rPr>
              <w:t xml:space="preserve">     38.662.373,46    </w:t>
            </w:r>
          </w:p>
        </w:tc>
        <w:tc>
          <w:tcPr>
            <w:tcW w:w="1251" w:type="dxa"/>
            <w:tcBorders>
              <w:top w:val="single" w:sz="4" w:space="0" w:color="auto"/>
              <w:left w:val="nil"/>
              <w:bottom w:val="single" w:sz="4" w:space="0" w:color="auto"/>
              <w:right w:val="nil"/>
            </w:tcBorders>
            <w:shd w:val="clear" w:color="auto" w:fill="auto"/>
            <w:noWrap/>
            <w:vAlign w:val="bottom"/>
            <w:hideMark/>
          </w:tcPr>
          <w:p w14:paraId="72832F53" w14:textId="77777777" w:rsidR="000B0168" w:rsidRDefault="000B0168" w:rsidP="000B0168">
            <w:pPr>
              <w:jc w:val="right"/>
              <w:rPr>
                <w:b/>
                <w:bCs/>
                <w:sz w:val="18"/>
                <w:szCs w:val="18"/>
              </w:rPr>
            </w:pPr>
            <w:r>
              <w:rPr>
                <w:b/>
                <w:bCs/>
                <w:sz w:val="18"/>
                <w:szCs w:val="18"/>
              </w:rPr>
              <w:t xml:space="preserve">     41.135.987,25    </w:t>
            </w:r>
          </w:p>
        </w:tc>
        <w:tc>
          <w:tcPr>
            <w:tcW w:w="1251" w:type="dxa"/>
            <w:tcBorders>
              <w:top w:val="single" w:sz="4" w:space="0" w:color="auto"/>
              <w:left w:val="nil"/>
              <w:bottom w:val="single" w:sz="4" w:space="0" w:color="auto"/>
              <w:right w:val="nil"/>
            </w:tcBorders>
            <w:shd w:val="clear" w:color="auto" w:fill="auto"/>
            <w:noWrap/>
            <w:vAlign w:val="bottom"/>
            <w:hideMark/>
          </w:tcPr>
          <w:p w14:paraId="2DBB6B27" w14:textId="77777777" w:rsidR="000B0168" w:rsidRDefault="000B0168" w:rsidP="000B0168">
            <w:pPr>
              <w:jc w:val="right"/>
              <w:rPr>
                <w:b/>
                <w:bCs/>
                <w:sz w:val="18"/>
                <w:szCs w:val="18"/>
              </w:rPr>
            </w:pPr>
            <w:r>
              <w:rPr>
                <w:b/>
                <w:bCs/>
                <w:sz w:val="18"/>
                <w:szCs w:val="18"/>
              </w:rPr>
              <w:t xml:space="preserve">     38.475.870,26    </w:t>
            </w:r>
          </w:p>
        </w:tc>
        <w:tc>
          <w:tcPr>
            <w:tcW w:w="711" w:type="dxa"/>
            <w:tcBorders>
              <w:top w:val="single" w:sz="4" w:space="0" w:color="auto"/>
              <w:left w:val="nil"/>
              <w:bottom w:val="single" w:sz="4" w:space="0" w:color="auto"/>
              <w:right w:val="nil"/>
            </w:tcBorders>
            <w:shd w:val="clear" w:color="auto" w:fill="auto"/>
            <w:noWrap/>
            <w:vAlign w:val="bottom"/>
            <w:hideMark/>
          </w:tcPr>
          <w:p w14:paraId="0A0A9582" w14:textId="77777777" w:rsidR="000B0168" w:rsidRDefault="000B0168">
            <w:pPr>
              <w:rPr>
                <w:b/>
                <w:bCs/>
                <w:sz w:val="18"/>
                <w:szCs w:val="18"/>
              </w:rPr>
            </w:pPr>
            <w:r>
              <w:rPr>
                <w:b/>
                <w:bCs/>
                <w:sz w:val="18"/>
                <w:szCs w:val="18"/>
              </w:rPr>
              <w:t> </w:t>
            </w:r>
          </w:p>
        </w:tc>
        <w:tc>
          <w:tcPr>
            <w:tcW w:w="926" w:type="dxa"/>
            <w:tcBorders>
              <w:top w:val="single" w:sz="4" w:space="0" w:color="auto"/>
              <w:left w:val="nil"/>
              <w:bottom w:val="single" w:sz="4" w:space="0" w:color="auto"/>
              <w:right w:val="nil"/>
            </w:tcBorders>
            <w:shd w:val="clear" w:color="auto" w:fill="auto"/>
            <w:noWrap/>
            <w:vAlign w:val="bottom"/>
            <w:hideMark/>
          </w:tcPr>
          <w:p w14:paraId="531643A3" w14:textId="77777777" w:rsidR="000B0168" w:rsidRDefault="000B0168">
            <w:pPr>
              <w:rPr>
                <w:b/>
                <w:bCs/>
                <w:sz w:val="18"/>
                <w:szCs w:val="18"/>
              </w:rPr>
            </w:pPr>
            <w:r>
              <w:rPr>
                <w:b/>
                <w:bCs/>
                <w:sz w:val="18"/>
                <w:szCs w:val="18"/>
              </w:rPr>
              <w:t> </w:t>
            </w:r>
          </w:p>
        </w:tc>
        <w:tc>
          <w:tcPr>
            <w:tcW w:w="964" w:type="dxa"/>
            <w:tcBorders>
              <w:top w:val="single" w:sz="4" w:space="0" w:color="auto"/>
              <w:left w:val="nil"/>
              <w:bottom w:val="single" w:sz="4" w:space="0" w:color="auto"/>
              <w:right w:val="nil"/>
            </w:tcBorders>
            <w:shd w:val="clear" w:color="auto" w:fill="auto"/>
            <w:noWrap/>
            <w:vAlign w:val="bottom"/>
            <w:hideMark/>
          </w:tcPr>
          <w:p w14:paraId="182DB2E3" w14:textId="77777777" w:rsidR="000B0168" w:rsidRDefault="000B0168">
            <w:pPr>
              <w:rPr>
                <w:b/>
                <w:bCs/>
                <w:sz w:val="18"/>
                <w:szCs w:val="18"/>
              </w:rPr>
            </w:pPr>
            <w:r>
              <w:rPr>
                <w:b/>
                <w:bCs/>
                <w:sz w:val="18"/>
                <w:szCs w:val="18"/>
              </w:rPr>
              <w:t> </w:t>
            </w:r>
          </w:p>
        </w:tc>
      </w:tr>
    </w:tbl>
    <w:p w14:paraId="5A5B45AE" w14:textId="77777777" w:rsidR="000B0168" w:rsidRDefault="000B0168" w:rsidP="005712E4">
      <w:pPr>
        <w:ind w:right="70"/>
      </w:pPr>
    </w:p>
    <w:p w14:paraId="2C037B5A" w14:textId="457B5699" w:rsidR="00E32B1F" w:rsidRPr="00E80A17" w:rsidRDefault="005712E4" w:rsidP="009E478A">
      <w:pPr>
        <w:ind w:firstLine="708"/>
      </w:pPr>
      <w:r w:rsidRPr="00E80A17">
        <w:t>Ukupni prihodi i primici u 20</w:t>
      </w:r>
      <w:r w:rsidR="00AD02A0">
        <w:t>2</w:t>
      </w:r>
      <w:r w:rsidR="00FE6B4C">
        <w:t>2</w:t>
      </w:r>
      <w:r w:rsidRPr="00E80A17">
        <w:t>. godin</w:t>
      </w:r>
      <w:r w:rsidR="009E478A">
        <w:t>i</w:t>
      </w:r>
      <w:r w:rsidRPr="00E80A17">
        <w:t xml:space="preserve"> ostvareni su u iznosu od </w:t>
      </w:r>
      <w:r w:rsidR="009E478A">
        <w:t>37.914.939,20</w:t>
      </w:r>
      <w:r w:rsidRPr="00E80A17">
        <w:t xml:space="preserve"> kuna, </w:t>
      </w:r>
      <w:r w:rsidR="009D6579" w:rsidRPr="00E80A17">
        <w:t>š</w:t>
      </w:r>
      <w:r w:rsidR="00522853" w:rsidRPr="00E80A17">
        <w:t xml:space="preserve">to predstavlja realizaciju </w:t>
      </w:r>
      <w:r w:rsidR="00CF4D1F">
        <w:t xml:space="preserve">u visini </w:t>
      </w:r>
      <w:r w:rsidR="009E478A">
        <w:t>93</w:t>
      </w:r>
      <w:r w:rsidRPr="00E80A17">
        <w:t xml:space="preserve">% </w:t>
      </w:r>
      <w:r w:rsidR="00522853" w:rsidRPr="00E80A17">
        <w:t xml:space="preserve">od </w:t>
      </w:r>
      <w:r w:rsidRPr="00E80A17">
        <w:t>plana. U odnosu na prethodn</w:t>
      </w:r>
      <w:r w:rsidR="00522853" w:rsidRPr="00E80A17">
        <w:t>u</w:t>
      </w:r>
      <w:r w:rsidRPr="00E80A17">
        <w:t xml:space="preserve"> godin</w:t>
      </w:r>
      <w:r w:rsidR="00522853" w:rsidRPr="00E80A17">
        <w:t>u</w:t>
      </w:r>
      <w:r w:rsidRPr="00E80A17">
        <w:t xml:space="preserve"> ostvareno je </w:t>
      </w:r>
      <w:r w:rsidR="009E478A">
        <w:t>3</w:t>
      </w:r>
      <w:r w:rsidRPr="00E80A17">
        <w:t xml:space="preserve">% </w:t>
      </w:r>
      <w:r w:rsidR="00265802">
        <w:t>manje</w:t>
      </w:r>
      <w:r w:rsidRPr="00E80A17">
        <w:t xml:space="preserve"> prihoda</w:t>
      </w:r>
      <w:r w:rsidR="0027228A">
        <w:t xml:space="preserve"> i primitaka</w:t>
      </w:r>
      <w:r w:rsidRPr="00E80A17">
        <w:t xml:space="preserve">. </w:t>
      </w:r>
    </w:p>
    <w:p w14:paraId="1CA002B1" w14:textId="21044ABC" w:rsidR="005712E4" w:rsidRPr="00E80A17" w:rsidRDefault="005712E4" w:rsidP="009E478A">
      <w:pPr>
        <w:ind w:firstLine="708"/>
      </w:pPr>
      <w:r w:rsidRPr="00E80A17">
        <w:t>U struk</w:t>
      </w:r>
      <w:r w:rsidR="009D6579" w:rsidRPr="00E80A17">
        <w:t xml:space="preserve">turi ukupno ostvarenih prihoda </w:t>
      </w:r>
      <w:r w:rsidR="003E0589">
        <w:t xml:space="preserve">i primitaka </w:t>
      </w:r>
      <w:r w:rsidR="009D6579" w:rsidRPr="00E80A17">
        <w:t>u</w:t>
      </w:r>
      <w:r w:rsidR="00316E29" w:rsidRPr="00E80A17">
        <w:t xml:space="preserve"> </w:t>
      </w:r>
      <w:r w:rsidR="009E478A">
        <w:t>2</w:t>
      </w:r>
      <w:r w:rsidRPr="00E80A17">
        <w:t>0</w:t>
      </w:r>
      <w:r w:rsidR="00AD02A0">
        <w:t>2</w:t>
      </w:r>
      <w:r w:rsidR="00FE6B4C">
        <w:t>2</w:t>
      </w:r>
      <w:r w:rsidRPr="00E80A17">
        <w:t>. godin</w:t>
      </w:r>
      <w:r w:rsidR="009E478A">
        <w:t>i</w:t>
      </w:r>
      <w:r w:rsidRPr="00E80A17">
        <w:t xml:space="preserve"> prihodi poslovanja zastupljeni su s udjelom od </w:t>
      </w:r>
      <w:r w:rsidR="009E478A">
        <w:t>89,46</w:t>
      </w:r>
      <w:r w:rsidRPr="00E80A17">
        <w:t xml:space="preserve">%, prihodi od prodaje nefinancijske imovine s udjelom od </w:t>
      </w:r>
      <w:r w:rsidR="009E478A">
        <w:t>10,54</w:t>
      </w:r>
      <w:r w:rsidRPr="00E80A17">
        <w:t>%, dok</w:t>
      </w:r>
      <w:r w:rsidR="003F7377" w:rsidRPr="00E80A17">
        <w:t xml:space="preserve"> </w:t>
      </w:r>
      <w:r w:rsidRPr="00E80A17">
        <w:t xml:space="preserve">primici od </w:t>
      </w:r>
      <w:r w:rsidR="003F7377" w:rsidRPr="00E80A17">
        <w:t>financijske imovine</w:t>
      </w:r>
      <w:r w:rsidR="00FA4EEC">
        <w:t xml:space="preserve"> i zaduživanja</w:t>
      </w:r>
      <w:r w:rsidR="003F7377" w:rsidRPr="00E80A17">
        <w:t xml:space="preserve"> </w:t>
      </w:r>
      <w:r w:rsidR="00792EEE">
        <w:t>nisu planirani niti realizirani.</w:t>
      </w:r>
    </w:p>
    <w:p w14:paraId="4193EF5B" w14:textId="77777777" w:rsidR="00316E29" w:rsidRPr="00E80A17" w:rsidRDefault="00316E29" w:rsidP="005712E4"/>
    <w:p w14:paraId="63525298" w14:textId="3AE90D2F" w:rsidR="001470D5" w:rsidRPr="00E80A17" w:rsidRDefault="005712E4" w:rsidP="005712E4">
      <w:r w:rsidRPr="00E80A17">
        <w:t xml:space="preserve">1. Prihodi poslovanja </w:t>
      </w:r>
      <w:r w:rsidR="00944E02">
        <w:t>u 202</w:t>
      </w:r>
      <w:r w:rsidR="00B65C0E">
        <w:t>2</w:t>
      </w:r>
      <w:r w:rsidR="00944E02">
        <w:t>. godin</w:t>
      </w:r>
      <w:r w:rsidR="007F7ACD">
        <w:t>i</w:t>
      </w:r>
      <w:r w:rsidR="00944E02">
        <w:t xml:space="preserve"> </w:t>
      </w:r>
      <w:r w:rsidRPr="00E80A17">
        <w:t xml:space="preserve">ostvareni su u iznosu od </w:t>
      </w:r>
      <w:r w:rsidR="007F7ACD">
        <w:t>33.918.466,04</w:t>
      </w:r>
      <w:r w:rsidR="001B48F7" w:rsidRPr="00E80A17">
        <w:t xml:space="preserve"> </w:t>
      </w:r>
      <w:r w:rsidRPr="00E80A17">
        <w:t xml:space="preserve">kuna </w:t>
      </w:r>
      <w:r w:rsidR="00944E02">
        <w:t xml:space="preserve">ili </w:t>
      </w:r>
      <w:r w:rsidR="007F7ACD">
        <w:t>98</w:t>
      </w:r>
      <w:r w:rsidR="00944E02">
        <w:t>% od plana</w:t>
      </w:r>
      <w:r w:rsidR="00265802">
        <w:t xml:space="preserve">. U odnosu na </w:t>
      </w:r>
      <w:r w:rsidR="007F7ACD">
        <w:t>2021.</w:t>
      </w:r>
      <w:r w:rsidR="00265802">
        <w:t xml:space="preserve"> godin</w:t>
      </w:r>
      <w:r w:rsidR="007F7ACD">
        <w:t>u</w:t>
      </w:r>
      <w:r w:rsidR="00265802">
        <w:t xml:space="preserve"> os</w:t>
      </w:r>
      <w:r w:rsidR="0026281D">
        <w:t>t</w:t>
      </w:r>
      <w:r w:rsidR="00265802">
        <w:t xml:space="preserve">vareno je </w:t>
      </w:r>
      <w:r w:rsidR="007F7ACD">
        <w:t>5</w:t>
      </w:r>
      <w:r w:rsidR="00265802">
        <w:t>% više prihoda poslovanja.</w:t>
      </w:r>
    </w:p>
    <w:p w14:paraId="68377792" w14:textId="77777777" w:rsidR="005712E4" w:rsidRPr="00E80A17" w:rsidRDefault="005712E4" w:rsidP="005712E4"/>
    <w:p w14:paraId="32F2FA86" w14:textId="74F3A60A" w:rsidR="005712E4" w:rsidRPr="00E80A17" w:rsidRDefault="005712E4" w:rsidP="005712E4">
      <w:pPr>
        <w:numPr>
          <w:ilvl w:val="1"/>
          <w:numId w:val="3"/>
        </w:numPr>
      </w:pPr>
      <w:r w:rsidRPr="00E80A17">
        <w:t xml:space="preserve">Prihodi od poreza ostvareni su u ukupnom iznosu od </w:t>
      </w:r>
      <w:r w:rsidR="007F7ACD">
        <w:t>19.074.734,72</w:t>
      </w:r>
      <w:r w:rsidR="00B13076">
        <w:t xml:space="preserve"> </w:t>
      </w:r>
      <w:r w:rsidRPr="00E80A17">
        <w:t xml:space="preserve">kuna ili </w:t>
      </w:r>
      <w:r w:rsidR="007F7ACD">
        <w:t>5</w:t>
      </w:r>
      <w:r w:rsidR="00C2180F">
        <w:t>%</w:t>
      </w:r>
      <w:r w:rsidRPr="00E80A17">
        <w:t xml:space="preserve"> </w:t>
      </w:r>
      <w:r w:rsidR="007F7ACD">
        <w:t xml:space="preserve">više </w:t>
      </w:r>
      <w:r w:rsidRPr="00E80A17">
        <w:t xml:space="preserve">od </w:t>
      </w:r>
      <w:r w:rsidR="00D05BE8">
        <w:t>p</w:t>
      </w:r>
      <w:r w:rsidRPr="00E80A17">
        <w:t>lan</w:t>
      </w:r>
      <w:r w:rsidR="00316E29" w:rsidRPr="00E80A17">
        <w:t>iranog</w:t>
      </w:r>
      <w:r w:rsidR="00365272">
        <w:t>,</w:t>
      </w:r>
      <w:r w:rsidRPr="00E80A17">
        <w:t xml:space="preserve"> </w:t>
      </w:r>
      <w:r w:rsidR="00365272">
        <w:t>a</w:t>
      </w:r>
      <w:r w:rsidRPr="00E80A17">
        <w:t xml:space="preserve"> </w:t>
      </w:r>
      <w:r w:rsidR="00365272">
        <w:t xml:space="preserve">u </w:t>
      </w:r>
      <w:r w:rsidRPr="00E80A17">
        <w:t xml:space="preserve">odnosu </w:t>
      </w:r>
      <w:r w:rsidR="00316E29" w:rsidRPr="00E80A17">
        <w:t xml:space="preserve">na </w:t>
      </w:r>
      <w:r w:rsidR="00C2180F">
        <w:t>pretho</w:t>
      </w:r>
      <w:r w:rsidR="00D61BA6">
        <w:t>d</w:t>
      </w:r>
      <w:r w:rsidR="00C2180F">
        <w:t>n</w:t>
      </w:r>
      <w:r w:rsidR="007F7ACD">
        <w:t>u</w:t>
      </w:r>
      <w:r w:rsidR="00C2180F">
        <w:t xml:space="preserve"> godin</w:t>
      </w:r>
      <w:r w:rsidR="007F7ACD">
        <w:t>u</w:t>
      </w:r>
      <w:r w:rsidR="00C2180F">
        <w:t xml:space="preserve"> </w:t>
      </w:r>
      <w:r w:rsidR="00B13076">
        <w:t xml:space="preserve">ostvareni </w:t>
      </w:r>
      <w:r w:rsidR="00333E45" w:rsidRPr="00E80A17">
        <w:t xml:space="preserve">prihodi od poreza </w:t>
      </w:r>
      <w:r w:rsidR="00EE4D75">
        <w:t>veći</w:t>
      </w:r>
      <w:r w:rsidR="00B13076">
        <w:t xml:space="preserve"> su</w:t>
      </w:r>
      <w:r w:rsidR="00A21D76" w:rsidRPr="00E80A17">
        <w:t xml:space="preserve"> za </w:t>
      </w:r>
      <w:r w:rsidR="007F7ACD">
        <w:t>43</w:t>
      </w:r>
      <w:r w:rsidRPr="00E80A17">
        <w:t>%.</w:t>
      </w:r>
    </w:p>
    <w:p w14:paraId="2E81C265" w14:textId="77777777" w:rsidR="005712E4" w:rsidRPr="00E80A17" w:rsidRDefault="005712E4" w:rsidP="005712E4"/>
    <w:p w14:paraId="49C73A84" w14:textId="6B29328A" w:rsidR="00CE19A5" w:rsidRDefault="00844DD6" w:rsidP="00844DD6">
      <w:pPr>
        <w:ind w:left="1422" w:hanging="6"/>
      </w:pPr>
      <w:r>
        <w:t xml:space="preserve">1.1.1. </w:t>
      </w:r>
      <w:r w:rsidR="005712E4" w:rsidRPr="00E80A17">
        <w:t xml:space="preserve">Porez i prirez na dohodak ostvareni su u ukupnom iznosu od </w:t>
      </w:r>
      <w:r w:rsidR="007F7ACD">
        <w:t>11.147.022,05</w:t>
      </w:r>
      <w:r w:rsidR="005712E4" w:rsidRPr="00E80A17">
        <w:t xml:space="preserve"> kuna </w:t>
      </w:r>
      <w:r w:rsidR="00333E45" w:rsidRPr="00E80A17">
        <w:t xml:space="preserve">ili </w:t>
      </w:r>
      <w:r w:rsidR="007F7ACD">
        <w:t xml:space="preserve">7% više </w:t>
      </w:r>
      <w:r w:rsidR="00D05BE8">
        <w:t>od</w:t>
      </w:r>
      <w:r w:rsidR="00A21D76" w:rsidRPr="00E80A17">
        <w:t xml:space="preserve"> </w:t>
      </w:r>
      <w:r w:rsidR="00333E45" w:rsidRPr="00E80A17">
        <w:t>plana</w:t>
      </w:r>
      <w:r w:rsidR="00CE19A5">
        <w:t xml:space="preserve"> </w:t>
      </w:r>
      <w:r w:rsidR="00D05BE8">
        <w:t>i</w:t>
      </w:r>
      <w:r w:rsidR="0052582B" w:rsidRPr="00E80A17">
        <w:t xml:space="preserve"> </w:t>
      </w:r>
      <w:r w:rsidR="007F7ACD">
        <w:t>40</w:t>
      </w:r>
      <w:r w:rsidR="0052582B" w:rsidRPr="00E80A17">
        <w:t xml:space="preserve">% </w:t>
      </w:r>
      <w:r w:rsidR="00CE19A5">
        <w:t>više</w:t>
      </w:r>
      <w:r w:rsidR="00271152" w:rsidRPr="00E80A17">
        <w:t xml:space="preserve"> u odnosu na </w:t>
      </w:r>
      <w:r w:rsidR="00A21D76" w:rsidRPr="00E80A17">
        <w:t>usporedn</w:t>
      </w:r>
      <w:r w:rsidR="007F7ACD">
        <w:t>u</w:t>
      </w:r>
      <w:r w:rsidR="00CE19A5">
        <w:t xml:space="preserve">  </w:t>
      </w:r>
      <w:r w:rsidR="00A21D76" w:rsidRPr="00E80A17">
        <w:t>20</w:t>
      </w:r>
      <w:r w:rsidR="002253AF">
        <w:t>2</w:t>
      </w:r>
      <w:r w:rsidR="00CE19A5">
        <w:t>1</w:t>
      </w:r>
      <w:r w:rsidR="00A21D76" w:rsidRPr="00E80A17">
        <w:t xml:space="preserve">. </w:t>
      </w:r>
      <w:r w:rsidR="00271152" w:rsidRPr="00E80A17">
        <w:t>godin</w:t>
      </w:r>
      <w:r w:rsidR="007F7ACD">
        <w:t>u</w:t>
      </w:r>
      <w:r w:rsidR="00333E45" w:rsidRPr="00E80A17">
        <w:t>.</w:t>
      </w:r>
    </w:p>
    <w:p w14:paraId="1EFB0769" w14:textId="263A5679" w:rsidR="00EF2B4A" w:rsidRDefault="00DD09BE" w:rsidP="00703AE3">
      <w:pPr>
        <w:ind w:left="1422" w:hanging="6"/>
      </w:pPr>
      <w:r>
        <w:t>Povećanje pr</w:t>
      </w:r>
      <w:r w:rsidR="00983C11">
        <w:t>i</w:t>
      </w:r>
      <w:r>
        <w:t xml:space="preserve">hoda od poreza i prireza na dohodak </w:t>
      </w:r>
      <w:r w:rsidR="00660EE3">
        <w:t xml:space="preserve">može </w:t>
      </w:r>
      <w:r>
        <w:t xml:space="preserve">se najvećim dijelom pripisati </w:t>
      </w:r>
      <w:r w:rsidR="00902016">
        <w:t>povećanoj</w:t>
      </w:r>
      <w:r>
        <w:t xml:space="preserve"> gospodarskoj aktivnosti usl</w:t>
      </w:r>
      <w:r w:rsidR="00983C11">
        <w:t>i</w:t>
      </w:r>
      <w:r>
        <w:t xml:space="preserve">jed </w:t>
      </w:r>
      <w:r w:rsidR="00902016">
        <w:t>bolje</w:t>
      </w:r>
      <w:r>
        <w:t xml:space="preserve"> epidemiološke situacije</w:t>
      </w:r>
      <w:r w:rsidR="00902016">
        <w:t>, popuštanja i ukidanja mjera ograničenja te vrlo</w:t>
      </w:r>
      <w:r w:rsidR="0048644E">
        <w:t xml:space="preserve"> uspješn</w:t>
      </w:r>
      <w:r w:rsidR="00902016">
        <w:t>e</w:t>
      </w:r>
      <w:r w:rsidR="0048644E">
        <w:t xml:space="preserve"> turističk</w:t>
      </w:r>
      <w:r w:rsidR="00902016">
        <w:t>e</w:t>
      </w:r>
      <w:r w:rsidR="0048644E">
        <w:t xml:space="preserve"> sezon</w:t>
      </w:r>
      <w:r w:rsidR="00902016">
        <w:t>e.</w:t>
      </w:r>
      <w:r w:rsidR="0048644E">
        <w:t xml:space="preserve"> </w:t>
      </w:r>
      <w:r w:rsidR="00902016">
        <w:t xml:space="preserve">Osim toga </w:t>
      </w:r>
      <w:r w:rsidR="0048644E">
        <w:t>uslijed inflacije i manjka radne snage</w:t>
      </w:r>
      <w:r w:rsidR="00902016">
        <w:t xml:space="preserve"> došlo je i do nominalnog povećanja plaća</w:t>
      </w:r>
      <w:r w:rsidR="0048644E">
        <w:t>.</w:t>
      </w:r>
    </w:p>
    <w:p w14:paraId="3B674143" w14:textId="6B4C7D7C" w:rsidR="00703AE3" w:rsidRDefault="00EF2B4A" w:rsidP="00EF2B4A">
      <w:pPr>
        <w:ind w:left="1422" w:firstLine="702"/>
      </w:pPr>
      <w:r>
        <w:t xml:space="preserve">Najznačajnije </w:t>
      </w:r>
      <w:r w:rsidR="00703AE3">
        <w:t xml:space="preserve">povećanje zabilježeno je na prihodima od poreza i prireza na dohodak </w:t>
      </w:r>
      <w:r>
        <w:t xml:space="preserve">od nesamostalnog rada, poreza i prireza na dohodak </w:t>
      </w:r>
      <w:r w:rsidR="00703AE3">
        <w:t>od kapitala, poreza i prireza na dohodak od imovine i imovinskih prava te poreza i prireza na dohodak po godišnjoj prijavi.</w:t>
      </w:r>
      <w:r>
        <w:t xml:space="preserve"> Razlika utvrđenih obveza za povrat i za uplatu poreza i prireza po godišnjim prijavama poreza i prireza na dohodak u 2022. godini iznosila je 784.654,10 kuna, dok je u prethodnoj godini saldo za povrat iznosio 1.139.490,53 kuna</w:t>
      </w:r>
    </w:p>
    <w:p w14:paraId="73EFBAD2" w14:textId="32DF8893" w:rsidR="005840E6" w:rsidRDefault="001B158D" w:rsidP="00EF2B4A">
      <w:pPr>
        <w:ind w:left="1416" w:firstLine="708"/>
      </w:pPr>
      <w:r w:rsidRPr="00E80A17">
        <w:lastRenderedPageBreak/>
        <w:t xml:space="preserve">Od ukupno ostvarenih prihoda od poreza i prireza na dohodak </w:t>
      </w:r>
      <w:r w:rsidR="004F1260">
        <w:t xml:space="preserve">10.183.036,43 </w:t>
      </w:r>
      <w:r w:rsidRPr="00E80A17">
        <w:t xml:space="preserve">kuna odnosi se na prihode od poreza na dohodak, </w:t>
      </w:r>
      <w:r w:rsidR="004F1260">
        <w:t>825.651,00</w:t>
      </w:r>
      <w:r w:rsidRPr="00E80A17">
        <w:t xml:space="preserve"> kuna na prihode od prireza na porez na dohodak, iznos od </w:t>
      </w:r>
      <w:r w:rsidR="004F1260">
        <w:t>137.612,22</w:t>
      </w:r>
      <w:r w:rsidRPr="00E80A17">
        <w:t xml:space="preserve"> kuna odnosi</w:t>
      </w:r>
      <w:r>
        <w:t xml:space="preserve"> se</w:t>
      </w:r>
      <w:r w:rsidRPr="00E80A17">
        <w:t xml:space="preserve"> na </w:t>
      </w:r>
      <w:r>
        <w:t xml:space="preserve">dodatni udjel u porezu na dohodak </w:t>
      </w:r>
      <w:r w:rsidRPr="00E80A17">
        <w:t xml:space="preserve">za decentralizirane </w:t>
      </w:r>
      <w:r>
        <w:t>funkcije</w:t>
      </w:r>
      <w:r w:rsidRPr="00E80A17">
        <w:t xml:space="preserve"> vatrogas</w:t>
      </w:r>
      <w:r>
        <w:t>tva</w:t>
      </w:r>
      <w:r w:rsidR="00261D0A">
        <w:t xml:space="preserve">, a iznos od </w:t>
      </w:r>
      <w:r w:rsidR="00703AE3">
        <w:t>722,40</w:t>
      </w:r>
      <w:r w:rsidR="00261D0A">
        <w:t xml:space="preserve"> kuna na uplaćeni porez i prirez po osnovi odobrenih odgoda plaćanja poduzetnicima u </w:t>
      </w:r>
      <w:r w:rsidR="00660EE3">
        <w:t>2020.</w:t>
      </w:r>
      <w:r w:rsidR="00261D0A">
        <w:t xml:space="preserve"> godini</w:t>
      </w:r>
      <w:r>
        <w:t xml:space="preserve">. </w:t>
      </w:r>
      <w:r w:rsidR="005840E6" w:rsidRPr="004A7618">
        <w:t xml:space="preserve"> </w:t>
      </w:r>
    </w:p>
    <w:p w14:paraId="1905E665" w14:textId="77777777" w:rsidR="003828B3" w:rsidRPr="00E80A17" w:rsidRDefault="003828B3" w:rsidP="005712E4">
      <w:pPr>
        <w:ind w:left="1416"/>
        <w:rPr>
          <w:sz w:val="20"/>
          <w:szCs w:val="20"/>
        </w:rPr>
      </w:pPr>
    </w:p>
    <w:p w14:paraId="5D832F2B" w14:textId="15E7961F" w:rsidR="00D76A1D" w:rsidRDefault="005712E4" w:rsidP="003B5C8C">
      <w:pPr>
        <w:ind w:left="1416"/>
      </w:pPr>
      <w:r w:rsidRPr="00E80A17">
        <w:t xml:space="preserve">1.1.2. Porezi na imovinu ostvareni su u iznosu od </w:t>
      </w:r>
      <w:r w:rsidR="004F1260">
        <w:t>7.424.184,56</w:t>
      </w:r>
      <w:r w:rsidR="00237906">
        <w:t xml:space="preserve"> </w:t>
      </w:r>
      <w:r w:rsidRPr="00E80A17">
        <w:t xml:space="preserve">kuna, odnosno </w:t>
      </w:r>
      <w:r w:rsidR="004F1260">
        <w:t>2</w:t>
      </w:r>
      <w:r w:rsidRPr="00E80A17">
        <w:t xml:space="preserve">% </w:t>
      </w:r>
      <w:r w:rsidR="004F1260">
        <w:t xml:space="preserve">više </w:t>
      </w:r>
      <w:r w:rsidRPr="00E80A17">
        <w:t>od planiranog za 20</w:t>
      </w:r>
      <w:r w:rsidR="001513A9">
        <w:t>2</w:t>
      </w:r>
      <w:r w:rsidR="00237906">
        <w:t>2</w:t>
      </w:r>
      <w:r w:rsidRPr="00E80A17">
        <w:t>. godinu</w:t>
      </w:r>
      <w:r w:rsidR="00303E62" w:rsidRPr="00E80A17">
        <w:t xml:space="preserve"> i </w:t>
      </w:r>
      <w:r w:rsidR="004F1260">
        <w:t>45</w:t>
      </w:r>
      <w:r w:rsidRPr="00E80A17">
        <w:t xml:space="preserve">% </w:t>
      </w:r>
      <w:r w:rsidR="0004004D">
        <w:t>viš</w:t>
      </w:r>
      <w:r w:rsidR="00EE7EA3" w:rsidRPr="00E80A17">
        <w:t>e</w:t>
      </w:r>
      <w:r w:rsidRPr="00E80A17">
        <w:t xml:space="preserve"> u odnosu na </w:t>
      </w:r>
      <w:r w:rsidR="00734EDE" w:rsidRPr="00E80A17">
        <w:t>prethodnu</w:t>
      </w:r>
      <w:r w:rsidRPr="00E80A17">
        <w:t xml:space="preserve"> godin</w:t>
      </w:r>
      <w:r w:rsidR="00734EDE" w:rsidRPr="00E80A17">
        <w:t>u</w:t>
      </w:r>
      <w:r w:rsidRPr="00E80A17">
        <w:t xml:space="preserve">. </w:t>
      </w:r>
    </w:p>
    <w:p w14:paraId="480C3CBC" w14:textId="27142E69" w:rsidR="00237906" w:rsidRDefault="00237906" w:rsidP="004F1260">
      <w:pPr>
        <w:ind w:left="1416" w:firstLine="708"/>
      </w:pPr>
      <w:r>
        <w:t xml:space="preserve">Prihodi se </w:t>
      </w:r>
      <w:r w:rsidR="004F1260">
        <w:t xml:space="preserve">najvećim dijelom odnose na prihode od poreza na </w:t>
      </w:r>
      <w:r>
        <w:t>promet nekretnina, a na pov</w:t>
      </w:r>
      <w:r w:rsidR="00983C11">
        <w:t>e</w:t>
      </w:r>
      <w:r>
        <w:t>ćanje je osim porasta cijena utjecala i snažna aktivnost na tržištu nekretnina.</w:t>
      </w:r>
      <w:r w:rsidR="004F1260">
        <w:t xml:space="preserve"> Prihodi od poreza na kuće za odmor ostvareni su u iznosu od 174.116,52 kuna ili 3% više u odnosu na prethodnu godinu, dok je prihod od poreza na korištenje javnih površina 22% manji u odnosu na prethodnu godinu i iznosi 15.938,00 kuna.</w:t>
      </w:r>
    </w:p>
    <w:p w14:paraId="4F95318A" w14:textId="45458848" w:rsidR="005712E4" w:rsidRPr="00A37D06" w:rsidRDefault="005712E4" w:rsidP="00D76A1D">
      <w:pPr>
        <w:pStyle w:val="Uvuenotijeloteksta"/>
        <w:ind w:left="0"/>
      </w:pPr>
    </w:p>
    <w:p w14:paraId="3994BC49" w14:textId="70C8EC24" w:rsidR="00FE009E" w:rsidRPr="004A7618" w:rsidRDefault="005712E4" w:rsidP="00FE009E">
      <w:pPr>
        <w:ind w:left="1416"/>
      </w:pPr>
      <w:r w:rsidRPr="00E80A17">
        <w:t xml:space="preserve">1.1.3. </w:t>
      </w:r>
      <w:r w:rsidR="00FE009E" w:rsidRPr="004A7618">
        <w:t xml:space="preserve">Porezi na robu i usluge odnose se na porez na potrošnju, a ostvareni su u iznosu od </w:t>
      </w:r>
      <w:r w:rsidR="00640E24">
        <w:t>503.528,11</w:t>
      </w:r>
      <w:r w:rsidR="00FE009E" w:rsidRPr="004A7618">
        <w:t xml:space="preserve"> kuna ili </w:t>
      </w:r>
      <w:r w:rsidR="009F44A7">
        <w:t>7</w:t>
      </w:r>
      <w:r w:rsidR="00640E24">
        <w:t>7</w:t>
      </w:r>
      <w:r w:rsidR="00FE009E" w:rsidRPr="004A7618">
        <w:t>% više u odnosu na prethodn</w:t>
      </w:r>
      <w:r w:rsidR="00640E24">
        <w:t>u</w:t>
      </w:r>
      <w:r w:rsidR="00FE009E" w:rsidRPr="004A7618">
        <w:t xml:space="preserve"> godin</w:t>
      </w:r>
      <w:r w:rsidR="00640E24">
        <w:t>u</w:t>
      </w:r>
      <w:r w:rsidR="00FE009E" w:rsidRPr="004A7618">
        <w:t xml:space="preserve">. </w:t>
      </w:r>
    </w:p>
    <w:p w14:paraId="2C8E2AB4" w14:textId="0219400A" w:rsidR="00F306FC" w:rsidRDefault="00FE009E" w:rsidP="00FE009E">
      <w:pPr>
        <w:ind w:left="1416"/>
      </w:pPr>
      <w:r w:rsidRPr="004A7618">
        <w:t xml:space="preserve">Temeljem Odluke Stožera civilne zaštite RH o nužnim epidemiološkim mjerama, u većem dijelu prvog tromjesečja 2021. godine, ugostiteljskim objektima bio je zabranjen rad. Nakon toga uslijedilo je samo djelomično otvaranje </w:t>
      </w:r>
      <w:r w:rsidR="00640E24">
        <w:t>uz</w:t>
      </w:r>
      <w:r w:rsidR="00763CC6">
        <w:t xml:space="preserve"> </w:t>
      </w:r>
      <w:r w:rsidRPr="004A7618">
        <w:t xml:space="preserve">dozvoljeno </w:t>
      </w:r>
      <w:r w:rsidR="00763CC6">
        <w:t>p</w:t>
      </w:r>
      <w:r w:rsidRPr="004A7618">
        <w:t xml:space="preserve">ružanje usluga samo na otvorenim prostorima odnosno terasama. </w:t>
      </w:r>
      <w:r w:rsidR="00F306FC">
        <w:t xml:space="preserve">Povećanje prihoda od poreza na potrošnju </w:t>
      </w:r>
      <w:r w:rsidR="00640E24">
        <w:t xml:space="preserve">posljedica je boljeg poslovanja </w:t>
      </w:r>
      <w:r w:rsidR="00763CC6">
        <w:t xml:space="preserve">ugostiteljskih objekata </w:t>
      </w:r>
      <w:r w:rsidR="00640E24">
        <w:t xml:space="preserve">slijedom značajnijeg ublažavanja i ukidanja epidemioloških mjera u prvom dijelu </w:t>
      </w:r>
      <w:r w:rsidR="008968F8">
        <w:t xml:space="preserve">2022. </w:t>
      </w:r>
      <w:r w:rsidR="00640E24">
        <w:t xml:space="preserve">godine te vrlo uspješne turističke sezone i </w:t>
      </w:r>
      <w:r w:rsidR="00F306FC">
        <w:t xml:space="preserve">oporavka </w:t>
      </w:r>
      <w:r w:rsidR="00902016">
        <w:t>ugostiteljsko</w:t>
      </w:r>
      <w:r w:rsidR="008968F8">
        <w:t>g i</w:t>
      </w:r>
      <w:r w:rsidR="00902016">
        <w:t xml:space="preserve"> </w:t>
      </w:r>
      <w:r w:rsidR="00F306FC">
        <w:t>turističkog sektora.</w:t>
      </w:r>
    </w:p>
    <w:p w14:paraId="0848D69A" w14:textId="77777777" w:rsidR="00763CC6" w:rsidRDefault="00763CC6" w:rsidP="005712E4">
      <w:pPr>
        <w:ind w:left="708"/>
      </w:pPr>
    </w:p>
    <w:p w14:paraId="718FBBE8" w14:textId="239A3180" w:rsidR="005712E4" w:rsidRPr="00E80A17" w:rsidRDefault="005712E4" w:rsidP="005712E4">
      <w:pPr>
        <w:ind w:left="708"/>
      </w:pPr>
      <w:r w:rsidRPr="00E80A17">
        <w:t xml:space="preserve">1.2. Pomoći iz inozemstva i od subjekata unutar općeg proračuna ostvarene su u ukupnom iznosu od </w:t>
      </w:r>
      <w:r w:rsidR="00902016">
        <w:t>3.688.904,86</w:t>
      </w:r>
      <w:r w:rsidR="00A65423" w:rsidRPr="00E80A17">
        <w:t xml:space="preserve"> </w:t>
      </w:r>
      <w:r w:rsidRPr="00E80A17">
        <w:t xml:space="preserve">kuna ili </w:t>
      </w:r>
      <w:r w:rsidR="0088784F">
        <w:t>5</w:t>
      </w:r>
      <w:r w:rsidR="00902016">
        <w:t>1</w:t>
      </w:r>
      <w:r w:rsidRPr="00E80A17">
        <w:t xml:space="preserve">% </w:t>
      </w:r>
      <w:r w:rsidR="004D7CEB">
        <w:t xml:space="preserve">manje </w:t>
      </w:r>
      <w:r w:rsidR="000C569B" w:rsidRPr="00E80A17">
        <w:t>u odnosu na usporedn</w:t>
      </w:r>
      <w:r w:rsidR="00902016">
        <w:t>u</w:t>
      </w:r>
      <w:r w:rsidR="0088784F">
        <w:t xml:space="preserve"> </w:t>
      </w:r>
      <w:r w:rsidR="00402818" w:rsidRPr="00E80A17">
        <w:t>20</w:t>
      </w:r>
      <w:r w:rsidR="00F52B92">
        <w:t>2</w:t>
      </w:r>
      <w:r w:rsidR="0088784F">
        <w:t>1</w:t>
      </w:r>
      <w:r w:rsidR="00402818" w:rsidRPr="00E80A17">
        <w:t>. godin</w:t>
      </w:r>
      <w:r w:rsidR="00902016">
        <w:t>u</w:t>
      </w:r>
      <w:r w:rsidRPr="00E80A17">
        <w:t>.</w:t>
      </w:r>
      <w:r w:rsidR="00902016">
        <w:t xml:space="preserve"> Vrijednosno najznačajnije smanjenje prihoda poslovanja u odnosu na prethodnu godinu zabilježeno je upravo na prihodima od pomoći.</w:t>
      </w:r>
      <w:r w:rsidRPr="00E80A17">
        <w:t xml:space="preserve"> </w:t>
      </w:r>
    </w:p>
    <w:p w14:paraId="3228B97B" w14:textId="77777777" w:rsidR="005712E4" w:rsidRPr="00E80A17" w:rsidRDefault="005712E4" w:rsidP="005712E4">
      <w:pPr>
        <w:rPr>
          <w:sz w:val="20"/>
          <w:szCs w:val="20"/>
        </w:rPr>
      </w:pPr>
    </w:p>
    <w:p w14:paraId="62CC9C96" w14:textId="67BFA8B5" w:rsidR="00EC681C" w:rsidRPr="00A37D06" w:rsidRDefault="005712E4" w:rsidP="005712E4">
      <w:pPr>
        <w:ind w:left="1413"/>
      </w:pPr>
      <w:r w:rsidRPr="00E80A17">
        <w:t xml:space="preserve">1.2.1. Prihodi od pomoći od međunarodnih organizacija te institucija i tijela EU </w:t>
      </w:r>
      <w:r w:rsidR="00E156E6" w:rsidRPr="00E80A17">
        <w:t>u 20</w:t>
      </w:r>
      <w:r w:rsidR="00CC26AB">
        <w:t>2</w:t>
      </w:r>
      <w:r w:rsidR="00081EC9">
        <w:t>2</w:t>
      </w:r>
      <w:r w:rsidR="00E156E6" w:rsidRPr="00E80A17">
        <w:t>. godin</w:t>
      </w:r>
      <w:r w:rsidR="00902016">
        <w:t>i</w:t>
      </w:r>
      <w:r w:rsidR="00807B3A" w:rsidRPr="00E80A17">
        <w:t xml:space="preserve"> ostvareni su u iznosu od </w:t>
      </w:r>
      <w:r w:rsidR="00902016">
        <w:t>89.528,58</w:t>
      </w:r>
      <w:r w:rsidR="00807B3A" w:rsidRPr="00E80A17">
        <w:t xml:space="preserve"> kuna</w:t>
      </w:r>
      <w:r w:rsidR="00081EC9">
        <w:t xml:space="preserve">, </w:t>
      </w:r>
      <w:r w:rsidR="00B84D15">
        <w:t xml:space="preserve">a </w:t>
      </w:r>
      <w:r w:rsidR="00081EC9">
        <w:t xml:space="preserve">odnose se na </w:t>
      </w:r>
      <w:r w:rsidR="00B84D15">
        <w:t>kapitalnu pomoć</w:t>
      </w:r>
      <w:r w:rsidR="00081EC9">
        <w:t xml:space="preserve"> za nabavu opreme</w:t>
      </w:r>
      <w:r w:rsidR="00B84D15">
        <w:t xml:space="preserve"> koju je ostvarilo Pučko </w:t>
      </w:r>
      <w:r w:rsidR="00B84D15" w:rsidRPr="00A37D06">
        <w:t>otvoreno učilište Buje kao potporu lokalnom razvoju u okviru inicijative LEADER</w:t>
      </w:r>
      <w:r w:rsidR="00EC681C" w:rsidRPr="00A37D06">
        <w:t>.</w:t>
      </w:r>
    </w:p>
    <w:p w14:paraId="0FD3FC5C" w14:textId="77777777" w:rsidR="005712E4" w:rsidRPr="00A37D06" w:rsidRDefault="005712E4" w:rsidP="005712E4">
      <w:pPr>
        <w:ind w:left="1413"/>
        <w:rPr>
          <w:sz w:val="20"/>
          <w:szCs w:val="20"/>
        </w:rPr>
      </w:pPr>
    </w:p>
    <w:p w14:paraId="188FCB0A" w14:textId="77777777" w:rsidR="004C4D44" w:rsidRDefault="005712E4" w:rsidP="004C4D44">
      <w:pPr>
        <w:pStyle w:val="Odlomakpopisa"/>
        <w:ind w:left="1413"/>
      </w:pPr>
      <w:r w:rsidRPr="00A37D06">
        <w:t xml:space="preserve">1.2.2. Pomoći proračunu iz drugih proračuna ostvarene su u iznosu od </w:t>
      </w:r>
      <w:r w:rsidR="004C4D44">
        <w:t>2.072.725,02</w:t>
      </w:r>
      <w:r w:rsidRPr="00E80A17">
        <w:t xml:space="preserve"> kuna</w:t>
      </w:r>
      <w:r w:rsidR="009B24DB">
        <w:t>,</w:t>
      </w:r>
      <w:r w:rsidRPr="00E80A17">
        <w:t xml:space="preserve"> što je </w:t>
      </w:r>
      <w:r w:rsidR="003573EE">
        <w:t>5</w:t>
      </w:r>
      <w:r w:rsidR="004C4D44">
        <w:t>5</w:t>
      </w:r>
      <w:r w:rsidR="00B70598">
        <w:t xml:space="preserve">% </w:t>
      </w:r>
      <w:r w:rsidR="003573EE">
        <w:t>manje</w:t>
      </w:r>
      <w:r w:rsidR="00B70598">
        <w:t xml:space="preserve"> u odnosu na </w:t>
      </w:r>
      <w:r w:rsidR="004C4D44">
        <w:t>p</w:t>
      </w:r>
      <w:r w:rsidR="00B70598">
        <w:t>rethodn</w:t>
      </w:r>
      <w:r w:rsidR="004C4D44">
        <w:t>u</w:t>
      </w:r>
      <w:r w:rsidR="00B70598">
        <w:t xml:space="preserve"> godin</w:t>
      </w:r>
      <w:r w:rsidR="004C4D44">
        <w:t xml:space="preserve">u. </w:t>
      </w:r>
    </w:p>
    <w:p w14:paraId="12F426E8" w14:textId="4FDBFDDD" w:rsidR="004C4D44" w:rsidRDefault="004C4D44" w:rsidP="006603AD">
      <w:pPr>
        <w:pStyle w:val="Odlomakpopisa"/>
        <w:ind w:left="1416" w:firstLine="708"/>
      </w:pPr>
      <w:r>
        <w:t>Temeljem Zakona o financiranju jedinica lokalne i područne samouprave Grad Buje – Buie ostvaruje pravo na sredstva fiskalnog izravnanja jer je kapacitet ostvarenih prihoda od poreza na dohodak Grada Buja – Buie manji od referentne vrijednosti kapaciteta poreznih prihoda na državnoj razini. U 2022. godini, prema Odluci o udjelu sredstava fiskalnog izravnanja za pojedinu općinu, grad i županiju („Narodne novine“ broj 45/21) doznačena su sredstva pomoći iz državnog proračuna u iznosu od 1.334.350,90 kuna. U prethodn</w:t>
      </w:r>
      <w:r w:rsidR="006603AD">
        <w:t xml:space="preserve">oj 2021. </w:t>
      </w:r>
      <w:r>
        <w:t>godin</w:t>
      </w:r>
      <w:r w:rsidR="006603AD">
        <w:t>i</w:t>
      </w:r>
      <w:r>
        <w:t xml:space="preserve"> </w:t>
      </w:r>
      <w:r w:rsidR="006603AD">
        <w:t>je po istoj osnovi ostvareno 1.131.934,01</w:t>
      </w:r>
      <w:r>
        <w:t xml:space="preserve"> kuna.</w:t>
      </w:r>
      <w:r w:rsidR="006603AD">
        <w:t xml:space="preserve"> U 2022. godini iz državnog proračuna ostvarena je tekuća pomoć u iznosu od 22.050,00 kuna za financiranje troškova ogrjeva korisnicima socijalne pomoć</w:t>
      </w:r>
      <w:r w:rsidR="002633FE">
        <w:t>i</w:t>
      </w:r>
      <w:r w:rsidR="006603AD">
        <w:t xml:space="preserve"> koji se griju na drva.</w:t>
      </w:r>
    </w:p>
    <w:p w14:paraId="7E331C07" w14:textId="21F8B566" w:rsidR="00ED449F" w:rsidRDefault="006603AD" w:rsidP="006603AD">
      <w:pPr>
        <w:pStyle w:val="Odlomakpopisa"/>
        <w:ind w:left="1416" w:firstLine="708"/>
      </w:pPr>
      <w:r>
        <w:lastRenderedPageBreak/>
        <w:t xml:space="preserve">Iz županijskog proračuna ostvareno je ukupno 253.437,50 kuna tekućih pomoći i to za sufinanciranje </w:t>
      </w:r>
      <w:r w:rsidR="00AD6BAE">
        <w:t>raznih programa</w:t>
      </w:r>
      <w:r>
        <w:t xml:space="preserve"> </w:t>
      </w:r>
      <w:r w:rsidR="00AD6BAE">
        <w:t>(i</w:t>
      </w:r>
      <w:r>
        <w:t>zdavanj</w:t>
      </w:r>
      <w:r w:rsidR="00AD6BAE">
        <w:t>e</w:t>
      </w:r>
      <w:r>
        <w:t xml:space="preserve"> povijesnog Statuta Grada Buja – Buie, manifestacij</w:t>
      </w:r>
      <w:r w:rsidR="00AD6BAE">
        <w:t>a</w:t>
      </w:r>
      <w:r>
        <w:t xml:space="preserve"> </w:t>
      </w:r>
      <w:r w:rsidR="00274FCC">
        <w:t xml:space="preserve">Festival </w:t>
      </w:r>
      <w:proofErr w:type="spellStart"/>
      <w:r w:rsidR="00274FCC">
        <w:t>dell</w:t>
      </w:r>
      <w:proofErr w:type="spellEnd"/>
      <w:r w:rsidR="00274FCC">
        <w:t xml:space="preserve">' </w:t>
      </w:r>
      <w:proofErr w:type="spellStart"/>
      <w:r w:rsidR="00274FCC">
        <w:t>Istroveneto</w:t>
      </w:r>
      <w:proofErr w:type="spellEnd"/>
      <w:r w:rsidR="00274FCC">
        <w:t xml:space="preserve">, </w:t>
      </w:r>
      <w:r w:rsidR="00AD6BAE">
        <w:t>a</w:t>
      </w:r>
      <w:r w:rsidR="00274FCC">
        <w:t>rheološk</w:t>
      </w:r>
      <w:r w:rsidR="00AD6BAE">
        <w:t>a</w:t>
      </w:r>
      <w:r w:rsidR="00274FCC">
        <w:t xml:space="preserve"> istraživanja kod </w:t>
      </w:r>
      <w:r w:rsidR="00BB1256">
        <w:t>c</w:t>
      </w:r>
      <w:r w:rsidR="00274FCC">
        <w:t xml:space="preserve">rkve sv. </w:t>
      </w:r>
      <w:proofErr w:type="spellStart"/>
      <w:r w:rsidR="00274FCC">
        <w:t>Kancijana</w:t>
      </w:r>
      <w:proofErr w:type="spellEnd"/>
      <w:r w:rsidR="00274FCC">
        <w:t xml:space="preserve"> na </w:t>
      </w:r>
      <w:proofErr w:type="spellStart"/>
      <w:r w:rsidR="00274FCC">
        <w:t>Kastionu</w:t>
      </w:r>
      <w:proofErr w:type="spellEnd"/>
      <w:r w:rsidR="00274FCC">
        <w:t>, sanacij</w:t>
      </w:r>
      <w:r w:rsidR="00AD6BAE">
        <w:t>a</w:t>
      </w:r>
      <w:r w:rsidR="00274FCC">
        <w:t xml:space="preserve"> krovne konstrukcije i pokrova krova </w:t>
      </w:r>
      <w:r w:rsidR="00BB1256">
        <w:t>c</w:t>
      </w:r>
      <w:r w:rsidR="00274FCC">
        <w:t xml:space="preserve">rkve sv. Petra u </w:t>
      </w:r>
      <w:proofErr w:type="spellStart"/>
      <w:r w:rsidR="00274FCC">
        <w:t>Srbaru</w:t>
      </w:r>
      <w:proofErr w:type="spellEnd"/>
      <w:r w:rsidR="00ED449F">
        <w:t>,</w:t>
      </w:r>
      <w:r w:rsidR="00AD6BAE">
        <w:t xml:space="preserve"> </w:t>
      </w:r>
      <w:r w:rsidR="00274FCC">
        <w:t>materijaln</w:t>
      </w:r>
      <w:r w:rsidR="00ED449F">
        <w:t>a</w:t>
      </w:r>
      <w:r w:rsidR="00274FCC">
        <w:t xml:space="preserve"> zaštit</w:t>
      </w:r>
      <w:r w:rsidR="00ED449F">
        <w:t>a</w:t>
      </w:r>
      <w:r w:rsidR="00274FCC">
        <w:t xml:space="preserve"> sudionika NOR-a</w:t>
      </w:r>
      <w:r w:rsidR="00AD6BAE">
        <w:t>)</w:t>
      </w:r>
      <w:r w:rsidR="00274FCC">
        <w:t>.</w:t>
      </w:r>
    </w:p>
    <w:p w14:paraId="7A6B9DFE" w14:textId="34078756" w:rsidR="00ED449F" w:rsidRDefault="00ED449F" w:rsidP="006603AD">
      <w:pPr>
        <w:pStyle w:val="Odlomakpopisa"/>
        <w:ind w:left="1416" w:firstLine="708"/>
      </w:pPr>
      <w:r>
        <w:t xml:space="preserve">Kapitalne pomoći iz državnog proračuna ostvarene su </w:t>
      </w:r>
      <w:r w:rsidR="00BB1256">
        <w:t xml:space="preserve">od Ministarstva kulture </w:t>
      </w:r>
      <w:r>
        <w:t xml:space="preserve">u iznosu od 250.000,00 kuna za projekt konzervacije i sanacije Kaštela </w:t>
      </w:r>
      <w:proofErr w:type="spellStart"/>
      <w:r>
        <w:t>Rota</w:t>
      </w:r>
      <w:proofErr w:type="spellEnd"/>
      <w:r>
        <w:t xml:space="preserve"> u </w:t>
      </w:r>
      <w:proofErr w:type="spellStart"/>
      <w:r>
        <w:t>Momjanu</w:t>
      </w:r>
      <w:proofErr w:type="spellEnd"/>
      <w:r>
        <w:t xml:space="preserve"> te od Ministarstva unutarnjih poslova 112.886,62 kuna za sanaciju opasnih mjesta.</w:t>
      </w:r>
    </w:p>
    <w:p w14:paraId="65925033" w14:textId="41F3B51F" w:rsidR="00EF2B4A" w:rsidRDefault="00ED449F" w:rsidP="00ED449F">
      <w:pPr>
        <w:pStyle w:val="Odlomakpopisa"/>
        <w:ind w:left="1416" w:firstLine="708"/>
      </w:pPr>
      <w:r>
        <w:t xml:space="preserve">Za projekt konzervacije i sanacije Kaštela </w:t>
      </w:r>
      <w:proofErr w:type="spellStart"/>
      <w:r>
        <w:t>Rota</w:t>
      </w:r>
      <w:proofErr w:type="spellEnd"/>
      <w:r>
        <w:t xml:space="preserve"> u </w:t>
      </w:r>
      <w:proofErr w:type="spellStart"/>
      <w:r>
        <w:t>Momjanu</w:t>
      </w:r>
      <w:proofErr w:type="spellEnd"/>
      <w:r>
        <w:t xml:space="preserve"> ostvarena </w:t>
      </w:r>
      <w:r w:rsidR="00144E3E">
        <w:t xml:space="preserve">je </w:t>
      </w:r>
      <w:r>
        <w:t>kapitalna pomoć i od Istarske županije u iznosu od 100.000,00 kuna.</w:t>
      </w:r>
    </w:p>
    <w:p w14:paraId="30C35BFB" w14:textId="243F95DF" w:rsidR="008A3B02" w:rsidRPr="00E80A17" w:rsidRDefault="008A3B02" w:rsidP="00ED449F">
      <w:pPr>
        <w:pStyle w:val="Odlomakpopisa"/>
        <w:ind w:left="1416" w:firstLine="708"/>
      </w:pPr>
      <w:r>
        <w:t>U prethodn</w:t>
      </w:r>
      <w:r w:rsidR="00ED449F">
        <w:t>oj</w:t>
      </w:r>
      <w:r>
        <w:t xml:space="preserve"> godin</w:t>
      </w:r>
      <w:r w:rsidR="00ED449F">
        <w:t>i</w:t>
      </w:r>
      <w:r>
        <w:t xml:space="preserve"> ostvaren je znatno veći iznos pomoći i to od Ministarstva regionalnog razvoja i fondova Europske unije po osnovi sufinanciranja projekta Energetske obnove zgrade dje</w:t>
      </w:r>
      <w:r w:rsidR="00D61BA6">
        <w:t>č</w:t>
      </w:r>
      <w:r>
        <w:t xml:space="preserve">jeg vrtića i projekta Izgradnje </w:t>
      </w:r>
      <w:proofErr w:type="spellStart"/>
      <w:r>
        <w:t>reciklažnog</w:t>
      </w:r>
      <w:proofErr w:type="spellEnd"/>
      <w:r>
        <w:t xml:space="preserve"> dvorišta.</w:t>
      </w:r>
    </w:p>
    <w:p w14:paraId="42628FD9" w14:textId="77777777" w:rsidR="00C24553" w:rsidRPr="00E80A17" w:rsidRDefault="00C24553" w:rsidP="00236747">
      <w:pPr>
        <w:ind w:left="1416"/>
        <w:rPr>
          <w:sz w:val="20"/>
          <w:szCs w:val="20"/>
        </w:rPr>
      </w:pPr>
    </w:p>
    <w:p w14:paraId="5A355EEF" w14:textId="1E8BAFB0" w:rsidR="005712E4" w:rsidRPr="00A37D06" w:rsidRDefault="005712E4" w:rsidP="005712E4">
      <w:pPr>
        <w:ind w:left="1416"/>
      </w:pPr>
      <w:r w:rsidRPr="00E80A17">
        <w:t>1.2.</w:t>
      </w:r>
      <w:r w:rsidR="0005555F">
        <w:t>3</w:t>
      </w:r>
      <w:r w:rsidRPr="00E80A17">
        <w:t xml:space="preserve">. Tekuće pomoći izravnanja za decentralizirane funkcije vatrogastva ostvarene su u iznosu od </w:t>
      </w:r>
      <w:r w:rsidR="00624204">
        <w:t>686.019,00</w:t>
      </w:r>
      <w:r w:rsidRPr="00E80A17">
        <w:t xml:space="preserve"> kuna</w:t>
      </w:r>
      <w:r w:rsidR="008A3B02">
        <w:t>.</w:t>
      </w:r>
      <w:r w:rsidRPr="00E80A17">
        <w:t xml:space="preserve"> Navedena sredstva doznačuju se </w:t>
      </w:r>
      <w:r w:rsidR="00E018CC" w:rsidRPr="00E80A17">
        <w:t xml:space="preserve">iz državnog proračuna </w:t>
      </w:r>
      <w:r w:rsidRPr="00E80A17">
        <w:t xml:space="preserve">direktno na </w:t>
      </w:r>
      <w:r w:rsidR="00E018CC" w:rsidRPr="00E80A17">
        <w:t>transakcijski</w:t>
      </w:r>
      <w:r w:rsidRPr="00E80A17">
        <w:t xml:space="preserve"> račun Grada Umaga k</w:t>
      </w:r>
      <w:r w:rsidR="00F93FBE" w:rsidRPr="00E80A17">
        <w:t>oji je</w:t>
      </w:r>
      <w:r w:rsidRPr="00E80A17">
        <w:t xml:space="preserve"> </w:t>
      </w:r>
      <w:r w:rsidRPr="00A37D06">
        <w:t>nositelj financiranja JVP Umag.</w:t>
      </w:r>
    </w:p>
    <w:p w14:paraId="4C87CE44" w14:textId="77777777" w:rsidR="005712E4" w:rsidRPr="00A37D06" w:rsidRDefault="005712E4" w:rsidP="005712E4">
      <w:pPr>
        <w:ind w:left="1440"/>
        <w:rPr>
          <w:sz w:val="20"/>
          <w:szCs w:val="20"/>
        </w:rPr>
      </w:pPr>
    </w:p>
    <w:p w14:paraId="1100DF92" w14:textId="7D39DDC5" w:rsidR="005712E4" w:rsidRPr="00E80A17" w:rsidRDefault="005712E4" w:rsidP="005712E4">
      <w:pPr>
        <w:ind w:left="1440"/>
      </w:pPr>
      <w:r w:rsidRPr="00A37D06">
        <w:t>1.2.</w:t>
      </w:r>
      <w:r w:rsidR="00B75B07" w:rsidRPr="00A37D06">
        <w:t>4</w:t>
      </w:r>
      <w:r w:rsidRPr="00A37D06">
        <w:t>. Pomoći proračunskim korisnicima iz proračuna koji im nije nadležan ostvare</w:t>
      </w:r>
      <w:r w:rsidRPr="00E80A17">
        <w:t xml:space="preserve">ne su u ukupnom iznosu od </w:t>
      </w:r>
      <w:r w:rsidR="002B06F0">
        <w:t>840.632,26</w:t>
      </w:r>
      <w:r w:rsidRPr="00E80A17">
        <w:t xml:space="preserve"> kuna</w:t>
      </w:r>
      <w:r w:rsidR="00376616" w:rsidRPr="00E80A17">
        <w:t xml:space="preserve"> ili </w:t>
      </w:r>
      <w:r w:rsidR="002B06F0">
        <w:t>20%</w:t>
      </w:r>
      <w:r w:rsidR="00376616" w:rsidRPr="00E80A17">
        <w:t xml:space="preserve"> </w:t>
      </w:r>
      <w:r w:rsidR="002B06F0">
        <w:t xml:space="preserve">više </w:t>
      </w:r>
      <w:r w:rsidR="008F3D85">
        <w:t>od</w:t>
      </w:r>
      <w:r w:rsidR="00FA3D86" w:rsidRPr="00E80A17">
        <w:t xml:space="preserve"> </w:t>
      </w:r>
      <w:r w:rsidR="00376616" w:rsidRPr="00E80A17">
        <w:t>plana</w:t>
      </w:r>
      <w:r w:rsidR="007E1A73">
        <w:t xml:space="preserve"> i </w:t>
      </w:r>
      <w:r w:rsidR="002B06F0">
        <w:t>36</w:t>
      </w:r>
      <w:r w:rsidR="007E1A73">
        <w:t xml:space="preserve">% </w:t>
      </w:r>
      <w:r w:rsidR="008F3D85">
        <w:t>više</w:t>
      </w:r>
      <w:r w:rsidR="007E1A73">
        <w:t xml:space="preserve"> u odnosu na 20</w:t>
      </w:r>
      <w:r w:rsidR="0005555F">
        <w:t>2</w:t>
      </w:r>
      <w:r w:rsidR="008A3B02">
        <w:t>1</w:t>
      </w:r>
      <w:r w:rsidR="007E1A73">
        <w:t>. godin</w:t>
      </w:r>
      <w:r w:rsidR="002B06F0">
        <w:t>u</w:t>
      </w:r>
      <w:r w:rsidR="007A43B0" w:rsidRPr="00E80A17">
        <w:t>.</w:t>
      </w:r>
      <w:r w:rsidR="007456D9" w:rsidRPr="00E80A17">
        <w:t xml:space="preserve"> </w:t>
      </w:r>
    </w:p>
    <w:p w14:paraId="0C4C4FB7" w14:textId="38EE628D" w:rsidR="005712E4" w:rsidRPr="00E80A17" w:rsidRDefault="005712E4" w:rsidP="006D0A03">
      <w:pPr>
        <w:ind w:left="1416" w:firstLine="708"/>
      </w:pPr>
      <w:r w:rsidRPr="00E80A17">
        <w:t xml:space="preserve">Dječji vrtić Buje ostvario je pomoći u ukupnom iznosu od </w:t>
      </w:r>
      <w:r w:rsidR="006D0A03">
        <w:t>298.019,36</w:t>
      </w:r>
      <w:r w:rsidR="00336AC4" w:rsidRPr="00E80A17">
        <w:t xml:space="preserve"> </w:t>
      </w:r>
      <w:r w:rsidRPr="00E80A17">
        <w:t>kuna</w:t>
      </w:r>
      <w:r w:rsidR="006D0A03">
        <w:t>.</w:t>
      </w:r>
      <w:r w:rsidRPr="00E80A17">
        <w:t xml:space="preserve"> </w:t>
      </w:r>
      <w:r w:rsidR="006D0A03">
        <w:t>O</w:t>
      </w:r>
      <w:r w:rsidRPr="00E80A17">
        <w:t>d</w:t>
      </w:r>
      <w:r w:rsidR="006D0A03">
        <w:t xml:space="preserve"> </w:t>
      </w:r>
      <w:r w:rsidRPr="00E80A17">
        <w:t>Ministarstva znanosti, obrazovanja i sporta za provođenje</w:t>
      </w:r>
      <w:r w:rsidR="006D0A03">
        <w:t xml:space="preserve"> </w:t>
      </w:r>
      <w:r w:rsidRPr="00E80A17">
        <w:t xml:space="preserve">programa </w:t>
      </w:r>
      <w:proofErr w:type="spellStart"/>
      <w:r w:rsidRPr="00E80A17">
        <w:t>predškole</w:t>
      </w:r>
      <w:proofErr w:type="spellEnd"/>
      <w:r w:rsidR="006D0A03">
        <w:t xml:space="preserve"> i </w:t>
      </w:r>
      <w:r w:rsidR="003537B9" w:rsidRPr="00E80A17">
        <w:t xml:space="preserve">programa za djecu s teškoćama u integraciji </w:t>
      </w:r>
      <w:r w:rsidR="006D0A03">
        <w:t xml:space="preserve">ostvareno je ukupno  30.900,00 kuna pomoći, dok je od susjednih Općina Grožnjan i Oprtalj za sufinanciranje </w:t>
      </w:r>
      <w:r w:rsidR="00012B0B">
        <w:t xml:space="preserve">troškova </w:t>
      </w:r>
      <w:r w:rsidR="006D0A03">
        <w:t>boravka djece ostvareno 267.119,36 kuna pomoći.</w:t>
      </w:r>
    </w:p>
    <w:p w14:paraId="5B70E020" w14:textId="4C53B1E3" w:rsidR="00D1293A" w:rsidRPr="00E80A17" w:rsidRDefault="005712E4" w:rsidP="006D0A03">
      <w:pPr>
        <w:ind w:left="1416" w:firstLine="708"/>
      </w:pPr>
      <w:r w:rsidRPr="00E80A17">
        <w:t xml:space="preserve">Talijanski dječji vrtić Mrvica ostvario je pomoći u ukupnom iznosu od </w:t>
      </w:r>
      <w:r w:rsidR="00012B0B">
        <w:t>364.665,28</w:t>
      </w:r>
      <w:r w:rsidRPr="00E80A17">
        <w:t xml:space="preserve"> kuna</w:t>
      </w:r>
      <w:r w:rsidR="006D0A03">
        <w:t>. O</w:t>
      </w:r>
      <w:r w:rsidRPr="00E80A17">
        <w:t>d</w:t>
      </w:r>
      <w:r w:rsidR="006D0A03">
        <w:t xml:space="preserve"> </w:t>
      </w:r>
      <w:r w:rsidR="00D1293A" w:rsidRPr="00E80A17">
        <w:t>Ministarstva znanosti, obrazovanja i sporta za provođenje</w:t>
      </w:r>
    </w:p>
    <w:p w14:paraId="14530B9C" w14:textId="236DCF82" w:rsidR="00D1293A" w:rsidRPr="00E80A17" w:rsidRDefault="00D1293A" w:rsidP="00EC4EEA">
      <w:pPr>
        <w:ind w:left="1416"/>
      </w:pPr>
      <w:r w:rsidRPr="00E80A17">
        <w:t xml:space="preserve">programa </w:t>
      </w:r>
      <w:proofErr w:type="spellStart"/>
      <w:r w:rsidRPr="00E80A17">
        <w:t>predškole</w:t>
      </w:r>
      <w:proofErr w:type="spellEnd"/>
      <w:r w:rsidR="006D0A03">
        <w:t xml:space="preserve"> i </w:t>
      </w:r>
      <w:r w:rsidR="00EC4EEA">
        <w:t>za rad vrtića nacionalnih manjina ostvareno je ukupno 57.150,00</w:t>
      </w:r>
      <w:r w:rsidRPr="00E80A17">
        <w:t xml:space="preserve"> </w:t>
      </w:r>
      <w:r w:rsidR="00EC4EEA">
        <w:t xml:space="preserve">kuna, a od susjednih Općina Grožnjan i Oprtalj za sufinanciranje </w:t>
      </w:r>
      <w:r w:rsidR="00012B0B">
        <w:t xml:space="preserve">troškova </w:t>
      </w:r>
      <w:r w:rsidR="00EC4EEA">
        <w:t xml:space="preserve">boravka djece realizirano je 307.515,28 kuna pomoći. </w:t>
      </w:r>
      <w:r w:rsidRPr="00E80A17">
        <w:t xml:space="preserve">                  </w:t>
      </w:r>
    </w:p>
    <w:p w14:paraId="280974A1" w14:textId="36228B7A" w:rsidR="00AB2677" w:rsidRDefault="005712E4" w:rsidP="00AB2677">
      <w:pPr>
        <w:ind w:left="1416" w:firstLine="708"/>
      </w:pPr>
      <w:r w:rsidRPr="00E80A17">
        <w:t xml:space="preserve">Pučko otvoreno učilište ostvarilo je pomoći u ukupnom iznosu od </w:t>
      </w:r>
      <w:r w:rsidR="00EC4EEA">
        <w:t>177.947,62</w:t>
      </w:r>
      <w:r w:rsidRPr="00E80A17">
        <w:t xml:space="preserve"> kuna</w:t>
      </w:r>
      <w:r w:rsidR="00EC4EEA">
        <w:t xml:space="preserve">. Od </w:t>
      </w:r>
      <w:r w:rsidR="00966F7C" w:rsidRPr="00E80A17">
        <w:t>Ministarstva kulture</w:t>
      </w:r>
      <w:r w:rsidR="00AB2677">
        <w:t xml:space="preserve"> ostvarena je tekuća pomoć za sufinanciranje manifestacije </w:t>
      </w:r>
      <w:proofErr w:type="spellStart"/>
      <w:r w:rsidR="00AB2677">
        <w:t>Pišćaci</w:t>
      </w:r>
      <w:proofErr w:type="spellEnd"/>
      <w:r w:rsidR="00AB2677">
        <w:t xml:space="preserve"> i gunjci u iznosu od 5.000,00 kuna te kapitalne pomoći za nabavu knjiga za Gradsku knjižnicu u iznosu od 20.000,00 kuna i 100.000,00 kuna za projekt uređenja čitaonice. Od </w:t>
      </w:r>
      <w:r w:rsidR="00966F7C">
        <w:t xml:space="preserve">Agencije za plaćanja u poljoprivredi, ribarstvu i ruralnom razvoju kao potporu lokalnom razvoju u okviru inicijative LEADER </w:t>
      </w:r>
      <w:r w:rsidR="00AB2677">
        <w:t>ostvarena je kapitalna pomoć u iznosu od 9.947,62 kuna. Istarska županija je Pučkom otvorenom učilištu Buje doznačila tekuće pomoći u ukupnom iznosu od 43.000,00 kuna za sufinanciranje projekata i manifestacija (</w:t>
      </w:r>
      <w:proofErr w:type="spellStart"/>
      <w:r w:rsidR="00AB2677">
        <w:t>Pišćaci</w:t>
      </w:r>
      <w:proofErr w:type="spellEnd"/>
      <w:r w:rsidR="00AB2677">
        <w:t xml:space="preserve"> i gunjci, ciklus radionica etno glazbe Istre, ciklus predavanja kaštel </w:t>
      </w:r>
      <w:proofErr w:type="spellStart"/>
      <w:r w:rsidR="00AB2677">
        <w:t>Rota</w:t>
      </w:r>
      <w:proofErr w:type="spellEnd"/>
      <w:r w:rsidR="00AB2677">
        <w:t xml:space="preserve"> u </w:t>
      </w:r>
      <w:proofErr w:type="spellStart"/>
      <w:r w:rsidR="00AB2677">
        <w:t>Momjanu</w:t>
      </w:r>
      <w:proofErr w:type="spellEnd"/>
      <w:r w:rsidR="00AB2677">
        <w:t xml:space="preserve">, </w:t>
      </w:r>
      <w:r w:rsidR="00144E3E">
        <w:t xml:space="preserve">nabava </w:t>
      </w:r>
      <w:r w:rsidR="00AB2677">
        <w:t>promotivn</w:t>
      </w:r>
      <w:r w:rsidR="00144E3E">
        <w:t>og</w:t>
      </w:r>
      <w:r w:rsidR="00AB2677">
        <w:t xml:space="preserve"> materijal</w:t>
      </w:r>
      <w:r w:rsidR="00144E3E">
        <w:t>a</w:t>
      </w:r>
      <w:r w:rsidR="00AB2677">
        <w:t xml:space="preserve"> za Kuću kaštela u </w:t>
      </w:r>
      <w:proofErr w:type="spellStart"/>
      <w:r w:rsidR="00AB2677">
        <w:t>Momjanu</w:t>
      </w:r>
      <w:proofErr w:type="spellEnd"/>
      <w:r w:rsidR="00AB2677">
        <w:t xml:space="preserve">). </w:t>
      </w:r>
    </w:p>
    <w:p w14:paraId="23E0ED9B" w14:textId="398B09AE" w:rsidR="00D1293A" w:rsidRDefault="00012B0B" w:rsidP="0076416E">
      <w:pPr>
        <w:ind w:left="1416" w:firstLine="708"/>
      </w:pPr>
      <w:r w:rsidRPr="00012B0B">
        <w:t>U odnosu na prethodnu godinu</w:t>
      </w:r>
      <w:r>
        <w:t>,</w:t>
      </w:r>
      <w:r w:rsidRPr="00012B0B">
        <w:t xml:space="preserve"> dječji vrtići</w:t>
      </w:r>
      <w:r w:rsidR="00F87724">
        <w:t xml:space="preserve"> su</w:t>
      </w:r>
      <w:r w:rsidRPr="00012B0B">
        <w:t xml:space="preserve"> ostvarili veći iznos pomoći po osnovi sufinanciranja troškova boravka djece radi povećanja ekonomske cijene smještaja i većeg broja korisnika s područja susjednih općina. Pučko otvoreno učilište je u odnosu na prethodnu godinu realiziralo veći iznos kapitalnih pomoći.</w:t>
      </w:r>
    </w:p>
    <w:p w14:paraId="6A67BF66" w14:textId="77777777" w:rsidR="00012B0B" w:rsidRPr="00012B0B" w:rsidRDefault="00012B0B" w:rsidP="00012B0B">
      <w:pPr>
        <w:ind w:left="1410"/>
      </w:pPr>
    </w:p>
    <w:p w14:paraId="7847A23F" w14:textId="6F026BB4" w:rsidR="009D4269" w:rsidRPr="00A37D06" w:rsidRDefault="005712E4" w:rsidP="008D1244">
      <w:pPr>
        <w:ind w:left="1410"/>
      </w:pPr>
      <w:r w:rsidRPr="00A37D06">
        <w:t>1.2.</w:t>
      </w:r>
      <w:r w:rsidR="00B75B07" w:rsidRPr="00A37D06">
        <w:t>5</w:t>
      </w:r>
      <w:r w:rsidRPr="00A37D06">
        <w:t xml:space="preserve">. Pomoći iz državnog proračuna temeljem prijenosa EU sredstava </w:t>
      </w:r>
      <w:r w:rsidR="00012B0B">
        <w:t xml:space="preserve">u 2022. godini </w:t>
      </w:r>
      <w:r w:rsidR="009D4269" w:rsidRPr="00A37D06">
        <w:t>nisu realizirane</w:t>
      </w:r>
      <w:r w:rsidR="00012B0B">
        <w:t xml:space="preserve">, dok su u </w:t>
      </w:r>
      <w:r w:rsidR="009D4269" w:rsidRPr="00A37D06">
        <w:t>pretho</w:t>
      </w:r>
      <w:r w:rsidR="00983C11" w:rsidRPr="00A37D06">
        <w:t>d</w:t>
      </w:r>
      <w:r w:rsidR="009D4269" w:rsidRPr="00A37D06">
        <w:t>n</w:t>
      </w:r>
      <w:r w:rsidR="00012B0B">
        <w:t>oj</w:t>
      </w:r>
      <w:r w:rsidR="009D4269" w:rsidRPr="00A37D06">
        <w:t xml:space="preserve"> godin</w:t>
      </w:r>
      <w:r w:rsidR="00012B0B">
        <w:t>i</w:t>
      </w:r>
      <w:r w:rsidR="009D4269" w:rsidRPr="00A37D06">
        <w:t xml:space="preserve"> ostvarene pomoći u iznosu od </w:t>
      </w:r>
      <w:r w:rsidR="00012B0B">
        <w:t>1.208.773,00 kuna</w:t>
      </w:r>
      <w:r w:rsidR="009D4269" w:rsidRPr="00A37D06">
        <w:t xml:space="preserve"> po osnovi refundacije sredstava za projekt</w:t>
      </w:r>
      <w:r w:rsidR="00EC3F79" w:rsidRPr="00A37D06">
        <w:t>e</w:t>
      </w:r>
      <w:r w:rsidR="009D4269" w:rsidRPr="00A37D06">
        <w:t xml:space="preserve"> Energetske obnove zgrade Uprave i zgrade Dječjeg vrtića.</w:t>
      </w:r>
    </w:p>
    <w:p w14:paraId="71775C2E" w14:textId="77777777" w:rsidR="005712E4" w:rsidRPr="00A37D06" w:rsidRDefault="005712E4" w:rsidP="005712E4">
      <w:pPr>
        <w:pStyle w:val="Uvuenotijeloteksta"/>
        <w:ind w:left="0"/>
        <w:rPr>
          <w:sz w:val="20"/>
          <w:szCs w:val="20"/>
        </w:rPr>
      </w:pPr>
    </w:p>
    <w:p w14:paraId="0B1851D1" w14:textId="30A6E685" w:rsidR="005712E4" w:rsidRPr="00A37D06" w:rsidRDefault="005712E4" w:rsidP="005712E4">
      <w:pPr>
        <w:pStyle w:val="Uvuenotijeloteksta"/>
      </w:pPr>
      <w:r w:rsidRPr="00A37D06">
        <w:t xml:space="preserve">1.3. Prihodi od imovine ostvareni su u ukupnom iznosu od </w:t>
      </w:r>
      <w:r w:rsidR="00A2194F">
        <w:t>1.514.223,77</w:t>
      </w:r>
      <w:r w:rsidR="00CC35C7" w:rsidRPr="00A37D06">
        <w:t xml:space="preserve"> </w:t>
      </w:r>
      <w:r w:rsidRPr="00A37D06">
        <w:t xml:space="preserve">kuna ili </w:t>
      </w:r>
      <w:r w:rsidR="00A2194F">
        <w:t>97</w:t>
      </w:r>
      <w:r w:rsidRPr="00A37D06">
        <w:t xml:space="preserve">% </w:t>
      </w:r>
      <w:r w:rsidR="003D33A0" w:rsidRPr="00A37D06">
        <w:t xml:space="preserve"> od </w:t>
      </w:r>
      <w:r w:rsidRPr="00A37D06">
        <w:t xml:space="preserve">plana i </w:t>
      </w:r>
      <w:r w:rsidR="00A2194F">
        <w:t>3</w:t>
      </w:r>
      <w:r w:rsidRPr="00A37D06">
        <w:t xml:space="preserve">% </w:t>
      </w:r>
      <w:r w:rsidR="00A2194F">
        <w:t>viš</w:t>
      </w:r>
      <w:r w:rsidR="00964057" w:rsidRPr="00A37D06">
        <w:t>e</w:t>
      </w:r>
      <w:r w:rsidRPr="00A37D06">
        <w:t xml:space="preserve"> u odnosu na</w:t>
      </w:r>
      <w:r w:rsidR="00192681" w:rsidRPr="00A37D06">
        <w:t xml:space="preserve"> </w:t>
      </w:r>
      <w:r w:rsidRPr="00A37D06">
        <w:t>prethodn</w:t>
      </w:r>
      <w:r w:rsidR="00A2194F">
        <w:t>u</w:t>
      </w:r>
      <w:r w:rsidRPr="00A37D06">
        <w:t xml:space="preserve"> godin</w:t>
      </w:r>
      <w:r w:rsidR="00A2194F">
        <w:t>u</w:t>
      </w:r>
      <w:r w:rsidRPr="00A37D06">
        <w:t xml:space="preserve">. </w:t>
      </w:r>
    </w:p>
    <w:p w14:paraId="3F077134" w14:textId="77777777" w:rsidR="005712E4" w:rsidRPr="00A37D06" w:rsidRDefault="005712E4" w:rsidP="005712E4">
      <w:pPr>
        <w:pStyle w:val="Uvuenotijeloteksta"/>
      </w:pPr>
    </w:p>
    <w:p w14:paraId="50A888A9" w14:textId="5E049FA8" w:rsidR="00394CC8" w:rsidRPr="004A7618" w:rsidRDefault="005712E4" w:rsidP="00394CC8">
      <w:pPr>
        <w:pStyle w:val="Uvuenotijeloteksta"/>
        <w:ind w:left="1416"/>
      </w:pPr>
      <w:r w:rsidRPr="00A37D06">
        <w:t xml:space="preserve">1.3.1. </w:t>
      </w:r>
      <w:r w:rsidR="00394CC8" w:rsidRPr="00A37D06">
        <w:t xml:space="preserve">Prihodi od financijske imovine ostvareni su u iznosu od </w:t>
      </w:r>
      <w:r w:rsidR="00A2194F">
        <w:t>123.872,77</w:t>
      </w:r>
      <w:r w:rsidR="00394CC8" w:rsidRPr="00A37D06">
        <w:t xml:space="preserve"> kuna</w:t>
      </w:r>
      <w:r w:rsidR="00A2194F">
        <w:t xml:space="preserve"> što odgovara realizaciji u </w:t>
      </w:r>
      <w:r w:rsidR="00394CC8" w:rsidRPr="00A37D06">
        <w:t>prethodn</w:t>
      </w:r>
      <w:r w:rsidR="00A2194F">
        <w:t>oj</w:t>
      </w:r>
      <w:r w:rsidR="00394CC8" w:rsidRPr="00A37D06">
        <w:t xml:space="preserve"> godin</w:t>
      </w:r>
      <w:r w:rsidR="00A2194F">
        <w:t>i</w:t>
      </w:r>
      <w:r w:rsidR="00CC35C7" w:rsidRPr="00A37D06">
        <w:t>,</w:t>
      </w:r>
      <w:r w:rsidR="00394CC8" w:rsidRPr="00A37D06">
        <w:t xml:space="preserve"> a odnose </w:t>
      </w:r>
      <w:r w:rsidR="00394CC8" w:rsidRPr="004A7618">
        <w:t>se uglavnom na prihod od zateznih kamata.</w:t>
      </w:r>
      <w:r w:rsidR="00091672">
        <w:t xml:space="preserve"> </w:t>
      </w:r>
    </w:p>
    <w:p w14:paraId="42FCC4A0" w14:textId="77777777" w:rsidR="00394CC8" w:rsidRPr="00E80A17" w:rsidRDefault="00394CC8" w:rsidP="00394CC8">
      <w:pPr>
        <w:pStyle w:val="Uvuenotijeloteksta"/>
        <w:ind w:left="1416"/>
      </w:pPr>
    </w:p>
    <w:p w14:paraId="731E8C17" w14:textId="300FBC6F" w:rsidR="00091672" w:rsidRDefault="005712E4" w:rsidP="009A1FE9">
      <w:pPr>
        <w:ind w:left="1416"/>
      </w:pPr>
      <w:r w:rsidRPr="00E80A17">
        <w:t xml:space="preserve">1.3.2. Prihodi od nefinancijske imovine ostvareni su u iznosu od </w:t>
      </w:r>
      <w:r w:rsidR="00C25EF0">
        <w:t>1.356.277,45</w:t>
      </w:r>
      <w:r w:rsidR="007540A6">
        <w:t xml:space="preserve"> </w:t>
      </w:r>
      <w:r w:rsidRPr="00E80A17">
        <w:t xml:space="preserve">kuna ili </w:t>
      </w:r>
      <w:r w:rsidR="00C25EF0">
        <w:t>3</w:t>
      </w:r>
      <w:r w:rsidRPr="00E80A17">
        <w:t xml:space="preserve">% </w:t>
      </w:r>
      <w:r w:rsidR="00C25EF0">
        <w:t xml:space="preserve">manje </w:t>
      </w:r>
      <w:r w:rsidRPr="00E80A17">
        <w:t>od plan</w:t>
      </w:r>
      <w:r w:rsidR="00192681" w:rsidRPr="00E80A17">
        <w:t xml:space="preserve">a </w:t>
      </w:r>
      <w:r w:rsidRPr="00E80A17">
        <w:t xml:space="preserve">i </w:t>
      </w:r>
      <w:r w:rsidR="00C25EF0">
        <w:t>3</w:t>
      </w:r>
      <w:r w:rsidR="007540A6">
        <w:t>%</w:t>
      </w:r>
      <w:r w:rsidRPr="00E80A17">
        <w:t xml:space="preserve"> </w:t>
      </w:r>
      <w:r w:rsidR="00C25EF0">
        <w:t>viš</w:t>
      </w:r>
      <w:r w:rsidR="007540A6">
        <w:t>e</w:t>
      </w:r>
      <w:r w:rsidRPr="00E80A17">
        <w:t xml:space="preserve"> u odnosu na </w:t>
      </w:r>
      <w:r w:rsidR="00091672">
        <w:t>prethodn</w:t>
      </w:r>
      <w:r w:rsidR="00C25EF0">
        <w:t>u</w:t>
      </w:r>
      <w:r w:rsidR="008F6CA0" w:rsidRPr="00E80A17">
        <w:t xml:space="preserve"> godin</w:t>
      </w:r>
      <w:r w:rsidR="00C25EF0">
        <w:t>u</w:t>
      </w:r>
      <w:r w:rsidR="008F6CA0" w:rsidRPr="00E80A17">
        <w:t>, a odnose se na naknade za koncesije, prihode od zakupa i iznajmljivanja imovine te ostale prihode i naknade za korištenje nefinancijske imovine.</w:t>
      </w:r>
      <w:r w:rsidR="0005034D">
        <w:t xml:space="preserve"> </w:t>
      </w:r>
    </w:p>
    <w:p w14:paraId="738AFCA8" w14:textId="25EABE14" w:rsidR="00AF5BA8" w:rsidRDefault="00091672" w:rsidP="00222B0F">
      <w:pPr>
        <w:ind w:left="1416" w:firstLine="708"/>
      </w:pPr>
      <w:r>
        <w:t xml:space="preserve">Najveći dio odnosi se na prihode od zakupa i iznajmljivanja imovine </w:t>
      </w:r>
      <w:r w:rsidR="00007E10">
        <w:t xml:space="preserve">koji su povećani za </w:t>
      </w:r>
      <w:r w:rsidR="009E7E97">
        <w:t>20</w:t>
      </w:r>
      <w:r w:rsidR="00007E10">
        <w:t xml:space="preserve">%. </w:t>
      </w:r>
      <w:r w:rsidR="009E7E97">
        <w:t>P</w:t>
      </w:r>
      <w:r w:rsidR="00007E10">
        <w:t>ovećanj</w:t>
      </w:r>
      <w:r w:rsidR="009E7E97">
        <w:t>e</w:t>
      </w:r>
      <w:r w:rsidR="00007E10">
        <w:t xml:space="preserve"> je </w:t>
      </w:r>
      <w:r w:rsidR="009E7E97">
        <w:t>nastalo</w:t>
      </w:r>
      <w:r w:rsidR="00007E10">
        <w:t xml:space="preserve"> </w:t>
      </w:r>
      <w:r w:rsidR="009E7E97">
        <w:t xml:space="preserve">zato što je </w:t>
      </w:r>
      <w:r w:rsidR="00007E10">
        <w:t xml:space="preserve">u prvom tromjesečju prethodne godine bila na snazi Odluka o oslobađanju plaćanja zakupnine poslovnih prostora u vlasništvu Grada Buja – Buie i javnih površina i ispred poslovnih objekata kao mjera pomoći poduzetnicima u uvjetima otežanog poslovanja zbog pandemije korona virusa COVID-19. Osim toga, u </w:t>
      </w:r>
      <w:r w:rsidR="009E7E97">
        <w:t>2022.</w:t>
      </w:r>
      <w:r w:rsidR="00007E10">
        <w:t xml:space="preserve"> godini po okončanju natječajnog postupka i sklopljenim</w:t>
      </w:r>
      <w:r w:rsidR="00AF5BA8">
        <w:t xml:space="preserve"> novim Ugovorima o zakupu poljoprivrednog zemljišta u vlasništvu RH došlo </w:t>
      </w:r>
      <w:r w:rsidR="009E7E97">
        <w:t xml:space="preserve">je </w:t>
      </w:r>
      <w:r w:rsidR="00AF5BA8">
        <w:t>do povećanja prihoda od zakupa poljoprivrednog zemljišta.</w:t>
      </w:r>
      <w:r w:rsidR="009E7E97">
        <w:t xml:space="preserve"> Nakon dvogodišnje stanke zbog pandemije, u 2022. godini održana je manifestacija Dani grožđa te je ostvaren prihod i po osnovi zakupa površina za vrijeme održavanja iste.</w:t>
      </w:r>
    </w:p>
    <w:p w14:paraId="0D6F696B" w14:textId="76D74C01" w:rsidR="00091672" w:rsidRDefault="00AF5BA8" w:rsidP="0076416E">
      <w:pPr>
        <w:ind w:left="1416" w:firstLine="708"/>
      </w:pPr>
      <w:r>
        <w:t>Istovremeno su prihodi od naknada za korištenje nefinancijske imovine u odnosu na prethodn</w:t>
      </w:r>
      <w:r w:rsidR="001B2213">
        <w:t>u</w:t>
      </w:r>
      <w:r>
        <w:t xml:space="preserve"> godin</w:t>
      </w:r>
      <w:r w:rsidR="001B2213">
        <w:t>u manji za 176.746,97 kuna. U</w:t>
      </w:r>
      <w:r>
        <w:t xml:space="preserve"> prethodnoj godini temeljem Rješenja HAKOM-a od Hrvatskog telekoma d.d. naplaćena </w:t>
      </w:r>
      <w:r w:rsidR="001B2213">
        <w:t xml:space="preserve">je </w:t>
      </w:r>
      <w:r>
        <w:t>naknada za služnost u većem iznosu.</w:t>
      </w:r>
      <w:r w:rsidR="00007E10">
        <w:t xml:space="preserve"> </w:t>
      </w:r>
    </w:p>
    <w:p w14:paraId="32B7E1D5" w14:textId="77777777" w:rsidR="009A1FE9" w:rsidRPr="00E80A17" w:rsidRDefault="009A1FE9" w:rsidP="00827F71">
      <w:pPr>
        <w:pStyle w:val="Uvuenotijeloteksta"/>
        <w:ind w:left="0"/>
        <w:rPr>
          <w:sz w:val="20"/>
          <w:szCs w:val="20"/>
        </w:rPr>
      </w:pPr>
    </w:p>
    <w:p w14:paraId="535F8A16" w14:textId="54DF2A8F" w:rsidR="005712E4" w:rsidRPr="00A37D06" w:rsidRDefault="005712E4" w:rsidP="005712E4">
      <w:pPr>
        <w:pStyle w:val="Uvuenotijeloteksta"/>
        <w:ind w:left="1416"/>
      </w:pPr>
      <w:r w:rsidRPr="00E80A17">
        <w:t xml:space="preserve">1.3.3. Prihodi od kamata na dane zajmove odnose se na prihode od ugovorenih kamata po osnovi odobrenih obročnih otplata temeljem sklopljenih ugovora o </w:t>
      </w:r>
      <w:r w:rsidRPr="00A37D06">
        <w:t>kupoprodaji nekretnina i izdanih rješenja o komunalnom doprinos</w:t>
      </w:r>
      <w:r w:rsidR="00827F71" w:rsidRPr="00A37D06">
        <w:t>u</w:t>
      </w:r>
      <w:r w:rsidR="00C103CD" w:rsidRPr="00A37D06">
        <w:t>,</w:t>
      </w:r>
      <w:r w:rsidRPr="00A37D06">
        <w:t xml:space="preserve"> </w:t>
      </w:r>
      <w:r w:rsidR="00827F71" w:rsidRPr="00A37D06">
        <w:t>a realiziran</w:t>
      </w:r>
      <w:r w:rsidR="00C103CD" w:rsidRPr="00A37D06">
        <w:t>i</w:t>
      </w:r>
      <w:r w:rsidR="00827F71" w:rsidRPr="00A37D06">
        <w:t xml:space="preserve"> su u iznosu od </w:t>
      </w:r>
      <w:r w:rsidR="00247288">
        <w:t>34.073,55</w:t>
      </w:r>
      <w:r w:rsidR="00827F71" w:rsidRPr="00A37D06">
        <w:t xml:space="preserve"> kuna što je za </w:t>
      </w:r>
      <w:r w:rsidR="00247288">
        <w:t>34% više od ostvarenog 2021. godine. Do povećanja je došlo radi većeg broja odobrenih obročnih otplata.</w:t>
      </w:r>
    </w:p>
    <w:p w14:paraId="13414270" w14:textId="77777777" w:rsidR="005712E4" w:rsidRPr="00A37D06" w:rsidRDefault="005712E4" w:rsidP="005712E4">
      <w:pPr>
        <w:pStyle w:val="Uvuenotijeloteksta"/>
        <w:ind w:left="0"/>
        <w:rPr>
          <w:sz w:val="20"/>
          <w:szCs w:val="20"/>
        </w:rPr>
      </w:pPr>
    </w:p>
    <w:p w14:paraId="499E915D" w14:textId="24631AAC" w:rsidR="005712E4" w:rsidRDefault="005712E4" w:rsidP="005712E4">
      <w:pPr>
        <w:pStyle w:val="Uvuenotijeloteksta"/>
      </w:pPr>
      <w:r w:rsidRPr="00A37D06">
        <w:t>1.4. Prihodi od upravnih i administrativnih pristojbi i po posebnim propisima ostvareni su u ukupnom iznosu od</w:t>
      </w:r>
      <w:r w:rsidR="00F33FA8" w:rsidRPr="00A37D06">
        <w:t xml:space="preserve"> </w:t>
      </w:r>
      <w:r w:rsidR="00B1440D">
        <w:t>9.314.109,38</w:t>
      </w:r>
      <w:r w:rsidRPr="00A37D06">
        <w:t xml:space="preserve"> kuna </w:t>
      </w:r>
      <w:r w:rsidR="00F33FA8" w:rsidRPr="00A37D06">
        <w:t xml:space="preserve">što </w:t>
      </w:r>
      <w:r w:rsidR="002848D0" w:rsidRPr="00A37D06">
        <w:t xml:space="preserve">je za 1% </w:t>
      </w:r>
      <w:r w:rsidR="00B1440D">
        <w:t>manje</w:t>
      </w:r>
      <w:r w:rsidR="002848D0" w:rsidRPr="00A37D06">
        <w:t xml:space="preserve"> u odnosu na realizaciju </w:t>
      </w:r>
      <w:r w:rsidR="00B1440D">
        <w:t xml:space="preserve">iz </w:t>
      </w:r>
      <w:r w:rsidR="002848D0">
        <w:t>prethodne godine.</w:t>
      </w:r>
      <w:r w:rsidR="00F33FA8">
        <w:t xml:space="preserve"> U od ukupno planiranog iznosa prihoda za 202</w:t>
      </w:r>
      <w:r w:rsidR="002848D0">
        <w:t>2</w:t>
      </w:r>
      <w:r w:rsidR="00F33FA8">
        <w:t xml:space="preserve">. godinu realizirano je </w:t>
      </w:r>
      <w:r w:rsidR="00B1440D">
        <w:t>84</w:t>
      </w:r>
      <w:r w:rsidRPr="00E80A17">
        <w:t>%</w:t>
      </w:r>
      <w:r w:rsidR="00F33FA8">
        <w:t>.</w:t>
      </w:r>
      <w:r w:rsidRPr="00E80A17">
        <w:t xml:space="preserve"> </w:t>
      </w:r>
    </w:p>
    <w:p w14:paraId="1DF88D4B" w14:textId="77777777" w:rsidR="0075228A" w:rsidRDefault="0075228A" w:rsidP="005712E4">
      <w:pPr>
        <w:pStyle w:val="Uvuenotijeloteksta"/>
      </w:pPr>
    </w:p>
    <w:p w14:paraId="780C71D2" w14:textId="44009E6D" w:rsidR="007B117B" w:rsidRPr="004A7618" w:rsidRDefault="0075228A" w:rsidP="0075228A">
      <w:pPr>
        <w:ind w:left="1416"/>
      </w:pPr>
      <w:r>
        <w:t xml:space="preserve">1.4.1. </w:t>
      </w:r>
      <w:r w:rsidR="007B117B" w:rsidRPr="004A7618">
        <w:t xml:space="preserve">Upravne i administrativne pristojbe odnose se na prihod od prodaje državnih biljega, ostale naknade utvrđene </w:t>
      </w:r>
      <w:r w:rsidR="00C103CD">
        <w:t>g</w:t>
      </w:r>
      <w:r w:rsidR="007B117B" w:rsidRPr="004A7618">
        <w:t xml:space="preserve">radskom </w:t>
      </w:r>
      <w:r w:rsidR="00C103CD">
        <w:t>O</w:t>
      </w:r>
      <w:r w:rsidR="007B117B" w:rsidRPr="004A7618">
        <w:t xml:space="preserve">dlukom i </w:t>
      </w:r>
      <w:r w:rsidR="00C103CD">
        <w:t xml:space="preserve">na </w:t>
      </w:r>
      <w:r w:rsidR="007B117B" w:rsidRPr="004A7618">
        <w:t xml:space="preserve">boravišne pristojbe, a ostvarene su u iznosu od </w:t>
      </w:r>
      <w:r w:rsidR="00B1440D">
        <w:t>397.562,33</w:t>
      </w:r>
      <w:r w:rsidR="007B117B" w:rsidRPr="004A7618">
        <w:t xml:space="preserve"> kuna ili </w:t>
      </w:r>
      <w:r w:rsidR="00B1440D">
        <w:t>20</w:t>
      </w:r>
      <w:r w:rsidR="007B117B" w:rsidRPr="004A7618">
        <w:t xml:space="preserve">% više u odnosu na </w:t>
      </w:r>
      <w:r w:rsidR="002848D0">
        <w:t>prethodn</w:t>
      </w:r>
      <w:r w:rsidR="00B1440D">
        <w:t>u</w:t>
      </w:r>
      <w:r w:rsidR="002848D0">
        <w:t xml:space="preserve"> godin</w:t>
      </w:r>
      <w:r w:rsidR="00B1440D">
        <w:t>u</w:t>
      </w:r>
      <w:r w:rsidR="002848D0">
        <w:t>.</w:t>
      </w:r>
      <w:r w:rsidR="007B117B" w:rsidRPr="004A7618">
        <w:t xml:space="preserve"> U prethodnoj godini realizirano je više prihoda od </w:t>
      </w:r>
      <w:r w:rsidR="00624273">
        <w:t>prodaje državnih biljega, dok je u tekućoj godini došlo do povećanja prihoda od turističkih pristojbi</w:t>
      </w:r>
      <w:r w:rsidR="00B1440D">
        <w:t xml:space="preserve"> za </w:t>
      </w:r>
      <w:r w:rsidR="00314C46">
        <w:t>53%</w:t>
      </w:r>
      <w:r w:rsidR="00624273">
        <w:t>.</w:t>
      </w:r>
    </w:p>
    <w:p w14:paraId="10778100" w14:textId="77777777" w:rsidR="007B117B" w:rsidRPr="004A7618" w:rsidRDefault="007B117B" w:rsidP="007B117B"/>
    <w:p w14:paraId="539C8C47" w14:textId="56148FC1" w:rsidR="007B117B" w:rsidRPr="004A7618" w:rsidRDefault="0075228A" w:rsidP="0075228A">
      <w:pPr>
        <w:ind w:left="1416"/>
      </w:pPr>
      <w:r>
        <w:t xml:space="preserve">1.4.2. </w:t>
      </w:r>
      <w:r w:rsidR="007B117B" w:rsidRPr="004A7618">
        <w:t xml:space="preserve">Prihodi po posebnim propisima ostvareni su u iznosu od </w:t>
      </w:r>
      <w:r w:rsidR="00A70CD7">
        <w:t>1.159.355,51</w:t>
      </w:r>
      <w:r w:rsidR="007B117B" w:rsidRPr="004A7618">
        <w:t xml:space="preserve"> kuna što je za </w:t>
      </w:r>
      <w:r w:rsidR="00A70CD7">
        <w:t>8</w:t>
      </w:r>
      <w:r w:rsidR="007B117B">
        <w:t>%</w:t>
      </w:r>
      <w:r w:rsidR="007B117B" w:rsidRPr="004A7618">
        <w:t xml:space="preserve"> </w:t>
      </w:r>
      <w:r w:rsidR="005F4F7D">
        <w:t>manje</w:t>
      </w:r>
      <w:r w:rsidR="007B117B" w:rsidRPr="004A7618">
        <w:t xml:space="preserve"> u odnosu na</w:t>
      </w:r>
      <w:r w:rsidR="00FB5C03">
        <w:t xml:space="preserve"> </w:t>
      </w:r>
      <w:r w:rsidR="007B117B" w:rsidRPr="004A7618">
        <w:t>prethodn</w:t>
      </w:r>
      <w:r w:rsidR="00A70CD7">
        <w:t>u</w:t>
      </w:r>
      <w:r w:rsidR="007B117B" w:rsidRPr="004A7618">
        <w:t xml:space="preserve"> godin</w:t>
      </w:r>
      <w:r w:rsidR="00A70CD7">
        <w:t>u</w:t>
      </w:r>
      <w:r w:rsidR="007B117B" w:rsidRPr="004A7618">
        <w:t xml:space="preserve">. </w:t>
      </w:r>
      <w:r w:rsidR="007B117B">
        <w:t>Najveći dio ovih prihoda</w:t>
      </w:r>
      <w:r w:rsidR="00C103CD">
        <w:t>, odnosno iznos od</w:t>
      </w:r>
      <w:r>
        <w:t xml:space="preserve"> </w:t>
      </w:r>
      <w:r w:rsidR="00A70CD7">
        <w:t>1.065.616,22</w:t>
      </w:r>
      <w:r w:rsidR="007B117B">
        <w:t xml:space="preserve"> kuna</w:t>
      </w:r>
      <w:r w:rsidR="00C103CD">
        <w:t>,</w:t>
      </w:r>
      <w:r w:rsidR="007B117B">
        <w:t xml:space="preserve"> </w:t>
      </w:r>
      <w:r>
        <w:t>prihod</w:t>
      </w:r>
      <w:r w:rsidR="00C103CD">
        <w:t xml:space="preserve"> je</w:t>
      </w:r>
      <w:r>
        <w:t xml:space="preserve"> proračunskih korisnika po osnovi participacija. U </w:t>
      </w:r>
      <w:r w:rsidR="008F193E">
        <w:t>odnosu</w:t>
      </w:r>
      <w:r>
        <w:t xml:space="preserve"> na prethod</w:t>
      </w:r>
      <w:r w:rsidR="005E63AE">
        <w:t>n</w:t>
      </w:r>
      <w:r>
        <w:t>u godinu pr</w:t>
      </w:r>
      <w:r w:rsidR="00436346">
        <w:t>i</w:t>
      </w:r>
      <w:r>
        <w:t xml:space="preserve">hodi od participacija roditelja u cijene usluge povećani su za </w:t>
      </w:r>
      <w:r w:rsidR="00A70CD7">
        <w:t>6</w:t>
      </w:r>
      <w:r>
        <w:t xml:space="preserve">%. </w:t>
      </w:r>
    </w:p>
    <w:p w14:paraId="37BE713C" w14:textId="0E22595B" w:rsidR="007B117B" w:rsidRPr="004A7618" w:rsidRDefault="007B117B" w:rsidP="0076416E">
      <w:pPr>
        <w:ind w:left="1416" w:firstLine="708"/>
      </w:pPr>
      <w:r w:rsidRPr="004A7618">
        <w:t>U</w:t>
      </w:r>
      <w:r w:rsidR="005F4F7D">
        <w:t xml:space="preserve"> </w:t>
      </w:r>
      <w:r w:rsidRPr="004A7618">
        <w:t>2021. godin</w:t>
      </w:r>
      <w:r w:rsidR="00A70CD7">
        <w:t>i</w:t>
      </w:r>
      <w:r w:rsidRPr="004A7618">
        <w:t xml:space="preserve"> realizirani su prihodi od osiguranja za naknadu šteta na nerazvrstanim cestama i drugoj javnoj infrastrukturi zbog odrona nastalih uslijed snažnog kišnog nevremena u iznosu od 178.355</w:t>
      </w:r>
      <w:r w:rsidR="005F4F7D">
        <w:t>,00</w:t>
      </w:r>
      <w:r w:rsidRPr="004A7618">
        <w:t xml:space="preserve"> kuna</w:t>
      </w:r>
      <w:r w:rsidR="00A70CD7">
        <w:t>, dok je u 2022. godini od osiguranja naplaćen iznos od 16.488,00 kuna.</w:t>
      </w:r>
      <w:r w:rsidRPr="004A7618">
        <w:t xml:space="preserve">  </w:t>
      </w:r>
    </w:p>
    <w:p w14:paraId="62FCCBD5" w14:textId="77777777" w:rsidR="00436346" w:rsidRDefault="00436346" w:rsidP="007B117B"/>
    <w:p w14:paraId="5CF7D2A0" w14:textId="02406BE2" w:rsidR="007B117B" w:rsidRPr="004A7618" w:rsidRDefault="00436346" w:rsidP="00436346">
      <w:pPr>
        <w:ind w:left="1416"/>
      </w:pPr>
      <w:r>
        <w:t xml:space="preserve">1.4.3. </w:t>
      </w:r>
      <w:r w:rsidR="007B117B" w:rsidRPr="004A7618">
        <w:t xml:space="preserve">Komunalni doprinosi i naknade naplaćeni su u ukupnom iznosu od </w:t>
      </w:r>
      <w:r w:rsidR="00A70CD7">
        <w:t>7.757.191,54</w:t>
      </w:r>
      <w:r w:rsidR="007B117B" w:rsidRPr="004A7618">
        <w:t xml:space="preserve"> kuna što </w:t>
      </w:r>
      <w:r w:rsidR="00A70CD7">
        <w:t>gotovo odgovara ostvarenom u 2021. godini. U odnosu na plan za 2022. godinu realizirano je 16% manje prihoda.</w:t>
      </w:r>
      <w:r w:rsidR="007B117B" w:rsidRPr="004A7618">
        <w:t xml:space="preserve"> </w:t>
      </w:r>
    </w:p>
    <w:p w14:paraId="78C6920E" w14:textId="77777777" w:rsidR="00BD058E" w:rsidRDefault="007B117B" w:rsidP="0076416E">
      <w:pPr>
        <w:ind w:left="1416" w:firstLine="708"/>
      </w:pPr>
      <w:r w:rsidRPr="004A7618">
        <w:t xml:space="preserve">Prihodi od komunalne naknade </w:t>
      </w:r>
      <w:r w:rsidR="00A70CD7">
        <w:t>veći su za 7%, a do povećanja je došlo slijedom provedenih izmjera kojima su utvrđeni novi obveznici ili povećane površine postojećih obveznika komunalne naknade. Prihodi od komunalnog doprinosa realizirani su 8% manje u odnosu na prethodnu godinu.</w:t>
      </w:r>
    </w:p>
    <w:p w14:paraId="2C8F1002" w14:textId="77777777" w:rsidR="005712E4" w:rsidRPr="00A37D06" w:rsidRDefault="005712E4" w:rsidP="005712E4">
      <w:pPr>
        <w:pStyle w:val="Uvuenotijeloteksta"/>
        <w:ind w:left="0"/>
        <w:rPr>
          <w:sz w:val="20"/>
          <w:szCs w:val="20"/>
        </w:rPr>
      </w:pPr>
    </w:p>
    <w:p w14:paraId="0765F0CD" w14:textId="4E65540F" w:rsidR="00470FC6" w:rsidRDefault="005712E4" w:rsidP="005712E4">
      <w:pPr>
        <w:pStyle w:val="Uvuenotijeloteksta"/>
      </w:pPr>
      <w:r w:rsidRPr="00E80A17">
        <w:t>1.5. Prihodi od prodaje proizvoda i roba te pruženi</w:t>
      </w:r>
      <w:r w:rsidR="00601284" w:rsidRPr="00E80A17">
        <w:t xml:space="preserve">h usluga i prihodi od donacija </w:t>
      </w:r>
      <w:r w:rsidRPr="00E80A17">
        <w:t xml:space="preserve">realizirani su u iznosu od </w:t>
      </w:r>
      <w:r w:rsidR="00863D75">
        <w:t>284.761,81</w:t>
      </w:r>
      <w:r w:rsidR="0024565A" w:rsidRPr="00E80A17">
        <w:t xml:space="preserve"> kuna</w:t>
      </w:r>
      <w:r w:rsidR="00A447D3">
        <w:t xml:space="preserve"> ili </w:t>
      </w:r>
      <w:r w:rsidR="00863D75">
        <w:t>34</w:t>
      </w:r>
      <w:r w:rsidR="00A447D3">
        <w:t xml:space="preserve">% </w:t>
      </w:r>
      <w:r w:rsidR="00863D75">
        <w:t xml:space="preserve">manje </w:t>
      </w:r>
      <w:r w:rsidR="00A447D3">
        <w:t>u odnosu na prethodn</w:t>
      </w:r>
      <w:r w:rsidR="00863D75">
        <w:t>u</w:t>
      </w:r>
      <w:r w:rsidR="00A447D3">
        <w:t xml:space="preserve"> godin</w:t>
      </w:r>
      <w:r w:rsidR="00863D75">
        <w:t>u, ali</w:t>
      </w:r>
      <w:r w:rsidR="00A447D3">
        <w:t xml:space="preserve"> </w:t>
      </w:r>
      <w:r w:rsidR="00863D75">
        <w:t>9</w:t>
      </w:r>
      <w:r w:rsidR="00A447D3">
        <w:t xml:space="preserve">% </w:t>
      </w:r>
      <w:r w:rsidR="00863D75">
        <w:t xml:space="preserve">više </w:t>
      </w:r>
      <w:r w:rsidR="00A447D3">
        <w:t>od plana</w:t>
      </w:r>
      <w:r w:rsidR="00B05BD4">
        <w:t xml:space="preserve">. </w:t>
      </w:r>
    </w:p>
    <w:p w14:paraId="5E71851C" w14:textId="77777777" w:rsidR="005304D8" w:rsidRDefault="005304D8" w:rsidP="005712E4">
      <w:pPr>
        <w:pStyle w:val="Uvuenotijeloteksta"/>
      </w:pPr>
    </w:p>
    <w:p w14:paraId="68982FFC" w14:textId="55AD6745" w:rsidR="00124C94" w:rsidRDefault="00526B06" w:rsidP="00541AD2">
      <w:pPr>
        <w:pStyle w:val="Uvuenotijeloteksta"/>
        <w:ind w:left="1416"/>
      </w:pPr>
      <w:r>
        <w:t xml:space="preserve">1.5.1. Prihodi od prodaje proizvoda i pruženih usluga ostvareni su u iznosu od </w:t>
      </w:r>
      <w:r w:rsidR="00807C67">
        <w:t>213.294,41</w:t>
      </w:r>
      <w:r>
        <w:t xml:space="preserve"> kuna</w:t>
      </w:r>
      <w:r w:rsidR="00807C67">
        <w:t xml:space="preserve"> ili 4% više u odnosu na prethodnu godinu</w:t>
      </w:r>
      <w:r>
        <w:t xml:space="preserve">. </w:t>
      </w:r>
      <w:r w:rsidR="00124C94">
        <w:t xml:space="preserve">Temeljem Zakona o financiranju vodnog gospodarstva i Ugovora s Hrvatskim vodama, Grad Buje – Buie obavlja poslove evidencije, obračuna i naplate naknade za uređenje voda za što ostvaruje prihod u visini 10% od naplaćenog iznosa. U 2022. godini  je slijedom ažuriranja podataka i povećanog broja obveznika došlo i do povećanja naplaćene naknade za uređenje voda za 8%. Iznos od 160.068,41 kuna odnosi se na </w:t>
      </w:r>
      <w:r w:rsidR="005A6FA2">
        <w:t xml:space="preserve">ostvarenu </w:t>
      </w:r>
      <w:r w:rsidR="00124C94">
        <w:t>naknadu</w:t>
      </w:r>
      <w:r w:rsidR="005A6FA2">
        <w:t xml:space="preserve"> Grada</w:t>
      </w:r>
      <w:r w:rsidR="00124C94">
        <w:t xml:space="preserve">, dok se razlika od </w:t>
      </w:r>
      <w:r w:rsidR="00807C67">
        <w:t>53.226,00</w:t>
      </w:r>
      <w:r w:rsidR="00470FC6">
        <w:t xml:space="preserve"> kuna </w:t>
      </w:r>
      <w:r w:rsidR="00124C94">
        <w:t xml:space="preserve">odnosi </w:t>
      </w:r>
      <w:r w:rsidR="00470FC6">
        <w:t xml:space="preserve">na vlastite prihode proračunskih korisnika. </w:t>
      </w:r>
    </w:p>
    <w:p w14:paraId="22590B02" w14:textId="77777777" w:rsidR="002F47E4" w:rsidRDefault="002F47E4" w:rsidP="00541AD2">
      <w:pPr>
        <w:pStyle w:val="Uvuenotijeloteksta"/>
        <w:ind w:left="1416"/>
      </w:pPr>
    </w:p>
    <w:p w14:paraId="0BED5825" w14:textId="42C841E0" w:rsidR="001B6459" w:rsidRPr="00E80A17" w:rsidRDefault="00610228" w:rsidP="00541AD2">
      <w:pPr>
        <w:pStyle w:val="Uvuenotijeloteksta"/>
        <w:ind w:left="1416"/>
      </w:pPr>
      <w:r>
        <w:t xml:space="preserve">1.5.2. </w:t>
      </w:r>
      <w:r w:rsidR="00470FC6">
        <w:t xml:space="preserve">Prihodi od donacija </w:t>
      </w:r>
      <w:r w:rsidR="00500E0F">
        <w:t xml:space="preserve">u </w:t>
      </w:r>
      <w:r w:rsidR="00B6410B">
        <w:t xml:space="preserve">2022. godini realizirani su u iznosu od 71.467,40 kuna što je za 68% manje u odnosu na prethodnu godinu. Grad Buje – Buie u 2022. godini nije realizirao prihode po osnovi donacija, dok je u prethodnoj godini ostvario kapitalnu donaciju od trgovačkog društva u </w:t>
      </w:r>
      <w:r w:rsidR="00190F1F">
        <w:t>vrijednosti</w:t>
      </w:r>
      <w:r w:rsidR="00B6410B">
        <w:t xml:space="preserve"> od 189.644,81 kuna</w:t>
      </w:r>
      <w:r w:rsidR="00190F1F">
        <w:t>,</w:t>
      </w:r>
      <w:r w:rsidR="00B6410B">
        <w:t xml:space="preserve"> što je najviše utjecalo na manju realizaciju ove skupine prihoda. Donacije ostvarene u 2022. godini odnose se na proračunske korisnike i to </w:t>
      </w:r>
      <w:r w:rsidR="00190F1F">
        <w:t xml:space="preserve">na </w:t>
      </w:r>
      <w:r w:rsidR="00B6410B">
        <w:t>Talijanski dječji vrtić Mrvica u vrijednosti od 71.237,40 kuna primljen</w:t>
      </w:r>
      <w:r w:rsidR="00201E02">
        <w:t>ih</w:t>
      </w:r>
      <w:r w:rsidR="00B6410B">
        <w:t xml:space="preserve"> </w:t>
      </w:r>
      <w:r w:rsidR="00201E02">
        <w:t xml:space="preserve">donacija </w:t>
      </w:r>
      <w:r w:rsidR="00B6410B">
        <w:t xml:space="preserve">od Talijanske unije te na Pučko otvoreno učilište Buje u vrijednosti od 230,00 kuna realizirane </w:t>
      </w:r>
      <w:r w:rsidR="00201E02">
        <w:t xml:space="preserve">donacije </w:t>
      </w:r>
      <w:r w:rsidR="00B6410B">
        <w:t xml:space="preserve">od fizičke osobe. </w:t>
      </w:r>
    </w:p>
    <w:p w14:paraId="2B5B34D2" w14:textId="77777777" w:rsidR="005712E4" w:rsidRPr="00E80A17" w:rsidRDefault="005712E4" w:rsidP="005712E4">
      <w:pPr>
        <w:ind w:left="2832" w:hanging="1422"/>
      </w:pPr>
    </w:p>
    <w:p w14:paraId="65062AAA" w14:textId="0E152265" w:rsidR="005712E4" w:rsidRPr="00A37D06" w:rsidRDefault="005712E4" w:rsidP="005712E4">
      <w:pPr>
        <w:pStyle w:val="Uvuenotijeloteksta"/>
      </w:pPr>
      <w:r w:rsidRPr="00E80A17">
        <w:t>1.6. Prihodi od kazni</w:t>
      </w:r>
      <w:r w:rsidR="00976146">
        <w:t>,</w:t>
      </w:r>
      <w:r w:rsidRPr="00E80A17">
        <w:t xml:space="preserve"> upravnih mjera </w:t>
      </w:r>
      <w:r w:rsidR="00976146">
        <w:t xml:space="preserve">i ostali prihodi </w:t>
      </w:r>
      <w:r w:rsidRPr="00E80A17">
        <w:t xml:space="preserve">ostvareni su u iznosu od </w:t>
      </w:r>
      <w:r w:rsidR="000C6622">
        <w:t>41.731,50</w:t>
      </w:r>
      <w:r w:rsidRPr="00E80A17">
        <w:t xml:space="preserve"> kuna</w:t>
      </w:r>
      <w:r w:rsidR="000C6622">
        <w:t xml:space="preserve">. Od toga se iznos od 26.126,59 kuna odnosi na kazne prometnog i komunalnog redarstva, a razlika od 15.604,91 kuna na </w:t>
      </w:r>
      <w:r w:rsidR="00E341D7">
        <w:t xml:space="preserve">povrate </w:t>
      </w:r>
      <w:r w:rsidR="00E341D7" w:rsidRPr="00A37D06">
        <w:t>neiskorištenih sredstava isplaćenih donacija udrugama temeljem javnog poziva u prethodnoj godini</w:t>
      </w:r>
      <w:r w:rsidR="000C6622">
        <w:t xml:space="preserve"> te </w:t>
      </w:r>
      <w:r w:rsidR="00396949">
        <w:t xml:space="preserve">na </w:t>
      </w:r>
      <w:r w:rsidR="000C6622">
        <w:t>povrat sredstava isplaćene studentske stipendije u prethodnoj godini</w:t>
      </w:r>
      <w:r w:rsidR="00F93484" w:rsidRPr="00A37D06">
        <w:t>.</w:t>
      </w:r>
      <w:r w:rsidR="003774CC" w:rsidRPr="00A37D06">
        <w:t xml:space="preserve"> </w:t>
      </w:r>
      <w:r w:rsidR="00E9133F">
        <w:t xml:space="preserve">Ostali prihodi realizirani u usporednoj </w:t>
      </w:r>
      <w:r w:rsidR="00396949">
        <w:t>2021.</w:t>
      </w:r>
      <w:r w:rsidR="00E9133F">
        <w:t xml:space="preserve"> godini odnosili su se uglavnom na prihod od </w:t>
      </w:r>
      <w:proofErr w:type="spellStart"/>
      <w:r w:rsidR="00E9133F">
        <w:t>ošasne</w:t>
      </w:r>
      <w:proofErr w:type="spellEnd"/>
      <w:r w:rsidR="00E9133F">
        <w:t xml:space="preserve"> imovine.</w:t>
      </w:r>
    </w:p>
    <w:p w14:paraId="389F9573" w14:textId="77777777" w:rsidR="005712E4" w:rsidRPr="00A37D06" w:rsidRDefault="005712E4" w:rsidP="005712E4">
      <w:pPr>
        <w:pStyle w:val="Uvuenotijeloteksta"/>
        <w:ind w:left="0"/>
        <w:rPr>
          <w:sz w:val="20"/>
          <w:szCs w:val="20"/>
        </w:rPr>
      </w:pPr>
    </w:p>
    <w:p w14:paraId="0E0313DA" w14:textId="4BA60D4F" w:rsidR="00AD4392" w:rsidRPr="00A37D06" w:rsidRDefault="005712E4" w:rsidP="00541AD2">
      <w:pPr>
        <w:pStyle w:val="Uvuenotijeloteksta"/>
        <w:ind w:left="0"/>
      </w:pPr>
      <w:r w:rsidRPr="00A37D06">
        <w:lastRenderedPageBreak/>
        <w:t>2. Prihodi od prodaje nefinancijske imovine</w:t>
      </w:r>
      <w:r w:rsidR="005A7459" w:rsidRPr="00A37D06">
        <w:t xml:space="preserve"> </w:t>
      </w:r>
      <w:r w:rsidR="004D2F80" w:rsidRPr="00A37D06">
        <w:t>u</w:t>
      </w:r>
      <w:r w:rsidR="009A12A9" w:rsidRPr="00A37D06">
        <w:t xml:space="preserve"> </w:t>
      </w:r>
      <w:r w:rsidR="004D2F80" w:rsidRPr="00A37D06">
        <w:t>20</w:t>
      </w:r>
      <w:r w:rsidR="007120AA" w:rsidRPr="00A37D06">
        <w:t>2</w:t>
      </w:r>
      <w:r w:rsidR="00A87A28" w:rsidRPr="00A37D06">
        <w:t>2</w:t>
      </w:r>
      <w:r w:rsidR="004D2F80" w:rsidRPr="00A37D06">
        <w:t>. godin</w:t>
      </w:r>
      <w:r w:rsidR="00E9133F">
        <w:t>i</w:t>
      </w:r>
      <w:r w:rsidR="005A7459" w:rsidRPr="00A37D06">
        <w:t xml:space="preserve"> </w:t>
      </w:r>
      <w:r w:rsidRPr="00A37D06">
        <w:t xml:space="preserve">ostvareni su u iznosu od </w:t>
      </w:r>
      <w:r w:rsidR="00795A4C">
        <w:t>3.996.473,16</w:t>
      </w:r>
      <w:r w:rsidR="00445343" w:rsidRPr="00A37D06">
        <w:t xml:space="preserve"> kuna što je </w:t>
      </w:r>
      <w:r w:rsidR="00795A4C">
        <w:t>66</w:t>
      </w:r>
      <w:r w:rsidRPr="00A37D06">
        <w:t>% od plan</w:t>
      </w:r>
      <w:r w:rsidR="004D2F80" w:rsidRPr="00A37D06">
        <w:t>iranog</w:t>
      </w:r>
      <w:r w:rsidRPr="00A37D06">
        <w:t xml:space="preserve"> </w:t>
      </w:r>
      <w:r w:rsidR="00AD4392" w:rsidRPr="00A37D06">
        <w:t xml:space="preserve">iznosa </w:t>
      </w:r>
      <w:r w:rsidR="007120AA" w:rsidRPr="00A37D06">
        <w:t xml:space="preserve">i </w:t>
      </w:r>
      <w:r w:rsidR="00795A4C">
        <w:t>13</w:t>
      </w:r>
      <w:r w:rsidR="007120AA" w:rsidRPr="00A37D06">
        <w:t xml:space="preserve">% </w:t>
      </w:r>
      <w:r w:rsidR="00A87A28" w:rsidRPr="00A37D06">
        <w:t>manje</w:t>
      </w:r>
      <w:r w:rsidR="007120AA" w:rsidRPr="00A37D06">
        <w:t xml:space="preserve"> u odnosu na ostvareno u prethodn</w:t>
      </w:r>
      <w:r w:rsidR="00795A4C">
        <w:t>oj</w:t>
      </w:r>
      <w:r w:rsidR="007120AA" w:rsidRPr="00A37D06">
        <w:t xml:space="preserve"> godin</w:t>
      </w:r>
      <w:r w:rsidR="00795A4C">
        <w:t>i</w:t>
      </w:r>
      <w:r w:rsidR="009A12A9" w:rsidRPr="00A37D06">
        <w:t>.</w:t>
      </w:r>
      <w:r w:rsidR="007120AA" w:rsidRPr="00A37D06">
        <w:t xml:space="preserve"> </w:t>
      </w:r>
    </w:p>
    <w:p w14:paraId="42F09485" w14:textId="77777777" w:rsidR="00541AD2" w:rsidRPr="00A37D06" w:rsidRDefault="00541AD2" w:rsidP="00541AD2">
      <w:pPr>
        <w:pStyle w:val="Uvuenotijeloteksta"/>
        <w:ind w:left="0"/>
      </w:pPr>
    </w:p>
    <w:p w14:paraId="271D5585" w14:textId="4A47D2EA" w:rsidR="00AD4392" w:rsidRDefault="00A86AF0" w:rsidP="00541AD2">
      <w:pPr>
        <w:ind w:left="708"/>
      </w:pPr>
      <w:r w:rsidRPr="00A37D06">
        <w:t>2.1.</w:t>
      </w:r>
      <w:r w:rsidR="00541AD2" w:rsidRPr="00A37D06">
        <w:t xml:space="preserve"> </w:t>
      </w:r>
      <w:r w:rsidR="00AD4392" w:rsidRPr="00A37D06">
        <w:t xml:space="preserve">Prihodi od prodaje </w:t>
      </w:r>
      <w:proofErr w:type="spellStart"/>
      <w:r w:rsidRPr="00A37D06">
        <w:t>neproizvedene</w:t>
      </w:r>
      <w:proofErr w:type="spellEnd"/>
      <w:r w:rsidRPr="00A37D06">
        <w:t xml:space="preserve"> dugotrajne imovine</w:t>
      </w:r>
      <w:r w:rsidR="00AD4392" w:rsidRPr="00A37D06">
        <w:t xml:space="preserve"> ostvareni su u iznosu od </w:t>
      </w:r>
      <w:r w:rsidR="00795A4C">
        <w:t>2.722.982,26</w:t>
      </w:r>
      <w:r w:rsidR="00AD4392" w:rsidRPr="00A37D06">
        <w:t xml:space="preserve"> kuna ili </w:t>
      </w:r>
      <w:r w:rsidR="00795A4C">
        <w:t>2</w:t>
      </w:r>
      <w:r w:rsidR="00AD4392" w:rsidRPr="00A37D06">
        <w:t xml:space="preserve">% </w:t>
      </w:r>
      <w:r w:rsidR="00981AE5" w:rsidRPr="00A37D06">
        <w:t>manje</w:t>
      </w:r>
      <w:r w:rsidR="00AD4392" w:rsidRPr="00A37D06">
        <w:t xml:space="preserve"> u odnosu na usporedn</w:t>
      </w:r>
      <w:r w:rsidR="00795A4C">
        <w:t>u</w:t>
      </w:r>
      <w:r w:rsidR="00981AE5" w:rsidRPr="00A37D06">
        <w:t xml:space="preserve"> </w:t>
      </w:r>
      <w:r w:rsidR="00AD4392" w:rsidRPr="00A37D06">
        <w:t>202</w:t>
      </w:r>
      <w:r w:rsidR="00981AE5" w:rsidRPr="00A37D06">
        <w:t>1</w:t>
      </w:r>
      <w:r w:rsidR="00AD4392" w:rsidRPr="00A37D06">
        <w:t>. godin</w:t>
      </w:r>
      <w:r w:rsidR="00795A4C">
        <w:t>u</w:t>
      </w:r>
      <w:r w:rsidR="00AD4392" w:rsidRPr="00A37D06">
        <w:t xml:space="preserve">. Od ostvarenih </w:t>
      </w:r>
      <w:r w:rsidR="00AD4392" w:rsidRPr="004A7618">
        <w:t xml:space="preserve">prihoda </w:t>
      </w:r>
      <w:r w:rsidR="00795A4C">
        <w:t>509.835,72</w:t>
      </w:r>
      <w:r w:rsidR="00AD4392" w:rsidRPr="004A7618">
        <w:t xml:space="preserve"> kuna odnosi se na udio u zajedničkom prihodu od prodaje poljoprivrednog zemljišta, dok se </w:t>
      </w:r>
      <w:r w:rsidR="00795A4C">
        <w:t>2.213.146,54</w:t>
      </w:r>
      <w:r w:rsidR="00AD4392" w:rsidRPr="004A7618">
        <w:t xml:space="preserve"> kuna odnosi na prihod od prodaje građevinskog zemljišta u vlasništvu Grada Buja – Buie. </w:t>
      </w:r>
    </w:p>
    <w:p w14:paraId="565D578B" w14:textId="088C4014" w:rsidR="00981AE5" w:rsidRPr="004A7618" w:rsidRDefault="00981AE5" w:rsidP="00541AD2">
      <w:pPr>
        <w:ind w:left="708"/>
      </w:pPr>
      <w:r>
        <w:t xml:space="preserve">Prihod od prodaje poljoprivrednog zemljišta smanjen je </w:t>
      </w:r>
      <w:r w:rsidR="00795A4C">
        <w:t xml:space="preserve">za 18% </w:t>
      </w:r>
      <w:r>
        <w:t>u odnosu na prethodn</w:t>
      </w:r>
      <w:r w:rsidR="00795A4C">
        <w:t>u</w:t>
      </w:r>
      <w:r>
        <w:t xml:space="preserve"> godin</w:t>
      </w:r>
      <w:r w:rsidR="00795A4C">
        <w:t>u</w:t>
      </w:r>
      <w:r>
        <w:t>, kada su izvršene uplate po provedenom natječa</w:t>
      </w:r>
      <w:r w:rsidR="00983C11">
        <w:t>j</w:t>
      </w:r>
      <w:r>
        <w:t xml:space="preserve">nom postupku i sklopljenim ugovorima o prodaji poljoprivrednog zemljišta u vlasništvu RH. Osim toga, u </w:t>
      </w:r>
      <w:r w:rsidR="00396949">
        <w:t>2022.</w:t>
      </w:r>
      <w:r>
        <w:t xml:space="preserve"> godini realizirano je </w:t>
      </w:r>
      <w:r w:rsidR="00795A4C">
        <w:t xml:space="preserve">22,3% </w:t>
      </w:r>
      <w:r>
        <w:t>manje prihoda od prodaje građevinskog zemljišta u vlasništvu Grada</w:t>
      </w:r>
      <w:r w:rsidR="00396949">
        <w:t>,</w:t>
      </w:r>
      <w:r w:rsidR="00795A4C">
        <w:t xml:space="preserve"> </w:t>
      </w:r>
      <w:r w:rsidR="00396949">
        <w:t>zbog</w:t>
      </w:r>
      <w:r w:rsidR="00795A4C">
        <w:t xml:space="preserve"> manjeg broja provedenih natječaja i prodanih vrijednosno manjih nekretnina</w:t>
      </w:r>
      <w:r>
        <w:t>.</w:t>
      </w:r>
    </w:p>
    <w:p w14:paraId="3E783D56" w14:textId="77777777" w:rsidR="000C7A7C" w:rsidRDefault="000C7A7C" w:rsidP="00541AD2">
      <w:pPr>
        <w:ind w:left="708"/>
      </w:pPr>
    </w:p>
    <w:p w14:paraId="689864F4" w14:textId="3E467A3C" w:rsidR="000C7A7C" w:rsidRPr="00A37D06" w:rsidRDefault="00A86AF0" w:rsidP="00541AD2">
      <w:pPr>
        <w:ind w:left="708"/>
      </w:pPr>
      <w:r w:rsidRPr="00A86AF0">
        <w:t>2.2.</w:t>
      </w:r>
      <w:r>
        <w:t xml:space="preserve"> </w:t>
      </w:r>
      <w:r w:rsidR="00AD4392" w:rsidRPr="004A7618">
        <w:t xml:space="preserve">Prihodi od prodaje građevinskih objekata ostvareni su u iznosu od </w:t>
      </w:r>
      <w:r w:rsidR="00795A4C">
        <w:t>1.273.490,90</w:t>
      </w:r>
      <w:r w:rsidR="00AD4392" w:rsidRPr="004A7618">
        <w:t xml:space="preserve"> kuna ili </w:t>
      </w:r>
      <w:r w:rsidR="00795A4C">
        <w:t>15</w:t>
      </w:r>
      <w:r w:rsidR="00AD4392" w:rsidRPr="004A7618">
        <w:t xml:space="preserve">% </w:t>
      </w:r>
      <w:r w:rsidR="00795A4C">
        <w:t>viš</w:t>
      </w:r>
      <w:r w:rsidR="00AD4392" w:rsidRPr="004A7618">
        <w:t xml:space="preserve">e u odnosu na </w:t>
      </w:r>
      <w:r w:rsidR="00795A4C">
        <w:t>2</w:t>
      </w:r>
      <w:r w:rsidR="00AD4392" w:rsidRPr="004A7618">
        <w:t>02</w:t>
      </w:r>
      <w:r w:rsidR="000C7A7C">
        <w:t>1</w:t>
      </w:r>
      <w:r w:rsidR="00AD4392" w:rsidRPr="004A7618">
        <w:t>. godin</w:t>
      </w:r>
      <w:r w:rsidR="00795A4C">
        <w:t>u</w:t>
      </w:r>
      <w:r w:rsidR="00AD4392" w:rsidRPr="004A7618">
        <w:t>.</w:t>
      </w:r>
      <w:r>
        <w:t xml:space="preserve"> </w:t>
      </w:r>
      <w:r w:rsidR="00AD4392" w:rsidRPr="004A7618">
        <w:t xml:space="preserve">Prihodi od prodaje stanova sa stanarskim pravom ostvareni su u iznosu od </w:t>
      </w:r>
      <w:r w:rsidR="00795A4C">
        <w:t>112.839,38</w:t>
      </w:r>
      <w:r w:rsidR="000C7A7C">
        <w:t xml:space="preserve"> </w:t>
      </w:r>
      <w:r w:rsidR="00AD4392" w:rsidRPr="004A7618">
        <w:t xml:space="preserve">kuna, dok je prihod </w:t>
      </w:r>
      <w:r w:rsidR="00AD4392" w:rsidRPr="00A37D06">
        <w:t xml:space="preserve">od prodaje ostalih zgrada u vlasništvu Grada Buja – Buie ostvaren u iznosu od </w:t>
      </w:r>
      <w:r w:rsidR="00795A4C">
        <w:t>1.160.651,52</w:t>
      </w:r>
      <w:r w:rsidR="00AD4392" w:rsidRPr="00A37D06">
        <w:t xml:space="preserve"> kuna. </w:t>
      </w:r>
      <w:r w:rsidR="000C7A7C" w:rsidRPr="00A37D06">
        <w:t xml:space="preserve">Realizacija prihoda od prodaje stanova sa stanarskim pravom </w:t>
      </w:r>
      <w:r w:rsidR="00795A4C">
        <w:t>se iz godine u godinu smanjuje radi okončanja otplata. Realizacija prihoda o</w:t>
      </w:r>
      <w:r w:rsidR="000C7A7C" w:rsidRPr="00A37D06">
        <w:t xml:space="preserve">d prodaje ostalih zgrada u vlasništvu Grada </w:t>
      </w:r>
      <w:r w:rsidR="00795A4C">
        <w:t>Buja – Buie je u 2022. godini veća za 19%.</w:t>
      </w:r>
    </w:p>
    <w:p w14:paraId="10AD0F30" w14:textId="77777777" w:rsidR="00D33D43" w:rsidRPr="00A37D06" w:rsidRDefault="00D33D43" w:rsidP="005712E4">
      <w:pPr>
        <w:pStyle w:val="Uvuenotijeloteksta"/>
        <w:ind w:left="0"/>
        <w:rPr>
          <w:sz w:val="20"/>
          <w:szCs w:val="20"/>
        </w:rPr>
      </w:pPr>
    </w:p>
    <w:p w14:paraId="18937640" w14:textId="370E498F" w:rsidR="00564512" w:rsidRDefault="005712E4" w:rsidP="005712E4">
      <w:pPr>
        <w:pStyle w:val="Uvuenotijeloteksta"/>
        <w:ind w:left="0"/>
      </w:pPr>
      <w:r w:rsidRPr="00A37D06">
        <w:t xml:space="preserve">3. Primici od financijske </w:t>
      </w:r>
      <w:r w:rsidRPr="00E80A17">
        <w:t xml:space="preserve">imovine i zaduživanja </w:t>
      </w:r>
      <w:r w:rsidR="00394BEF" w:rsidRPr="00E80A17">
        <w:t xml:space="preserve">u </w:t>
      </w:r>
      <w:r w:rsidR="00976D82">
        <w:t>202</w:t>
      </w:r>
      <w:r w:rsidR="004B4BD0">
        <w:t>2</w:t>
      </w:r>
      <w:r w:rsidR="00976D82">
        <w:t>. godin</w:t>
      </w:r>
      <w:r w:rsidR="0039090E">
        <w:t>i</w:t>
      </w:r>
      <w:r w:rsidR="004B4BD0">
        <w:t xml:space="preserve"> nisu realizirani. </w:t>
      </w:r>
    </w:p>
    <w:p w14:paraId="5A2C50DE" w14:textId="394F39C8" w:rsidR="00394BEF" w:rsidRDefault="004B4BD0" w:rsidP="005712E4">
      <w:pPr>
        <w:pStyle w:val="Uvuenotijeloteksta"/>
        <w:ind w:left="0"/>
      </w:pPr>
      <w:r>
        <w:t xml:space="preserve">U </w:t>
      </w:r>
      <w:r w:rsidR="0039090E">
        <w:t xml:space="preserve">usporednoj 2021. godini </w:t>
      </w:r>
      <w:r>
        <w:t xml:space="preserve">realiziran je primitak od dugoročnog kreditnog zaduživanja radi realizacije projekta zamjene javne rasvjete LED rasvjetom te primitak po osnovi povrata sredstava osnivačkog uloga u trgovačkom društvu Business </w:t>
      </w:r>
      <w:proofErr w:type="spellStart"/>
      <w:r>
        <w:t>Education</w:t>
      </w:r>
      <w:proofErr w:type="spellEnd"/>
      <w:r>
        <w:t xml:space="preserve"> Centre d.o.o. slijedom brisanja istog iz Sudskog registra.</w:t>
      </w:r>
      <w:r w:rsidR="00BF7CCA">
        <w:t xml:space="preserve"> </w:t>
      </w:r>
    </w:p>
    <w:p w14:paraId="32FE092A" w14:textId="77777777" w:rsidR="00564512" w:rsidRDefault="00564512" w:rsidP="005712E4">
      <w:pPr>
        <w:pStyle w:val="Uvuenotijeloteksta"/>
        <w:ind w:left="0"/>
      </w:pPr>
    </w:p>
    <w:p w14:paraId="7592502F" w14:textId="051A4505" w:rsidR="00FB6F9D" w:rsidRDefault="005712E4" w:rsidP="005712E4">
      <w:pPr>
        <w:pStyle w:val="Uvuenotijeloteksta"/>
        <w:ind w:left="0"/>
      </w:pPr>
      <w:r w:rsidRPr="00E80A17">
        <w:t xml:space="preserve">4. Preneseni </w:t>
      </w:r>
      <w:r w:rsidR="004B4BD0">
        <w:t>višak</w:t>
      </w:r>
      <w:r w:rsidRPr="00E80A17">
        <w:t xml:space="preserve"> prihoda </w:t>
      </w:r>
      <w:r w:rsidR="00BF7CCA">
        <w:t xml:space="preserve">i primitaka </w:t>
      </w:r>
      <w:r w:rsidRPr="00E80A17">
        <w:t>iz 20</w:t>
      </w:r>
      <w:r w:rsidR="00BF7CCA">
        <w:t>2</w:t>
      </w:r>
      <w:r w:rsidR="004B4BD0">
        <w:t>1</w:t>
      </w:r>
      <w:r w:rsidRPr="00E80A17">
        <w:t xml:space="preserve">. godine sveukupno iznosi </w:t>
      </w:r>
      <w:r w:rsidR="004B4BD0">
        <w:t>560.931,06</w:t>
      </w:r>
      <w:r w:rsidRPr="00E80A17">
        <w:t xml:space="preserve"> kuna. Od toga se iznos od </w:t>
      </w:r>
      <w:r w:rsidR="004B4BD0">
        <w:t>615.451,31</w:t>
      </w:r>
      <w:r w:rsidRPr="00E80A17">
        <w:t xml:space="preserve"> kuna odnosi na </w:t>
      </w:r>
      <w:r w:rsidR="004B4BD0">
        <w:t>viš</w:t>
      </w:r>
      <w:r w:rsidRPr="00E80A17">
        <w:t>ak Grada Buja</w:t>
      </w:r>
      <w:r w:rsidR="00D205B8" w:rsidRPr="00E80A17">
        <w:t xml:space="preserve"> - Buie</w:t>
      </w:r>
      <w:r w:rsidRPr="00E80A17">
        <w:t xml:space="preserve">, </w:t>
      </w:r>
      <w:r w:rsidR="004B4BD0">
        <w:t>24.695,58</w:t>
      </w:r>
      <w:r w:rsidR="00BF7CCA">
        <w:t xml:space="preserve"> </w:t>
      </w:r>
      <w:r w:rsidRPr="00E80A17">
        <w:t xml:space="preserve">kuna na </w:t>
      </w:r>
      <w:r w:rsidR="004B4BD0">
        <w:t>viš</w:t>
      </w:r>
      <w:r w:rsidRPr="00E80A17">
        <w:t xml:space="preserve">ak Dječjeg vrtića Buje, </w:t>
      </w:r>
      <w:r w:rsidR="004B4BD0">
        <w:t>35.238,75</w:t>
      </w:r>
      <w:r w:rsidRPr="00E80A17">
        <w:t xml:space="preserve"> </w:t>
      </w:r>
      <w:r w:rsidR="009E59F8" w:rsidRPr="00E80A17">
        <w:t xml:space="preserve">kuna </w:t>
      </w:r>
      <w:r w:rsidRPr="00E80A17">
        <w:t xml:space="preserve">na </w:t>
      </w:r>
      <w:r w:rsidR="00BF7CCA">
        <w:t>manj</w:t>
      </w:r>
      <w:r w:rsidRPr="00E80A17">
        <w:t xml:space="preserve">ak Talijanskog dječjeg vrtića Mrvica i </w:t>
      </w:r>
      <w:r w:rsidR="00867B2B">
        <w:t>43.977,08</w:t>
      </w:r>
      <w:r w:rsidRPr="00E80A17">
        <w:t xml:space="preserve"> kuna na </w:t>
      </w:r>
      <w:r w:rsidR="00867B2B">
        <w:t>manj</w:t>
      </w:r>
      <w:r w:rsidR="00983C11">
        <w:t>a</w:t>
      </w:r>
      <w:r w:rsidR="00A23921">
        <w:t>k</w:t>
      </w:r>
      <w:r w:rsidRPr="00E80A17">
        <w:t xml:space="preserve"> Pučkog otvorenog učilišta Buje. </w:t>
      </w:r>
    </w:p>
    <w:p w14:paraId="34F81B35" w14:textId="77777777" w:rsidR="0076416E" w:rsidRDefault="0076416E" w:rsidP="005712E4">
      <w:pPr>
        <w:pStyle w:val="Uvuenotijeloteksta"/>
        <w:ind w:left="0"/>
      </w:pPr>
    </w:p>
    <w:p w14:paraId="6CA23D3D" w14:textId="77777777" w:rsidR="0076416E" w:rsidRDefault="0076416E" w:rsidP="005712E4">
      <w:pPr>
        <w:pStyle w:val="Uvuenotijeloteksta"/>
        <w:ind w:left="0"/>
      </w:pPr>
    </w:p>
    <w:p w14:paraId="4CBB6AA4" w14:textId="77777777" w:rsidR="0076416E" w:rsidRDefault="0076416E" w:rsidP="005712E4">
      <w:pPr>
        <w:pStyle w:val="Uvuenotijeloteksta"/>
        <w:ind w:left="0"/>
      </w:pPr>
    </w:p>
    <w:p w14:paraId="390C44E1" w14:textId="77777777" w:rsidR="0076416E" w:rsidRDefault="0076416E" w:rsidP="005712E4">
      <w:pPr>
        <w:pStyle w:val="Uvuenotijeloteksta"/>
        <w:ind w:left="0"/>
      </w:pPr>
    </w:p>
    <w:p w14:paraId="78357E46" w14:textId="77777777" w:rsidR="0076416E" w:rsidRDefault="0076416E" w:rsidP="005712E4">
      <w:pPr>
        <w:pStyle w:val="Uvuenotijeloteksta"/>
        <w:ind w:left="0"/>
      </w:pPr>
    </w:p>
    <w:p w14:paraId="4E47B1F2" w14:textId="77777777" w:rsidR="0076416E" w:rsidRDefault="0076416E" w:rsidP="005712E4">
      <w:pPr>
        <w:pStyle w:val="Uvuenotijeloteksta"/>
        <w:ind w:left="0"/>
      </w:pPr>
    </w:p>
    <w:p w14:paraId="383AEBD0" w14:textId="77777777" w:rsidR="0076416E" w:rsidRDefault="0076416E" w:rsidP="005712E4">
      <w:pPr>
        <w:pStyle w:val="Uvuenotijeloteksta"/>
        <w:ind w:left="0"/>
      </w:pPr>
    </w:p>
    <w:p w14:paraId="5BD683B1" w14:textId="4F8703F4" w:rsidR="00863D75" w:rsidRDefault="00863D75" w:rsidP="005712E4">
      <w:pPr>
        <w:pStyle w:val="Uvuenotijeloteksta"/>
        <w:ind w:left="0"/>
      </w:pPr>
    </w:p>
    <w:p w14:paraId="09AF7BA4" w14:textId="2F68864C" w:rsidR="00863D75" w:rsidRDefault="00863D75" w:rsidP="005712E4">
      <w:pPr>
        <w:pStyle w:val="Uvuenotijeloteksta"/>
        <w:ind w:left="0"/>
      </w:pPr>
    </w:p>
    <w:p w14:paraId="57F4E6E0" w14:textId="6D0E11C8" w:rsidR="0039090E" w:rsidRDefault="0039090E" w:rsidP="005712E4">
      <w:pPr>
        <w:pStyle w:val="Uvuenotijeloteksta"/>
        <w:ind w:left="0"/>
      </w:pPr>
    </w:p>
    <w:p w14:paraId="4FCD1BE4" w14:textId="0AB3EBF3" w:rsidR="00C74B5D" w:rsidRDefault="00C74B5D" w:rsidP="005712E4">
      <w:pPr>
        <w:pStyle w:val="Uvuenotijeloteksta"/>
        <w:ind w:left="0"/>
      </w:pPr>
    </w:p>
    <w:p w14:paraId="336F6EE4" w14:textId="54FE01B6" w:rsidR="00C74B5D" w:rsidRDefault="00C74B5D" w:rsidP="005712E4">
      <w:pPr>
        <w:pStyle w:val="Uvuenotijeloteksta"/>
        <w:ind w:left="0"/>
      </w:pPr>
    </w:p>
    <w:p w14:paraId="113E1178" w14:textId="77777777" w:rsidR="004B6F99" w:rsidRDefault="004B6F99" w:rsidP="005712E4">
      <w:pPr>
        <w:pStyle w:val="Uvuenotijeloteksta"/>
        <w:ind w:left="0"/>
      </w:pPr>
    </w:p>
    <w:p w14:paraId="124024A2" w14:textId="77777777" w:rsidR="004B6F99" w:rsidRDefault="004B6F99" w:rsidP="005712E4">
      <w:pPr>
        <w:pStyle w:val="Uvuenotijeloteksta"/>
        <w:ind w:left="0"/>
      </w:pPr>
    </w:p>
    <w:p w14:paraId="2F9477A3" w14:textId="77777777" w:rsidR="00C74B5D" w:rsidRDefault="00C74B5D" w:rsidP="005712E4">
      <w:pPr>
        <w:pStyle w:val="Uvuenotijeloteksta"/>
        <w:ind w:left="0"/>
      </w:pPr>
    </w:p>
    <w:p w14:paraId="59FB15D6" w14:textId="77777777" w:rsidR="0039090E" w:rsidRDefault="0039090E" w:rsidP="005712E4">
      <w:pPr>
        <w:pStyle w:val="Uvuenotijeloteksta"/>
        <w:ind w:left="0"/>
      </w:pPr>
    </w:p>
    <w:p w14:paraId="091B05ED" w14:textId="5E39DE32" w:rsidR="004F085F" w:rsidRDefault="005712E4" w:rsidP="005712E4">
      <w:pPr>
        <w:pStyle w:val="Uvuenotijeloteksta"/>
        <w:ind w:left="0"/>
      </w:pPr>
      <w:r w:rsidRPr="00E80A17">
        <w:lastRenderedPageBreak/>
        <w:t>Struktura ostvarenih prihoda i primitaka u</w:t>
      </w:r>
      <w:r w:rsidR="00117C13" w:rsidRPr="00E80A17">
        <w:t xml:space="preserve"> </w:t>
      </w:r>
      <w:r w:rsidRPr="00E80A17">
        <w:t>20</w:t>
      </w:r>
      <w:r w:rsidR="00041CAB">
        <w:t>2</w:t>
      </w:r>
      <w:r w:rsidR="00091D17">
        <w:t>2</w:t>
      </w:r>
      <w:r w:rsidRPr="00E80A17">
        <w:t>. godin</w:t>
      </w:r>
      <w:r w:rsidR="00C74B5D">
        <w:t>i</w:t>
      </w:r>
    </w:p>
    <w:p w14:paraId="210B062C" w14:textId="3EF88CCB" w:rsidR="00091D17" w:rsidRDefault="00091D17" w:rsidP="005712E4">
      <w:pPr>
        <w:pStyle w:val="Uvuenotijeloteksta"/>
        <w:ind w:left="0"/>
      </w:pPr>
    </w:p>
    <w:p w14:paraId="603E142C" w14:textId="7AAF3370" w:rsidR="00091D17" w:rsidRDefault="00C74B5D" w:rsidP="005712E4">
      <w:pPr>
        <w:pStyle w:val="Uvuenotijeloteksta"/>
        <w:ind w:left="0"/>
      </w:pPr>
      <w:r>
        <w:rPr>
          <w:noProof/>
        </w:rPr>
        <w:drawing>
          <wp:inline distT="0" distB="0" distL="0" distR="0" wp14:anchorId="2E5546C0" wp14:editId="1887FF5B">
            <wp:extent cx="5200650" cy="3276600"/>
            <wp:effectExtent l="0" t="0" r="0" b="0"/>
            <wp:docPr id="1878396643" name="Grafikon 1">
              <a:extLst xmlns:a="http://schemas.openxmlformats.org/drawingml/2006/main">
                <a:ext uri="{FF2B5EF4-FFF2-40B4-BE49-F238E27FC236}">
                  <a16:creationId xmlns:a16="http://schemas.microsoft.com/office/drawing/2014/main" id="{46FD0441-3A50-4490-B46E-EB4472CC9A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A97529" w14:textId="77777777" w:rsidR="00A37D06" w:rsidRDefault="00A37D06" w:rsidP="005712E4">
      <w:pPr>
        <w:pStyle w:val="Uvuenotijeloteksta"/>
        <w:ind w:left="0"/>
      </w:pPr>
    </w:p>
    <w:p w14:paraId="6FA90CBB" w14:textId="77777777" w:rsidR="00C74B5D" w:rsidRDefault="00C74B5D" w:rsidP="005712E4">
      <w:pPr>
        <w:pStyle w:val="Uvuenotijeloteksta"/>
        <w:ind w:left="0"/>
      </w:pPr>
    </w:p>
    <w:p w14:paraId="0EDD16D5" w14:textId="34984E06" w:rsidR="00A37D06" w:rsidRDefault="005712E4" w:rsidP="005712E4">
      <w:pPr>
        <w:pStyle w:val="Uvuenotijeloteksta"/>
        <w:ind w:left="0"/>
      </w:pPr>
      <w:r w:rsidRPr="00E80A17">
        <w:t>Ost</w:t>
      </w:r>
      <w:r w:rsidR="004160E9" w:rsidRPr="00E80A17">
        <w:t>varenje prihoda</w:t>
      </w:r>
      <w:r w:rsidR="00612DE2" w:rsidRPr="00E80A17">
        <w:t xml:space="preserve"> i primitaka</w:t>
      </w:r>
      <w:r w:rsidR="004160E9" w:rsidRPr="00E80A17">
        <w:t xml:space="preserve"> proračuna 20</w:t>
      </w:r>
      <w:r w:rsidR="00041CAB">
        <w:t>2</w:t>
      </w:r>
      <w:r w:rsidR="00091D17">
        <w:t>2</w:t>
      </w:r>
      <w:r w:rsidRPr="00E80A17">
        <w:t xml:space="preserve"> godin</w:t>
      </w:r>
      <w:r w:rsidR="00C74B5D">
        <w:t>i</w:t>
      </w:r>
      <w:r w:rsidRPr="00E80A17">
        <w:t xml:space="preserve"> u odnosu na plan </w:t>
      </w:r>
      <w:r w:rsidR="002A5905">
        <w:t>za 20</w:t>
      </w:r>
      <w:r w:rsidR="00041CAB">
        <w:t>2</w:t>
      </w:r>
      <w:r w:rsidR="00091D17">
        <w:t>2</w:t>
      </w:r>
      <w:r w:rsidR="002A5905">
        <w:t xml:space="preserve">. godinu </w:t>
      </w:r>
      <w:r w:rsidRPr="00E80A17">
        <w:t xml:space="preserve">i </w:t>
      </w:r>
      <w:r w:rsidR="00B9460E">
        <w:t>na</w:t>
      </w:r>
      <w:r w:rsidR="00C74B5D">
        <w:t xml:space="preserve"> </w:t>
      </w:r>
      <w:r w:rsidRPr="00E80A17">
        <w:rPr>
          <w:noProof/>
        </w:rPr>
        <w:t>20</w:t>
      </w:r>
      <w:r w:rsidR="00974477">
        <w:rPr>
          <w:noProof/>
        </w:rPr>
        <w:t>2</w:t>
      </w:r>
      <w:r w:rsidR="00091D17">
        <w:rPr>
          <w:noProof/>
        </w:rPr>
        <w:t>1</w:t>
      </w:r>
      <w:r w:rsidR="00C74B5D">
        <w:rPr>
          <w:noProof/>
        </w:rPr>
        <w:t>.</w:t>
      </w:r>
      <w:r w:rsidRPr="00E80A17">
        <w:t xml:space="preserve"> </w:t>
      </w:r>
      <w:r w:rsidR="00C57C94" w:rsidRPr="00E80A17">
        <w:t>godin</w:t>
      </w:r>
      <w:r w:rsidR="00C74B5D">
        <w:t>u</w:t>
      </w:r>
    </w:p>
    <w:p w14:paraId="51F6187E" w14:textId="69166B38" w:rsidR="008C3155" w:rsidRDefault="008C3155" w:rsidP="005712E4">
      <w:pPr>
        <w:pStyle w:val="Uvuenotijeloteksta"/>
        <w:ind w:left="0"/>
      </w:pPr>
    </w:p>
    <w:p w14:paraId="12037B6B" w14:textId="7D6D3C84" w:rsidR="006B5E4E" w:rsidRPr="008C3155" w:rsidRDefault="008C3155" w:rsidP="008C3155">
      <w:pPr>
        <w:pStyle w:val="Uvuenotijeloteksta"/>
        <w:ind w:left="0"/>
      </w:pPr>
      <w:r>
        <w:rPr>
          <w:noProof/>
        </w:rPr>
        <w:drawing>
          <wp:inline distT="0" distB="0" distL="0" distR="0" wp14:anchorId="3DB128F1" wp14:editId="0626112A">
            <wp:extent cx="5295900" cy="4248150"/>
            <wp:effectExtent l="0" t="0" r="0" b="0"/>
            <wp:docPr id="375130433" name="Grafikon 1">
              <a:extLst xmlns:a="http://schemas.openxmlformats.org/drawingml/2006/main">
                <a:ext uri="{FF2B5EF4-FFF2-40B4-BE49-F238E27FC236}">
                  <a16:creationId xmlns:a16="http://schemas.microsoft.com/office/drawing/2014/main" id="{616EA10F-ABD8-4E5A-AF44-507077400E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EAB6BA" w14:textId="26BEB5AB" w:rsidR="005712E4" w:rsidRPr="00E80A17" w:rsidRDefault="005712E4" w:rsidP="00CC15C6">
      <w:pPr>
        <w:ind w:left="1080"/>
        <w:rPr>
          <w:b/>
          <w:bCs/>
        </w:rPr>
      </w:pPr>
      <w:r w:rsidRPr="00E80A17">
        <w:rPr>
          <w:b/>
          <w:bCs/>
        </w:rPr>
        <w:lastRenderedPageBreak/>
        <w:t xml:space="preserve">RASHODI I IZDACI </w:t>
      </w:r>
    </w:p>
    <w:p w14:paraId="2C70B9BD" w14:textId="77777777" w:rsidR="005712E4" w:rsidRPr="00E80A17" w:rsidRDefault="005712E4" w:rsidP="005712E4">
      <w:pPr>
        <w:rPr>
          <w:b/>
          <w:bCs/>
        </w:rPr>
      </w:pPr>
    </w:p>
    <w:p w14:paraId="38E1669D" w14:textId="51B122F2" w:rsidR="009E3BC9" w:rsidRPr="00E80A17" w:rsidRDefault="009E3BC9" w:rsidP="004B6F99">
      <w:pPr>
        <w:ind w:firstLine="708"/>
        <w:rPr>
          <w:bCs/>
        </w:rPr>
      </w:pPr>
      <w:r w:rsidRPr="00E80A17">
        <w:rPr>
          <w:bCs/>
        </w:rPr>
        <w:t>Grad Buje ima tri proračunska korisnika</w:t>
      </w:r>
      <w:r w:rsidR="00CC66A3" w:rsidRPr="00E80A17">
        <w:rPr>
          <w:bCs/>
        </w:rPr>
        <w:t xml:space="preserve"> </w:t>
      </w:r>
      <w:r w:rsidRPr="00E80A17">
        <w:rPr>
          <w:bCs/>
        </w:rPr>
        <w:t>Dječji vrtić Buje, Talijanski dječji vrtić Mrvica i Pučko otvoreno učilište Buje koji su upisani u Registar proračunskih i izvanproračunskih korisnika. Sukladno odredbama Zakona o proračunu</w:t>
      </w:r>
      <w:r w:rsidR="00342C36">
        <w:rPr>
          <w:bCs/>
        </w:rPr>
        <w:t>,</w:t>
      </w:r>
      <w:r w:rsidRPr="00E80A17">
        <w:rPr>
          <w:bCs/>
        </w:rPr>
        <w:t xml:space="preserve"> Vijeće talijanske nacionalne manjine Grada Buja i mjesni odbori također imaju status proračunskih korisnika Grada.</w:t>
      </w:r>
    </w:p>
    <w:p w14:paraId="3A2A686E" w14:textId="77777777" w:rsidR="005712E4" w:rsidRPr="00E80A17" w:rsidRDefault="005712E4" w:rsidP="004B6F99">
      <w:pPr>
        <w:ind w:firstLine="708"/>
        <w:rPr>
          <w:b/>
          <w:bCs/>
        </w:rPr>
      </w:pPr>
      <w:r w:rsidRPr="00E80A17">
        <w:t xml:space="preserve">Ukupne rashode </w:t>
      </w:r>
      <w:r w:rsidR="00CC66A3" w:rsidRPr="00E80A17">
        <w:t xml:space="preserve">i izdatke </w:t>
      </w:r>
      <w:r w:rsidRPr="00E80A17">
        <w:t>proračuna Grada Buja</w:t>
      </w:r>
      <w:r w:rsidR="00516D53" w:rsidRPr="00E80A17">
        <w:t xml:space="preserve"> – Buie </w:t>
      </w:r>
      <w:r w:rsidRPr="00E80A17">
        <w:t>čine rashodi</w:t>
      </w:r>
      <w:r w:rsidR="00CC66A3" w:rsidRPr="00E80A17">
        <w:t xml:space="preserve"> i izdaci</w:t>
      </w:r>
      <w:r w:rsidRPr="00E80A17">
        <w:t xml:space="preserve"> Grada </w:t>
      </w:r>
      <w:r w:rsidR="008D6EB9">
        <w:t xml:space="preserve">i svih </w:t>
      </w:r>
      <w:r w:rsidR="00CC66A3" w:rsidRPr="00E80A17">
        <w:t>njegovih</w:t>
      </w:r>
      <w:r w:rsidRPr="00E80A17">
        <w:t xml:space="preserve"> proračunskih korisnika</w:t>
      </w:r>
    </w:p>
    <w:p w14:paraId="07F5242C" w14:textId="77777777" w:rsidR="005712E4" w:rsidRPr="00E80A17" w:rsidRDefault="005712E4" w:rsidP="005712E4">
      <w:pPr>
        <w:ind w:right="70"/>
        <w:rPr>
          <w:b/>
          <w:bCs/>
        </w:rPr>
      </w:pPr>
    </w:p>
    <w:p w14:paraId="62796826" w14:textId="101AEA61" w:rsidR="00CB0A0E" w:rsidRDefault="005712E4" w:rsidP="004B6F99">
      <w:pPr>
        <w:ind w:right="70" w:firstLine="708"/>
      </w:pPr>
      <w:r w:rsidRPr="00E80A17">
        <w:t xml:space="preserve">U </w:t>
      </w:r>
      <w:r w:rsidR="008665D6">
        <w:t xml:space="preserve">sljedećoj tablici </w:t>
      </w:r>
      <w:r w:rsidRPr="00E80A17">
        <w:t>daje se pregled ostvarenih rashoda i izdataka Proračuna Grada Buja</w:t>
      </w:r>
      <w:r w:rsidR="001415AB" w:rsidRPr="00E80A17">
        <w:t xml:space="preserve"> - Buie</w:t>
      </w:r>
      <w:r w:rsidR="00D97B50" w:rsidRPr="00E80A17">
        <w:t xml:space="preserve"> u </w:t>
      </w:r>
      <w:r w:rsidRPr="00E80A17">
        <w:t>20</w:t>
      </w:r>
      <w:r w:rsidR="00116690">
        <w:t>2</w:t>
      </w:r>
      <w:r w:rsidR="00EC77B8">
        <w:t>2</w:t>
      </w:r>
      <w:r w:rsidRPr="00E80A17">
        <w:t>. godin</w:t>
      </w:r>
      <w:r w:rsidR="008C3155">
        <w:t>i</w:t>
      </w:r>
      <w:r w:rsidR="00CC66A3" w:rsidRPr="00E80A17">
        <w:t xml:space="preserve"> </w:t>
      </w:r>
      <w:r w:rsidR="00D92E40">
        <w:t>u odnosu na Plan za 20</w:t>
      </w:r>
      <w:r w:rsidR="00116690">
        <w:t>2</w:t>
      </w:r>
      <w:r w:rsidR="00EC77B8">
        <w:t>2</w:t>
      </w:r>
      <w:r w:rsidR="00D92E40">
        <w:t xml:space="preserve">. godinu </w:t>
      </w:r>
      <w:r w:rsidR="00926453">
        <w:t xml:space="preserve">i u odnosu na rashode i izdatke ostvarene </w:t>
      </w:r>
      <w:r w:rsidR="005E63AE">
        <w:t>u</w:t>
      </w:r>
      <w:r w:rsidR="00CC66A3" w:rsidRPr="00E80A17">
        <w:t xml:space="preserve"> </w:t>
      </w:r>
      <w:r w:rsidR="008C3155">
        <w:t>2021.</w:t>
      </w:r>
      <w:r w:rsidR="00524CE1" w:rsidRPr="00E80A17">
        <w:t xml:space="preserve"> godin</w:t>
      </w:r>
      <w:r w:rsidR="008C3155">
        <w:t>i</w:t>
      </w:r>
      <w:r w:rsidR="00CC66A3" w:rsidRPr="00E80A17">
        <w:t>,</w:t>
      </w:r>
      <w:r w:rsidR="00524CE1" w:rsidRPr="00E80A17">
        <w:t xml:space="preserve"> </w:t>
      </w:r>
      <w:r w:rsidRPr="00E80A17">
        <w:t xml:space="preserve">po osnovnim </w:t>
      </w:r>
      <w:r w:rsidR="00565A71">
        <w:t>kategorijama</w:t>
      </w:r>
      <w:r w:rsidRPr="00E80A17">
        <w:t>.</w:t>
      </w:r>
    </w:p>
    <w:p w14:paraId="43589C81" w14:textId="77777777" w:rsidR="003677EC" w:rsidRDefault="003677EC" w:rsidP="005712E4">
      <w:pPr>
        <w:ind w:right="70"/>
      </w:pPr>
    </w:p>
    <w:tbl>
      <w:tblPr>
        <w:tblW w:w="9660" w:type="dxa"/>
        <w:tblLook w:val="04A0" w:firstRow="1" w:lastRow="0" w:firstColumn="1" w:lastColumn="0" w:noHBand="0" w:noVBand="1"/>
      </w:tblPr>
      <w:tblGrid>
        <w:gridCol w:w="621"/>
        <w:gridCol w:w="2498"/>
        <w:gridCol w:w="1417"/>
        <w:gridCol w:w="1276"/>
        <w:gridCol w:w="1251"/>
        <w:gridCol w:w="711"/>
        <w:gridCol w:w="926"/>
        <w:gridCol w:w="960"/>
      </w:tblGrid>
      <w:tr w:rsidR="0076416E" w14:paraId="51381519" w14:textId="77777777" w:rsidTr="00F26285">
        <w:trPr>
          <w:trHeight w:val="240"/>
        </w:trPr>
        <w:tc>
          <w:tcPr>
            <w:tcW w:w="8700" w:type="dxa"/>
            <w:gridSpan w:val="7"/>
            <w:tcBorders>
              <w:top w:val="nil"/>
              <w:left w:val="nil"/>
              <w:bottom w:val="nil"/>
              <w:right w:val="nil"/>
            </w:tcBorders>
            <w:shd w:val="clear" w:color="auto" w:fill="auto"/>
            <w:noWrap/>
            <w:vAlign w:val="center"/>
            <w:hideMark/>
          </w:tcPr>
          <w:p w14:paraId="5E9400C6" w14:textId="0214E504" w:rsidR="0076416E" w:rsidRDefault="0076416E">
            <w:pPr>
              <w:rPr>
                <w:sz w:val="20"/>
                <w:szCs w:val="20"/>
              </w:rPr>
            </w:pPr>
            <w:r>
              <w:rPr>
                <w:sz w:val="18"/>
                <w:szCs w:val="18"/>
              </w:rPr>
              <w:t>Ostvareni rashodi i izdaci u 2022. godini u odnosu na ostvareno u 2021. godini i na plan za 2022. godinu</w:t>
            </w:r>
          </w:p>
        </w:tc>
        <w:tc>
          <w:tcPr>
            <w:tcW w:w="960" w:type="dxa"/>
            <w:tcBorders>
              <w:top w:val="nil"/>
              <w:left w:val="nil"/>
              <w:bottom w:val="nil"/>
              <w:right w:val="nil"/>
            </w:tcBorders>
            <w:shd w:val="clear" w:color="auto" w:fill="auto"/>
            <w:noWrap/>
            <w:vAlign w:val="bottom"/>
            <w:hideMark/>
          </w:tcPr>
          <w:p w14:paraId="6EEE90DB" w14:textId="77777777" w:rsidR="0076416E" w:rsidRDefault="0076416E">
            <w:pPr>
              <w:rPr>
                <w:sz w:val="20"/>
                <w:szCs w:val="20"/>
              </w:rPr>
            </w:pPr>
          </w:p>
        </w:tc>
      </w:tr>
      <w:tr w:rsidR="003677EC" w14:paraId="6B51C27B" w14:textId="77777777" w:rsidTr="003677EC">
        <w:trPr>
          <w:trHeight w:val="675"/>
        </w:trPr>
        <w:tc>
          <w:tcPr>
            <w:tcW w:w="621" w:type="dxa"/>
            <w:tcBorders>
              <w:top w:val="nil"/>
              <w:left w:val="nil"/>
              <w:bottom w:val="single" w:sz="4" w:space="0" w:color="auto"/>
              <w:right w:val="nil"/>
            </w:tcBorders>
            <w:shd w:val="clear" w:color="auto" w:fill="auto"/>
            <w:vAlign w:val="bottom"/>
            <w:hideMark/>
          </w:tcPr>
          <w:p w14:paraId="61815D47" w14:textId="77777777" w:rsidR="003677EC" w:rsidRDefault="003677EC">
            <w:pPr>
              <w:rPr>
                <w:sz w:val="18"/>
                <w:szCs w:val="18"/>
              </w:rPr>
            </w:pPr>
            <w:r>
              <w:rPr>
                <w:sz w:val="18"/>
                <w:szCs w:val="18"/>
              </w:rPr>
              <w:t>red.</w:t>
            </w:r>
            <w:r>
              <w:rPr>
                <w:sz w:val="18"/>
                <w:szCs w:val="18"/>
              </w:rPr>
              <w:br/>
              <w:t>br.</w:t>
            </w:r>
          </w:p>
        </w:tc>
        <w:tc>
          <w:tcPr>
            <w:tcW w:w="2498" w:type="dxa"/>
            <w:tcBorders>
              <w:top w:val="nil"/>
              <w:left w:val="nil"/>
              <w:bottom w:val="single" w:sz="4" w:space="0" w:color="auto"/>
              <w:right w:val="nil"/>
            </w:tcBorders>
            <w:shd w:val="clear" w:color="auto" w:fill="auto"/>
            <w:noWrap/>
            <w:vAlign w:val="bottom"/>
            <w:hideMark/>
          </w:tcPr>
          <w:p w14:paraId="3AE45D09" w14:textId="77777777" w:rsidR="003677EC" w:rsidRDefault="003677EC">
            <w:pPr>
              <w:rPr>
                <w:sz w:val="18"/>
                <w:szCs w:val="18"/>
              </w:rPr>
            </w:pPr>
            <w:r>
              <w:rPr>
                <w:sz w:val="18"/>
                <w:szCs w:val="18"/>
              </w:rPr>
              <w:t>opis</w:t>
            </w:r>
          </w:p>
        </w:tc>
        <w:tc>
          <w:tcPr>
            <w:tcW w:w="1417" w:type="dxa"/>
            <w:tcBorders>
              <w:top w:val="nil"/>
              <w:left w:val="nil"/>
              <w:bottom w:val="single" w:sz="4" w:space="0" w:color="auto"/>
              <w:right w:val="nil"/>
            </w:tcBorders>
            <w:shd w:val="clear" w:color="auto" w:fill="auto"/>
            <w:vAlign w:val="bottom"/>
            <w:hideMark/>
          </w:tcPr>
          <w:p w14:paraId="65D1FFDA" w14:textId="77777777" w:rsidR="003677EC" w:rsidRDefault="003677EC">
            <w:pPr>
              <w:jc w:val="center"/>
              <w:rPr>
                <w:sz w:val="18"/>
                <w:szCs w:val="18"/>
              </w:rPr>
            </w:pPr>
            <w:r>
              <w:rPr>
                <w:sz w:val="18"/>
                <w:szCs w:val="18"/>
              </w:rPr>
              <w:t xml:space="preserve"> ostvareno </w:t>
            </w:r>
            <w:r>
              <w:rPr>
                <w:sz w:val="18"/>
                <w:szCs w:val="18"/>
              </w:rPr>
              <w:br/>
              <w:t xml:space="preserve">2021. </w:t>
            </w:r>
          </w:p>
        </w:tc>
        <w:tc>
          <w:tcPr>
            <w:tcW w:w="1276" w:type="dxa"/>
            <w:tcBorders>
              <w:top w:val="nil"/>
              <w:left w:val="nil"/>
              <w:bottom w:val="single" w:sz="4" w:space="0" w:color="auto"/>
              <w:right w:val="nil"/>
            </w:tcBorders>
            <w:shd w:val="clear" w:color="auto" w:fill="auto"/>
            <w:noWrap/>
            <w:vAlign w:val="bottom"/>
            <w:hideMark/>
          </w:tcPr>
          <w:p w14:paraId="44514961" w14:textId="77777777" w:rsidR="003677EC" w:rsidRDefault="003677EC">
            <w:pPr>
              <w:jc w:val="center"/>
              <w:rPr>
                <w:sz w:val="18"/>
                <w:szCs w:val="18"/>
              </w:rPr>
            </w:pPr>
            <w:r>
              <w:rPr>
                <w:sz w:val="18"/>
                <w:szCs w:val="18"/>
              </w:rPr>
              <w:t xml:space="preserve"> plan 2022. </w:t>
            </w:r>
          </w:p>
        </w:tc>
        <w:tc>
          <w:tcPr>
            <w:tcW w:w="1251" w:type="dxa"/>
            <w:tcBorders>
              <w:top w:val="nil"/>
              <w:left w:val="nil"/>
              <w:bottom w:val="single" w:sz="4" w:space="0" w:color="auto"/>
              <w:right w:val="nil"/>
            </w:tcBorders>
            <w:shd w:val="clear" w:color="auto" w:fill="auto"/>
            <w:vAlign w:val="bottom"/>
            <w:hideMark/>
          </w:tcPr>
          <w:p w14:paraId="7D78D963" w14:textId="77777777" w:rsidR="003677EC" w:rsidRDefault="003677EC">
            <w:pPr>
              <w:jc w:val="center"/>
              <w:rPr>
                <w:sz w:val="18"/>
                <w:szCs w:val="18"/>
              </w:rPr>
            </w:pPr>
            <w:r>
              <w:rPr>
                <w:sz w:val="18"/>
                <w:szCs w:val="18"/>
              </w:rPr>
              <w:t xml:space="preserve"> ostvareno </w:t>
            </w:r>
            <w:r>
              <w:rPr>
                <w:sz w:val="18"/>
                <w:szCs w:val="18"/>
              </w:rPr>
              <w:br/>
              <w:t xml:space="preserve">2022. </w:t>
            </w:r>
          </w:p>
        </w:tc>
        <w:tc>
          <w:tcPr>
            <w:tcW w:w="711" w:type="dxa"/>
            <w:tcBorders>
              <w:top w:val="nil"/>
              <w:left w:val="nil"/>
              <w:bottom w:val="single" w:sz="4" w:space="0" w:color="auto"/>
              <w:right w:val="nil"/>
            </w:tcBorders>
            <w:shd w:val="clear" w:color="auto" w:fill="auto"/>
            <w:vAlign w:val="bottom"/>
            <w:hideMark/>
          </w:tcPr>
          <w:p w14:paraId="2038B24A" w14:textId="77777777" w:rsidR="003677EC" w:rsidRDefault="003677EC">
            <w:pPr>
              <w:jc w:val="center"/>
              <w:rPr>
                <w:sz w:val="18"/>
                <w:szCs w:val="18"/>
              </w:rPr>
            </w:pPr>
            <w:r>
              <w:rPr>
                <w:sz w:val="18"/>
                <w:szCs w:val="18"/>
              </w:rPr>
              <w:t>udio</w:t>
            </w:r>
            <w:r>
              <w:rPr>
                <w:sz w:val="18"/>
                <w:szCs w:val="18"/>
              </w:rPr>
              <w:br/>
              <w:t>%</w:t>
            </w:r>
          </w:p>
        </w:tc>
        <w:tc>
          <w:tcPr>
            <w:tcW w:w="926" w:type="dxa"/>
            <w:tcBorders>
              <w:top w:val="nil"/>
              <w:left w:val="nil"/>
              <w:bottom w:val="single" w:sz="4" w:space="0" w:color="auto"/>
              <w:right w:val="nil"/>
            </w:tcBorders>
            <w:shd w:val="clear" w:color="auto" w:fill="auto"/>
            <w:vAlign w:val="bottom"/>
            <w:hideMark/>
          </w:tcPr>
          <w:p w14:paraId="3A1C7628" w14:textId="77777777" w:rsidR="003677EC" w:rsidRDefault="003677EC">
            <w:pPr>
              <w:jc w:val="center"/>
              <w:rPr>
                <w:sz w:val="18"/>
                <w:szCs w:val="18"/>
              </w:rPr>
            </w:pPr>
            <w:r>
              <w:rPr>
                <w:sz w:val="18"/>
                <w:szCs w:val="18"/>
              </w:rPr>
              <w:t>indeks</w:t>
            </w:r>
            <w:r>
              <w:rPr>
                <w:sz w:val="18"/>
                <w:szCs w:val="18"/>
              </w:rPr>
              <w:br/>
              <w:t>(5/3*100)</w:t>
            </w:r>
          </w:p>
        </w:tc>
        <w:tc>
          <w:tcPr>
            <w:tcW w:w="960" w:type="dxa"/>
            <w:tcBorders>
              <w:top w:val="nil"/>
              <w:left w:val="nil"/>
              <w:bottom w:val="single" w:sz="4" w:space="0" w:color="auto"/>
              <w:right w:val="nil"/>
            </w:tcBorders>
            <w:shd w:val="clear" w:color="auto" w:fill="auto"/>
            <w:vAlign w:val="bottom"/>
            <w:hideMark/>
          </w:tcPr>
          <w:p w14:paraId="70EDBBFD" w14:textId="77777777" w:rsidR="003677EC" w:rsidRDefault="003677EC">
            <w:pPr>
              <w:jc w:val="center"/>
              <w:rPr>
                <w:sz w:val="18"/>
                <w:szCs w:val="18"/>
              </w:rPr>
            </w:pPr>
            <w:r>
              <w:rPr>
                <w:sz w:val="18"/>
                <w:szCs w:val="18"/>
              </w:rPr>
              <w:t>indeks</w:t>
            </w:r>
            <w:r>
              <w:rPr>
                <w:sz w:val="18"/>
                <w:szCs w:val="18"/>
              </w:rPr>
              <w:br/>
              <w:t>(5/4*100)</w:t>
            </w:r>
          </w:p>
        </w:tc>
      </w:tr>
      <w:tr w:rsidR="003677EC" w14:paraId="631EEAFB" w14:textId="77777777" w:rsidTr="003677EC">
        <w:trPr>
          <w:trHeight w:val="240"/>
        </w:trPr>
        <w:tc>
          <w:tcPr>
            <w:tcW w:w="621" w:type="dxa"/>
            <w:tcBorders>
              <w:top w:val="nil"/>
              <w:left w:val="nil"/>
              <w:bottom w:val="single" w:sz="4" w:space="0" w:color="auto"/>
              <w:right w:val="nil"/>
            </w:tcBorders>
            <w:shd w:val="clear" w:color="auto" w:fill="auto"/>
            <w:noWrap/>
            <w:vAlign w:val="bottom"/>
            <w:hideMark/>
          </w:tcPr>
          <w:p w14:paraId="3A9EE657" w14:textId="77777777" w:rsidR="003677EC" w:rsidRDefault="003677EC">
            <w:pPr>
              <w:jc w:val="center"/>
              <w:rPr>
                <w:sz w:val="18"/>
                <w:szCs w:val="18"/>
              </w:rPr>
            </w:pPr>
            <w:r>
              <w:rPr>
                <w:sz w:val="18"/>
                <w:szCs w:val="18"/>
              </w:rPr>
              <w:t>1</w:t>
            </w:r>
          </w:p>
        </w:tc>
        <w:tc>
          <w:tcPr>
            <w:tcW w:w="2498" w:type="dxa"/>
            <w:tcBorders>
              <w:top w:val="nil"/>
              <w:left w:val="nil"/>
              <w:bottom w:val="single" w:sz="4" w:space="0" w:color="auto"/>
              <w:right w:val="nil"/>
            </w:tcBorders>
            <w:shd w:val="clear" w:color="auto" w:fill="auto"/>
            <w:noWrap/>
            <w:vAlign w:val="bottom"/>
            <w:hideMark/>
          </w:tcPr>
          <w:p w14:paraId="7CF7629B" w14:textId="77777777" w:rsidR="003677EC" w:rsidRDefault="003677EC">
            <w:pPr>
              <w:jc w:val="center"/>
              <w:rPr>
                <w:sz w:val="18"/>
                <w:szCs w:val="18"/>
              </w:rPr>
            </w:pPr>
            <w:r>
              <w:rPr>
                <w:sz w:val="18"/>
                <w:szCs w:val="18"/>
              </w:rPr>
              <w:t>2</w:t>
            </w:r>
          </w:p>
        </w:tc>
        <w:tc>
          <w:tcPr>
            <w:tcW w:w="1417" w:type="dxa"/>
            <w:tcBorders>
              <w:top w:val="nil"/>
              <w:left w:val="nil"/>
              <w:bottom w:val="single" w:sz="4" w:space="0" w:color="auto"/>
              <w:right w:val="nil"/>
            </w:tcBorders>
            <w:shd w:val="clear" w:color="auto" w:fill="auto"/>
            <w:noWrap/>
            <w:vAlign w:val="bottom"/>
            <w:hideMark/>
          </w:tcPr>
          <w:p w14:paraId="398ECDB1" w14:textId="77777777" w:rsidR="003677EC" w:rsidRDefault="003677EC">
            <w:pPr>
              <w:jc w:val="center"/>
              <w:rPr>
                <w:sz w:val="18"/>
                <w:szCs w:val="18"/>
              </w:rPr>
            </w:pPr>
            <w:r>
              <w:rPr>
                <w:sz w:val="18"/>
                <w:szCs w:val="18"/>
              </w:rPr>
              <w:t>3</w:t>
            </w:r>
          </w:p>
        </w:tc>
        <w:tc>
          <w:tcPr>
            <w:tcW w:w="1276" w:type="dxa"/>
            <w:tcBorders>
              <w:top w:val="nil"/>
              <w:left w:val="nil"/>
              <w:bottom w:val="single" w:sz="4" w:space="0" w:color="auto"/>
              <w:right w:val="nil"/>
            </w:tcBorders>
            <w:shd w:val="clear" w:color="auto" w:fill="auto"/>
            <w:noWrap/>
            <w:vAlign w:val="bottom"/>
            <w:hideMark/>
          </w:tcPr>
          <w:p w14:paraId="3675E308" w14:textId="77777777" w:rsidR="003677EC" w:rsidRDefault="003677EC">
            <w:pPr>
              <w:jc w:val="center"/>
              <w:rPr>
                <w:sz w:val="18"/>
                <w:szCs w:val="18"/>
              </w:rPr>
            </w:pPr>
            <w:r>
              <w:rPr>
                <w:sz w:val="18"/>
                <w:szCs w:val="18"/>
              </w:rPr>
              <w:t>4</w:t>
            </w:r>
          </w:p>
        </w:tc>
        <w:tc>
          <w:tcPr>
            <w:tcW w:w="1251" w:type="dxa"/>
            <w:tcBorders>
              <w:top w:val="nil"/>
              <w:left w:val="nil"/>
              <w:bottom w:val="single" w:sz="4" w:space="0" w:color="auto"/>
              <w:right w:val="nil"/>
            </w:tcBorders>
            <w:shd w:val="clear" w:color="auto" w:fill="auto"/>
            <w:noWrap/>
            <w:vAlign w:val="bottom"/>
            <w:hideMark/>
          </w:tcPr>
          <w:p w14:paraId="63937AAD" w14:textId="77777777" w:rsidR="003677EC" w:rsidRDefault="003677EC">
            <w:pPr>
              <w:jc w:val="center"/>
              <w:rPr>
                <w:sz w:val="18"/>
                <w:szCs w:val="18"/>
              </w:rPr>
            </w:pPr>
            <w:r>
              <w:rPr>
                <w:sz w:val="18"/>
                <w:szCs w:val="18"/>
              </w:rPr>
              <w:t>5</w:t>
            </w:r>
          </w:p>
        </w:tc>
        <w:tc>
          <w:tcPr>
            <w:tcW w:w="711" w:type="dxa"/>
            <w:tcBorders>
              <w:top w:val="nil"/>
              <w:left w:val="nil"/>
              <w:bottom w:val="single" w:sz="4" w:space="0" w:color="auto"/>
              <w:right w:val="nil"/>
            </w:tcBorders>
            <w:shd w:val="clear" w:color="auto" w:fill="auto"/>
            <w:noWrap/>
            <w:vAlign w:val="bottom"/>
            <w:hideMark/>
          </w:tcPr>
          <w:p w14:paraId="2BD637B5" w14:textId="77777777" w:rsidR="003677EC" w:rsidRDefault="003677EC">
            <w:pPr>
              <w:jc w:val="center"/>
              <w:rPr>
                <w:sz w:val="18"/>
                <w:szCs w:val="18"/>
              </w:rPr>
            </w:pPr>
            <w:r>
              <w:rPr>
                <w:sz w:val="18"/>
                <w:szCs w:val="18"/>
              </w:rPr>
              <w:t>6</w:t>
            </w:r>
          </w:p>
        </w:tc>
        <w:tc>
          <w:tcPr>
            <w:tcW w:w="926" w:type="dxa"/>
            <w:tcBorders>
              <w:top w:val="nil"/>
              <w:left w:val="nil"/>
              <w:bottom w:val="single" w:sz="4" w:space="0" w:color="auto"/>
              <w:right w:val="nil"/>
            </w:tcBorders>
            <w:shd w:val="clear" w:color="auto" w:fill="auto"/>
            <w:noWrap/>
            <w:vAlign w:val="bottom"/>
            <w:hideMark/>
          </w:tcPr>
          <w:p w14:paraId="5423F411" w14:textId="77777777" w:rsidR="003677EC" w:rsidRDefault="003677EC">
            <w:pPr>
              <w:jc w:val="center"/>
              <w:rPr>
                <w:sz w:val="18"/>
                <w:szCs w:val="18"/>
              </w:rPr>
            </w:pPr>
            <w:r>
              <w:rPr>
                <w:sz w:val="18"/>
                <w:szCs w:val="18"/>
              </w:rPr>
              <w:t>7</w:t>
            </w:r>
          </w:p>
        </w:tc>
        <w:tc>
          <w:tcPr>
            <w:tcW w:w="960" w:type="dxa"/>
            <w:tcBorders>
              <w:top w:val="nil"/>
              <w:left w:val="nil"/>
              <w:bottom w:val="single" w:sz="4" w:space="0" w:color="auto"/>
              <w:right w:val="nil"/>
            </w:tcBorders>
            <w:shd w:val="clear" w:color="auto" w:fill="auto"/>
            <w:noWrap/>
            <w:vAlign w:val="bottom"/>
            <w:hideMark/>
          </w:tcPr>
          <w:p w14:paraId="02571DCD" w14:textId="77777777" w:rsidR="003677EC" w:rsidRDefault="003677EC">
            <w:pPr>
              <w:jc w:val="center"/>
              <w:rPr>
                <w:sz w:val="18"/>
                <w:szCs w:val="18"/>
              </w:rPr>
            </w:pPr>
            <w:r>
              <w:rPr>
                <w:sz w:val="18"/>
                <w:szCs w:val="18"/>
              </w:rPr>
              <w:t>8</w:t>
            </w:r>
          </w:p>
        </w:tc>
      </w:tr>
      <w:tr w:rsidR="003677EC" w14:paraId="2FF85B7E" w14:textId="77777777" w:rsidTr="003677EC">
        <w:trPr>
          <w:trHeight w:val="240"/>
        </w:trPr>
        <w:tc>
          <w:tcPr>
            <w:tcW w:w="621" w:type="dxa"/>
            <w:tcBorders>
              <w:top w:val="nil"/>
              <w:left w:val="nil"/>
              <w:bottom w:val="nil"/>
              <w:right w:val="nil"/>
            </w:tcBorders>
            <w:shd w:val="clear" w:color="000000" w:fill="FFCC99"/>
            <w:noWrap/>
            <w:vAlign w:val="bottom"/>
            <w:hideMark/>
          </w:tcPr>
          <w:p w14:paraId="34299127" w14:textId="77777777" w:rsidR="003677EC" w:rsidRDefault="003677EC">
            <w:pPr>
              <w:rPr>
                <w:b/>
                <w:bCs/>
                <w:sz w:val="18"/>
                <w:szCs w:val="18"/>
              </w:rPr>
            </w:pPr>
            <w:r>
              <w:rPr>
                <w:b/>
                <w:bCs/>
                <w:sz w:val="18"/>
                <w:szCs w:val="18"/>
              </w:rPr>
              <w:t>1.</w:t>
            </w:r>
          </w:p>
        </w:tc>
        <w:tc>
          <w:tcPr>
            <w:tcW w:w="2498" w:type="dxa"/>
            <w:tcBorders>
              <w:top w:val="nil"/>
              <w:left w:val="nil"/>
              <w:bottom w:val="nil"/>
              <w:right w:val="nil"/>
            </w:tcBorders>
            <w:shd w:val="clear" w:color="000000" w:fill="FFCC99"/>
            <w:vAlign w:val="bottom"/>
            <w:hideMark/>
          </w:tcPr>
          <w:p w14:paraId="39B25A36" w14:textId="77777777" w:rsidR="003677EC" w:rsidRDefault="003677EC">
            <w:pPr>
              <w:rPr>
                <w:b/>
                <w:bCs/>
                <w:sz w:val="18"/>
                <w:szCs w:val="18"/>
              </w:rPr>
            </w:pPr>
            <w:r>
              <w:rPr>
                <w:b/>
                <w:bCs/>
                <w:sz w:val="18"/>
                <w:szCs w:val="18"/>
              </w:rPr>
              <w:t>Rashodi poslovanja</w:t>
            </w:r>
          </w:p>
        </w:tc>
        <w:tc>
          <w:tcPr>
            <w:tcW w:w="1417" w:type="dxa"/>
            <w:tcBorders>
              <w:top w:val="nil"/>
              <w:left w:val="nil"/>
              <w:bottom w:val="nil"/>
              <w:right w:val="nil"/>
            </w:tcBorders>
            <w:shd w:val="clear" w:color="000000" w:fill="FFCC99"/>
            <w:noWrap/>
            <w:vAlign w:val="bottom"/>
            <w:hideMark/>
          </w:tcPr>
          <w:p w14:paraId="0A3BA9AE" w14:textId="77777777" w:rsidR="003677EC" w:rsidRDefault="003677EC" w:rsidP="003677EC">
            <w:pPr>
              <w:jc w:val="right"/>
              <w:rPr>
                <w:b/>
                <w:bCs/>
                <w:sz w:val="18"/>
                <w:szCs w:val="18"/>
              </w:rPr>
            </w:pPr>
            <w:r>
              <w:rPr>
                <w:b/>
                <w:bCs/>
                <w:sz w:val="18"/>
                <w:szCs w:val="18"/>
              </w:rPr>
              <w:t xml:space="preserve">     26.175.139,99    </w:t>
            </w:r>
          </w:p>
        </w:tc>
        <w:tc>
          <w:tcPr>
            <w:tcW w:w="1276" w:type="dxa"/>
            <w:tcBorders>
              <w:top w:val="nil"/>
              <w:left w:val="nil"/>
              <w:bottom w:val="nil"/>
              <w:right w:val="nil"/>
            </w:tcBorders>
            <w:shd w:val="clear" w:color="000000" w:fill="FFCC99"/>
            <w:noWrap/>
            <w:vAlign w:val="bottom"/>
            <w:hideMark/>
          </w:tcPr>
          <w:p w14:paraId="2DE92671" w14:textId="77777777" w:rsidR="003677EC" w:rsidRDefault="003677EC" w:rsidP="003677EC">
            <w:pPr>
              <w:jc w:val="right"/>
              <w:rPr>
                <w:b/>
                <w:bCs/>
                <w:sz w:val="18"/>
                <w:szCs w:val="18"/>
              </w:rPr>
            </w:pPr>
            <w:r>
              <w:rPr>
                <w:b/>
                <w:bCs/>
                <w:sz w:val="18"/>
                <w:szCs w:val="18"/>
              </w:rPr>
              <w:t xml:space="preserve">     32.617.351,15    </w:t>
            </w:r>
          </w:p>
        </w:tc>
        <w:tc>
          <w:tcPr>
            <w:tcW w:w="1251" w:type="dxa"/>
            <w:tcBorders>
              <w:top w:val="nil"/>
              <w:left w:val="nil"/>
              <w:bottom w:val="nil"/>
              <w:right w:val="nil"/>
            </w:tcBorders>
            <w:shd w:val="clear" w:color="000000" w:fill="FFCC99"/>
            <w:noWrap/>
            <w:vAlign w:val="bottom"/>
            <w:hideMark/>
          </w:tcPr>
          <w:p w14:paraId="647499A9" w14:textId="77777777" w:rsidR="003677EC" w:rsidRDefault="003677EC" w:rsidP="003677EC">
            <w:pPr>
              <w:jc w:val="right"/>
              <w:rPr>
                <w:b/>
                <w:bCs/>
                <w:sz w:val="18"/>
                <w:szCs w:val="18"/>
              </w:rPr>
            </w:pPr>
            <w:r>
              <w:rPr>
                <w:b/>
                <w:bCs/>
                <w:sz w:val="18"/>
                <w:szCs w:val="18"/>
              </w:rPr>
              <w:t xml:space="preserve">     30.046.726,27    </w:t>
            </w:r>
          </w:p>
        </w:tc>
        <w:tc>
          <w:tcPr>
            <w:tcW w:w="711" w:type="dxa"/>
            <w:tcBorders>
              <w:top w:val="nil"/>
              <w:left w:val="nil"/>
              <w:bottom w:val="nil"/>
              <w:right w:val="nil"/>
            </w:tcBorders>
            <w:shd w:val="clear" w:color="000000" w:fill="FFCC99"/>
            <w:noWrap/>
            <w:vAlign w:val="bottom"/>
            <w:hideMark/>
          </w:tcPr>
          <w:p w14:paraId="6837D5B6" w14:textId="77777777" w:rsidR="003677EC" w:rsidRDefault="003677EC">
            <w:pPr>
              <w:jc w:val="right"/>
              <w:rPr>
                <w:b/>
                <w:bCs/>
                <w:sz w:val="18"/>
                <w:szCs w:val="18"/>
              </w:rPr>
            </w:pPr>
            <w:r>
              <w:rPr>
                <w:b/>
                <w:bCs/>
                <w:sz w:val="18"/>
                <w:szCs w:val="18"/>
              </w:rPr>
              <w:t>78,69</w:t>
            </w:r>
          </w:p>
        </w:tc>
        <w:tc>
          <w:tcPr>
            <w:tcW w:w="926" w:type="dxa"/>
            <w:tcBorders>
              <w:top w:val="nil"/>
              <w:left w:val="nil"/>
              <w:bottom w:val="nil"/>
              <w:right w:val="nil"/>
            </w:tcBorders>
            <w:shd w:val="clear" w:color="000000" w:fill="FFCC99"/>
            <w:noWrap/>
            <w:vAlign w:val="bottom"/>
            <w:hideMark/>
          </w:tcPr>
          <w:p w14:paraId="410EA7D8" w14:textId="77777777" w:rsidR="003677EC" w:rsidRDefault="003677EC">
            <w:pPr>
              <w:jc w:val="right"/>
              <w:rPr>
                <w:b/>
                <w:bCs/>
                <w:sz w:val="18"/>
                <w:szCs w:val="18"/>
              </w:rPr>
            </w:pPr>
            <w:r>
              <w:rPr>
                <w:b/>
                <w:bCs/>
                <w:sz w:val="18"/>
                <w:szCs w:val="18"/>
              </w:rPr>
              <w:t>115</w:t>
            </w:r>
          </w:p>
        </w:tc>
        <w:tc>
          <w:tcPr>
            <w:tcW w:w="960" w:type="dxa"/>
            <w:tcBorders>
              <w:top w:val="nil"/>
              <w:left w:val="nil"/>
              <w:bottom w:val="nil"/>
              <w:right w:val="nil"/>
            </w:tcBorders>
            <w:shd w:val="clear" w:color="000000" w:fill="FFCC99"/>
            <w:noWrap/>
            <w:vAlign w:val="bottom"/>
            <w:hideMark/>
          </w:tcPr>
          <w:p w14:paraId="6A49E58E" w14:textId="77777777" w:rsidR="003677EC" w:rsidRDefault="003677EC">
            <w:pPr>
              <w:jc w:val="right"/>
              <w:rPr>
                <w:b/>
                <w:bCs/>
                <w:sz w:val="18"/>
                <w:szCs w:val="18"/>
              </w:rPr>
            </w:pPr>
            <w:r>
              <w:rPr>
                <w:b/>
                <w:bCs/>
                <w:sz w:val="18"/>
                <w:szCs w:val="18"/>
              </w:rPr>
              <w:t>92</w:t>
            </w:r>
          </w:p>
        </w:tc>
      </w:tr>
      <w:tr w:rsidR="003677EC" w14:paraId="1FA4D14C" w14:textId="77777777" w:rsidTr="003677EC">
        <w:trPr>
          <w:trHeight w:val="240"/>
        </w:trPr>
        <w:tc>
          <w:tcPr>
            <w:tcW w:w="621" w:type="dxa"/>
            <w:tcBorders>
              <w:top w:val="nil"/>
              <w:left w:val="nil"/>
              <w:bottom w:val="nil"/>
              <w:right w:val="nil"/>
            </w:tcBorders>
            <w:shd w:val="clear" w:color="000000" w:fill="CCFFFF"/>
            <w:noWrap/>
            <w:vAlign w:val="bottom"/>
            <w:hideMark/>
          </w:tcPr>
          <w:p w14:paraId="65DAC19E" w14:textId="77777777" w:rsidR="003677EC" w:rsidRDefault="003677EC">
            <w:pPr>
              <w:rPr>
                <w:sz w:val="18"/>
                <w:szCs w:val="18"/>
              </w:rPr>
            </w:pPr>
            <w:r>
              <w:rPr>
                <w:sz w:val="18"/>
                <w:szCs w:val="18"/>
              </w:rPr>
              <w:t>1.1.</w:t>
            </w:r>
          </w:p>
        </w:tc>
        <w:tc>
          <w:tcPr>
            <w:tcW w:w="2498" w:type="dxa"/>
            <w:tcBorders>
              <w:top w:val="nil"/>
              <w:left w:val="nil"/>
              <w:bottom w:val="nil"/>
              <w:right w:val="nil"/>
            </w:tcBorders>
            <w:shd w:val="clear" w:color="000000" w:fill="CCFFFF"/>
            <w:vAlign w:val="bottom"/>
            <w:hideMark/>
          </w:tcPr>
          <w:p w14:paraId="1442CA3B" w14:textId="77777777" w:rsidR="003677EC" w:rsidRDefault="003677EC">
            <w:pPr>
              <w:rPr>
                <w:sz w:val="18"/>
                <w:szCs w:val="18"/>
              </w:rPr>
            </w:pPr>
            <w:r>
              <w:rPr>
                <w:sz w:val="18"/>
                <w:szCs w:val="18"/>
              </w:rPr>
              <w:t>Rashodi za zaposlene</w:t>
            </w:r>
          </w:p>
        </w:tc>
        <w:tc>
          <w:tcPr>
            <w:tcW w:w="1417" w:type="dxa"/>
            <w:tcBorders>
              <w:top w:val="nil"/>
              <w:left w:val="nil"/>
              <w:bottom w:val="nil"/>
              <w:right w:val="nil"/>
            </w:tcBorders>
            <w:shd w:val="clear" w:color="000000" w:fill="CCFFFF"/>
            <w:noWrap/>
            <w:vAlign w:val="bottom"/>
            <w:hideMark/>
          </w:tcPr>
          <w:p w14:paraId="6154E843" w14:textId="77777777" w:rsidR="003677EC" w:rsidRDefault="003677EC" w:rsidP="003677EC">
            <w:pPr>
              <w:jc w:val="right"/>
              <w:rPr>
                <w:sz w:val="18"/>
                <w:szCs w:val="18"/>
              </w:rPr>
            </w:pPr>
            <w:r>
              <w:rPr>
                <w:sz w:val="18"/>
                <w:szCs w:val="18"/>
              </w:rPr>
              <w:t xml:space="preserve">       8.468.839,32    </w:t>
            </w:r>
          </w:p>
        </w:tc>
        <w:tc>
          <w:tcPr>
            <w:tcW w:w="1276" w:type="dxa"/>
            <w:tcBorders>
              <w:top w:val="nil"/>
              <w:left w:val="nil"/>
              <w:bottom w:val="nil"/>
              <w:right w:val="nil"/>
            </w:tcBorders>
            <w:shd w:val="clear" w:color="000000" w:fill="CCFFFF"/>
            <w:noWrap/>
            <w:vAlign w:val="bottom"/>
            <w:hideMark/>
          </w:tcPr>
          <w:p w14:paraId="115F4056" w14:textId="77777777" w:rsidR="003677EC" w:rsidRDefault="003677EC" w:rsidP="003677EC">
            <w:pPr>
              <w:jc w:val="right"/>
              <w:rPr>
                <w:sz w:val="18"/>
                <w:szCs w:val="18"/>
              </w:rPr>
            </w:pPr>
            <w:r>
              <w:rPr>
                <w:sz w:val="18"/>
                <w:szCs w:val="18"/>
              </w:rPr>
              <w:t xml:space="preserve">       9.226.956,22    </w:t>
            </w:r>
          </w:p>
        </w:tc>
        <w:tc>
          <w:tcPr>
            <w:tcW w:w="1251" w:type="dxa"/>
            <w:tcBorders>
              <w:top w:val="nil"/>
              <w:left w:val="nil"/>
              <w:bottom w:val="nil"/>
              <w:right w:val="nil"/>
            </w:tcBorders>
            <w:shd w:val="clear" w:color="000000" w:fill="CCFFFF"/>
            <w:noWrap/>
            <w:vAlign w:val="bottom"/>
            <w:hideMark/>
          </w:tcPr>
          <w:p w14:paraId="0E33EF99" w14:textId="77777777" w:rsidR="003677EC" w:rsidRDefault="003677EC" w:rsidP="003677EC">
            <w:pPr>
              <w:jc w:val="right"/>
              <w:rPr>
                <w:sz w:val="18"/>
                <w:szCs w:val="18"/>
              </w:rPr>
            </w:pPr>
            <w:r>
              <w:rPr>
                <w:sz w:val="18"/>
                <w:szCs w:val="18"/>
              </w:rPr>
              <w:t xml:space="preserve">       8.937.007,16    </w:t>
            </w:r>
          </w:p>
        </w:tc>
        <w:tc>
          <w:tcPr>
            <w:tcW w:w="711" w:type="dxa"/>
            <w:tcBorders>
              <w:top w:val="nil"/>
              <w:left w:val="nil"/>
              <w:bottom w:val="nil"/>
              <w:right w:val="nil"/>
            </w:tcBorders>
            <w:shd w:val="clear" w:color="000000" w:fill="CCFFFF"/>
            <w:noWrap/>
            <w:vAlign w:val="bottom"/>
            <w:hideMark/>
          </w:tcPr>
          <w:p w14:paraId="797B7794" w14:textId="77777777" w:rsidR="003677EC" w:rsidRDefault="003677EC">
            <w:pPr>
              <w:jc w:val="right"/>
              <w:rPr>
                <w:sz w:val="18"/>
                <w:szCs w:val="18"/>
              </w:rPr>
            </w:pPr>
            <w:r>
              <w:rPr>
                <w:sz w:val="18"/>
                <w:szCs w:val="18"/>
              </w:rPr>
              <w:t>23,41</w:t>
            </w:r>
          </w:p>
        </w:tc>
        <w:tc>
          <w:tcPr>
            <w:tcW w:w="926" w:type="dxa"/>
            <w:tcBorders>
              <w:top w:val="nil"/>
              <w:left w:val="nil"/>
              <w:bottom w:val="nil"/>
              <w:right w:val="nil"/>
            </w:tcBorders>
            <w:shd w:val="clear" w:color="000000" w:fill="CCFFFF"/>
            <w:noWrap/>
            <w:vAlign w:val="bottom"/>
            <w:hideMark/>
          </w:tcPr>
          <w:p w14:paraId="10A74F0C" w14:textId="77777777" w:rsidR="003677EC" w:rsidRDefault="003677EC">
            <w:pPr>
              <w:jc w:val="right"/>
              <w:rPr>
                <w:sz w:val="18"/>
                <w:szCs w:val="18"/>
              </w:rPr>
            </w:pPr>
            <w:r>
              <w:rPr>
                <w:sz w:val="18"/>
                <w:szCs w:val="18"/>
              </w:rPr>
              <w:t>106</w:t>
            </w:r>
          </w:p>
        </w:tc>
        <w:tc>
          <w:tcPr>
            <w:tcW w:w="960" w:type="dxa"/>
            <w:tcBorders>
              <w:top w:val="nil"/>
              <w:left w:val="nil"/>
              <w:bottom w:val="nil"/>
              <w:right w:val="nil"/>
            </w:tcBorders>
            <w:shd w:val="clear" w:color="000000" w:fill="CCFFFF"/>
            <w:noWrap/>
            <w:vAlign w:val="bottom"/>
            <w:hideMark/>
          </w:tcPr>
          <w:p w14:paraId="7D903095" w14:textId="77777777" w:rsidR="003677EC" w:rsidRDefault="003677EC">
            <w:pPr>
              <w:jc w:val="right"/>
              <w:rPr>
                <w:sz w:val="18"/>
                <w:szCs w:val="18"/>
              </w:rPr>
            </w:pPr>
            <w:r>
              <w:rPr>
                <w:sz w:val="18"/>
                <w:szCs w:val="18"/>
              </w:rPr>
              <w:t>97</w:t>
            </w:r>
          </w:p>
        </w:tc>
      </w:tr>
      <w:tr w:rsidR="003677EC" w14:paraId="1680DB14" w14:textId="77777777" w:rsidTr="003677EC">
        <w:trPr>
          <w:trHeight w:val="240"/>
        </w:trPr>
        <w:tc>
          <w:tcPr>
            <w:tcW w:w="621" w:type="dxa"/>
            <w:tcBorders>
              <w:top w:val="nil"/>
              <w:left w:val="nil"/>
              <w:bottom w:val="nil"/>
              <w:right w:val="nil"/>
            </w:tcBorders>
            <w:shd w:val="clear" w:color="auto" w:fill="auto"/>
            <w:noWrap/>
            <w:vAlign w:val="bottom"/>
            <w:hideMark/>
          </w:tcPr>
          <w:p w14:paraId="10FE0C2E" w14:textId="77777777" w:rsidR="003677EC" w:rsidRDefault="003677EC">
            <w:pPr>
              <w:rPr>
                <w:sz w:val="18"/>
                <w:szCs w:val="18"/>
              </w:rPr>
            </w:pPr>
            <w:r>
              <w:rPr>
                <w:sz w:val="18"/>
                <w:szCs w:val="18"/>
              </w:rPr>
              <w:t>1.1.1.</w:t>
            </w:r>
          </w:p>
        </w:tc>
        <w:tc>
          <w:tcPr>
            <w:tcW w:w="2498" w:type="dxa"/>
            <w:tcBorders>
              <w:top w:val="nil"/>
              <w:left w:val="nil"/>
              <w:bottom w:val="nil"/>
              <w:right w:val="nil"/>
            </w:tcBorders>
            <w:shd w:val="clear" w:color="auto" w:fill="auto"/>
            <w:vAlign w:val="bottom"/>
            <w:hideMark/>
          </w:tcPr>
          <w:p w14:paraId="7D2603B2" w14:textId="77777777" w:rsidR="003677EC" w:rsidRDefault="003677EC">
            <w:pPr>
              <w:rPr>
                <w:sz w:val="18"/>
                <w:szCs w:val="18"/>
              </w:rPr>
            </w:pPr>
            <w:r>
              <w:rPr>
                <w:sz w:val="18"/>
                <w:szCs w:val="18"/>
              </w:rPr>
              <w:t>Plaće</w:t>
            </w:r>
          </w:p>
        </w:tc>
        <w:tc>
          <w:tcPr>
            <w:tcW w:w="1417" w:type="dxa"/>
            <w:tcBorders>
              <w:top w:val="nil"/>
              <w:left w:val="nil"/>
              <w:bottom w:val="nil"/>
              <w:right w:val="nil"/>
            </w:tcBorders>
            <w:shd w:val="clear" w:color="auto" w:fill="auto"/>
            <w:noWrap/>
            <w:vAlign w:val="bottom"/>
            <w:hideMark/>
          </w:tcPr>
          <w:p w14:paraId="3668AC57" w14:textId="77777777" w:rsidR="003677EC" w:rsidRDefault="003677EC" w:rsidP="003677EC">
            <w:pPr>
              <w:jc w:val="right"/>
              <w:rPr>
                <w:sz w:val="18"/>
                <w:szCs w:val="18"/>
              </w:rPr>
            </w:pPr>
            <w:r>
              <w:rPr>
                <w:sz w:val="18"/>
                <w:szCs w:val="18"/>
              </w:rPr>
              <w:t xml:space="preserve">       6.990.209,75    </w:t>
            </w:r>
          </w:p>
        </w:tc>
        <w:tc>
          <w:tcPr>
            <w:tcW w:w="1276" w:type="dxa"/>
            <w:tcBorders>
              <w:top w:val="nil"/>
              <w:left w:val="nil"/>
              <w:bottom w:val="nil"/>
              <w:right w:val="nil"/>
            </w:tcBorders>
            <w:shd w:val="clear" w:color="auto" w:fill="auto"/>
            <w:noWrap/>
            <w:vAlign w:val="bottom"/>
            <w:hideMark/>
          </w:tcPr>
          <w:p w14:paraId="68A85600" w14:textId="77777777" w:rsidR="003677EC" w:rsidRDefault="003677EC" w:rsidP="003677EC">
            <w:pPr>
              <w:jc w:val="right"/>
              <w:rPr>
                <w:sz w:val="18"/>
                <w:szCs w:val="18"/>
              </w:rPr>
            </w:pPr>
            <w:r>
              <w:rPr>
                <w:sz w:val="18"/>
                <w:szCs w:val="18"/>
              </w:rPr>
              <w:t xml:space="preserve">       7.348.731,54    </w:t>
            </w:r>
          </w:p>
        </w:tc>
        <w:tc>
          <w:tcPr>
            <w:tcW w:w="1251" w:type="dxa"/>
            <w:tcBorders>
              <w:top w:val="nil"/>
              <w:left w:val="nil"/>
              <w:bottom w:val="nil"/>
              <w:right w:val="nil"/>
            </w:tcBorders>
            <w:shd w:val="clear" w:color="auto" w:fill="auto"/>
            <w:noWrap/>
            <w:vAlign w:val="bottom"/>
            <w:hideMark/>
          </w:tcPr>
          <w:p w14:paraId="1CF83A62" w14:textId="77777777" w:rsidR="003677EC" w:rsidRDefault="003677EC" w:rsidP="003677EC">
            <w:pPr>
              <w:jc w:val="right"/>
              <w:rPr>
                <w:sz w:val="18"/>
                <w:szCs w:val="18"/>
              </w:rPr>
            </w:pPr>
            <w:r>
              <w:rPr>
                <w:sz w:val="18"/>
                <w:szCs w:val="18"/>
              </w:rPr>
              <w:t xml:space="preserve">       7.169.361,97    </w:t>
            </w:r>
          </w:p>
        </w:tc>
        <w:tc>
          <w:tcPr>
            <w:tcW w:w="711" w:type="dxa"/>
            <w:tcBorders>
              <w:top w:val="nil"/>
              <w:left w:val="nil"/>
              <w:bottom w:val="nil"/>
              <w:right w:val="nil"/>
            </w:tcBorders>
            <w:shd w:val="clear" w:color="auto" w:fill="auto"/>
            <w:noWrap/>
            <w:vAlign w:val="bottom"/>
            <w:hideMark/>
          </w:tcPr>
          <w:p w14:paraId="79E48928" w14:textId="77777777" w:rsidR="003677EC" w:rsidRDefault="003677EC">
            <w:pPr>
              <w:jc w:val="right"/>
              <w:rPr>
                <w:sz w:val="18"/>
                <w:szCs w:val="18"/>
              </w:rPr>
            </w:pPr>
            <w:r>
              <w:rPr>
                <w:sz w:val="18"/>
                <w:szCs w:val="18"/>
              </w:rPr>
              <w:t>18,78</w:t>
            </w:r>
          </w:p>
        </w:tc>
        <w:tc>
          <w:tcPr>
            <w:tcW w:w="926" w:type="dxa"/>
            <w:tcBorders>
              <w:top w:val="nil"/>
              <w:left w:val="nil"/>
              <w:bottom w:val="nil"/>
              <w:right w:val="nil"/>
            </w:tcBorders>
            <w:shd w:val="clear" w:color="auto" w:fill="auto"/>
            <w:noWrap/>
            <w:vAlign w:val="bottom"/>
            <w:hideMark/>
          </w:tcPr>
          <w:p w14:paraId="4F6EAF47" w14:textId="77777777" w:rsidR="003677EC" w:rsidRDefault="003677EC">
            <w:pPr>
              <w:jc w:val="right"/>
              <w:rPr>
                <w:sz w:val="18"/>
                <w:szCs w:val="18"/>
              </w:rPr>
            </w:pPr>
            <w:r>
              <w:rPr>
                <w:sz w:val="18"/>
                <w:szCs w:val="18"/>
              </w:rPr>
              <w:t>103</w:t>
            </w:r>
          </w:p>
        </w:tc>
        <w:tc>
          <w:tcPr>
            <w:tcW w:w="960" w:type="dxa"/>
            <w:tcBorders>
              <w:top w:val="nil"/>
              <w:left w:val="nil"/>
              <w:bottom w:val="nil"/>
              <w:right w:val="nil"/>
            </w:tcBorders>
            <w:shd w:val="clear" w:color="auto" w:fill="auto"/>
            <w:noWrap/>
            <w:vAlign w:val="bottom"/>
            <w:hideMark/>
          </w:tcPr>
          <w:p w14:paraId="6447186C" w14:textId="77777777" w:rsidR="003677EC" w:rsidRDefault="003677EC">
            <w:pPr>
              <w:jc w:val="right"/>
              <w:rPr>
                <w:sz w:val="18"/>
                <w:szCs w:val="18"/>
              </w:rPr>
            </w:pPr>
            <w:r>
              <w:rPr>
                <w:sz w:val="18"/>
                <w:szCs w:val="18"/>
              </w:rPr>
              <w:t>98</w:t>
            </w:r>
          </w:p>
        </w:tc>
      </w:tr>
      <w:tr w:rsidR="003677EC" w14:paraId="444BB8B8" w14:textId="77777777" w:rsidTr="003677EC">
        <w:trPr>
          <w:trHeight w:val="240"/>
        </w:trPr>
        <w:tc>
          <w:tcPr>
            <w:tcW w:w="621" w:type="dxa"/>
            <w:tcBorders>
              <w:top w:val="nil"/>
              <w:left w:val="nil"/>
              <w:bottom w:val="nil"/>
              <w:right w:val="nil"/>
            </w:tcBorders>
            <w:shd w:val="clear" w:color="auto" w:fill="auto"/>
            <w:noWrap/>
            <w:vAlign w:val="bottom"/>
            <w:hideMark/>
          </w:tcPr>
          <w:p w14:paraId="68613AB2" w14:textId="77777777" w:rsidR="003677EC" w:rsidRDefault="003677EC">
            <w:pPr>
              <w:rPr>
                <w:sz w:val="18"/>
                <w:szCs w:val="18"/>
              </w:rPr>
            </w:pPr>
            <w:r>
              <w:rPr>
                <w:sz w:val="18"/>
                <w:szCs w:val="18"/>
              </w:rPr>
              <w:t>1.1.2.</w:t>
            </w:r>
          </w:p>
        </w:tc>
        <w:tc>
          <w:tcPr>
            <w:tcW w:w="2498" w:type="dxa"/>
            <w:tcBorders>
              <w:top w:val="nil"/>
              <w:left w:val="nil"/>
              <w:bottom w:val="nil"/>
              <w:right w:val="nil"/>
            </w:tcBorders>
            <w:shd w:val="clear" w:color="auto" w:fill="auto"/>
            <w:vAlign w:val="bottom"/>
            <w:hideMark/>
          </w:tcPr>
          <w:p w14:paraId="7515B3D9" w14:textId="77777777" w:rsidR="003677EC" w:rsidRDefault="003677EC">
            <w:pPr>
              <w:rPr>
                <w:sz w:val="18"/>
                <w:szCs w:val="18"/>
              </w:rPr>
            </w:pPr>
            <w:r>
              <w:rPr>
                <w:sz w:val="18"/>
                <w:szCs w:val="18"/>
              </w:rPr>
              <w:t>Ostali rashodi za zaposlene</w:t>
            </w:r>
          </w:p>
        </w:tc>
        <w:tc>
          <w:tcPr>
            <w:tcW w:w="1417" w:type="dxa"/>
            <w:tcBorders>
              <w:top w:val="nil"/>
              <w:left w:val="nil"/>
              <w:bottom w:val="nil"/>
              <w:right w:val="nil"/>
            </w:tcBorders>
            <w:shd w:val="clear" w:color="auto" w:fill="auto"/>
            <w:noWrap/>
            <w:vAlign w:val="bottom"/>
            <w:hideMark/>
          </w:tcPr>
          <w:p w14:paraId="5CA18F54" w14:textId="77777777" w:rsidR="003677EC" w:rsidRDefault="003677EC" w:rsidP="003677EC">
            <w:pPr>
              <w:jc w:val="right"/>
              <w:rPr>
                <w:sz w:val="18"/>
                <w:szCs w:val="18"/>
              </w:rPr>
            </w:pPr>
            <w:r>
              <w:rPr>
                <w:sz w:val="18"/>
                <w:szCs w:val="18"/>
              </w:rPr>
              <w:t xml:space="preserve">          343.772,60    </w:t>
            </w:r>
          </w:p>
        </w:tc>
        <w:tc>
          <w:tcPr>
            <w:tcW w:w="1276" w:type="dxa"/>
            <w:tcBorders>
              <w:top w:val="nil"/>
              <w:left w:val="nil"/>
              <w:bottom w:val="nil"/>
              <w:right w:val="nil"/>
            </w:tcBorders>
            <w:shd w:val="clear" w:color="auto" w:fill="auto"/>
            <w:noWrap/>
            <w:vAlign w:val="bottom"/>
            <w:hideMark/>
          </w:tcPr>
          <w:p w14:paraId="3D048154" w14:textId="77777777" w:rsidR="003677EC" w:rsidRDefault="003677EC" w:rsidP="003677EC">
            <w:pPr>
              <w:jc w:val="right"/>
              <w:rPr>
                <w:sz w:val="18"/>
                <w:szCs w:val="18"/>
              </w:rPr>
            </w:pPr>
            <w:r>
              <w:rPr>
                <w:sz w:val="18"/>
                <w:szCs w:val="18"/>
              </w:rPr>
              <w:t xml:space="preserve">          665.582,57    </w:t>
            </w:r>
          </w:p>
        </w:tc>
        <w:tc>
          <w:tcPr>
            <w:tcW w:w="1251" w:type="dxa"/>
            <w:tcBorders>
              <w:top w:val="nil"/>
              <w:left w:val="nil"/>
              <w:bottom w:val="nil"/>
              <w:right w:val="nil"/>
            </w:tcBorders>
            <w:shd w:val="clear" w:color="auto" w:fill="auto"/>
            <w:noWrap/>
            <w:vAlign w:val="bottom"/>
            <w:hideMark/>
          </w:tcPr>
          <w:p w14:paraId="70E237FF" w14:textId="77777777" w:rsidR="003677EC" w:rsidRDefault="003677EC" w:rsidP="003677EC">
            <w:pPr>
              <w:jc w:val="right"/>
              <w:rPr>
                <w:sz w:val="18"/>
                <w:szCs w:val="18"/>
              </w:rPr>
            </w:pPr>
            <w:r>
              <w:rPr>
                <w:sz w:val="18"/>
                <w:szCs w:val="18"/>
              </w:rPr>
              <w:t xml:space="preserve">          601.741,11    </w:t>
            </w:r>
          </w:p>
        </w:tc>
        <w:tc>
          <w:tcPr>
            <w:tcW w:w="711" w:type="dxa"/>
            <w:tcBorders>
              <w:top w:val="nil"/>
              <w:left w:val="nil"/>
              <w:bottom w:val="nil"/>
              <w:right w:val="nil"/>
            </w:tcBorders>
            <w:shd w:val="clear" w:color="auto" w:fill="auto"/>
            <w:noWrap/>
            <w:vAlign w:val="bottom"/>
            <w:hideMark/>
          </w:tcPr>
          <w:p w14:paraId="318B3297" w14:textId="77777777" w:rsidR="003677EC" w:rsidRDefault="003677EC">
            <w:pPr>
              <w:jc w:val="right"/>
              <w:rPr>
                <w:sz w:val="18"/>
                <w:szCs w:val="18"/>
              </w:rPr>
            </w:pPr>
            <w:r>
              <w:rPr>
                <w:sz w:val="18"/>
                <w:szCs w:val="18"/>
              </w:rPr>
              <w:t>1,58</w:t>
            </w:r>
          </w:p>
        </w:tc>
        <w:tc>
          <w:tcPr>
            <w:tcW w:w="926" w:type="dxa"/>
            <w:tcBorders>
              <w:top w:val="nil"/>
              <w:left w:val="nil"/>
              <w:bottom w:val="nil"/>
              <w:right w:val="nil"/>
            </w:tcBorders>
            <w:shd w:val="clear" w:color="auto" w:fill="auto"/>
            <w:noWrap/>
            <w:vAlign w:val="bottom"/>
            <w:hideMark/>
          </w:tcPr>
          <w:p w14:paraId="4420958F" w14:textId="77777777" w:rsidR="003677EC" w:rsidRDefault="003677EC">
            <w:pPr>
              <w:jc w:val="right"/>
              <w:rPr>
                <w:sz w:val="18"/>
                <w:szCs w:val="18"/>
              </w:rPr>
            </w:pPr>
            <w:r>
              <w:rPr>
                <w:sz w:val="18"/>
                <w:szCs w:val="18"/>
              </w:rPr>
              <w:t>175</w:t>
            </w:r>
          </w:p>
        </w:tc>
        <w:tc>
          <w:tcPr>
            <w:tcW w:w="960" w:type="dxa"/>
            <w:tcBorders>
              <w:top w:val="nil"/>
              <w:left w:val="nil"/>
              <w:bottom w:val="nil"/>
              <w:right w:val="nil"/>
            </w:tcBorders>
            <w:shd w:val="clear" w:color="auto" w:fill="auto"/>
            <w:noWrap/>
            <w:vAlign w:val="bottom"/>
            <w:hideMark/>
          </w:tcPr>
          <w:p w14:paraId="31166C76" w14:textId="77777777" w:rsidR="003677EC" w:rsidRDefault="003677EC">
            <w:pPr>
              <w:jc w:val="right"/>
              <w:rPr>
                <w:sz w:val="18"/>
                <w:szCs w:val="18"/>
              </w:rPr>
            </w:pPr>
            <w:r>
              <w:rPr>
                <w:sz w:val="18"/>
                <w:szCs w:val="18"/>
              </w:rPr>
              <w:t>90</w:t>
            </w:r>
          </w:p>
        </w:tc>
      </w:tr>
      <w:tr w:rsidR="003677EC" w14:paraId="69B0E45B" w14:textId="77777777" w:rsidTr="003677EC">
        <w:trPr>
          <w:trHeight w:val="240"/>
        </w:trPr>
        <w:tc>
          <w:tcPr>
            <w:tcW w:w="621" w:type="dxa"/>
            <w:tcBorders>
              <w:top w:val="nil"/>
              <w:left w:val="nil"/>
              <w:bottom w:val="nil"/>
              <w:right w:val="nil"/>
            </w:tcBorders>
            <w:shd w:val="clear" w:color="auto" w:fill="auto"/>
            <w:noWrap/>
            <w:vAlign w:val="bottom"/>
            <w:hideMark/>
          </w:tcPr>
          <w:p w14:paraId="27FA3A1F" w14:textId="77777777" w:rsidR="003677EC" w:rsidRDefault="003677EC">
            <w:pPr>
              <w:rPr>
                <w:sz w:val="18"/>
                <w:szCs w:val="18"/>
              </w:rPr>
            </w:pPr>
            <w:r>
              <w:rPr>
                <w:sz w:val="18"/>
                <w:szCs w:val="18"/>
              </w:rPr>
              <w:t>1.1.3.</w:t>
            </w:r>
          </w:p>
        </w:tc>
        <w:tc>
          <w:tcPr>
            <w:tcW w:w="2498" w:type="dxa"/>
            <w:tcBorders>
              <w:top w:val="nil"/>
              <w:left w:val="nil"/>
              <w:bottom w:val="nil"/>
              <w:right w:val="nil"/>
            </w:tcBorders>
            <w:shd w:val="clear" w:color="auto" w:fill="auto"/>
            <w:vAlign w:val="bottom"/>
            <w:hideMark/>
          </w:tcPr>
          <w:p w14:paraId="4594717B" w14:textId="77777777" w:rsidR="003677EC" w:rsidRDefault="003677EC">
            <w:pPr>
              <w:rPr>
                <w:sz w:val="18"/>
                <w:szCs w:val="18"/>
              </w:rPr>
            </w:pPr>
            <w:r>
              <w:rPr>
                <w:sz w:val="18"/>
                <w:szCs w:val="18"/>
              </w:rPr>
              <w:t>Doprinosi na plaće</w:t>
            </w:r>
          </w:p>
        </w:tc>
        <w:tc>
          <w:tcPr>
            <w:tcW w:w="1417" w:type="dxa"/>
            <w:tcBorders>
              <w:top w:val="nil"/>
              <w:left w:val="nil"/>
              <w:bottom w:val="nil"/>
              <w:right w:val="nil"/>
            </w:tcBorders>
            <w:shd w:val="clear" w:color="auto" w:fill="auto"/>
            <w:noWrap/>
            <w:vAlign w:val="bottom"/>
            <w:hideMark/>
          </w:tcPr>
          <w:p w14:paraId="6AD25AB1" w14:textId="77777777" w:rsidR="003677EC" w:rsidRDefault="003677EC" w:rsidP="003677EC">
            <w:pPr>
              <w:jc w:val="right"/>
              <w:rPr>
                <w:sz w:val="18"/>
                <w:szCs w:val="18"/>
              </w:rPr>
            </w:pPr>
            <w:r>
              <w:rPr>
                <w:sz w:val="18"/>
                <w:szCs w:val="18"/>
              </w:rPr>
              <w:t xml:space="preserve">       1.134.856,97    </w:t>
            </w:r>
          </w:p>
        </w:tc>
        <w:tc>
          <w:tcPr>
            <w:tcW w:w="1276" w:type="dxa"/>
            <w:tcBorders>
              <w:top w:val="nil"/>
              <w:left w:val="nil"/>
              <w:bottom w:val="nil"/>
              <w:right w:val="nil"/>
            </w:tcBorders>
            <w:shd w:val="clear" w:color="auto" w:fill="auto"/>
            <w:noWrap/>
            <w:vAlign w:val="bottom"/>
            <w:hideMark/>
          </w:tcPr>
          <w:p w14:paraId="22EE1E6E" w14:textId="77777777" w:rsidR="003677EC" w:rsidRDefault="003677EC" w:rsidP="003677EC">
            <w:pPr>
              <w:jc w:val="right"/>
              <w:rPr>
                <w:sz w:val="18"/>
                <w:szCs w:val="18"/>
              </w:rPr>
            </w:pPr>
            <w:r>
              <w:rPr>
                <w:sz w:val="18"/>
                <w:szCs w:val="18"/>
              </w:rPr>
              <w:t xml:space="preserve">       1.212.642,11    </w:t>
            </w:r>
          </w:p>
        </w:tc>
        <w:tc>
          <w:tcPr>
            <w:tcW w:w="1251" w:type="dxa"/>
            <w:tcBorders>
              <w:top w:val="nil"/>
              <w:left w:val="nil"/>
              <w:bottom w:val="nil"/>
              <w:right w:val="nil"/>
            </w:tcBorders>
            <w:shd w:val="clear" w:color="auto" w:fill="auto"/>
            <w:noWrap/>
            <w:vAlign w:val="bottom"/>
            <w:hideMark/>
          </w:tcPr>
          <w:p w14:paraId="24122B9E" w14:textId="77777777" w:rsidR="003677EC" w:rsidRDefault="003677EC" w:rsidP="003677EC">
            <w:pPr>
              <w:jc w:val="right"/>
              <w:rPr>
                <w:sz w:val="18"/>
                <w:szCs w:val="18"/>
              </w:rPr>
            </w:pPr>
            <w:r>
              <w:rPr>
                <w:sz w:val="18"/>
                <w:szCs w:val="18"/>
              </w:rPr>
              <w:t xml:space="preserve">       1.165.904,08    </w:t>
            </w:r>
          </w:p>
        </w:tc>
        <w:tc>
          <w:tcPr>
            <w:tcW w:w="711" w:type="dxa"/>
            <w:tcBorders>
              <w:top w:val="nil"/>
              <w:left w:val="nil"/>
              <w:bottom w:val="nil"/>
              <w:right w:val="nil"/>
            </w:tcBorders>
            <w:shd w:val="clear" w:color="auto" w:fill="auto"/>
            <w:noWrap/>
            <w:vAlign w:val="bottom"/>
            <w:hideMark/>
          </w:tcPr>
          <w:p w14:paraId="68201514" w14:textId="77777777" w:rsidR="003677EC" w:rsidRDefault="003677EC">
            <w:pPr>
              <w:jc w:val="right"/>
              <w:rPr>
                <w:sz w:val="18"/>
                <w:szCs w:val="18"/>
              </w:rPr>
            </w:pPr>
            <w:r>
              <w:rPr>
                <w:sz w:val="18"/>
                <w:szCs w:val="18"/>
              </w:rPr>
              <w:t>3,05</w:t>
            </w:r>
          </w:p>
        </w:tc>
        <w:tc>
          <w:tcPr>
            <w:tcW w:w="926" w:type="dxa"/>
            <w:tcBorders>
              <w:top w:val="nil"/>
              <w:left w:val="nil"/>
              <w:bottom w:val="nil"/>
              <w:right w:val="nil"/>
            </w:tcBorders>
            <w:shd w:val="clear" w:color="auto" w:fill="auto"/>
            <w:noWrap/>
            <w:vAlign w:val="bottom"/>
            <w:hideMark/>
          </w:tcPr>
          <w:p w14:paraId="31D58173" w14:textId="77777777" w:rsidR="003677EC" w:rsidRDefault="003677EC">
            <w:pPr>
              <w:jc w:val="right"/>
              <w:rPr>
                <w:sz w:val="18"/>
                <w:szCs w:val="18"/>
              </w:rPr>
            </w:pPr>
            <w:r>
              <w:rPr>
                <w:sz w:val="18"/>
                <w:szCs w:val="18"/>
              </w:rPr>
              <w:t>103</w:t>
            </w:r>
          </w:p>
        </w:tc>
        <w:tc>
          <w:tcPr>
            <w:tcW w:w="960" w:type="dxa"/>
            <w:tcBorders>
              <w:top w:val="nil"/>
              <w:left w:val="nil"/>
              <w:bottom w:val="nil"/>
              <w:right w:val="nil"/>
            </w:tcBorders>
            <w:shd w:val="clear" w:color="auto" w:fill="auto"/>
            <w:noWrap/>
            <w:vAlign w:val="bottom"/>
            <w:hideMark/>
          </w:tcPr>
          <w:p w14:paraId="66D3E2CE" w14:textId="77777777" w:rsidR="003677EC" w:rsidRDefault="003677EC">
            <w:pPr>
              <w:jc w:val="right"/>
              <w:rPr>
                <w:sz w:val="18"/>
                <w:szCs w:val="18"/>
              </w:rPr>
            </w:pPr>
            <w:r>
              <w:rPr>
                <w:sz w:val="18"/>
                <w:szCs w:val="18"/>
              </w:rPr>
              <w:t>96</w:t>
            </w:r>
          </w:p>
        </w:tc>
      </w:tr>
      <w:tr w:rsidR="003677EC" w14:paraId="57A4B51B" w14:textId="77777777" w:rsidTr="003677EC">
        <w:trPr>
          <w:trHeight w:val="240"/>
        </w:trPr>
        <w:tc>
          <w:tcPr>
            <w:tcW w:w="621" w:type="dxa"/>
            <w:tcBorders>
              <w:top w:val="nil"/>
              <w:left w:val="nil"/>
              <w:bottom w:val="nil"/>
              <w:right w:val="nil"/>
            </w:tcBorders>
            <w:shd w:val="clear" w:color="000000" w:fill="CCFFFF"/>
            <w:noWrap/>
            <w:vAlign w:val="bottom"/>
            <w:hideMark/>
          </w:tcPr>
          <w:p w14:paraId="42356A00" w14:textId="77777777" w:rsidR="003677EC" w:rsidRDefault="003677EC">
            <w:pPr>
              <w:rPr>
                <w:sz w:val="18"/>
                <w:szCs w:val="18"/>
              </w:rPr>
            </w:pPr>
            <w:r>
              <w:rPr>
                <w:sz w:val="18"/>
                <w:szCs w:val="18"/>
              </w:rPr>
              <w:t>1.2.</w:t>
            </w:r>
          </w:p>
        </w:tc>
        <w:tc>
          <w:tcPr>
            <w:tcW w:w="2498" w:type="dxa"/>
            <w:tcBorders>
              <w:top w:val="nil"/>
              <w:left w:val="nil"/>
              <w:bottom w:val="nil"/>
              <w:right w:val="nil"/>
            </w:tcBorders>
            <w:shd w:val="clear" w:color="000000" w:fill="CCFFFF"/>
            <w:vAlign w:val="bottom"/>
            <w:hideMark/>
          </w:tcPr>
          <w:p w14:paraId="16304DE8" w14:textId="77777777" w:rsidR="003677EC" w:rsidRDefault="003677EC">
            <w:pPr>
              <w:rPr>
                <w:sz w:val="18"/>
                <w:szCs w:val="18"/>
              </w:rPr>
            </w:pPr>
            <w:r>
              <w:rPr>
                <w:sz w:val="18"/>
                <w:szCs w:val="18"/>
              </w:rPr>
              <w:t>Materijalni rashodi</w:t>
            </w:r>
          </w:p>
        </w:tc>
        <w:tc>
          <w:tcPr>
            <w:tcW w:w="1417" w:type="dxa"/>
            <w:tcBorders>
              <w:top w:val="nil"/>
              <w:left w:val="nil"/>
              <w:bottom w:val="nil"/>
              <w:right w:val="nil"/>
            </w:tcBorders>
            <w:shd w:val="clear" w:color="000000" w:fill="CCFFFF"/>
            <w:noWrap/>
            <w:vAlign w:val="bottom"/>
            <w:hideMark/>
          </w:tcPr>
          <w:p w14:paraId="562970D5" w14:textId="77777777" w:rsidR="003677EC" w:rsidRDefault="003677EC" w:rsidP="003677EC">
            <w:pPr>
              <w:jc w:val="right"/>
              <w:rPr>
                <w:sz w:val="18"/>
                <w:szCs w:val="18"/>
              </w:rPr>
            </w:pPr>
            <w:r>
              <w:rPr>
                <w:sz w:val="18"/>
                <w:szCs w:val="18"/>
              </w:rPr>
              <w:t xml:space="preserve">     11.991.376,40    </w:t>
            </w:r>
          </w:p>
        </w:tc>
        <w:tc>
          <w:tcPr>
            <w:tcW w:w="1276" w:type="dxa"/>
            <w:tcBorders>
              <w:top w:val="nil"/>
              <w:left w:val="nil"/>
              <w:bottom w:val="nil"/>
              <w:right w:val="nil"/>
            </w:tcBorders>
            <w:shd w:val="clear" w:color="000000" w:fill="CCFFFF"/>
            <w:noWrap/>
            <w:vAlign w:val="bottom"/>
            <w:hideMark/>
          </w:tcPr>
          <w:p w14:paraId="0EDA7406" w14:textId="77777777" w:rsidR="003677EC" w:rsidRDefault="003677EC" w:rsidP="003677EC">
            <w:pPr>
              <w:jc w:val="right"/>
              <w:rPr>
                <w:sz w:val="18"/>
                <w:szCs w:val="18"/>
              </w:rPr>
            </w:pPr>
            <w:r>
              <w:rPr>
                <w:sz w:val="18"/>
                <w:szCs w:val="18"/>
              </w:rPr>
              <w:t xml:space="preserve">     16.022.561,13    </w:t>
            </w:r>
          </w:p>
        </w:tc>
        <w:tc>
          <w:tcPr>
            <w:tcW w:w="1251" w:type="dxa"/>
            <w:tcBorders>
              <w:top w:val="nil"/>
              <w:left w:val="nil"/>
              <w:bottom w:val="nil"/>
              <w:right w:val="nil"/>
            </w:tcBorders>
            <w:shd w:val="clear" w:color="000000" w:fill="CCFFFF"/>
            <w:noWrap/>
            <w:vAlign w:val="bottom"/>
            <w:hideMark/>
          </w:tcPr>
          <w:p w14:paraId="6DA1B915" w14:textId="77777777" w:rsidR="003677EC" w:rsidRDefault="003677EC" w:rsidP="003677EC">
            <w:pPr>
              <w:jc w:val="right"/>
              <w:rPr>
                <w:sz w:val="18"/>
                <w:szCs w:val="18"/>
              </w:rPr>
            </w:pPr>
            <w:r>
              <w:rPr>
                <w:sz w:val="18"/>
                <w:szCs w:val="18"/>
              </w:rPr>
              <w:t xml:space="preserve">     15.049.798,37    </w:t>
            </w:r>
          </w:p>
        </w:tc>
        <w:tc>
          <w:tcPr>
            <w:tcW w:w="711" w:type="dxa"/>
            <w:tcBorders>
              <w:top w:val="nil"/>
              <w:left w:val="nil"/>
              <w:bottom w:val="nil"/>
              <w:right w:val="nil"/>
            </w:tcBorders>
            <w:shd w:val="clear" w:color="000000" w:fill="CCFFFF"/>
            <w:noWrap/>
            <w:vAlign w:val="bottom"/>
            <w:hideMark/>
          </w:tcPr>
          <w:p w14:paraId="70464F97" w14:textId="77777777" w:rsidR="003677EC" w:rsidRDefault="003677EC">
            <w:pPr>
              <w:jc w:val="right"/>
              <w:rPr>
                <w:sz w:val="18"/>
                <w:szCs w:val="18"/>
              </w:rPr>
            </w:pPr>
            <w:r>
              <w:rPr>
                <w:sz w:val="18"/>
                <w:szCs w:val="18"/>
              </w:rPr>
              <w:t>39,42</w:t>
            </w:r>
          </w:p>
        </w:tc>
        <w:tc>
          <w:tcPr>
            <w:tcW w:w="926" w:type="dxa"/>
            <w:tcBorders>
              <w:top w:val="nil"/>
              <w:left w:val="nil"/>
              <w:bottom w:val="nil"/>
              <w:right w:val="nil"/>
            </w:tcBorders>
            <w:shd w:val="clear" w:color="000000" w:fill="CCFFFF"/>
            <w:noWrap/>
            <w:vAlign w:val="bottom"/>
            <w:hideMark/>
          </w:tcPr>
          <w:p w14:paraId="54684286" w14:textId="77777777" w:rsidR="003677EC" w:rsidRDefault="003677EC">
            <w:pPr>
              <w:jc w:val="right"/>
              <w:rPr>
                <w:sz w:val="18"/>
                <w:szCs w:val="18"/>
              </w:rPr>
            </w:pPr>
            <w:r>
              <w:rPr>
                <w:sz w:val="18"/>
                <w:szCs w:val="18"/>
              </w:rPr>
              <w:t>126</w:t>
            </w:r>
          </w:p>
        </w:tc>
        <w:tc>
          <w:tcPr>
            <w:tcW w:w="960" w:type="dxa"/>
            <w:tcBorders>
              <w:top w:val="nil"/>
              <w:left w:val="nil"/>
              <w:bottom w:val="nil"/>
              <w:right w:val="nil"/>
            </w:tcBorders>
            <w:shd w:val="clear" w:color="000000" w:fill="CCFFFF"/>
            <w:noWrap/>
            <w:vAlign w:val="bottom"/>
            <w:hideMark/>
          </w:tcPr>
          <w:p w14:paraId="3ECCF375" w14:textId="77777777" w:rsidR="003677EC" w:rsidRDefault="003677EC">
            <w:pPr>
              <w:jc w:val="right"/>
              <w:rPr>
                <w:sz w:val="18"/>
                <w:szCs w:val="18"/>
              </w:rPr>
            </w:pPr>
            <w:r>
              <w:rPr>
                <w:sz w:val="18"/>
                <w:szCs w:val="18"/>
              </w:rPr>
              <w:t>94</w:t>
            </w:r>
          </w:p>
        </w:tc>
      </w:tr>
      <w:tr w:rsidR="003677EC" w14:paraId="1CA5AB49" w14:textId="77777777" w:rsidTr="003677EC">
        <w:trPr>
          <w:trHeight w:val="240"/>
        </w:trPr>
        <w:tc>
          <w:tcPr>
            <w:tcW w:w="621" w:type="dxa"/>
            <w:tcBorders>
              <w:top w:val="nil"/>
              <w:left w:val="nil"/>
              <w:bottom w:val="nil"/>
              <w:right w:val="nil"/>
            </w:tcBorders>
            <w:shd w:val="clear" w:color="auto" w:fill="auto"/>
            <w:noWrap/>
            <w:vAlign w:val="bottom"/>
            <w:hideMark/>
          </w:tcPr>
          <w:p w14:paraId="64C4B256" w14:textId="77777777" w:rsidR="003677EC" w:rsidRDefault="003677EC">
            <w:pPr>
              <w:rPr>
                <w:sz w:val="18"/>
                <w:szCs w:val="18"/>
              </w:rPr>
            </w:pPr>
            <w:r>
              <w:rPr>
                <w:sz w:val="18"/>
                <w:szCs w:val="18"/>
              </w:rPr>
              <w:t>1.2.1.</w:t>
            </w:r>
          </w:p>
        </w:tc>
        <w:tc>
          <w:tcPr>
            <w:tcW w:w="2498" w:type="dxa"/>
            <w:tcBorders>
              <w:top w:val="nil"/>
              <w:left w:val="nil"/>
              <w:bottom w:val="nil"/>
              <w:right w:val="nil"/>
            </w:tcBorders>
            <w:shd w:val="clear" w:color="auto" w:fill="auto"/>
            <w:vAlign w:val="bottom"/>
            <w:hideMark/>
          </w:tcPr>
          <w:p w14:paraId="68FA6BCD" w14:textId="77777777" w:rsidR="003677EC" w:rsidRDefault="003677EC">
            <w:pPr>
              <w:rPr>
                <w:sz w:val="18"/>
                <w:szCs w:val="18"/>
              </w:rPr>
            </w:pPr>
            <w:r>
              <w:rPr>
                <w:sz w:val="18"/>
                <w:szCs w:val="18"/>
              </w:rPr>
              <w:t>Naknade troškova zaposlenima</w:t>
            </w:r>
          </w:p>
        </w:tc>
        <w:tc>
          <w:tcPr>
            <w:tcW w:w="1417" w:type="dxa"/>
            <w:tcBorders>
              <w:top w:val="nil"/>
              <w:left w:val="nil"/>
              <w:bottom w:val="nil"/>
              <w:right w:val="nil"/>
            </w:tcBorders>
            <w:shd w:val="clear" w:color="auto" w:fill="auto"/>
            <w:noWrap/>
            <w:vAlign w:val="bottom"/>
            <w:hideMark/>
          </w:tcPr>
          <w:p w14:paraId="6A067A27" w14:textId="77777777" w:rsidR="003677EC" w:rsidRDefault="003677EC" w:rsidP="003677EC">
            <w:pPr>
              <w:jc w:val="right"/>
              <w:rPr>
                <w:sz w:val="18"/>
                <w:szCs w:val="18"/>
              </w:rPr>
            </w:pPr>
            <w:r>
              <w:rPr>
                <w:sz w:val="18"/>
                <w:szCs w:val="18"/>
              </w:rPr>
              <w:t xml:space="preserve">          473.462,88    </w:t>
            </w:r>
          </w:p>
        </w:tc>
        <w:tc>
          <w:tcPr>
            <w:tcW w:w="1276" w:type="dxa"/>
            <w:tcBorders>
              <w:top w:val="nil"/>
              <w:left w:val="nil"/>
              <w:bottom w:val="nil"/>
              <w:right w:val="nil"/>
            </w:tcBorders>
            <w:shd w:val="clear" w:color="auto" w:fill="auto"/>
            <w:noWrap/>
            <w:vAlign w:val="bottom"/>
            <w:hideMark/>
          </w:tcPr>
          <w:p w14:paraId="15890C7A" w14:textId="77777777" w:rsidR="003677EC" w:rsidRDefault="003677EC" w:rsidP="003677EC">
            <w:pPr>
              <w:jc w:val="right"/>
              <w:rPr>
                <w:sz w:val="18"/>
                <w:szCs w:val="18"/>
              </w:rPr>
            </w:pPr>
            <w:r>
              <w:rPr>
                <w:sz w:val="18"/>
                <w:szCs w:val="18"/>
              </w:rPr>
              <w:t xml:space="preserve">          551.303,00    </w:t>
            </w:r>
          </w:p>
        </w:tc>
        <w:tc>
          <w:tcPr>
            <w:tcW w:w="1251" w:type="dxa"/>
            <w:tcBorders>
              <w:top w:val="nil"/>
              <w:left w:val="nil"/>
              <w:bottom w:val="nil"/>
              <w:right w:val="nil"/>
            </w:tcBorders>
            <w:shd w:val="clear" w:color="auto" w:fill="auto"/>
            <w:noWrap/>
            <w:vAlign w:val="bottom"/>
            <w:hideMark/>
          </w:tcPr>
          <w:p w14:paraId="45B063C9" w14:textId="77777777" w:rsidR="003677EC" w:rsidRDefault="003677EC" w:rsidP="003677EC">
            <w:pPr>
              <w:jc w:val="right"/>
              <w:rPr>
                <w:sz w:val="18"/>
                <w:szCs w:val="18"/>
              </w:rPr>
            </w:pPr>
            <w:r>
              <w:rPr>
                <w:sz w:val="18"/>
                <w:szCs w:val="18"/>
              </w:rPr>
              <w:t xml:space="preserve">          500.596,82    </w:t>
            </w:r>
          </w:p>
        </w:tc>
        <w:tc>
          <w:tcPr>
            <w:tcW w:w="711" w:type="dxa"/>
            <w:tcBorders>
              <w:top w:val="nil"/>
              <w:left w:val="nil"/>
              <w:bottom w:val="nil"/>
              <w:right w:val="nil"/>
            </w:tcBorders>
            <w:shd w:val="clear" w:color="auto" w:fill="auto"/>
            <w:noWrap/>
            <w:vAlign w:val="bottom"/>
            <w:hideMark/>
          </w:tcPr>
          <w:p w14:paraId="1AF0EA17" w14:textId="77777777" w:rsidR="003677EC" w:rsidRDefault="003677EC">
            <w:pPr>
              <w:jc w:val="right"/>
              <w:rPr>
                <w:sz w:val="18"/>
                <w:szCs w:val="18"/>
              </w:rPr>
            </w:pPr>
            <w:r>
              <w:rPr>
                <w:sz w:val="18"/>
                <w:szCs w:val="18"/>
              </w:rPr>
              <w:t>1,31</w:t>
            </w:r>
          </w:p>
        </w:tc>
        <w:tc>
          <w:tcPr>
            <w:tcW w:w="926" w:type="dxa"/>
            <w:tcBorders>
              <w:top w:val="nil"/>
              <w:left w:val="nil"/>
              <w:bottom w:val="nil"/>
              <w:right w:val="nil"/>
            </w:tcBorders>
            <w:shd w:val="clear" w:color="auto" w:fill="auto"/>
            <w:noWrap/>
            <w:vAlign w:val="bottom"/>
            <w:hideMark/>
          </w:tcPr>
          <w:p w14:paraId="2751468E" w14:textId="77777777" w:rsidR="003677EC" w:rsidRDefault="003677EC">
            <w:pPr>
              <w:jc w:val="right"/>
              <w:rPr>
                <w:sz w:val="18"/>
                <w:szCs w:val="18"/>
              </w:rPr>
            </w:pPr>
            <w:r>
              <w:rPr>
                <w:sz w:val="18"/>
                <w:szCs w:val="18"/>
              </w:rPr>
              <w:t>106</w:t>
            </w:r>
          </w:p>
        </w:tc>
        <w:tc>
          <w:tcPr>
            <w:tcW w:w="960" w:type="dxa"/>
            <w:tcBorders>
              <w:top w:val="nil"/>
              <w:left w:val="nil"/>
              <w:bottom w:val="nil"/>
              <w:right w:val="nil"/>
            </w:tcBorders>
            <w:shd w:val="clear" w:color="auto" w:fill="auto"/>
            <w:noWrap/>
            <w:vAlign w:val="bottom"/>
            <w:hideMark/>
          </w:tcPr>
          <w:p w14:paraId="740C7306" w14:textId="77777777" w:rsidR="003677EC" w:rsidRDefault="003677EC">
            <w:pPr>
              <w:jc w:val="right"/>
              <w:rPr>
                <w:sz w:val="18"/>
                <w:szCs w:val="18"/>
              </w:rPr>
            </w:pPr>
            <w:r>
              <w:rPr>
                <w:sz w:val="18"/>
                <w:szCs w:val="18"/>
              </w:rPr>
              <w:t>91</w:t>
            </w:r>
          </w:p>
        </w:tc>
      </w:tr>
      <w:tr w:rsidR="003677EC" w14:paraId="436FB286" w14:textId="77777777" w:rsidTr="003677EC">
        <w:trPr>
          <w:trHeight w:val="240"/>
        </w:trPr>
        <w:tc>
          <w:tcPr>
            <w:tcW w:w="621" w:type="dxa"/>
            <w:tcBorders>
              <w:top w:val="nil"/>
              <w:left w:val="nil"/>
              <w:bottom w:val="nil"/>
              <w:right w:val="nil"/>
            </w:tcBorders>
            <w:shd w:val="clear" w:color="auto" w:fill="auto"/>
            <w:noWrap/>
            <w:vAlign w:val="bottom"/>
            <w:hideMark/>
          </w:tcPr>
          <w:p w14:paraId="1AA8DDF9" w14:textId="77777777" w:rsidR="003677EC" w:rsidRDefault="003677EC">
            <w:pPr>
              <w:rPr>
                <w:sz w:val="18"/>
                <w:szCs w:val="18"/>
              </w:rPr>
            </w:pPr>
            <w:r>
              <w:rPr>
                <w:sz w:val="18"/>
                <w:szCs w:val="18"/>
              </w:rPr>
              <w:t>1.2.2.</w:t>
            </w:r>
          </w:p>
        </w:tc>
        <w:tc>
          <w:tcPr>
            <w:tcW w:w="2498" w:type="dxa"/>
            <w:tcBorders>
              <w:top w:val="nil"/>
              <w:left w:val="nil"/>
              <w:bottom w:val="nil"/>
              <w:right w:val="nil"/>
            </w:tcBorders>
            <w:shd w:val="clear" w:color="auto" w:fill="auto"/>
            <w:vAlign w:val="bottom"/>
            <w:hideMark/>
          </w:tcPr>
          <w:p w14:paraId="5B5853C0" w14:textId="77777777" w:rsidR="003677EC" w:rsidRDefault="003677EC">
            <w:pPr>
              <w:rPr>
                <w:sz w:val="18"/>
                <w:szCs w:val="18"/>
              </w:rPr>
            </w:pPr>
            <w:r>
              <w:rPr>
                <w:sz w:val="18"/>
                <w:szCs w:val="18"/>
              </w:rPr>
              <w:t>Rashodi za materijal i energiju</w:t>
            </w:r>
          </w:p>
        </w:tc>
        <w:tc>
          <w:tcPr>
            <w:tcW w:w="1417" w:type="dxa"/>
            <w:tcBorders>
              <w:top w:val="nil"/>
              <w:left w:val="nil"/>
              <w:bottom w:val="nil"/>
              <w:right w:val="nil"/>
            </w:tcBorders>
            <w:shd w:val="clear" w:color="auto" w:fill="auto"/>
            <w:noWrap/>
            <w:vAlign w:val="bottom"/>
            <w:hideMark/>
          </w:tcPr>
          <w:p w14:paraId="6691D2BA" w14:textId="77777777" w:rsidR="003677EC" w:rsidRDefault="003677EC" w:rsidP="003677EC">
            <w:pPr>
              <w:jc w:val="right"/>
              <w:rPr>
                <w:sz w:val="18"/>
                <w:szCs w:val="18"/>
              </w:rPr>
            </w:pPr>
            <w:r>
              <w:rPr>
                <w:sz w:val="18"/>
                <w:szCs w:val="18"/>
              </w:rPr>
              <w:t xml:space="preserve">       1.593.727,57    </w:t>
            </w:r>
          </w:p>
        </w:tc>
        <w:tc>
          <w:tcPr>
            <w:tcW w:w="1276" w:type="dxa"/>
            <w:tcBorders>
              <w:top w:val="nil"/>
              <w:left w:val="nil"/>
              <w:bottom w:val="nil"/>
              <w:right w:val="nil"/>
            </w:tcBorders>
            <w:shd w:val="clear" w:color="auto" w:fill="auto"/>
            <w:noWrap/>
            <w:vAlign w:val="bottom"/>
            <w:hideMark/>
          </w:tcPr>
          <w:p w14:paraId="034E0B95" w14:textId="77777777" w:rsidR="003677EC" w:rsidRDefault="003677EC" w:rsidP="003677EC">
            <w:pPr>
              <w:jc w:val="right"/>
              <w:rPr>
                <w:sz w:val="18"/>
                <w:szCs w:val="18"/>
              </w:rPr>
            </w:pPr>
            <w:r>
              <w:rPr>
                <w:sz w:val="18"/>
                <w:szCs w:val="18"/>
              </w:rPr>
              <w:t xml:space="preserve">       2.251.203,86    </w:t>
            </w:r>
          </w:p>
        </w:tc>
        <w:tc>
          <w:tcPr>
            <w:tcW w:w="1251" w:type="dxa"/>
            <w:tcBorders>
              <w:top w:val="nil"/>
              <w:left w:val="nil"/>
              <w:bottom w:val="nil"/>
              <w:right w:val="nil"/>
            </w:tcBorders>
            <w:shd w:val="clear" w:color="auto" w:fill="auto"/>
            <w:noWrap/>
            <w:vAlign w:val="bottom"/>
            <w:hideMark/>
          </w:tcPr>
          <w:p w14:paraId="641EF6B8" w14:textId="77777777" w:rsidR="003677EC" w:rsidRDefault="003677EC" w:rsidP="003677EC">
            <w:pPr>
              <w:jc w:val="right"/>
              <w:rPr>
                <w:sz w:val="18"/>
                <w:szCs w:val="18"/>
              </w:rPr>
            </w:pPr>
            <w:r>
              <w:rPr>
                <w:sz w:val="18"/>
                <w:szCs w:val="18"/>
              </w:rPr>
              <w:t xml:space="preserve">       2.045.549,99    </w:t>
            </w:r>
          </w:p>
        </w:tc>
        <w:tc>
          <w:tcPr>
            <w:tcW w:w="711" w:type="dxa"/>
            <w:tcBorders>
              <w:top w:val="nil"/>
              <w:left w:val="nil"/>
              <w:bottom w:val="nil"/>
              <w:right w:val="nil"/>
            </w:tcBorders>
            <w:shd w:val="clear" w:color="auto" w:fill="auto"/>
            <w:noWrap/>
            <w:vAlign w:val="bottom"/>
            <w:hideMark/>
          </w:tcPr>
          <w:p w14:paraId="12EBD567" w14:textId="77777777" w:rsidR="003677EC" w:rsidRDefault="003677EC">
            <w:pPr>
              <w:jc w:val="right"/>
              <w:rPr>
                <w:sz w:val="18"/>
                <w:szCs w:val="18"/>
              </w:rPr>
            </w:pPr>
            <w:r>
              <w:rPr>
                <w:sz w:val="18"/>
                <w:szCs w:val="18"/>
              </w:rPr>
              <w:t>5,36</w:t>
            </w:r>
          </w:p>
        </w:tc>
        <w:tc>
          <w:tcPr>
            <w:tcW w:w="926" w:type="dxa"/>
            <w:tcBorders>
              <w:top w:val="nil"/>
              <w:left w:val="nil"/>
              <w:bottom w:val="nil"/>
              <w:right w:val="nil"/>
            </w:tcBorders>
            <w:shd w:val="clear" w:color="auto" w:fill="auto"/>
            <w:noWrap/>
            <w:vAlign w:val="bottom"/>
            <w:hideMark/>
          </w:tcPr>
          <w:p w14:paraId="7C6691C1" w14:textId="77777777" w:rsidR="003677EC" w:rsidRDefault="003677EC">
            <w:pPr>
              <w:jc w:val="right"/>
              <w:rPr>
                <w:sz w:val="18"/>
                <w:szCs w:val="18"/>
              </w:rPr>
            </w:pPr>
            <w:r>
              <w:rPr>
                <w:sz w:val="18"/>
                <w:szCs w:val="18"/>
              </w:rPr>
              <w:t>128</w:t>
            </w:r>
          </w:p>
        </w:tc>
        <w:tc>
          <w:tcPr>
            <w:tcW w:w="960" w:type="dxa"/>
            <w:tcBorders>
              <w:top w:val="nil"/>
              <w:left w:val="nil"/>
              <w:bottom w:val="nil"/>
              <w:right w:val="nil"/>
            </w:tcBorders>
            <w:shd w:val="clear" w:color="auto" w:fill="auto"/>
            <w:noWrap/>
            <w:vAlign w:val="bottom"/>
            <w:hideMark/>
          </w:tcPr>
          <w:p w14:paraId="05F281F1" w14:textId="77777777" w:rsidR="003677EC" w:rsidRDefault="003677EC">
            <w:pPr>
              <w:jc w:val="right"/>
              <w:rPr>
                <w:sz w:val="18"/>
                <w:szCs w:val="18"/>
              </w:rPr>
            </w:pPr>
            <w:r>
              <w:rPr>
                <w:sz w:val="18"/>
                <w:szCs w:val="18"/>
              </w:rPr>
              <w:t>91</w:t>
            </w:r>
          </w:p>
        </w:tc>
      </w:tr>
      <w:tr w:rsidR="003677EC" w14:paraId="67AC39FD" w14:textId="77777777" w:rsidTr="003677EC">
        <w:trPr>
          <w:trHeight w:val="240"/>
        </w:trPr>
        <w:tc>
          <w:tcPr>
            <w:tcW w:w="621" w:type="dxa"/>
            <w:tcBorders>
              <w:top w:val="nil"/>
              <w:left w:val="nil"/>
              <w:bottom w:val="nil"/>
              <w:right w:val="nil"/>
            </w:tcBorders>
            <w:shd w:val="clear" w:color="auto" w:fill="auto"/>
            <w:noWrap/>
            <w:vAlign w:val="bottom"/>
            <w:hideMark/>
          </w:tcPr>
          <w:p w14:paraId="2F208C75" w14:textId="77777777" w:rsidR="003677EC" w:rsidRDefault="003677EC">
            <w:pPr>
              <w:rPr>
                <w:sz w:val="18"/>
                <w:szCs w:val="18"/>
              </w:rPr>
            </w:pPr>
            <w:r>
              <w:rPr>
                <w:sz w:val="18"/>
                <w:szCs w:val="18"/>
              </w:rPr>
              <w:t>1.2.3.</w:t>
            </w:r>
          </w:p>
        </w:tc>
        <w:tc>
          <w:tcPr>
            <w:tcW w:w="2498" w:type="dxa"/>
            <w:tcBorders>
              <w:top w:val="nil"/>
              <w:left w:val="nil"/>
              <w:bottom w:val="nil"/>
              <w:right w:val="nil"/>
            </w:tcBorders>
            <w:shd w:val="clear" w:color="auto" w:fill="auto"/>
            <w:vAlign w:val="bottom"/>
            <w:hideMark/>
          </w:tcPr>
          <w:p w14:paraId="0EB92CD0" w14:textId="77777777" w:rsidR="003677EC" w:rsidRDefault="003677EC">
            <w:pPr>
              <w:rPr>
                <w:sz w:val="18"/>
                <w:szCs w:val="18"/>
              </w:rPr>
            </w:pPr>
            <w:r>
              <w:rPr>
                <w:sz w:val="18"/>
                <w:szCs w:val="18"/>
              </w:rPr>
              <w:t>Rashodi za usluge</w:t>
            </w:r>
          </w:p>
        </w:tc>
        <w:tc>
          <w:tcPr>
            <w:tcW w:w="1417" w:type="dxa"/>
            <w:tcBorders>
              <w:top w:val="nil"/>
              <w:left w:val="nil"/>
              <w:bottom w:val="nil"/>
              <w:right w:val="nil"/>
            </w:tcBorders>
            <w:shd w:val="clear" w:color="auto" w:fill="auto"/>
            <w:noWrap/>
            <w:vAlign w:val="bottom"/>
            <w:hideMark/>
          </w:tcPr>
          <w:p w14:paraId="70F8E5E6" w14:textId="77777777" w:rsidR="003677EC" w:rsidRDefault="003677EC" w:rsidP="003677EC">
            <w:pPr>
              <w:jc w:val="right"/>
              <w:rPr>
                <w:sz w:val="18"/>
                <w:szCs w:val="18"/>
              </w:rPr>
            </w:pPr>
            <w:r>
              <w:rPr>
                <w:sz w:val="18"/>
                <w:szCs w:val="18"/>
              </w:rPr>
              <w:t xml:space="preserve">       9.003.536,92    </w:t>
            </w:r>
          </w:p>
        </w:tc>
        <w:tc>
          <w:tcPr>
            <w:tcW w:w="1276" w:type="dxa"/>
            <w:tcBorders>
              <w:top w:val="nil"/>
              <w:left w:val="nil"/>
              <w:bottom w:val="nil"/>
              <w:right w:val="nil"/>
            </w:tcBorders>
            <w:shd w:val="clear" w:color="auto" w:fill="auto"/>
            <w:noWrap/>
            <w:vAlign w:val="bottom"/>
            <w:hideMark/>
          </w:tcPr>
          <w:p w14:paraId="1798AD8E" w14:textId="77777777" w:rsidR="003677EC" w:rsidRDefault="003677EC" w:rsidP="003677EC">
            <w:pPr>
              <w:jc w:val="right"/>
              <w:rPr>
                <w:sz w:val="18"/>
                <w:szCs w:val="18"/>
              </w:rPr>
            </w:pPr>
            <w:r>
              <w:rPr>
                <w:sz w:val="18"/>
                <w:szCs w:val="18"/>
              </w:rPr>
              <w:t xml:space="preserve">     12.186.174,60    </w:t>
            </w:r>
          </w:p>
        </w:tc>
        <w:tc>
          <w:tcPr>
            <w:tcW w:w="1251" w:type="dxa"/>
            <w:tcBorders>
              <w:top w:val="nil"/>
              <w:left w:val="nil"/>
              <w:bottom w:val="nil"/>
              <w:right w:val="nil"/>
            </w:tcBorders>
            <w:shd w:val="clear" w:color="auto" w:fill="auto"/>
            <w:noWrap/>
            <w:vAlign w:val="bottom"/>
            <w:hideMark/>
          </w:tcPr>
          <w:p w14:paraId="5746E3F2" w14:textId="77777777" w:rsidR="003677EC" w:rsidRDefault="003677EC" w:rsidP="003677EC">
            <w:pPr>
              <w:jc w:val="right"/>
              <w:rPr>
                <w:sz w:val="18"/>
                <w:szCs w:val="18"/>
              </w:rPr>
            </w:pPr>
            <w:r>
              <w:rPr>
                <w:sz w:val="18"/>
                <w:szCs w:val="18"/>
              </w:rPr>
              <w:t xml:space="preserve">     11.659.323,26    </w:t>
            </w:r>
          </w:p>
        </w:tc>
        <w:tc>
          <w:tcPr>
            <w:tcW w:w="711" w:type="dxa"/>
            <w:tcBorders>
              <w:top w:val="nil"/>
              <w:left w:val="nil"/>
              <w:bottom w:val="nil"/>
              <w:right w:val="nil"/>
            </w:tcBorders>
            <w:shd w:val="clear" w:color="auto" w:fill="auto"/>
            <w:noWrap/>
            <w:vAlign w:val="bottom"/>
            <w:hideMark/>
          </w:tcPr>
          <w:p w14:paraId="55A3A011" w14:textId="77777777" w:rsidR="003677EC" w:rsidRDefault="003677EC">
            <w:pPr>
              <w:jc w:val="right"/>
              <w:rPr>
                <w:sz w:val="18"/>
                <w:szCs w:val="18"/>
              </w:rPr>
            </w:pPr>
            <w:r>
              <w:rPr>
                <w:sz w:val="18"/>
                <w:szCs w:val="18"/>
              </w:rPr>
              <w:t>30,54</w:t>
            </w:r>
          </w:p>
        </w:tc>
        <w:tc>
          <w:tcPr>
            <w:tcW w:w="926" w:type="dxa"/>
            <w:tcBorders>
              <w:top w:val="nil"/>
              <w:left w:val="nil"/>
              <w:bottom w:val="nil"/>
              <w:right w:val="nil"/>
            </w:tcBorders>
            <w:shd w:val="clear" w:color="auto" w:fill="auto"/>
            <w:noWrap/>
            <w:vAlign w:val="bottom"/>
            <w:hideMark/>
          </w:tcPr>
          <w:p w14:paraId="01408E43" w14:textId="77777777" w:rsidR="003677EC" w:rsidRDefault="003677EC">
            <w:pPr>
              <w:jc w:val="right"/>
              <w:rPr>
                <w:sz w:val="18"/>
                <w:szCs w:val="18"/>
              </w:rPr>
            </w:pPr>
            <w:r>
              <w:rPr>
                <w:sz w:val="18"/>
                <w:szCs w:val="18"/>
              </w:rPr>
              <w:t>129</w:t>
            </w:r>
          </w:p>
        </w:tc>
        <w:tc>
          <w:tcPr>
            <w:tcW w:w="960" w:type="dxa"/>
            <w:tcBorders>
              <w:top w:val="nil"/>
              <w:left w:val="nil"/>
              <w:bottom w:val="nil"/>
              <w:right w:val="nil"/>
            </w:tcBorders>
            <w:shd w:val="clear" w:color="auto" w:fill="auto"/>
            <w:noWrap/>
            <w:vAlign w:val="bottom"/>
            <w:hideMark/>
          </w:tcPr>
          <w:p w14:paraId="249E4AE7" w14:textId="77777777" w:rsidR="003677EC" w:rsidRDefault="003677EC">
            <w:pPr>
              <w:jc w:val="right"/>
              <w:rPr>
                <w:sz w:val="18"/>
                <w:szCs w:val="18"/>
              </w:rPr>
            </w:pPr>
            <w:r>
              <w:rPr>
                <w:sz w:val="18"/>
                <w:szCs w:val="18"/>
              </w:rPr>
              <w:t>96</w:t>
            </w:r>
          </w:p>
        </w:tc>
      </w:tr>
      <w:tr w:rsidR="003677EC" w14:paraId="451B5C6D" w14:textId="77777777" w:rsidTr="003677EC">
        <w:trPr>
          <w:trHeight w:val="240"/>
        </w:trPr>
        <w:tc>
          <w:tcPr>
            <w:tcW w:w="621" w:type="dxa"/>
            <w:tcBorders>
              <w:top w:val="nil"/>
              <w:left w:val="nil"/>
              <w:bottom w:val="nil"/>
              <w:right w:val="nil"/>
            </w:tcBorders>
            <w:shd w:val="clear" w:color="auto" w:fill="auto"/>
            <w:noWrap/>
            <w:vAlign w:val="bottom"/>
            <w:hideMark/>
          </w:tcPr>
          <w:p w14:paraId="55397B7C" w14:textId="77777777" w:rsidR="003677EC" w:rsidRDefault="003677EC">
            <w:pPr>
              <w:rPr>
                <w:sz w:val="18"/>
                <w:szCs w:val="18"/>
              </w:rPr>
            </w:pPr>
            <w:r>
              <w:rPr>
                <w:sz w:val="18"/>
                <w:szCs w:val="18"/>
              </w:rPr>
              <w:t>1.2.4.</w:t>
            </w:r>
          </w:p>
        </w:tc>
        <w:tc>
          <w:tcPr>
            <w:tcW w:w="2498" w:type="dxa"/>
            <w:tcBorders>
              <w:top w:val="nil"/>
              <w:left w:val="nil"/>
              <w:bottom w:val="nil"/>
              <w:right w:val="nil"/>
            </w:tcBorders>
            <w:shd w:val="clear" w:color="auto" w:fill="auto"/>
            <w:vAlign w:val="bottom"/>
            <w:hideMark/>
          </w:tcPr>
          <w:p w14:paraId="19431AAB" w14:textId="77777777" w:rsidR="003677EC" w:rsidRDefault="003677EC">
            <w:pPr>
              <w:rPr>
                <w:sz w:val="18"/>
                <w:szCs w:val="18"/>
              </w:rPr>
            </w:pPr>
            <w:r>
              <w:rPr>
                <w:sz w:val="18"/>
                <w:szCs w:val="18"/>
              </w:rPr>
              <w:t>Naknade troškova osobama izvan radnog odnosa</w:t>
            </w:r>
          </w:p>
        </w:tc>
        <w:tc>
          <w:tcPr>
            <w:tcW w:w="1417" w:type="dxa"/>
            <w:tcBorders>
              <w:top w:val="nil"/>
              <w:left w:val="nil"/>
              <w:bottom w:val="nil"/>
              <w:right w:val="nil"/>
            </w:tcBorders>
            <w:shd w:val="clear" w:color="auto" w:fill="auto"/>
            <w:noWrap/>
            <w:vAlign w:val="bottom"/>
            <w:hideMark/>
          </w:tcPr>
          <w:p w14:paraId="3E62C4B3" w14:textId="77777777" w:rsidR="003677EC" w:rsidRDefault="003677EC" w:rsidP="003677EC">
            <w:pPr>
              <w:jc w:val="right"/>
              <w:rPr>
                <w:sz w:val="18"/>
                <w:szCs w:val="18"/>
              </w:rPr>
            </w:pPr>
            <w:r>
              <w:rPr>
                <w:sz w:val="18"/>
                <w:szCs w:val="18"/>
              </w:rPr>
              <w:t xml:space="preserve">              8.244,00    </w:t>
            </w:r>
          </w:p>
        </w:tc>
        <w:tc>
          <w:tcPr>
            <w:tcW w:w="1276" w:type="dxa"/>
            <w:tcBorders>
              <w:top w:val="nil"/>
              <w:left w:val="nil"/>
              <w:bottom w:val="nil"/>
              <w:right w:val="nil"/>
            </w:tcBorders>
            <w:shd w:val="clear" w:color="auto" w:fill="auto"/>
            <w:noWrap/>
            <w:vAlign w:val="bottom"/>
            <w:hideMark/>
          </w:tcPr>
          <w:p w14:paraId="6E20D1CE" w14:textId="77777777" w:rsidR="003677EC" w:rsidRDefault="003677EC" w:rsidP="003677EC">
            <w:pPr>
              <w:jc w:val="right"/>
              <w:rPr>
                <w:sz w:val="18"/>
                <w:szCs w:val="18"/>
              </w:rPr>
            </w:pPr>
            <w:r>
              <w:rPr>
                <w:sz w:val="18"/>
                <w:szCs w:val="18"/>
              </w:rPr>
              <w:t xml:space="preserve">              8.000,00    </w:t>
            </w:r>
          </w:p>
        </w:tc>
        <w:tc>
          <w:tcPr>
            <w:tcW w:w="1251" w:type="dxa"/>
            <w:tcBorders>
              <w:top w:val="nil"/>
              <w:left w:val="nil"/>
              <w:bottom w:val="nil"/>
              <w:right w:val="nil"/>
            </w:tcBorders>
            <w:shd w:val="clear" w:color="auto" w:fill="auto"/>
            <w:noWrap/>
            <w:vAlign w:val="bottom"/>
            <w:hideMark/>
          </w:tcPr>
          <w:p w14:paraId="7C1DB050" w14:textId="77777777" w:rsidR="003677EC" w:rsidRDefault="003677EC" w:rsidP="003677EC">
            <w:pPr>
              <w:jc w:val="right"/>
              <w:rPr>
                <w:sz w:val="18"/>
                <w:szCs w:val="18"/>
              </w:rPr>
            </w:pPr>
            <w:r>
              <w:rPr>
                <w:sz w:val="18"/>
                <w:szCs w:val="18"/>
              </w:rPr>
              <w:t xml:space="preserve">              4.269,00    </w:t>
            </w:r>
          </w:p>
        </w:tc>
        <w:tc>
          <w:tcPr>
            <w:tcW w:w="711" w:type="dxa"/>
            <w:tcBorders>
              <w:top w:val="nil"/>
              <w:left w:val="nil"/>
              <w:bottom w:val="nil"/>
              <w:right w:val="nil"/>
            </w:tcBorders>
            <w:shd w:val="clear" w:color="auto" w:fill="auto"/>
            <w:noWrap/>
            <w:vAlign w:val="bottom"/>
            <w:hideMark/>
          </w:tcPr>
          <w:p w14:paraId="1A01DD3C" w14:textId="77777777" w:rsidR="003677EC" w:rsidRDefault="003677EC">
            <w:pPr>
              <w:jc w:val="right"/>
              <w:rPr>
                <w:sz w:val="18"/>
                <w:szCs w:val="18"/>
              </w:rPr>
            </w:pPr>
            <w:r>
              <w:rPr>
                <w:sz w:val="18"/>
                <w:szCs w:val="18"/>
              </w:rPr>
              <w:t>0,01</w:t>
            </w:r>
          </w:p>
        </w:tc>
        <w:tc>
          <w:tcPr>
            <w:tcW w:w="926" w:type="dxa"/>
            <w:tcBorders>
              <w:top w:val="nil"/>
              <w:left w:val="nil"/>
              <w:bottom w:val="nil"/>
              <w:right w:val="nil"/>
            </w:tcBorders>
            <w:shd w:val="clear" w:color="auto" w:fill="auto"/>
            <w:noWrap/>
            <w:vAlign w:val="bottom"/>
            <w:hideMark/>
          </w:tcPr>
          <w:p w14:paraId="5490F720" w14:textId="77777777" w:rsidR="003677EC" w:rsidRDefault="003677EC">
            <w:pPr>
              <w:jc w:val="right"/>
              <w:rPr>
                <w:sz w:val="18"/>
                <w:szCs w:val="18"/>
              </w:rPr>
            </w:pPr>
            <w:r>
              <w:rPr>
                <w:sz w:val="18"/>
                <w:szCs w:val="18"/>
              </w:rPr>
              <w:t>52</w:t>
            </w:r>
          </w:p>
        </w:tc>
        <w:tc>
          <w:tcPr>
            <w:tcW w:w="960" w:type="dxa"/>
            <w:tcBorders>
              <w:top w:val="nil"/>
              <w:left w:val="nil"/>
              <w:bottom w:val="nil"/>
              <w:right w:val="nil"/>
            </w:tcBorders>
            <w:shd w:val="clear" w:color="auto" w:fill="auto"/>
            <w:noWrap/>
            <w:vAlign w:val="bottom"/>
            <w:hideMark/>
          </w:tcPr>
          <w:p w14:paraId="58656688" w14:textId="77777777" w:rsidR="003677EC" w:rsidRDefault="003677EC">
            <w:pPr>
              <w:jc w:val="right"/>
              <w:rPr>
                <w:sz w:val="18"/>
                <w:szCs w:val="18"/>
              </w:rPr>
            </w:pPr>
            <w:r>
              <w:rPr>
                <w:sz w:val="18"/>
                <w:szCs w:val="18"/>
              </w:rPr>
              <w:t>53</w:t>
            </w:r>
          </w:p>
        </w:tc>
      </w:tr>
      <w:tr w:rsidR="003677EC" w14:paraId="17AFFA25" w14:textId="77777777" w:rsidTr="003677EC">
        <w:trPr>
          <w:trHeight w:val="240"/>
        </w:trPr>
        <w:tc>
          <w:tcPr>
            <w:tcW w:w="621" w:type="dxa"/>
            <w:tcBorders>
              <w:top w:val="nil"/>
              <w:left w:val="nil"/>
              <w:bottom w:val="nil"/>
              <w:right w:val="nil"/>
            </w:tcBorders>
            <w:shd w:val="clear" w:color="auto" w:fill="auto"/>
            <w:noWrap/>
            <w:vAlign w:val="bottom"/>
            <w:hideMark/>
          </w:tcPr>
          <w:p w14:paraId="45B5A673" w14:textId="77777777" w:rsidR="003677EC" w:rsidRDefault="003677EC">
            <w:pPr>
              <w:rPr>
                <w:sz w:val="18"/>
                <w:szCs w:val="18"/>
              </w:rPr>
            </w:pPr>
            <w:r>
              <w:rPr>
                <w:sz w:val="18"/>
                <w:szCs w:val="18"/>
              </w:rPr>
              <w:t>1.2.5.</w:t>
            </w:r>
          </w:p>
        </w:tc>
        <w:tc>
          <w:tcPr>
            <w:tcW w:w="2498" w:type="dxa"/>
            <w:tcBorders>
              <w:top w:val="nil"/>
              <w:left w:val="nil"/>
              <w:bottom w:val="nil"/>
              <w:right w:val="nil"/>
            </w:tcBorders>
            <w:shd w:val="clear" w:color="auto" w:fill="auto"/>
            <w:vAlign w:val="bottom"/>
            <w:hideMark/>
          </w:tcPr>
          <w:p w14:paraId="64BF7659" w14:textId="77777777" w:rsidR="003677EC" w:rsidRDefault="003677EC">
            <w:pPr>
              <w:rPr>
                <w:sz w:val="18"/>
                <w:szCs w:val="18"/>
              </w:rPr>
            </w:pPr>
            <w:r>
              <w:rPr>
                <w:sz w:val="18"/>
                <w:szCs w:val="18"/>
              </w:rPr>
              <w:t>Ostali nespomenuti rashodi poslovanja</w:t>
            </w:r>
          </w:p>
        </w:tc>
        <w:tc>
          <w:tcPr>
            <w:tcW w:w="1417" w:type="dxa"/>
            <w:tcBorders>
              <w:top w:val="nil"/>
              <w:left w:val="nil"/>
              <w:bottom w:val="nil"/>
              <w:right w:val="nil"/>
            </w:tcBorders>
            <w:shd w:val="clear" w:color="auto" w:fill="auto"/>
            <w:noWrap/>
            <w:vAlign w:val="bottom"/>
            <w:hideMark/>
          </w:tcPr>
          <w:p w14:paraId="202C15BE" w14:textId="77777777" w:rsidR="003677EC" w:rsidRDefault="003677EC" w:rsidP="003677EC">
            <w:pPr>
              <w:jc w:val="right"/>
              <w:rPr>
                <w:sz w:val="18"/>
                <w:szCs w:val="18"/>
              </w:rPr>
            </w:pPr>
            <w:r>
              <w:rPr>
                <w:sz w:val="18"/>
                <w:szCs w:val="18"/>
              </w:rPr>
              <w:t xml:space="preserve">          912.405,03    </w:t>
            </w:r>
          </w:p>
        </w:tc>
        <w:tc>
          <w:tcPr>
            <w:tcW w:w="1276" w:type="dxa"/>
            <w:tcBorders>
              <w:top w:val="nil"/>
              <w:left w:val="nil"/>
              <w:bottom w:val="nil"/>
              <w:right w:val="nil"/>
            </w:tcBorders>
            <w:shd w:val="clear" w:color="auto" w:fill="auto"/>
            <w:noWrap/>
            <w:vAlign w:val="bottom"/>
            <w:hideMark/>
          </w:tcPr>
          <w:p w14:paraId="564AD298" w14:textId="77777777" w:rsidR="003677EC" w:rsidRDefault="003677EC" w:rsidP="003677EC">
            <w:pPr>
              <w:jc w:val="right"/>
              <w:rPr>
                <w:sz w:val="18"/>
                <w:szCs w:val="18"/>
              </w:rPr>
            </w:pPr>
            <w:r>
              <w:rPr>
                <w:sz w:val="18"/>
                <w:szCs w:val="18"/>
              </w:rPr>
              <w:t xml:space="preserve">       1.025.879,67    </w:t>
            </w:r>
          </w:p>
        </w:tc>
        <w:tc>
          <w:tcPr>
            <w:tcW w:w="1251" w:type="dxa"/>
            <w:tcBorders>
              <w:top w:val="nil"/>
              <w:left w:val="nil"/>
              <w:bottom w:val="nil"/>
              <w:right w:val="nil"/>
            </w:tcBorders>
            <w:shd w:val="clear" w:color="auto" w:fill="auto"/>
            <w:noWrap/>
            <w:vAlign w:val="bottom"/>
            <w:hideMark/>
          </w:tcPr>
          <w:p w14:paraId="0F7DF062" w14:textId="77777777" w:rsidR="003677EC" w:rsidRDefault="003677EC" w:rsidP="003677EC">
            <w:pPr>
              <w:jc w:val="right"/>
              <w:rPr>
                <w:sz w:val="18"/>
                <w:szCs w:val="18"/>
              </w:rPr>
            </w:pPr>
            <w:r>
              <w:rPr>
                <w:sz w:val="18"/>
                <w:szCs w:val="18"/>
              </w:rPr>
              <w:t xml:space="preserve">          840.059,30    </w:t>
            </w:r>
          </w:p>
        </w:tc>
        <w:tc>
          <w:tcPr>
            <w:tcW w:w="711" w:type="dxa"/>
            <w:tcBorders>
              <w:top w:val="nil"/>
              <w:left w:val="nil"/>
              <w:bottom w:val="nil"/>
              <w:right w:val="nil"/>
            </w:tcBorders>
            <w:shd w:val="clear" w:color="auto" w:fill="auto"/>
            <w:noWrap/>
            <w:vAlign w:val="bottom"/>
            <w:hideMark/>
          </w:tcPr>
          <w:p w14:paraId="6D7B86F0" w14:textId="77777777" w:rsidR="003677EC" w:rsidRDefault="003677EC">
            <w:pPr>
              <w:jc w:val="right"/>
              <w:rPr>
                <w:sz w:val="18"/>
                <w:szCs w:val="18"/>
              </w:rPr>
            </w:pPr>
            <w:r>
              <w:rPr>
                <w:sz w:val="18"/>
                <w:szCs w:val="18"/>
              </w:rPr>
              <w:t>2,20</w:t>
            </w:r>
          </w:p>
        </w:tc>
        <w:tc>
          <w:tcPr>
            <w:tcW w:w="926" w:type="dxa"/>
            <w:tcBorders>
              <w:top w:val="nil"/>
              <w:left w:val="nil"/>
              <w:bottom w:val="nil"/>
              <w:right w:val="nil"/>
            </w:tcBorders>
            <w:shd w:val="clear" w:color="auto" w:fill="auto"/>
            <w:noWrap/>
            <w:vAlign w:val="bottom"/>
            <w:hideMark/>
          </w:tcPr>
          <w:p w14:paraId="36F48CE4" w14:textId="77777777" w:rsidR="003677EC" w:rsidRDefault="003677EC">
            <w:pPr>
              <w:jc w:val="right"/>
              <w:rPr>
                <w:sz w:val="18"/>
                <w:szCs w:val="18"/>
              </w:rPr>
            </w:pPr>
            <w:r>
              <w:rPr>
                <w:sz w:val="18"/>
                <w:szCs w:val="18"/>
              </w:rPr>
              <w:t>92</w:t>
            </w:r>
          </w:p>
        </w:tc>
        <w:tc>
          <w:tcPr>
            <w:tcW w:w="960" w:type="dxa"/>
            <w:tcBorders>
              <w:top w:val="nil"/>
              <w:left w:val="nil"/>
              <w:bottom w:val="nil"/>
              <w:right w:val="nil"/>
            </w:tcBorders>
            <w:shd w:val="clear" w:color="auto" w:fill="auto"/>
            <w:noWrap/>
            <w:vAlign w:val="bottom"/>
            <w:hideMark/>
          </w:tcPr>
          <w:p w14:paraId="5ECDC94A" w14:textId="77777777" w:rsidR="003677EC" w:rsidRDefault="003677EC">
            <w:pPr>
              <w:jc w:val="right"/>
              <w:rPr>
                <w:sz w:val="18"/>
                <w:szCs w:val="18"/>
              </w:rPr>
            </w:pPr>
            <w:r>
              <w:rPr>
                <w:sz w:val="18"/>
                <w:szCs w:val="18"/>
              </w:rPr>
              <w:t>82</w:t>
            </w:r>
          </w:p>
        </w:tc>
      </w:tr>
      <w:tr w:rsidR="003677EC" w14:paraId="074A4810" w14:textId="77777777" w:rsidTr="003677EC">
        <w:trPr>
          <w:trHeight w:val="240"/>
        </w:trPr>
        <w:tc>
          <w:tcPr>
            <w:tcW w:w="621" w:type="dxa"/>
            <w:tcBorders>
              <w:top w:val="nil"/>
              <w:left w:val="nil"/>
              <w:bottom w:val="nil"/>
              <w:right w:val="nil"/>
            </w:tcBorders>
            <w:shd w:val="clear" w:color="000000" w:fill="CCFFFF"/>
            <w:noWrap/>
            <w:vAlign w:val="bottom"/>
            <w:hideMark/>
          </w:tcPr>
          <w:p w14:paraId="551C243F" w14:textId="77777777" w:rsidR="003677EC" w:rsidRDefault="003677EC">
            <w:pPr>
              <w:rPr>
                <w:sz w:val="18"/>
                <w:szCs w:val="18"/>
              </w:rPr>
            </w:pPr>
            <w:r>
              <w:rPr>
                <w:sz w:val="18"/>
                <w:szCs w:val="18"/>
              </w:rPr>
              <w:t>1.3.</w:t>
            </w:r>
          </w:p>
        </w:tc>
        <w:tc>
          <w:tcPr>
            <w:tcW w:w="2498" w:type="dxa"/>
            <w:tcBorders>
              <w:top w:val="nil"/>
              <w:left w:val="nil"/>
              <w:bottom w:val="nil"/>
              <w:right w:val="nil"/>
            </w:tcBorders>
            <w:shd w:val="clear" w:color="000000" w:fill="CCFFFF"/>
            <w:vAlign w:val="bottom"/>
            <w:hideMark/>
          </w:tcPr>
          <w:p w14:paraId="33A777AE" w14:textId="77777777" w:rsidR="003677EC" w:rsidRDefault="003677EC">
            <w:pPr>
              <w:rPr>
                <w:sz w:val="18"/>
                <w:szCs w:val="18"/>
              </w:rPr>
            </w:pPr>
            <w:r>
              <w:rPr>
                <w:sz w:val="18"/>
                <w:szCs w:val="18"/>
              </w:rPr>
              <w:t>Financijski rashodi</w:t>
            </w:r>
          </w:p>
        </w:tc>
        <w:tc>
          <w:tcPr>
            <w:tcW w:w="1417" w:type="dxa"/>
            <w:tcBorders>
              <w:top w:val="nil"/>
              <w:left w:val="nil"/>
              <w:bottom w:val="nil"/>
              <w:right w:val="nil"/>
            </w:tcBorders>
            <w:shd w:val="clear" w:color="000000" w:fill="CCFFFF"/>
            <w:noWrap/>
            <w:vAlign w:val="bottom"/>
            <w:hideMark/>
          </w:tcPr>
          <w:p w14:paraId="3AA70C2D" w14:textId="77777777" w:rsidR="003677EC" w:rsidRDefault="003677EC" w:rsidP="003677EC">
            <w:pPr>
              <w:jc w:val="right"/>
              <w:rPr>
                <w:sz w:val="18"/>
                <w:szCs w:val="18"/>
              </w:rPr>
            </w:pPr>
            <w:r>
              <w:rPr>
                <w:sz w:val="18"/>
                <w:szCs w:val="18"/>
              </w:rPr>
              <w:t xml:space="preserve">          140.025,16    </w:t>
            </w:r>
          </w:p>
        </w:tc>
        <w:tc>
          <w:tcPr>
            <w:tcW w:w="1276" w:type="dxa"/>
            <w:tcBorders>
              <w:top w:val="nil"/>
              <w:left w:val="nil"/>
              <w:bottom w:val="nil"/>
              <w:right w:val="nil"/>
            </w:tcBorders>
            <w:shd w:val="clear" w:color="000000" w:fill="CCFFFF"/>
            <w:noWrap/>
            <w:vAlign w:val="bottom"/>
            <w:hideMark/>
          </w:tcPr>
          <w:p w14:paraId="358AFC81" w14:textId="77777777" w:rsidR="003677EC" w:rsidRDefault="003677EC" w:rsidP="003677EC">
            <w:pPr>
              <w:jc w:val="right"/>
              <w:rPr>
                <w:sz w:val="18"/>
                <w:szCs w:val="18"/>
              </w:rPr>
            </w:pPr>
            <w:r>
              <w:rPr>
                <w:sz w:val="18"/>
                <w:szCs w:val="18"/>
              </w:rPr>
              <w:t xml:space="preserve">          167.350,00    </w:t>
            </w:r>
          </w:p>
        </w:tc>
        <w:tc>
          <w:tcPr>
            <w:tcW w:w="1251" w:type="dxa"/>
            <w:tcBorders>
              <w:top w:val="nil"/>
              <w:left w:val="nil"/>
              <w:bottom w:val="nil"/>
              <w:right w:val="nil"/>
            </w:tcBorders>
            <w:shd w:val="clear" w:color="000000" w:fill="CCFFFF"/>
            <w:noWrap/>
            <w:vAlign w:val="bottom"/>
            <w:hideMark/>
          </w:tcPr>
          <w:p w14:paraId="3005B8C1" w14:textId="77777777" w:rsidR="003677EC" w:rsidRDefault="003677EC" w:rsidP="003677EC">
            <w:pPr>
              <w:jc w:val="right"/>
              <w:rPr>
                <w:sz w:val="18"/>
                <w:szCs w:val="18"/>
              </w:rPr>
            </w:pPr>
            <w:r>
              <w:rPr>
                <w:sz w:val="18"/>
                <w:szCs w:val="18"/>
              </w:rPr>
              <w:t xml:space="preserve">          149.033,67    </w:t>
            </w:r>
          </w:p>
        </w:tc>
        <w:tc>
          <w:tcPr>
            <w:tcW w:w="711" w:type="dxa"/>
            <w:tcBorders>
              <w:top w:val="nil"/>
              <w:left w:val="nil"/>
              <w:bottom w:val="nil"/>
              <w:right w:val="nil"/>
            </w:tcBorders>
            <w:shd w:val="clear" w:color="000000" w:fill="CCFFFF"/>
            <w:noWrap/>
            <w:vAlign w:val="bottom"/>
            <w:hideMark/>
          </w:tcPr>
          <w:p w14:paraId="668DA06C" w14:textId="77777777" w:rsidR="003677EC" w:rsidRDefault="003677EC">
            <w:pPr>
              <w:jc w:val="right"/>
              <w:rPr>
                <w:sz w:val="18"/>
                <w:szCs w:val="18"/>
              </w:rPr>
            </w:pPr>
            <w:r>
              <w:rPr>
                <w:sz w:val="18"/>
                <w:szCs w:val="18"/>
              </w:rPr>
              <w:t>0,39</w:t>
            </w:r>
          </w:p>
        </w:tc>
        <w:tc>
          <w:tcPr>
            <w:tcW w:w="926" w:type="dxa"/>
            <w:tcBorders>
              <w:top w:val="nil"/>
              <w:left w:val="nil"/>
              <w:bottom w:val="nil"/>
              <w:right w:val="nil"/>
            </w:tcBorders>
            <w:shd w:val="clear" w:color="000000" w:fill="CCFFFF"/>
            <w:noWrap/>
            <w:vAlign w:val="bottom"/>
            <w:hideMark/>
          </w:tcPr>
          <w:p w14:paraId="6250470B" w14:textId="77777777" w:rsidR="003677EC" w:rsidRDefault="003677EC">
            <w:pPr>
              <w:jc w:val="right"/>
              <w:rPr>
                <w:sz w:val="18"/>
                <w:szCs w:val="18"/>
              </w:rPr>
            </w:pPr>
            <w:r>
              <w:rPr>
                <w:sz w:val="18"/>
                <w:szCs w:val="18"/>
              </w:rPr>
              <w:t>106</w:t>
            </w:r>
          </w:p>
        </w:tc>
        <w:tc>
          <w:tcPr>
            <w:tcW w:w="960" w:type="dxa"/>
            <w:tcBorders>
              <w:top w:val="nil"/>
              <w:left w:val="nil"/>
              <w:bottom w:val="nil"/>
              <w:right w:val="nil"/>
            </w:tcBorders>
            <w:shd w:val="clear" w:color="000000" w:fill="CCFFFF"/>
            <w:noWrap/>
            <w:vAlign w:val="bottom"/>
            <w:hideMark/>
          </w:tcPr>
          <w:p w14:paraId="3CC25BD8" w14:textId="77777777" w:rsidR="003677EC" w:rsidRDefault="003677EC">
            <w:pPr>
              <w:jc w:val="right"/>
              <w:rPr>
                <w:sz w:val="18"/>
                <w:szCs w:val="18"/>
              </w:rPr>
            </w:pPr>
            <w:r>
              <w:rPr>
                <w:sz w:val="18"/>
                <w:szCs w:val="18"/>
              </w:rPr>
              <w:t>89</w:t>
            </w:r>
          </w:p>
        </w:tc>
      </w:tr>
      <w:tr w:rsidR="003677EC" w14:paraId="71C190D0" w14:textId="77777777" w:rsidTr="003677EC">
        <w:trPr>
          <w:trHeight w:val="240"/>
        </w:trPr>
        <w:tc>
          <w:tcPr>
            <w:tcW w:w="621" w:type="dxa"/>
            <w:tcBorders>
              <w:top w:val="nil"/>
              <w:left w:val="nil"/>
              <w:bottom w:val="nil"/>
              <w:right w:val="nil"/>
            </w:tcBorders>
            <w:shd w:val="clear" w:color="auto" w:fill="auto"/>
            <w:noWrap/>
            <w:vAlign w:val="bottom"/>
            <w:hideMark/>
          </w:tcPr>
          <w:p w14:paraId="47BB3214" w14:textId="77777777" w:rsidR="003677EC" w:rsidRDefault="003677EC">
            <w:pPr>
              <w:rPr>
                <w:sz w:val="18"/>
                <w:szCs w:val="18"/>
              </w:rPr>
            </w:pPr>
            <w:r>
              <w:rPr>
                <w:sz w:val="18"/>
                <w:szCs w:val="18"/>
              </w:rPr>
              <w:t>1.3.1.</w:t>
            </w:r>
          </w:p>
        </w:tc>
        <w:tc>
          <w:tcPr>
            <w:tcW w:w="2498" w:type="dxa"/>
            <w:tcBorders>
              <w:top w:val="nil"/>
              <w:left w:val="nil"/>
              <w:bottom w:val="nil"/>
              <w:right w:val="nil"/>
            </w:tcBorders>
            <w:shd w:val="clear" w:color="auto" w:fill="auto"/>
            <w:vAlign w:val="bottom"/>
            <w:hideMark/>
          </w:tcPr>
          <w:p w14:paraId="737CFFCE" w14:textId="77777777" w:rsidR="003677EC" w:rsidRDefault="003677EC">
            <w:pPr>
              <w:rPr>
                <w:sz w:val="18"/>
                <w:szCs w:val="18"/>
              </w:rPr>
            </w:pPr>
            <w:r>
              <w:rPr>
                <w:sz w:val="18"/>
                <w:szCs w:val="18"/>
              </w:rPr>
              <w:t>Kamate za primljene kredite i zajmove</w:t>
            </w:r>
          </w:p>
        </w:tc>
        <w:tc>
          <w:tcPr>
            <w:tcW w:w="1417" w:type="dxa"/>
            <w:tcBorders>
              <w:top w:val="nil"/>
              <w:left w:val="nil"/>
              <w:bottom w:val="nil"/>
              <w:right w:val="nil"/>
            </w:tcBorders>
            <w:shd w:val="clear" w:color="auto" w:fill="auto"/>
            <w:noWrap/>
            <w:vAlign w:val="bottom"/>
            <w:hideMark/>
          </w:tcPr>
          <w:p w14:paraId="1D6E7A2C" w14:textId="77777777" w:rsidR="003677EC" w:rsidRDefault="003677EC" w:rsidP="003677EC">
            <w:pPr>
              <w:jc w:val="right"/>
              <w:rPr>
                <w:sz w:val="18"/>
                <w:szCs w:val="18"/>
              </w:rPr>
            </w:pPr>
            <w:r>
              <w:rPr>
                <w:sz w:val="18"/>
                <w:szCs w:val="18"/>
              </w:rPr>
              <w:t xml:space="preserve">            67.421,33    </w:t>
            </w:r>
          </w:p>
        </w:tc>
        <w:tc>
          <w:tcPr>
            <w:tcW w:w="1276" w:type="dxa"/>
            <w:tcBorders>
              <w:top w:val="nil"/>
              <w:left w:val="nil"/>
              <w:bottom w:val="nil"/>
              <w:right w:val="nil"/>
            </w:tcBorders>
            <w:shd w:val="clear" w:color="auto" w:fill="auto"/>
            <w:noWrap/>
            <w:vAlign w:val="bottom"/>
            <w:hideMark/>
          </w:tcPr>
          <w:p w14:paraId="3251B909" w14:textId="77777777" w:rsidR="003677EC" w:rsidRDefault="003677EC" w:rsidP="003677EC">
            <w:pPr>
              <w:jc w:val="right"/>
              <w:rPr>
                <w:sz w:val="18"/>
                <w:szCs w:val="18"/>
              </w:rPr>
            </w:pPr>
            <w:r>
              <w:rPr>
                <w:sz w:val="18"/>
                <w:szCs w:val="18"/>
              </w:rPr>
              <w:t xml:space="preserve">            64.500,00    </w:t>
            </w:r>
          </w:p>
        </w:tc>
        <w:tc>
          <w:tcPr>
            <w:tcW w:w="1251" w:type="dxa"/>
            <w:tcBorders>
              <w:top w:val="nil"/>
              <w:left w:val="nil"/>
              <w:bottom w:val="nil"/>
              <w:right w:val="nil"/>
            </w:tcBorders>
            <w:shd w:val="clear" w:color="auto" w:fill="auto"/>
            <w:noWrap/>
            <w:vAlign w:val="bottom"/>
            <w:hideMark/>
          </w:tcPr>
          <w:p w14:paraId="043459F3" w14:textId="77777777" w:rsidR="003677EC" w:rsidRDefault="003677EC" w:rsidP="003677EC">
            <w:pPr>
              <w:jc w:val="right"/>
              <w:rPr>
                <w:sz w:val="18"/>
                <w:szCs w:val="18"/>
              </w:rPr>
            </w:pPr>
            <w:r>
              <w:rPr>
                <w:sz w:val="18"/>
                <w:szCs w:val="18"/>
              </w:rPr>
              <w:t xml:space="preserve">            64.020,17    </w:t>
            </w:r>
          </w:p>
        </w:tc>
        <w:tc>
          <w:tcPr>
            <w:tcW w:w="711" w:type="dxa"/>
            <w:tcBorders>
              <w:top w:val="nil"/>
              <w:left w:val="nil"/>
              <w:bottom w:val="nil"/>
              <w:right w:val="nil"/>
            </w:tcBorders>
            <w:shd w:val="clear" w:color="auto" w:fill="auto"/>
            <w:noWrap/>
            <w:vAlign w:val="bottom"/>
            <w:hideMark/>
          </w:tcPr>
          <w:p w14:paraId="676B8449" w14:textId="77777777" w:rsidR="003677EC" w:rsidRDefault="003677EC">
            <w:pPr>
              <w:jc w:val="right"/>
              <w:rPr>
                <w:sz w:val="18"/>
                <w:szCs w:val="18"/>
              </w:rPr>
            </w:pPr>
            <w:r>
              <w:rPr>
                <w:sz w:val="18"/>
                <w:szCs w:val="18"/>
              </w:rPr>
              <w:t>0,17</w:t>
            </w:r>
          </w:p>
        </w:tc>
        <w:tc>
          <w:tcPr>
            <w:tcW w:w="926" w:type="dxa"/>
            <w:tcBorders>
              <w:top w:val="nil"/>
              <w:left w:val="nil"/>
              <w:bottom w:val="nil"/>
              <w:right w:val="nil"/>
            </w:tcBorders>
            <w:shd w:val="clear" w:color="auto" w:fill="auto"/>
            <w:noWrap/>
            <w:vAlign w:val="bottom"/>
            <w:hideMark/>
          </w:tcPr>
          <w:p w14:paraId="22BEC986" w14:textId="77777777" w:rsidR="003677EC" w:rsidRDefault="003677EC">
            <w:pPr>
              <w:jc w:val="right"/>
              <w:rPr>
                <w:sz w:val="18"/>
                <w:szCs w:val="18"/>
              </w:rPr>
            </w:pPr>
            <w:r>
              <w:rPr>
                <w:sz w:val="18"/>
                <w:szCs w:val="18"/>
              </w:rPr>
              <w:t>95</w:t>
            </w:r>
          </w:p>
        </w:tc>
        <w:tc>
          <w:tcPr>
            <w:tcW w:w="960" w:type="dxa"/>
            <w:tcBorders>
              <w:top w:val="nil"/>
              <w:left w:val="nil"/>
              <w:bottom w:val="nil"/>
              <w:right w:val="nil"/>
            </w:tcBorders>
            <w:shd w:val="clear" w:color="auto" w:fill="auto"/>
            <w:noWrap/>
            <w:vAlign w:val="bottom"/>
            <w:hideMark/>
          </w:tcPr>
          <w:p w14:paraId="0C45EDD4" w14:textId="77777777" w:rsidR="003677EC" w:rsidRDefault="003677EC">
            <w:pPr>
              <w:jc w:val="right"/>
              <w:rPr>
                <w:sz w:val="18"/>
                <w:szCs w:val="18"/>
              </w:rPr>
            </w:pPr>
            <w:r>
              <w:rPr>
                <w:sz w:val="18"/>
                <w:szCs w:val="18"/>
              </w:rPr>
              <w:t>99</w:t>
            </w:r>
          </w:p>
        </w:tc>
      </w:tr>
      <w:tr w:rsidR="003677EC" w14:paraId="23E58337" w14:textId="77777777" w:rsidTr="003677EC">
        <w:trPr>
          <w:trHeight w:val="240"/>
        </w:trPr>
        <w:tc>
          <w:tcPr>
            <w:tcW w:w="621" w:type="dxa"/>
            <w:tcBorders>
              <w:top w:val="nil"/>
              <w:left w:val="nil"/>
              <w:bottom w:val="nil"/>
              <w:right w:val="nil"/>
            </w:tcBorders>
            <w:shd w:val="clear" w:color="auto" w:fill="auto"/>
            <w:noWrap/>
            <w:vAlign w:val="bottom"/>
            <w:hideMark/>
          </w:tcPr>
          <w:p w14:paraId="29DD819C" w14:textId="77777777" w:rsidR="003677EC" w:rsidRDefault="003677EC">
            <w:pPr>
              <w:rPr>
                <w:sz w:val="18"/>
                <w:szCs w:val="18"/>
              </w:rPr>
            </w:pPr>
            <w:r>
              <w:rPr>
                <w:sz w:val="18"/>
                <w:szCs w:val="18"/>
              </w:rPr>
              <w:t>1.3.2.</w:t>
            </w:r>
          </w:p>
        </w:tc>
        <w:tc>
          <w:tcPr>
            <w:tcW w:w="2498" w:type="dxa"/>
            <w:tcBorders>
              <w:top w:val="nil"/>
              <w:left w:val="nil"/>
              <w:bottom w:val="nil"/>
              <w:right w:val="nil"/>
            </w:tcBorders>
            <w:shd w:val="clear" w:color="auto" w:fill="auto"/>
            <w:vAlign w:val="bottom"/>
            <w:hideMark/>
          </w:tcPr>
          <w:p w14:paraId="31C215DD" w14:textId="77777777" w:rsidR="003677EC" w:rsidRDefault="003677EC">
            <w:pPr>
              <w:rPr>
                <w:sz w:val="18"/>
                <w:szCs w:val="18"/>
              </w:rPr>
            </w:pPr>
            <w:r>
              <w:rPr>
                <w:sz w:val="18"/>
                <w:szCs w:val="18"/>
              </w:rPr>
              <w:t>Ostali financijski rashodi</w:t>
            </w:r>
          </w:p>
        </w:tc>
        <w:tc>
          <w:tcPr>
            <w:tcW w:w="1417" w:type="dxa"/>
            <w:tcBorders>
              <w:top w:val="nil"/>
              <w:left w:val="nil"/>
              <w:bottom w:val="nil"/>
              <w:right w:val="nil"/>
            </w:tcBorders>
            <w:shd w:val="clear" w:color="auto" w:fill="auto"/>
            <w:noWrap/>
            <w:vAlign w:val="bottom"/>
            <w:hideMark/>
          </w:tcPr>
          <w:p w14:paraId="7DCD911A" w14:textId="77777777" w:rsidR="003677EC" w:rsidRDefault="003677EC" w:rsidP="003677EC">
            <w:pPr>
              <w:jc w:val="right"/>
              <w:rPr>
                <w:sz w:val="18"/>
                <w:szCs w:val="18"/>
              </w:rPr>
            </w:pPr>
            <w:r>
              <w:rPr>
                <w:sz w:val="18"/>
                <w:szCs w:val="18"/>
              </w:rPr>
              <w:t xml:space="preserve">            72.603,83    </w:t>
            </w:r>
          </w:p>
        </w:tc>
        <w:tc>
          <w:tcPr>
            <w:tcW w:w="1276" w:type="dxa"/>
            <w:tcBorders>
              <w:top w:val="nil"/>
              <w:left w:val="nil"/>
              <w:bottom w:val="nil"/>
              <w:right w:val="nil"/>
            </w:tcBorders>
            <w:shd w:val="clear" w:color="auto" w:fill="auto"/>
            <w:noWrap/>
            <w:vAlign w:val="bottom"/>
            <w:hideMark/>
          </w:tcPr>
          <w:p w14:paraId="5244A022" w14:textId="77777777" w:rsidR="003677EC" w:rsidRDefault="003677EC" w:rsidP="003677EC">
            <w:pPr>
              <w:jc w:val="right"/>
              <w:rPr>
                <w:sz w:val="18"/>
                <w:szCs w:val="18"/>
              </w:rPr>
            </w:pPr>
            <w:r>
              <w:rPr>
                <w:sz w:val="18"/>
                <w:szCs w:val="18"/>
              </w:rPr>
              <w:t xml:space="preserve">          102.850,00    </w:t>
            </w:r>
          </w:p>
        </w:tc>
        <w:tc>
          <w:tcPr>
            <w:tcW w:w="1251" w:type="dxa"/>
            <w:tcBorders>
              <w:top w:val="nil"/>
              <w:left w:val="nil"/>
              <w:bottom w:val="nil"/>
              <w:right w:val="nil"/>
            </w:tcBorders>
            <w:shd w:val="clear" w:color="auto" w:fill="auto"/>
            <w:noWrap/>
            <w:vAlign w:val="bottom"/>
            <w:hideMark/>
          </w:tcPr>
          <w:p w14:paraId="2DC024C6" w14:textId="77777777" w:rsidR="003677EC" w:rsidRDefault="003677EC" w:rsidP="003677EC">
            <w:pPr>
              <w:jc w:val="right"/>
              <w:rPr>
                <w:sz w:val="18"/>
                <w:szCs w:val="18"/>
              </w:rPr>
            </w:pPr>
            <w:r>
              <w:rPr>
                <w:sz w:val="18"/>
                <w:szCs w:val="18"/>
              </w:rPr>
              <w:t xml:space="preserve">            85.013,50    </w:t>
            </w:r>
          </w:p>
        </w:tc>
        <w:tc>
          <w:tcPr>
            <w:tcW w:w="711" w:type="dxa"/>
            <w:tcBorders>
              <w:top w:val="nil"/>
              <w:left w:val="nil"/>
              <w:bottom w:val="nil"/>
              <w:right w:val="nil"/>
            </w:tcBorders>
            <w:shd w:val="clear" w:color="auto" w:fill="auto"/>
            <w:noWrap/>
            <w:vAlign w:val="bottom"/>
            <w:hideMark/>
          </w:tcPr>
          <w:p w14:paraId="3F4F9366" w14:textId="77777777" w:rsidR="003677EC" w:rsidRDefault="003677EC">
            <w:pPr>
              <w:jc w:val="right"/>
              <w:rPr>
                <w:sz w:val="18"/>
                <w:szCs w:val="18"/>
              </w:rPr>
            </w:pPr>
            <w:r>
              <w:rPr>
                <w:sz w:val="18"/>
                <w:szCs w:val="18"/>
              </w:rPr>
              <w:t>0,22</w:t>
            </w:r>
          </w:p>
        </w:tc>
        <w:tc>
          <w:tcPr>
            <w:tcW w:w="926" w:type="dxa"/>
            <w:tcBorders>
              <w:top w:val="nil"/>
              <w:left w:val="nil"/>
              <w:bottom w:val="nil"/>
              <w:right w:val="nil"/>
            </w:tcBorders>
            <w:shd w:val="clear" w:color="auto" w:fill="auto"/>
            <w:noWrap/>
            <w:vAlign w:val="bottom"/>
            <w:hideMark/>
          </w:tcPr>
          <w:p w14:paraId="6AD6973B" w14:textId="77777777" w:rsidR="003677EC" w:rsidRDefault="003677EC">
            <w:pPr>
              <w:jc w:val="right"/>
              <w:rPr>
                <w:sz w:val="18"/>
                <w:szCs w:val="18"/>
              </w:rPr>
            </w:pPr>
            <w:r>
              <w:rPr>
                <w:sz w:val="18"/>
                <w:szCs w:val="18"/>
              </w:rPr>
              <w:t>117</w:t>
            </w:r>
          </w:p>
        </w:tc>
        <w:tc>
          <w:tcPr>
            <w:tcW w:w="960" w:type="dxa"/>
            <w:tcBorders>
              <w:top w:val="nil"/>
              <w:left w:val="nil"/>
              <w:bottom w:val="nil"/>
              <w:right w:val="nil"/>
            </w:tcBorders>
            <w:shd w:val="clear" w:color="auto" w:fill="auto"/>
            <w:noWrap/>
            <w:vAlign w:val="bottom"/>
            <w:hideMark/>
          </w:tcPr>
          <w:p w14:paraId="457490D8" w14:textId="77777777" w:rsidR="003677EC" w:rsidRDefault="003677EC">
            <w:pPr>
              <w:jc w:val="right"/>
              <w:rPr>
                <w:sz w:val="18"/>
                <w:szCs w:val="18"/>
              </w:rPr>
            </w:pPr>
            <w:r>
              <w:rPr>
                <w:sz w:val="18"/>
                <w:szCs w:val="18"/>
              </w:rPr>
              <w:t>83</w:t>
            </w:r>
          </w:p>
        </w:tc>
      </w:tr>
      <w:tr w:rsidR="003677EC" w14:paraId="25637B00" w14:textId="77777777" w:rsidTr="003677EC">
        <w:trPr>
          <w:trHeight w:val="240"/>
        </w:trPr>
        <w:tc>
          <w:tcPr>
            <w:tcW w:w="621" w:type="dxa"/>
            <w:tcBorders>
              <w:top w:val="nil"/>
              <w:left w:val="nil"/>
              <w:bottom w:val="nil"/>
              <w:right w:val="nil"/>
            </w:tcBorders>
            <w:shd w:val="clear" w:color="000000" w:fill="CCFFFF"/>
            <w:noWrap/>
            <w:vAlign w:val="bottom"/>
            <w:hideMark/>
          </w:tcPr>
          <w:p w14:paraId="36E7992B" w14:textId="77777777" w:rsidR="003677EC" w:rsidRDefault="003677EC">
            <w:pPr>
              <w:rPr>
                <w:sz w:val="18"/>
                <w:szCs w:val="18"/>
              </w:rPr>
            </w:pPr>
            <w:r>
              <w:rPr>
                <w:sz w:val="18"/>
                <w:szCs w:val="18"/>
              </w:rPr>
              <w:t>1.4.</w:t>
            </w:r>
          </w:p>
        </w:tc>
        <w:tc>
          <w:tcPr>
            <w:tcW w:w="2498" w:type="dxa"/>
            <w:tcBorders>
              <w:top w:val="nil"/>
              <w:left w:val="nil"/>
              <w:bottom w:val="nil"/>
              <w:right w:val="nil"/>
            </w:tcBorders>
            <w:shd w:val="clear" w:color="000000" w:fill="CCFFFF"/>
            <w:vAlign w:val="bottom"/>
            <w:hideMark/>
          </w:tcPr>
          <w:p w14:paraId="6DEBC555" w14:textId="77777777" w:rsidR="003677EC" w:rsidRDefault="003677EC">
            <w:pPr>
              <w:rPr>
                <w:sz w:val="18"/>
                <w:szCs w:val="18"/>
              </w:rPr>
            </w:pPr>
            <w:r>
              <w:rPr>
                <w:sz w:val="18"/>
                <w:szCs w:val="18"/>
              </w:rPr>
              <w:t>Subvencije</w:t>
            </w:r>
          </w:p>
        </w:tc>
        <w:tc>
          <w:tcPr>
            <w:tcW w:w="1417" w:type="dxa"/>
            <w:tcBorders>
              <w:top w:val="nil"/>
              <w:left w:val="nil"/>
              <w:bottom w:val="nil"/>
              <w:right w:val="nil"/>
            </w:tcBorders>
            <w:shd w:val="clear" w:color="000000" w:fill="CCFFFF"/>
            <w:noWrap/>
            <w:vAlign w:val="bottom"/>
            <w:hideMark/>
          </w:tcPr>
          <w:p w14:paraId="08FE4F5C" w14:textId="77777777" w:rsidR="003677EC" w:rsidRDefault="003677EC" w:rsidP="003677EC">
            <w:pPr>
              <w:jc w:val="right"/>
              <w:rPr>
                <w:sz w:val="18"/>
                <w:szCs w:val="18"/>
              </w:rPr>
            </w:pPr>
            <w:r>
              <w:rPr>
                <w:sz w:val="18"/>
                <w:szCs w:val="18"/>
              </w:rPr>
              <w:t xml:space="preserve">            12.762,05    </w:t>
            </w:r>
          </w:p>
        </w:tc>
        <w:tc>
          <w:tcPr>
            <w:tcW w:w="1276" w:type="dxa"/>
            <w:tcBorders>
              <w:top w:val="nil"/>
              <w:left w:val="nil"/>
              <w:bottom w:val="nil"/>
              <w:right w:val="nil"/>
            </w:tcBorders>
            <w:shd w:val="clear" w:color="000000" w:fill="CCFFFF"/>
            <w:noWrap/>
            <w:vAlign w:val="bottom"/>
            <w:hideMark/>
          </w:tcPr>
          <w:p w14:paraId="1F372B1B" w14:textId="77777777" w:rsidR="003677EC" w:rsidRDefault="003677EC" w:rsidP="003677EC">
            <w:pPr>
              <w:jc w:val="right"/>
              <w:rPr>
                <w:sz w:val="18"/>
                <w:szCs w:val="18"/>
              </w:rPr>
            </w:pPr>
            <w:r>
              <w:rPr>
                <w:sz w:val="18"/>
                <w:szCs w:val="18"/>
              </w:rPr>
              <w:t xml:space="preserve">          530.000,00    </w:t>
            </w:r>
          </w:p>
        </w:tc>
        <w:tc>
          <w:tcPr>
            <w:tcW w:w="1251" w:type="dxa"/>
            <w:tcBorders>
              <w:top w:val="nil"/>
              <w:left w:val="nil"/>
              <w:bottom w:val="nil"/>
              <w:right w:val="nil"/>
            </w:tcBorders>
            <w:shd w:val="clear" w:color="000000" w:fill="CCFFFF"/>
            <w:noWrap/>
            <w:vAlign w:val="bottom"/>
            <w:hideMark/>
          </w:tcPr>
          <w:p w14:paraId="227D6481" w14:textId="77777777" w:rsidR="003677EC" w:rsidRDefault="003677EC" w:rsidP="003677EC">
            <w:pPr>
              <w:jc w:val="right"/>
              <w:rPr>
                <w:sz w:val="18"/>
                <w:szCs w:val="18"/>
              </w:rPr>
            </w:pPr>
            <w:r>
              <w:rPr>
                <w:sz w:val="18"/>
                <w:szCs w:val="18"/>
              </w:rPr>
              <w:t xml:space="preserve">            23.983,43    </w:t>
            </w:r>
          </w:p>
        </w:tc>
        <w:tc>
          <w:tcPr>
            <w:tcW w:w="711" w:type="dxa"/>
            <w:tcBorders>
              <w:top w:val="nil"/>
              <w:left w:val="nil"/>
              <w:bottom w:val="nil"/>
              <w:right w:val="nil"/>
            </w:tcBorders>
            <w:shd w:val="clear" w:color="000000" w:fill="CCFFFF"/>
            <w:noWrap/>
            <w:vAlign w:val="bottom"/>
            <w:hideMark/>
          </w:tcPr>
          <w:p w14:paraId="3F857D75" w14:textId="77777777" w:rsidR="003677EC" w:rsidRDefault="003677EC">
            <w:pPr>
              <w:jc w:val="right"/>
              <w:rPr>
                <w:sz w:val="18"/>
                <w:szCs w:val="18"/>
              </w:rPr>
            </w:pPr>
            <w:r>
              <w:rPr>
                <w:sz w:val="18"/>
                <w:szCs w:val="18"/>
              </w:rPr>
              <w:t>0,06</w:t>
            </w:r>
          </w:p>
        </w:tc>
        <w:tc>
          <w:tcPr>
            <w:tcW w:w="926" w:type="dxa"/>
            <w:tcBorders>
              <w:top w:val="nil"/>
              <w:left w:val="nil"/>
              <w:bottom w:val="nil"/>
              <w:right w:val="nil"/>
            </w:tcBorders>
            <w:shd w:val="clear" w:color="000000" w:fill="CCFFFF"/>
            <w:noWrap/>
            <w:vAlign w:val="bottom"/>
            <w:hideMark/>
          </w:tcPr>
          <w:p w14:paraId="7F2ACE1D" w14:textId="77777777" w:rsidR="003677EC" w:rsidRDefault="003677EC">
            <w:pPr>
              <w:jc w:val="right"/>
              <w:rPr>
                <w:sz w:val="18"/>
                <w:szCs w:val="18"/>
              </w:rPr>
            </w:pPr>
            <w:r>
              <w:rPr>
                <w:sz w:val="18"/>
                <w:szCs w:val="18"/>
              </w:rPr>
              <w:t>188</w:t>
            </w:r>
          </w:p>
        </w:tc>
        <w:tc>
          <w:tcPr>
            <w:tcW w:w="960" w:type="dxa"/>
            <w:tcBorders>
              <w:top w:val="nil"/>
              <w:left w:val="nil"/>
              <w:bottom w:val="nil"/>
              <w:right w:val="nil"/>
            </w:tcBorders>
            <w:shd w:val="clear" w:color="000000" w:fill="CCFFFF"/>
            <w:noWrap/>
            <w:vAlign w:val="bottom"/>
            <w:hideMark/>
          </w:tcPr>
          <w:p w14:paraId="28321BDB" w14:textId="77777777" w:rsidR="003677EC" w:rsidRDefault="003677EC">
            <w:pPr>
              <w:jc w:val="right"/>
              <w:rPr>
                <w:sz w:val="18"/>
                <w:szCs w:val="18"/>
              </w:rPr>
            </w:pPr>
            <w:r>
              <w:rPr>
                <w:sz w:val="18"/>
                <w:szCs w:val="18"/>
              </w:rPr>
              <w:t>5</w:t>
            </w:r>
          </w:p>
        </w:tc>
      </w:tr>
      <w:tr w:rsidR="003677EC" w14:paraId="627F1CA4" w14:textId="77777777" w:rsidTr="003677EC">
        <w:trPr>
          <w:trHeight w:val="240"/>
        </w:trPr>
        <w:tc>
          <w:tcPr>
            <w:tcW w:w="621" w:type="dxa"/>
            <w:tcBorders>
              <w:top w:val="nil"/>
              <w:left w:val="nil"/>
              <w:bottom w:val="nil"/>
              <w:right w:val="nil"/>
            </w:tcBorders>
            <w:shd w:val="clear" w:color="auto" w:fill="auto"/>
            <w:noWrap/>
            <w:vAlign w:val="bottom"/>
            <w:hideMark/>
          </w:tcPr>
          <w:p w14:paraId="74726BB0" w14:textId="77777777" w:rsidR="003677EC" w:rsidRDefault="003677EC">
            <w:pPr>
              <w:rPr>
                <w:sz w:val="18"/>
                <w:szCs w:val="18"/>
              </w:rPr>
            </w:pPr>
            <w:r>
              <w:rPr>
                <w:sz w:val="18"/>
                <w:szCs w:val="18"/>
              </w:rPr>
              <w:t>1.4.1.</w:t>
            </w:r>
          </w:p>
        </w:tc>
        <w:tc>
          <w:tcPr>
            <w:tcW w:w="2498" w:type="dxa"/>
            <w:tcBorders>
              <w:top w:val="nil"/>
              <w:left w:val="nil"/>
              <w:bottom w:val="nil"/>
              <w:right w:val="nil"/>
            </w:tcBorders>
            <w:shd w:val="clear" w:color="auto" w:fill="auto"/>
            <w:vAlign w:val="bottom"/>
            <w:hideMark/>
          </w:tcPr>
          <w:p w14:paraId="649A4415" w14:textId="77777777" w:rsidR="003677EC" w:rsidRDefault="003677EC">
            <w:pPr>
              <w:rPr>
                <w:sz w:val="18"/>
                <w:szCs w:val="18"/>
              </w:rPr>
            </w:pPr>
            <w:r>
              <w:rPr>
                <w:sz w:val="18"/>
                <w:szCs w:val="18"/>
              </w:rPr>
              <w:t xml:space="preserve">Subvencije </w:t>
            </w:r>
            <w:proofErr w:type="spellStart"/>
            <w:r>
              <w:rPr>
                <w:sz w:val="18"/>
                <w:szCs w:val="18"/>
              </w:rPr>
              <w:t>trg.društvima</w:t>
            </w:r>
            <w:proofErr w:type="spellEnd"/>
            <w:r>
              <w:rPr>
                <w:sz w:val="18"/>
                <w:szCs w:val="18"/>
              </w:rPr>
              <w:t xml:space="preserve">, </w:t>
            </w:r>
            <w:proofErr w:type="spellStart"/>
            <w:r>
              <w:rPr>
                <w:sz w:val="18"/>
                <w:szCs w:val="18"/>
              </w:rPr>
              <w:t>poljoprivr.i</w:t>
            </w:r>
            <w:proofErr w:type="spellEnd"/>
            <w:r>
              <w:rPr>
                <w:sz w:val="18"/>
                <w:szCs w:val="18"/>
              </w:rPr>
              <w:t xml:space="preserve"> obrtnicima</w:t>
            </w:r>
          </w:p>
        </w:tc>
        <w:tc>
          <w:tcPr>
            <w:tcW w:w="1417" w:type="dxa"/>
            <w:tcBorders>
              <w:top w:val="nil"/>
              <w:left w:val="nil"/>
              <w:bottom w:val="nil"/>
              <w:right w:val="nil"/>
            </w:tcBorders>
            <w:shd w:val="clear" w:color="auto" w:fill="auto"/>
            <w:noWrap/>
            <w:vAlign w:val="bottom"/>
            <w:hideMark/>
          </w:tcPr>
          <w:p w14:paraId="0D32D14B" w14:textId="77777777" w:rsidR="003677EC" w:rsidRDefault="003677EC" w:rsidP="003677EC">
            <w:pPr>
              <w:jc w:val="right"/>
              <w:rPr>
                <w:sz w:val="18"/>
                <w:szCs w:val="18"/>
              </w:rPr>
            </w:pPr>
            <w:r>
              <w:rPr>
                <w:sz w:val="18"/>
                <w:szCs w:val="18"/>
              </w:rPr>
              <w:t xml:space="preserve">            12.762,05    </w:t>
            </w:r>
          </w:p>
        </w:tc>
        <w:tc>
          <w:tcPr>
            <w:tcW w:w="1276" w:type="dxa"/>
            <w:tcBorders>
              <w:top w:val="nil"/>
              <w:left w:val="nil"/>
              <w:bottom w:val="nil"/>
              <w:right w:val="nil"/>
            </w:tcBorders>
            <w:shd w:val="clear" w:color="auto" w:fill="auto"/>
            <w:noWrap/>
            <w:vAlign w:val="bottom"/>
            <w:hideMark/>
          </w:tcPr>
          <w:p w14:paraId="7193E0CB" w14:textId="77777777" w:rsidR="003677EC" w:rsidRDefault="003677EC" w:rsidP="003677EC">
            <w:pPr>
              <w:jc w:val="right"/>
              <w:rPr>
                <w:sz w:val="18"/>
                <w:szCs w:val="18"/>
              </w:rPr>
            </w:pPr>
            <w:r>
              <w:rPr>
                <w:sz w:val="18"/>
                <w:szCs w:val="18"/>
              </w:rPr>
              <w:t xml:space="preserve">          530.000,00    </w:t>
            </w:r>
          </w:p>
        </w:tc>
        <w:tc>
          <w:tcPr>
            <w:tcW w:w="1251" w:type="dxa"/>
            <w:tcBorders>
              <w:top w:val="nil"/>
              <w:left w:val="nil"/>
              <w:bottom w:val="nil"/>
              <w:right w:val="nil"/>
            </w:tcBorders>
            <w:shd w:val="clear" w:color="auto" w:fill="auto"/>
            <w:noWrap/>
            <w:vAlign w:val="bottom"/>
            <w:hideMark/>
          </w:tcPr>
          <w:p w14:paraId="5123AE93" w14:textId="77777777" w:rsidR="003677EC" w:rsidRDefault="003677EC" w:rsidP="003677EC">
            <w:pPr>
              <w:jc w:val="right"/>
              <w:rPr>
                <w:sz w:val="18"/>
                <w:szCs w:val="18"/>
              </w:rPr>
            </w:pPr>
            <w:r>
              <w:rPr>
                <w:sz w:val="18"/>
                <w:szCs w:val="18"/>
              </w:rPr>
              <w:t xml:space="preserve">            23.983,43    </w:t>
            </w:r>
          </w:p>
        </w:tc>
        <w:tc>
          <w:tcPr>
            <w:tcW w:w="711" w:type="dxa"/>
            <w:tcBorders>
              <w:top w:val="nil"/>
              <w:left w:val="nil"/>
              <w:bottom w:val="nil"/>
              <w:right w:val="nil"/>
            </w:tcBorders>
            <w:shd w:val="clear" w:color="auto" w:fill="auto"/>
            <w:noWrap/>
            <w:vAlign w:val="bottom"/>
            <w:hideMark/>
          </w:tcPr>
          <w:p w14:paraId="60ED2DB8" w14:textId="77777777" w:rsidR="003677EC" w:rsidRDefault="003677EC">
            <w:pPr>
              <w:jc w:val="right"/>
              <w:rPr>
                <w:sz w:val="18"/>
                <w:szCs w:val="18"/>
              </w:rPr>
            </w:pPr>
            <w:r>
              <w:rPr>
                <w:sz w:val="18"/>
                <w:szCs w:val="18"/>
              </w:rPr>
              <w:t>0,06</w:t>
            </w:r>
          </w:p>
        </w:tc>
        <w:tc>
          <w:tcPr>
            <w:tcW w:w="926" w:type="dxa"/>
            <w:tcBorders>
              <w:top w:val="nil"/>
              <w:left w:val="nil"/>
              <w:bottom w:val="nil"/>
              <w:right w:val="nil"/>
            </w:tcBorders>
            <w:shd w:val="clear" w:color="auto" w:fill="auto"/>
            <w:noWrap/>
            <w:vAlign w:val="bottom"/>
            <w:hideMark/>
          </w:tcPr>
          <w:p w14:paraId="05FFD067" w14:textId="77777777" w:rsidR="003677EC" w:rsidRDefault="003677EC">
            <w:pPr>
              <w:jc w:val="right"/>
              <w:rPr>
                <w:sz w:val="18"/>
                <w:szCs w:val="18"/>
              </w:rPr>
            </w:pPr>
            <w:r>
              <w:rPr>
                <w:sz w:val="18"/>
                <w:szCs w:val="18"/>
              </w:rPr>
              <w:t>188</w:t>
            </w:r>
          </w:p>
        </w:tc>
        <w:tc>
          <w:tcPr>
            <w:tcW w:w="960" w:type="dxa"/>
            <w:tcBorders>
              <w:top w:val="nil"/>
              <w:left w:val="nil"/>
              <w:bottom w:val="nil"/>
              <w:right w:val="nil"/>
            </w:tcBorders>
            <w:shd w:val="clear" w:color="auto" w:fill="auto"/>
            <w:noWrap/>
            <w:vAlign w:val="bottom"/>
            <w:hideMark/>
          </w:tcPr>
          <w:p w14:paraId="41EAA9C1" w14:textId="77777777" w:rsidR="003677EC" w:rsidRDefault="003677EC">
            <w:pPr>
              <w:jc w:val="right"/>
              <w:rPr>
                <w:sz w:val="18"/>
                <w:szCs w:val="18"/>
              </w:rPr>
            </w:pPr>
            <w:r>
              <w:rPr>
                <w:sz w:val="18"/>
                <w:szCs w:val="18"/>
              </w:rPr>
              <w:t>5</w:t>
            </w:r>
          </w:p>
        </w:tc>
      </w:tr>
      <w:tr w:rsidR="003677EC" w14:paraId="6D81EF37" w14:textId="77777777" w:rsidTr="003677EC">
        <w:trPr>
          <w:trHeight w:val="480"/>
        </w:trPr>
        <w:tc>
          <w:tcPr>
            <w:tcW w:w="621" w:type="dxa"/>
            <w:tcBorders>
              <w:top w:val="nil"/>
              <w:left w:val="nil"/>
              <w:bottom w:val="nil"/>
              <w:right w:val="nil"/>
            </w:tcBorders>
            <w:shd w:val="clear" w:color="000000" w:fill="CCFFFF"/>
            <w:noWrap/>
            <w:vAlign w:val="bottom"/>
            <w:hideMark/>
          </w:tcPr>
          <w:p w14:paraId="417A9D04" w14:textId="77777777" w:rsidR="003677EC" w:rsidRDefault="003677EC">
            <w:pPr>
              <w:rPr>
                <w:sz w:val="18"/>
                <w:szCs w:val="18"/>
              </w:rPr>
            </w:pPr>
            <w:r>
              <w:rPr>
                <w:sz w:val="18"/>
                <w:szCs w:val="18"/>
              </w:rPr>
              <w:t>1.5.</w:t>
            </w:r>
          </w:p>
        </w:tc>
        <w:tc>
          <w:tcPr>
            <w:tcW w:w="2498" w:type="dxa"/>
            <w:tcBorders>
              <w:top w:val="nil"/>
              <w:left w:val="nil"/>
              <w:bottom w:val="nil"/>
              <w:right w:val="nil"/>
            </w:tcBorders>
            <w:shd w:val="clear" w:color="000000" w:fill="CCFFFF"/>
            <w:vAlign w:val="bottom"/>
            <w:hideMark/>
          </w:tcPr>
          <w:p w14:paraId="17E66957" w14:textId="77777777" w:rsidR="003677EC" w:rsidRDefault="003677EC">
            <w:pPr>
              <w:rPr>
                <w:sz w:val="18"/>
                <w:szCs w:val="18"/>
              </w:rPr>
            </w:pPr>
            <w:r>
              <w:rPr>
                <w:sz w:val="18"/>
                <w:szCs w:val="18"/>
              </w:rPr>
              <w:t xml:space="preserve">Pomoći dane u inozemstvo i unutar </w:t>
            </w:r>
            <w:r>
              <w:rPr>
                <w:sz w:val="18"/>
                <w:szCs w:val="18"/>
              </w:rPr>
              <w:br/>
              <w:t>općeg proračuna</w:t>
            </w:r>
          </w:p>
        </w:tc>
        <w:tc>
          <w:tcPr>
            <w:tcW w:w="1417" w:type="dxa"/>
            <w:tcBorders>
              <w:top w:val="nil"/>
              <w:left w:val="nil"/>
              <w:bottom w:val="nil"/>
              <w:right w:val="nil"/>
            </w:tcBorders>
            <w:shd w:val="clear" w:color="000000" w:fill="CCFFFF"/>
            <w:noWrap/>
            <w:vAlign w:val="bottom"/>
            <w:hideMark/>
          </w:tcPr>
          <w:p w14:paraId="7D63DBA2" w14:textId="77777777" w:rsidR="003677EC" w:rsidRDefault="003677EC" w:rsidP="003677EC">
            <w:pPr>
              <w:jc w:val="right"/>
              <w:rPr>
                <w:sz w:val="18"/>
                <w:szCs w:val="18"/>
              </w:rPr>
            </w:pPr>
            <w:r>
              <w:rPr>
                <w:sz w:val="18"/>
                <w:szCs w:val="18"/>
              </w:rPr>
              <w:t xml:space="preserve">       3.070.657,72    </w:t>
            </w:r>
          </w:p>
        </w:tc>
        <w:tc>
          <w:tcPr>
            <w:tcW w:w="1276" w:type="dxa"/>
            <w:tcBorders>
              <w:top w:val="nil"/>
              <w:left w:val="nil"/>
              <w:bottom w:val="nil"/>
              <w:right w:val="nil"/>
            </w:tcBorders>
            <w:shd w:val="clear" w:color="000000" w:fill="CCFFFF"/>
            <w:noWrap/>
            <w:vAlign w:val="bottom"/>
            <w:hideMark/>
          </w:tcPr>
          <w:p w14:paraId="7AEDDC6B" w14:textId="77777777" w:rsidR="003677EC" w:rsidRDefault="003677EC" w:rsidP="003677EC">
            <w:pPr>
              <w:jc w:val="right"/>
              <w:rPr>
                <w:sz w:val="18"/>
                <w:szCs w:val="18"/>
              </w:rPr>
            </w:pPr>
            <w:r>
              <w:rPr>
                <w:sz w:val="18"/>
                <w:szCs w:val="18"/>
              </w:rPr>
              <w:t xml:space="preserve">       2.673.424,95    </w:t>
            </w:r>
          </w:p>
        </w:tc>
        <w:tc>
          <w:tcPr>
            <w:tcW w:w="1251" w:type="dxa"/>
            <w:tcBorders>
              <w:top w:val="nil"/>
              <w:left w:val="nil"/>
              <w:bottom w:val="nil"/>
              <w:right w:val="nil"/>
            </w:tcBorders>
            <w:shd w:val="clear" w:color="000000" w:fill="CCFFFF"/>
            <w:noWrap/>
            <w:vAlign w:val="bottom"/>
            <w:hideMark/>
          </w:tcPr>
          <w:p w14:paraId="122DFDC5" w14:textId="77777777" w:rsidR="003677EC" w:rsidRDefault="003677EC" w:rsidP="003677EC">
            <w:pPr>
              <w:jc w:val="right"/>
              <w:rPr>
                <w:sz w:val="18"/>
                <w:szCs w:val="18"/>
              </w:rPr>
            </w:pPr>
            <w:r>
              <w:rPr>
                <w:sz w:val="18"/>
                <w:szCs w:val="18"/>
              </w:rPr>
              <w:t xml:space="preserve">       2.586.255,73    </w:t>
            </w:r>
          </w:p>
        </w:tc>
        <w:tc>
          <w:tcPr>
            <w:tcW w:w="711" w:type="dxa"/>
            <w:tcBorders>
              <w:top w:val="nil"/>
              <w:left w:val="nil"/>
              <w:bottom w:val="nil"/>
              <w:right w:val="nil"/>
            </w:tcBorders>
            <w:shd w:val="clear" w:color="000000" w:fill="CCFFFF"/>
            <w:noWrap/>
            <w:vAlign w:val="bottom"/>
            <w:hideMark/>
          </w:tcPr>
          <w:p w14:paraId="096D1CA7" w14:textId="77777777" w:rsidR="003677EC" w:rsidRDefault="003677EC">
            <w:pPr>
              <w:jc w:val="right"/>
              <w:rPr>
                <w:sz w:val="18"/>
                <w:szCs w:val="18"/>
              </w:rPr>
            </w:pPr>
            <w:r>
              <w:rPr>
                <w:sz w:val="18"/>
                <w:szCs w:val="18"/>
              </w:rPr>
              <w:t>6,77</w:t>
            </w:r>
          </w:p>
        </w:tc>
        <w:tc>
          <w:tcPr>
            <w:tcW w:w="926" w:type="dxa"/>
            <w:tcBorders>
              <w:top w:val="nil"/>
              <w:left w:val="nil"/>
              <w:bottom w:val="nil"/>
              <w:right w:val="nil"/>
            </w:tcBorders>
            <w:shd w:val="clear" w:color="000000" w:fill="CCFFFF"/>
            <w:noWrap/>
            <w:vAlign w:val="bottom"/>
            <w:hideMark/>
          </w:tcPr>
          <w:p w14:paraId="39F0DAFB" w14:textId="77777777" w:rsidR="003677EC" w:rsidRDefault="003677EC">
            <w:pPr>
              <w:jc w:val="right"/>
              <w:rPr>
                <w:sz w:val="18"/>
                <w:szCs w:val="18"/>
              </w:rPr>
            </w:pPr>
            <w:r>
              <w:rPr>
                <w:sz w:val="18"/>
                <w:szCs w:val="18"/>
              </w:rPr>
              <w:t>84</w:t>
            </w:r>
          </w:p>
        </w:tc>
        <w:tc>
          <w:tcPr>
            <w:tcW w:w="960" w:type="dxa"/>
            <w:tcBorders>
              <w:top w:val="nil"/>
              <w:left w:val="nil"/>
              <w:bottom w:val="nil"/>
              <w:right w:val="nil"/>
            </w:tcBorders>
            <w:shd w:val="clear" w:color="000000" w:fill="CCFFFF"/>
            <w:noWrap/>
            <w:vAlign w:val="bottom"/>
            <w:hideMark/>
          </w:tcPr>
          <w:p w14:paraId="680D9E61" w14:textId="77777777" w:rsidR="003677EC" w:rsidRDefault="003677EC">
            <w:pPr>
              <w:jc w:val="right"/>
              <w:rPr>
                <w:sz w:val="18"/>
                <w:szCs w:val="18"/>
              </w:rPr>
            </w:pPr>
            <w:r>
              <w:rPr>
                <w:sz w:val="18"/>
                <w:szCs w:val="18"/>
              </w:rPr>
              <w:t>97</w:t>
            </w:r>
          </w:p>
        </w:tc>
      </w:tr>
      <w:tr w:rsidR="003677EC" w14:paraId="33D85E17" w14:textId="77777777" w:rsidTr="003677EC">
        <w:trPr>
          <w:trHeight w:val="240"/>
        </w:trPr>
        <w:tc>
          <w:tcPr>
            <w:tcW w:w="621" w:type="dxa"/>
            <w:tcBorders>
              <w:top w:val="nil"/>
              <w:left w:val="nil"/>
              <w:bottom w:val="nil"/>
              <w:right w:val="nil"/>
            </w:tcBorders>
            <w:shd w:val="clear" w:color="auto" w:fill="auto"/>
            <w:noWrap/>
            <w:vAlign w:val="bottom"/>
            <w:hideMark/>
          </w:tcPr>
          <w:p w14:paraId="2CC2F41D" w14:textId="77777777" w:rsidR="003677EC" w:rsidRDefault="003677EC">
            <w:pPr>
              <w:rPr>
                <w:sz w:val="18"/>
                <w:szCs w:val="18"/>
              </w:rPr>
            </w:pPr>
            <w:r>
              <w:rPr>
                <w:sz w:val="18"/>
                <w:szCs w:val="18"/>
              </w:rPr>
              <w:t>1.5.1.</w:t>
            </w:r>
          </w:p>
        </w:tc>
        <w:tc>
          <w:tcPr>
            <w:tcW w:w="2498" w:type="dxa"/>
            <w:tcBorders>
              <w:top w:val="nil"/>
              <w:left w:val="nil"/>
              <w:bottom w:val="nil"/>
              <w:right w:val="nil"/>
            </w:tcBorders>
            <w:shd w:val="clear" w:color="auto" w:fill="auto"/>
            <w:vAlign w:val="bottom"/>
            <w:hideMark/>
          </w:tcPr>
          <w:p w14:paraId="4E1BBC00" w14:textId="77777777" w:rsidR="003677EC" w:rsidRDefault="003677EC">
            <w:pPr>
              <w:rPr>
                <w:sz w:val="18"/>
                <w:szCs w:val="18"/>
              </w:rPr>
            </w:pPr>
            <w:r>
              <w:rPr>
                <w:sz w:val="18"/>
                <w:szCs w:val="18"/>
              </w:rPr>
              <w:t>Pomoći unutar općeg proračuna</w:t>
            </w:r>
          </w:p>
        </w:tc>
        <w:tc>
          <w:tcPr>
            <w:tcW w:w="1417" w:type="dxa"/>
            <w:tcBorders>
              <w:top w:val="nil"/>
              <w:left w:val="nil"/>
              <w:bottom w:val="nil"/>
              <w:right w:val="nil"/>
            </w:tcBorders>
            <w:shd w:val="clear" w:color="auto" w:fill="auto"/>
            <w:noWrap/>
            <w:vAlign w:val="bottom"/>
            <w:hideMark/>
          </w:tcPr>
          <w:p w14:paraId="19082012" w14:textId="77777777" w:rsidR="003677EC" w:rsidRDefault="003677EC" w:rsidP="003677EC">
            <w:pPr>
              <w:jc w:val="right"/>
              <w:rPr>
                <w:sz w:val="18"/>
                <w:szCs w:val="18"/>
              </w:rPr>
            </w:pPr>
            <w:r>
              <w:rPr>
                <w:sz w:val="18"/>
                <w:szCs w:val="18"/>
              </w:rPr>
              <w:t xml:space="preserve">       1.080.605,69    </w:t>
            </w:r>
          </w:p>
        </w:tc>
        <w:tc>
          <w:tcPr>
            <w:tcW w:w="1276" w:type="dxa"/>
            <w:tcBorders>
              <w:top w:val="nil"/>
              <w:left w:val="nil"/>
              <w:bottom w:val="nil"/>
              <w:right w:val="nil"/>
            </w:tcBorders>
            <w:shd w:val="clear" w:color="auto" w:fill="auto"/>
            <w:noWrap/>
            <w:vAlign w:val="bottom"/>
            <w:hideMark/>
          </w:tcPr>
          <w:p w14:paraId="67C324BC" w14:textId="77777777" w:rsidR="003677EC" w:rsidRDefault="003677EC" w:rsidP="003677EC">
            <w:pPr>
              <w:jc w:val="right"/>
              <w:rPr>
                <w:sz w:val="18"/>
                <w:szCs w:val="18"/>
              </w:rPr>
            </w:pPr>
            <w:r>
              <w:rPr>
                <w:sz w:val="18"/>
                <w:szCs w:val="18"/>
              </w:rPr>
              <w:t xml:space="preserve">          378.186,36    </w:t>
            </w:r>
          </w:p>
        </w:tc>
        <w:tc>
          <w:tcPr>
            <w:tcW w:w="1251" w:type="dxa"/>
            <w:tcBorders>
              <w:top w:val="nil"/>
              <w:left w:val="nil"/>
              <w:bottom w:val="nil"/>
              <w:right w:val="nil"/>
            </w:tcBorders>
            <w:shd w:val="clear" w:color="auto" w:fill="auto"/>
            <w:noWrap/>
            <w:vAlign w:val="bottom"/>
            <w:hideMark/>
          </w:tcPr>
          <w:p w14:paraId="4465241A" w14:textId="77777777" w:rsidR="003677EC" w:rsidRDefault="003677EC" w:rsidP="003677EC">
            <w:pPr>
              <w:jc w:val="right"/>
              <w:rPr>
                <w:sz w:val="18"/>
                <w:szCs w:val="18"/>
              </w:rPr>
            </w:pPr>
            <w:r>
              <w:rPr>
                <w:sz w:val="18"/>
                <w:szCs w:val="18"/>
              </w:rPr>
              <w:t xml:space="preserve">          376.186,36    </w:t>
            </w:r>
          </w:p>
        </w:tc>
        <w:tc>
          <w:tcPr>
            <w:tcW w:w="711" w:type="dxa"/>
            <w:tcBorders>
              <w:top w:val="nil"/>
              <w:left w:val="nil"/>
              <w:bottom w:val="nil"/>
              <w:right w:val="nil"/>
            </w:tcBorders>
            <w:shd w:val="clear" w:color="auto" w:fill="auto"/>
            <w:noWrap/>
            <w:vAlign w:val="bottom"/>
            <w:hideMark/>
          </w:tcPr>
          <w:p w14:paraId="7726D12F" w14:textId="77777777" w:rsidR="003677EC" w:rsidRDefault="003677EC">
            <w:pPr>
              <w:jc w:val="right"/>
              <w:rPr>
                <w:sz w:val="18"/>
                <w:szCs w:val="18"/>
              </w:rPr>
            </w:pPr>
            <w:r>
              <w:rPr>
                <w:sz w:val="18"/>
                <w:szCs w:val="18"/>
              </w:rPr>
              <w:t>0,99</w:t>
            </w:r>
          </w:p>
        </w:tc>
        <w:tc>
          <w:tcPr>
            <w:tcW w:w="926" w:type="dxa"/>
            <w:tcBorders>
              <w:top w:val="nil"/>
              <w:left w:val="nil"/>
              <w:bottom w:val="nil"/>
              <w:right w:val="nil"/>
            </w:tcBorders>
            <w:shd w:val="clear" w:color="auto" w:fill="auto"/>
            <w:noWrap/>
            <w:vAlign w:val="bottom"/>
            <w:hideMark/>
          </w:tcPr>
          <w:p w14:paraId="2733ECD0" w14:textId="77777777" w:rsidR="003677EC" w:rsidRDefault="003677EC">
            <w:pPr>
              <w:jc w:val="right"/>
              <w:rPr>
                <w:sz w:val="18"/>
                <w:szCs w:val="18"/>
              </w:rPr>
            </w:pPr>
            <w:r>
              <w:rPr>
                <w:sz w:val="18"/>
                <w:szCs w:val="18"/>
              </w:rPr>
              <w:t>35</w:t>
            </w:r>
          </w:p>
        </w:tc>
        <w:tc>
          <w:tcPr>
            <w:tcW w:w="960" w:type="dxa"/>
            <w:tcBorders>
              <w:top w:val="nil"/>
              <w:left w:val="nil"/>
              <w:bottom w:val="nil"/>
              <w:right w:val="nil"/>
            </w:tcBorders>
            <w:shd w:val="clear" w:color="auto" w:fill="auto"/>
            <w:noWrap/>
            <w:vAlign w:val="bottom"/>
            <w:hideMark/>
          </w:tcPr>
          <w:p w14:paraId="0E10C168" w14:textId="77777777" w:rsidR="003677EC" w:rsidRDefault="003677EC">
            <w:pPr>
              <w:jc w:val="right"/>
              <w:rPr>
                <w:sz w:val="18"/>
                <w:szCs w:val="18"/>
              </w:rPr>
            </w:pPr>
            <w:r>
              <w:rPr>
                <w:sz w:val="18"/>
                <w:szCs w:val="18"/>
              </w:rPr>
              <w:t>99</w:t>
            </w:r>
          </w:p>
        </w:tc>
      </w:tr>
      <w:tr w:rsidR="003677EC" w14:paraId="47A5A5FD" w14:textId="77777777" w:rsidTr="003677EC">
        <w:trPr>
          <w:trHeight w:val="240"/>
        </w:trPr>
        <w:tc>
          <w:tcPr>
            <w:tcW w:w="621" w:type="dxa"/>
            <w:tcBorders>
              <w:top w:val="nil"/>
              <w:left w:val="nil"/>
              <w:bottom w:val="nil"/>
              <w:right w:val="nil"/>
            </w:tcBorders>
            <w:shd w:val="clear" w:color="auto" w:fill="auto"/>
            <w:noWrap/>
            <w:vAlign w:val="bottom"/>
            <w:hideMark/>
          </w:tcPr>
          <w:p w14:paraId="0E9E71C0" w14:textId="77777777" w:rsidR="003677EC" w:rsidRDefault="003677EC">
            <w:pPr>
              <w:rPr>
                <w:sz w:val="18"/>
                <w:szCs w:val="18"/>
              </w:rPr>
            </w:pPr>
            <w:r>
              <w:rPr>
                <w:sz w:val="18"/>
                <w:szCs w:val="18"/>
              </w:rPr>
              <w:t>1.5.2.</w:t>
            </w:r>
          </w:p>
        </w:tc>
        <w:tc>
          <w:tcPr>
            <w:tcW w:w="2498" w:type="dxa"/>
            <w:tcBorders>
              <w:top w:val="nil"/>
              <w:left w:val="nil"/>
              <w:bottom w:val="nil"/>
              <w:right w:val="nil"/>
            </w:tcBorders>
            <w:shd w:val="clear" w:color="auto" w:fill="auto"/>
            <w:vAlign w:val="bottom"/>
            <w:hideMark/>
          </w:tcPr>
          <w:p w14:paraId="6F7E7A9C" w14:textId="77777777" w:rsidR="003677EC" w:rsidRDefault="003677EC">
            <w:pPr>
              <w:rPr>
                <w:sz w:val="18"/>
                <w:szCs w:val="18"/>
              </w:rPr>
            </w:pPr>
            <w:r>
              <w:rPr>
                <w:sz w:val="18"/>
                <w:szCs w:val="18"/>
              </w:rPr>
              <w:t>Pomoći proračunskim korisnicima drugih proračuna</w:t>
            </w:r>
          </w:p>
        </w:tc>
        <w:tc>
          <w:tcPr>
            <w:tcW w:w="1417" w:type="dxa"/>
            <w:tcBorders>
              <w:top w:val="nil"/>
              <w:left w:val="nil"/>
              <w:bottom w:val="nil"/>
              <w:right w:val="nil"/>
            </w:tcBorders>
            <w:shd w:val="clear" w:color="auto" w:fill="auto"/>
            <w:noWrap/>
            <w:vAlign w:val="bottom"/>
            <w:hideMark/>
          </w:tcPr>
          <w:p w14:paraId="6232A4C9" w14:textId="77777777" w:rsidR="003677EC" w:rsidRDefault="003677EC" w:rsidP="003677EC">
            <w:pPr>
              <w:jc w:val="right"/>
              <w:rPr>
                <w:sz w:val="18"/>
                <w:szCs w:val="18"/>
              </w:rPr>
            </w:pPr>
            <w:r>
              <w:rPr>
                <w:sz w:val="18"/>
                <w:szCs w:val="18"/>
              </w:rPr>
              <w:t xml:space="preserve">       1.990.052,03    </w:t>
            </w:r>
          </w:p>
        </w:tc>
        <w:tc>
          <w:tcPr>
            <w:tcW w:w="1276" w:type="dxa"/>
            <w:tcBorders>
              <w:top w:val="nil"/>
              <w:left w:val="nil"/>
              <w:bottom w:val="nil"/>
              <w:right w:val="nil"/>
            </w:tcBorders>
            <w:shd w:val="clear" w:color="auto" w:fill="auto"/>
            <w:noWrap/>
            <w:vAlign w:val="bottom"/>
            <w:hideMark/>
          </w:tcPr>
          <w:p w14:paraId="4BE8A56F" w14:textId="77777777" w:rsidR="003677EC" w:rsidRDefault="003677EC" w:rsidP="003677EC">
            <w:pPr>
              <w:jc w:val="right"/>
              <w:rPr>
                <w:sz w:val="18"/>
                <w:szCs w:val="18"/>
              </w:rPr>
            </w:pPr>
            <w:r>
              <w:rPr>
                <w:sz w:val="18"/>
                <w:szCs w:val="18"/>
              </w:rPr>
              <w:t xml:space="preserve">       2.295.238,59    </w:t>
            </w:r>
          </w:p>
        </w:tc>
        <w:tc>
          <w:tcPr>
            <w:tcW w:w="1251" w:type="dxa"/>
            <w:tcBorders>
              <w:top w:val="nil"/>
              <w:left w:val="nil"/>
              <w:bottom w:val="nil"/>
              <w:right w:val="nil"/>
            </w:tcBorders>
            <w:shd w:val="clear" w:color="auto" w:fill="auto"/>
            <w:noWrap/>
            <w:vAlign w:val="bottom"/>
            <w:hideMark/>
          </w:tcPr>
          <w:p w14:paraId="371F7B2D" w14:textId="77777777" w:rsidR="003677EC" w:rsidRDefault="003677EC" w:rsidP="003677EC">
            <w:pPr>
              <w:jc w:val="right"/>
              <w:rPr>
                <w:sz w:val="18"/>
                <w:szCs w:val="18"/>
              </w:rPr>
            </w:pPr>
            <w:r>
              <w:rPr>
                <w:sz w:val="18"/>
                <w:szCs w:val="18"/>
              </w:rPr>
              <w:t xml:space="preserve">       2.210.069,37    </w:t>
            </w:r>
          </w:p>
        </w:tc>
        <w:tc>
          <w:tcPr>
            <w:tcW w:w="711" w:type="dxa"/>
            <w:tcBorders>
              <w:top w:val="nil"/>
              <w:left w:val="nil"/>
              <w:bottom w:val="nil"/>
              <w:right w:val="nil"/>
            </w:tcBorders>
            <w:shd w:val="clear" w:color="auto" w:fill="auto"/>
            <w:noWrap/>
            <w:vAlign w:val="bottom"/>
            <w:hideMark/>
          </w:tcPr>
          <w:p w14:paraId="4DC53DBF" w14:textId="77777777" w:rsidR="003677EC" w:rsidRDefault="003677EC">
            <w:pPr>
              <w:jc w:val="right"/>
              <w:rPr>
                <w:sz w:val="18"/>
                <w:szCs w:val="18"/>
              </w:rPr>
            </w:pPr>
            <w:r>
              <w:rPr>
                <w:sz w:val="18"/>
                <w:szCs w:val="18"/>
              </w:rPr>
              <w:t>5,79</w:t>
            </w:r>
          </w:p>
        </w:tc>
        <w:tc>
          <w:tcPr>
            <w:tcW w:w="926" w:type="dxa"/>
            <w:tcBorders>
              <w:top w:val="nil"/>
              <w:left w:val="nil"/>
              <w:bottom w:val="nil"/>
              <w:right w:val="nil"/>
            </w:tcBorders>
            <w:shd w:val="clear" w:color="auto" w:fill="auto"/>
            <w:noWrap/>
            <w:vAlign w:val="bottom"/>
            <w:hideMark/>
          </w:tcPr>
          <w:p w14:paraId="22DE9E68" w14:textId="77777777" w:rsidR="003677EC" w:rsidRDefault="003677EC">
            <w:pPr>
              <w:jc w:val="right"/>
              <w:rPr>
                <w:sz w:val="18"/>
                <w:szCs w:val="18"/>
              </w:rPr>
            </w:pPr>
            <w:r>
              <w:rPr>
                <w:sz w:val="18"/>
                <w:szCs w:val="18"/>
              </w:rPr>
              <w:t>111</w:t>
            </w:r>
          </w:p>
        </w:tc>
        <w:tc>
          <w:tcPr>
            <w:tcW w:w="960" w:type="dxa"/>
            <w:tcBorders>
              <w:top w:val="nil"/>
              <w:left w:val="nil"/>
              <w:bottom w:val="nil"/>
              <w:right w:val="nil"/>
            </w:tcBorders>
            <w:shd w:val="clear" w:color="auto" w:fill="auto"/>
            <w:noWrap/>
            <w:vAlign w:val="bottom"/>
            <w:hideMark/>
          </w:tcPr>
          <w:p w14:paraId="516FC356" w14:textId="77777777" w:rsidR="003677EC" w:rsidRDefault="003677EC">
            <w:pPr>
              <w:jc w:val="right"/>
              <w:rPr>
                <w:sz w:val="18"/>
                <w:szCs w:val="18"/>
              </w:rPr>
            </w:pPr>
            <w:r>
              <w:rPr>
                <w:sz w:val="18"/>
                <w:szCs w:val="18"/>
              </w:rPr>
              <w:t>96</w:t>
            </w:r>
          </w:p>
        </w:tc>
      </w:tr>
      <w:tr w:rsidR="003677EC" w14:paraId="110B50C2" w14:textId="77777777" w:rsidTr="003677EC">
        <w:trPr>
          <w:trHeight w:val="240"/>
        </w:trPr>
        <w:tc>
          <w:tcPr>
            <w:tcW w:w="621" w:type="dxa"/>
            <w:tcBorders>
              <w:top w:val="nil"/>
              <w:left w:val="nil"/>
              <w:bottom w:val="nil"/>
              <w:right w:val="nil"/>
            </w:tcBorders>
            <w:shd w:val="clear" w:color="000000" w:fill="CCFFFF"/>
            <w:noWrap/>
            <w:vAlign w:val="bottom"/>
            <w:hideMark/>
          </w:tcPr>
          <w:p w14:paraId="38DDBC65" w14:textId="77777777" w:rsidR="003677EC" w:rsidRDefault="003677EC">
            <w:pPr>
              <w:rPr>
                <w:sz w:val="18"/>
                <w:szCs w:val="18"/>
              </w:rPr>
            </w:pPr>
            <w:r>
              <w:rPr>
                <w:sz w:val="18"/>
                <w:szCs w:val="18"/>
              </w:rPr>
              <w:t>1.6.</w:t>
            </w:r>
          </w:p>
        </w:tc>
        <w:tc>
          <w:tcPr>
            <w:tcW w:w="2498" w:type="dxa"/>
            <w:tcBorders>
              <w:top w:val="nil"/>
              <w:left w:val="nil"/>
              <w:bottom w:val="nil"/>
              <w:right w:val="nil"/>
            </w:tcBorders>
            <w:shd w:val="clear" w:color="000000" w:fill="CCFFFF"/>
            <w:vAlign w:val="bottom"/>
            <w:hideMark/>
          </w:tcPr>
          <w:p w14:paraId="2D912E3B" w14:textId="77777777" w:rsidR="003677EC" w:rsidRDefault="003677EC">
            <w:pPr>
              <w:rPr>
                <w:sz w:val="18"/>
                <w:szCs w:val="18"/>
              </w:rPr>
            </w:pPr>
            <w:r>
              <w:rPr>
                <w:sz w:val="18"/>
                <w:szCs w:val="18"/>
              </w:rPr>
              <w:t>Naknade građanima i kućanstvima</w:t>
            </w:r>
          </w:p>
        </w:tc>
        <w:tc>
          <w:tcPr>
            <w:tcW w:w="1417" w:type="dxa"/>
            <w:tcBorders>
              <w:top w:val="nil"/>
              <w:left w:val="nil"/>
              <w:bottom w:val="nil"/>
              <w:right w:val="nil"/>
            </w:tcBorders>
            <w:shd w:val="clear" w:color="000000" w:fill="CCFFFF"/>
            <w:noWrap/>
            <w:vAlign w:val="bottom"/>
            <w:hideMark/>
          </w:tcPr>
          <w:p w14:paraId="35A76879" w14:textId="77777777" w:rsidR="003677EC" w:rsidRDefault="003677EC" w:rsidP="003677EC">
            <w:pPr>
              <w:jc w:val="right"/>
              <w:rPr>
                <w:sz w:val="18"/>
                <w:szCs w:val="18"/>
              </w:rPr>
            </w:pPr>
            <w:r>
              <w:rPr>
                <w:sz w:val="18"/>
                <w:szCs w:val="18"/>
              </w:rPr>
              <w:t xml:space="preserve">          567.416,98    </w:t>
            </w:r>
          </w:p>
        </w:tc>
        <w:tc>
          <w:tcPr>
            <w:tcW w:w="1276" w:type="dxa"/>
            <w:tcBorders>
              <w:top w:val="nil"/>
              <w:left w:val="nil"/>
              <w:bottom w:val="nil"/>
              <w:right w:val="nil"/>
            </w:tcBorders>
            <w:shd w:val="clear" w:color="000000" w:fill="CCFFFF"/>
            <w:noWrap/>
            <w:vAlign w:val="bottom"/>
            <w:hideMark/>
          </w:tcPr>
          <w:p w14:paraId="725FB808" w14:textId="77777777" w:rsidR="003677EC" w:rsidRDefault="003677EC" w:rsidP="003677EC">
            <w:pPr>
              <w:jc w:val="right"/>
              <w:rPr>
                <w:sz w:val="18"/>
                <w:szCs w:val="18"/>
              </w:rPr>
            </w:pPr>
            <w:r>
              <w:rPr>
                <w:sz w:val="18"/>
                <w:szCs w:val="18"/>
              </w:rPr>
              <w:t xml:space="preserve">          781.000,00    </w:t>
            </w:r>
          </w:p>
        </w:tc>
        <w:tc>
          <w:tcPr>
            <w:tcW w:w="1251" w:type="dxa"/>
            <w:tcBorders>
              <w:top w:val="nil"/>
              <w:left w:val="nil"/>
              <w:bottom w:val="nil"/>
              <w:right w:val="nil"/>
            </w:tcBorders>
            <w:shd w:val="clear" w:color="000000" w:fill="CCFFFF"/>
            <w:noWrap/>
            <w:vAlign w:val="bottom"/>
            <w:hideMark/>
          </w:tcPr>
          <w:p w14:paraId="5D23EF15" w14:textId="77777777" w:rsidR="003677EC" w:rsidRDefault="003677EC" w:rsidP="003677EC">
            <w:pPr>
              <w:jc w:val="right"/>
              <w:rPr>
                <w:sz w:val="18"/>
                <w:szCs w:val="18"/>
              </w:rPr>
            </w:pPr>
            <w:r>
              <w:rPr>
                <w:sz w:val="18"/>
                <w:szCs w:val="18"/>
              </w:rPr>
              <w:t xml:space="preserve">          604.251,07    </w:t>
            </w:r>
          </w:p>
        </w:tc>
        <w:tc>
          <w:tcPr>
            <w:tcW w:w="711" w:type="dxa"/>
            <w:tcBorders>
              <w:top w:val="nil"/>
              <w:left w:val="nil"/>
              <w:bottom w:val="nil"/>
              <w:right w:val="nil"/>
            </w:tcBorders>
            <w:shd w:val="clear" w:color="000000" w:fill="CCFFFF"/>
            <w:noWrap/>
            <w:vAlign w:val="bottom"/>
            <w:hideMark/>
          </w:tcPr>
          <w:p w14:paraId="4697F349" w14:textId="77777777" w:rsidR="003677EC" w:rsidRDefault="003677EC">
            <w:pPr>
              <w:jc w:val="right"/>
              <w:rPr>
                <w:sz w:val="18"/>
                <w:szCs w:val="18"/>
              </w:rPr>
            </w:pPr>
            <w:r>
              <w:rPr>
                <w:sz w:val="18"/>
                <w:szCs w:val="18"/>
              </w:rPr>
              <w:t>1,58</w:t>
            </w:r>
          </w:p>
        </w:tc>
        <w:tc>
          <w:tcPr>
            <w:tcW w:w="926" w:type="dxa"/>
            <w:tcBorders>
              <w:top w:val="nil"/>
              <w:left w:val="nil"/>
              <w:bottom w:val="nil"/>
              <w:right w:val="nil"/>
            </w:tcBorders>
            <w:shd w:val="clear" w:color="000000" w:fill="CCFFFF"/>
            <w:noWrap/>
            <w:vAlign w:val="bottom"/>
            <w:hideMark/>
          </w:tcPr>
          <w:p w14:paraId="4E5D1E9F" w14:textId="77777777" w:rsidR="003677EC" w:rsidRDefault="003677EC">
            <w:pPr>
              <w:jc w:val="right"/>
              <w:rPr>
                <w:sz w:val="18"/>
                <w:szCs w:val="18"/>
              </w:rPr>
            </w:pPr>
            <w:r>
              <w:rPr>
                <w:sz w:val="18"/>
                <w:szCs w:val="18"/>
              </w:rPr>
              <w:t>106</w:t>
            </w:r>
          </w:p>
        </w:tc>
        <w:tc>
          <w:tcPr>
            <w:tcW w:w="960" w:type="dxa"/>
            <w:tcBorders>
              <w:top w:val="nil"/>
              <w:left w:val="nil"/>
              <w:bottom w:val="nil"/>
              <w:right w:val="nil"/>
            </w:tcBorders>
            <w:shd w:val="clear" w:color="000000" w:fill="CCFFFF"/>
            <w:noWrap/>
            <w:vAlign w:val="bottom"/>
            <w:hideMark/>
          </w:tcPr>
          <w:p w14:paraId="656C9133" w14:textId="77777777" w:rsidR="003677EC" w:rsidRDefault="003677EC">
            <w:pPr>
              <w:jc w:val="right"/>
              <w:rPr>
                <w:sz w:val="18"/>
                <w:szCs w:val="18"/>
              </w:rPr>
            </w:pPr>
            <w:r>
              <w:rPr>
                <w:sz w:val="18"/>
                <w:szCs w:val="18"/>
              </w:rPr>
              <w:t>77</w:t>
            </w:r>
          </w:p>
        </w:tc>
      </w:tr>
      <w:tr w:rsidR="003677EC" w14:paraId="668D918A" w14:textId="77777777" w:rsidTr="003677EC">
        <w:trPr>
          <w:trHeight w:val="240"/>
        </w:trPr>
        <w:tc>
          <w:tcPr>
            <w:tcW w:w="621" w:type="dxa"/>
            <w:tcBorders>
              <w:top w:val="nil"/>
              <w:left w:val="nil"/>
              <w:bottom w:val="nil"/>
              <w:right w:val="nil"/>
            </w:tcBorders>
            <w:shd w:val="clear" w:color="auto" w:fill="auto"/>
            <w:noWrap/>
            <w:vAlign w:val="bottom"/>
            <w:hideMark/>
          </w:tcPr>
          <w:p w14:paraId="7A25E649" w14:textId="77777777" w:rsidR="003677EC" w:rsidRDefault="003677EC">
            <w:pPr>
              <w:rPr>
                <w:sz w:val="18"/>
                <w:szCs w:val="18"/>
              </w:rPr>
            </w:pPr>
            <w:r>
              <w:rPr>
                <w:sz w:val="18"/>
                <w:szCs w:val="18"/>
              </w:rPr>
              <w:t>1.6.1.</w:t>
            </w:r>
          </w:p>
        </w:tc>
        <w:tc>
          <w:tcPr>
            <w:tcW w:w="2498" w:type="dxa"/>
            <w:tcBorders>
              <w:top w:val="nil"/>
              <w:left w:val="nil"/>
              <w:bottom w:val="nil"/>
              <w:right w:val="nil"/>
            </w:tcBorders>
            <w:shd w:val="clear" w:color="auto" w:fill="auto"/>
            <w:vAlign w:val="bottom"/>
            <w:hideMark/>
          </w:tcPr>
          <w:p w14:paraId="1B00671F" w14:textId="77777777" w:rsidR="003677EC" w:rsidRDefault="003677EC">
            <w:pPr>
              <w:rPr>
                <w:sz w:val="18"/>
                <w:szCs w:val="18"/>
              </w:rPr>
            </w:pPr>
            <w:r>
              <w:rPr>
                <w:sz w:val="18"/>
                <w:szCs w:val="18"/>
              </w:rPr>
              <w:t>Ostale naknade građanima i kućanstvima</w:t>
            </w:r>
          </w:p>
        </w:tc>
        <w:tc>
          <w:tcPr>
            <w:tcW w:w="1417" w:type="dxa"/>
            <w:tcBorders>
              <w:top w:val="nil"/>
              <w:left w:val="nil"/>
              <w:bottom w:val="nil"/>
              <w:right w:val="nil"/>
            </w:tcBorders>
            <w:shd w:val="clear" w:color="auto" w:fill="auto"/>
            <w:noWrap/>
            <w:vAlign w:val="bottom"/>
            <w:hideMark/>
          </w:tcPr>
          <w:p w14:paraId="7980D99D" w14:textId="77777777" w:rsidR="003677EC" w:rsidRDefault="003677EC" w:rsidP="003677EC">
            <w:pPr>
              <w:jc w:val="right"/>
              <w:rPr>
                <w:sz w:val="18"/>
                <w:szCs w:val="18"/>
              </w:rPr>
            </w:pPr>
            <w:r>
              <w:rPr>
                <w:sz w:val="18"/>
                <w:szCs w:val="18"/>
              </w:rPr>
              <w:t xml:space="preserve">          567.416,98    </w:t>
            </w:r>
          </w:p>
        </w:tc>
        <w:tc>
          <w:tcPr>
            <w:tcW w:w="1276" w:type="dxa"/>
            <w:tcBorders>
              <w:top w:val="nil"/>
              <w:left w:val="nil"/>
              <w:bottom w:val="nil"/>
              <w:right w:val="nil"/>
            </w:tcBorders>
            <w:shd w:val="clear" w:color="auto" w:fill="auto"/>
            <w:noWrap/>
            <w:vAlign w:val="bottom"/>
            <w:hideMark/>
          </w:tcPr>
          <w:p w14:paraId="5F295591" w14:textId="77777777" w:rsidR="003677EC" w:rsidRDefault="003677EC" w:rsidP="003677EC">
            <w:pPr>
              <w:jc w:val="right"/>
              <w:rPr>
                <w:sz w:val="18"/>
                <w:szCs w:val="18"/>
              </w:rPr>
            </w:pPr>
            <w:r>
              <w:rPr>
                <w:sz w:val="18"/>
                <w:szCs w:val="18"/>
              </w:rPr>
              <w:t xml:space="preserve">          781.000,00    </w:t>
            </w:r>
          </w:p>
        </w:tc>
        <w:tc>
          <w:tcPr>
            <w:tcW w:w="1251" w:type="dxa"/>
            <w:tcBorders>
              <w:top w:val="nil"/>
              <w:left w:val="nil"/>
              <w:bottom w:val="nil"/>
              <w:right w:val="nil"/>
            </w:tcBorders>
            <w:shd w:val="clear" w:color="auto" w:fill="auto"/>
            <w:noWrap/>
            <w:vAlign w:val="bottom"/>
            <w:hideMark/>
          </w:tcPr>
          <w:p w14:paraId="4FC48D7E" w14:textId="77777777" w:rsidR="003677EC" w:rsidRDefault="003677EC" w:rsidP="003677EC">
            <w:pPr>
              <w:jc w:val="right"/>
              <w:rPr>
                <w:sz w:val="18"/>
                <w:szCs w:val="18"/>
              </w:rPr>
            </w:pPr>
            <w:r>
              <w:rPr>
                <w:sz w:val="18"/>
                <w:szCs w:val="18"/>
              </w:rPr>
              <w:t xml:space="preserve">          604.251,07    </w:t>
            </w:r>
          </w:p>
        </w:tc>
        <w:tc>
          <w:tcPr>
            <w:tcW w:w="711" w:type="dxa"/>
            <w:tcBorders>
              <w:top w:val="nil"/>
              <w:left w:val="nil"/>
              <w:bottom w:val="nil"/>
              <w:right w:val="nil"/>
            </w:tcBorders>
            <w:shd w:val="clear" w:color="auto" w:fill="auto"/>
            <w:noWrap/>
            <w:vAlign w:val="bottom"/>
            <w:hideMark/>
          </w:tcPr>
          <w:p w14:paraId="4274F13E" w14:textId="77777777" w:rsidR="003677EC" w:rsidRDefault="003677EC">
            <w:pPr>
              <w:jc w:val="right"/>
              <w:rPr>
                <w:sz w:val="18"/>
                <w:szCs w:val="18"/>
              </w:rPr>
            </w:pPr>
            <w:r>
              <w:rPr>
                <w:sz w:val="18"/>
                <w:szCs w:val="18"/>
              </w:rPr>
              <w:t>1,58</w:t>
            </w:r>
          </w:p>
        </w:tc>
        <w:tc>
          <w:tcPr>
            <w:tcW w:w="926" w:type="dxa"/>
            <w:tcBorders>
              <w:top w:val="nil"/>
              <w:left w:val="nil"/>
              <w:bottom w:val="nil"/>
              <w:right w:val="nil"/>
            </w:tcBorders>
            <w:shd w:val="clear" w:color="auto" w:fill="auto"/>
            <w:noWrap/>
            <w:vAlign w:val="bottom"/>
            <w:hideMark/>
          </w:tcPr>
          <w:p w14:paraId="1B57A287" w14:textId="77777777" w:rsidR="003677EC" w:rsidRDefault="003677EC">
            <w:pPr>
              <w:jc w:val="right"/>
              <w:rPr>
                <w:sz w:val="18"/>
                <w:szCs w:val="18"/>
              </w:rPr>
            </w:pPr>
            <w:r>
              <w:rPr>
                <w:sz w:val="18"/>
                <w:szCs w:val="18"/>
              </w:rPr>
              <w:t>106</w:t>
            </w:r>
          </w:p>
        </w:tc>
        <w:tc>
          <w:tcPr>
            <w:tcW w:w="960" w:type="dxa"/>
            <w:tcBorders>
              <w:top w:val="nil"/>
              <w:left w:val="nil"/>
              <w:bottom w:val="nil"/>
              <w:right w:val="nil"/>
            </w:tcBorders>
            <w:shd w:val="clear" w:color="auto" w:fill="auto"/>
            <w:noWrap/>
            <w:vAlign w:val="bottom"/>
            <w:hideMark/>
          </w:tcPr>
          <w:p w14:paraId="0C02E811" w14:textId="77777777" w:rsidR="003677EC" w:rsidRDefault="003677EC">
            <w:pPr>
              <w:jc w:val="right"/>
              <w:rPr>
                <w:sz w:val="18"/>
                <w:szCs w:val="18"/>
              </w:rPr>
            </w:pPr>
            <w:r>
              <w:rPr>
                <w:sz w:val="18"/>
                <w:szCs w:val="18"/>
              </w:rPr>
              <w:t>77</w:t>
            </w:r>
          </w:p>
        </w:tc>
      </w:tr>
      <w:tr w:rsidR="003677EC" w14:paraId="078727FA" w14:textId="77777777" w:rsidTr="003677EC">
        <w:trPr>
          <w:trHeight w:val="240"/>
        </w:trPr>
        <w:tc>
          <w:tcPr>
            <w:tcW w:w="621" w:type="dxa"/>
            <w:tcBorders>
              <w:top w:val="nil"/>
              <w:left w:val="nil"/>
              <w:bottom w:val="nil"/>
              <w:right w:val="nil"/>
            </w:tcBorders>
            <w:shd w:val="clear" w:color="000000" w:fill="CCFFFF"/>
            <w:noWrap/>
            <w:vAlign w:val="bottom"/>
            <w:hideMark/>
          </w:tcPr>
          <w:p w14:paraId="60155244" w14:textId="77777777" w:rsidR="003677EC" w:rsidRDefault="003677EC">
            <w:pPr>
              <w:rPr>
                <w:sz w:val="18"/>
                <w:szCs w:val="18"/>
              </w:rPr>
            </w:pPr>
            <w:r>
              <w:rPr>
                <w:sz w:val="18"/>
                <w:szCs w:val="18"/>
              </w:rPr>
              <w:lastRenderedPageBreak/>
              <w:t>1.7.</w:t>
            </w:r>
          </w:p>
        </w:tc>
        <w:tc>
          <w:tcPr>
            <w:tcW w:w="2498" w:type="dxa"/>
            <w:tcBorders>
              <w:top w:val="nil"/>
              <w:left w:val="nil"/>
              <w:bottom w:val="nil"/>
              <w:right w:val="nil"/>
            </w:tcBorders>
            <w:shd w:val="clear" w:color="000000" w:fill="CCFFFF"/>
            <w:vAlign w:val="bottom"/>
            <w:hideMark/>
          </w:tcPr>
          <w:p w14:paraId="2D01F390" w14:textId="77777777" w:rsidR="003677EC" w:rsidRDefault="003677EC">
            <w:pPr>
              <w:rPr>
                <w:sz w:val="18"/>
                <w:szCs w:val="18"/>
              </w:rPr>
            </w:pPr>
            <w:r>
              <w:rPr>
                <w:sz w:val="18"/>
                <w:szCs w:val="18"/>
              </w:rPr>
              <w:t xml:space="preserve">Ostali rashodi </w:t>
            </w:r>
          </w:p>
        </w:tc>
        <w:tc>
          <w:tcPr>
            <w:tcW w:w="1417" w:type="dxa"/>
            <w:tcBorders>
              <w:top w:val="nil"/>
              <w:left w:val="nil"/>
              <w:bottom w:val="nil"/>
              <w:right w:val="nil"/>
            </w:tcBorders>
            <w:shd w:val="clear" w:color="000000" w:fill="CCFFFF"/>
            <w:noWrap/>
            <w:vAlign w:val="bottom"/>
            <w:hideMark/>
          </w:tcPr>
          <w:p w14:paraId="3EE9B4A1" w14:textId="77777777" w:rsidR="003677EC" w:rsidRDefault="003677EC" w:rsidP="003677EC">
            <w:pPr>
              <w:jc w:val="right"/>
              <w:rPr>
                <w:sz w:val="18"/>
                <w:szCs w:val="18"/>
              </w:rPr>
            </w:pPr>
            <w:r>
              <w:rPr>
                <w:sz w:val="18"/>
                <w:szCs w:val="18"/>
              </w:rPr>
              <w:t xml:space="preserve">       1.924.062,36    </w:t>
            </w:r>
          </w:p>
        </w:tc>
        <w:tc>
          <w:tcPr>
            <w:tcW w:w="1276" w:type="dxa"/>
            <w:tcBorders>
              <w:top w:val="nil"/>
              <w:left w:val="nil"/>
              <w:bottom w:val="nil"/>
              <w:right w:val="nil"/>
            </w:tcBorders>
            <w:shd w:val="clear" w:color="000000" w:fill="CCFFFF"/>
            <w:noWrap/>
            <w:vAlign w:val="bottom"/>
            <w:hideMark/>
          </w:tcPr>
          <w:p w14:paraId="26C34BBF" w14:textId="77777777" w:rsidR="003677EC" w:rsidRDefault="003677EC" w:rsidP="003677EC">
            <w:pPr>
              <w:jc w:val="right"/>
              <w:rPr>
                <w:sz w:val="18"/>
                <w:szCs w:val="18"/>
              </w:rPr>
            </w:pPr>
            <w:r>
              <w:rPr>
                <w:sz w:val="18"/>
                <w:szCs w:val="18"/>
              </w:rPr>
              <w:t xml:space="preserve">       3.216.058,85    </w:t>
            </w:r>
          </w:p>
        </w:tc>
        <w:tc>
          <w:tcPr>
            <w:tcW w:w="1251" w:type="dxa"/>
            <w:tcBorders>
              <w:top w:val="nil"/>
              <w:left w:val="nil"/>
              <w:bottom w:val="nil"/>
              <w:right w:val="nil"/>
            </w:tcBorders>
            <w:shd w:val="clear" w:color="000000" w:fill="CCFFFF"/>
            <w:noWrap/>
            <w:vAlign w:val="bottom"/>
            <w:hideMark/>
          </w:tcPr>
          <w:p w14:paraId="2D3DAE43" w14:textId="77777777" w:rsidR="003677EC" w:rsidRDefault="003677EC" w:rsidP="003677EC">
            <w:pPr>
              <w:jc w:val="right"/>
              <w:rPr>
                <w:sz w:val="18"/>
                <w:szCs w:val="18"/>
              </w:rPr>
            </w:pPr>
            <w:r>
              <w:rPr>
                <w:sz w:val="18"/>
                <w:szCs w:val="18"/>
              </w:rPr>
              <w:t xml:space="preserve">       2.696.396,84    </w:t>
            </w:r>
          </w:p>
        </w:tc>
        <w:tc>
          <w:tcPr>
            <w:tcW w:w="711" w:type="dxa"/>
            <w:tcBorders>
              <w:top w:val="nil"/>
              <w:left w:val="nil"/>
              <w:bottom w:val="nil"/>
              <w:right w:val="nil"/>
            </w:tcBorders>
            <w:shd w:val="clear" w:color="000000" w:fill="CCFFFF"/>
            <w:noWrap/>
            <w:vAlign w:val="bottom"/>
            <w:hideMark/>
          </w:tcPr>
          <w:p w14:paraId="32530BF2" w14:textId="77777777" w:rsidR="003677EC" w:rsidRDefault="003677EC">
            <w:pPr>
              <w:jc w:val="right"/>
              <w:rPr>
                <w:sz w:val="18"/>
                <w:szCs w:val="18"/>
              </w:rPr>
            </w:pPr>
            <w:r>
              <w:rPr>
                <w:sz w:val="18"/>
                <w:szCs w:val="18"/>
              </w:rPr>
              <w:t>7,06</w:t>
            </w:r>
          </w:p>
        </w:tc>
        <w:tc>
          <w:tcPr>
            <w:tcW w:w="926" w:type="dxa"/>
            <w:tcBorders>
              <w:top w:val="nil"/>
              <w:left w:val="nil"/>
              <w:bottom w:val="nil"/>
              <w:right w:val="nil"/>
            </w:tcBorders>
            <w:shd w:val="clear" w:color="000000" w:fill="CCFFFF"/>
            <w:noWrap/>
            <w:vAlign w:val="bottom"/>
            <w:hideMark/>
          </w:tcPr>
          <w:p w14:paraId="36FE00F5" w14:textId="77777777" w:rsidR="003677EC" w:rsidRDefault="003677EC">
            <w:pPr>
              <w:jc w:val="right"/>
              <w:rPr>
                <w:sz w:val="18"/>
                <w:szCs w:val="18"/>
              </w:rPr>
            </w:pPr>
            <w:r>
              <w:rPr>
                <w:sz w:val="18"/>
                <w:szCs w:val="18"/>
              </w:rPr>
              <w:t>140</w:t>
            </w:r>
          </w:p>
        </w:tc>
        <w:tc>
          <w:tcPr>
            <w:tcW w:w="960" w:type="dxa"/>
            <w:tcBorders>
              <w:top w:val="nil"/>
              <w:left w:val="nil"/>
              <w:bottom w:val="nil"/>
              <w:right w:val="nil"/>
            </w:tcBorders>
            <w:shd w:val="clear" w:color="000000" w:fill="CCFFFF"/>
            <w:noWrap/>
            <w:vAlign w:val="bottom"/>
            <w:hideMark/>
          </w:tcPr>
          <w:p w14:paraId="497779C4" w14:textId="77777777" w:rsidR="003677EC" w:rsidRDefault="003677EC">
            <w:pPr>
              <w:jc w:val="right"/>
              <w:rPr>
                <w:sz w:val="18"/>
                <w:szCs w:val="18"/>
              </w:rPr>
            </w:pPr>
            <w:r>
              <w:rPr>
                <w:sz w:val="18"/>
                <w:szCs w:val="18"/>
              </w:rPr>
              <w:t>84</w:t>
            </w:r>
          </w:p>
        </w:tc>
      </w:tr>
      <w:tr w:rsidR="003677EC" w14:paraId="3BA68569" w14:textId="77777777" w:rsidTr="003677EC">
        <w:trPr>
          <w:trHeight w:val="240"/>
        </w:trPr>
        <w:tc>
          <w:tcPr>
            <w:tcW w:w="621" w:type="dxa"/>
            <w:tcBorders>
              <w:top w:val="nil"/>
              <w:left w:val="nil"/>
              <w:bottom w:val="nil"/>
              <w:right w:val="nil"/>
            </w:tcBorders>
            <w:shd w:val="clear" w:color="auto" w:fill="auto"/>
            <w:noWrap/>
            <w:vAlign w:val="bottom"/>
            <w:hideMark/>
          </w:tcPr>
          <w:p w14:paraId="67155824" w14:textId="77777777" w:rsidR="003677EC" w:rsidRDefault="003677EC">
            <w:pPr>
              <w:rPr>
                <w:sz w:val="18"/>
                <w:szCs w:val="18"/>
              </w:rPr>
            </w:pPr>
            <w:r>
              <w:rPr>
                <w:sz w:val="18"/>
                <w:szCs w:val="18"/>
              </w:rPr>
              <w:t>1.7.1.</w:t>
            </w:r>
          </w:p>
        </w:tc>
        <w:tc>
          <w:tcPr>
            <w:tcW w:w="2498" w:type="dxa"/>
            <w:tcBorders>
              <w:top w:val="nil"/>
              <w:left w:val="nil"/>
              <w:bottom w:val="nil"/>
              <w:right w:val="nil"/>
            </w:tcBorders>
            <w:shd w:val="clear" w:color="auto" w:fill="auto"/>
            <w:vAlign w:val="bottom"/>
            <w:hideMark/>
          </w:tcPr>
          <w:p w14:paraId="38E3515E" w14:textId="77777777" w:rsidR="003677EC" w:rsidRDefault="003677EC">
            <w:pPr>
              <w:rPr>
                <w:sz w:val="18"/>
                <w:szCs w:val="18"/>
              </w:rPr>
            </w:pPr>
            <w:r>
              <w:rPr>
                <w:sz w:val="18"/>
                <w:szCs w:val="18"/>
              </w:rPr>
              <w:t>Tekuće donacije</w:t>
            </w:r>
          </w:p>
        </w:tc>
        <w:tc>
          <w:tcPr>
            <w:tcW w:w="1417" w:type="dxa"/>
            <w:tcBorders>
              <w:top w:val="nil"/>
              <w:left w:val="nil"/>
              <w:bottom w:val="nil"/>
              <w:right w:val="nil"/>
            </w:tcBorders>
            <w:shd w:val="clear" w:color="auto" w:fill="auto"/>
            <w:noWrap/>
            <w:vAlign w:val="bottom"/>
            <w:hideMark/>
          </w:tcPr>
          <w:p w14:paraId="03B55965" w14:textId="77777777" w:rsidR="003677EC" w:rsidRDefault="003677EC" w:rsidP="003677EC">
            <w:pPr>
              <w:jc w:val="right"/>
              <w:rPr>
                <w:sz w:val="18"/>
                <w:szCs w:val="18"/>
              </w:rPr>
            </w:pPr>
            <w:r>
              <w:rPr>
                <w:sz w:val="18"/>
                <w:szCs w:val="18"/>
              </w:rPr>
              <w:t xml:space="preserve">       1.760.924,86    </w:t>
            </w:r>
          </w:p>
        </w:tc>
        <w:tc>
          <w:tcPr>
            <w:tcW w:w="1276" w:type="dxa"/>
            <w:tcBorders>
              <w:top w:val="nil"/>
              <w:left w:val="nil"/>
              <w:bottom w:val="nil"/>
              <w:right w:val="nil"/>
            </w:tcBorders>
            <w:shd w:val="clear" w:color="auto" w:fill="auto"/>
            <w:noWrap/>
            <w:vAlign w:val="bottom"/>
            <w:hideMark/>
          </w:tcPr>
          <w:p w14:paraId="5F332DCA" w14:textId="77777777" w:rsidR="003677EC" w:rsidRDefault="003677EC" w:rsidP="003677EC">
            <w:pPr>
              <w:jc w:val="right"/>
              <w:rPr>
                <w:sz w:val="18"/>
                <w:szCs w:val="18"/>
              </w:rPr>
            </w:pPr>
            <w:r>
              <w:rPr>
                <w:sz w:val="18"/>
                <w:szCs w:val="18"/>
              </w:rPr>
              <w:t xml:space="preserve">       2.386.012,97    </w:t>
            </w:r>
          </w:p>
        </w:tc>
        <w:tc>
          <w:tcPr>
            <w:tcW w:w="1251" w:type="dxa"/>
            <w:tcBorders>
              <w:top w:val="nil"/>
              <w:left w:val="nil"/>
              <w:bottom w:val="nil"/>
              <w:right w:val="nil"/>
            </w:tcBorders>
            <w:shd w:val="clear" w:color="auto" w:fill="auto"/>
            <w:noWrap/>
            <w:vAlign w:val="bottom"/>
            <w:hideMark/>
          </w:tcPr>
          <w:p w14:paraId="49707DC4" w14:textId="77777777" w:rsidR="003677EC" w:rsidRDefault="003677EC" w:rsidP="003677EC">
            <w:pPr>
              <w:jc w:val="right"/>
              <w:rPr>
                <w:sz w:val="18"/>
                <w:szCs w:val="18"/>
              </w:rPr>
            </w:pPr>
            <w:r>
              <w:rPr>
                <w:sz w:val="18"/>
                <w:szCs w:val="18"/>
              </w:rPr>
              <w:t xml:space="preserve">       2.374.350,96    </w:t>
            </w:r>
          </w:p>
        </w:tc>
        <w:tc>
          <w:tcPr>
            <w:tcW w:w="711" w:type="dxa"/>
            <w:tcBorders>
              <w:top w:val="nil"/>
              <w:left w:val="nil"/>
              <w:bottom w:val="nil"/>
              <w:right w:val="nil"/>
            </w:tcBorders>
            <w:shd w:val="clear" w:color="auto" w:fill="auto"/>
            <w:noWrap/>
            <w:vAlign w:val="bottom"/>
            <w:hideMark/>
          </w:tcPr>
          <w:p w14:paraId="7B95AACE" w14:textId="77777777" w:rsidR="003677EC" w:rsidRDefault="003677EC">
            <w:pPr>
              <w:jc w:val="right"/>
              <w:rPr>
                <w:sz w:val="18"/>
                <w:szCs w:val="18"/>
              </w:rPr>
            </w:pPr>
            <w:r>
              <w:rPr>
                <w:sz w:val="18"/>
                <w:szCs w:val="18"/>
              </w:rPr>
              <w:t>6,22</w:t>
            </w:r>
          </w:p>
        </w:tc>
        <w:tc>
          <w:tcPr>
            <w:tcW w:w="926" w:type="dxa"/>
            <w:tcBorders>
              <w:top w:val="nil"/>
              <w:left w:val="nil"/>
              <w:bottom w:val="nil"/>
              <w:right w:val="nil"/>
            </w:tcBorders>
            <w:shd w:val="clear" w:color="auto" w:fill="auto"/>
            <w:noWrap/>
            <w:vAlign w:val="bottom"/>
            <w:hideMark/>
          </w:tcPr>
          <w:p w14:paraId="37C6A28A" w14:textId="77777777" w:rsidR="003677EC" w:rsidRDefault="003677EC">
            <w:pPr>
              <w:jc w:val="right"/>
              <w:rPr>
                <w:sz w:val="18"/>
                <w:szCs w:val="18"/>
              </w:rPr>
            </w:pPr>
            <w:r>
              <w:rPr>
                <w:sz w:val="18"/>
                <w:szCs w:val="18"/>
              </w:rPr>
              <w:t>135</w:t>
            </w:r>
          </w:p>
        </w:tc>
        <w:tc>
          <w:tcPr>
            <w:tcW w:w="960" w:type="dxa"/>
            <w:tcBorders>
              <w:top w:val="nil"/>
              <w:left w:val="nil"/>
              <w:bottom w:val="nil"/>
              <w:right w:val="nil"/>
            </w:tcBorders>
            <w:shd w:val="clear" w:color="auto" w:fill="auto"/>
            <w:noWrap/>
            <w:vAlign w:val="bottom"/>
            <w:hideMark/>
          </w:tcPr>
          <w:p w14:paraId="5A564BCB" w14:textId="77777777" w:rsidR="003677EC" w:rsidRDefault="003677EC">
            <w:pPr>
              <w:jc w:val="right"/>
              <w:rPr>
                <w:sz w:val="18"/>
                <w:szCs w:val="18"/>
              </w:rPr>
            </w:pPr>
            <w:r>
              <w:rPr>
                <w:sz w:val="18"/>
                <w:szCs w:val="18"/>
              </w:rPr>
              <w:t>100</w:t>
            </w:r>
          </w:p>
        </w:tc>
      </w:tr>
      <w:tr w:rsidR="003677EC" w14:paraId="408CCB05" w14:textId="77777777" w:rsidTr="003677EC">
        <w:trPr>
          <w:trHeight w:val="240"/>
        </w:trPr>
        <w:tc>
          <w:tcPr>
            <w:tcW w:w="621" w:type="dxa"/>
            <w:tcBorders>
              <w:top w:val="nil"/>
              <w:left w:val="nil"/>
              <w:bottom w:val="nil"/>
              <w:right w:val="nil"/>
            </w:tcBorders>
            <w:shd w:val="clear" w:color="auto" w:fill="auto"/>
            <w:noWrap/>
            <w:vAlign w:val="bottom"/>
            <w:hideMark/>
          </w:tcPr>
          <w:p w14:paraId="7E58DEBD" w14:textId="77777777" w:rsidR="003677EC" w:rsidRDefault="003677EC">
            <w:pPr>
              <w:rPr>
                <w:sz w:val="18"/>
                <w:szCs w:val="18"/>
              </w:rPr>
            </w:pPr>
            <w:r>
              <w:rPr>
                <w:sz w:val="18"/>
                <w:szCs w:val="18"/>
              </w:rPr>
              <w:t>1.7.2.</w:t>
            </w:r>
          </w:p>
        </w:tc>
        <w:tc>
          <w:tcPr>
            <w:tcW w:w="2498" w:type="dxa"/>
            <w:tcBorders>
              <w:top w:val="nil"/>
              <w:left w:val="nil"/>
              <w:bottom w:val="nil"/>
              <w:right w:val="nil"/>
            </w:tcBorders>
            <w:shd w:val="clear" w:color="auto" w:fill="auto"/>
            <w:vAlign w:val="bottom"/>
            <w:hideMark/>
          </w:tcPr>
          <w:p w14:paraId="3265F172" w14:textId="77777777" w:rsidR="003677EC" w:rsidRDefault="003677EC">
            <w:pPr>
              <w:rPr>
                <w:sz w:val="18"/>
                <w:szCs w:val="18"/>
              </w:rPr>
            </w:pPr>
            <w:r>
              <w:rPr>
                <w:sz w:val="18"/>
                <w:szCs w:val="18"/>
              </w:rPr>
              <w:t>Kapitalne donacije</w:t>
            </w:r>
          </w:p>
        </w:tc>
        <w:tc>
          <w:tcPr>
            <w:tcW w:w="1417" w:type="dxa"/>
            <w:tcBorders>
              <w:top w:val="nil"/>
              <w:left w:val="nil"/>
              <w:bottom w:val="nil"/>
              <w:right w:val="nil"/>
            </w:tcBorders>
            <w:shd w:val="clear" w:color="auto" w:fill="auto"/>
            <w:noWrap/>
            <w:vAlign w:val="bottom"/>
            <w:hideMark/>
          </w:tcPr>
          <w:p w14:paraId="0BEC74C4" w14:textId="77777777" w:rsidR="003677EC" w:rsidRDefault="003677EC" w:rsidP="003677EC">
            <w:pPr>
              <w:jc w:val="right"/>
              <w:rPr>
                <w:sz w:val="18"/>
                <w:szCs w:val="18"/>
              </w:rPr>
            </w:pPr>
            <w:r>
              <w:rPr>
                <w:sz w:val="18"/>
                <w:szCs w:val="18"/>
              </w:rPr>
              <w:t xml:space="preserve">                         -      </w:t>
            </w:r>
          </w:p>
        </w:tc>
        <w:tc>
          <w:tcPr>
            <w:tcW w:w="1276" w:type="dxa"/>
            <w:tcBorders>
              <w:top w:val="nil"/>
              <w:left w:val="nil"/>
              <w:bottom w:val="nil"/>
              <w:right w:val="nil"/>
            </w:tcBorders>
            <w:shd w:val="clear" w:color="auto" w:fill="auto"/>
            <w:noWrap/>
            <w:vAlign w:val="bottom"/>
            <w:hideMark/>
          </w:tcPr>
          <w:p w14:paraId="09482839" w14:textId="77777777" w:rsidR="003677EC" w:rsidRDefault="003677EC" w:rsidP="003677EC">
            <w:pPr>
              <w:jc w:val="right"/>
              <w:rPr>
                <w:sz w:val="18"/>
                <w:szCs w:val="18"/>
              </w:rPr>
            </w:pPr>
            <w:r>
              <w:rPr>
                <w:sz w:val="18"/>
                <w:szCs w:val="18"/>
              </w:rPr>
              <w:t xml:space="preserve">            60.000,00    </w:t>
            </w:r>
          </w:p>
        </w:tc>
        <w:tc>
          <w:tcPr>
            <w:tcW w:w="1251" w:type="dxa"/>
            <w:tcBorders>
              <w:top w:val="nil"/>
              <w:left w:val="nil"/>
              <w:bottom w:val="nil"/>
              <w:right w:val="nil"/>
            </w:tcBorders>
            <w:shd w:val="clear" w:color="auto" w:fill="auto"/>
            <w:noWrap/>
            <w:vAlign w:val="bottom"/>
            <w:hideMark/>
          </w:tcPr>
          <w:p w14:paraId="303BBBD8" w14:textId="77777777" w:rsidR="003677EC" w:rsidRDefault="003677EC" w:rsidP="003677EC">
            <w:pPr>
              <w:jc w:val="right"/>
              <w:rPr>
                <w:sz w:val="18"/>
                <w:szCs w:val="18"/>
              </w:rPr>
            </w:pPr>
            <w:r>
              <w:rPr>
                <w:sz w:val="18"/>
                <w:szCs w:val="18"/>
              </w:rPr>
              <w:t xml:space="preserve">                         -      </w:t>
            </w:r>
          </w:p>
        </w:tc>
        <w:tc>
          <w:tcPr>
            <w:tcW w:w="711" w:type="dxa"/>
            <w:tcBorders>
              <w:top w:val="nil"/>
              <w:left w:val="nil"/>
              <w:bottom w:val="nil"/>
              <w:right w:val="nil"/>
            </w:tcBorders>
            <w:shd w:val="clear" w:color="auto" w:fill="auto"/>
            <w:noWrap/>
            <w:vAlign w:val="bottom"/>
            <w:hideMark/>
          </w:tcPr>
          <w:p w14:paraId="7EA21C97" w14:textId="77777777" w:rsidR="003677EC" w:rsidRDefault="003677EC">
            <w:pPr>
              <w:jc w:val="right"/>
              <w:rPr>
                <w:sz w:val="18"/>
                <w:szCs w:val="18"/>
              </w:rPr>
            </w:pPr>
            <w:r>
              <w:rPr>
                <w:sz w:val="18"/>
                <w:szCs w:val="18"/>
              </w:rPr>
              <w:t>0,00</w:t>
            </w:r>
          </w:p>
        </w:tc>
        <w:tc>
          <w:tcPr>
            <w:tcW w:w="926" w:type="dxa"/>
            <w:tcBorders>
              <w:top w:val="nil"/>
              <w:left w:val="nil"/>
              <w:bottom w:val="nil"/>
              <w:right w:val="nil"/>
            </w:tcBorders>
            <w:shd w:val="clear" w:color="auto" w:fill="auto"/>
            <w:noWrap/>
            <w:vAlign w:val="bottom"/>
            <w:hideMark/>
          </w:tcPr>
          <w:p w14:paraId="2C2FC5DE" w14:textId="77777777" w:rsidR="003677EC" w:rsidRDefault="003677EC">
            <w:pPr>
              <w:jc w:val="right"/>
              <w:rPr>
                <w:sz w:val="18"/>
                <w:szCs w:val="18"/>
              </w:rPr>
            </w:pPr>
            <w:r>
              <w:rPr>
                <w:sz w:val="18"/>
                <w:szCs w:val="18"/>
              </w:rPr>
              <w:t>0</w:t>
            </w:r>
          </w:p>
        </w:tc>
        <w:tc>
          <w:tcPr>
            <w:tcW w:w="960" w:type="dxa"/>
            <w:tcBorders>
              <w:top w:val="nil"/>
              <w:left w:val="nil"/>
              <w:bottom w:val="nil"/>
              <w:right w:val="nil"/>
            </w:tcBorders>
            <w:shd w:val="clear" w:color="auto" w:fill="auto"/>
            <w:noWrap/>
            <w:vAlign w:val="bottom"/>
            <w:hideMark/>
          </w:tcPr>
          <w:p w14:paraId="3FC6969D" w14:textId="77777777" w:rsidR="003677EC" w:rsidRDefault="003677EC">
            <w:pPr>
              <w:jc w:val="right"/>
              <w:rPr>
                <w:sz w:val="18"/>
                <w:szCs w:val="18"/>
              </w:rPr>
            </w:pPr>
            <w:r>
              <w:rPr>
                <w:sz w:val="18"/>
                <w:szCs w:val="18"/>
              </w:rPr>
              <w:t>0</w:t>
            </w:r>
          </w:p>
        </w:tc>
      </w:tr>
      <w:tr w:rsidR="003677EC" w14:paraId="5329E6E6" w14:textId="77777777" w:rsidTr="003677EC">
        <w:trPr>
          <w:trHeight w:val="240"/>
        </w:trPr>
        <w:tc>
          <w:tcPr>
            <w:tcW w:w="621" w:type="dxa"/>
            <w:tcBorders>
              <w:top w:val="nil"/>
              <w:left w:val="nil"/>
              <w:bottom w:val="nil"/>
              <w:right w:val="nil"/>
            </w:tcBorders>
            <w:shd w:val="clear" w:color="auto" w:fill="auto"/>
            <w:noWrap/>
            <w:vAlign w:val="bottom"/>
            <w:hideMark/>
          </w:tcPr>
          <w:p w14:paraId="74554B51" w14:textId="77777777" w:rsidR="003677EC" w:rsidRDefault="003677EC">
            <w:pPr>
              <w:rPr>
                <w:sz w:val="18"/>
                <w:szCs w:val="18"/>
              </w:rPr>
            </w:pPr>
            <w:r>
              <w:rPr>
                <w:sz w:val="18"/>
                <w:szCs w:val="18"/>
              </w:rPr>
              <w:t>1.7.3.</w:t>
            </w:r>
          </w:p>
        </w:tc>
        <w:tc>
          <w:tcPr>
            <w:tcW w:w="2498" w:type="dxa"/>
            <w:tcBorders>
              <w:top w:val="nil"/>
              <w:left w:val="nil"/>
              <w:bottom w:val="nil"/>
              <w:right w:val="nil"/>
            </w:tcBorders>
            <w:shd w:val="clear" w:color="auto" w:fill="auto"/>
            <w:vAlign w:val="bottom"/>
            <w:hideMark/>
          </w:tcPr>
          <w:p w14:paraId="07374DBA" w14:textId="77777777" w:rsidR="003677EC" w:rsidRDefault="003677EC">
            <w:pPr>
              <w:rPr>
                <w:sz w:val="18"/>
                <w:szCs w:val="18"/>
              </w:rPr>
            </w:pPr>
            <w:r>
              <w:rPr>
                <w:sz w:val="18"/>
                <w:szCs w:val="18"/>
              </w:rPr>
              <w:t>Kazne, penali i naknade štete</w:t>
            </w:r>
          </w:p>
        </w:tc>
        <w:tc>
          <w:tcPr>
            <w:tcW w:w="1417" w:type="dxa"/>
            <w:tcBorders>
              <w:top w:val="nil"/>
              <w:left w:val="nil"/>
              <w:bottom w:val="nil"/>
              <w:right w:val="nil"/>
            </w:tcBorders>
            <w:shd w:val="clear" w:color="auto" w:fill="auto"/>
            <w:noWrap/>
            <w:vAlign w:val="bottom"/>
            <w:hideMark/>
          </w:tcPr>
          <w:p w14:paraId="6FAD903D" w14:textId="77777777" w:rsidR="003677EC" w:rsidRDefault="003677EC" w:rsidP="003677EC">
            <w:pPr>
              <w:jc w:val="right"/>
              <w:rPr>
                <w:sz w:val="18"/>
                <w:szCs w:val="18"/>
              </w:rPr>
            </w:pPr>
            <w:r>
              <w:rPr>
                <w:sz w:val="18"/>
                <w:szCs w:val="18"/>
              </w:rPr>
              <w:t xml:space="preserve">          163.137,50    </w:t>
            </w:r>
          </w:p>
        </w:tc>
        <w:tc>
          <w:tcPr>
            <w:tcW w:w="1276" w:type="dxa"/>
            <w:tcBorders>
              <w:top w:val="nil"/>
              <w:left w:val="nil"/>
              <w:bottom w:val="nil"/>
              <w:right w:val="nil"/>
            </w:tcBorders>
            <w:shd w:val="clear" w:color="auto" w:fill="auto"/>
            <w:noWrap/>
            <w:vAlign w:val="bottom"/>
            <w:hideMark/>
          </w:tcPr>
          <w:p w14:paraId="708372C9" w14:textId="77777777" w:rsidR="003677EC" w:rsidRDefault="003677EC" w:rsidP="003677EC">
            <w:pPr>
              <w:jc w:val="right"/>
              <w:rPr>
                <w:sz w:val="18"/>
                <w:szCs w:val="18"/>
              </w:rPr>
            </w:pPr>
            <w:r>
              <w:rPr>
                <w:sz w:val="18"/>
                <w:szCs w:val="18"/>
              </w:rPr>
              <w:t xml:space="preserve">          322.045,88    </w:t>
            </w:r>
          </w:p>
        </w:tc>
        <w:tc>
          <w:tcPr>
            <w:tcW w:w="1251" w:type="dxa"/>
            <w:tcBorders>
              <w:top w:val="nil"/>
              <w:left w:val="nil"/>
              <w:bottom w:val="nil"/>
              <w:right w:val="nil"/>
            </w:tcBorders>
            <w:shd w:val="clear" w:color="auto" w:fill="auto"/>
            <w:noWrap/>
            <w:vAlign w:val="bottom"/>
            <w:hideMark/>
          </w:tcPr>
          <w:p w14:paraId="7DD78852" w14:textId="77777777" w:rsidR="003677EC" w:rsidRDefault="003677EC" w:rsidP="003677EC">
            <w:pPr>
              <w:jc w:val="right"/>
              <w:rPr>
                <w:sz w:val="18"/>
                <w:szCs w:val="18"/>
              </w:rPr>
            </w:pPr>
            <w:r>
              <w:rPr>
                <w:sz w:val="18"/>
                <w:szCs w:val="18"/>
              </w:rPr>
              <w:t xml:space="preserve">          322.045,88    </w:t>
            </w:r>
          </w:p>
        </w:tc>
        <w:tc>
          <w:tcPr>
            <w:tcW w:w="711" w:type="dxa"/>
            <w:tcBorders>
              <w:top w:val="nil"/>
              <w:left w:val="nil"/>
              <w:bottom w:val="nil"/>
              <w:right w:val="nil"/>
            </w:tcBorders>
            <w:shd w:val="clear" w:color="auto" w:fill="auto"/>
            <w:noWrap/>
            <w:vAlign w:val="bottom"/>
            <w:hideMark/>
          </w:tcPr>
          <w:p w14:paraId="5095A301" w14:textId="77777777" w:rsidR="003677EC" w:rsidRDefault="003677EC">
            <w:pPr>
              <w:jc w:val="right"/>
              <w:rPr>
                <w:sz w:val="18"/>
                <w:szCs w:val="18"/>
              </w:rPr>
            </w:pPr>
            <w:r>
              <w:rPr>
                <w:sz w:val="18"/>
                <w:szCs w:val="18"/>
              </w:rPr>
              <w:t>0,84</w:t>
            </w:r>
          </w:p>
        </w:tc>
        <w:tc>
          <w:tcPr>
            <w:tcW w:w="926" w:type="dxa"/>
            <w:tcBorders>
              <w:top w:val="nil"/>
              <w:left w:val="nil"/>
              <w:bottom w:val="nil"/>
              <w:right w:val="nil"/>
            </w:tcBorders>
            <w:shd w:val="clear" w:color="auto" w:fill="auto"/>
            <w:noWrap/>
            <w:vAlign w:val="bottom"/>
            <w:hideMark/>
          </w:tcPr>
          <w:p w14:paraId="179B48E3" w14:textId="77777777" w:rsidR="003677EC" w:rsidRDefault="003677EC">
            <w:pPr>
              <w:jc w:val="right"/>
              <w:rPr>
                <w:sz w:val="18"/>
                <w:szCs w:val="18"/>
              </w:rPr>
            </w:pPr>
            <w:r>
              <w:rPr>
                <w:sz w:val="18"/>
                <w:szCs w:val="18"/>
              </w:rPr>
              <w:t>197</w:t>
            </w:r>
          </w:p>
        </w:tc>
        <w:tc>
          <w:tcPr>
            <w:tcW w:w="960" w:type="dxa"/>
            <w:tcBorders>
              <w:top w:val="nil"/>
              <w:left w:val="nil"/>
              <w:bottom w:val="nil"/>
              <w:right w:val="nil"/>
            </w:tcBorders>
            <w:shd w:val="clear" w:color="auto" w:fill="auto"/>
            <w:noWrap/>
            <w:vAlign w:val="bottom"/>
            <w:hideMark/>
          </w:tcPr>
          <w:p w14:paraId="3B47F90B" w14:textId="77777777" w:rsidR="003677EC" w:rsidRDefault="003677EC">
            <w:pPr>
              <w:jc w:val="right"/>
              <w:rPr>
                <w:sz w:val="18"/>
                <w:szCs w:val="18"/>
              </w:rPr>
            </w:pPr>
            <w:r>
              <w:rPr>
                <w:sz w:val="18"/>
                <w:szCs w:val="18"/>
              </w:rPr>
              <w:t>100</w:t>
            </w:r>
          </w:p>
        </w:tc>
      </w:tr>
      <w:tr w:rsidR="003677EC" w14:paraId="70F960BD" w14:textId="77777777" w:rsidTr="003677EC">
        <w:trPr>
          <w:trHeight w:val="240"/>
        </w:trPr>
        <w:tc>
          <w:tcPr>
            <w:tcW w:w="621" w:type="dxa"/>
            <w:tcBorders>
              <w:top w:val="nil"/>
              <w:left w:val="nil"/>
              <w:bottom w:val="nil"/>
              <w:right w:val="nil"/>
            </w:tcBorders>
            <w:shd w:val="clear" w:color="auto" w:fill="auto"/>
            <w:noWrap/>
            <w:vAlign w:val="bottom"/>
            <w:hideMark/>
          </w:tcPr>
          <w:p w14:paraId="098BDF79" w14:textId="77777777" w:rsidR="003677EC" w:rsidRDefault="003677EC">
            <w:pPr>
              <w:rPr>
                <w:sz w:val="18"/>
                <w:szCs w:val="18"/>
              </w:rPr>
            </w:pPr>
            <w:r>
              <w:rPr>
                <w:sz w:val="18"/>
                <w:szCs w:val="18"/>
              </w:rPr>
              <w:t>1.7.4.</w:t>
            </w:r>
          </w:p>
        </w:tc>
        <w:tc>
          <w:tcPr>
            <w:tcW w:w="2498" w:type="dxa"/>
            <w:tcBorders>
              <w:top w:val="nil"/>
              <w:left w:val="nil"/>
              <w:bottom w:val="nil"/>
              <w:right w:val="nil"/>
            </w:tcBorders>
            <w:shd w:val="clear" w:color="auto" w:fill="auto"/>
            <w:vAlign w:val="bottom"/>
            <w:hideMark/>
          </w:tcPr>
          <w:p w14:paraId="5608D73C" w14:textId="77777777" w:rsidR="003677EC" w:rsidRDefault="003677EC">
            <w:pPr>
              <w:rPr>
                <w:sz w:val="18"/>
                <w:szCs w:val="18"/>
              </w:rPr>
            </w:pPr>
            <w:r>
              <w:rPr>
                <w:sz w:val="18"/>
                <w:szCs w:val="18"/>
              </w:rPr>
              <w:t>Izvanredni rashodi</w:t>
            </w:r>
          </w:p>
        </w:tc>
        <w:tc>
          <w:tcPr>
            <w:tcW w:w="1417" w:type="dxa"/>
            <w:tcBorders>
              <w:top w:val="nil"/>
              <w:left w:val="nil"/>
              <w:bottom w:val="nil"/>
              <w:right w:val="nil"/>
            </w:tcBorders>
            <w:shd w:val="clear" w:color="auto" w:fill="auto"/>
            <w:noWrap/>
            <w:vAlign w:val="bottom"/>
            <w:hideMark/>
          </w:tcPr>
          <w:p w14:paraId="2C35EE11" w14:textId="77777777" w:rsidR="003677EC" w:rsidRDefault="003677EC" w:rsidP="003677EC">
            <w:pPr>
              <w:jc w:val="right"/>
              <w:rPr>
                <w:sz w:val="18"/>
                <w:szCs w:val="18"/>
              </w:rPr>
            </w:pPr>
            <w:r>
              <w:rPr>
                <w:sz w:val="18"/>
                <w:szCs w:val="18"/>
              </w:rPr>
              <w:t xml:space="preserve">                         -      </w:t>
            </w:r>
          </w:p>
        </w:tc>
        <w:tc>
          <w:tcPr>
            <w:tcW w:w="1276" w:type="dxa"/>
            <w:tcBorders>
              <w:top w:val="nil"/>
              <w:left w:val="nil"/>
              <w:bottom w:val="nil"/>
              <w:right w:val="nil"/>
            </w:tcBorders>
            <w:shd w:val="clear" w:color="auto" w:fill="auto"/>
            <w:noWrap/>
            <w:vAlign w:val="bottom"/>
            <w:hideMark/>
          </w:tcPr>
          <w:p w14:paraId="2BFAD0C7" w14:textId="77777777" w:rsidR="003677EC" w:rsidRDefault="003677EC" w:rsidP="003677EC">
            <w:pPr>
              <w:jc w:val="right"/>
              <w:rPr>
                <w:sz w:val="18"/>
                <w:szCs w:val="18"/>
              </w:rPr>
            </w:pPr>
            <w:r>
              <w:rPr>
                <w:sz w:val="18"/>
                <w:szCs w:val="18"/>
              </w:rPr>
              <w:t xml:space="preserve">          100.000,00    </w:t>
            </w:r>
          </w:p>
        </w:tc>
        <w:tc>
          <w:tcPr>
            <w:tcW w:w="1251" w:type="dxa"/>
            <w:tcBorders>
              <w:top w:val="nil"/>
              <w:left w:val="nil"/>
              <w:bottom w:val="nil"/>
              <w:right w:val="nil"/>
            </w:tcBorders>
            <w:shd w:val="clear" w:color="auto" w:fill="auto"/>
            <w:noWrap/>
            <w:vAlign w:val="bottom"/>
            <w:hideMark/>
          </w:tcPr>
          <w:p w14:paraId="50282A86" w14:textId="77777777" w:rsidR="003677EC" w:rsidRDefault="003677EC" w:rsidP="003677EC">
            <w:pPr>
              <w:jc w:val="right"/>
              <w:rPr>
                <w:sz w:val="18"/>
                <w:szCs w:val="18"/>
              </w:rPr>
            </w:pPr>
            <w:r>
              <w:rPr>
                <w:sz w:val="18"/>
                <w:szCs w:val="18"/>
              </w:rPr>
              <w:t xml:space="preserve">                         -      </w:t>
            </w:r>
          </w:p>
        </w:tc>
        <w:tc>
          <w:tcPr>
            <w:tcW w:w="711" w:type="dxa"/>
            <w:tcBorders>
              <w:top w:val="nil"/>
              <w:left w:val="nil"/>
              <w:bottom w:val="nil"/>
              <w:right w:val="nil"/>
            </w:tcBorders>
            <w:shd w:val="clear" w:color="auto" w:fill="auto"/>
            <w:noWrap/>
            <w:vAlign w:val="bottom"/>
            <w:hideMark/>
          </w:tcPr>
          <w:p w14:paraId="2FF4346B" w14:textId="77777777" w:rsidR="003677EC" w:rsidRDefault="003677EC">
            <w:pPr>
              <w:jc w:val="right"/>
              <w:rPr>
                <w:sz w:val="18"/>
                <w:szCs w:val="18"/>
              </w:rPr>
            </w:pPr>
            <w:r>
              <w:rPr>
                <w:sz w:val="18"/>
                <w:szCs w:val="18"/>
              </w:rPr>
              <w:t>0,00</w:t>
            </w:r>
          </w:p>
        </w:tc>
        <w:tc>
          <w:tcPr>
            <w:tcW w:w="926" w:type="dxa"/>
            <w:tcBorders>
              <w:top w:val="nil"/>
              <w:left w:val="nil"/>
              <w:bottom w:val="nil"/>
              <w:right w:val="nil"/>
            </w:tcBorders>
            <w:shd w:val="clear" w:color="auto" w:fill="auto"/>
            <w:noWrap/>
            <w:vAlign w:val="bottom"/>
            <w:hideMark/>
          </w:tcPr>
          <w:p w14:paraId="468BA943" w14:textId="77777777" w:rsidR="003677EC" w:rsidRDefault="003677EC">
            <w:pPr>
              <w:jc w:val="right"/>
              <w:rPr>
                <w:sz w:val="18"/>
                <w:szCs w:val="18"/>
              </w:rPr>
            </w:pPr>
            <w:r>
              <w:rPr>
                <w:sz w:val="18"/>
                <w:szCs w:val="18"/>
              </w:rPr>
              <w:t>0</w:t>
            </w:r>
          </w:p>
        </w:tc>
        <w:tc>
          <w:tcPr>
            <w:tcW w:w="960" w:type="dxa"/>
            <w:tcBorders>
              <w:top w:val="nil"/>
              <w:left w:val="nil"/>
              <w:bottom w:val="nil"/>
              <w:right w:val="nil"/>
            </w:tcBorders>
            <w:shd w:val="clear" w:color="auto" w:fill="auto"/>
            <w:noWrap/>
            <w:vAlign w:val="bottom"/>
            <w:hideMark/>
          </w:tcPr>
          <w:p w14:paraId="76E9589C" w14:textId="77777777" w:rsidR="003677EC" w:rsidRDefault="003677EC">
            <w:pPr>
              <w:jc w:val="right"/>
              <w:rPr>
                <w:sz w:val="18"/>
                <w:szCs w:val="18"/>
              </w:rPr>
            </w:pPr>
            <w:r>
              <w:rPr>
                <w:sz w:val="18"/>
                <w:szCs w:val="18"/>
              </w:rPr>
              <w:t>0</w:t>
            </w:r>
          </w:p>
        </w:tc>
      </w:tr>
      <w:tr w:rsidR="003677EC" w14:paraId="451DFC22" w14:textId="77777777" w:rsidTr="003677EC">
        <w:trPr>
          <w:trHeight w:val="240"/>
        </w:trPr>
        <w:tc>
          <w:tcPr>
            <w:tcW w:w="621" w:type="dxa"/>
            <w:tcBorders>
              <w:top w:val="nil"/>
              <w:left w:val="nil"/>
              <w:bottom w:val="nil"/>
              <w:right w:val="nil"/>
            </w:tcBorders>
            <w:shd w:val="clear" w:color="auto" w:fill="auto"/>
            <w:noWrap/>
            <w:vAlign w:val="bottom"/>
            <w:hideMark/>
          </w:tcPr>
          <w:p w14:paraId="2A012D78" w14:textId="77777777" w:rsidR="003677EC" w:rsidRDefault="003677EC">
            <w:pPr>
              <w:rPr>
                <w:sz w:val="18"/>
                <w:szCs w:val="18"/>
              </w:rPr>
            </w:pPr>
            <w:r>
              <w:rPr>
                <w:sz w:val="18"/>
                <w:szCs w:val="18"/>
              </w:rPr>
              <w:t>1.7.5.</w:t>
            </w:r>
          </w:p>
        </w:tc>
        <w:tc>
          <w:tcPr>
            <w:tcW w:w="2498" w:type="dxa"/>
            <w:tcBorders>
              <w:top w:val="nil"/>
              <w:left w:val="nil"/>
              <w:bottom w:val="nil"/>
              <w:right w:val="nil"/>
            </w:tcBorders>
            <w:shd w:val="clear" w:color="auto" w:fill="auto"/>
            <w:vAlign w:val="bottom"/>
            <w:hideMark/>
          </w:tcPr>
          <w:p w14:paraId="0A3A2359" w14:textId="77777777" w:rsidR="003677EC" w:rsidRDefault="003677EC">
            <w:pPr>
              <w:rPr>
                <w:sz w:val="18"/>
                <w:szCs w:val="18"/>
              </w:rPr>
            </w:pPr>
            <w:r>
              <w:rPr>
                <w:sz w:val="18"/>
                <w:szCs w:val="18"/>
              </w:rPr>
              <w:t>Kapitalne pomoći</w:t>
            </w:r>
          </w:p>
        </w:tc>
        <w:tc>
          <w:tcPr>
            <w:tcW w:w="1417" w:type="dxa"/>
            <w:tcBorders>
              <w:top w:val="nil"/>
              <w:left w:val="nil"/>
              <w:bottom w:val="nil"/>
              <w:right w:val="nil"/>
            </w:tcBorders>
            <w:shd w:val="clear" w:color="auto" w:fill="auto"/>
            <w:noWrap/>
            <w:vAlign w:val="bottom"/>
            <w:hideMark/>
          </w:tcPr>
          <w:p w14:paraId="736ABD22" w14:textId="77777777" w:rsidR="003677EC" w:rsidRDefault="003677EC" w:rsidP="003677EC">
            <w:pPr>
              <w:jc w:val="right"/>
              <w:rPr>
                <w:sz w:val="18"/>
                <w:szCs w:val="18"/>
              </w:rPr>
            </w:pPr>
            <w:r>
              <w:rPr>
                <w:sz w:val="18"/>
                <w:szCs w:val="18"/>
              </w:rPr>
              <w:t xml:space="preserve">                         -      </w:t>
            </w:r>
          </w:p>
        </w:tc>
        <w:tc>
          <w:tcPr>
            <w:tcW w:w="1276" w:type="dxa"/>
            <w:tcBorders>
              <w:top w:val="nil"/>
              <w:left w:val="nil"/>
              <w:bottom w:val="nil"/>
              <w:right w:val="nil"/>
            </w:tcBorders>
            <w:shd w:val="clear" w:color="auto" w:fill="auto"/>
            <w:noWrap/>
            <w:vAlign w:val="bottom"/>
            <w:hideMark/>
          </w:tcPr>
          <w:p w14:paraId="60E6BD35" w14:textId="77777777" w:rsidR="003677EC" w:rsidRDefault="003677EC" w:rsidP="003677EC">
            <w:pPr>
              <w:jc w:val="right"/>
              <w:rPr>
                <w:sz w:val="18"/>
                <w:szCs w:val="18"/>
              </w:rPr>
            </w:pPr>
            <w:r>
              <w:rPr>
                <w:sz w:val="18"/>
                <w:szCs w:val="18"/>
              </w:rPr>
              <w:t xml:space="preserve">          348.000,00    </w:t>
            </w:r>
          </w:p>
        </w:tc>
        <w:tc>
          <w:tcPr>
            <w:tcW w:w="1251" w:type="dxa"/>
            <w:tcBorders>
              <w:top w:val="nil"/>
              <w:left w:val="nil"/>
              <w:bottom w:val="nil"/>
              <w:right w:val="nil"/>
            </w:tcBorders>
            <w:shd w:val="clear" w:color="auto" w:fill="auto"/>
            <w:noWrap/>
            <w:vAlign w:val="bottom"/>
            <w:hideMark/>
          </w:tcPr>
          <w:p w14:paraId="0EF57DD6" w14:textId="77777777" w:rsidR="003677EC" w:rsidRDefault="003677EC" w:rsidP="003677EC">
            <w:pPr>
              <w:jc w:val="right"/>
              <w:rPr>
                <w:sz w:val="18"/>
                <w:szCs w:val="18"/>
              </w:rPr>
            </w:pPr>
            <w:r>
              <w:rPr>
                <w:sz w:val="18"/>
                <w:szCs w:val="18"/>
              </w:rPr>
              <w:t xml:space="preserve">                         -      </w:t>
            </w:r>
          </w:p>
        </w:tc>
        <w:tc>
          <w:tcPr>
            <w:tcW w:w="711" w:type="dxa"/>
            <w:tcBorders>
              <w:top w:val="nil"/>
              <w:left w:val="nil"/>
              <w:bottom w:val="nil"/>
              <w:right w:val="nil"/>
            </w:tcBorders>
            <w:shd w:val="clear" w:color="auto" w:fill="auto"/>
            <w:noWrap/>
            <w:vAlign w:val="bottom"/>
            <w:hideMark/>
          </w:tcPr>
          <w:p w14:paraId="7AE93D93" w14:textId="77777777" w:rsidR="003677EC" w:rsidRDefault="003677EC">
            <w:pPr>
              <w:jc w:val="right"/>
              <w:rPr>
                <w:sz w:val="18"/>
                <w:szCs w:val="18"/>
              </w:rPr>
            </w:pPr>
            <w:r>
              <w:rPr>
                <w:sz w:val="18"/>
                <w:szCs w:val="18"/>
              </w:rPr>
              <w:t>0,00</w:t>
            </w:r>
          </w:p>
        </w:tc>
        <w:tc>
          <w:tcPr>
            <w:tcW w:w="926" w:type="dxa"/>
            <w:tcBorders>
              <w:top w:val="nil"/>
              <w:left w:val="nil"/>
              <w:bottom w:val="nil"/>
              <w:right w:val="nil"/>
            </w:tcBorders>
            <w:shd w:val="clear" w:color="auto" w:fill="auto"/>
            <w:noWrap/>
            <w:vAlign w:val="bottom"/>
            <w:hideMark/>
          </w:tcPr>
          <w:p w14:paraId="60EC3181" w14:textId="77777777" w:rsidR="003677EC" w:rsidRDefault="003677EC">
            <w:pPr>
              <w:jc w:val="right"/>
              <w:rPr>
                <w:sz w:val="18"/>
                <w:szCs w:val="18"/>
              </w:rPr>
            </w:pPr>
            <w:r>
              <w:rPr>
                <w:sz w:val="18"/>
                <w:szCs w:val="18"/>
              </w:rPr>
              <w:t>0</w:t>
            </w:r>
          </w:p>
        </w:tc>
        <w:tc>
          <w:tcPr>
            <w:tcW w:w="960" w:type="dxa"/>
            <w:tcBorders>
              <w:top w:val="nil"/>
              <w:left w:val="nil"/>
              <w:bottom w:val="nil"/>
              <w:right w:val="nil"/>
            </w:tcBorders>
            <w:shd w:val="clear" w:color="auto" w:fill="auto"/>
            <w:noWrap/>
            <w:vAlign w:val="bottom"/>
            <w:hideMark/>
          </w:tcPr>
          <w:p w14:paraId="6033FA80" w14:textId="77777777" w:rsidR="003677EC" w:rsidRDefault="003677EC">
            <w:pPr>
              <w:jc w:val="right"/>
              <w:rPr>
                <w:sz w:val="18"/>
                <w:szCs w:val="18"/>
              </w:rPr>
            </w:pPr>
            <w:r>
              <w:rPr>
                <w:sz w:val="18"/>
                <w:szCs w:val="18"/>
              </w:rPr>
              <w:t>0</w:t>
            </w:r>
          </w:p>
        </w:tc>
      </w:tr>
      <w:tr w:rsidR="003677EC" w14:paraId="558BD391" w14:textId="77777777" w:rsidTr="003677EC">
        <w:trPr>
          <w:trHeight w:val="240"/>
        </w:trPr>
        <w:tc>
          <w:tcPr>
            <w:tcW w:w="621" w:type="dxa"/>
            <w:tcBorders>
              <w:top w:val="nil"/>
              <w:left w:val="nil"/>
              <w:bottom w:val="nil"/>
              <w:right w:val="nil"/>
            </w:tcBorders>
            <w:shd w:val="clear" w:color="000000" w:fill="FFCC99"/>
            <w:noWrap/>
            <w:vAlign w:val="bottom"/>
            <w:hideMark/>
          </w:tcPr>
          <w:p w14:paraId="2A5E72F4" w14:textId="77777777" w:rsidR="003677EC" w:rsidRDefault="003677EC">
            <w:pPr>
              <w:rPr>
                <w:b/>
                <w:bCs/>
                <w:sz w:val="18"/>
                <w:szCs w:val="18"/>
              </w:rPr>
            </w:pPr>
            <w:r>
              <w:rPr>
                <w:b/>
                <w:bCs/>
                <w:sz w:val="18"/>
                <w:szCs w:val="18"/>
              </w:rPr>
              <w:t>2.</w:t>
            </w:r>
          </w:p>
        </w:tc>
        <w:tc>
          <w:tcPr>
            <w:tcW w:w="2498" w:type="dxa"/>
            <w:tcBorders>
              <w:top w:val="nil"/>
              <w:left w:val="nil"/>
              <w:bottom w:val="nil"/>
              <w:right w:val="nil"/>
            </w:tcBorders>
            <w:shd w:val="clear" w:color="000000" w:fill="FFCC99"/>
            <w:vAlign w:val="bottom"/>
            <w:hideMark/>
          </w:tcPr>
          <w:p w14:paraId="046CC2E0" w14:textId="77777777" w:rsidR="003677EC" w:rsidRDefault="003677EC">
            <w:pPr>
              <w:rPr>
                <w:b/>
                <w:bCs/>
                <w:sz w:val="18"/>
                <w:szCs w:val="18"/>
              </w:rPr>
            </w:pPr>
            <w:r>
              <w:rPr>
                <w:b/>
                <w:bCs/>
                <w:sz w:val="18"/>
                <w:szCs w:val="18"/>
              </w:rPr>
              <w:t>Rashodi za nabavu nefinancijske imovine</w:t>
            </w:r>
          </w:p>
        </w:tc>
        <w:tc>
          <w:tcPr>
            <w:tcW w:w="1417" w:type="dxa"/>
            <w:tcBorders>
              <w:top w:val="nil"/>
              <w:left w:val="nil"/>
              <w:bottom w:val="nil"/>
              <w:right w:val="nil"/>
            </w:tcBorders>
            <w:shd w:val="clear" w:color="000000" w:fill="FFCC99"/>
            <w:noWrap/>
            <w:vAlign w:val="bottom"/>
            <w:hideMark/>
          </w:tcPr>
          <w:p w14:paraId="5B7CC2BF" w14:textId="77777777" w:rsidR="003677EC" w:rsidRDefault="003677EC" w:rsidP="003677EC">
            <w:pPr>
              <w:jc w:val="right"/>
              <w:rPr>
                <w:b/>
                <w:bCs/>
                <w:sz w:val="18"/>
                <w:szCs w:val="18"/>
              </w:rPr>
            </w:pPr>
            <w:r>
              <w:rPr>
                <w:b/>
                <w:bCs/>
                <w:sz w:val="18"/>
                <w:szCs w:val="18"/>
              </w:rPr>
              <w:t xml:space="preserve">       9.739.905,39    </w:t>
            </w:r>
          </w:p>
        </w:tc>
        <w:tc>
          <w:tcPr>
            <w:tcW w:w="1276" w:type="dxa"/>
            <w:tcBorders>
              <w:top w:val="nil"/>
              <w:left w:val="nil"/>
              <w:bottom w:val="nil"/>
              <w:right w:val="nil"/>
            </w:tcBorders>
            <w:shd w:val="clear" w:color="000000" w:fill="FFCC99"/>
            <w:noWrap/>
            <w:vAlign w:val="bottom"/>
            <w:hideMark/>
          </w:tcPr>
          <w:p w14:paraId="5C47FC24" w14:textId="77777777" w:rsidR="003677EC" w:rsidRDefault="003677EC" w:rsidP="003677EC">
            <w:pPr>
              <w:jc w:val="right"/>
              <w:rPr>
                <w:b/>
                <w:bCs/>
                <w:sz w:val="18"/>
                <w:szCs w:val="18"/>
              </w:rPr>
            </w:pPr>
            <w:r>
              <w:rPr>
                <w:b/>
                <w:bCs/>
                <w:sz w:val="18"/>
                <w:szCs w:val="18"/>
              </w:rPr>
              <w:t xml:space="preserve">       7.299.636,10    </w:t>
            </w:r>
          </w:p>
        </w:tc>
        <w:tc>
          <w:tcPr>
            <w:tcW w:w="1251" w:type="dxa"/>
            <w:tcBorders>
              <w:top w:val="nil"/>
              <w:left w:val="nil"/>
              <w:bottom w:val="nil"/>
              <w:right w:val="nil"/>
            </w:tcBorders>
            <w:shd w:val="clear" w:color="000000" w:fill="FFCC99"/>
            <w:noWrap/>
            <w:vAlign w:val="bottom"/>
            <w:hideMark/>
          </w:tcPr>
          <w:p w14:paraId="50A0DA5A" w14:textId="77777777" w:rsidR="003677EC" w:rsidRDefault="003677EC" w:rsidP="003677EC">
            <w:pPr>
              <w:jc w:val="right"/>
              <w:rPr>
                <w:b/>
                <w:bCs/>
                <w:sz w:val="18"/>
                <w:szCs w:val="18"/>
              </w:rPr>
            </w:pPr>
            <w:r>
              <w:rPr>
                <w:b/>
                <w:bCs/>
                <w:sz w:val="18"/>
                <w:szCs w:val="18"/>
              </w:rPr>
              <w:t xml:space="preserve">       6.915.985,03    </w:t>
            </w:r>
          </w:p>
        </w:tc>
        <w:tc>
          <w:tcPr>
            <w:tcW w:w="711" w:type="dxa"/>
            <w:tcBorders>
              <w:top w:val="nil"/>
              <w:left w:val="nil"/>
              <w:bottom w:val="nil"/>
              <w:right w:val="nil"/>
            </w:tcBorders>
            <w:shd w:val="clear" w:color="000000" w:fill="FFCC99"/>
            <w:noWrap/>
            <w:vAlign w:val="bottom"/>
            <w:hideMark/>
          </w:tcPr>
          <w:p w14:paraId="45E59067" w14:textId="77777777" w:rsidR="003677EC" w:rsidRDefault="003677EC">
            <w:pPr>
              <w:jc w:val="right"/>
              <w:rPr>
                <w:b/>
                <w:bCs/>
                <w:sz w:val="18"/>
                <w:szCs w:val="18"/>
              </w:rPr>
            </w:pPr>
            <w:r>
              <w:rPr>
                <w:b/>
                <w:bCs/>
                <w:sz w:val="18"/>
                <w:szCs w:val="18"/>
              </w:rPr>
              <w:t>18,11</w:t>
            </w:r>
          </w:p>
        </w:tc>
        <w:tc>
          <w:tcPr>
            <w:tcW w:w="926" w:type="dxa"/>
            <w:tcBorders>
              <w:top w:val="nil"/>
              <w:left w:val="nil"/>
              <w:bottom w:val="nil"/>
              <w:right w:val="nil"/>
            </w:tcBorders>
            <w:shd w:val="clear" w:color="000000" w:fill="FFCC99"/>
            <w:noWrap/>
            <w:vAlign w:val="bottom"/>
            <w:hideMark/>
          </w:tcPr>
          <w:p w14:paraId="12E193DD" w14:textId="77777777" w:rsidR="003677EC" w:rsidRDefault="003677EC">
            <w:pPr>
              <w:jc w:val="right"/>
              <w:rPr>
                <w:b/>
                <w:bCs/>
                <w:sz w:val="18"/>
                <w:szCs w:val="18"/>
              </w:rPr>
            </w:pPr>
            <w:r>
              <w:rPr>
                <w:b/>
                <w:bCs/>
                <w:sz w:val="18"/>
                <w:szCs w:val="18"/>
              </w:rPr>
              <w:t>71</w:t>
            </w:r>
          </w:p>
        </w:tc>
        <w:tc>
          <w:tcPr>
            <w:tcW w:w="960" w:type="dxa"/>
            <w:tcBorders>
              <w:top w:val="nil"/>
              <w:left w:val="nil"/>
              <w:bottom w:val="nil"/>
              <w:right w:val="nil"/>
            </w:tcBorders>
            <w:shd w:val="clear" w:color="000000" w:fill="FFCC99"/>
            <w:noWrap/>
            <w:vAlign w:val="bottom"/>
            <w:hideMark/>
          </w:tcPr>
          <w:p w14:paraId="72F253F5" w14:textId="77777777" w:rsidR="003677EC" w:rsidRDefault="003677EC">
            <w:pPr>
              <w:jc w:val="right"/>
              <w:rPr>
                <w:b/>
                <w:bCs/>
                <w:sz w:val="18"/>
                <w:szCs w:val="18"/>
              </w:rPr>
            </w:pPr>
            <w:r>
              <w:rPr>
                <w:b/>
                <w:bCs/>
                <w:sz w:val="18"/>
                <w:szCs w:val="18"/>
              </w:rPr>
              <w:t>95</w:t>
            </w:r>
          </w:p>
        </w:tc>
      </w:tr>
      <w:tr w:rsidR="003677EC" w14:paraId="75088846" w14:textId="77777777" w:rsidTr="003677EC">
        <w:trPr>
          <w:trHeight w:val="240"/>
        </w:trPr>
        <w:tc>
          <w:tcPr>
            <w:tcW w:w="621" w:type="dxa"/>
            <w:tcBorders>
              <w:top w:val="nil"/>
              <w:left w:val="nil"/>
              <w:bottom w:val="nil"/>
              <w:right w:val="nil"/>
            </w:tcBorders>
            <w:shd w:val="clear" w:color="000000" w:fill="CCFFFF"/>
            <w:noWrap/>
            <w:vAlign w:val="bottom"/>
            <w:hideMark/>
          </w:tcPr>
          <w:p w14:paraId="70403B5D" w14:textId="77777777" w:rsidR="003677EC" w:rsidRDefault="003677EC">
            <w:pPr>
              <w:rPr>
                <w:sz w:val="18"/>
                <w:szCs w:val="18"/>
              </w:rPr>
            </w:pPr>
            <w:r>
              <w:rPr>
                <w:sz w:val="18"/>
                <w:szCs w:val="18"/>
              </w:rPr>
              <w:t>2.1.</w:t>
            </w:r>
          </w:p>
        </w:tc>
        <w:tc>
          <w:tcPr>
            <w:tcW w:w="2498" w:type="dxa"/>
            <w:tcBorders>
              <w:top w:val="nil"/>
              <w:left w:val="nil"/>
              <w:bottom w:val="nil"/>
              <w:right w:val="nil"/>
            </w:tcBorders>
            <w:shd w:val="clear" w:color="000000" w:fill="CCFFFF"/>
            <w:vAlign w:val="bottom"/>
            <w:hideMark/>
          </w:tcPr>
          <w:p w14:paraId="6B3248E2" w14:textId="77777777" w:rsidR="003677EC" w:rsidRDefault="003677EC">
            <w:pPr>
              <w:rPr>
                <w:sz w:val="18"/>
                <w:szCs w:val="18"/>
              </w:rPr>
            </w:pPr>
            <w:r>
              <w:rPr>
                <w:sz w:val="18"/>
                <w:szCs w:val="18"/>
              </w:rPr>
              <w:t xml:space="preserve">Rashodi za nabavu </w:t>
            </w:r>
            <w:proofErr w:type="spellStart"/>
            <w:r>
              <w:rPr>
                <w:sz w:val="18"/>
                <w:szCs w:val="18"/>
              </w:rPr>
              <w:t>neproizvedene</w:t>
            </w:r>
            <w:proofErr w:type="spellEnd"/>
            <w:r>
              <w:rPr>
                <w:sz w:val="18"/>
                <w:szCs w:val="18"/>
              </w:rPr>
              <w:t xml:space="preserve"> imovine</w:t>
            </w:r>
          </w:p>
        </w:tc>
        <w:tc>
          <w:tcPr>
            <w:tcW w:w="1417" w:type="dxa"/>
            <w:tcBorders>
              <w:top w:val="nil"/>
              <w:left w:val="nil"/>
              <w:bottom w:val="nil"/>
              <w:right w:val="nil"/>
            </w:tcBorders>
            <w:shd w:val="clear" w:color="000000" w:fill="CCFFFF"/>
            <w:noWrap/>
            <w:vAlign w:val="bottom"/>
            <w:hideMark/>
          </w:tcPr>
          <w:p w14:paraId="0322E7BD" w14:textId="77777777" w:rsidR="003677EC" w:rsidRDefault="003677EC" w:rsidP="003677EC">
            <w:pPr>
              <w:jc w:val="right"/>
              <w:rPr>
                <w:sz w:val="18"/>
                <w:szCs w:val="18"/>
              </w:rPr>
            </w:pPr>
            <w:r>
              <w:rPr>
                <w:sz w:val="18"/>
                <w:szCs w:val="18"/>
              </w:rPr>
              <w:t xml:space="preserve">          282.606,52    </w:t>
            </w:r>
          </w:p>
        </w:tc>
        <w:tc>
          <w:tcPr>
            <w:tcW w:w="1276" w:type="dxa"/>
            <w:tcBorders>
              <w:top w:val="nil"/>
              <w:left w:val="nil"/>
              <w:bottom w:val="nil"/>
              <w:right w:val="nil"/>
            </w:tcBorders>
            <w:shd w:val="clear" w:color="000000" w:fill="CCFFFF"/>
            <w:noWrap/>
            <w:vAlign w:val="bottom"/>
            <w:hideMark/>
          </w:tcPr>
          <w:p w14:paraId="6D20E4D8" w14:textId="77777777" w:rsidR="003677EC" w:rsidRDefault="003677EC" w:rsidP="003677EC">
            <w:pPr>
              <w:jc w:val="right"/>
              <w:rPr>
                <w:sz w:val="18"/>
                <w:szCs w:val="18"/>
              </w:rPr>
            </w:pPr>
            <w:r>
              <w:rPr>
                <w:sz w:val="18"/>
                <w:szCs w:val="18"/>
              </w:rPr>
              <w:t xml:space="preserve">          517.909,20    </w:t>
            </w:r>
          </w:p>
        </w:tc>
        <w:tc>
          <w:tcPr>
            <w:tcW w:w="1251" w:type="dxa"/>
            <w:tcBorders>
              <w:top w:val="nil"/>
              <w:left w:val="nil"/>
              <w:bottom w:val="nil"/>
              <w:right w:val="nil"/>
            </w:tcBorders>
            <w:shd w:val="clear" w:color="000000" w:fill="CCFFFF"/>
            <w:noWrap/>
            <w:vAlign w:val="bottom"/>
            <w:hideMark/>
          </w:tcPr>
          <w:p w14:paraId="21F8329A" w14:textId="77777777" w:rsidR="003677EC" w:rsidRDefault="003677EC" w:rsidP="003677EC">
            <w:pPr>
              <w:jc w:val="right"/>
              <w:rPr>
                <w:sz w:val="18"/>
                <w:szCs w:val="18"/>
              </w:rPr>
            </w:pPr>
            <w:r>
              <w:rPr>
                <w:sz w:val="18"/>
                <w:szCs w:val="18"/>
              </w:rPr>
              <w:t xml:space="preserve">          517.909,20    </w:t>
            </w:r>
          </w:p>
        </w:tc>
        <w:tc>
          <w:tcPr>
            <w:tcW w:w="711" w:type="dxa"/>
            <w:tcBorders>
              <w:top w:val="nil"/>
              <w:left w:val="nil"/>
              <w:bottom w:val="nil"/>
              <w:right w:val="nil"/>
            </w:tcBorders>
            <w:shd w:val="clear" w:color="000000" w:fill="CCFFFF"/>
            <w:noWrap/>
            <w:vAlign w:val="bottom"/>
            <w:hideMark/>
          </w:tcPr>
          <w:p w14:paraId="49B9F95D" w14:textId="77777777" w:rsidR="003677EC" w:rsidRDefault="003677EC">
            <w:pPr>
              <w:jc w:val="right"/>
              <w:rPr>
                <w:sz w:val="18"/>
                <w:szCs w:val="18"/>
              </w:rPr>
            </w:pPr>
            <w:r>
              <w:rPr>
                <w:sz w:val="18"/>
                <w:szCs w:val="18"/>
              </w:rPr>
              <w:t>1,36</w:t>
            </w:r>
          </w:p>
        </w:tc>
        <w:tc>
          <w:tcPr>
            <w:tcW w:w="926" w:type="dxa"/>
            <w:tcBorders>
              <w:top w:val="nil"/>
              <w:left w:val="nil"/>
              <w:bottom w:val="nil"/>
              <w:right w:val="nil"/>
            </w:tcBorders>
            <w:shd w:val="clear" w:color="000000" w:fill="CCFFFF"/>
            <w:noWrap/>
            <w:vAlign w:val="bottom"/>
            <w:hideMark/>
          </w:tcPr>
          <w:p w14:paraId="7EA04032" w14:textId="1EFB0B27" w:rsidR="003677EC" w:rsidRDefault="0073742A">
            <w:pPr>
              <w:jc w:val="right"/>
              <w:rPr>
                <w:sz w:val="18"/>
                <w:szCs w:val="18"/>
              </w:rPr>
            </w:pPr>
            <w:r>
              <w:rPr>
                <w:sz w:val="18"/>
                <w:szCs w:val="18"/>
              </w:rPr>
              <w:t>183</w:t>
            </w:r>
          </w:p>
        </w:tc>
        <w:tc>
          <w:tcPr>
            <w:tcW w:w="960" w:type="dxa"/>
            <w:tcBorders>
              <w:top w:val="nil"/>
              <w:left w:val="nil"/>
              <w:bottom w:val="nil"/>
              <w:right w:val="nil"/>
            </w:tcBorders>
            <w:shd w:val="clear" w:color="000000" w:fill="CCFFFF"/>
            <w:noWrap/>
            <w:vAlign w:val="bottom"/>
            <w:hideMark/>
          </w:tcPr>
          <w:p w14:paraId="64CBAF14" w14:textId="77777777" w:rsidR="003677EC" w:rsidRDefault="003677EC">
            <w:pPr>
              <w:jc w:val="right"/>
              <w:rPr>
                <w:sz w:val="18"/>
                <w:szCs w:val="18"/>
              </w:rPr>
            </w:pPr>
            <w:r>
              <w:rPr>
                <w:sz w:val="18"/>
                <w:szCs w:val="18"/>
              </w:rPr>
              <w:t>100</w:t>
            </w:r>
          </w:p>
        </w:tc>
      </w:tr>
      <w:tr w:rsidR="003677EC" w14:paraId="50CD9233" w14:textId="77777777" w:rsidTr="003677EC">
        <w:trPr>
          <w:trHeight w:val="240"/>
        </w:trPr>
        <w:tc>
          <w:tcPr>
            <w:tcW w:w="621" w:type="dxa"/>
            <w:tcBorders>
              <w:top w:val="nil"/>
              <w:left w:val="nil"/>
              <w:bottom w:val="nil"/>
              <w:right w:val="nil"/>
            </w:tcBorders>
            <w:shd w:val="clear" w:color="auto" w:fill="auto"/>
            <w:noWrap/>
            <w:vAlign w:val="bottom"/>
            <w:hideMark/>
          </w:tcPr>
          <w:p w14:paraId="6360E8DA" w14:textId="77777777" w:rsidR="003677EC" w:rsidRDefault="003677EC">
            <w:pPr>
              <w:rPr>
                <w:sz w:val="18"/>
                <w:szCs w:val="18"/>
              </w:rPr>
            </w:pPr>
            <w:r>
              <w:rPr>
                <w:sz w:val="18"/>
                <w:szCs w:val="18"/>
              </w:rPr>
              <w:t>2.1.1.</w:t>
            </w:r>
          </w:p>
        </w:tc>
        <w:tc>
          <w:tcPr>
            <w:tcW w:w="2498" w:type="dxa"/>
            <w:tcBorders>
              <w:top w:val="nil"/>
              <w:left w:val="nil"/>
              <w:bottom w:val="nil"/>
              <w:right w:val="nil"/>
            </w:tcBorders>
            <w:shd w:val="clear" w:color="auto" w:fill="auto"/>
            <w:vAlign w:val="bottom"/>
            <w:hideMark/>
          </w:tcPr>
          <w:p w14:paraId="17D1E41D" w14:textId="77777777" w:rsidR="003677EC" w:rsidRDefault="003677EC">
            <w:pPr>
              <w:rPr>
                <w:sz w:val="18"/>
                <w:szCs w:val="18"/>
              </w:rPr>
            </w:pPr>
            <w:r>
              <w:rPr>
                <w:sz w:val="18"/>
                <w:szCs w:val="18"/>
              </w:rPr>
              <w:t>Materijalna imovina - zemljište</w:t>
            </w:r>
          </w:p>
        </w:tc>
        <w:tc>
          <w:tcPr>
            <w:tcW w:w="1417" w:type="dxa"/>
            <w:tcBorders>
              <w:top w:val="nil"/>
              <w:left w:val="nil"/>
              <w:bottom w:val="nil"/>
              <w:right w:val="nil"/>
            </w:tcBorders>
            <w:shd w:val="clear" w:color="auto" w:fill="auto"/>
            <w:noWrap/>
            <w:vAlign w:val="bottom"/>
            <w:hideMark/>
          </w:tcPr>
          <w:p w14:paraId="6A28FC1B" w14:textId="77777777" w:rsidR="003677EC" w:rsidRDefault="003677EC" w:rsidP="003677EC">
            <w:pPr>
              <w:jc w:val="right"/>
              <w:rPr>
                <w:sz w:val="18"/>
                <w:szCs w:val="18"/>
              </w:rPr>
            </w:pPr>
            <w:r>
              <w:rPr>
                <w:sz w:val="18"/>
                <w:szCs w:val="18"/>
              </w:rPr>
              <w:t xml:space="preserve">          282.606,52    </w:t>
            </w:r>
          </w:p>
        </w:tc>
        <w:tc>
          <w:tcPr>
            <w:tcW w:w="1276" w:type="dxa"/>
            <w:tcBorders>
              <w:top w:val="nil"/>
              <w:left w:val="nil"/>
              <w:bottom w:val="nil"/>
              <w:right w:val="nil"/>
            </w:tcBorders>
            <w:shd w:val="clear" w:color="auto" w:fill="auto"/>
            <w:noWrap/>
            <w:vAlign w:val="bottom"/>
            <w:hideMark/>
          </w:tcPr>
          <w:p w14:paraId="415C9444" w14:textId="77777777" w:rsidR="003677EC" w:rsidRDefault="003677EC" w:rsidP="003677EC">
            <w:pPr>
              <w:jc w:val="right"/>
              <w:rPr>
                <w:sz w:val="18"/>
                <w:szCs w:val="18"/>
              </w:rPr>
            </w:pPr>
            <w:r>
              <w:rPr>
                <w:sz w:val="18"/>
                <w:szCs w:val="18"/>
              </w:rPr>
              <w:t xml:space="preserve">          217.909,20    </w:t>
            </w:r>
          </w:p>
        </w:tc>
        <w:tc>
          <w:tcPr>
            <w:tcW w:w="1251" w:type="dxa"/>
            <w:tcBorders>
              <w:top w:val="nil"/>
              <w:left w:val="nil"/>
              <w:bottom w:val="nil"/>
              <w:right w:val="nil"/>
            </w:tcBorders>
            <w:shd w:val="clear" w:color="auto" w:fill="auto"/>
            <w:noWrap/>
            <w:vAlign w:val="bottom"/>
            <w:hideMark/>
          </w:tcPr>
          <w:p w14:paraId="17B0C33B" w14:textId="77777777" w:rsidR="003677EC" w:rsidRDefault="003677EC" w:rsidP="003677EC">
            <w:pPr>
              <w:jc w:val="right"/>
              <w:rPr>
                <w:sz w:val="18"/>
                <w:szCs w:val="18"/>
              </w:rPr>
            </w:pPr>
            <w:r>
              <w:rPr>
                <w:sz w:val="18"/>
                <w:szCs w:val="18"/>
              </w:rPr>
              <w:t xml:space="preserve">          217.909,20    </w:t>
            </w:r>
          </w:p>
        </w:tc>
        <w:tc>
          <w:tcPr>
            <w:tcW w:w="711" w:type="dxa"/>
            <w:tcBorders>
              <w:top w:val="nil"/>
              <w:left w:val="nil"/>
              <w:bottom w:val="nil"/>
              <w:right w:val="nil"/>
            </w:tcBorders>
            <w:shd w:val="clear" w:color="auto" w:fill="auto"/>
            <w:noWrap/>
            <w:vAlign w:val="bottom"/>
            <w:hideMark/>
          </w:tcPr>
          <w:p w14:paraId="733E6FB1" w14:textId="77777777" w:rsidR="003677EC" w:rsidRDefault="003677EC">
            <w:pPr>
              <w:jc w:val="right"/>
              <w:rPr>
                <w:sz w:val="18"/>
                <w:szCs w:val="18"/>
              </w:rPr>
            </w:pPr>
            <w:r>
              <w:rPr>
                <w:sz w:val="18"/>
                <w:szCs w:val="18"/>
              </w:rPr>
              <w:t>0,57</w:t>
            </w:r>
          </w:p>
        </w:tc>
        <w:tc>
          <w:tcPr>
            <w:tcW w:w="926" w:type="dxa"/>
            <w:tcBorders>
              <w:top w:val="nil"/>
              <w:left w:val="nil"/>
              <w:bottom w:val="nil"/>
              <w:right w:val="nil"/>
            </w:tcBorders>
            <w:shd w:val="clear" w:color="auto" w:fill="auto"/>
            <w:noWrap/>
            <w:vAlign w:val="bottom"/>
            <w:hideMark/>
          </w:tcPr>
          <w:p w14:paraId="3D4FE185" w14:textId="77777777" w:rsidR="003677EC" w:rsidRDefault="003677EC">
            <w:pPr>
              <w:jc w:val="right"/>
              <w:rPr>
                <w:sz w:val="18"/>
                <w:szCs w:val="18"/>
              </w:rPr>
            </w:pPr>
            <w:r>
              <w:rPr>
                <w:sz w:val="18"/>
                <w:szCs w:val="18"/>
              </w:rPr>
              <w:t>77</w:t>
            </w:r>
          </w:p>
        </w:tc>
        <w:tc>
          <w:tcPr>
            <w:tcW w:w="960" w:type="dxa"/>
            <w:tcBorders>
              <w:top w:val="nil"/>
              <w:left w:val="nil"/>
              <w:bottom w:val="nil"/>
              <w:right w:val="nil"/>
            </w:tcBorders>
            <w:shd w:val="clear" w:color="auto" w:fill="auto"/>
            <w:noWrap/>
            <w:vAlign w:val="bottom"/>
            <w:hideMark/>
          </w:tcPr>
          <w:p w14:paraId="3C8B8DD9" w14:textId="77777777" w:rsidR="003677EC" w:rsidRDefault="003677EC">
            <w:pPr>
              <w:jc w:val="right"/>
              <w:rPr>
                <w:sz w:val="18"/>
                <w:szCs w:val="18"/>
              </w:rPr>
            </w:pPr>
            <w:r>
              <w:rPr>
                <w:sz w:val="18"/>
                <w:szCs w:val="18"/>
              </w:rPr>
              <w:t>100</w:t>
            </w:r>
          </w:p>
        </w:tc>
      </w:tr>
      <w:tr w:rsidR="003677EC" w14:paraId="0C4634F5" w14:textId="77777777" w:rsidTr="003677EC">
        <w:trPr>
          <w:trHeight w:val="240"/>
        </w:trPr>
        <w:tc>
          <w:tcPr>
            <w:tcW w:w="621" w:type="dxa"/>
            <w:tcBorders>
              <w:top w:val="nil"/>
              <w:left w:val="nil"/>
              <w:bottom w:val="nil"/>
              <w:right w:val="nil"/>
            </w:tcBorders>
            <w:shd w:val="clear" w:color="auto" w:fill="auto"/>
            <w:noWrap/>
            <w:vAlign w:val="bottom"/>
            <w:hideMark/>
          </w:tcPr>
          <w:p w14:paraId="796E9C98" w14:textId="77777777" w:rsidR="003677EC" w:rsidRDefault="003677EC">
            <w:pPr>
              <w:rPr>
                <w:sz w:val="18"/>
                <w:szCs w:val="18"/>
              </w:rPr>
            </w:pPr>
            <w:r>
              <w:rPr>
                <w:sz w:val="18"/>
                <w:szCs w:val="18"/>
              </w:rPr>
              <w:t>2.1.2.</w:t>
            </w:r>
          </w:p>
        </w:tc>
        <w:tc>
          <w:tcPr>
            <w:tcW w:w="2498" w:type="dxa"/>
            <w:tcBorders>
              <w:top w:val="nil"/>
              <w:left w:val="nil"/>
              <w:bottom w:val="nil"/>
              <w:right w:val="nil"/>
            </w:tcBorders>
            <w:shd w:val="clear" w:color="auto" w:fill="auto"/>
            <w:vAlign w:val="bottom"/>
            <w:hideMark/>
          </w:tcPr>
          <w:p w14:paraId="237A6CE8" w14:textId="77777777" w:rsidR="003677EC" w:rsidRDefault="003677EC">
            <w:pPr>
              <w:rPr>
                <w:sz w:val="18"/>
                <w:szCs w:val="18"/>
              </w:rPr>
            </w:pPr>
            <w:r>
              <w:rPr>
                <w:sz w:val="18"/>
                <w:szCs w:val="18"/>
              </w:rPr>
              <w:t>Nematerijalna imovina</w:t>
            </w:r>
          </w:p>
        </w:tc>
        <w:tc>
          <w:tcPr>
            <w:tcW w:w="1417" w:type="dxa"/>
            <w:tcBorders>
              <w:top w:val="nil"/>
              <w:left w:val="nil"/>
              <w:bottom w:val="nil"/>
              <w:right w:val="nil"/>
            </w:tcBorders>
            <w:shd w:val="clear" w:color="auto" w:fill="auto"/>
            <w:noWrap/>
            <w:vAlign w:val="bottom"/>
            <w:hideMark/>
          </w:tcPr>
          <w:p w14:paraId="2AB0B329" w14:textId="77777777" w:rsidR="003677EC" w:rsidRDefault="003677EC" w:rsidP="003677EC">
            <w:pPr>
              <w:jc w:val="right"/>
              <w:rPr>
                <w:sz w:val="18"/>
                <w:szCs w:val="18"/>
              </w:rPr>
            </w:pPr>
            <w:r>
              <w:rPr>
                <w:sz w:val="18"/>
                <w:szCs w:val="18"/>
              </w:rPr>
              <w:t xml:space="preserve">                         -      </w:t>
            </w:r>
          </w:p>
        </w:tc>
        <w:tc>
          <w:tcPr>
            <w:tcW w:w="1276" w:type="dxa"/>
            <w:tcBorders>
              <w:top w:val="nil"/>
              <w:left w:val="nil"/>
              <w:bottom w:val="nil"/>
              <w:right w:val="nil"/>
            </w:tcBorders>
            <w:shd w:val="clear" w:color="auto" w:fill="auto"/>
            <w:noWrap/>
            <w:vAlign w:val="bottom"/>
            <w:hideMark/>
          </w:tcPr>
          <w:p w14:paraId="57D5EC2F" w14:textId="77777777" w:rsidR="003677EC" w:rsidRDefault="003677EC" w:rsidP="003677EC">
            <w:pPr>
              <w:jc w:val="right"/>
              <w:rPr>
                <w:sz w:val="18"/>
                <w:szCs w:val="18"/>
              </w:rPr>
            </w:pPr>
            <w:r>
              <w:rPr>
                <w:sz w:val="18"/>
                <w:szCs w:val="18"/>
              </w:rPr>
              <w:t xml:space="preserve">          300.000,00    </w:t>
            </w:r>
          </w:p>
        </w:tc>
        <w:tc>
          <w:tcPr>
            <w:tcW w:w="1251" w:type="dxa"/>
            <w:tcBorders>
              <w:top w:val="nil"/>
              <w:left w:val="nil"/>
              <w:bottom w:val="nil"/>
              <w:right w:val="nil"/>
            </w:tcBorders>
            <w:shd w:val="clear" w:color="auto" w:fill="auto"/>
            <w:noWrap/>
            <w:vAlign w:val="bottom"/>
            <w:hideMark/>
          </w:tcPr>
          <w:p w14:paraId="44D29B12" w14:textId="77777777" w:rsidR="003677EC" w:rsidRDefault="003677EC" w:rsidP="003677EC">
            <w:pPr>
              <w:jc w:val="right"/>
              <w:rPr>
                <w:sz w:val="18"/>
                <w:szCs w:val="18"/>
              </w:rPr>
            </w:pPr>
            <w:r>
              <w:rPr>
                <w:sz w:val="18"/>
                <w:szCs w:val="18"/>
              </w:rPr>
              <w:t xml:space="preserve">          300.000,00    </w:t>
            </w:r>
          </w:p>
        </w:tc>
        <w:tc>
          <w:tcPr>
            <w:tcW w:w="711" w:type="dxa"/>
            <w:tcBorders>
              <w:top w:val="nil"/>
              <w:left w:val="nil"/>
              <w:bottom w:val="nil"/>
              <w:right w:val="nil"/>
            </w:tcBorders>
            <w:shd w:val="clear" w:color="auto" w:fill="auto"/>
            <w:noWrap/>
            <w:vAlign w:val="bottom"/>
            <w:hideMark/>
          </w:tcPr>
          <w:p w14:paraId="5E93CCC4" w14:textId="77777777" w:rsidR="003677EC" w:rsidRDefault="003677EC">
            <w:pPr>
              <w:jc w:val="right"/>
              <w:rPr>
                <w:sz w:val="18"/>
                <w:szCs w:val="18"/>
              </w:rPr>
            </w:pPr>
            <w:r>
              <w:rPr>
                <w:sz w:val="18"/>
                <w:szCs w:val="18"/>
              </w:rPr>
              <w:t>0,79</w:t>
            </w:r>
          </w:p>
        </w:tc>
        <w:tc>
          <w:tcPr>
            <w:tcW w:w="926" w:type="dxa"/>
            <w:tcBorders>
              <w:top w:val="nil"/>
              <w:left w:val="nil"/>
              <w:bottom w:val="nil"/>
              <w:right w:val="nil"/>
            </w:tcBorders>
            <w:shd w:val="clear" w:color="auto" w:fill="auto"/>
            <w:noWrap/>
            <w:vAlign w:val="bottom"/>
            <w:hideMark/>
          </w:tcPr>
          <w:p w14:paraId="67236320" w14:textId="77777777" w:rsidR="003677EC" w:rsidRDefault="003677EC">
            <w:pPr>
              <w:jc w:val="right"/>
              <w:rPr>
                <w:sz w:val="18"/>
                <w:szCs w:val="18"/>
              </w:rPr>
            </w:pPr>
            <w:r>
              <w:rPr>
                <w:sz w:val="18"/>
                <w:szCs w:val="18"/>
              </w:rPr>
              <w:t>0</w:t>
            </w:r>
          </w:p>
        </w:tc>
        <w:tc>
          <w:tcPr>
            <w:tcW w:w="960" w:type="dxa"/>
            <w:tcBorders>
              <w:top w:val="nil"/>
              <w:left w:val="nil"/>
              <w:bottom w:val="nil"/>
              <w:right w:val="nil"/>
            </w:tcBorders>
            <w:shd w:val="clear" w:color="auto" w:fill="auto"/>
            <w:noWrap/>
            <w:vAlign w:val="bottom"/>
            <w:hideMark/>
          </w:tcPr>
          <w:p w14:paraId="539EC05B" w14:textId="77777777" w:rsidR="003677EC" w:rsidRDefault="003677EC">
            <w:pPr>
              <w:jc w:val="right"/>
              <w:rPr>
                <w:sz w:val="18"/>
                <w:szCs w:val="18"/>
              </w:rPr>
            </w:pPr>
            <w:r>
              <w:rPr>
                <w:sz w:val="18"/>
                <w:szCs w:val="18"/>
              </w:rPr>
              <w:t>100</w:t>
            </w:r>
          </w:p>
        </w:tc>
      </w:tr>
      <w:tr w:rsidR="003677EC" w14:paraId="0306B6BF" w14:textId="77777777" w:rsidTr="003677EC">
        <w:trPr>
          <w:trHeight w:val="480"/>
        </w:trPr>
        <w:tc>
          <w:tcPr>
            <w:tcW w:w="621" w:type="dxa"/>
            <w:tcBorders>
              <w:top w:val="nil"/>
              <w:left w:val="nil"/>
              <w:bottom w:val="nil"/>
              <w:right w:val="nil"/>
            </w:tcBorders>
            <w:shd w:val="clear" w:color="000000" w:fill="CCFFFF"/>
            <w:noWrap/>
            <w:vAlign w:val="bottom"/>
            <w:hideMark/>
          </w:tcPr>
          <w:p w14:paraId="7C6A62EF" w14:textId="77777777" w:rsidR="003677EC" w:rsidRDefault="003677EC">
            <w:pPr>
              <w:rPr>
                <w:sz w:val="18"/>
                <w:szCs w:val="18"/>
              </w:rPr>
            </w:pPr>
            <w:r>
              <w:rPr>
                <w:sz w:val="18"/>
                <w:szCs w:val="18"/>
              </w:rPr>
              <w:t>2.2.</w:t>
            </w:r>
          </w:p>
        </w:tc>
        <w:tc>
          <w:tcPr>
            <w:tcW w:w="2498" w:type="dxa"/>
            <w:tcBorders>
              <w:top w:val="nil"/>
              <w:left w:val="nil"/>
              <w:bottom w:val="nil"/>
              <w:right w:val="nil"/>
            </w:tcBorders>
            <w:shd w:val="clear" w:color="000000" w:fill="CCFFFF"/>
            <w:vAlign w:val="bottom"/>
            <w:hideMark/>
          </w:tcPr>
          <w:p w14:paraId="1862530D" w14:textId="77777777" w:rsidR="003677EC" w:rsidRDefault="003677EC">
            <w:pPr>
              <w:rPr>
                <w:sz w:val="18"/>
                <w:szCs w:val="18"/>
              </w:rPr>
            </w:pPr>
            <w:r>
              <w:rPr>
                <w:sz w:val="18"/>
                <w:szCs w:val="18"/>
              </w:rPr>
              <w:t xml:space="preserve">Rashodi za nabavu proizvedene dugotrajne </w:t>
            </w:r>
            <w:r>
              <w:rPr>
                <w:sz w:val="18"/>
                <w:szCs w:val="18"/>
              </w:rPr>
              <w:br/>
              <w:t xml:space="preserve">imovine </w:t>
            </w:r>
          </w:p>
        </w:tc>
        <w:tc>
          <w:tcPr>
            <w:tcW w:w="1417" w:type="dxa"/>
            <w:tcBorders>
              <w:top w:val="nil"/>
              <w:left w:val="nil"/>
              <w:bottom w:val="nil"/>
              <w:right w:val="nil"/>
            </w:tcBorders>
            <w:shd w:val="clear" w:color="000000" w:fill="CCFFFF"/>
            <w:noWrap/>
            <w:vAlign w:val="bottom"/>
            <w:hideMark/>
          </w:tcPr>
          <w:p w14:paraId="0F18E6AD" w14:textId="77777777" w:rsidR="003677EC" w:rsidRDefault="003677EC" w:rsidP="003677EC">
            <w:pPr>
              <w:jc w:val="right"/>
              <w:rPr>
                <w:sz w:val="18"/>
                <w:szCs w:val="18"/>
              </w:rPr>
            </w:pPr>
            <w:r>
              <w:rPr>
                <w:sz w:val="18"/>
                <w:szCs w:val="18"/>
              </w:rPr>
              <w:t xml:space="preserve">       3.885.873,41    </w:t>
            </w:r>
          </w:p>
        </w:tc>
        <w:tc>
          <w:tcPr>
            <w:tcW w:w="1276" w:type="dxa"/>
            <w:tcBorders>
              <w:top w:val="nil"/>
              <w:left w:val="nil"/>
              <w:bottom w:val="nil"/>
              <w:right w:val="nil"/>
            </w:tcBorders>
            <w:shd w:val="clear" w:color="000000" w:fill="CCFFFF"/>
            <w:noWrap/>
            <w:vAlign w:val="bottom"/>
            <w:hideMark/>
          </w:tcPr>
          <w:p w14:paraId="4956433A" w14:textId="77777777" w:rsidR="003677EC" w:rsidRDefault="003677EC" w:rsidP="003677EC">
            <w:pPr>
              <w:jc w:val="right"/>
              <w:rPr>
                <w:sz w:val="18"/>
                <w:szCs w:val="18"/>
              </w:rPr>
            </w:pPr>
            <w:r>
              <w:rPr>
                <w:sz w:val="18"/>
                <w:szCs w:val="18"/>
              </w:rPr>
              <w:t xml:space="preserve">       5.193.855,87    </w:t>
            </w:r>
          </w:p>
        </w:tc>
        <w:tc>
          <w:tcPr>
            <w:tcW w:w="1251" w:type="dxa"/>
            <w:tcBorders>
              <w:top w:val="nil"/>
              <w:left w:val="nil"/>
              <w:bottom w:val="nil"/>
              <w:right w:val="nil"/>
            </w:tcBorders>
            <w:shd w:val="clear" w:color="000000" w:fill="CCFFFF"/>
            <w:noWrap/>
            <w:vAlign w:val="bottom"/>
            <w:hideMark/>
          </w:tcPr>
          <w:p w14:paraId="0D5DF3BF" w14:textId="77777777" w:rsidR="003677EC" w:rsidRDefault="003677EC" w:rsidP="003677EC">
            <w:pPr>
              <w:jc w:val="right"/>
              <w:rPr>
                <w:sz w:val="18"/>
                <w:szCs w:val="18"/>
              </w:rPr>
            </w:pPr>
            <w:r>
              <w:rPr>
                <w:sz w:val="18"/>
                <w:szCs w:val="18"/>
              </w:rPr>
              <w:t xml:space="preserve">       4.883.999,17    </w:t>
            </w:r>
          </w:p>
        </w:tc>
        <w:tc>
          <w:tcPr>
            <w:tcW w:w="711" w:type="dxa"/>
            <w:tcBorders>
              <w:top w:val="nil"/>
              <w:left w:val="nil"/>
              <w:bottom w:val="nil"/>
              <w:right w:val="nil"/>
            </w:tcBorders>
            <w:shd w:val="clear" w:color="000000" w:fill="CCFFFF"/>
            <w:noWrap/>
            <w:vAlign w:val="bottom"/>
            <w:hideMark/>
          </w:tcPr>
          <w:p w14:paraId="685C9A89" w14:textId="77777777" w:rsidR="003677EC" w:rsidRDefault="003677EC">
            <w:pPr>
              <w:jc w:val="right"/>
              <w:rPr>
                <w:sz w:val="18"/>
                <w:szCs w:val="18"/>
              </w:rPr>
            </w:pPr>
            <w:r>
              <w:rPr>
                <w:sz w:val="18"/>
                <w:szCs w:val="18"/>
              </w:rPr>
              <w:t>12,79</w:t>
            </w:r>
          </w:p>
        </w:tc>
        <w:tc>
          <w:tcPr>
            <w:tcW w:w="926" w:type="dxa"/>
            <w:tcBorders>
              <w:top w:val="nil"/>
              <w:left w:val="nil"/>
              <w:bottom w:val="nil"/>
              <w:right w:val="nil"/>
            </w:tcBorders>
            <w:shd w:val="clear" w:color="000000" w:fill="CCFFFF"/>
            <w:noWrap/>
            <w:vAlign w:val="bottom"/>
            <w:hideMark/>
          </w:tcPr>
          <w:p w14:paraId="43A163CB" w14:textId="77777777" w:rsidR="003677EC" w:rsidRDefault="003677EC">
            <w:pPr>
              <w:jc w:val="right"/>
              <w:rPr>
                <w:sz w:val="18"/>
                <w:szCs w:val="18"/>
              </w:rPr>
            </w:pPr>
            <w:r>
              <w:rPr>
                <w:sz w:val="18"/>
                <w:szCs w:val="18"/>
              </w:rPr>
              <w:t>126</w:t>
            </w:r>
          </w:p>
        </w:tc>
        <w:tc>
          <w:tcPr>
            <w:tcW w:w="960" w:type="dxa"/>
            <w:tcBorders>
              <w:top w:val="nil"/>
              <w:left w:val="nil"/>
              <w:bottom w:val="nil"/>
              <w:right w:val="nil"/>
            </w:tcBorders>
            <w:shd w:val="clear" w:color="000000" w:fill="CCFFFF"/>
            <w:noWrap/>
            <w:vAlign w:val="bottom"/>
            <w:hideMark/>
          </w:tcPr>
          <w:p w14:paraId="217E3D69" w14:textId="77777777" w:rsidR="003677EC" w:rsidRDefault="003677EC">
            <w:pPr>
              <w:jc w:val="right"/>
              <w:rPr>
                <w:sz w:val="18"/>
                <w:szCs w:val="18"/>
              </w:rPr>
            </w:pPr>
            <w:r>
              <w:rPr>
                <w:sz w:val="18"/>
                <w:szCs w:val="18"/>
              </w:rPr>
              <w:t>94</w:t>
            </w:r>
          </w:p>
        </w:tc>
      </w:tr>
      <w:tr w:rsidR="003677EC" w14:paraId="6C60190C" w14:textId="77777777" w:rsidTr="003677EC">
        <w:trPr>
          <w:trHeight w:val="240"/>
        </w:trPr>
        <w:tc>
          <w:tcPr>
            <w:tcW w:w="621" w:type="dxa"/>
            <w:tcBorders>
              <w:top w:val="nil"/>
              <w:left w:val="nil"/>
              <w:bottom w:val="nil"/>
              <w:right w:val="nil"/>
            </w:tcBorders>
            <w:shd w:val="clear" w:color="auto" w:fill="auto"/>
            <w:noWrap/>
            <w:vAlign w:val="bottom"/>
            <w:hideMark/>
          </w:tcPr>
          <w:p w14:paraId="339D6972" w14:textId="77777777" w:rsidR="003677EC" w:rsidRDefault="003677EC">
            <w:pPr>
              <w:rPr>
                <w:sz w:val="18"/>
                <w:szCs w:val="18"/>
              </w:rPr>
            </w:pPr>
            <w:r>
              <w:rPr>
                <w:sz w:val="18"/>
                <w:szCs w:val="18"/>
              </w:rPr>
              <w:t>2.2.1.</w:t>
            </w:r>
          </w:p>
        </w:tc>
        <w:tc>
          <w:tcPr>
            <w:tcW w:w="2498" w:type="dxa"/>
            <w:tcBorders>
              <w:top w:val="nil"/>
              <w:left w:val="nil"/>
              <w:bottom w:val="nil"/>
              <w:right w:val="nil"/>
            </w:tcBorders>
            <w:shd w:val="clear" w:color="auto" w:fill="auto"/>
            <w:vAlign w:val="bottom"/>
            <w:hideMark/>
          </w:tcPr>
          <w:p w14:paraId="38E30CC3" w14:textId="77777777" w:rsidR="003677EC" w:rsidRDefault="003677EC">
            <w:pPr>
              <w:rPr>
                <w:sz w:val="18"/>
                <w:szCs w:val="18"/>
              </w:rPr>
            </w:pPr>
            <w:r>
              <w:rPr>
                <w:sz w:val="18"/>
                <w:szCs w:val="18"/>
              </w:rPr>
              <w:t>Građevinski objekti</w:t>
            </w:r>
          </w:p>
        </w:tc>
        <w:tc>
          <w:tcPr>
            <w:tcW w:w="1417" w:type="dxa"/>
            <w:tcBorders>
              <w:top w:val="nil"/>
              <w:left w:val="nil"/>
              <w:bottom w:val="nil"/>
              <w:right w:val="nil"/>
            </w:tcBorders>
            <w:shd w:val="clear" w:color="auto" w:fill="auto"/>
            <w:noWrap/>
            <w:vAlign w:val="bottom"/>
            <w:hideMark/>
          </w:tcPr>
          <w:p w14:paraId="796D7738" w14:textId="77777777" w:rsidR="003677EC" w:rsidRDefault="003677EC" w:rsidP="003677EC">
            <w:pPr>
              <w:jc w:val="right"/>
              <w:rPr>
                <w:sz w:val="18"/>
                <w:szCs w:val="18"/>
              </w:rPr>
            </w:pPr>
            <w:r>
              <w:rPr>
                <w:sz w:val="18"/>
                <w:szCs w:val="18"/>
              </w:rPr>
              <w:t xml:space="preserve">       3.131.765,98    </w:t>
            </w:r>
          </w:p>
        </w:tc>
        <w:tc>
          <w:tcPr>
            <w:tcW w:w="1276" w:type="dxa"/>
            <w:tcBorders>
              <w:top w:val="nil"/>
              <w:left w:val="nil"/>
              <w:bottom w:val="nil"/>
              <w:right w:val="nil"/>
            </w:tcBorders>
            <w:shd w:val="clear" w:color="auto" w:fill="auto"/>
            <w:noWrap/>
            <w:vAlign w:val="bottom"/>
            <w:hideMark/>
          </w:tcPr>
          <w:p w14:paraId="77838C23" w14:textId="77777777" w:rsidR="003677EC" w:rsidRDefault="003677EC" w:rsidP="003677EC">
            <w:pPr>
              <w:jc w:val="right"/>
              <w:rPr>
                <w:sz w:val="18"/>
                <w:szCs w:val="18"/>
              </w:rPr>
            </w:pPr>
            <w:r>
              <w:rPr>
                <w:sz w:val="18"/>
                <w:szCs w:val="18"/>
              </w:rPr>
              <w:t xml:space="preserve">       4.151.643,91    </w:t>
            </w:r>
          </w:p>
        </w:tc>
        <w:tc>
          <w:tcPr>
            <w:tcW w:w="1251" w:type="dxa"/>
            <w:tcBorders>
              <w:top w:val="nil"/>
              <w:left w:val="nil"/>
              <w:bottom w:val="nil"/>
              <w:right w:val="nil"/>
            </w:tcBorders>
            <w:shd w:val="clear" w:color="auto" w:fill="auto"/>
            <w:noWrap/>
            <w:vAlign w:val="bottom"/>
            <w:hideMark/>
          </w:tcPr>
          <w:p w14:paraId="0CA41108" w14:textId="77777777" w:rsidR="003677EC" w:rsidRDefault="003677EC" w:rsidP="003677EC">
            <w:pPr>
              <w:jc w:val="right"/>
              <w:rPr>
                <w:sz w:val="18"/>
                <w:szCs w:val="18"/>
              </w:rPr>
            </w:pPr>
            <w:r>
              <w:rPr>
                <w:sz w:val="18"/>
                <w:szCs w:val="18"/>
              </w:rPr>
              <w:t xml:space="preserve">       3.701.300,65    </w:t>
            </w:r>
          </w:p>
        </w:tc>
        <w:tc>
          <w:tcPr>
            <w:tcW w:w="711" w:type="dxa"/>
            <w:tcBorders>
              <w:top w:val="nil"/>
              <w:left w:val="nil"/>
              <w:bottom w:val="nil"/>
              <w:right w:val="nil"/>
            </w:tcBorders>
            <w:shd w:val="clear" w:color="auto" w:fill="auto"/>
            <w:noWrap/>
            <w:vAlign w:val="bottom"/>
            <w:hideMark/>
          </w:tcPr>
          <w:p w14:paraId="0D2E0C31" w14:textId="77777777" w:rsidR="003677EC" w:rsidRDefault="003677EC">
            <w:pPr>
              <w:jc w:val="right"/>
              <w:rPr>
                <w:sz w:val="18"/>
                <w:szCs w:val="18"/>
              </w:rPr>
            </w:pPr>
            <w:r>
              <w:rPr>
                <w:sz w:val="18"/>
                <w:szCs w:val="18"/>
              </w:rPr>
              <w:t>9,69</w:t>
            </w:r>
          </w:p>
        </w:tc>
        <w:tc>
          <w:tcPr>
            <w:tcW w:w="926" w:type="dxa"/>
            <w:tcBorders>
              <w:top w:val="nil"/>
              <w:left w:val="nil"/>
              <w:bottom w:val="nil"/>
              <w:right w:val="nil"/>
            </w:tcBorders>
            <w:shd w:val="clear" w:color="auto" w:fill="auto"/>
            <w:noWrap/>
            <w:vAlign w:val="bottom"/>
            <w:hideMark/>
          </w:tcPr>
          <w:p w14:paraId="3A9674B0" w14:textId="77777777" w:rsidR="003677EC" w:rsidRDefault="003677EC">
            <w:pPr>
              <w:jc w:val="right"/>
              <w:rPr>
                <w:sz w:val="18"/>
                <w:szCs w:val="18"/>
              </w:rPr>
            </w:pPr>
            <w:r>
              <w:rPr>
                <w:sz w:val="18"/>
                <w:szCs w:val="18"/>
              </w:rPr>
              <w:t>118</w:t>
            </w:r>
          </w:p>
        </w:tc>
        <w:tc>
          <w:tcPr>
            <w:tcW w:w="960" w:type="dxa"/>
            <w:tcBorders>
              <w:top w:val="nil"/>
              <w:left w:val="nil"/>
              <w:bottom w:val="nil"/>
              <w:right w:val="nil"/>
            </w:tcBorders>
            <w:shd w:val="clear" w:color="auto" w:fill="auto"/>
            <w:noWrap/>
            <w:vAlign w:val="bottom"/>
            <w:hideMark/>
          </w:tcPr>
          <w:p w14:paraId="39076951" w14:textId="77777777" w:rsidR="003677EC" w:rsidRDefault="003677EC">
            <w:pPr>
              <w:jc w:val="right"/>
              <w:rPr>
                <w:sz w:val="18"/>
                <w:szCs w:val="18"/>
              </w:rPr>
            </w:pPr>
            <w:r>
              <w:rPr>
                <w:sz w:val="18"/>
                <w:szCs w:val="18"/>
              </w:rPr>
              <w:t>89</w:t>
            </w:r>
          </w:p>
        </w:tc>
      </w:tr>
      <w:tr w:rsidR="003677EC" w14:paraId="0DC7DE54" w14:textId="77777777" w:rsidTr="003677EC">
        <w:trPr>
          <w:trHeight w:val="240"/>
        </w:trPr>
        <w:tc>
          <w:tcPr>
            <w:tcW w:w="621" w:type="dxa"/>
            <w:tcBorders>
              <w:top w:val="nil"/>
              <w:left w:val="nil"/>
              <w:bottom w:val="nil"/>
              <w:right w:val="nil"/>
            </w:tcBorders>
            <w:shd w:val="clear" w:color="auto" w:fill="auto"/>
            <w:noWrap/>
            <w:vAlign w:val="bottom"/>
            <w:hideMark/>
          </w:tcPr>
          <w:p w14:paraId="3DADCC48" w14:textId="77777777" w:rsidR="003677EC" w:rsidRDefault="003677EC">
            <w:pPr>
              <w:rPr>
                <w:sz w:val="18"/>
                <w:szCs w:val="18"/>
              </w:rPr>
            </w:pPr>
            <w:r>
              <w:rPr>
                <w:sz w:val="18"/>
                <w:szCs w:val="18"/>
              </w:rPr>
              <w:t>2.2.2.</w:t>
            </w:r>
          </w:p>
        </w:tc>
        <w:tc>
          <w:tcPr>
            <w:tcW w:w="2498" w:type="dxa"/>
            <w:tcBorders>
              <w:top w:val="nil"/>
              <w:left w:val="nil"/>
              <w:bottom w:val="nil"/>
              <w:right w:val="nil"/>
            </w:tcBorders>
            <w:shd w:val="clear" w:color="auto" w:fill="auto"/>
            <w:vAlign w:val="bottom"/>
            <w:hideMark/>
          </w:tcPr>
          <w:p w14:paraId="4F82C7CA" w14:textId="77777777" w:rsidR="003677EC" w:rsidRDefault="003677EC">
            <w:pPr>
              <w:rPr>
                <w:sz w:val="18"/>
                <w:szCs w:val="18"/>
              </w:rPr>
            </w:pPr>
            <w:r>
              <w:rPr>
                <w:sz w:val="18"/>
                <w:szCs w:val="18"/>
              </w:rPr>
              <w:t>Postrojenja i oprema</w:t>
            </w:r>
          </w:p>
        </w:tc>
        <w:tc>
          <w:tcPr>
            <w:tcW w:w="1417" w:type="dxa"/>
            <w:tcBorders>
              <w:top w:val="nil"/>
              <w:left w:val="nil"/>
              <w:bottom w:val="nil"/>
              <w:right w:val="nil"/>
            </w:tcBorders>
            <w:shd w:val="clear" w:color="auto" w:fill="auto"/>
            <w:noWrap/>
            <w:vAlign w:val="bottom"/>
            <w:hideMark/>
          </w:tcPr>
          <w:p w14:paraId="67375DDB" w14:textId="77777777" w:rsidR="003677EC" w:rsidRDefault="003677EC" w:rsidP="003677EC">
            <w:pPr>
              <w:jc w:val="right"/>
              <w:rPr>
                <w:sz w:val="18"/>
                <w:szCs w:val="18"/>
              </w:rPr>
            </w:pPr>
            <w:r>
              <w:rPr>
                <w:sz w:val="18"/>
                <w:szCs w:val="18"/>
              </w:rPr>
              <w:t xml:space="preserve">          330.351,26    </w:t>
            </w:r>
          </w:p>
        </w:tc>
        <w:tc>
          <w:tcPr>
            <w:tcW w:w="1276" w:type="dxa"/>
            <w:tcBorders>
              <w:top w:val="nil"/>
              <w:left w:val="nil"/>
              <w:bottom w:val="nil"/>
              <w:right w:val="nil"/>
            </w:tcBorders>
            <w:shd w:val="clear" w:color="auto" w:fill="auto"/>
            <w:noWrap/>
            <w:vAlign w:val="bottom"/>
            <w:hideMark/>
          </w:tcPr>
          <w:p w14:paraId="521893B8" w14:textId="77777777" w:rsidR="003677EC" w:rsidRDefault="003677EC" w:rsidP="003677EC">
            <w:pPr>
              <w:jc w:val="right"/>
              <w:rPr>
                <w:sz w:val="18"/>
                <w:szCs w:val="18"/>
              </w:rPr>
            </w:pPr>
            <w:r>
              <w:rPr>
                <w:sz w:val="18"/>
                <w:szCs w:val="18"/>
              </w:rPr>
              <w:t xml:space="preserve">          459.248,60    </w:t>
            </w:r>
          </w:p>
        </w:tc>
        <w:tc>
          <w:tcPr>
            <w:tcW w:w="1251" w:type="dxa"/>
            <w:tcBorders>
              <w:top w:val="nil"/>
              <w:left w:val="nil"/>
              <w:bottom w:val="nil"/>
              <w:right w:val="nil"/>
            </w:tcBorders>
            <w:shd w:val="clear" w:color="auto" w:fill="auto"/>
            <w:noWrap/>
            <w:vAlign w:val="bottom"/>
            <w:hideMark/>
          </w:tcPr>
          <w:p w14:paraId="13E7C8AC" w14:textId="77777777" w:rsidR="003677EC" w:rsidRDefault="003677EC" w:rsidP="003677EC">
            <w:pPr>
              <w:jc w:val="right"/>
              <w:rPr>
                <w:sz w:val="18"/>
                <w:szCs w:val="18"/>
              </w:rPr>
            </w:pPr>
            <w:r>
              <w:rPr>
                <w:sz w:val="18"/>
                <w:szCs w:val="18"/>
              </w:rPr>
              <w:t xml:space="preserve">          686.728,20    </w:t>
            </w:r>
          </w:p>
        </w:tc>
        <w:tc>
          <w:tcPr>
            <w:tcW w:w="711" w:type="dxa"/>
            <w:tcBorders>
              <w:top w:val="nil"/>
              <w:left w:val="nil"/>
              <w:bottom w:val="nil"/>
              <w:right w:val="nil"/>
            </w:tcBorders>
            <w:shd w:val="clear" w:color="auto" w:fill="auto"/>
            <w:noWrap/>
            <w:vAlign w:val="bottom"/>
            <w:hideMark/>
          </w:tcPr>
          <w:p w14:paraId="3E0A2542" w14:textId="77777777" w:rsidR="003677EC" w:rsidRDefault="003677EC">
            <w:pPr>
              <w:jc w:val="right"/>
              <w:rPr>
                <w:sz w:val="18"/>
                <w:szCs w:val="18"/>
              </w:rPr>
            </w:pPr>
            <w:r>
              <w:rPr>
                <w:sz w:val="18"/>
                <w:szCs w:val="18"/>
              </w:rPr>
              <w:t>1,80</w:t>
            </w:r>
          </w:p>
        </w:tc>
        <w:tc>
          <w:tcPr>
            <w:tcW w:w="926" w:type="dxa"/>
            <w:tcBorders>
              <w:top w:val="nil"/>
              <w:left w:val="nil"/>
              <w:bottom w:val="nil"/>
              <w:right w:val="nil"/>
            </w:tcBorders>
            <w:shd w:val="clear" w:color="auto" w:fill="auto"/>
            <w:noWrap/>
            <w:vAlign w:val="bottom"/>
            <w:hideMark/>
          </w:tcPr>
          <w:p w14:paraId="2644265A" w14:textId="77777777" w:rsidR="003677EC" w:rsidRDefault="003677EC">
            <w:pPr>
              <w:jc w:val="right"/>
              <w:rPr>
                <w:sz w:val="18"/>
                <w:szCs w:val="18"/>
              </w:rPr>
            </w:pPr>
            <w:r>
              <w:rPr>
                <w:sz w:val="18"/>
                <w:szCs w:val="18"/>
              </w:rPr>
              <w:t>208</w:t>
            </w:r>
          </w:p>
        </w:tc>
        <w:tc>
          <w:tcPr>
            <w:tcW w:w="960" w:type="dxa"/>
            <w:tcBorders>
              <w:top w:val="nil"/>
              <w:left w:val="nil"/>
              <w:bottom w:val="nil"/>
              <w:right w:val="nil"/>
            </w:tcBorders>
            <w:shd w:val="clear" w:color="auto" w:fill="auto"/>
            <w:noWrap/>
            <w:vAlign w:val="bottom"/>
            <w:hideMark/>
          </w:tcPr>
          <w:p w14:paraId="1F800837" w14:textId="77777777" w:rsidR="003677EC" w:rsidRDefault="003677EC">
            <w:pPr>
              <w:jc w:val="right"/>
              <w:rPr>
                <w:sz w:val="18"/>
                <w:szCs w:val="18"/>
              </w:rPr>
            </w:pPr>
            <w:r>
              <w:rPr>
                <w:sz w:val="18"/>
                <w:szCs w:val="18"/>
              </w:rPr>
              <w:t>150</w:t>
            </w:r>
          </w:p>
        </w:tc>
      </w:tr>
      <w:tr w:rsidR="003677EC" w14:paraId="2966E5B5" w14:textId="77777777" w:rsidTr="003677EC">
        <w:trPr>
          <w:trHeight w:val="240"/>
        </w:trPr>
        <w:tc>
          <w:tcPr>
            <w:tcW w:w="621" w:type="dxa"/>
            <w:tcBorders>
              <w:top w:val="nil"/>
              <w:left w:val="nil"/>
              <w:bottom w:val="nil"/>
              <w:right w:val="nil"/>
            </w:tcBorders>
            <w:shd w:val="clear" w:color="auto" w:fill="auto"/>
            <w:noWrap/>
            <w:vAlign w:val="bottom"/>
            <w:hideMark/>
          </w:tcPr>
          <w:p w14:paraId="47A906C5" w14:textId="77777777" w:rsidR="003677EC" w:rsidRDefault="003677EC">
            <w:pPr>
              <w:rPr>
                <w:sz w:val="18"/>
                <w:szCs w:val="18"/>
              </w:rPr>
            </w:pPr>
            <w:r>
              <w:rPr>
                <w:sz w:val="18"/>
                <w:szCs w:val="18"/>
              </w:rPr>
              <w:t>2.2.3.</w:t>
            </w:r>
          </w:p>
        </w:tc>
        <w:tc>
          <w:tcPr>
            <w:tcW w:w="2498" w:type="dxa"/>
            <w:tcBorders>
              <w:top w:val="nil"/>
              <w:left w:val="nil"/>
              <w:bottom w:val="nil"/>
              <w:right w:val="nil"/>
            </w:tcBorders>
            <w:shd w:val="clear" w:color="auto" w:fill="auto"/>
            <w:vAlign w:val="bottom"/>
            <w:hideMark/>
          </w:tcPr>
          <w:p w14:paraId="3A758DA2" w14:textId="77777777" w:rsidR="003677EC" w:rsidRDefault="003677EC">
            <w:pPr>
              <w:rPr>
                <w:sz w:val="18"/>
                <w:szCs w:val="18"/>
              </w:rPr>
            </w:pPr>
            <w:r>
              <w:rPr>
                <w:sz w:val="18"/>
                <w:szCs w:val="18"/>
              </w:rPr>
              <w:t>Knjige, umjetnička djela i ostale izložbene vrijednosti</w:t>
            </w:r>
          </w:p>
        </w:tc>
        <w:tc>
          <w:tcPr>
            <w:tcW w:w="1417" w:type="dxa"/>
            <w:tcBorders>
              <w:top w:val="nil"/>
              <w:left w:val="nil"/>
              <w:bottom w:val="nil"/>
              <w:right w:val="nil"/>
            </w:tcBorders>
            <w:shd w:val="clear" w:color="auto" w:fill="auto"/>
            <w:noWrap/>
            <w:vAlign w:val="bottom"/>
            <w:hideMark/>
          </w:tcPr>
          <w:p w14:paraId="4AC74011" w14:textId="77777777" w:rsidR="003677EC" w:rsidRDefault="003677EC" w:rsidP="003677EC">
            <w:pPr>
              <w:jc w:val="right"/>
              <w:rPr>
                <w:sz w:val="18"/>
                <w:szCs w:val="18"/>
              </w:rPr>
            </w:pPr>
            <w:r>
              <w:rPr>
                <w:sz w:val="18"/>
                <w:szCs w:val="18"/>
              </w:rPr>
              <w:t xml:space="preserve">            46.034,92    </w:t>
            </w:r>
          </w:p>
        </w:tc>
        <w:tc>
          <w:tcPr>
            <w:tcW w:w="1276" w:type="dxa"/>
            <w:tcBorders>
              <w:top w:val="nil"/>
              <w:left w:val="nil"/>
              <w:bottom w:val="nil"/>
              <w:right w:val="nil"/>
            </w:tcBorders>
            <w:shd w:val="clear" w:color="auto" w:fill="auto"/>
            <w:noWrap/>
            <w:vAlign w:val="bottom"/>
            <w:hideMark/>
          </w:tcPr>
          <w:p w14:paraId="58F19933" w14:textId="77777777" w:rsidR="003677EC" w:rsidRDefault="003677EC" w:rsidP="003677EC">
            <w:pPr>
              <w:jc w:val="right"/>
              <w:rPr>
                <w:sz w:val="18"/>
                <w:szCs w:val="18"/>
              </w:rPr>
            </w:pPr>
            <w:r>
              <w:rPr>
                <w:sz w:val="18"/>
                <w:szCs w:val="18"/>
              </w:rPr>
              <w:t xml:space="preserve">            56.076,36    </w:t>
            </w:r>
          </w:p>
        </w:tc>
        <w:tc>
          <w:tcPr>
            <w:tcW w:w="1251" w:type="dxa"/>
            <w:tcBorders>
              <w:top w:val="nil"/>
              <w:left w:val="nil"/>
              <w:bottom w:val="nil"/>
              <w:right w:val="nil"/>
            </w:tcBorders>
            <w:shd w:val="clear" w:color="auto" w:fill="auto"/>
            <w:noWrap/>
            <w:vAlign w:val="bottom"/>
            <w:hideMark/>
          </w:tcPr>
          <w:p w14:paraId="478F2F3D" w14:textId="77777777" w:rsidR="003677EC" w:rsidRDefault="003677EC" w:rsidP="003677EC">
            <w:pPr>
              <w:jc w:val="right"/>
              <w:rPr>
                <w:sz w:val="18"/>
                <w:szCs w:val="18"/>
              </w:rPr>
            </w:pPr>
            <w:r>
              <w:rPr>
                <w:sz w:val="18"/>
                <w:szCs w:val="18"/>
              </w:rPr>
              <w:t xml:space="preserve">            37.382,82    </w:t>
            </w:r>
          </w:p>
        </w:tc>
        <w:tc>
          <w:tcPr>
            <w:tcW w:w="711" w:type="dxa"/>
            <w:tcBorders>
              <w:top w:val="nil"/>
              <w:left w:val="nil"/>
              <w:bottom w:val="nil"/>
              <w:right w:val="nil"/>
            </w:tcBorders>
            <w:shd w:val="clear" w:color="auto" w:fill="auto"/>
            <w:noWrap/>
            <w:vAlign w:val="bottom"/>
            <w:hideMark/>
          </w:tcPr>
          <w:p w14:paraId="5B141EB6" w14:textId="77777777" w:rsidR="003677EC" w:rsidRDefault="003677EC">
            <w:pPr>
              <w:jc w:val="right"/>
              <w:rPr>
                <w:sz w:val="18"/>
                <w:szCs w:val="18"/>
              </w:rPr>
            </w:pPr>
            <w:r>
              <w:rPr>
                <w:sz w:val="18"/>
                <w:szCs w:val="18"/>
              </w:rPr>
              <w:t>0,10</w:t>
            </w:r>
          </w:p>
        </w:tc>
        <w:tc>
          <w:tcPr>
            <w:tcW w:w="926" w:type="dxa"/>
            <w:tcBorders>
              <w:top w:val="nil"/>
              <w:left w:val="nil"/>
              <w:bottom w:val="nil"/>
              <w:right w:val="nil"/>
            </w:tcBorders>
            <w:shd w:val="clear" w:color="auto" w:fill="auto"/>
            <w:noWrap/>
            <w:vAlign w:val="bottom"/>
            <w:hideMark/>
          </w:tcPr>
          <w:p w14:paraId="2DEB0702" w14:textId="77777777" w:rsidR="003677EC" w:rsidRDefault="003677EC">
            <w:pPr>
              <w:jc w:val="right"/>
              <w:rPr>
                <w:sz w:val="18"/>
                <w:szCs w:val="18"/>
              </w:rPr>
            </w:pPr>
            <w:r>
              <w:rPr>
                <w:sz w:val="18"/>
                <w:szCs w:val="18"/>
              </w:rPr>
              <w:t>81</w:t>
            </w:r>
          </w:p>
        </w:tc>
        <w:tc>
          <w:tcPr>
            <w:tcW w:w="960" w:type="dxa"/>
            <w:tcBorders>
              <w:top w:val="nil"/>
              <w:left w:val="nil"/>
              <w:bottom w:val="nil"/>
              <w:right w:val="nil"/>
            </w:tcBorders>
            <w:shd w:val="clear" w:color="auto" w:fill="auto"/>
            <w:noWrap/>
            <w:vAlign w:val="bottom"/>
            <w:hideMark/>
          </w:tcPr>
          <w:p w14:paraId="2C7897DE" w14:textId="77777777" w:rsidR="003677EC" w:rsidRDefault="003677EC">
            <w:pPr>
              <w:jc w:val="right"/>
              <w:rPr>
                <w:sz w:val="18"/>
                <w:szCs w:val="18"/>
              </w:rPr>
            </w:pPr>
            <w:r>
              <w:rPr>
                <w:sz w:val="18"/>
                <w:szCs w:val="18"/>
              </w:rPr>
              <w:t>67</w:t>
            </w:r>
          </w:p>
        </w:tc>
      </w:tr>
      <w:tr w:rsidR="003677EC" w14:paraId="3511415C" w14:textId="77777777" w:rsidTr="003677EC">
        <w:trPr>
          <w:trHeight w:val="240"/>
        </w:trPr>
        <w:tc>
          <w:tcPr>
            <w:tcW w:w="621" w:type="dxa"/>
            <w:tcBorders>
              <w:top w:val="nil"/>
              <w:left w:val="nil"/>
              <w:bottom w:val="nil"/>
              <w:right w:val="nil"/>
            </w:tcBorders>
            <w:shd w:val="clear" w:color="auto" w:fill="auto"/>
            <w:noWrap/>
            <w:vAlign w:val="bottom"/>
            <w:hideMark/>
          </w:tcPr>
          <w:p w14:paraId="6B872439" w14:textId="77777777" w:rsidR="003677EC" w:rsidRDefault="003677EC">
            <w:pPr>
              <w:rPr>
                <w:sz w:val="18"/>
                <w:szCs w:val="18"/>
              </w:rPr>
            </w:pPr>
            <w:r>
              <w:rPr>
                <w:sz w:val="18"/>
                <w:szCs w:val="18"/>
              </w:rPr>
              <w:t>2.2.4.</w:t>
            </w:r>
          </w:p>
        </w:tc>
        <w:tc>
          <w:tcPr>
            <w:tcW w:w="2498" w:type="dxa"/>
            <w:tcBorders>
              <w:top w:val="nil"/>
              <w:left w:val="nil"/>
              <w:bottom w:val="nil"/>
              <w:right w:val="nil"/>
            </w:tcBorders>
            <w:shd w:val="clear" w:color="auto" w:fill="auto"/>
            <w:vAlign w:val="bottom"/>
            <w:hideMark/>
          </w:tcPr>
          <w:p w14:paraId="3A8585E2" w14:textId="77777777" w:rsidR="003677EC" w:rsidRDefault="003677EC">
            <w:pPr>
              <w:rPr>
                <w:sz w:val="18"/>
                <w:szCs w:val="18"/>
              </w:rPr>
            </w:pPr>
            <w:r>
              <w:rPr>
                <w:sz w:val="18"/>
                <w:szCs w:val="18"/>
              </w:rPr>
              <w:t>Višegodišnji nasadi</w:t>
            </w:r>
          </w:p>
        </w:tc>
        <w:tc>
          <w:tcPr>
            <w:tcW w:w="1417" w:type="dxa"/>
            <w:tcBorders>
              <w:top w:val="nil"/>
              <w:left w:val="nil"/>
              <w:bottom w:val="nil"/>
              <w:right w:val="nil"/>
            </w:tcBorders>
            <w:shd w:val="clear" w:color="auto" w:fill="auto"/>
            <w:noWrap/>
            <w:vAlign w:val="bottom"/>
            <w:hideMark/>
          </w:tcPr>
          <w:p w14:paraId="2F6E0D96" w14:textId="77777777" w:rsidR="003677EC" w:rsidRDefault="003677EC" w:rsidP="003677EC">
            <w:pPr>
              <w:jc w:val="right"/>
              <w:rPr>
                <w:sz w:val="18"/>
                <w:szCs w:val="18"/>
              </w:rPr>
            </w:pPr>
            <w:r>
              <w:rPr>
                <w:sz w:val="18"/>
                <w:szCs w:val="18"/>
              </w:rPr>
              <w:t xml:space="preserve">                         -      </w:t>
            </w:r>
          </w:p>
        </w:tc>
        <w:tc>
          <w:tcPr>
            <w:tcW w:w="1276" w:type="dxa"/>
            <w:tcBorders>
              <w:top w:val="nil"/>
              <w:left w:val="nil"/>
              <w:bottom w:val="nil"/>
              <w:right w:val="nil"/>
            </w:tcBorders>
            <w:shd w:val="clear" w:color="auto" w:fill="auto"/>
            <w:noWrap/>
            <w:vAlign w:val="bottom"/>
            <w:hideMark/>
          </w:tcPr>
          <w:p w14:paraId="2C0C0F35" w14:textId="77777777" w:rsidR="003677EC" w:rsidRDefault="003677EC" w:rsidP="003677EC">
            <w:pPr>
              <w:jc w:val="right"/>
              <w:rPr>
                <w:sz w:val="18"/>
                <w:szCs w:val="18"/>
              </w:rPr>
            </w:pPr>
            <w:r>
              <w:rPr>
                <w:sz w:val="18"/>
                <w:szCs w:val="18"/>
              </w:rPr>
              <w:t xml:space="preserve">                         -      </w:t>
            </w:r>
          </w:p>
        </w:tc>
        <w:tc>
          <w:tcPr>
            <w:tcW w:w="1251" w:type="dxa"/>
            <w:tcBorders>
              <w:top w:val="nil"/>
              <w:left w:val="nil"/>
              <w:bottom w:val="nil"/>
              <w:right w:val="nil"/>
            </w:tcBorders>
            <w:shd w:val="clear" w:color="auto" w:fill="auto"/>
            <w:noWrap/>
            <w:vAlign w:val="bottom"/>
            <w:hideMark/>
          </w:tcPr>
          <w:p w14:paraId="65B02451" w14:textId="77777777" w:rsidR="003677EC" w:rsidRDefault="003677EC" w:rsidP="003677EC">
            <w:pPr>
              <w:jc w:val="right"/>
              <w:rPr>
                <w:sz w:val="18"/>
                <w:szCs w:val="18"/>
              </w:rPr>
            </w:pPr>
            <w:r>
              <w:rPr>
                <w:sz w:val="18"/>
                <w:szCs w:val="18"/>
              </w:rPr>
              <w:t xml:space="preserve">                         -      </w:t>
            </w:r>
          </w:p>
        </w:tc>
        <w:tc>
          <w:tcPr>
            <w:tcW w:w="711" w:type="dxa"/>
            <w:tcBorders>
              <w:top w:val="nil"/>
              <w:left w:val="nil"/>
              <w:bottom w:val="nil"/>
              <w:right w:val="nil"/>
            </w:tcBorders>
            <w:shd w:val="clear" w:color="auto" w:fill="auto"/>
            <w:noWrap/>
            <w:vAlign w:val="bottom"/>
            <w:hideMark/>
          </w:tcPr>
          <w:p w14:paraId="316E1CE1" w14:textId="77777777" w:rsidR="003677EC" w:rsidRDefault="003677EC">
            <w:pPr>
              <w:jc w:val="right"/>
              <w:rPr>
                <w:sz w:val="18"/>
                <w:szCs w:val="18"/>
              </w:rPr>
            </w:pPr>
            <w:r>
              <w:rPr>
                <w:sz w:val="18"/>
                <w:szCs w:val="18"/>
              </w:rPr>
              <w:t>0,00</w:t>
            </w:r>
          </w:p>
        </w:tc>
        <w:tc>
          <w:tcPr>
            <w:tcW w:w="926" w:type="dxa"/>
            <w:tcBorders>
              <w:top w:val="nil"/>
              <w:left w:val="nil"/>
              <w:bottom w:val="nil"/>
              <w:right w:val="nil"/>
            </w:tcBorders>
            <w:shd w:val="clear" w:color="auto" w:fill="auto"/>
            <w:noWrap/>
            <w:vAlign w:val="bottom"/>
            <w:hideMark/>
          </w:tcPr>
          <w:p w14:paraId="6856BB54" w14:textId="77777777" w:rsidR="003677EC" w:rsidRDefault="003677EC">
            <w:pPr>
              <w:jc w:val="right"/>
              <w:rPr>
                <w:sz w:val="18"/>
                <w:szCs w:val="18"/>
              </w:rPr>
            </w:pPr>
            <w:r>
              <w:rPr>
                <w:sz w:val="18"/>
                <w:szCs w:val="18"/>
              </w:rPr>
              <w:t>0</w:t>
            </w:r>
          </w:p>
        </w:tc>
        <w:tc>
          <w:tcPr>
            <w:tcW w:w="960" w:type="dxa"/>
            <w:tcBorders>
              <w:top w:val="nil"/>
              <w:left w:val="nil"/>
              <w:bottom w:val="nil"/>
              <w:right w:val="nil"/>
            </w:tcBorders>
            <w:shd w:val="clear" w:color="auto" w:fill="auto"/>
            <w:noWrap/>
            <w:vAlign w:val="bottom"/>
            <w:hideMark/>
          </w:tcPr>
          <w:p w14:paraId="625D6C51" w14:textId="77777777" w:rsidR="003677EC" w:rsidRDefault="003677EC">
            <w:pPr>
              <w:jc w:val="right"/>
              <w:rPr>
                <w:sz w:val="18"/>
                <w:szCs w:val="18"/>
              </w:rPr>
            </w:pPr>
            <w:r>
              <w:rPr>
                <w:sz w:val="18"/>
                <w:szCs w:val="18"/>
              </w:rPr>
              <w:t>0</w:t>
            </w:r>
          </w:p>
        </w:tc>
      </w:tr>
      <w:tr w:rsidR="003677EC" w14:paraId="7A42AE60" w14:textId="77777777" w:rsidTr="003677EC">
        <w:trPr>
          <w:trHeight w:val="240"/>
        </w:trPr>
        <w:tc>
          <w:tcPr>
            <w:tcW w:w="621" w:type="dxa"/>
            <w:tcBorders>
              <w:top w:val="nil"/>
              <w:left w:val="nil"/>
              <w:bottom w:val="nil"/>
              <w:right w:val="nil"/>
            </w:tcBorders>
            <w:shd w:val="clear" w:color="auto" w:fill="auto"/>
            <w:noWrap/>
            <w:vAlign w:val="bottom"/>
            <w:hideMark/>
          </w:tcPr>
          <w:p w14:paraId="72052968" w14:textId="77777777" w:rsidR="003677EC" w:rsidRDefault="003677EC">
            <w:pPr>
              <w:rPr>
                <w:sz w:val="18"/>
                <w:szCs w:val="18"/>
              </w:rPr>
            </w:pPr>
            <w:r>
              <w:rPr>
                <w:sz w:val="18"/>
                <w:szCs w:val="18"/>
              </w:rPr>
              <w:t>2.2.5.</w:t>
            </w:r>
          </w:p>
        </w:tc>
        <w:tc>
          <w:tcPr>
            <w:tcW w:w="2498" w:type="dxa"/>
            <w:tcBorders>
              <w:top w:val="nil"/>
              <w:left w:val="nil"/>
              <w:bottom w:val="nil"/>
              <w:right w:val="nil"/>
            </w:tcBorders>
            <w:shd w:val="clear" w:color="auto" w:fill="auto"/>
            <w:vAlign w:val="bottom"/>
            <w:hideMark/>
          </w:tcPr>
          <w:p w14:paraId="4B126375" w14:textId="77777777" w:rsidR="003677EC" w:rsidRDefault="003677EC">
            <w:pPr>
              <w:rPr>
                <w:sz w:val="18"/>
                <w:szCs w:val="18"/>
              </w:rPr>
            </w:pPr>
            <w:r>
              <w:rPr>
                <w:sz w:val="18"/>
                <w:szCs w:val="18"/>
              </w:rPr>
              <w:t>Nematerijalna proizvedena imovina</w:t>
            </w:r>
          </w:p>
        </w:tc>
        <w:tc>
          <w:tcPr>
            <w:tcW w:w="1417" w:type="dxa"/>
            <w:tcBorders>
              <w:top w:val="nil"/>
              <w:left w:val="nil"/>
              <w:bottom w:val="nil"/>
              <w:right w:val="nil"/>
            </w:tcBorders>
            <w:shd w:val="clear" w:color="auto" w:fill="auto"/>
            <w:noWrap/>
            <w:vAlign w:val="bottom"/>
            <w:hideMark/>
          </w:tcPr>
          <w:p w14:paraId="1B7E4FE8" w14:textId="77777777" w:rsidR="003677EC" w:rsidRDefault="003677EC" w:rsidP="003677EC">
            <w:pPr>
              <w:jc w:val="right"/>
              <w:rPr>
                <w:sz w:val="18"/>
                <w:szCs w:val="18"/>
              </w:rPr>
            </w:pPr>
            <w:r>
              <w:rPr>
                <w:sz w:val="18"/>
                <w:szCs w:val="18"/>
              </w:rPr>
              <w:t xml:space="preserve">          377.721,25    </w:t>
            </w:r>
          </w:p>
        </w:tc>
        <w:tc>
          <w:tcPr>
            <w:tcW w:w="1276" w:type="dxa"/>
            <w:tcBorders>
              <w:top w:val="nil"/>
              <w:left w:val="nil"/>
              <w:bottom w:val="nil"/>
              <w:right w:val="nil"/>
            </w:tcBorders>
            <w:shd w:val="clear" w:color="auto" w:fill="auto"/>
            <w:noWrap/>
            <w:vAlign w:val="bottom"/>
            <w:hideMark/>
          </w:tcPr>
          <w:p w14:paraId="57CC26EF" w14:textId="77777777" w:rsidR="003677EC" w:rsidRDefault="003677EC" w:rsidP="003677EC">
            <w:pPr>
              <w:jc w:val="right"/>
              <w:rPr>
                <w:sz w:val="18"/>
                <w:szCs w:val="18"/>
              </w:rPr>
            </w:pPr>
            <w:r>
              <w:rPr>
                <w:sz w:val="18"/>
                <w:szCs w:val="18"/>
              </w:rPr>
              <w:t xml:space="preserve">          526.887,00    </w:t>
            </w:r>
          </w:p>
        </w:tc>
        <w:tc>
          <w:tcPr>
            <w:tcW w:w="1251" w:type="dxa"/>
            <w:tcBorders>
              <w:top w:val="nil"/>
              <w:left w:val="nil"/>
              <w:bottom w:val="nil"/>
              <w:right w:val="nil"/>
            </w:tcBorders>
            <w:shd w:val="clear" w:color="auto" w:fill="auto"/>
            <w:noWrap/>
            <w:vAlign w:val="bottom"/>
            <w:hideMark/>
          </w:tcPr>
          <w:p w14:paraId="4DFE8CBE" w14:textId="77777777" w:rsidR="003677EC" w:rsidRDefault="003677EC" w:rsidP="003677EC">
            <w:pPr>
              <w:jc w:val="right"/>
              <w:rPr>
                <w:sz w:val="18"/>
                <w:szCs w:val="18"/>
              </w:rPr>
            </w:pPr>
            <w:r>
              <w:rPr>
                <w:sz w:val="18"/>
                <w:szCs w:val="18"/>
              </w:rPr>
              <w:t xml:space="preserve">          458.587,50    </w:t>
            </w:r>
          </w:p>
        </w:tc>
        <w:tc>
          <w:tcPr>
            <w:tcW w:w="711" w:type="dxa"/>
            <w:tcBorders>
              <w:top w:val="nil"/>
              <w:left w:val="nil"/>
              <w:bottom w:val="nil"/>
              <w:right w:val="nil"/>
            </w:tcBorders>
            <w:shd w:val="clear" w:color="auto" w:fill="auto"/>
            <w:noWrap/>
            <w:vAlign w:val="bottom"/>
            <w:hideMark/>
          </w:tcPr>
          <w:p w14:paraId="396A40C5" w14:textId="77777777" w:rsidR="003677EC" w:rsidRDefault="003677EC">
            <w:pPr>
              <w:jc w:val="right"/>
              <w:rPr>
                <w:sz w:val="18"/>
                <w:szCs w:val="18"/>
              </w:rPr>
            </w:pPr>
            <w:r>
              <w:rPr>
                <w:sz w:val="18"/>
                <w:szCs w:val="18"/>
              </w:rPr>
              <w:t>1,20</w:t>
            </w:r>
          </w:p>
        </w:tc>
        <w:tc>
          <w:tcPr>
            <w:tcW w:w="926" w:type="dxa"/>
            <w:tcBorders>
              <w:top w:val="nil"/>
              <w:left w:val="nil"/>
              <w:bottom w:val="nil"/>
              <w:right w:val="nil"/>
            </w:tcBorders>
            <w:shd w:val="clear" w:color="auto" w:fill="auto"/>
            <w:noWrap/>
            <w:vAlign w:val="bottom"/>
            <w:hideMark/>
          </w:tcPr>
          <w:p w14:paraId="3C43A70C" w14:textId="77777777" w:rsidR="003677EC" w:rsidRDefault="003677EC">
            <w:pPr>
              <w:jc w:val="right"/>
              <w:rPr>
                <w:sz w:val="18"/>
                <w:szCs w:val="18"/>
              </w:rPr>
            </w:pPr>
            <w:r>
              <w:rPr>
                <w:sz w:val="18"/>
                <w:szCs w:val="18"/>
              </w:rPr>
              <w:t>121</w:t>
            </w:r>
          </w:p>
        </w:tc>
        <w:tc>
          <w:tcPr>
            <w:tcW w:w="960" w:type="dxa"/>
            <w:tcBorders>
              <w:top w:val="nil"/>
              <w:left w:val="nil"/>
              <w:bottom w:val="nil"/>
              <w:right w:val="nil"/>
            </w:tcBorders>
            <w:shd w:val="clear" w:color="auto" w:fill="auto"/>
            <w:noWrap/>
            <w:vAlign w:val="bottom"/>
            <w:hideMark/>
          </w:tcPr>
          <w:p w14:paraId="0A6C5D44" w14:textId="77777777" w:rsidR="003677EC" w:rsidRDefault="003677EC">
            <w:pPr>
              <w:jc w:val="right"/>
              <w:rPr>
                <w:sz w:val="18"/>
                <w:szCs w:val="18"/>
              </w:rPr>
            </w:pPr>
            <w:r>
              <w:rPr>
                <w:sz w:val="18"/>
                <w:szCs w:val="18"/>
              </w:rPr>
              <w:t>87</w:t>
            </w:r>
          </w:p>
        </w:tc>
      </w:tr>
      <w:tr w:rsidR="003677EC" w14:paraId="57EB15BE" w14:textId="77777777" w:rsidTr="003677EC">
        <w:trPr>
          <w:trHeight w:val="480"/>
        </w:trPr>
        <w:tc>
          <w:tcPr>
            <w:tcW w:w="621" w:type="dxa"/>
            <w:tcBorders>
              <w:top w:val="nil"/>
              <w:left w:val="nil"/>
              <w:bottom w:val="nil"/>
              <w:right w:val="nil"/>
            </w:tcBorders>
            <w:shd w:val="clear" w:color="000000" w:fill="CCFFFF"/>
            <w:noWrap/>
            <w:vAlign w:val="bottom"/>
            <w:hideMark/>
          </w:tcPr>
          <w:p w14:paraId="6B288D50" w14:textId="77777777" w:rsidR="003677EC" w:rsidRDefault="003677EC">
            <w:pPr>
              <w:rPr>
                <w:sz w:val="18"/>
                <w:szCs w:val="18"/>
              </w:rPr>
            </w:pPr>
            <w:r>
              <w:rPr>
                <w:sz w:val="18"/>
                <w:szCs w:val="18"/>
              </w:rPr>
              <w:t>2.3.</w:t>
            </w:r>
          </w:p>
        </w:tc>
        <w:tc>
          <w:tcPr>
            <w:tcW w:w="2498" w:type="dxa"/>
            <w:tcBorders>
              <w:top w:val="nil"/>
              <w:left w:val="nil"/>
              <w:bottom w:val="nil"/>
              <w:right w:val="nil"/>
            </w:tcBorders>
            <w:shd w:val="clear" w:color="000000" w:fill="CCFFFF"/>
            <w:vAlign w:val="bottom"/>
            <w:hideMark/>
          </w:tcPr>
          <w:p w14:paraId="0DC21A65" w14:textId="77777777" w:rsidR="003677EC" w:rsidRDefault="003677EC">
            <w:pPr>
              <w:rPr>
                <w:sz w:val="18"/>
                <w:szCs w:val="18"/>
              </w:rPr>
            </w:pPr>
            <w:r>
              <w:rPr>
                <w:sz w:val="18"/>
                <w:szCs w:val="18"/>
              </w:rPr>
              <w:t>Rashodi za dodatna ulaganja na nefinancijskoj</w:t>
            </w:r>
            <w:r>
              <w:rPr>
                <w:sz w:val="18"/>
                <w:szCs w:val="18"/>
              </w:rPr>
              <w:br/>
              <w:t>imovini</w:t>
            </w:r>
          </w:p>
        </w:tc>
        <w:tc>
          <w:tcPr>
            <w:tcW w:w="1417" w:type="dxa"/>
            <w:tcBorders>
              <w:top w:val="nil"/>
              <w:left w:val="nil"/>
              <w:bottom w:val="nil"/>
              <w:right w:val="nil"/>
            </w:tcBorders>
            <w:shd w:val="clear" w:color="000000" w:fill="CCFFFF"/>
            <w:noWrap/>
            <w:vAlign w:val="bottom"/>
            <w:hideMark/>
          </w:tcPr>
          <w:p w14:paraId="6A7B508F" w14:textId="77777777" w:rsidR="003677EC" w:rsidRDefault="003677EC" w:rsidP="003677EC">
            <w:pPr>
              <w:jc w:val="right"/>
              <w:rPr>
                <w:sz w:val="18"/>
                <w:szCs w:val="18"/>
              </w:rPr>
            </w:pPr>
            <w:r>
              <w:rPr>
                <w:sz w:val="18"/>
                <w:szCs w:val="18"/>
              </w:rPr>
              <w:t xml:space="preserve">       5.571.425,46    </w:t>
            </w:r>
          </w:p>
        </w:tc>
        <w:tc>
          <w:tcPr>
            <w:tcW w:w="1276" w:type="dxa"/>
            <w:tcBorders>
              <w:top w:val="nil"/>
              <w:left w:val="nil"/>
              <w:bottom w:val="nil"/>
              <w:right w:val="nil"/>
            </w:tcBorders>
            <w:shd w:val="clear" w:color="000000" w:fill="CCFFFF"/>
            <w:noWrap/>
            <w:vAlign w:val="bottom"/>
            <w:hideMark/>
          </w:tcPr>
          <w:p w14:paraId="17CE5CD0" w14:textId="77777777" w:rsidR="003677EC" w:rsidRDefault="003677EC" w:rsidP="003677EC">
            <w:pPr>
              <w:jc w:val="right"/>
              <w:rPr>
                <w:sz w:val="18"/>
                <w:szCs w:val="18"/>
              </w:rPr>
            </w:pPr>
            <w:r>
              <w:rPr>
                <w:sz w:val="18"/>
                <w:szCs w:val="18"/>
              </w:rPr>
              <w:t xml:space="preserve">       1.587.871,03    </w:t>
            </w:r>
          </w:p>
        </w:tc>
        <w:tc>
          <w:tcPr>
            <w:tcW w:w="1251" w:type="dxa"/>
            <w:tcBorders>
              <w:top w:val="nil"/>
              <w:left w:val="nil"/>
              <w:bottom w:val="nil"/>
              <w:right w:val="nil"/>
            </w:tcBorders>
            <w:shd w:val="clear" w:color="000000" w:fill="CCFFFF"/>
            <w:noWrap/>
            <w:vAlign w:val="bottom"/>
            <w:hideMark/>
          </w:tcPr>
          <w:p w14:paraId="62CB4963" w14:textId="77777777" w:rsidR="003677EC" w:rsidRDefault="003677EC" w:rsidP="003677EC">
            <w:pPr>
              <w:jc w:val="right"/>
              <w:rPr>
                <w:sz w:val="18"/>
                <w:szCs w:val="18"/>
              </w:rPr>
            </w:pPr>
            <w:r>
              <w:rPr>
                <w:sz w:val="18"/>
                <w:szCs w:val="18"/>
              </w:rPr>
              <w:t xml:space="preserve">       1.514.076,66    </w:t>
            </w:r>
          </w:p>
        </w:tc>
        <w:tc>
          <w:tcPr>
            <w:tcW w:w="711" w:type="dxa"/>
            <w:tcBorders>
              <w:top w:val="nil"/>
              <w:left w:val="nil"/>
              <w:bottom w:val="nil"/>
              <w:right w:val="nil"/>
            </w:tcBorders>
            <w:shd w:val="clear" w:color="000000" w:fill="CCFFFF"/>
            <w:noWrap/>
            <w:vAlign w:val="bottom"/>
            <w:hideMark/>
          </w:tcPr>
          <w:p w14:paraId="2BCB5327" w14:textId="77777777" w:rsidR="003677EC" w:rsidRDefault="003677EC">
            <w:pPr>
              <w:jc w:val="right"/>
              <w:rPr>
                <w:sz w:val="18"/>
                <w:szCs w:val="18"/>
              </w:rPr>
            </w:pPr>
            <w:r>
              <w:rPr>
                <w:sz w:val="18"/>
                <w:szCs w:val="18"/>
              </w:rPr>
              <w:t>3,97</w:t>
            </w:r>
          </w:p>
        </w:tc>
        <w:tc>
          <w:tcPr>
            <w:tcW w:w="926" w:type="dxa"/>
            <w:tcBorders>
              <w:top w:val="nil"/>
              <w:left w:val="nil"/>
              <w:bottom w:val="nil"/>
              <w:right w:val="nil"/>
            </w:tcBorders>
            <w:shd w:val="clear" w:color="000000" w:fill="CCFFFF"/>
            <w:noWrap/>
            <w:vAlign w:val="bottom"/>
            <w:hideMark/>
          </w:tcPr>
          <w:p w14:paraId="3241C022" w14:textId="77777777" w:rsidR="003677EC" w:rsidRDefault="003677EC">
            <w:pPr>
              <w:jc w:val="right"/>
              <w:rPr>
                <w:sz w:val="18"/>
                <w:szCs w:val="18"/>
              </w:rPr>
            </w:pPr>
            <w:r>
              <w:rPr>
                <w:sz w:val="18"/>
                <w:szCs w:val="18"/>
              </w:rPr>
              <w:t>27</w:t>
            </w:r>
          </w:p>
        </w:tc>
        <w:tc>
          <w:tcPr>
            <w:tcW w:w="960" w:type="dxa"/>
            <w:tcBorders>
              <w:top w:val="nil"/>
              <w:left w:val="nil"/>
              <w:bottom w:val="nil"/>
              <w:right w:val="nil"/>
            </w:tcBorders>
            <w:shd w:val="clear" w:color="000000" w:fill="CCFFFF"/>
            <w:noWrap/>
            <w:vAlign w:val="bottom"/>
            <w:hideMark/>
          </w:tcPr>
          <w:p w14:paraId="1F749E56" w14:textId="77777777" w:rsidR="003677EC" w:rsidRDefault="003677EC">
            <w:pPr>
              <w:jc w:val="right"/>
              <w:rPr>
                <w:sz w:val="18"/>
                <w:szCs w:val="18"/>
              </w:rPr>
            </w:pPr>
            <w:r>
              <w:rPr>
                <w:sz w:val="18"/>
                <w:szCs w:val="18"/>
              </w:rPr>
              <w:t>95</w:t>
            </w:r>
          </w:p>
        </w:tc>
      </w:tr>
      <w:tr w:rsidR="003677EC" w14:paraId="43AA8176" w14:textId="77777777" w:rsidTr="003677EC">
        <w:trPr>
          <w:trHeight w:val="240"/>
        </w:trPr>
        <w:tc>
          <w:tcPr>
            <w:tcW w:w="621" w:type="dxa"/>
            <w:tcBorders>
              <w:top w:val="nil"/>
              <w:left w:val="nil"/>
              <w:bottom w:val="nil"/>
              <w:right w:val="nil"/>
            </w:tcBorders>
            <w:shd w:val="clear" w:color="auto" w:fill="auto"/>
            <w:noWrap/>
            <w:vAlign w:val="bottom"/>
            <w:hideMark/>
          </w:tcPr>
          <w:p w14:paraId="70AE0551" w14:textId="77777777" w:rsidR="003677EC" w:rsidRDefault="003677EC">
            <w:pPr>
              <w:rPr>
                <w:sz w:val="18"/>
                <w:szCs w:val="18"/>
              </w:rPr>
            </w:pPr>
            <w:r>
              <w:rPr>
                <w:sz w:val="18"/>
                <w:szCs w:val="18"/>
              </w:rPr>
              <w:t>2.3.1.</w:t>
            </w:r>
          </w:p>
        </w:tc>
        <w:tc>
          <w:tcPr>
            <w:tcW w:w="2498" w:type="dxa"/>
            <w:tcBorders>
              <w:top w:val="nil"/>
              <w:left w:val="nil"/>
              <w:bottom w:val="nil"/>
              <w:right w:val="nil"/>
            </w:tcBorders>
            <w:shd w:val="clear" w:color="auto" w:fill="auto"/>
            <w:vAlign w:val="bottom"/>
            <w:hideMark/>
          </w:tcPr>
          <w:p w14:paraId="5F0EF8D3" w14:textId="77777777" w:rsidR="003677EC" w:rsidRDefault="003677EC">
            <w:pPr>
              <w:rPr>
                <w:sz w:val="18"/>
                <w:szCs w:val="18"/>
              </w:rPr>
            </w:pPr>
            <w:r>
              <w:rPr>
                <w:sz w:val="18"/>
                <w:szCs w:val="18"/>
              </w:rPr>
              <w:t>Dodatna ulaganja na građevinskim objektima</w:t>
            </w:r>
          </w:p>
        </w:tc>
        <w:tc>
          <w:tcPr>
            <w:tcW w:w="1417" w:type="dxa"/>
            <w:tcBorders>
              <w:top w:val="nil"/>
              <w:left w:val="nil"/>
              <w:bottom w:val="nil"/>
              <w:right w:val="nil"/>
            </w:tcBorders>
            <w:shd w:val="clear" w:color="auto" w:fill="auto"/>
            <w:noWrap/>
            <w:vAlign w:val="bottom"/>
            <w:hideMark/>
          </w:tcPr>
          <w:p w14:paraId="5C6C8EFE" w14:textId="77777777" w:rsidR="003677EC" w:rsidRDefault="003677EC" w:rsidP="003677EC">
            <w:pPr>
              <w:jc w:val="right"/>
              <w:rPr>
                <w:sz w:val="18"/>
                <w:szCs w:val="18"/>
              </w:rPr>
            </w:pPr>
            <w:r>
              <w:rPr>
                <w:sz w:val="18"/>
                <w:szCs w:val="18"/>
              </w:rPr>
              <w:t xml:space="preserve">       5.571.425,46    </w:t>
            </w:r>
          </w:p>
        </w:tc>
        <w:tc>
          <w:tcPr>
            <w:tcW w:w="1276" w:type="dxa"/>
            <w:tcBorders>
              <w:top w:val="nil"/>
              <w:left w:val="nil"/>
              <w:bottom w:val="nil"/>
              <w:right w:val="nil"/>
            </w:tcBorders>
            <w:shd w:val="clear" w:color="auto" w:fill="auto"/>
            <w:noWrap/>
            <w:vAlign w:val="bottom"/>
            <w:hideMark/>
          </w:tcPr>
          <w:p w14:paraId="4BB68608" w14:textId="77777777" w:rsidR="003677EC" w:rsidRDefault="003677EC" w:rsidP="003677EC">
            <w:pPr>
              <w:jc w:val="right"/>
              <w:rPr>
                <w:sz w:val="18"/>
                <w:szCs w:val="18"/>
              </w:rPr>
            </w:pPr>
            <w:r>
              <w:rPr>
                <w:sz w:val="18"/>
                <w:szCs w:val="18"/>
              </w:rPr>
              <w:t xml:space="preserve">       1.587.871,03    </w:t>
            </w:r>
          </w:p>
        </w:tc>
        <w:tc>
          <w:tcPr>
            <w:tcW w:w="1251" w:type="dxa"/>
            <w:tcBorders>
              <w:top w:val="nil"/>
              <w:left w:val="nil"/>
              <w:bottom w:val="nil"/>
              <w:right w:val="nil"/>
            </w:tcBorders>
            <w:shd w:val="clear" w:color="auto" w:fill="auto"/>
            <w:noWrap/>
            <w:vAlign w:val="bottom"/>
            <w:hideMark/>
          </w:tcPr>
          <w:p w14:paraId="3440BFFE" w14:textId="77777777" w:rsidR="003677EC" w:rsidRDefault="003677EC" w:rsidP="003677EC">
            <w:pPr>
              <w:jc w:val="right"/>
              <w:rPr>
                <w:sz w:val="18"/>
                <w:szCs w:val="18"/>
              </w:rPr>
            </w:pPr>
            <w:r>
              <w:rPr>
                <w:sz w:val="18"/>
                <w:szCs w:val="18"/>
              </w:rPr>
              <w:t xml:space="preserve">       1.514.076,66    </w:t>
            </w:r>
          </w:p>
        </w:tc>
        <w:tc>
          <w:tcPr>
            <w:tcW w:w="711" w:type="dxa"/>
            <w:tcBorders>
              <w:top w:val="nil"/>
              <w:left w:val="nil"/>
              <w:bottom w:val="nil"/>
              <w:right w:val="nil"/>
            </w:tcBorders>
            <w:shd w:val="clear" w:color="auto" w:fill="auto"/>
            <w:noWrap/>
            <w:vAlign w:val="bottom"/>
            <w:hideMark/>
          </w:tcPr>
          <w:p w14:paraId="33123A02" w14:textId="77777777" w:rsidR="003677EC" w:rsidRDefault="003677EC">
            <w:pPr>
              <w:jc w:val="right"/>
              <w:rPr>
                <w:sz w:val="18"/>
                <w:szCs w:val="18"/>
              </w:rPr>
            </w:pPr>
            <w:r>
              <w:rPr>
                <w:sz w:val="18"/>
                <w:szCs w:val="18"/>
              </w:rPr>
              <w:t>3,97</w:t>
            </w:r>
          </w:p>
        </w:tc>
        <w:tc>
          <w:tcPr>
            <w:tcW w:w="926" w:type="dxa"/>
            <w:tcBorders>
              <w:top w:val="nil"/>
              <w:left w:val="nil"/>
              <w:bottom w:val="nil"/>
              <w:right w:val="nil"/>
            </w:tcBorders>
            <w:shd w:val="clear" w:color="auto" w:fill="auto"/>
            <w:noWrap/>
            <w:vAlign w:val="bottom"/>
            <w:hideMark/>
          </w:tcPr>
          <w:p w14:paraId="5D48242F" w14:textId="77777777" w:rsidR="003677EC" w:rsidRDefault="003677EC">
            <w:pPr>
              <w:jc w:val="right"/>
              <w:rPr>
                <w:sz w:val="18"/>
                <w:szCs w:val="18"/>
              </w:rPr>
            </w:pPr>
            <w:r>
              <w:rPr>
                <w:sz w:val="18"/>
                <w:szCs w:val="18"/>
              </w:rPr>
              <w:t>27</w:t>
            </w:r>
          </w:p>
        </w:tc>
        <w:tc>
          <w:tcPr>
            <w:tcW w:w="960" w:type="dxa"/>
            <w:tcBorders>
              <w:top w:val="nil"/>
              <w:left w:val="nil"/>
              <w:bottom w:val="nil"/>
              <w:right w:val="nil"/>
            </w:tcBorders>
            <w:shd w:val="clear" w:color="auto" w:fill="auto"/>
            <w:noWrap/>
            <w:vAlign w:val="bottom"/>
            <w:hideMark/>
          </w:tcPr>
          <w:p w14:paraId="33A10786" w14:textId="77777777" w:rsidR="003677EC" w:rsidRDefault="003677EC">
            <w:pPr>
              <w:jc w:val="right"/>
              <w:rPr>
                <w:sz w:val="18"/>
                <w:szCs w:val="18"/>
              </w:rPr>
            </w:pPr>
            <w:r>
              <w:rPr>
                <w:sz w:val="18"/>
                <w:szCs w:val="18"/>
              </w:rPr>
              <w:t>95</w:t>
            </w:r>
          </w:p>
        </w:tc>
      </w:tr>
      <w:tr w:rsidR="003677EC" w14:paraId="3E110D2A" w14:textId="77777777" w:rsidTr="003677EC">
        <w:trPr>
          <w:trHeight w:val="480"/>
        </w:trPr>
        <w:tc>
          <w:tcPr>
            <w:tcW w:w="621" w:type="dxa"/>
            <w:tcBorders>
              <w:top w:val="nil"/>
              <w:left w:val="nil"/>
              <w:bottom w:val="nil"/>
              <w:right w:val="nil"/>
            </w:tcBorders>
            <w:shd w:val="clear" w:color="000000" w:fill="FFCC99"/>
            <w:noWrap/>
            <w:vAlign w:val="bottom"/>
            <w:hideMark/>
          </w:tcPr>
          <w:p w14:paraId="7F356747" w14:textId="77777777" w:rsidR="003677EC" w:rsidRDefault="003677EC">
            <w:pPr>
              <w:rPr>
                <w:b/>
                <w:bCs/>
                <w:sz w:val="18"/>
                <w:szCs w:val="18"/>
              </w:rPr>
            </w:pPr>
            <w:r>
              <w:rPr>
                <w:b/>
                <w:bCs/>
                <w:sz w:val="18"/>
                <w:szCs w:val="18"/>
              </w:rPr>
              <w:t>3.</w:t>
            </w:r>
          </w:p>
        </w:tc>
        <w:tc>
          <w:tcPr>
            <w:tcW w:w="2498" w:type="dxa"/>
            <w:tcBorders>
              <w:top w:val="nil"/>
              <w:left w:val="nil"/>
              <w:bottom w:val="nil"/>
              <w:right w:val="nil"/>
            </w:tcBorders>
            <w:shd w:val="clear" w:color="000000" w:fill="FFCC99"/>
            <w:vAlign w:val="bottom"/>
            <w:hideMark/>
          </w:tcPr>
          <w:p w14:paraId="3EC7FFB6" w14:textId="77777777" w:rsidR="003677EC" w:rsidRDefault="003677EC">
            <w:pPr>
              <w:rPr>
                <w:b/>
                <w:bCs/>
                <w:sz w:val="18"/>
                <w:szCs w:val="18"/>
              </w:rPr>
            </w:pPr>
            <w:r>
              <w:rPr>
                <w:b/>
                <w:bCs/>
                <w:sz w:val="18"/>
                <w:szCs w:val="18"/>
              </w:rPr>
              <w:t xml:space="preserve">Izdaci za financijsku imovinu i </w:t>
            </w:r>
            <w:r>
              <w:rPr>
                <w:b/>
                <w:bCs/>
                <w:sz w:val="18"/>
                <w:szCs w:val="18"/>
              </w:rPr>
              <w:br/>
              <w:t>otplate kredita</w:t>
            </w:r>
          </w:p>
        </w:tc>
        <w:tc>
          <w:tcPr>
            <w:tcW w:w="1417" w:type="dxa"/>
            <w:tcBorders>
              <w:top w:val="nil"/>
              <w:left w:val="nil"/>
              <w:bottom w:val="nil"/>
              <w:right w:val="nil"/>
            </w:tcBorders>
            <w:shd w:val="clear" w:color="000000" w:fill="FFCC99"/>
            <w:noWrap/>
            <w:vAlign w:val="bottom"/>
            <w:hideMark/>
          </w:tcPr>
          <w:p w14:paraId="19A9B8C5" w14:textId="77777777" w:rsidR="003677EC" w:rsidRDefault="003677EC" w:rsidP="003677EC">
            <w:pPr>
              <w:jc w:val="right"/>
              <w:rPr>
                <w:b/>
                <w:bCs/>
                <w:sz w:val="18"/>
                <w:szCs w:val="18"/>
              </w:rPr>
            </w:pPr>
            <w:r>
              <w:rPr>
                <w:b/>
                <w:bCs/>
                <w:sz w:val="18"/>
                <w:szCs w:val="18"/>
              </w:rPr>
              <w:t xml:space="preserve">       2.186.397,02    </w:t>
            </w:r>
          </w:p>
        </w:tc>
        <w:tc>
          <w:tcPr>
            <w:tcW w:w="1276" w:type="dxa"/>
            <w:tcBorders>
              <w:top w:val="nil"/>
              <w:left w:val="nil"/>
              <w:bottom w:val="nil"/>
              <w:right w:val="nil"/>
            </w:tcBorders>
            <w:shd w:val="clear" w:color="000000" w:fill="FFCC99"/>
            <w:noWrap/>
            <w:vAlign w:val="bottom"/>
            <w:hideMark/>
          </w:tcPr>
          <w:p w14:paraId="1F221444" w14:textId="77777777" w:rsidR="003677EC" w:rsidRDefault="003677EC" w:rsidP="003677EC">
            <w:pPr>
              <w:jc w:val="right"/>
              <w:rPr>
                <w:b/>
                <w:bCs/>
                <w:sz w:val="18"/>
                <w:szCs w:val="18"/>
              </w:rPr>
            </w:pPr>
            <w:r>
              <w:rPr>
                <w:b/>
                <w:bCs/>
                <w:sz w:val="18"/>
                <w:szCs w:val="18"/>
              </w:rPr>
              <w:t xml:space="preserve">       1.219.000,00    </w:t>
            </w:r>
          </w:p>
        </w:tc>
        <w:tc>
          <w:tcPr>
            <w:tcW w:w="1251" w:type="dxa"/>
            <w:tcBorders>
              <w:top w:val="nil"/>
              <w:left w:val="nil"/>
              <w:bottom w:val="nil"/>
              <w:right w:val="nil"/>
            </w:tcBorders>
            <w:shd w:val="clear" w:color="000000" w:fill="FFCC99"/>
            <w:noWrap/>
            <w:vAlign w:val="bottom"/>
            <w:hideMark/>
          </w:tcPr>
          <w:p w14:paraId="79703F1B" w14:textId="77777777" w:rsidR="003677EC" w:rsidRDefault="003677EC" w:rsidP="003677EC">
            <w:pPr>
              <w:jc w:val="right"/>
              <w:rPr>
                <w:b/>
                <w:bCs/>
                <w:sz w:val="18"/>
                <w:szCs w:val="18"/>
              </w:rPr>
            </w:pPr>
            <w:r>
              <w:rPr>
                <w:b/>
                <w:bCs/>
                <w:sz w:val="18"/>
                <w:szCs w:val="18"/>
              </w:rPr>
              <w:t xml:space="preserve">       1.216.116,80    </w:t>
            </w:r>
          </w:p>
        </w:tc>
        <w:tc>
          <w:tcPr>
            <w:tcW w:w="711" w:type="dxa"/>
            <w:tcBorders>
              <w:top w:val="nil"/>
              <w:left w:val="nil"/>
              <w:bottom w:val="nil"/>
              <w:right w:val="nil"/>
            </w:tcBorders>
            <w:shd w:val="clear" w:color="000000" w:fill="FFCC99"/>
            <w:noWrap/>
            <w:vAlign w:val="bottom"/>
            <w:hideMark/>
          </w:tcPr>
          <w:p w14:paraId="6231D6CF" w14:textId="77777777" w:rsidR="003677EC" w:rsidRDefault="003677EC">
            <w:pPr>
              <w:jc w:val="right"/>
              <w:rPr>
                <w:b/>
                <w:bCs/>
                <w:sz w:val="18"/>
                <w:szCs w:val="18"/>
              </w:rPr>
            </w:pPr>
            <w:r>
              <w:rPr>
                <w:b/>
                <w:bCs/>
                <w:sz w:val="18"/>
                <w:szCs w:val="18"/>
              </w:rPr>
              <w:t>3,20</w:t>
            </w:r>
          </w:p>
        </w:tc>
        <w:tc>
          <w:tcPr>
            <w:tcW w:w="926" w:type="dxa"/>
            <w:tcBorders>
              <w:top w:val="nil"/>
              <w:left w:val="nil"/>
              <w:bottom w:val="nil"/>
              <w:right w:val="nil"/>
            </w:tcBorders>
            <w:shd w:val="clear" w:color="000000" w:fill="FFCC99"/>
            <w:noWrap/>
            <w:vAlign w:val="bottom"/>
            <w:hideMark/>
          </w:tcPr>
          <w:p w14:paraId="2D0AA189" w14:textId="77777777" w:rsidR="003677EC" w:rsidRDefault="003677EC">
            <w:pPr>
              <w:jc w:val="right"/>
              <w:rPr>
                <w:b/>
                <w:bCs/>
                <w:sz w:val="18"/>
                <w:szCs w:val="18"/>
              </w:rPr>
            </w:pPr>
            <w:r>
              <w:rPr>
                <w:b/>
                <w:bCs/>
                <w:sz w:val="18"/>
                <w:szCs w:val="18"/>
              </w:rPr>
              <w:t>56</w:t>
            </w:r>
          </w:p>
        </w:tc>
        <w:tc>
          <w:tcPr>
            <w:tcW w:w="960" w:type="dxa"/>
            <w:tcBorders>
              <w:top w:val="nil"/>
              <w:left w:val="nil"/>
              <w:bottom w:val="nil"/>
              <w:right w:val="nil"/>
            </w:tcBorders>
            <w:shd w:val="clear" w:color="000000" w:fill="FFCC99"/>
            <w:noWrap/>
            <w:vAlign w:val="bottom"/>
            <w:hideMark/>
          </w:tcPr>
          <w:p w14:paraId="0BE3D28C" w14:textId="77777777" w:rsidR="003677EC" w:rsidRDefault="003677EC">
            <w:pPr>
              <w:jc w:val="right"/>
              <w:rPr>
                <w:b/>
                <w:bCs/>
                <w:sz w:val="18"/>
                <w:szCs w:val="18"/>
              </w:rPr>
            </w:pPr>
            <w:r>
              <w:rPr>
                <w:b/>
                <w:bCs/>
                <w:sz w:val="18"/>
                <w:szCs w:val="18"/>
              </w:rPr>
              <w:t>100</w:t>
            </w:r>
          </w:p>
        </w:tc>
      </w:tr>
      <w:tr w:rsidR="003677EC" w14:paraId="12BCB2D6" w14:textId="77777777" w:rsidTr="003677EC">
        <w:trPr>
          <w:trHeight w:val="240"/>
        </w:trPr>
        <w:tc>
          <w:tcPr>
            <w:tcW w:w="621" w:type="dxa"/>
            <w:tcBorders>
              <w:top w:val="nil"/>
              <w:left w:val="nil"/>
              <w:bottom w:val="nil"/>
              <w:right w:val="nil"/>
            </w:tcBorders>
            <w:shd w:val="clear" w:color="000000" w:fill="CCFFFF"/>
            <w:noWrap/>
            <w:vAlign w:val="bottom"/>
            <w:hideMark/>
          </w:tcPr>
          <w:p w14:paraId="2F32E8F6" w14:textId="77777777" w:rsidR="003677EC" w:rsidRDefault="003677EC">
            <w:pPr>
              <w:rPr>
                <w:sz w:val="18"/>
                <w:szCs w:val="18"/>
              </w:rPr>
            </w:pPr>
            <w:r>
              <w:rPr>
                <w:sz w:val="18"/>
                <w:szCs w:val="18"/>
              </w:rPr>
              <w:t>3.1.</w:t>
            </w:r>
          </w:p>
        </w:tc>
        <w:tc>
          <w:tcPr>
            <w:tcW w:w="2498" w:type="dxa"/>
            <w:tcBorders>
              <w:top w:val="nil"/>
              <w:left w:val="nil"/>
              <w:bottom w:val="nil"/>
              <w:right w:val="nil"/>
            </w:tcBorders>
            <w:shd w:val="clear" w:color="000000" w:fill="CCFFFF"/>
            <w:vAlign w:val="bottom"/>
            <w:hideMark/>
          </w:tcPr>
          <w:p w14:paraId="4F200400" w14:textId="77777777" w:rsidR="003677EC" w:rsidRDefault="003677EC">
            <w:pPr>
              <w:rPr>
                <w:sz w:val="18"/>
                <w:szCs w:val="18"/>
              </w:rPr>
            </w:pPr>
            <w:r>
              <w:rPr>
                <w:sz w:val="18"/>
                <w:szCs w:val="18"/>
              </w:rPr>
              <w:t>Izdaci za dionice i udjele u glavnici</w:t>
            </w:r>
          </w:p>
        </w:tc>
        <w:tc>
          <w:tcPr>
            <w:tcW w:w="1417" w:type="dxa"/>
            <w:tcBorders>
              <w:top w:val="nil"/>
              <w:left w:val="nil"/>
              <w:bottom w:val="nil"/>
              <w:right w:val="nil"/>
            </w:tcBorders>
            <w:shd w:val="clear" w:color="000000" w:fill="CCFFFF"/>
            <w:noWrap/>
            <w:vAlign w:val="bottom"/>
            <w:hideMark/>
          </w:tcPr>
          <w:p w14:paraId="1A465DA7" w14:textId="77777777" w:rsidR="003677EC" w:rsidRDefault="003677EC" w:rsidP="003677EC">
            <w:pPr>
              <w:jc w:val="right"/>
              <w:rPr>
                <w:sz w:val="18"/>
                <w:szCs w:val="18"/>
              </w:rPr>
            </w:pPr>
            <w:r>
              <w:rPr>
                <w:sz w:val="18"/>
                <w:szCs w:val="18"/>
              </w:rPr>
              <w:t xml:space="preserve">            87.388,31    </w:t>
            </w:r>
          </w:p>
        </w:tc>
        <w:tc>
          <w:tcPr>
            <w:tcW w:w="1276" w:type="dxa"/>
            <w:tcBorders>
              <w:top w:val="nil"/>
              <w:left w:val="nil"/>
              <w:bottom w:val="nil"/>
              <w:right w:val="nil"/>
            </w:tcBorders>
            <w:shd w:val="clear" w:color="000000" w:fill="CCFFFF"/>
            <w:noWrap/>
            <w:vAlign w:val="bottom"/>
            <w:hideMark/>
          </w:tcPr>
          <w:p w14:paraId="1883877E" w14:textId="77777777" w:rsidR="003677EC" w:rsidRDefault="003677EC" w:rsidP="003677EC">
            <w:pPr>
              <w:jc w:val="right"/>
              <w:rPr>
                <w:sz w:val="18"/>
                <w:szCs w:val="18"/>
              </w:rPr>
            </w:pPr>
            <w:r>
              <w:rPr>
                <w:sz w:val="18"/>
                <w:szCs w:val="18"/>
              </w:rPr>
              <w:t xml:space="preserve">            87.500,00    </w:t>
            </w:r>
          </w:p>
        </w:tc>
        <w:tc>
          <w:tcPr>
            <w:tcW w:w="1251" w:type="dxa"/>
            <w:tcBorders>
              <w:top w:val="nil"/>
              <w:left w:val="nil"/>
              <w:bottom w:val="nil"/>
              <w:right w:val="nil"/>
            </w:tcBorders>
            <w:shd w:val="clear" w:color="000000" w:fill="CCFFFF"/>
            <w:noWrap/>
            <w:vAlign w:val="bottom"/>
            <w:hideMark/>
          </w:tcPr>
          <w:p w14:paraId="08F1AC9E" w14:textId="77777777" w:rsidR="003677EC" w:rsidRDefault="003677EC" w:rsidP="003677EC">
            <w:pPr>
              <w:jc w:val="right"/>
              <w:rPr>
                <w:sz w:val="18"/>
                <w:szCs w:val="18"/>
              </w:rPr>
            </w:pPr>
            <w:r>
              <w:rPr>
                <w:sz w:val="18"/>
                <w:szCs w:val="18"/>
              </w:rPr>
              <w:t xml:space="preserve">            87.589,50    </w:t>
            </w:r>
          </w:p>
        </w:tc>
        <w:tc>
          <w:tcPr>
            <w:tcW w:w="711" w:type="dxa"/>
            <w:tcBorders>
              <w:top w:val="nil"/>
              <w:left w:val="nil"/>
              <w:bottom w:val="nil"/>
              <w:right w:val="nil"/>
            </w:tcBorders>
            <w:shd w:val="clear" w:color="000000" w:fill="CCFFFF"/>
            <w:noWrap/>
            <w:vAlign w:val="bottom"/>
            <w:hideMark/>
          </w:tcPr>
          <w:p w14:paraId="3A77D395" w14:textId="77777777" w:rsidR="003677EC" w:rsidRDefault="003677EC">
            <w:pPr>
              <w:jc w:val="right"/>
              <w:rPr>
                <w:sz w:val="18"/>
                <w:szCs w:val="18"/>
              </w:rPr>
            </w:pPr>
            <w:r>
              <w:rPr>
                <w:sz w:val="18"/>
                <w:szCs w:val="18"/>
              </w:rPr>
              <w:t>0,23</w:t>
            </w:r>
          </w:p>
        </w:tc>
        <w:tc>
          <w:tcPr>
            <w:tcW w:w="926" w:type="dxa"/>
            <w:tcBorders>
              <w:top w:val="nil"/>
              <w:left w:val="nil"/>
              <w:bottom w:val="nil"/>
              <w:right w:val="nil"/>
            </w:tcBorders>
            <w:shd w:val="clear" w:color="000000" w:fill="CCFFFF"/>
            <w:noWrap/>
            <w:vAlign w:val="bottom"/>
            <w:hideMark/>
          </w:tcPr>
          <w:p w14:paraId="21FCDF16" w14:textId="77777777" w:rsidR="003677EC" w:rsidRDefault="003677EC">
            <w:pPr>
              <w:jc w:val="right"/>
              <w:rPr>
                <w:sz w:val="18"/>
                <w:szCs w:val="18"/>
              </w:rPr>
            </w:pPr>
            <w:r>
              <w:rPr>
                <w:sz w:val="18"/>
                <w:szCs w:val="18"/>
              </w:rPr>
              <w:t>100</w:t>
            </w:r>
          </w:p>
        </w:tc>
        <w:tc>
          <w:tcPr>
            <w:tcW w:w="960" w:type="dxa"/>
            <w:tcBorders>
              <w:top w:val="nil"/>
              <w:left w:val="nil"/>
              <w:bottom w:val="nil"/>
              <w:right w:val="nil"/>
            </w:tcBorders>
            <w:shd w:val="clear" w:color="000000" w:fill="CCFFFF"/>
            <w:noWrap/>
            <w:vAlign w:val="bottom"/>
            <w:hideMark/>
          </w:tcPr>
          <w:p w14:paraId="7D070E4E" w14:textId="77777777" w:rsidR="003677EC" w:rsidRDefault="003677EC">
            <w:pPr>
              <w:jc w:val="right"/>
              <w:rPr>
                <w:sz w:val="18"/>
                <w:szCs w:val="18"/>
              </w:rPr>
            </w:pPr>
            <w:r>
              <w:rPr>
                <w:sz w:val="18"/>
                <w:szCs w:val="18"/>
              </w:rPr>
              <w:t>100</w:t>
            </w:r>
          </w:p>
        </w:tc>
      </w:tr>
      <w:tr w:rsidR="003677EC" w14:paraId="7B5BFF3E" w14:textId="77777777" w:rsidTr="003677EC">
        <w:trPr>
          <w:trHeight w:val="480"/>
        </w:trPr>
        <w:tc>
          <w:tcPr>
            <w:tcW w:w="621" w:type="dxa"/>
            <w:tcBorders>
              <w:top w:val="nil"/>
              <w:left w:val="nil"/>
              <w:bottom w:val="nil"/>
              <w:right w:val="nil"/>
            </w:tcBorders>
            <w:shd w:val="clear" w:color="000000" w:fill="CCFFFF"/>
            <w:noWrap/>
            <w:vAlign w:val="bottom"/>
            <w:hideMark/>
          </w:tcPr>
          <w:p w14:paraId="6C256FD1" w14:textId="77777777" w:rsidR="003677EC" w:rsidRDefault="003677EC">
            <w:pPr>
              <w:rPr>
                <w:sz w:val="18"/>
                <w:szCs w:val="18"/>
              </w:rPr>
            </w:pPr>
            <w:r>
              <w:rPr>
                <w:sz w:val="18"/>
                <w:szCs w:val="18"/>
              </w:rPr>
              <w:t>3.2.</w:t>
            </w:r>
          </w:p>
        </w:tc>
        <w:tc>
          <w:tcPr>
            <w:tcW w:w="2498" w:type="dxa"/>
            <w:tcBorders>
              <w:top w:val="nil"/>
              <w:left w:val="nil"/>
              <w:bottom w:val="nil"/>
              <w:right w:val="nil"/>
            </w:tcBorders>
            <w:shd w:val="clear" w:color="000000" w:fill="CCFFFF"/>
            <w:vAlign w:val="bottom"/>
            <w:hideMark/>
          </w:tcPr>
          <w:p w14:paraId="733F87FA" w14:textId="77777777" w:rsidR="003677EC" w:rsidRDefault="003677EC">
            <w:pPr>
              <w:rPr>
                <w:sz w:val="18"/>
                <w:szCs w:val="18"/>
              </w:rPr>
            </w:pPr>
            <w:r>
              <w:rPr>
                <w:sz w:val="18"/>
                <w:szCs w:val="18"/>
              </w:rPr>
              <w:t>Izdaci za otplatu glavnice primljenih kredita i zajmova</w:t>
            </w:r>
          </w:p>
        </w:tc>
        <w:tc>
          <w:tcPr>
            <w:tcW w:w="1417" w:type="dxa"/>
            <w:tcBorders>
              <w:top w:val="nil"/>
              <w:left w:val="nil"/>
              <w:bottom w:val="nil"/>
              <w:right w:val="nil"/>
            </w:tcBorders>
            <w:shd w:val="clear" w:color="000000" w:fill="CCFFFF"/>
            <w:noWrap/>
            <w:vAlign w:val="bottom"/>
            <w:hideMark/>
          </w:tcPr>
          <w:p w14:paraId="6750871E" w14:textId="77777777" w:rsidR="003677EC" w:rsidRDefault="003677EC" w:rsidP="003677EC">
            <w:pPr>
              <w:jc w:val="right"/>
              <w:rPr>
                <w:sz w:val="18"/>
                <w:szCs w:val="18"/>
              </w:rPr>
            </w:pPr>
            <w:r>
              <w:rPr>
                <w:sz w:val="18"/>
                <w:szCs w:val="18"/>
              </w:rPr>
              <w:t xml:space="preserve">       2.099.008,71    </w:t>
            </w:r>
          </w:p>
        </w:tc>
        <w:tc>
          <w:tcPr>
            <w:tcW w:w="1276" w:type="dxa"/>
            <w:tcBorders>
              <w:top w:val="nil"/>
              <w:left w:val="nil"/>
              <w:bottom w:val="nil"/>
              <w:right w:val="nil"/>
            </w:tcBorders>
            <w:shd w:val="clear" w:color="000000" w:fill="CCFFFF"/>
            <w:noWrap/>
            <w:vAlign w:val="bottom"/>
            <w:hideMark/>
          </w:tcPr>
          <w:p w14:paraId="175C6923" w14:textId="77777777" w:rsidR="003677EC" w:rsidRDefault="003677EC" w:rsidP="003677EC">
            <w:pPr>
              <w:jc w:val="right"/>
              <w:rPr>
                <w:sz w:val="18"/>
                <w:szCs w:val="18"/>
              </w:rPr>
            </w:pPr>
            <w:r>
              <w:rPr>
                <w:sz w:val="18"/>
                <w:szCs w:val="18"/>
              </w:rPr>
              <w:t xml:space="preserve">       1.131.500,00    </w:t>
            </w:r>
          </w:p>
        </w:tc>
        <w:tc>
          <w:tcPr>
            <w:tcW w:w="1251" w:type="dxa"/>
            <w:tcBorders>
              <w:top w:val="nil"/>
              <w:left w:val="nil"/>
              <w:bottom w:val="nil"/>
              <w:right w:val="nil"/>
            </w:tcBorders>
            <w:shd w:val="clear" w:color="000000" w:fill="CCFFFF"/>
            <w:noWrap/>
            <w:vAlign w:val="bottom"/>
            <w:hideMark/>
          </w:tcPr>
          <w:p w14:paraId="4F3A1205" w14:textId="77777777" w:rsidR="003677EC" w:rsidRDefault="003677EC" w:rsidP="003677EC">
            <w:pPr>
              <w:jc w:val="right"/>
              <w:rPr>
                <w:sz w:val="18"/>
                <w:szCs w:val="18"/>
              </w:rPr>
            </w:pPr>
            <w:r>
              <w:rPr>
                <w:sz w:val="18"/>
                <w:szCs w:val="18"/>
              </w:rPr>
              <w:t xml:space="preserve">       1.128.527,30    </w:t>
            </w:r>
          </w:p>
        </w:tc>
        <w:tc>
          <w:tcPr>
            <w:tcW w:w="711" w:type="dxa"/>
            <w:tcBorders>
              <w:top w:val="nil"/>
              <w:left w:val="nil"/>
              <w:bottom w:val="nil"/>
              <w:right w:val="nil"/>
            </w:tcBorders>
            <w:shd w:val="clear" w:color="000000" w:fill="CCFFFF"/>
            <w:noWrap/>
            <w:vAlign w:val="bottom"/>
            <w:hideMark/>
          </w:tcPr>
          <w:p w14:paraId="01D22D66" w14:textId="77777777" w:rsidR="003677EC" w:rsidRDefault="003677EC">
            <w:pPr>
              <w:jc w:val="right"/>
              <w:rPr>
                <w:sz w:val="18"/>
                <w:szCs w:val="18"/>
              </w:rPr>
            </w:pPr>
            <w:r>
              <w:rPr>
                <w:sz w:val="18"/>
                <w:szCs w:val="18"/>
              </w:rPr>
              <w:t>2,97</w:t>
            </w:r>
          </w:p>
        </w:tc>
        <w:tc>
          <w:tcPr>
            <w:tcW w:w="926" w:type="dxa"/>
            <w:tcBorders>
              <w:top w:val="nil"/>
              <w:left w:val="nil"/>
              <w:bottom w:val="nil"/>
              <w:right w:val="nil"/>
            </w:tcBorders>
            <w:shd w:val="clear" w:color="000000" w:fill="CCFFFF"/>
            <w:noWrap/>
            <w:vAlign w:val="bottom"/>
            <w:hideMark/>
          </w:tcPr>
          <w:p w14:paraId="772464E3" w14:textId="77777777" w:rsidR="003677EC" w:rsidRDefault="003677EC">
            <w:pPr>
              <w:jc w:val="right"/>
              <w:rPr>
                <w:sz w:val="18"/>
                <w:szCs w:val="18"/>
              </w:rPr>
            </w:pPr>
            <w:r>
              <w:rPr>
                <w:sz w:val="18"/>
                <w:szCs w:val="18"/>
              </w:rPr>
              <w:t>54</w:t>
            </w:r>
          </w:p>
        </w:tc>
        <w:tc>
          <w:tcPr>
            <w:tcW w:w="960" w:type="dxa"/>
            <w:tcBorders>
              <w:top w:val="nil"/>
              <w:left w:val="nil"/>
              <w:bottom w:val="nil"/>
              <w:right w:val="nil"/>
            </w:tcBorders>
            <w:shd w:val="clear" w:color="000000" w:fill="CCFFFF"/>
            <w:noWrap/>
            <w:vAlign w:val="bottom"/>
            <w:hideMark/>
          </w:tcPr>
          <w:p w14:paraId="4A3F5991" w14:textId="77777777" w:rsidR="003677EC" w:rsidRDefault="003677EC">
            <w:pPr>
              <w:jc w:val="right"/>
              <w:rPr>
                <w:sz w:val="18"/>
                <w:szCs w:val="18"/>
              </w:rPr>
            </w:pPr>
            <w:r>
              <w:rPr>
                <w:sz w:val="18"/>
                <w:szCs w:val="18"/>
              </w:rPr>
              <w:t>100</w:t>
            </w:r>
          </w:p>
        </w:tc>
      </w:tr>
      <w:tr w:rsidR="003677EC" w14:paraId="31F0335E" w14:textId="77777777" w:rsidTr="003677EC">
        <w:trPr>
          <w:trHeight w:val="240"/>
        </w:trPr>
        <w:tc>
          <w:tcPr>
            <w:tcW w:w="621" w:type="dxa"/>
            <w:tcBorders>
              <w:top w:val="single" w:sz="4" w:space="0" w:color="auto"/>
              <w:left w:val="nil"/>
              <w:bottom w:val="single" w:sz="4" w:space="0" w:color="auto"/>
              <w:right w:val="nil"/>
            </w:tcBorders>
            <w:shd w:val="clear" w:color="auto" w:fill="auto"/>
            <w:noWrap/>
            <w:vAlign w:val="bottom"/>
            <w:hideMark/>
          </w:tcPr>
          <w:p w14:paraId="135BD920" w14:textId="77777777" w:rsidR="003677EC" w:rsidRDefault="003677EC">
            <w:pPr>
              <w:rPr>
                <w:b/>
                <w:bCs/>
                <w:sz w:val="18"/>
                <w:szCs w:val="18"/>
              </w:rPr>
            </w:pPr>
            <w:r>
              <w:rPr>
                <w:b/>
                <w:bCs/>
                <w:sz w:val="18"/>
                <w:szCs w:val="18"/>
              </w:rPr>
              <w:t> </w:t>
            </w:r>
          </w:p>
        </w:tc>
        <w:tc>
          <w:tcPr>
            <w:tcW w:w="2498" w:type="dxa"/>
            <w:tcBorders>
              <w:top w:val="single" w:sz="4" w:space="0" w:color="auto"/>
              <w:left w:val="nil"/>
              <w:bottom w:val="single" w:sz="4" w:space="0" w:color="auto"/>
              <w:right w:val="nil"/>
            </w:tcBorders>
            <w:shd w:val="clear" w:color="auto" w:fill="auto"/>
            <w:vAlign w:val="bottom"/>
            <w:hideMark/>
          </w:tcPr>
          <w:p w14:paraId="45A54DCF" w14:textId="77777777" w:rsidR="003677EC" w:rsidRDefault="003677EC">
            <w:pPr>
              <w:rPr>
                <w:b/>
                <w:bCs/>
                <w:sz w:val="18"/>
                <w:szCs w:val="18"/>
              </w:rPr>
            </w:pPr>
            <w:r>
              <w:rPr>
                <w:b/>
                <w:bCs/>
                <w:sz w:val="18"/>
                <w:szCs w:val="18"/>
              </w:rPr>
              <w:t>UKUPNI RASHODI I IZDACI</w:t>
            </w:r>
          </w:p>
        </w:tc>
        <w:tc>
          <w:tcPr>
            <w:tcW w:w="1417" w:type="dxa"/>
            <w:tcBorders>
              <w:top w:val="single" w:sz="4" w:space="0" w:color="auto"/>
              <w:left w:val="nil"/>
              <w:bottom w:val="single" w:sz="4" w:space="0" w:color="auto"/>
              <w:right w:val="nil"/>
            </w:tcBorders>
            <w:shd w:val="clear" w:color="auto" w:fill="auto"/>
            <w:noWrap/>
            <w:vAlign w:val="bottom"/>
            <w:hideMark/>
          </w:tcPr>
          <w:p w14:paraId="71A6C5FA" w14:textId="77777777" w:rsidR="003677EC" w:rsidRDefault="003677EC" w:rsidP="003677EC">
            <w:pPr>
              <w:jc w:val="right"/>
              <w:rPr>
                <w:b/>
                <w:bCs/>
                <w:sz w:val="18"/>
                <w:szCs w:val="18"/>
              </w:rPr>
            </w:pPr>
            <w:r>
              <w:rPr>
                <w:b/>
                <w:bCs/>
                <w:sz w:val="18"/>
                <w:szCs w:val="18"/>
              </w:rPr>
              <w:t xml:space="preserve">     38.101.442,40    </w:t>
            </w:r>
          </w:p>
        </w:tc>
        <w:tc>
          <w:tcPr>
            <w:tcW w:w="1276" w:type="dxa"/>
            <w:tcBorders>
              <w:top w:val="single" w:sz="4" w:space="0" w:color="auto"/>
              <w:left w:val="nil"/>
              <w:bottom w:val="single" w:sz="4" w:space="0" w:color="auto"/>
              <w:right w:val="nil"/>
            </w:tcBorders>
            <w:shd w:val="clear" w:color="auto" w:fill="auto"/>
            <w:noWrap/>
            <w:vAlign w:val="bottom"/>
            <w:hideMark/>
          </w:tcPr>
          <w:p w14:paraId="26060879" w14:textId="77777777" w:rsidR="003677EC" w:rsidRDefault="003677EC" w:rsidP="003677EC">
            <w:pPr>
              <w:jc w:val="right"/>
              <w:rPr>
                <w:b/>
                <w:bCs/>
                <w:sz w:val="18"/>
                <w:szCs w:val="18"/>
              </w:rPr>
            </w:pPr>
            <w:r>
              <w:rPr>
                <w:b/>
                <w:bCs/>
                <w:sz w:val="18"/>
                <w:szCs w:val="18"/>
              </w:rPr>
              <w:t xml:space="preserve">     41.135.987,25    </w:t>
            </w:r>
          </w:p>
        </w:tc>
        <w:tc>
          <w:tcPr>
            <w:tcW w:w="1251" w:type="dxa"/>
            <w:tcBorders>
              <w:top w:val="single" w:sz="4" w:space="0" w:color="auto"/>
              <w:left w:val="nil"/>
              <w:bottom w:val="single" w:sz="4" w:space="0" w:color="auto"/>
              <w:right w:val="nil"/>
            </w:tcBorders>
            <w:shd w:val="clear" w:color="auto" w:fill="auto"/>
            <w:noWrap/>
            <w:vAlign w:val="bottom"/>
            <w:hideMark/>
          </w:tcPr>
          <w:p w14:paraId="507FDF26" w14:textId="77777777" w:rsidR="003677EC" w:rsidRDefault="003677EC" w:rsidP="003677EC">
            <w:pPr>
              <w:jc w:val="right"/>
              <w:rPr>
                <w:b/>
                <w:bCs/>
                <w:sz w:val="18"/>
                <w:szCs w:val="18"/>
              </w:rPr>
            </w:pPr>
            <w:r>
              <w:rPr>
                <w:b/>
                <w:bCs/>
                <w:sz w:val="18"/>
                <w:szCs w:val="18"/>
              </w:rPr>
              <w:t xml:space="preserve">     38.178.828,10    </w:t>
            </w:r>
          </w:p>
        </w:tc>
        <w:tc>
          <w:tcPr>
            <w:tcW w:w="711" w:type="dxa"/>
            <w:tcBorders>
              <w:top w:val="single" w:sz="4" w:space="0" w:color="auto"/>
              <w:left w:val="nil"/>
              <w:bottom w:val="single" w:sz="4" w:space="0" w:color="auto"/>
              <w:right w:val="nil"/>
            </w:tcBorders>
            <w:shd w:val="clear" w:color="auto" w:fill="auto"/>
            <w:noWrap/>
            <w:vAlign w:val="bottom"/>
            <w:hideMark/>
          </w:tcPr>
          <w:p w14:paraId="54A0A2CC" w14:textId="77777777" w:rsidR="003677EC" w:rsidRDefault="003677EC">
            <w:pPr>
              <w:jc w:val="right"/>
              <w:rPr>
                <w:b/>
                <w:bCs/>
                <w:sz w:val="18"/>
                <w:szCs w:val="18"/>
              </w:rPr>
            </w:pPr>
            <w:r>
              <w:rPr>
                <w:b/>
                <w:bCs/>
                <w:sz w:val="18"/>
                <w:szCs w:val="18"/>
              </w:rPr>
              <w:t>100,00</w:t>
            </w:r>
          </w:p>
        </w:tc>
        <w:tc>
          <w:tcPr>
            <w:tcW w:w="926" w:type="dxa"/>
            <w:tcBorders>
              <w:top w:val="single" w:sz="4" w:space="0" w:color="auto"/>
              <w:left w:val="nil"/>
              <w:bottom w:val="single" w:sz="4" w:space="0" w:color="auto"/>
              <w:right w:val="nil"/>
            </w:tcBorders>
            <w:shd w:val="clear" w:color="auto" w:fill="auto"/>
            <w:noWrap/>
            <w:vAlign w:val="bottom"/>
            <w:hideMark/>
          </w:tcPr>
          <w:p w14:paraId="31925ED3" w14:textId="77777777" w:rsidR="003677EC" w:rsidRDefault="003677EC">
            <w:pPr>
              <w:jc w:val="right"/>
              <w:rPr>
                <w:b/>
                <w:bCs/>
                <w:sz w:val="18"/>
                <w:szCs w:val="18"/>
              </w:rPr>
            </w:pPr>
            <w:r>
              <w:rPr>
                <w:b/>
                <w:bCs/>
                <w:sz w:val="18"/>
                <w:szCs w:val="18"/>
              </w:rPr>
              <w:t>100</w:t>
            </w:r>
          </w:p>
        </w:tc>
        <w:tc>
          <w:tcPr>
            <w:tcW w:w="960" w:type="dxa"/>
            <w:tcBorders>
              <w:top w:val="single" w:sz="4" w:space="0" w:color="auto"/>
              <w:left w:val="nil"/>
              <w:bottom w:val="single" w:sz="4" w:space="0" w:color="auto"/>
              <w:right w:val="nil"/>
            </w:tcBorders>
            <w:shd w:val="clear" w:color="auto" w:fill="auto"/>
            <w:noWrap/>
            <w:vAlign w:val="bottom"/>
            <w:hideMark/>
          </w:tcPr>
          <w:p w14:paraId="574CA203" w14:textId="77777777" w:rsidR="003677EC" w:rsidRDefault="003677EC">
            <w:pPr>
              <w:jc w:val="right"/>
              <w:rPr>
                <w:b/>
                <w:bCs/>
                <w:sz w:val="18"/>
                <w:szCs w:val="18"/>
              </w:rPr>
            </w:pPr>
            <w:r>
              <w:rPr>
                <w:b/>
                <w:bCs/>
                <w:sz w:val="18"/>
                <w:szCs w:val="18"/>
              </w:rPr>
              <w:t>93</w:t>
            </w:r>
          </w:p>
        </w:tc>
      </w:tr>
    </w:tbl>
    <w:p w14:paraId="6BEC82C0" w14:textId="77777777" w:rsidR="003677EC" w:rsidRDefault="003677EC" w:rsidP="005712E4">
      <w:pPr>
        <w:ind w:right="70"/>
      </w:pPr>
    </w:p>
    <w:p w14:paraId="2D811F37" w14:textId="4A304717" w:rsidR="001415AB" w:rsidRPr="00E80A17" w:rsidRDefault="005712E4" w:rsidP="0076416E">
      <w:pPr>
        <w:ind w:firstLine="708"/>
      </w:pPr>
      <w:r w:rsidRPr="00E80A17">
        <w:t xml:space="preserve">Ukupni rashodi i izdaci u </w:t>
      </w:r>
      <w:r w:rsidR="00692039">
        <w:t>2</w:t>
      </w:r>
      <w:r w:rsidRPr="00E80A17">
        <w:t>0</w:t>
      </w:r>
      <w:r w:rsidR="001F6909">
        <w:t>2</w:t>
      </w:r>
      <w:r w:rsidR="00B26B34">
        <w:t>2</w:t>
      </w:r>
      <w:r w:rsidRPr="00E80A17">
        <w:t>. godin</w:t>
      </w:r>
      <w:r w:rsidR="003677EC">
        <w:t>i</w:t>
      </w:r>
      <w:r w:rsidRPr="00E80A17">
        <w:t xml:space="preserve"> </w:t>
      </w:r>
      <w:r w:rsidR="00B75BFC" w:rsidRPr="00E80A17">
        <w:t xml:space="preserve">ostvareni su u </w:t>
      </w:r>
      <w:r w:rsidR="00B4643A" w:rsidRPr="00E80A17">
        <w:t xml:space="preserve">iznosu od </w:t>
      </w:r>
      <w:r w:rsidR="003677EC">
        <w:t>38.178.828,10</w:t>
      </w:r>
      <w:r w:rsidR="00B4643A" w:rsidRPr="00E80A17">
        <w:t xml:space="preserve"> kuna</w:t>
      </w:r>
      <w:r w:rsidR="00B75BFC" w:rsidRPr="00E80A17">
        <w:t xml:space="preserve"> ili </w:t>
      </w:r>
      <w:r w:rsidR="003677EC">
        <w:t>7</w:t>
      </w:r>
      <w:r w:rsidR="00B75BFC" w:rsidRPr="00E80A17">
        <w:t xml:space="preserve">% </w:t>
      </w:r>
      <w:r w:rsidR="00692039">
        <w:t xml:space="preserve">manje </w:t>
      </w:r>
      <w:r w:rsidR="00B75BFC" w:rsidRPr="00E80A17">
        <w:t>od plan</w:t>
      </w:r>
      <w:r w:rsidR="00CB0A0E" w:rsidRPr="00E80A17">
        <w:t>a</w:t>
      </w:r>
      <w:r w:rsidR="00B75BFC" w:rsidRPr="00E80A17">
        <w:t>.</w:t>
      </w:r>
      <w:r w:rsidRPr="00E80A17">
        <w:t xml:space="preserve"> U odnosu na 20</w:t>
      </w:r>
      <w:r w:rsidR="007052CE">
        <w:t>2</w:t>
      </w:r>
      <w:r w:rsidR="00B26B34">
        <w:t>1</w:t>
      </w:r>
      <w:r w:rsidRPr="00E80A17">
        <w:t>. godin</w:t>
      </w:r>
      <w:r w:rsidR="003677EC">
        <w:t>u</w:t>
      </w:r>
      <w:r w:rsidRPr="00E80A17">
        <w:t>,</w:t>
      </w:r>
      <w:r w:rsidR="00B80437" w:rsidRPr="00E80A17">
        <w:t xml:space="preserve"> ostvareni</w:t>
      </w:r>
      <w:r w:rsidRPr="00E80A17">
        <w:t xml:space="preserve"> rashodi i izdaci </w:t>
      </w:r>
      <w:r w:rsidR="003677EC">
        <w:t>su gotovo jednaki.</w:t>
      </w:r>
      <w:r w:rsidRPr="00E80A17">
        <w:t xml:space="preserve"> </w:t>
      </w:r>
    </w:p>
    <w:p w14:paraId="3DCCB247" w14:textId="2E088D22" w:rsidR="005712E4" w:rsidRPr="00E80A17" w:rsidRDefault="005712E4" w:rsidP="00396949">
      <w:pPr>
        <w:ind w:firstLine="708"/>
      </w:pPr>
      <w:r w:rsidRPr="00E80A17">
        <w:t>U strukturi</w:t>
      </w:r>
      <w:r w:rsidR="00B80437" w:rsidRPr="00E80A17">
        <w:t xml:space="preserve"> realiziranih</w:t>
      </w:r>
      <w:r w:rsidRPr="00E80A17">
        <w:t xml:space="preserve"> rashoda </w:t>
      </w:r>
      <w:r w:rsidR="00B80437" w:rsidRPr="00E80A17">
        <w:t xml:space="preserve">i izdataka </w:t>
      </w:r>
      <w:r w:rsidRPr="00E80A17">
        <w:t xml:space="preserve">prevladavaju rashodi poslovanja s udjelom od </w:t>
      </w:r>
      <w:r w:rsidR="003677EC">
        <w:t>78,69</w:t>
      </w:r>
      <w:r w:rsidRPr="00E80A17">
        <w:t xml:space="preserve">%, slijede rashodi za nabavu nefinancijske imovine koji imaju udjel od </w:t>
      </w:r>
      <w:r w:rsidR="003677EC">
        <w:t>18,11</w:t>
      </w:r>
      <w:r w:rsidRPr="00E80A17">
        <w:t xml:space="preserve">% te izdaci za financijsku imovinu i otplate kredita s udjelom od </w:t>
      </w:r>
      <w:r w:rsidR="003677EC">
        <w:t>3,20</w:t>
      </w:r>
      <w:r w:rsidRPr="00E80A17">
        <w:t xml:space="preserve">% </w:t>
      </w:r>
      <w:r w:rsidR="00277F78">
        <w:t xml:space="preserve">u </w:t>
      </w:r>
      <w:r w:rsidRPr="00E80A17">
        <w:t>ukupni</w:t>
      </w:r>
      <w:r w:rsidR="00277F78">
        <w:t>m</w:t>
      </w:r>
      <w:r w:rsidRPr="00E80A17">
        <w:t xml:space="preserve"> rashod</w:t>
      </w:r>
      <w:r w:rsidR="00277F78">
        <w:t>ima</w:t>
      </w:r>
      <w:r w:rsidRPr="00E80A17">
        <w:t xml:space="preserve"> i izda</w:t>
      </w:r>
      <w:r w:rsidR="00277F78">
        <w:t>cima</w:t>
      </w:r>
      <w:r w:rsidRPr="00E80A17">
        <w:t xml:space="preserve">. </w:t>
      </w:r>
    </w:p>
    <w:p w14:paraId="70E02BAD" w14:textId="77777777" w:rsidR="005712E4" w:rsidRPr="004A4EC9" w:rsidRDefault="005712E4" w:rsidP="005712E4"/>
    <w:p w14:paraId="62F87C8A" w14:textId="5E6591BE" w:rsidR="005712E4" w:rsidRPr="004A4EC9" w:rsidRDefault="005712E4" w:rsidP="005712E4">
      <w:r w:rsidRPr="004A4EC9">
        <w:t xml:space="preserve">1. Rashodi poslovanja ostvareni su u ukupnom iznosu od </w:t>
      </w:r>
      <w:r w:rsidR="003677EC">
        <w:t>30.046.726,27</w:t>
      </w:r>
      <w:r w:rsidRPr="004A4EC9">
        <w:t xml:space="preserve"> kuna ili </w:t>
      </w:r>
      <w:r w:rsidR="003677EC">
        <w:t>92</w:t>
      </w:r>
      <w:r w:rsidRPr="004A4EC9">
        <w:t xml:space="preserve">% </w:t>
      </w:r>
      <w:r w:rsidR="00B75BFC" w:rsidRPr="004A4EC9">
        <w:t xml:space="preserve">od </w:t>
      </w:r>
      <w:r w:rsidR="00B26B34" w:rsidRPr="004A4EC9">
        <w:t xml:space="preserve"> plana</w:t>
      </w:r>
      <w:r w:rsidR="007052CE" w:rsidRPr="004A4EC9">
        <w:t xml:space="preserve"> i </w:t>
      </w:r>
      <w:r w:rsidR="001A424C" w:rsidRPr="004A4EC9">
        <w:t>1</w:t>
      </w:r>
      <w:r w:rsidR="00B26B34" w:rsidRPr="004A4EC9">
        <w:t>5</w:t>
      </w:r>
      <w:r w:rsidR="007052CE" w:rsidRPr="004A4EC9">
        <w:t>% više u odnosu na prethodn</w:t>
      </w:r>
      <w:r w:rsidR="003677EC">
        <w:t>u</w:t>
      </w:r>
      <w:r w:rsidR="007052CE" w:rsidRPr="004A4EC9">
        <w:t xml:space="preserve"> godin</w:t>
      </w:r>
      <w:r w:rsidR="003677EC">
        <w:t>u</w:t>
      </w:r>
      <w:r w:rsidRPr="004A4EC9">
        <w:t>.</w:t>
      </w:r>
    </w:p>
    <w:p w14:paraId="71CE9B2A" w14:textId="77777777" w:rsidR="005712E4" w:rsidRPr="004A4EC9" w:rsidRDefault="005712E4" w:rsidP="005712E4"/>
    <w:p w14:paraId="1E237CB7" w14:textId="545E9597" w:rsidR="005712E4" w:rsidRPr="004A4EC9" w:rsidRDefault="005712E4" w:rsidP="005712E4">
      <w:pPr>
        <w:ind w:left="708"/>
      </w:pPr>
      <w:r w:rsidRPr="004A4EC9">
        <w:t xml:space="preserve">1.1. Rashodi za zaposlene ostvareni su u </w:t>
      </w:r>
      <w:r w:rsidR="00084BAD" w:rsidRPr="004A4EC9">
        <w:t xml:space="preserve">ukupnom </w:t>
      </w:r>
      <w:r w:rsidRPr="004A4EC9">
        <w:t xml:space="preserve">iznosu od </w:t>
      </w:r>
      <w:r w:rsidR="00463717">
        <w:t>8.937.007,16</w:t>
      </w:r>
      <w:r w:rsidR="001F6909" w:rsidRPr="004A4EC9">
        <w:t xml:space="preserve"> </w:t>
      </w:r>
      <w:r w:rsidRPr="004A4EC9">
        <w:t xml:space="preserve">kuna ili </w:t>
      </w:r>
      <w:r w:rsidR="00463717">
        <w:t>97</w:t>
      </w:r>
      <w:r w:rsidRPr="004A4EC9">
        <w:t>% od plana</w:t>
      </w:r>
      <w:r w:rsidR="007052CE" w:rsidRPr="004A4EC9">
        <w:t xml:space="preserve"> i </w:t>
      </w:r>
      <w:r w:rsidR="00463717">
        <w:t>6</w:t>
      </w:r>
      <w:r w:rsidR="007052CE" w:rsidRPr="004A4EC9">
        <w:t>% više u odnosu na prethodn</w:t>
      </w:r>
      <w:r w:rsidR="00463717">
        <w:t>u</w:t>
      </w:r>
      <w:r w:rsidR="007052CE" w:rsidRPr="004A4EC9">
        <w:t xml:space="preserve"> godin</w:t>
      </w:r>
      <w:r w:rsidR="00463717">
        <w:t>u</w:t>
      </w:r>
      <w:r w:rsidR="001F6909" w:rsidRPr="004A4EC9">
        <w:t>.</w:t>
      </w:r>
      <w:r w:rsidR="007052CE" w:rsidRPr="004A4EC9">
        <w:t xml:space="preserve"> </w:t>
      </w:r>
    </w:p>
    <w:p w14:paraId="52744608" w14:textId="02F141C0" w:rsidR="005712E4" w:rsidRPr="004A4EC9" w:rsidRDefault="005712E4" w:rsidP="004B6F99">
      <w:pPr>
        <w:ind w:left="708" w:firstLine="708"/>
      </w:pPr>
      <w:r w:rsidRPr="004A4EC9">
        <w:t xml:space="preserve">Rashodi za zaposlene u Gradskoj upravi ostvareni su u iznosu od </w:t>
      </w:r>
      <w:r w:rsidR="00AC1685">
        <w:t>3.292.866,21</w:t>
      </w:r>
      <w:r w:rsidR="00EB7504" w:rsidRPr="004A4EC9">
        <w:t xml:space="preserve"> </w:t>
      </w:r>
      <w:r w:rsidRPr="004A4EC9">
        <w:t xml:space="preserve">kuna, dok su rashodi za zaposlene kod proračunskih korisnika izvršeni u iznosu od </w:t>
      </w:r>
      <w:r w:rsidR="00AC1685">
        <w:lastRenderedPageBreak/>
        <w:t>5.644.140,95</w:t>
      </w:r>
      <w:r w:rsidRPr="004A4EC9">
        <w:t xml:space="preserve"> kuna. </w:t>
      </w:r>
      <w:r w:rsidR="00494238" w:rsidRPr="004A4EC9">
        <w:t>Prosječan b</w:t>
      </w:r>
      <w:r w:rsidR="004F0160" w:rsidRPr="004A4EC9">
        <w:t xml:space="preserve">roj zaposlenih </w:t>
      </w:r>
      <w:r w:rsidR="00392924" w:rsidRPr="004A4EC9">
        <w:t xml:space="preserve">u </w:t>
      </w:r>
      <w:r w:rsidR="004F0160" w:rsidRPr="004A4EC9">
        <w:t xml:space="preserve">Gradskoj upravi </w:t>
      </w:r>
      <w:r w:rsidR="00494238" w:rsidRPr="004A4EC9">
        <w:t>bio</w:t>
      </w:r>
      <w:r w:rsidR="004F0160" w:rsidRPr="004A4EC9">
        <w:t xml:space="preserve"> je 1</w:t>
      </w:r>
      <w:r w:rsidR="00AC1685">
        <w:t>8</w:t>
      </w:r>
      <w:r w:rsidR="004F0160" w:rsidRPr="004A4EC9">
        <w:t xml:space="preserve"> zaposlenih, dok je kod proračunskih korisnika </w:t>
      </w:r>
      <w:r w:rsidR="009578AB" w:rsidRPr="004A4EC9">
        <w:t xml:space="preserve">ukupan </w:t>
      </w:r>
      <w:r w:rsidR="00494238" w:rsidRPr="004A4EC9">
        <w:t xml:space="preserve">prosječan </w:t>
      </w:r>
      <w:r w:rsidR="004F0160" w:rsidRPr="004A4EC9">
        <w:t xml:space="preserve">broj zaposlenih </w:t>
      </w:r>
      <w:r w:rsidR="00494238" w:rsidRPr="004A4EC9">
        <w:t xml:space="preserve">bio </w:t>
      </w:r>
      <w:r w:rsidR="00392924" w:rsidRPr="004A4EC9">
        <w:t>5</w:t>
      </w:r>
      <w:r w:rsidR="00AC1685">
        <w:t>2</w:t>
      </w:r>
      <w:r w:rsidR="004F0160" w:rsidRPr="004A4EC9">
        <w:t>.</w:t>
      </w:r>
    </w:p>
    <w:p w14:paraId="51AF7AAB" w14:textId="77777777" w:rsidR="00084BAD" w:rsidRPr="004A4EC9" w:rsidRDefault="00084BAD" w:rsidP="005712E4">
      <w:pPr>
        <w:ind w:left="708"/>
        <w:rPr>
          <w:sz w:val="20"/>
          <w:szCs w:val="20"/>
        </w:rPr>
      </w:pPr>
    </w:p>
    <w:p w14:paraId="5401E330" w14:textId="3C55C399" w:rsidR="005712E4" w:rsidRPr="004A4EC9" w:rsidRDefault="005712E4" w:rsidP="005712E4">
      <w:pPr>
        <w:ind w:left="708"/>
      </w:pPr>
      <w:r w:rsidRPr="004A4EC9">
        <w:t xml:space="preserve">1.2. Materijalni rashodi ostvareni su u iznosu od </w:t>
      </w:r>
      <w:r w:rsidR="00AC1685">
        <w:t>15.049.798,37</w:t>
      </w:r>
      <w:r w:rsidRPr="004A4EC9">
        <w:t xml:space="preserve"> kuna ili </w:t>
      </w:r>
      <w:r w:rsidR="00AC1685">
        <w:t>94</w:t>
      </w:r>
      <w:r w:rsidRPr="004A4EC9">
        <w:t xml:space="preserve">% od </w:t>
      </w:r>
      <w:r w:rsidR="008925E3" w:rsidRPr="004A4EC9">
        <w:t>p</w:t>
      </w:r>
      <w:r w:rsidRPr="004A4EC9">
        <w:t xml:space="preserve">lana i </w:t>
      </w:r>
      <w:r w:rsidR="00AC1685">
        <w:t>26</w:t>
      </w:r>
      <w:r w:rsidR="00494238" w:rsidRPr="004A4EC9">
        <w:t xml:space="preserve">% </w:t>
      </w:r>
      <w:r w:rsidR="00CC12EA" w:rsidRPr="004A4EC9">
        <w:t>više</w:t>
      </w:r>
      <w:r w:rsidR="00494238" w:rsidRPr="004A4EC9">
        <w:t xml:space="preserve"> od </w:t>
      </w:r>
      <w:r w:rsidR="004F0160" w:rsidRPr="004A4EC9">
        <w:t>iznos</w:t>
      </w:r>
      <w:r w:rsidR="00494238" w:rsidRPr="004A4EC9">
        <w:t>a</w:t>
      </w:r>
      <w:r w:rsidR="004F0160" w:rsidRPr="004A4EC9">
        <w:t xml:space="preserve"> ostvareno</w:t>
      </w:r>
      <w:r w:rsidR="00494238" w:rsidRPr="004A4EC9">
        <w:t>g</w:t>
      </w:r>
      <w:r w:rsidR="004F0160" w:rsidRPr="004A4EC9">
        <w:t xml:space="preserve"> u prethodn</w:t>
      </w:r>
      <w:r w:rsidR="00AC1685">
        <w:t>oj</w:t>
      </w:r>
      <w:r w:rsidR="004F0160" w:rsidRPr="004A4EC9">
        <w:t xml:space="preserve"> godin</w:t>
      </w:r>
      <w:r w:rsidR="00AC1685">
        <w:t>i</w:t>
      </w:r>
      <w:r w:rsidR="004F0160" w:rsidRPr="004A4EC9">
        <w:t>.</w:t>
      </w:r>
    </w:p>
    <w:p w14:paraId="22A08921" w14:textId="0A792A9D" w:rsidR="005712E4" w:rsidRPr="004A4EC9" w:rsidRDefault="005712E4" w:rsidP="0076416E">
      <w:pPr>
        <w:ind w:left="708" w:firstLine="708"/>
      </w:pPr>
      <w:r w:rsidRPr="004A4EC9">
        <w:t xml:space="preserve">U strukturi materijalnih rashoda najveći je udjel rashoda za usluge </w:t>
      </w:r>
      <w:r w:rsidR="00AC1685">
        <w:t>77,47</w:t>
      </w:r>
      <w:r w:rsidRPr="004A4EC9">
        <w:t xml:space="preserve">%, slijede rashodi za materijal i energiju </w:t>
      </w:r>
      <w:r w:rsidR="00AC1685">
        <w:t>13,59</w:t>
      </w:r>
      <w:r w:rsidRPr="004A4EC9">
        <w:t xml:space="preserve">%, ostali rashodi poslovanja </w:t>
      </w:r>
      <w:r w:rsidR="00AC1685">
        <w:t>5,58</w:t>
      </w:r>
      <w:r w:rsidRPr="004A4EC9">
        <w:t xml:space="preserve">%, naknade troškova zaposlenima sa </w:t>
      </w:r>
      <w:r w:rsidR="00AC1685">
        <w:t>3,33</w:t>
      </w:r>
      <w:r w:rsidRPr="004A4EC9">
        <w:t>% te naknade troškova</w:t>
      </w:r>
      <w:r w:rsidR="00494238" w:rsidRPr="004A4EC9">
        <w:t xml:space="preserve"> osobama izvan radnog odnosa 0,</w:t>
      </w:r>
      <w:r w:rsidR="00223518" w:rsidRPr="004A4EC9">
        <w:t>0</w:t>
      </w:r>
      <w:r w:rsidR="00AC1685">
        <w:t>3</w:t>
      </w:r>
      <w:r w:rsidRPr="004A4EC9">
        <w:t>%.</w:t>
      </w:r>
    </w:p>
    <w:p w14:paraId="03B98644" w14:textId="77777777" w:rsidR="005712E4" w:rsidRPr="004A4EC9" w:rsidRDefault="005712E4" w:rsidP="005712E4">
      <w:pPr>
        <w:ind w:left="708"/>
        <w:rPr>
          <w:sz w:val="20"/>
          <w:szCs w:val="20"/>
        </w:rPr>
      </w:pPr>
    </w:p>
    <w:p w14:paraId="7F6098EB" w14:textId="1BEF9EE5" w:rsidR="005712E4" w:rsidRPr="00E80A17" w:rsidRDefault="005712E4" w:rsidP="005712E4">
      <w:pPr>
        <w:ind w:left="1416"/>
      </w:pPr>
      <w:r w:rsidRPr="004A4EC9">
        <w:t xml:space="preserve">1.2.1. Naknade troškova zaposlenima ostvarene su u iznosu od </w:t>
      </w:r>
      <w:r w:rsidR="00AC1685">
        <w:t>500.596,82</w:t>
      </w:r>
      <w:r w:rsidRPr="004A4EC9">
        <w:t xml:space="preserve"> kuna ili </w:t>
      </w:r>
      <w:r w:rsidR="00AC1685">
        <w:t>91</w:t>
      </w:r>
      <w:r w:rsidRPr="004A4EC9">
        <w:t>% od plana</w:t>
      </w:r>
      <w:r w:rsidR="00B92D1E" w:rsidRPr="004A4EC9">
        <w:t xml:space="preserve"> i </w:t>
      </w:r>
      <w:r w:rsidR="00AC1685">
        <w:t>6</w:t>
      </w:r>
      <w:r w:rsidR="00B92D1E" w:rsidRPr="004A4EC9">
        <w:t xml:space="preserve">% više u odnosu na </w:t>
      </w:r>
      <w:r w:rsidR="0052692E" w:rsidRPr="004A4EC9">
        <w:t>usporedn</w:t>
      </w:r>
      <w:r w:rsidR="00AC1685">
        <w:t>u</w:t>
      </w:r>
      <w:r w:rsidR="0052692E" w:rsidRPr="004A4EC9">
        <w:t xml:space="preserve"> </w:t>
      </w:r>
      <w:r w:rsidR="00B92D1E">
        <w:t>202</w:t>
      </w:r>
      <w:r w:rsidR="0052692E">
        <w:t>1</w:t>
      </w:r>
      <w:r w:rsidR="00B92D1E">
        <w:t>. godin</w:t>
      </w:r>
      <w:r w:rsidR="00AC1685">
        <w:t>u</w:t>
      </w:r>
      <w:r w:rsidRPr="00E80A17">
        <w:t>, a radi se o naknadama troškova zaposlenima u upravi i kod proračunskih korisnika za troškove prijevoza na posao i s posla, troškova službenih putovanja, stručnog usavršavanja i ostal</w:t>
      </w:r>
      <w:r w:rsidR="006C588C">
        <w:t>ih</w:t>
      </w:r>
      <w:r w:rsidRPr="00E80A17">
        <w:t xml:space="preserve"> naknada troškova.</w:t>
      </w:r>
      <w:r w:rsidR="00224826">
        <w:t xml:space="preserve"> </w:t>
      </w:r>
      <w:r w:rsidR="00CC12EA">
        <w:t xml:space="preserve">U </w:t>
      </w:r>
      <w:r w:rsidR="004B6F99">
        <w:t>2022.</w:t>
      </w:r>
      <w:r w:rsidR="00AF0F54">
        <w:t xml:space="preserve"> godini došlo je do porasta cijena autobusnih karata, a pov</w:t>
      </w:r>
      <w:r w:rsidR="00983C11">
        <w:t>e</w:t>
      </w:r>
      <w:r w:rsidR="00AF0F54">
        <w:t>ćan je i broj djelatnika koji ostvaruju pravo na naknadu troškova prijevoza n</w:t>
      </w:r>
      <w:r w:rsidR="00224826">
        <w:t>a posao i s posla</w:t>
      </w:r>
      <w:r w:rsidR="00AF0F54">
        <w:t>. Slijedom bolje epidemiološke situacije povećani su i rashodi za službena putovanja kao i rashodi za stručno usavršavanje zaposlenika.</w:t>
      </w:r>
    </w:p>
    <w:p w14:paraId="37D774BF" w14:textId="77777777" w:rsidR="005712E4" w:rsidRPr="00E80A17" w:rsidRDefault="005712E4" w:rsidP="005712E4">
      <w:pPr>
        <w:ind w:left="1416"/>
      </w:pPr>
    </w:p>
    <w:p w14:paraId="3D644726" w14:textId="5F0C6824" w:rsidR="00021D4F" w:rsidRDefault="005712E4" w:rsidP="005712E4">
      <w:pPr>
        <w:ind w:left="1416"/>
      </w:pPr>
      <w:r w:rsidRPr="00E80A17">
        <w:t xml:space="preserve">1.2.2. Rashodi za materijal i energiju ostvareni su u iznosu od </w:t>
      </w:r>
      <w:r w:rsidR="00754101">
        <w:t>2.045.549,99</w:t>
      </w:r>
      <w:r w:rsidRPr="00E80A17">
        <w:t xml:space="preserve"> kuna ili </w:t>
      </w:r>
      <w:r w:rsidR="00754101">
        <w:t>91</w:t>
      </w:r>
      <w:r w:rsidRPr="00E80A17">
        <w:t xml:space="preserve">% </w:t>
      </w:r>
      <w:r w:rsidR="003A14C5" w:rsidRPr="00E80A17">
        <w:t xml:space="preserve">od </w:t>
      </w:r>
      <w:r w:rsidRPr="00E80A17">
        <w:t>plan</w:t>
      </w:r>
      <w:r w:rsidR="00494238" w:rsidRPr="00E80A17">
        <w:t>iranog</w:t>
      </w:r>
      <w:r w:rsidR="00AF0F54">
        <w:t xml:space="preserve"> za 2022. godinu</w:t>
      </w:r>
      <w:r w:rsidR="00181C38">
        <w:t>, a</w:t>
      </w:r>
      <w:r w:rsidR="00FD626C">
        <w:t xml:space="preserve"> </w:t>
      </w:r>
      <w:r w:rsidRPr="00E80A17">
        <w:t xml:space="preserve">od </w:t>
      </w:r>
      <w:r w:rsidR="007D0C94">
        <w:t>toga</w:t>
      </w:r>
      <w:r w:rsidRPr="00E80A17">
        <w:t xml:space="preserve"> </w:t>
      </w:r>
      <w:r w:rsidR="007D0C94">
        <w:t xml:space="preserve">se </w:t>
      </w:r>
      <w:r w:rsidRPr="00E80A17">
        <w:t xml:space="preserve">najveći dio odnosi na troškove energije </w:t>
      </w:r>
      <w:r w:rsidR="00754101">
        <w:t>1.158.363,62</w:t>
      </w:r>
      <w:r w:rsidRPr="00E80A17">
        <w:t xml:space="preserve"> kuna</w:t>
      </w:r>
      <w:r w:rsidR="006C588C">
        <w:t>.</w:t>
      </w:r>
      <w:r w:rsidRPr="00E80A17">
        <w:t xml:space="preserve"> </w:t>
      </w:r>
      <w:r w:rsidR="006C588C">
        <w:t>R</w:t>
      </w:r>
      <w:r w:rsidR="00E165D2">
        <w:t>azlik</w:t>
      </w:r>
      <w:r w:rsidR="006857D0">
        <w:t>u</w:t>
      </w:r>
      <w:r w:rsidRPr="00E80A17">
        <w:t xml:space="preserve"> ostvarenih rashoda </w:t>
      </w:r>
      <w:r w:rsidR="006857D0">
        <w:t>čine</w:t>
      </w:r>
      <w:r w:rsidRPr="00E80A17">
        <w:t xml:space="preserve"> namirnice u dječjim vrtićima, uredski materijal, stručn</w:t>
      </w:r>
      <w:r w:rsidR="006857D0">
        <w:t>a</w:t>
      </w:r>
      <w:r w:rsidRPr="00E80A17">
        <w:t xml:space="preserve"> literatur</w:t>
      </w:r>
      <w:r w:rsidR="006857D0">
        <w:t>a</w:t>
      </w:r>
      <w:r w:rsidRPr="00E80A17">
        <w:t>, radn</w:t>
      </w:r>
      <w:r w:rsidR="006857D0">
        <w:t>a</w:t>
      </w:r>
      <w:r w:rsidRPr="00E80A17">
        <w:t xml:space="preserve"> i zaštitn</w:t>
      </w:r>
      <w:r w:rsidR="006857D0">
        <w:t>a</w:t>
      </w:r>
      <w:r w:rsidRPr="00E80A17">
        <w:t xml:space="preserve"> odjeć</w:t>
      </w:r>
      <w:r w:rsidR="006857D0">
        <w:t>a</w:t>
      </w:r>
      <w:r w:rsidRPr="00E80A17">
        <w:t>, sitni inventar</w:t>
      </w:r>
      <w:r w:rsidR="00791061" w:rsidRPr="00E80A17">
        <w:t xml:space="preserve"> </w:t>
      </w:r>
      <w:r w:rsidRPr="00E80A17">
        <w:t>te ostali materijal za čišćenje</w:t>
      </w:r>
      <w:r w:rsidR="00B22237" w:rsidRPr="00E80A17">
        <w:t>,</w:t>
      </w:r>
      <w:r w:rsidRPr="00E80A17">
        <w:t xml:space="preserve"> održavanje</w:t>
      </w:r>
      <w:r w:rsidR="00B22237" w:rsidRPr="00E80A17">
        <w:t xml:space="preserve"> i higijenske potrebe</w:t>
      </w:r>
      <w:r w:rsidRPr="00E80A17">
        <w:t>.</w:t>
      </w:r>
      <w:r w:rsidR="000067DF">
        <w:t xml:space="preserve"> U odnosu na prethodn</w:t>
      </w:r>
      <w:r w:rsidR="00327C88">
        <w:t>u</w:t>
      </w:r>
      <w:r w:rsidR="000067DF">
        <w:t xml:space="preserve"> godin</w:t>
      </w:r>
      <w:r w:rsidR="00327C88">
        <w:t>u</w:t>
      </w:r>
      <w:r w:rsidR="000067DF">
        <w:t xml:space="preserve"> </w:t>
      </w:r>
      <w:r w:rsidR="00021D4F">
        <w:t xml:space="preserve">najviše su porasli </w:t>
      </w:r>
      <w:r w:rsidR="000067DF">
        <w:t xml:space="preserve">rashodi </w:t>
      </w:r>
      <w:r w:rsidR="00327C88">
        <w:t xml:space="preserve">za  energiju </w:t>
      </w:r>
      <w:r w:rsidR="00754101">
        <w:t xml:space="preserve">(46%) </w:t>
      </w:r>
      <w:r w:rsidR="00021D4F">
        <w:t xml:space="preserve">i namirnice </w:t>
      </w:r>
      <w:r w:rsidR="00754101">
        <w:t xml:space="preserve">(38%) </w:t>
      </w:r>
      <w:r w:rsidR="00021D4F">
        <w:t>radi visoke stope inflacije i značajnog porasta cijena. Provedeni projekti energetske obnove zgrada i javne rasvj</w:t>
      </w:r>
      <w:r w:rsidR="00983C11">
        <w:t>e</w:t>
      </w:r>
      <w:r w:rsidR="00021D4F">
        <w:t xml:space="preserve">te </w:t>
      </w:r>
      <w:r w:rsidR="00122967">
        <w:t xml:space="preserve">u prethodnom razdoblju </w:t>
      </w:r>
      <w:r w:rsidR="00754101">
        <w:t xml:space="preserve">zajedno s Vladinim mjerama ograničenja cijena </w:t>
      </w:r>
      <w:r w:rsidR="00021D4F">
        <w:t xml:space="preserve">uspjeli su djelomično amortizirati još i </w:t>
      </w:r>
      <w:r w:rsidR="006857D0">
        <w:t>veći</w:t>
      </w:r>
      <w:r w:rsidR="00021D4F">
        <w:t xml:space="preserve"> porast rashoda za energiju.</w:t>
      </w:r>
    </w:p>
    <w:p w14:paraId="120238C0" w14:textId="77777777" w:rsidR="005712E4" w:rsidRPr="00E80A17" w:rsidRDefault="005712E4" w:rsidP="005712E4">
      <w:pPr>
        <w:ind w:left="1416"/>
      </w:pPr>
    </w:p>
    <w:p w14:paraId="7A47DF75" w14:textId="7BC1B50C" w:rsidR="005712E4" w:rsidRPr="00E80A17" w:rsidRDefault="005712E4" w:rsidP="005712E4">
      <w:pPr>
        <w:ind w:left="1416"/>
      </w:pPr>
      <w:r w:rsidRPr="00E80A17">
        <w:t>1.2.3. Rashodi za usluge ostvareni su u iznosu od</w:t>
      </w:r>
      <w:r w:rsidR="00300323" w:rsidRPr="00E80A17">
        <w:t xml:space="preserve"> </w:t>
      </w:r>
      <w:r w:rsidR="00754101">
        <w:t>11.659.323,26</w:t>
      </w:r>
      <w:r w:rsidR="00B059D0">
        <w:t xml:space="preserve"> </w:t>
      </w:r>
      <w:r w:rsidRPr="00E80A17">
        <w:t xml:space="preserve">kuna ili </w:t>
      </w:r>
      <w:r w:rsidR="00754101">
        <w:t>96</w:t>
      </w:r>
      <w:r w:rsidRPr="00E80A17">
        <w:t>% od plana</w:t>
      </w:r>
      <w:r w:rsidR="00744142">
        <w:t xml:space="preserve"> i </w:t>
      </w:r>
      <w:r w:rsidR="00754101">
        <w:t>30</w:t>
      </w:r>
      <w:r w:rsidR="00744142">
        <w:t xml:space="preserve">% više u odnosu na </w:t>
      </w:r>
      <w:r w:rsidR="00754101">
        <w:t>p</w:t>
      </w:r>
      <w:r w:rsidR="00744142">
        <w:t>rethodn</w:t>
      </w:r>
      <w:r w:rsidR="00754101">
        <w:t>u</w:t>
      </w:r>
      <w:r w:rsidR="00744142">
        <w:t xml:space="preserve"> godin</w:t>
      </w:r>
      <w:r w:rsidR="00754101">
        <w:t>u</w:t>
      </w:r>
      <w:r w:rsidRPr="00E80A17">
        <w:t xml:space="preserve">, a odnose se na </w:t>
      </w:r>
      <w:r w:rsidR="004D6C83" w:rsidRPr="00E80A17">
        <w:t>usluge tekućeg i investicijskog održavanja (</w:t>
      </w:r>
      <w:r w:rsidR="002601E3">
        <w:t>5.064.341,60</w:t>
      </w:r>
      <w:r w:rsidR="004D6C83" w:rsidRPr="00E80A17">
        <w:t xml:space="preserve"> kuna), </w:t>
      </w:r>
      <w:r w:rsidR="00B059D0" w:rsidRPr="00E80A17">
        <w:t>komunalne usluge (</w:t>
      </w:r>
      <w:r w:rsidR="002601E3">
        <w:t>2.937.461,38</w:t>
      </w:r>
      <w:r w:rsidR="00B059D0" w:rsidRPr="00E80A17">
        <w:t xml:space="preserve"> kuna), </w:t>
      </w:r>
      <w:r w:rsidRPr="00E80A17">
        <w:t>intelektualne usluge (</w:t>
      </w:r>
      <w:r w:rsidR="002601E3">
        <w:t>1.435.573,67</w:t>
      </w:r>
      <w:r w:rsidRPr="00E80A17">
        <w:t xml:space="preserve"> kuna), usluge čišćenja (</w:t>
      </w:r>
      <w:r w:rsidR="002601E3">
        <w:t>623.418,77</w:t>
      </w:r>
      <w:r w:rsidRPr="00E80A17">
        <w:t xml:space="preserve"> kuna), </w:t>
      </w:r>
      <w:r w:rsidR="004D6C83" w:rsidRPr="00E80A17">
        <w:t>usluge promidžbe i informiranja (</w:t>
      </w:r>
      <w:r w:rsidR="008127F5">
        <w:t>349.495,93</w:t>
      </w:r>
      <w:r w:rsidR="004D6C83" w:rsidRPr="00E80A17">
        <w:t xml:space="preserve"> kuna), </w:t>
      </w:r>
      <w:r w:rsidRPr="00E80A17">
        <w:t>usluge telefona i pošte (</w:t>
      </w:r>
      <w:r w:rsidR="008127F5">
        <w:t>317.963,94</w:t>
      </w:r>
      <w:r w:rsidR="003554CB" w:rsidRPr="00E80A17">
        <w:t xml:space="preserve"> </w:t>
      </w:r>
      <w:r w:rsidRPr="00E80A17">
        <w:t xml:space="preserve">kuna), </w:t>
      </w:r>
      <w:r w:rsidR="00B059D0" w:rsidRPr="00E80A17">
        <w:t>zdravstvene i veterinarske usluge (</w:t>
      </w:r>
      <w:r w:rsidR="008127F5">
        <w:t>255.421,76</w:t>
      </w:r>
      <w:r w:rsidR="00311C3B">
        <w:t xml:space="preserve"> </w:t>
      </w:r>
      <w:r w:rsidR="00B059D0" w:rsidRPr="00E80A17">
        <w:t>kuna)</w:t>
      </w:r>
      <w:r w:rsidR="00B059D0">
        <w:t>,</w:t>
      </w:r>
      <w:r w:rsidR="00B059D0" w:rsidRPr="00E80A17">
        <w:t xml:space="preserve"> </w:t>
      </w:r>
      <w:r w:rsidRPr="00E80A17">
        <w:t>zakupnine i najamnine (</w:t>
      </w:r>
      <w:r w:rsidR="008127F5">
        <w:t>244.339,99</w:t>
      </w:r>
      <w:r w:rsidRPr="00E80A17">
        <w:t xml:space="preserve"> kuna), </w:t>
      </w:r>
      <w:r w:rsidR="008127F5" w:rsidRPr="00E80A17">
        <w:t>računalne usluge (</w:t>
      </w:r>
      <w:r w:rsidR="008127F5">
        <w:t>226.595,25</w:t>
      </w:r>
      <w:r w:rsidR="008127F5" w:rsidRPr="00E80A17">
        <w:t xml:space="preserve"> kuna)</w:t>
      </w:r>
      <w:r w:rsidR="008127F5">
        <w:t xml:space="preserve"> </w:t>
      </w:r>
      <w:r w:rsidRPr="00E80A17">
        <w:t>te ostale usluge (</w:t>
      </w:r>
      <w:r w:rsidR="008127F5">
        <w:t>204.710,97</w:t>
      </w:r>
      <w:r w:rsidRPr="00E80A17">
        <w:t xml:space="preserve"> kuna).</w:t>
      </w:r>
    </w:p>
    <w:p w14:paraId="1A46DE5B" w14:textId="7C959F30" w:rsidR="00BF2464" w:rsidRDefault="00FC7AC5" w:rsidP="0076416E">
      <w:pPr>
        <w:ind w:left="1416" w:firstLine="708"/>
      </w:pPr>
      <w:r w:rsidRPr="00FC7AC5">
        <w:t>U odnosu na prethod</w:t>
      </w:r>
      <w:r w:rsidR="00B940C7">
        <w:t>nu</w:t>
      </w:r>
      <w:r w:rsidRPr="00FC7AC5">
        <w:t xml:space="preserve"> godin</w:t>
      </w:r>
      <w:r w:rsidR="00B940C7">
        <w:t>u</w:t>
      </w:r>
      <w:r w:rsidRPr="00FC7AC5">
        <w:t xml:space="preserve"> najviše </w:t>
      </w:r>
      <w:r w:rsidR="00BF2464">
        <w:t xml:space="preserve">su </w:t>
      </w:r>
      <w:r w:rsidRPr="00FC7AC5">
        <w:t>porasli rashodi za usluge tekućeg i investicijskog održavanja</w:t>
      </w:r>
      <w:r w:rsidR="00BF2464">
        <w:t xml:space="preserve"> (nerazvrstane ceste, poljski i protupožarni putevi, prometna signalizacija i </w:t>
      </w:r>
      <w:r w:rsidR="00122967">
        <w:t xml:space="preserve">oprema za </w:t>
      </w:r>
      <w:r w:rsidR="00BF2464">
        <w:t xml:space="preserve">smirivanje prometa, javna rasvjeta, radovi na održavanju zgrade Pučkog otvorenog učilišta, radovi na održavanju groblja u naselju Krešete i radovi na održavanju sportske zone) </w:t>
      </w:r>
      <w:r w:rsidR="00122967">
        <w:t>te</w:t>
      </w:r>
      <w:r w:rsidR="00BF2464">
        <w:t xml:space="preserve"> rashodi za komunalne usluge (održavanje zelenih površina, park šuma i travnjaka nogometnog igrališta). Osim toga, povećani su i rashodi za intelektualne usluge vezano za izradu elaborata, studija i konzultantske usluge te rashodi za zdravstvene i veterinarske usluge radi većeg broja intervencija veterinarskih službi te službi dezinsekcije i deratizacije. U 2022. godini provedeni su i zdravstveni pregledi zaposlenika. Autorski honorari kao i rashodi za usluge zakupnina i najamnina povećani su radi organizacije lokalnih manifestacija </w:t>
      </w:r>
      <w:r w:rsidR="00BF2464">
        <w:lastRenderedPageBreak/>
        <w:t xml:space="preserve">koje su se </w:t>
      </w:r>
      <w:r w:rsidR="00D87DCF">
        <w:t>održale</w:t>
      </w:r>
      <w:r w:rsidR="001F1F18">
        <w:t xml:space="preserve"> s </w:t>
      </w:r>
      <w:r w:rsidR="00D87DCF">
        <w:t xml:space="preserve">bogatijim </w:t>
      </w:r>
      <w:r w:rsidR="001F1F18">
        <w:t xml:space="preserve">programima </w:t>
      </w:r>
      <w:r w:rsidR="00BF2464">
        <w:t>nakon ograničenja u razdoblju pandemije.</w:t>
      </w:r>
    </w:p>
    <w:p w14:paraId="72383CA3" w14:textId="0CAD9A9C" w:rsidR="00FC7AC5" w:rsidRPr="004A4EC9" w:rsidRDefault="00744142" w:rsidP="005712E4">
      <w:pPr>
        <w:ind w:left="1416"/>
      </w:pPr>
      <w:r>
        <w:t xml:space="preserve"> </w:t>
      </w:r>
    </w:p>
    <w:p w14:paraId="727B2841" w14:textId="7794FDF1" w:rsidR="005712E4" w:rsidRPr="004A4EC9" w:rsidRDefault="005712E4" w:rsidP="005712E4">
      <w:pPr>
        <w:ind w:left="1416"/>
      </w:pPr>
      <w:r w:rsidRPr="004A4EC9">
        <w:t xml:space="preserve">1.2.4. Naknade troškova osobama izvan radnog odnosa u </w:t>
      </w:r>
      <w:r w:rsidR="00051C5D">
        <w:t>2</w:t>
      </w:r>
      <w:r w:rsidRPr="004A4EC9">
        <w:t>0</w:t>
      </w:r>
      <w:r w:rsidR="00B059D0" w:rsidRPr="004A4EC9">
        <w:t>2</w:t>
      </w:r>
      <w:r w:rsidR="00744142" w:rsidRPr="004A4EC9">
        <w:t>2</w:t>
      </w:r>
      <w:r w:rsidRPr="004A4EC9">
        <w:t>. godin</w:t>
      </w:r>
      <w:r w:rsidR="00051C5D">
        <w:t>i</w:t>
      </w:r>
      <w:r w:rsidRPr="004A4EC9">
        <w:t xml:space="preserve"> ostvarene su kod proračunsk</w:t>
      </w:r>
      <w:r w:rsidR="003554CB" w:rsidRPr="004A4EC9">
        <w:t>ih</w:t>
      </w:r>
      <w:r w:rsidRPr="004A4EC9">
        <w:t xml:space="preserve"> korisnika u iznosu od </w:t>
      </w:r>
      <w:r w:rsidR="00051C5D">
        <w:t>4.269,00</w:t>
      </w:r>
      <w:r w:rsidRPr="004A4EC9">
        <w:t xml:space="preserve"> kuna</w:t>
      </w:r>
      <w:r w:rsidR="00F507BD" w:rsidRPr="004A4EC9">
        <w:t>.</w:t>
      </w:r>
    </w:p>
    <w:p w14:paraId="79C44D4E" w14:textId="77777777" w:rsidR="005712E4" w:rsidRPr="004A4EC9" w:rsidRDefault="005712E4" w:rsidP="005712E4">
      <w:pPr>
        <w:ind w:left="1416"/>
      </w:pPr>
    </w:p>
    <w:p w14:paraId="1598BC83" w14:textId="586B288D" w:rsidR="005670C9" w:rsidRPr="004A4EC9" w:rsidRDefault="005712E4" w:rsidP="001D1163">
      <w:pPr>
        <w:ind w:left="1416"/>
      </w:pPr>
      <w:r w:rsidRPr="004A4EC9">
        <w:t xml:space="preserve">1.2.5. Ostali nespomenuti rashodi poslovanja ostvareni su u iznosu od </w:t>
      </w:r>
      <w:r w:rsidR="00051C5D">
        <w:t>840.059,30</w:t>
      </w:r>
      <w:r w:rsidRPr="004A4EC9">
        <w:t xml:space="preserve"> kuna ili </w:t>
      </w:r>
      <w:r w:rsidR="00051C5D">
        <w:t>82</w:t>
      </w:r>
      <w:r w:rsidRPr="004A4EC9">
        <w:t>% od plana</w:t>
      </w:r>
      <w:r w:rsidR="007B5F12" w:rsidRPr="004A4EC9">
        <w:t xml:space="preserve"> i </w:t>
      </w:r>
      <w:r w:rsidR="00051C5D">
        <w:t>8</w:t>
      </w:r>
      <w:r w:rsidR="007B5F12" w:rsidRPr="004A4EC9">
        <w:t xml:space="preserve">% </w:t>
      </w:r>
      <w:r w:rsidR="005670C9" w:rsidRPr="004A4EC9">
        <w:t>manje</w:t>
      </w:r>
      <w:r w:rsidR="007B5F12" w:rsidRPr="004A4EC9">
        <w:t xml:space="preserve"> u odnosu na</w:t>
      </w:r>
      <w:r w:rsidR="005670C9" w:rsidRPr="004A4EC9">
        <w:t xml:space="preserve"> </w:t>
      </w:r>
      <w:r w:rsidR="007B5F12" w:rsidRPr="004A4EC9">
        <w:t>20</w:t>
      </w:r>
      <w:r w:rsidR="00810F7C" w:rsidRPr="004A4EC9">
        <w:t>2</w:t>
      </w:r>
      <w:r w:rsidR="005670C9" w:rsidRPr="004A4EC9">
        <w:t>1</w:t>
      </w:r>
      <w:r w:rsidR="007B5F12" w:rsidRPr="004A4EC9">
        <w:t>. godin</w:t>
      </w:r>
      <w:r w:rsidR="00051C5D">
        <w:t>u</w:t>
      </w:r>
      <w:r w:rsidRPr="004A4EC9">
        <w:t>, a odnose se na naknade za rad predstavničkih</w:t>
      </w:r>
      <w:r w:rsidR="007B5F12" w:rsidRPr="004A4EC9">
        <w:t>,</w:t>
      </w:r>
      <w:r w:rsidRPr="004A4EC9">
        <w:t xml:space="preserve"> radnih tijela</w:t>
      </w:r>
      <w:r w:rsidR="007B5F12" w:rsidRPr="004A4EC9">
        <w:t xml:space="preserve"> i povjerenstava</w:t>
      </w:r>
      <w:r w:rsidRPr="004A4EC9">
        <w:t xml:space="preserve">, rashode za premije osiguranja, reprezentaciju, članarine, </w:t>
      </w:r>
      <w:r w:rsidR="007B5F12" w:rsidRPr="004A4EC9">
        <w:t xml:space="preserve">troškove sudskih postupaka, </w:t>
      </w:r>
      <w:r w:rsidRPr="004A4EC9">
        <w:t>pristojbe i naknade te ostale rashode poslovanja.</w:t>
      </w:r>
      <w:r w:rsidR="007B5F12" w:rsidRPr="004A4EC9">
        <w:t xml:space="preserve"> </w:t>
      </w:r>
    </w:p>
    <w:p w14:paraId="7AD6A7BD" w14:textId="1308F6E4" w:rsidR="00F507BD" w:rsidRPr="004A4EC9" w:rsidRDefault="005670C9" w:rsidP="0076416E">
      <w:pPr>
        <w:ind w:left="1416" w:firstLine="708"/>
      </w:pPr>
      <w:r w:rsidRPr="004A4EC9">
        <w:t>Smanjeni su rashodi za rad predstavnič</w:t>
      </w:r>
      <w:r w:rsidR="00983C11" w:rsidRPr="004A4EC9">
        <w:t>k</w:t>
      </w:r>
      <w:r w:rsidRPr="004A4EC9">
        <w:t>ih i izvršnih tijela i povjerenstava jer su izvještajnom razdoblju prethodne godine isplaćene naknade članovima povjerenstava i biračkih odbora za lokalne izbore te članovima povjerenstava za provedbu natječaja za zakup i prodaju poljoprivrednog zemlj</w:t>
      </w:r>
      <w:r w:rsidR="00983C11" w:rsidRPr="004A4EC9">
        <w:t>iš</w:t>
      </w:r>
      <w:r w:rsidRPr="004A4EC9">
        <w:t xml:space="preserve">ta u vlasništvu RH. </w:t>
      </w:r>
      <w:r w:rsidR="00BF2464">
        <w:t xml:space="preserve">Osim toga, smanjeni su rashodi za premije osiguranja jer su u provedenom postupku objedinjene nabave višegodišnjih polica osiguranja postignute povoljnije cijene. Troškovi reprezentacije i ostali nespomenuti rashodi povećani su radi </w:t>
      </w:r>
      <w:r w:rsidR="001F1F18">
        <w:t>lokalnih manifestacija čije je održavanje u usporednoj 2021. godini bilo moguće u bitno smanjenom opsegu radi pandemije.</w:t>
      </w:r>
    </w:p>
    <w:p w14:paraId="17EDE7FC" w14:textId="77777777" w:rsidR="005712E4" w:rsidRPr="004A4EC9" w:rsidRDefault="005712E4" w:rsidP="005712E4">
      <w:pPr>
        <w:ind w:left="708"/>
        <w:rPr>
          <w:sz w:val="20"/>
          <w:szCs w:val="20"/>
        </w:rPr>
      </w:pPr>
    </w:p>
    <w:p w14:paraId="1CE97ECC" w14:textId="42C6BB6D" w:rsidR="005712E4" w:rsidRPr="004A4EC9" w:rsidRDefault="005712E4" w:rsidP="005712E4">
      <w:pPr>
        <w:ind w:left="708"/>
      </w:pPr>
      <w:r w:rsidRPr="004A4EC9">
        <w:t xml:space="preserve">1.3. Financijski rashodi ostvareni su u ukupnom iznosu od </w:t>
      </w:r>
      <w:r w:rsidR="00051C5D">
        <w:t>149.033,67</w:t>
      </w:r>
      <w:r w:rsidRPr="004A4EC9">
        <w:t xml:space="preserve"> kuna</w:t>
      </w:r>
      <w:r w:rsidR="00810F7C" w:rsidRPr="004A4EC9">
        <w:t xml:space="preserve"> ili </w:t>
      </w:r>
      <w:r w:rsidR="00051C5D">
        <w:t>6</w:t>
      </w:r>
      <w:r w:rsidR="00810F7C" w:rsidRPr="004A4EC9">
        <w:t xml:space="preserve">% </w:t>
      </w:r>
      <w:r w:rsidR="005D34DF" w:rsidRPr="004A4EC9">
        <w:t>više</w:t>
      </w:r>
      <w:r w:rsidR="00810F7C" w:rsidRPr="004A4EC9">
        <w:t xml:space="preserve"> u odnosu na</w:t>
      </w:r>
      <w:r w:rsidR="00352E7E" w:rsidRPr="004A4EC9">
        <w:t xml:space="preserve"> </w:t>
      </w:r>
      <w:r w:rsidR="00810F7C" w:rsidRPr="004A4EC9">
        <w:t>prethodn</w:t>
      </w:r>
      <w:r w:rsidR="00051C5D">
        <w:t>u</w:t>
      </w:r>
      <w:r w:rsidR="00810F7C" w:rsidRPr="004A4EC9">
        <w:t xml:space="preserve"> godin</w:t>
      </w:r>
      <w:r w:rsidR="00051C5D">
        <w:t>u</w:t>
      </w:r>
      <w:r w:rsidR="00810F7C" w:rsidRPr="004A4EC9">
        <w:t xml:space="preserve">, a </w:t>
      </w:r>
      <w:r w:rsidR="00FC606D" w:rsidRPr="004A4EC9">
        <w:t xml:space="preserve">odnose se </w:t>
      </w:r>
      <w:r w:rsidR="00971928" w:rsidRPr="004A4EC9">
        <w:t xml:space="preserve">pretežno </w:t>
      </w:r>
      <w:r w:rsidR="00810F7C" w:rsidRPr="004A4EC9">
        <w:t xml:space="preserve">na kamate </w:t>
      </w:r>
      <w:r w:rsidR="00D23F86" w:rsidRPr="004A4EC9">
        <w:t>po</w:t>
      </w:r>
      <w:r w:rsidR="00810F7C" w:rsidRPr="004A4EC9">
        <w:t xml:space="preserve"> kredit</w:t>
      </w:r>
      <w:r w:rsidR="00D23F86" w:rsidRPr="004A4EC9">
        <w:t>ima</w:t>
      </w:r>
      <w:r w:rsidR="00810F7C" w:rsidRPr="004A4EC9">
        <w:t xml:space="preserve"> i </w:t>
      </w:r>
      <w:r w:rsidR="00971928" w:rsidRPr="004A4EC9">
        <w:t xml:space="preserve">na </w:t>
      </w:r>
      <w:r w:rsidR="00810F7C" w:rsidRPr="004A4EC9">
        <w:t>usluge platnog prometa</w:t>
      </w:r>
      <w:r w:rsidR="008B446B" w:rsidRPr="004A4EC9">
        <w:t xml:space="preserve">. </w:t>
      </w:r>
      <w:r w:rsidR="00352E7E" w:rsidRPr="004A4EC9">
        <w:t xml:space="preserve">Povećane su cijene naknada za usluge platnog prometa, a </w:t>
      </w:r>
      <w:r w:rsidR="00051C5D">
        <w:t>od početka 2022. godine</w:t>
      </w:r>
      <w:r w:rsidR="00352E7E" w:rsidRPr="004A4EC9">
        <w:t xml:space="preserve"> s Hrvatskom poštom d.d. ugovoreno </w:t>
      </w:r>
      <w:r w:rsidR="00051C5D">
        <w:t xml:space="preserve">je </w:t>
      </w:r>
      <w:r w:rsidR="00352E7E" w:rsidRPr="004A4EC9">
        <w:t>preuzimanje obveze plaćanja naknada na uplate građana u korist Grada.</w:t>
      </w:r>
    </w:p>
    <w:p w14:paraId="44B22031" w14:textId="77777777" w:rsidR="003554CB" w:rsidRPr="004A4EC9" w:rsidRDefault="003554CB" w:rsidP="005712E4">
      <w:pPr>
        <w:ind w:left="708"/>
      </w:pPr>
    </w:p>
    <w:p w14:paraId="0089C79B" w14:textId="142A8498" w:rsidR="005712E4" w:rsidRDefault="005712E4" w:rsidP="005712E4">
      <w:pPr>
        <w:ind w:left="708"/>
      </w:pPr>
      <w:r w:rsidRPr="004A4EC9">
        <w:t xml:space="preserve">1.4. Subvencije trgovačkim društvima, poljoprivrednicima i obrtnicima </w:t>
      </w:r>
      <w:r w:rsidR="00D23F86" w:rsidRPr="004A4EC9">
        <w:t>u 202</w:t>
      </w:r>
      <w:r w:rsidR="00EB768A" w:rsidRPr="004A4EC9">
        <w:t>2</w:t>
      </w:r>
      <w:r w:rsidR="00D23F86" w:rsidRPr="004A4EC9">
        <w:t>. godin</w:t>
      </w:r>
      <w:r w:rsidR="00051C5D">
        <w:t>i</w:t>
      </w:r>
      <w:r w:rsidR="00D23F86" w:rsidRPr="004A4EC9">
        <w:t xml:space="preserve"> </w:t>
      </w:r>
      <w:r w:rsidR="00AA3DB8" w:rsidRPr="004A4EC9">
        <w:t>realizirane</w:t>
      </w:r>
      <w:r w:rsidR="002E1E10" w:rsidRPr="004A4EC9">
        <w:t xml:space="preserve"> su u iznosu </w:t>
      </w:r>
      <w:r w:rsidR="002E1E10">
        <w:t xml:space="preserve">od </w:t>
      </w:r>
      <w:r w:rsidR="00051C5D">
        <w:t>23.983,43</w:t>
      </w:r>
      <w:r w:rsidR="002E1E10">
        <w:t xml:space="preserve"> kuna, a odnose se na subvencioniranje kamata poduzetnicima temeljem kreditne linije pokrenute koncem 2020. godine „Poduzetnik Istarska županija 2020.“ u suradnji s Istarskom razvojnom age</w:t>
      </w:r>
      <w:r w:rsidR="006D1B3B">
        <w:t>n</w:t>
      </w:r>
      <w:r w:rsidR="002E1E10">
        <w:t>cijom, Istarskom županijom i poslovnim bankama</w:t>
      </w:r>
      <w:r w:rsidR="008B446B">
        <w:t>.</w:t>
      </w:r>
      <w:r w:rsidR="00AA3DB8" w:rsidRPr="00E80A17">
        <w:t xml:space="preserve"> </w:t>
      </w:r>
      <w:r w:rsidR="00EB768A">
        <w:t xml:space="preserve">Tijekom 2021. </w:t>
      </w:r>
      <w:r w:rsidR="00051C5D">
        <w:t xml:space="preserve">i 2022. </w:t>
      </w:r>
      <w:r w:rsidR="00EB768A">
        <w:t xml:space="preserve">godine </w:t>
      </w:r>
      <w:r w:rsidR="002F6834">
        <w:t>post</w:t>
      </w:r>
      <w:r w:rsidR="00983C11">
        <w:t>u</w:t>
      </w:r>
      <w:r w:rsidR="002F6834">
        <w:t>pno se povećavao broj korisnika kredita sa subvencioniranom kamatom.</w:t>
      </w:r>
    </w:p>
    <w:p w14:paraId="40BB2394" w14:textId="77777777" w:rsidR="008B446B" w:rsidRPr="00E80A17" w:rsidRDefault="008B446B" w:rsidP="005712E4">
      <w:pPr>
        <w:ind w:left="708"/>
      </w:pPr>
    </w:p>
    <w:p w14:paraId="6650CD4A" w14:textId="6428B3D1" w:rsidR="00AC415D" w:rsidRDefault="005712E4" w:rsidP="005712E4">
      <w:pPr>
        <w:ind w:left="708"/>
      </w:pPr>
      <w:r w:rsidRPr="00E80A17">
        <w:t xml:space="preserve">1.5. Pomoći unutar općeg proračuna ostvarene su u iznosu od </w:t>
      </w:r>
      <w:r w:rsidR="00714BD8">
        <w:t>2.586.255,73</w:t>
      </w:r>
      <w:r w:rsidRPr="00E80A17">
        <w:t xml:space="preserve"> kuna </w:t>
      </w:r>
      <w:r w:rsidR="00714BD8">
        <w:t>ili 3% manje od plana i 16</w:t>
      </w:r>
      <w:r w:rsidR="00194164" w:rsidRPr="00E80A17">
        <w:t xml:space="preserve">% </w:t>
      </w:r>
      <w:r w:rsidR="00714BD8">
        <w:t>manje</w:t>
      </w:r>
      <w:r w:rsidR="00194164" w:rsidRPr="00E80A17">
        <w:t xml:space="preserve"> u odnosu na 20</w:t>
      </w:r>
      <w:r w:rsidR="002E1E10">
        <w:t>2</w:t>
      </w:r>
      <w:r w:rsidR="002F6834">
        <w:t>1</w:t>
      </w:r>
      <w:r w:rsidR="00194164" w:rsidRPr="00E80A17">
        <w:t>. godin</w:t>
      </w:r>
      <w:r w:rsidR="00714BD8">
        <w:t>u</w:t>
      </w:r>
      <w:r w:rsidRPr="00E80A17">
        <w:t xml:space="preserve">. </w:t>
      </w:r>
    </w:p>
    <w:p w14:paraId="1F2C51B4" w14:textId="77777777" w:rsidR="00BF1613" w:rsidRDefault="00BF1613" w:rsidP="005712E4">
      <w:pPr>
        <w:ind w:left="708"/>
      </w:pPr>
    </w:p>
    <w:p w14:paraId="1A49A211" w14:textId="77777777" w:rsidR="0076416E" w:rsidRDefault="00BF1613" w:rsidP="0086592D">
      <w:pPr>
        <w:ind w:left="1416"/>
      </w:pPr>
      <w:r>
        <w:t>1.5.1.</w:t>
      </w:r>
      <w:r w:rsidR="00F60369" w:rsidRPr="004A7618">
        <w:tab/>
        <w:t xml:space="preserve">Pomoći unutar općeg proračuna u 2021. godini ostvarene su u iznosu od </w:t>
      </w:r>
      <w:r w:rsidR="00454EBB">
        <w:t>376.186,36</w:t>
      </w:r>
      <w:r w:rsidR="00F60369" w:rsidRPr="004A7618">
        <w:t xml:space="preserve"> kuna ili </w:t>
      </w:r>
      <w:r w:rsidR="00454EBB">
        <w:t>65</w:t>
      </w:r>
      <w:r w:rsidR="00F60369" w:rsidRPr="004A7618">
        <w:t xml:space="preserve">% </w:t>
      </w:r>
      <w:r w:rsidR="00454EBB">
        <w:t xml:space="preserve">manje </w:t>
      </w:r>
      <w:r w:rsidR="00F60369" w:rsidRPr="004A7618">
        <w:t>od ostvaren</w:t>
      </w:r>
      <w:r>
        <w:t>ih</w:t>
      </w:r>
      <w:r w:rsidR="00F60369" w:rsidRPr="004A7618">
        <w:t xml:space="preserve"> </w:t>
      </w:r>
      <w:r w:rsidR="0086592D">
        <w:t xml:space="preserve">u </w:t>
      </w:r>
      <w:r w:rsidR="00454EBB">
        <w:t>prethodnoj</w:t>
      </w:r>
      <w:r w:rsidR="00F60369" w:rsidRPr="004A7618">
        <w:t xml:space="preserve"> godin</w:t>
      </w:r>
      <w:r w:rsidR="00454EBB">
        <w:t>i</w:t>
      </w:r>
      <w:r w:rsidR="00F60369" w:rsidRPr="004A7618">
        <w:t xml:space="preserve">. </w:t>
      </w:r>
      <w:r w:rsidR="00454EBB">
        <w:t>Iznos od 368.186,36 kuna odnosi se na pomoći doznačene Istarskoj županiji i to: temeljem</w:t>
      </w:r>
      <w:r w:rsidR="00F60369" w:rsidRPr="004A7618">
        <w:t xml:space="preserve"> Ugovora o sufinanciranju dijela kreditne obveze za izgradnju i opremanje nove Opće bolnice u Puli u iznosu od </w:t>
      </w:r>
      <w:r w:rsidR="00454EBB">
        <w:t>73.975,76</w:t>
      </w:r>
      <w:r w:rsidR="00F60369" w:rsidRPr="004A7618">
        <w:t xml:space="preserve"> kuna, temeljem Sporazuma o suradnji za promicanje dvojezičnosti u iznosu od 10.000 kuna, temeljem Ugovora o sufinanciranju plaća zaposlenika na poslovima legalizacije u iznosu od </w:t>
      </w:r>
      <w:r w:rsidR="00454EBB">
        <w:t>5</w:t>
      </w:r>
      <w:r w:rsidR="00F60369" w:rsidRPr="004A7618">
        <w:t>0.000 kuna</w:t>
      </w:r>
      <w:r w:rsidR="00454EBB">
        <w:t xml:space="preserve"> te</w:t>
      </w:r>
      <w:r w:rsidR="00F60369" w:rsidRPr="004A7618">
        <w:t xml:space="preserve"> temeljem Ugovora o sufinanciranju rekonstrukcije građevine gospodarske namjene - Kuće istarskih kaštela u </w:t>
      </w:r>
      <w:proofErr w:type="spellStart"/>
      <w:r w:rsidR="00F60369" w:rsidRPr="004A7618">
        <w:t>Momjanu</w:t>
      </w:r>
      <w:proofErr w:type="spellEnd"/>
      <w:r w:rsidR="00F60369" w:rsidRPr="004A7618">
        <w:t xml:space="preserve"> u iznosu od </w:t>
      </w:r>
      <w:r w:rsidR="00454EBB">
        <w:t>234.210,60</w:t>
      </w:r>
      <w:r w:rsidR="00F60369" w:rsidRPr="004A7618">
        <w:t xml:space="preserve"> kuna</w:t>
      </w:r>
      <w:r w:rsidR="0086592D">
        <w:t>.</w:t>
      </w:r>
      <w:r w:rsidR="00454EBB">
        <w:t xml:space="preserve"> Razlika od 8.000,00 kuna odnosi se na pomoć Općini Barban radi sufinanciranja zajedničkog projekta izrade web aplikacije za praćenje bespravne gradnje na području Istarske županije. </w:t>
      </w:r>
    </w:p>
    <w:p w14:paraId="2A995348" w14:textId="2379FF73" w:rsidR="00F60369" w:rsidRPr="004A7618" w:rsidRDefault="00454EBB" w:rsidP="0076416E">
      <w:pPr>
        <w:ind w:left="1416" w:firstLine="708"/>
      </w:pPr>
      <w:r>
        <w:lastRenderedPageBreak/>
        <w:t>U prethodnoj godini doznačena je pomoć Županijskoj upravi za ceste u iznosu od 500.000,00 kuna za izgradnju rotora u naselju Kremenje što je najviše utjecalo na razliku u realizaciji ove podskupine rashoda.</w:t>
      </w:r>
      <w:r w:rsidR="0086592D">
        <w:t xml:space="preserve"> </w:t>
      </w:r>
    </w:p>
    <w:p w14:paraId="571CC29A" w14:textId="77777777" w:rsidR="00F60369" w:rsidRPr="004A7618" w:rsidRDefault="00F60369" w:rsidP="00F60369"/>
    <w:p w14:paraId="056278CC" w14:textId="1A649AA9" w:rsidR="00F60369" w:rsidRDefault="00BF1613" w:rsidP="00BF1613">
      <w:pPr>
        <w:ind w:left="1416"/>
      </w:pPr>
      <w:r>
        <w:t>1.5.2.</w:t>
      </w:r>
      <w:r w:rsidR="00F60369" w:rsidRPr="004A7618">
        <w:tab/>
        <w:t xml:space="preserve">Pomoći proračunskim korisnicima drugih proračuna realizirane su u iznosu od </w:t>
      </w:r>
      <w:r w:rsidR="001332C8">
        <w:t>2.210.069,37</w:t>
      </w:r>
      <w:r w:rsidR="00F60369" w:rsidRPr="004A7618">
        <w:t xml:space="preserve"> kuna ili </w:t>
      </w:r>
      <w:r w:rsidR="001332C8">
        <w:t>11</w:t>
      </w:r>
      <w:r w:rsidR="00F60369" w:rsidRPr="004A7618">
        <w:t>% više u odnosu na 202</w:t>
      </w:r>
      <w:r w:rsidR="0086592D">
        <w:t>1</w:t>
      </w:r>
      <w:r w:rsidR="00F60369" w:rsidRPr="004A7618">
        <w:t>. godin</w:t>
      </w:r>
      <w:r w:rsidR="001332C8">
        <w:t>u</w:t>
      </w:r>
      <w:r w:rsidR="00F60369" w:rsidRPr="004A7618">
        <w:t xml:space="preserve">. </w:t>
      </w:r>
    </w:p>
    <w:p w14:paraId="47716721" w14:textId="77A425D5" w:rsidR="00792B7D" w:rsidRPr="004A4EC9" w:rsidRDefault="00792B7D" w:rsidP="00BF1613">
      <w:pPr>
        <w:ind w:left="1416"/>
      </w:pPr>
      <w:r>
        <w:t xml:space="preserve">Najveći dio iznosa </w:t>
      </w:r>
      <w:r w:rsidR="001332C8">
        <w:t xml:space="preserve">1.425.205,78 kuna </w:t>
      </w:r>
      <w:r>
        <w:t>odnosi se na sufinanciranje Javne vatrogasne postrojbe Umag</w:t>
      </w:r>
      <w:r w:rsidR="001332C8">
        <w:t xml:space="preserve">. Iznos od 463.171,80 kuna odnosi se </w:t>
      </w:r>
      <w:r>
        <w:t xml:space="preserve">na podmirivanje troškova produženog boravka djece u osnovnim školama. Osim toga, Grad doznačuje pomoći za sufinanciranje rada Dnevnog centra za rehabilitaciju Veruda, </w:t>
      </w:r>
      <w:r w:rsidR="001332C8">
        <w:t xml:space="preserve">sufinanciranje </w:t>
      </w:r>
      <w:r>
        <w:t xml:space="preserve">rada Hitne medicinske pomoći, smještaja </w:t>
      </w:r>
      <w:r w:rsidRPr="004A4EC9">
        <w:t xml:space="preserve">djelatnika Hitne medicinske pomoći i liječnika obiteljske medicine te za provedbu </w:t>
      </w:r>
      <w:r w:rsidR="001332C8">
        <w:t>ostalih</w:t>
      </w:r>
      <w:r w:rsidRPr="004A4EC9">
        <w:t xml:space="preserve"> izvannastavnih aktivnosti škola</w:t>
      </w:r>
      <w:r w:rsidR="001332C8">
        <w:t>, božićne paketiće i nabavu školskog pribora.</w:t>
      </w:r>
      <w:r w:rsidRPr="004A4EC9">
        <w:t xml:space="preserve"> Doznačena je pomoć za zamjenu stolarije na zgradi područne Talijanske osnovne škole u </w:t>
      </w:r>
      <w:proofErr w:type="spellStart"/>
      <w:r w:rsidRPr="004A4EC9">
        <w:t>Momjanu</w:t>
      </w:r>
      <w:proofErr w:type="spellEnd"/>
      <w:r w:rsidRPr="004A4EC9">
        <w:t xml:space="preserve">, pomoć </w:t>
      </w:r>
      <w:r w:rsidR="00024ED2" w:rsidRPr="004A4EC9">
        <w:t>C</w:t>
      </w:r>
      <w:r w:rsidRPr="004A4EC9">
        <w:t xml:space="preserve">entru za socijalnu skrb Pazin za provedbu aktivnosti na promicanju </w:t>
      </w:r>
      <w:proofErr w:type="spellStart"/>
      <w:r w:rsidRPr="004A4EC9">
        <w:t>udomiteljstva</w:t>
      </w:r>
      <w:proofErr w:type="spellEnd"/>
      <w:r w:rsidRPr="004A4EC9">
        <w:t xml:space="preserve">, </w:t>
      </w:r>
      <w:r w:rsidR="001332C8">
        <w:t xml:space="preserve">pomoć Domu za odrasle osobe Vila Maria Pula i Domu za  starije osobe Novigrad za redovne aktivnosti te </w:t>
      </w:r>
      <w:r w:rsidRPr="004A4EC9">
        <w:t>Agronomskom fakultetu iz Zagreba za provedbu projekta održavanja autohtonih sorti maslina.</w:t>
      </w:r>
      <w:r w:rsidR="001332C8">
        <w:t xml:space="preserve"> Nastavljeno je s dodjelom sredstava pomoći Fondu za razvoj poljoprivrede te Institutu za poljoprivredu i turizam Poreč za sufinanciranje projekta Web tržnice.</w:t>
      </w:r>
    </w:p>
    <w:p w14:paraId="7438825A" w14:textId="77777777" w:rsidR="00F96494" w:rsidRPr="004A4EC9" w:rsidRDefault="00F96494" w:rsidP="005712E4">
      <w:pPr>
        <w:ind w:left="708"/>
        <w:rPr>
          <w:sz w:val="20"/>
          <w:szCs w:val="20"/>
        </w:rPr>
      </w:pPr>
    </w:p>
    <w:p w14:paraId="4105290A" w14:textId="5C9EEA96" w:rsidR="00573BD9" w:rsidRPr="004A4EC9" w:rsidRDefault="005712E4" w:rsidP="005712E4">
      <w:pPr>
        <w:ind w:left="708"/>
      </w:pPr>
      <w:r w:rsidRPr="004A4EC9">
        <w:t xml:space="preserve">1.6. Naknade građanima i kućanstvima realizirane su u iznosu od </w:t>
      </w:r>
      <w:r w:rsidR="00AF2446">
        <w:t>604.251,07</w:t>
      </w:r>
      <w:r w:rsidR="000E732E" w:rsidRPr="004A4EC9">
        <w:t xml:space="preserve"> </w:t>
      </w:r>
      <w:r w:rsidRPr="004A4EC9">
        <w:t xml:space="preserve">kuna što je </w:t>
      </w:r>
      <w:r w:rsidR="00AF2446">
        <w:t>77</w:t>
      </w:r>
      <w:r w:rsidRPr="004A4EC9">
        <w:t xml:space="preserve">% od </w:t>
      </w:r>
      <w:r w:rsidR="00C249E6" w:rsidRPr="004A4EC9">
        <w:t xml:space="preserve">godišnjeg </w:t>
      </w:r>
      <w:r w:rsidRPr="004A4EC9">
        <w:t xml:space="preserve">plana i </w:t>
      </w:r>
      <w:r w:rsidR="00AF2446">
        <w:t>6</w:t>
      </w:r>
      <w:r w:rsidRPr="004A4EC9">
        <w:t xml:space="preserve">% </w:t>
      </w:r>
      <w:r w:rsidR="00AF2446">
        <w:t>viš</w:t>
      </w:r>
      <w:r w:rsidR="00C249E6" w:rsidRPr="004A4EC9">
        <w:t>e</w:t>
      </w:r>
      <w:r w:rsidRPr="004A4EC9">
        <w:t xml:space="preserve"> u odnosu na </w:t>
      </w:r>
      <w:r w:rsidR="00C46EDF" w:rsidRPr="004A4EC9">
        <w:t>20</w:t>
      </w:r>
      <w:r w:rsidR="000E732E" w:rsidRPr="004A4EC9">
        <w:t>2</w:t>
      </w:r>
      <w:r w:rsidR="00C249E6" w:rsidRPr="004A4EC9">
        <w:t>1</w:t>
      </w:r>
      <w:r w:rsidRPr="004A4EC9">
        <w:t>. godin</w:t>
      </w:r>
      <w:r w:rsidR="00AF2446">
        <w:t>u</w:t>
      </w:r>
      <w:r w:rsidRPr="004A4EC9">
        <w:t xml:space="preserve">. Sredstva su isplaćena u okviru Programa javnih potreba u oblasti zdravstva i socijalne skrbi, temeljem </w:t>
      </w:r>
      <w:r w:rsidR="00D8140A" w:rsidRPr="004A4EC9">
        <w:t xml:space="preserve">podnesenih zahtjeva koje je </w:t>
      </w:r>
      <w:r w:rsidR="005438C6" w:rsidRPr="004A4EC9">
        <w:t>razmatralo</w:t>
      </w:r>
      <w:r w:rsidR="00D8140A" w:rsidRPr="004A4EC9">
        <w:t xml:space="preserve"> </w:t>
      </w:r>
      <w:r w:rsidRPr="004A4EC9">
        <w:t>Socijalno</w:t>
      </w:r>
      <w:r w:rsidR="00D8140A" w:rsidRPr="004A4EC9">
        <w:t xml:space="preserve"> vijeće</w:t>
      </w:r>
      <w:r w:rsidRPr="004A4EC9">
        <w:t xml:space="preserve"> i prema zahtjevima koji udovoljavaju kriterijima Odluke o socijalnoj skrbi. </w:t>
      </w:r>
      <w:r w:rsidR="00C175C3" w:rsidRPr="004A4EC9">
        <w:t>Smanjen je broj korisnika zajamčene minimalne pomoći koji ostvaruju pravo na podmirivanje dijela troškova stanovanja, a povećan je broj podnesenih zahtjeva za isplatu izvanrednih i jednokratnih pomoći.</w:t>
      </w:r>
      <w:r w:rsidR="00AF2446">
        <w:t xml:space="preserve"> Osim toga, povećan je iznos isplaćenih pomoći umirovljenicima povodom božićno novogodišnjih blagdana.</w:t>
      </w:r>
    </w:p>
    <w:p w14:paraId="59911BA9" w14:textId="77777777" w:rsidR="005712E4" w:rsidRPr="004A4EC9" w:rsidRDefault="005712E4" w:rsidP="005712E4">
      <w:pPr>
        <w:ind w:left="708"/>
      </w:pPr>
    </w:p>
    <w:p w14:paraId="3BC8462D" w14:textId="4C3565D2" w:rsidR="00245804" w:rsidRPr="004A4EC9" w:rsidRDefault="005712E4" w:rsidP="00245804">
      <w:pPr>
        <w:ind w:left="708"/>
      </w:pPr>
      <w:r w:rsidRPr="004A4EC9">
        <w:t xml:space="preserve">1.7. Ostali rashodi ostvareni su u iznosu od </w:t>
      </w:r>
      <w:r w:rsidR="00AF2446">
        <w:t>2.696.396,84</w:t>
      </w:r>
      <w:r w:rsidRPr="004A4EC9">
        <w:t xml:space="preserve"> kuna ili </w:t>
      </w:r>
      <w:r w:rsidR="00D36100">
        <w:t>84</w:t>
      </w:r>
      <w:r w:rsidRPr="004A4EC9">
        <w:t>% od plana</w:t>
      </w:r>
      <w:r w:rsidR="00F96494" w:rsidRPr="004A4EC9">
        <w:t xml:space="preserve"> i </w:t>
      </w:r>
      <w:r w:rsidR="00D36100">
        <w:t>40</w:t>
      </w:r>
      <w:r w:rsidR="00F96494" w:rsidRPr="004A4EC9">
        <w:t xml:space="preserve">% </w:t>
      </w:r>
      <w:r w:rsidR="002127AD" w:rsidRPr="004A4EC9">
        <w:t>viš</w:t>
      </w:r>
      <w:r w:rsidR="0054389E" w:rsidRPr="004A4EC9">
        <w:t>e</w:t>
      </w:r>
      <w:r w:rsidR="00F96494" w:rsidRPr="004A4EC9">
        <w:t xml:space="preserve"> u odnosu na prethodn</w:t>
      </w:r>
      <w:r w:rsidR="00D36100">
        <w:t>u</w:t>
      </w:r>
      <w:r w:rsidR="00F96494" w:rsidRPr="004A4EC9">
        <w:t xml:space="preserve"> godin</w:t>
      </w:r>
      <w:r w:rsidR="00D36100">
        <w:t>u</w:t>
      </w:r>
      <w:r w:rsidR="00BB1EB3" w:rsidRPr="004A4EC9">
        <w:t xml:space="preserve">. </w:t>
      </w:r>
    </w:p>
    <w:p w14:paraId="3BB3A188" w14:textId="557D4F60" w:rsidR="00C175C3" w:rsidRPr="004A4EC9" w:rsidRDefault="00861515" w:rsidP="00D87DCF">
      <w:pPr>
        <w:ind w:left="708" w:firstLine="708"/>
      </w:pPr>
      <w:r w:rsidRPr="004A4EC9">
        <w:t>Tekuće donacije u 2022. godin</w:t>
      </w:r>
      <w:r w:rsidR="005E6721">
        <w:t>i</w:t>
      </w:r>
      <w:r w:rsidRPr="004A4EC9">
        <w:t xml:space="preserve"> realizirane su u iznosu od </w:t>
      </w:r>
      <w:r w:rsidR="00D36100">
        <w:t>2.374.350,96</w:t>
      </w:r>
      <w:r w:rsidR="00F23D66" w:rsidRPr="004A4EC9">
        <w:t xml:space="preserve"> kuna ili </w:t>
      </w:r>
      <w:r w:rsidR="00D36100">
        <w:t>35</w:t>
      </w:r>
      <w:r w:rsidR="00F23D66" w:rsidRPr="004A4EC9">
        <w:t>% više u odnosu na prethodn</w:t>
      </w:r>
      <w:r w:rsidR="00D36100">
        <w:t>u</w:t>
      </w:r>
      <w:r w:rsidR="00F23D66" w:rsidRPr="004A4EC9">
        <w:t xml:space="preserve"> godin</w:t>
      </w:r>
      <w:r w:rsidR="00D36100">
        <w:t>u</w:t>
      </w:r>
      <w:r w:rsidR="00F23D66" w:rsidRPr="004A4EC9">
        <w:t>. Na povećanje je najviše utjecalo proračunom osigurano povećanje izdvajanja za financiranje djelatnosti Sportske zajednice Grada Buja.</w:t>
      </w:r>
      <w:r w:rsidR="00D36100">
        <w:t xml:space="preserve"> Osim toga, u 2022. godini osigurana su sredstva za dodatno financiranje Područne vatrogasne zajednice u iznosu od 140.000,00 radi sufinanciranja nabave vatrogasnih vozila. Za organizaciju manifestacije „Dani grožđa“ doznačena su sredstva Turističkoj zajednici Grada Buja  u iznosu od 100.000,00 kuna. Povećana su sredstva za provedbu projekta Crvenog križa „Pomoć u kući“, a Udruzi vinara </w:t>
      </w:r>
      <w:proofErr w:type="spellStart"/>
      <w:r w:rsidR="00D36100">
        <w:t>Bujštine</w:t>
      </w:r>
      <w:proofErr w:type="spellEnd"/>
      <w:r w:rsidR="00D36100">
        <w:t xml:space="preserve"> „Bujska malvazija“ doznačena je donacija radi provedbe projekta ishođenja oznake izvornosti vina – bujske malvazije.</w:t>
      </w:r>
    </w:p>
    <w:p w14:paraId="5F231508" w14:textId="3B2842AF" w:rsidR="00BB1EB3" w:rsidRDefault="00245804" w:rsidP="0076416E">
      <w:pPr>
        <w:ind w:left="708" w:firstLine="708"/>
      </w:pPr>
      <w:r w:rsidRPr="004A4EC9">
        <w:t xml:space="preserve">Rashodi po osnovi naknade šteta u iznosu od </w:t>
      </w:r>
      <w:r w:rsidR="00F23D66" w:rsidRPr="004A4EC9">
        <w:t>322.045</w:t>
      </w:r>
      <w:r w:rsidR="00F23D66">
        <w:t>,88</w:t>
      </w:r>
      <w:r>
        <w:t xml:space="preserve"> kuna</w:t>
      </w:r>
      <w:r w:rsidR="00CE30F0">
        <w:t>,</w:t>
      </w:r>
      <w:r>
        <w:t xml:space="preserve"> odnose se na </w:t>
      </w:r>
      <w:r w:rsidR="00F23D66">
        <w:t xml:space="preserve">ovrhu radi </w:t>
      </w:r>
      <w:r>
        <w:t>povrat</w:t>
      </w:r>
      <w:r w:rsidR="00F23D66">
        <w:t>a sredstava</w:t>
      </w:r>
      <w:r>
        <w:t xml:space="preserve"> </w:t>
      </w:r>
      <w:r w:rsidR="00CE30F0">
        <w:t>Državnom proračunu</w:t>
      </w:r>
      <w:r>
        <w:t xml:space="preserve"> </w:t>
      </w:r>
      <w:r w:rsidR="00F23D66">
        <w:t xml:space="preserve">po osnovi pravomoćne presude o utvrđenom pravu vlasništva na nekretninama </w:t>
      </w:r>
      <w:r w:rsidR="00AF74A0">
        <w:t xml:space="preserve">temeljem Zakona o šumama, a </w:t>
      </w:r>
      <w:r w:rsidR="008C27A7">
        <w:t xml:space="preserve">koje su bile u vlasništvu Grada i </w:t>
      </w:r>
      <w:r w:rsidR="00F23D66">
        <w:t>za koje je Grad sklopio</w:t>
      </w:r>
      <w:r>
        <w:t xml:space="preserve"> </w:t>
      </w:r>
      <w:r w:rsidR="008C27A7">
        <w:t xml:space="preserve">Ugovore o </w:t>
      </w:r>
      <w:r>
        <w:t>prodaj</w:t>
      </w:r>
      <w:r w:rsidR="008C27A7">
        <w:t xml:space="preserve">i </w:t>
      </w:r>
      <w:r w:rsidR="0081525F">
        <w:t xml:space="preserve">po provedenim javnim natječajima u </w:t>
      </w:r>
      <w:r w:rsidR="008C27A7">
        <w:t>2010. i 2014. godin</w:t>
      </w:r>
      <w:r w:rsidR="0081525F">
        <w:t>i</w:t>
      </w:r>
      <w:r w:rsidR="008C27A7">
        <w:t>.</w:t>
      </w:r>
    </w:p>
    <w:p w14:paraId="549531E2" w14:textId="064AF52A" w:rsidR="005712E4" w:rsidRPr="00E80A17" w:rsidRDefault="006030D4" w:rsidP="00D27B8D">
      <w:pPr>
        <w:ind w:left="708" w:firstLine="708"/>
      </w:pPr>
      <w:r>
        <w:t>Rashodi za kapitalne pomoći</w:t>
      </w:r>
      <w:r w:rsidR="00D36100">
        <w:t xml:space="preserve"> i donacije</w:t>
      </w:r>
      <w:r w:rsidR="002127AD">
        <w:t xml:space="preserve"> </w:t>
      </w:r>
      <w:r w:rsidR="00D36100">
        <w:t>te</w:t>
      </w:r>
      <w:r w:rsidR="002127AD">
        <w:t xml:space="preserve"> izvanredni rashodi </w:t>
      </w:r>
      <w:r>
        <w:t>nisu realizirani</w:t>
      </w:r>
      <w:r w:rsidR="00BB1EB3">
        <w:t>.</w:t>
      </w:r>
    </w:p>
    <w:p w14:paraId="7AA78CE1" w14:textId="77777777" w:rsidR="005712E4" w:rsidRPr="00E80A17" w:rsidRDefault="005712E4" w:rsidP="005712E4"/>
    <w:p w14:paraId="08D49585" w14:textId="691C72F2" w:rsidR="005712E4" w:rsidRPr="00E80A17" w:rsidRDefault="005712E4" w:rsidP="005712E4">
      <w:r w:rsidRPr="00E80A17">
        <w:t xml:space="preserve">2. Rashodi za nabavu nefinancijske imovine </w:t>
      </w:r>
      <w:r w:rsidR="00595A96" w:rsidRPr="00E80A17">
        <w:t>u 20</w:t>
      </w:r>
      <w:r w:rsidR="006030D4">
        <w:t>2</w:t>
      </w:r>
      <w:r w:rsidR="00D7456A">
        <w:t>2</w:t>
      </w:r>
      <w:r w:rsidR="00595A96" w:rsidRPr="00E80A17">
        <w:t>. godin</w:t>
      </w:r>
      <w:r w:rsidR="00D36100">
        <w:t>i</w:t>
      </w:r>
      <w:r w:rsidR="00595A96" w:rsidRPr="00E80A17">
        <w:t xml:space="preserve"> </w:t>
      </w:r>
      <w:r w:rsidRPr="00E80A17">
        <w:t xml:space="preserve">ostvareni su u iznosu od </w:t>
      </w:r>
      <w:r w:rsidR="00D7456A">
        <w:t>1.299.061,37</w:t>
      </w:r>
      <w:r w:rsidRPr="00E80A17">
        <w:t xml:space="preserve"> kuna ili </w:t>
      </w:r>
      <w:r w:rsidR="00D7456A">
        <w:t>9</w:t>
      </w:r>
      <w:r w:rsidR="00D36100">
        <w:t>5</w:t>
      </w:r>
      <w:r w:rsidRPr="00E80A17">
        <w:t xml:space="preserve">% </w:t>
      </w:r>
      <w:r w:rsidR="00983E90">
        <w:t>od plana za 202</w:t>
      </w:r>
      <w:r w:rsidR="00D7456A">
        <w:t>2</w:t>
      </w:r>
      <w:r w:rsidR="00983E90">
        <w:t>. godinu</w:t>
      </w:r>
      <w:r w:rsidR="00215D2D" w:rsidRPr="00E80A17">
        <w:t xml:space="preserve"> </w:t>
      </w:r>
      <w:r w:rsidR="00595A96" w:rsidRPr="00E80A17">
        <w:t>i</w:t>
      </w:r>
      <w:r w:rsidRPr="00E80A17">
        <w:t xml:space="preserve"> </w:t>
      </w:r>
      <w:r w:rsidR="00D36100">
        <w:t>29</w:t>
      </w:r>
      <w:r w:rsidR="004B0FD5" w:rsidRPr="00E80A17">
        <w:t xml:space="preserve">% </w:t>
      </w:r>
      <w:r w:rsidR="00983E90">
        <w:t>manje</w:t>
      </w:r>
      <w:r w:rsidR="00595A96" w:rsidRPr="00E80A17">
        <w:t xml:space="preserve"> </w:t>
      </w:r>
      <w:r w:rsidR="004B0FD5" w:rsidRPr="00E80A17">
        <w:t>u odnosu na 20</w:t>
      </w:r>
      <w:r w:rsidR="00B84E13">
        <w:t>2</w:t>
      </w:r>
      <w:r w:rsidR="00D7456A">
        <w:t>1</w:t>
      </w:r>
      <w:r w:rsidRPr="00E80A17">
        <w:t>. godin</w:t>
      </w:r>
      <w:r w:rsidR="00D36100">
        <w:t>u</w:t>
      </w:r>
      <w:r w:rsidRPr="00E80A17">
        <w:t xml:space="preserve">. </w:t>
      </w:r>
    </w:p>
    <w:p w14:paraId="5E78B381" w14:textId="77777777" w:rsidR="005712E4" w:rsidRPr="00E80A17" w:rsidRDefault="005712E4" w:rsidP="005712E4"/>
    <w:p w14:paraId="6F49C757" w14:textId="6A88425A" w:rsidR="0073742A" w:rsidRDefault="005712E4" w:rsidP="005712E4">
      <w:pPr>
        <w:ind w:left="708"/>
      </w:pPr>
      <w:r w:rsidRPr="00E80A17">
        <w:t xml:space="preserve">2.1. Rashodi za nabavu </w:t>
      </w:r>
      <w:proofErr w:type="spellStart"/>
      <w:r w:rsidRPr="00E80A17">
        <w:t>neproizvedene</w:t>
      </w:r>
      <w:proofErr w:type="spellEnd"/>
      <w:r w:rsidRPr="00E80A17">
        <w:t xml:space="preserve"> imovine </w:t>
      </w:r>
      <w:r w:rsidR="00ED4378" w:rsidRPr="00E80A17">
        <w:t>u 20</w:t>
      </w:r>
      <w:r w:rsidR="00D7456A">
        <w:t>22</w:t>
      </w:r>
      <w:r w:rsidR="00ED4378" w:rsidRPr="00E80A17">
        <w:t>. godin</w:t>
      </w:r>
      <w:r w:rsidR="00D7456A">
        <w:t>i realizirani</w:t>
      </w:r>
      <w:r w:rsidR="0073742A">
        <w:t xml:space="preserve"> su u ukupnom iznosu od 517.909,20 kuna</w:t>
      </w:r>
      <w:r w:rsidR="00B03C93">
        <w:t xml:space="preserve"> ili 83% više u odnosu na prethodnu godinu</w:t>
      </w:r>
      <w:r w:rsidR="0073742A">
        <w:t>. Od toga se iznos od 217.909,20 kuna odnosi na otkup suvlasničkog dijela nekretnine radi izgradnje POS stanova</w:t>
      </w:r>
      <w:r w:rsidR="00D7456A">
        <w:t xml:space="preserve">, dok </w:t>
      </w:r>
      <w:r w:rsidR="0073742A">
        <w:t xml:space="preserve">se razlika od 300.000,00 kuna odnosi na ulaganja na tuđoj imovini koja je realiziralo Pučko otvoreno učilište </w:t>
      </w:r>
      <w:r w:rsidR="00D27B8D">
        <w:t>po</w:t>
      </w:r>
      <w:r w:rsidR="0073742A">
        <w:t xml:space="preserve"> projektu uređenja čitaonice i </w:t>
      </w:r>
      <w:proofErr w:type="spellStart"/>
      <w:r w:rsidR="0073742A">
        <w:t>hemeroteke</w:t>
      </w:r>
      <w:proofErr w:type="spellEnd"/>
      <w:r w:rsidR="0073742A">
        <w:t>.</w:t>
      </w:r>
    </w:p>
    <w:p w14:paraId="578B51CD" w14:textId="1B96A326" w:rsidR="00C53971" w:rsidRPr="00E80A17" w:rsidRDefault="00B03C93" w:rsidP="0076416E">
      <w:pPr>
        <w:ind w:left="708" w:firstLine="708"/>
      </w:pPr>
      <w:r>
        <w:t xml:space="preserve">U usporednoj </w:t>
      </w:r>
      <w:r w:rsidR="00D7456A">
        <w:t>prethodn</w:t>
      </w:r>
      <w:r>
        <w:t>oj</w:t>
      </w:r>
      <w:r w:rsidR="00D7456A">
        <w:t xml:space="preserve"> godin</w:t>
      </w:r>
      <w:r>
        <w:t>i</w:t>
      </w:r>
      <w:r w:rsidR="00D7456A">
        <w:t xml:space="preserve"> ostvareni </w:t>
      </w:r>
      <w:r>
        <w:t xml:space="preserve">su rashodi </w:t>
      </w:r>
      <w:r w:rsidR="00D7456A">
        <w:t>u iznosu od 2</w:t>
      </w:r>
      <w:r>
        <w:t>82.606,52</w:t>
      </w:r>
      <w:r w:rsidR="00D7456A">
        <w:t xml:space="preserve"> kuna za otkup građevinskog zemljišta za igralište u naselju Marušići</w:t>
      </w:r>
      <w:r>
        <w:t xml:space="preserve"> te po Ugovorima o zamjeni građevinskog zemljišta radi uređenja puteva u naselju </w:t>
      </w:r>
      <w:proofErr w:type="spellStart"/>
      <w:r>
        <w:t>Krasica</w:t>
      </w:r>
      <w:proofErr w:type="spellEnd"/>
      <w:r>
        <w:t xml:space="preserve"> i Brdo</w:t>
      </w:r>
      <w:r w:rsidR="00D7456A">
        <w:t>.</w:t>
      </w:r>
    </w:p>
    <w:p w14:paraId="16CDFB91" w14:textId="77777777" w:rsidR="004B0FD5" w:rsidRPr="00E80A17" w:rsidRDefault="004B0FD5" w:rsidP="005712E4">
      <w:pPr>
        <w:ind w:left="708"/>
      </w:pPr>
    </w:p>
    <w:p w14:paraId="7738B833" w14:textId="68ED8053" w:rsidR="005712E4" w:rsidRPr="004A4EC9" w:rsidRDefault="005712E4" w:rsidP="005712E4">
      <w:pPr>
        <w:ind w:left="708"/>
      </w:pPr>
      <w:r w:rsidRPr="00E80A17">
        <w:t xml:space="preserve">2.2. Rashodi za </w:t>
      </w:r>
      <w:r w:rsidRPr="004A4EC9">
        <w:t xml:space="preserve">nabavu proizvedene dugotrajne imovine ostvareni su u ukupnom iznosu od </w:t>
      </w:r>
      <w:r w:rsidR="00B03C93">
        <w:t>4.883.999,17</w:t>
      </w:r>
      <w:r w:rsidRPr="004A4EC9">
        <w:t xml:space="preserve"> kuna ili </w:t>
      </w:r>
      <w:r w:rsidR="00D7456A" w:rsidRPr="004A4EC9">
        <w:t>9</w:t>
      </w:r>
      <w:r w:rsidR="00B03C93">
        <w:t>4</w:t>
      </w:r>
      <w:r w:rsidRPr="004A4EC9">
        <w:t>% od plana</w:t>
      </w:r>
      <w:r w:rsidR="00595A96" w:rsidRPr="004A4EC9">
        <w:t xml:space="preserve"> i </w:t>
      </w:r>
      <w:r w:rsidR="00B03C93">
        <w:t>26</w:t>
      </w:r>
      <w:r w:rsidR="00B84E13" w:rsidRPr="004A4EC9">
        <w:t>%</w:t>
      </w:r>
      <w:r w:rsidR="00595A96" w:rsidRPr="004A4EC9">
        <w:t xml:space="preserve"> </w:t>
      </w:r>
      <w:r w:rsidR="00B03C93">
        <w:t>viš</w:t>
      </w:r>
      <w:r w:rsidR="006030D4" w:rsidRPr="004A4EC9">
        <w:t>e</w:t>
      </w:r>
      <w:r w:rsidR="00595A96" w:rsidRPr="004A4EC9">
        <w:t xml:space="preserve"> u odnosu na </w:t>
      </w:r>
      <w:r w:rsidR="00D7456A" w:rsidRPr="004A4EC9">
        <w:t>usporedn</w:t>
      </w:r>
      <w:r w:rsidR="00B03C93">
        <w:t>u</w:t>
      </w:r>
      <w:r w:rsidR="00D7456A" w:rsidRPr="004A4EC9">
        <w:t xml:space="preserve">  </w:t>
      </w:r>
      <w:r w:rsidR="00595A96" w:rsidRPr="004A4EC9">
        <w:t>20</w:t>
      </w:r>
      <w:r w:rsidR="00B84E13" w:rsidRPr="004A4EC9">
        <w:t>2</w:t>
      </w:r>
      <w:r w:rsidR="00D7456A" w:rsidRPr="004A4EC9">
        <w:t>1</w:t>
      </w:r>
      <w:r w:rsidR="00595A96" w:rsidRPr="004A4EC9">
        <w:t>. godin</w:t>
      </w:r>
      <w:r w:rsidR="00B03C93">
        <w:t>u</w:t>
      </w:r>
      <w:r w:rsidRPr="004A4EC9">
        <w:t xml:space="preserve">. </w:t>
      </w:r>
    </w:p>
    <w:p w14:paraId="55FF6427" w14:textId="77777777" w:rsidR="005712E4" w:rsidRPr="004A4EC9" w:rsidRDefault="005712E4" w:rsidP="005712E4">
      <w:pPr>
        <w:ind w:left="708"/>
        <w:rPr>
          <w:sz w:val="20"/>
          <w:szCs w:val="20"/>
        </w:rPr>
      </w:pPr>
    </w:p>
    <w:p w14:paraId="5D32FE92" w14:textId="17CA97B9" w:rsidR="0055437A" w:rsidRDefault="005712E4" w:rsidP="00C53971">
      <w:pPr>
        <w:ind w:left="1416"/>
      </w:pPr>
      <w:r w:rsidRPr="004A4EC9">
        <w:t xml:space="preserve">2.2.1. Ulaganja u građevinske objekte izvršena su u </w:t>
      </w:r>
      <w:r w:rsidR="00833303" w:rsidRPr="004A4EC9">
        <w:t>vrijednosti o</w:t>
      </w:r>
      <w:r w:rsidRPr="004A4EC9">
        <w:t xml:space="preserve">d </w:t>
      </w:r>
      <w:r w:rsidR="0099514F">
        <w:t>3.701.300,65</w:t>
      </w:r>
      <w:r w:rsidR="004B0FD5" w:rsidRPr="004A4EC9">
        <w:t xml:space="preserve"> kuna</w:t>
      </w:r>
      <w:r w:rsidR="0006561E" w:rsidRPr="004A4EC9">
        <w:t xml:space="preserve"> ili </w:t>
      </w:r>
      <w:r w:rsidR="0055437A">
        <w:t>89</w:t>
      </w:r>
      <w:r w:rsidR="0006561E" w:rsidRPr="004A4EC9">
        <w:t xml:space="preserve">% </w:t>
      </w:r>
      <w:r w:rsidR="00F15879" w:rsidRPr="004A4EC9">
        <w:t xml:space="preserve">od </w:t>
      </w:r>
      <w:r w:rsidR="00983E90" w:rsidRPr="004A4EC9">
        <w:t>p</w:t>
      </w:r>
      <w:r w:rsidR="0006561E" w:rsidRPr="004A4EC9">
        <w:t>lana</w:t>
      </w:r>
      <w:r w:rsidR="0055437A">
        <w:t xml:space="preserve"> i 18% više u odnosu na prethodnu godinu. Vrijednosno najznačajniji iznos od 1.506.347,04 kuna odnosi se na rashode za rekonstrukciju nerazvrstane ceste D300- </w:t>
      </w:r>
      <w:proofErr w:type="spellStart"/>
      <w:r w:rsidR="0055437A">
        <w:t>Kukov</w:t>
      </w:r>
      <w:proofErr w:type="spellEnd"/>
      <w:r w:rsidR="0055437A">
        <w:t xml:space="preserve"> Vrh. Rashodi za uređenje parkirališta u gospodarsko servisnoj zoni realizirani su u iznosu od 623.137,50 kuna, a rashodi za rekonstrukciju ceste </w:t>
      </w:r>
      <w:proofErr w:type="spellStart"/>
      <w:r w:rsidR="0055437A">
        <w:t>Kršin</w:t>
      </w:r>
      <w:proofErr w:type="spellEnd"/>
      <w:r w:rsidR="0055437A">
        <w:t xml:space="preserve"> – </w:t>
      </w:r>
      <w:proofErr w:type="spellStart"/>
      <w:r w:rsidR="0055437A">
        <w:t>Bracanija</w:t>
      </w:r>
      <w:proofErr w:type="spellEnd"/>
      <w:r w:rsidR="0055437A">
        <w:t xml:space="preserve"> u iznosu od 491.850,31 kuna. Ostali rashodi se odnose na radove na sanaciji i konzervaciji kaštela </w:t>
      </w:r>
      <w:proofErr w:type="spellStart"/>
      <w:r w:rsidR="0055437A">
        <w:t>Rota</w:t>
      </w:r>
      <w:proofErr w:type="spellEnd"/>
      <w:r w:rsidR="0055437A">
        <w:t xml:space="preserve">, na otkup dijela zgrade starog vatrogasnog doma/stari Digitron, radove na izgradnji potpornog zida u Klesarskoj ulici, izradu idejnog rješenja za rekonstrukciju ulice G. Garibaldi – Trg Slobode te uređenje autobusne čekaonice u naselju Krog. Rashodi za </w:t>
      </w:r>
      <w:r w:rsidR="00BB27BF">
        <w:t>uređenje</w:t>
      </w:r>
      <w:r w:rsidR="0055437A">
        <w:t xml:space="preserve"> cesta i parkirališta u prethodnoj godini</w:t>
      </w:r>
      <w:r w:rsidR="00BB27BF">
        <w:t>,</w:t>
      </w:r>
      <w:r w:rsidR="0055437A">
        <w:t xml:space="preserve"> realizirani su u manjem obimu.</w:t>
      </w:r>
    </w:p>
    <w:p w14:paraId="66D3BE6E" w14:textId="77777777" w:rsidR="005712E4" w:rsidRPr="00E80A17" w:rsidRDefault="005712E4" w:rsidP="00C53971"/>
    <w:p w14:paraId="330B6154" w14:textId="77777777" w:rsidR="0091334F" w:rsidRDefault="005712E4" w:rsidP="001245FA">
      <w:pPr>
        <w:ind w:left="1416"/>
      </w:pPr>
      <w:r w:rsidRPr="00E80A17">
        <w:t xml:space="preserve">2.2.2. </w:t>
      </w:r>
      <w:r w:rsidR="006243B3">
        <w:t>U</w:t>
      </w:r>
      <w:r w:rsidRPr="00E80A17">
        <w:t xml:space="preserve"> postrojenja i opremu </w:t>
      </w:r>
      <w:r w:rsidR="006243B3">
        <w:t>uloženo</w:t>
      </w:r>
      <w:r w:rsidRPr="00E80A17">
        <w:t xml:space="preserve"> je ukupno </w:t>
      </w:r>
      <w:r w:rsidR="006243B3">
        <w:t>686.728,20</w:t>
      </w:r>
      <w:r w:rsidRPr="00E80A17">
        <w:t xml:space="preserve"> kuna</w:t>
      </w:r>
      <w:r w:rsidR="00200FAE">
        <w:t xml:space="preserve">. </w:t>
      </w:r>
      <w:r w:rsidR="001245FA">
        <w:t xml:space="preserve">Grad je nabavio opreme u vrijednosti od </w:t>
      </w:r>
      <w:r w:rsidR="006243B3">
        <w:t>533.003,05</w:t>
      </w:r>
      <w:r w:rsidR="001245FA">
        <w:t xml:space="preserve"> kuna</w:t>
      </w:r>
      <w:r w:rsidR="006243B3">
        <w:t xml:space="preserve">. Najveći dio rashoda 201.583,25 kuna, </w:t>
      </w:r>
      <w:r w:rsidR="00D3754B">
        <w:t>odnos</w:t>
      </w:r>
      <w:r w:rsidR="006243B3">
        <w:t>i se</w:t>
      </w:r>
      <w:r w:rsidR="00D3754B">
        <w:t xml:space="preserve"> na</w:t>
      </w:r>
      <w:r w:rsidR="006243B3">
        <w:t xml:space="preserve"> opremu za smirivanje prometa. U opremu za dječja igrališta u naselju Kaštel te u dvorištu zgrade Centra za inkluziju i podršku zajednici uloženo je 180.118,75 kuna. Osim toga, nabavljene su </w:t>
      </w:r>
      <w:r w:rsidR="00D3754B">
        <w:t xml:space="preserve">metalne police za arhivu, </w:t>
      </w:r>
      <w:r w:rsidR="0091334F">
        <w:t xml:space="preserve">nabavljena su </w:t>
      </w:r>
      <w:r w:rsidR="006243B3">
        <w:t>računala radi zamjene dotrajale opreme</w:t>
      </w:r>
      <w:r w:rsidR="0091334F">
        <w:t xml:space="preserve">, izvršena je dogradnja sustava javne internet mreže WIFI4EU i sustava javnog videonadzora koji je instaliran prethodne godine, nabavljen je klima uređaj za zgradu u kojoj je smješten Centar za inkluziju i podršku zajednici te instaliran novi sustav za praćenje evidencije radnog vremena. </w:t>
      </w:r>
    </w:p>
    <w:p w14:paraId="643D6AA2" w14:textId="2FCACD47" w:rsidR="00A416ED" w:rsidRPr="004A4EC9" w:rsidRDefault="00C45AFC" w:rsidP="001245FA">
      <w:pPr>
        <w:ind w:left="1416"/>
      </w:pPr>
      <w:r w:rsidRPr="004A4EC9">
        <w:t xml:space="preserve">Razlika od </w:t>
      </w:r>
      <w:r w:rsidR="0091334F">
        <w:t>153.725,15</w:t>
      </w:r>
      <w:r w:rsidRPr="004A4EC9">
        <w:t xml:space="preserve"> kuna odnosi se na opremu nabavljenu </w:t>
      </w:r>
      <w:r w:rsidR="00085D52" w:rsidRPr="004A4EC9">
        <w:t xml:space="preserve">od strane </w:t>
      </w:r>
      <w:r w:rsidR="00DF4D70">
        <w:t>proračunskih korisnika i to pretežito iz sredstava pomoći i donacija</w:t>
      </w:r>
      <w:r w:rsidR="00085D52" w:rsidRPr="004A4EC9">
        <w:t>.</w:t>
      </w:r>
      <w:r w:rsidRPr="004A4EC9">
        <w:t xml:space="preserve"> </w:t>
      </w:r>
    </w:p>
    <w:p w14:paraId="5C2931F7" w14:textId="77777777" w:rsidR="00435922" w:rsidRPr="004A4EC9" w:rsidRDefault="00435922" w:rsidP="00435922">
      <w:pPr>
        <w:rPr>
          <w:sz w:val="20"/>
          <w:szCs w:val="20"/>
        </w:rPr>
      </w:pPr>
    </w:p>
    <w:p w14:paraId="2030E02F" w14:textId="6917E0AC" w:rsidR="005712E4" w:rsidRPr="004A4EC9" w:rsidRDefault="00E95B00" w:rsidP="005712E4">
      <w:pPr>
        <w:ind w:left="1416"/>
      </w:pPr>
      <w:r w:rsidRPr="004A4EC9">
        <w:t>2.2.</w:t>
      </w:r>
      <w:r w:rsidR="00A416ED" w:rsidRPr="004A4EC9">
        <w:t>3</w:t>
      </w:r>
      <w:r w:rsidR="005712E4" w:rsidRPr="004A4EC9">
        <w:t xml:space="preserve">. Rashodi za knjige </w:t>
      </w:r>
      <w:r w:rsidR="00012068" w:rsidRPr="004A4EC9">
        <w:t xml:space="preserve">realizirani su u ukupnom iznosu od </w:t>
      </w:r>
      <w:r w:rsidR="00DF4D70">
        <w:t>37.382,82</w:t>
      </w:r>
      <w:r w:rsidR="00012068" w:rsidRPr="004A4EC9">
        <w:t xml:space="preserve"> kun</w:t>
      </w:r>
      <w:r w:rsidR="005E63AE" w:rsidRPr="004A4EC9">
        <w:t>a</w:t>
      </w:r>
      <w:r w:rsidR="00DF4D70">
        <w:t xml:space="preserve"> i odnose se na </w:t>
      </w:r>
      <w:r w:rsidR="00F6297F" w:rsidRPr="004A4EC9">
        <w:t>nabavu knjiga za</w:t>
      </w:r>
      <w:r w:rsidR="00012068" w:rsidRPr="004A4EC9">
        <w:t xml:space="preserve"> </w:t>
      </w:r>
      <w:r w:rsidR="005712E4" w:rsidRPr="004A4EC9">
        <w:t>Gradsku knjižnicu</w:t>
      </w:r>
      <w:r w:rsidR="00DF4D70">
        <w:t>.</w:t>
      </w:r>
    </w:p>
    <w:p w14:paraId="6221CDF8" w14:textId="77777777" w:rsidR="00BB27BF" w:rsidRPr="004A4EC9" w:rsidRDefault="00BB27BF" w:rsidP="005712E4">
      <w:pPr>
        <w:ind w:left="1416"/>
      </w:pPr>
    </w:p>
    <w:p w14:paraId="379D4F94" w14:textId="1A6E9BAB" w:rsidR="00085D52" w:rsidRDefault="00085D52" w:rsidP="005712E4">
      <w:pPr>
        <w:ind w:left="1416"/>
      </w:pPr>
      <w:r w:rsidRPr="004A4EC9">
        <w:t>2.2.4. Rashodi za višegodišnje nasade nisu realizirani.</w:t>
      </w:r>
    </w:p>
    <w:p w14:paraId="5D5766FE" w14:textId="77777777" w:rsidR="00BB27BF" w:rsidRPr="004A4EC9" w:rsidRDefault="00BB27BF" w:rsidP="005712E4">
      <w:pPr>
        <w:ind w:left="1416"/>
      </w:pPr>
    </w:p>
    <w:p w14:paraId="08576211" w14:textId="512272E5" w:rsidR="000F0F88" w:rsidRDefault="005712E4" w:rsidP="000F0F88">
      <w:pPr>
        <w:ind w:left="1416"/>
      </w:pPr>
      <w:r w:rsidRPr="004A4EC9">
        <w:t>2.2.</w:t>
      </w:r>
      <w:r w:rsidR="00085D52" w:rsidRPr="004A4EC9">
        <w:t>5</w:t>
      </w:r>
      <w:r w:rsidRPr="004A4EC9">
        <w:t xml:space="preserve">. Nematerijalna proizvedena imovina </w:t>
      </w:r>
      <w:r w:rsidR="00012068" w:rsidRPr="004A4EC9">
        <w:t>nabavljena je</w:t>
      </w:r>
      <w:r w:rsidR="005438C6" w:rsidRPr="004A4EC9">
        <w:t xml:space="preserve"> </w:t>
      </w:r>
      <w:r w:rsidRPr="004A4EC9">
        <w:t xml:space="preserve">u ukupnoj vrijednosti od </w:t>
      </w:r>
      <w:r w:rsidR="00DF4D70">
        <w:t>458.587,50</w:t>
      </w:r>
      <w:r w:rsidR="00CC2A0C" w:rsidRPr="004A4EC9">
        <w:t xml:space="preserve"> </w:t>
      </w:r>
      <w:r w:rsidRPr="004A4EC9">
        <w:t>kuna</w:t>
      </w:r>
      <w:r w:rsidR="006A4F75" w:rsidRPr="004A4EC9">
        <w:t xml:space="preserve"> ili </w:t>
      </w:r>
      <w:r w:rsidR="000F0F88" w:rsidRPr="004A4EC9">
        <w:t>8</w:t>
      </w:r>
      <w:r w:rsidR="00DF4D70">
        <w:t>7</w:t>
      </w:r>
      <w:r w:rsidR="006A4F75" w:rsidRPr="004A4EC9">
        <w:t xml:space="preserve">% od </w:t>
      </w:r>
      <w:r w:rsidR="000F0F88" w:rsidRPr="004A4EC9">
        <w:t>p</w:t>
      </w:r>
      <w:r w:rsidR="006A4F75" w:rsidRPr="004A4EC9">
        <w:t>lana</w:t>
      </w:r>
      <w:r w:rsidR="00A416ED" w:rsidRPr="004A4EC9">
        <w:t xml:space="preserve">, a odnosi se na </w:t>
      </w:r>
      <w:r w:rsidR="00085D52" w:rsidRPr="004A4EC9">
        <w:t xml:space="preserve">ulaganja u računalne </w:t>
      </w:r>
      <w:r w:rsidR="00085D52" w:rsidRPr="004A4EC9">
        <w:lastRenderedPageBreak/>
        <w:t>programe (nadogradnju GIS aplikacije za prikupljanje i unos podataka o vlasništvu čestica prema zemljišnim knjigama</w:t>
      </w:r>
      <w:r w:rsidR="00DF4D70">
        <w:t xml:space="preserve">, nadogradnju i prilagodbu programskog sustava za uvođenje EUR-a te na </w:t>
      </w:r>
      <w:r w:rsidR="00085D52" w:rsidRPr="004A4EC9">
        <w:t>računalnu aplikaciju za evi</w:t>
      </w:r>
      <w:r w:rsidR="007D096B" w:rsidRPr="004A4EC9">
        <w:t>denciju kolekcije uplata Hrvatske pošte d.d.) i izradu p</w:t>
      </w:r>
      <w:r w:rsidR="00983C11" w:rsidRPr="004A4EC9">
        <w:t>r</w:t>
      </w:r>
      <w:r w:rsidR="007D096B" w:rsidRPr="004A4EC9">
        <w:t>ostor</w:t>
      </w:r>
      <w:r w:rsidR="00983C11" w:rsidRPr="004A4EC9">
        <w:t>n</w:t>
      </w:r>
      <w:r w:rsidR="007D096B" w:rsidRPr="004A4EC9">
        <w:t>o planske dokumentacije (izradu UPU dijela nas</w:t>
      </w:r>
      <w:r w:rsidR="00983C11" w:rsidRPr="004A4EC9">
        <w:t>e</w:t>
      </w:r>
      <w:r w:rsidR="007D096B" w:rsidRPr="004A4EC9">
        <w:t xml:space="preserve">lja Buje – </w:t>
      </w:r>
      <w:proofErr w:type="spellStart"/>
      <w:r w:rsidR="007D096B" w:rsidRPr="004A4EC9">
        <w:t>Digitronska</w:t>
      </w:r>
      <w:proofErr w:type="spellEnd"/>
      <w:r w:rsidR="007D096B" w:rsidRPr="004A4EC9">
        <w:t xml:space="preserve"> ulica</w:t>
      </w:r>
      <w:r w:rsidR="006C41EC">
        <w:t xml:space="preserve">, UPU dijela ulice Rudine – V. Gortan, UPU </w:t>
      </w:r>
      <w:proofErr w:type="spellStart"/>
      <w:r w:rsidR="006C41EC">
        <w:t>Triban</w:t>
      </w:r>
      <w:proofErr w:type="spellEnd"/>
      <w:r w:rsidR="006C41EC">
        <w:t xml:space="preserve"> 1, UPU </w:t>
      </w:r>
      <w:proofErr w:type="spellStart"/>
      <w:r w:rsidR="006C41EC">
        <w:t>Vižinada</w:t>
      </w:r>
      <w:proofErr w:type="spellEnd"/>
      <w:r w:rsidR="006C41EC">
        <w:t xml:space="preserve"> 1, UPU </w:t>
      </w:r>
      <w:proofErr w:type="spellStart"/>
      <w:r w:rsidR="006C41EC">
        <w:t>Vižinada</w:t>
      </w:r>
      <w:proofErr w:type="spellEnd"/>
      <w:r w:rsidR="006C41EC">
        <w:t xml:space="preserve"> 2, UPU </w:t>
      </w:r>
      <w:proofErr w:type="spellStart"/>
      <w:r w:rsidR="006C41EC">
        <w:t>Kruj</w:t>
      </w:r>
      <w:proofErr w:type="spellEnd"/>
      <w:r w:rsidR="006C41EC">
        <w:t xml:space="preserve"> 2</w:t>
      </w:r>
      <w:r w:rsidR="007D096B" w:rsidRPr="004A4EC9">
        <w:t xml:space="preserve"> te sedmih Izmjena i dop</w:t>
      </w:r>
      <w:r w:rsidR="00983C11" w:rsidRPr="004A4EC9">
        <w:t>u</w:t>
      </w:r>
      <w:r w:rsidR="007D096B" w:rsidRPr="004A4EC9">
        <w:t>na PPU Grada Buja</w:t>
      </w:r>
      <w:r w:rsidR="007D096B">
        <w:t xml:space="preserve">). </w:t>
      </w:r>
    </w:p>
    <w:p w14:paraId="162B1264" w14:textId="77777777" w:rsidR="000F0F88" w:rsidRPr="00E80A17" w:rsidRDefault="000F0F88" w:rsidP="000F0F88">
      <w:pPr>
        <w:rPr>
          <w:sz w:val="20"/>
          <w:szCs w:val="20"/>
        </w:rPr>
      </w:pPr>
    </w:p>
    <w:p w14:paraId="41B365E3" w14:textId="2380BE81" w:rsidR="009956B3" w:rsidRDefault="005712E4" w:rsidP="00B959C9">
      <w:pPr>
        <w:ind w:left="708"/>
      </w:pPr>
      <w:r w:rsidRPr="00E80A17">
        <w:t xml:space="preserve">2.3. Rashodi za dodatna ulaganja na nefinancijskoj imovini ostvareni su u iznosu od </w:t>
      </w:r>
      <w:r w:rsidR="006C41EC">
        <w:t>1.514.076,66</w:t>
      </w:r>
      <w:r w:rsidRPr="00E80A17">
        <w:t xml:space="preserve"> kuna</w:t>
      </w:r>
      <w:r w:rsidR="0006561E" w:rsidRPr="00E80A17">
        <w:t xml:space="preserve"> </w:t>
      </w:r>
      <w:r w:rsidR="00B959C9">
        <w:t xml:space="preserve">što </w:t>
      </w:r>
      <w:r w:rsidR="007D096B">
        <w:t xml:space="preserve">je </w:t>
      </w:r>
      <w:r w:rsidR="006C41EC">
        <w:t>73</w:t>
      </w:r>
      <w:r w:rsidR="007D096B">
        <w:t>% manje u odnosu na 2021. godin</w:t>
      </w:r>
      <w:r w:rsidR="006C41EC">
        <w:t>u</w:t>
      </w:r>
      <w:r w:rsidR="007D096B">
        <w:t xml:space="preserve">, a odnose se na </w:t>
      </w:r>
      <w:r w:rsidR="006C41EC">
        <w:t>proširenje javne rasvjete (</w:t>
      </w:r>
      <w:proofErr w:type="spellStart"/>
      <w:r w:rsidR="006C41EC">
        <w:t>Kruj</w:t>
      </w:r>
      <w:proofErr w:type="spellEnd"/>
      <w:r w:rsidR="006C41EC">
        <w:t xml:space="preserve">, </w:t>
      </w:r>
      <w:proofErr w:type="spellStart"/>
      <w:r w:rsidR="006C41EC">
        <w:t>Juricanija</w:t>
      </w:r>
      <w:proofErr w:type="spellEnd"/>
      <w:r w:rsidR="006C41EC">
        <w:t xml:space="preserve">, </w:t>
      </w:r>
      <w:proofErr w:type="spellStart"/>
      <w:r w:rsidR="006C41EC">
        <w:t>Buroli</w:t>
      </w:r>
      <w:proofErr w:type="spellEnd"/>
      <w:r w:rsidR="006C41EC">
        <w:t xml:space="preserve">, starogradska jezgra, </w:t>
      </w:r>
      <w:proofErr w:type="spellStart"/>
      <w:r w:rsidR="006C41EC">
        <w:t>Trkusi</w:t>
      </w:r>
      <w:proofErr w:type="spellEnd"/>
      <w:r w:rsidR="006C41EC">
        <w:t xml:space="preserve">, </w:t>
      </w:r>
      <w:proofErr w:type="spellStart"/>
      <w:r w:rsidR="006C41EC">
        <w:t>Bibali</w:t>
      </w:r>
      <w:proofErr w:type="spellEnd"/>
      <w:r w:rsidR="006C41EC">
        <w:t xml:space="preserve">), na </w:t>
      </w:r>
      <w:r w:rsidR="009956B3">
        <w:t xml:space="preserve">radove na zgradi društvenog doma u </w:t>
      </w:r>
      <w:proofErr w:type="spellStart"/>
      <w:r w:rsidR="009956B3">
        <w:t>Malotiji</w:t>
      </w:r>
      <w:proofErr w:type="spellEnd"/>
      <w:r w:rsidR="009956B3">
        <w:t xml:space="preserve">, </w:t>
      </w:r>
      <w:r w:rsidR="006C41EC">
        <w:t xml:space="preserve">na </w:t>
      </w:r>
      <w:r w:rsidR="009956B3">
        <w:t xml:space="preserve">zgradi starog vatrogasnog doma/stari Digitron, </w:t>
      </w:r>
      <w:r w:rsidR="006C41EC">
        <w:t xml:space="preserve">zgradi stare škole u </w:t>
      </w:r>
      <w:proofErr w:type="spellStart"/>
      <w:r w:rsidR="006C41EC">
        <w:t>Kršetama</w:t>
      </w:r>
      <w:proofErr w:type="spellEnd"/>
      <w:r w:rsidR="006C41EC">
        <w:t xml:space="preserve">, </w:t>
      </w:r>
      <w:r w:rsidR="009956B3">
        <w:t xml:space="preserve">zgradi stare osnovne škole na Trgu Sv. </w:t>
      </w:r>
      <w:proofErr w:type="spellStart"/>
      <w:r w:rsidR="009956B3">
        <w:t>Servula</w:t>
      </w:r>
      <w:proofErr w:type="spellEnd"/>
      <w:r w:rsidR="006C41EC">
        <w:t xml:space="preserve"> i zgradi u kojoj je smješten Centar za inkluziju,</w:t>
      </w:r>
      <w:r w:rsidR="009956B3">
        <w:t xml:space="preserve"> na investicij</w:t>
      </w:r>
      <w:r w:rsidR="00983C11">
        <w:t>s</w:t>
      </w:r>
      <w:r w:rsidR="009956B3">
        <w:t>ko održavanje stanova</w:t>
      </w:r>
      <w:r w:rsidR="006C41EC">
        <w:t xml:space="preserve">, radove na objektu u sportskoj zoni </w:t>
      </w:r>
      <w:proofErr w:type="spellStart"/>
      <w:r w:rsidR="006C41EC">
        <w:t>Momjan</w:t>
      </w:r>
      <w:proofErr w:type="spellEnd"/>
      <w:r w:rsidR="006C41EC">
        <w:t xml:space="preserve"> i</w:t>
      </w:r>
      <w:r w:rsidR="009956B3">
        <w:t xml:space="preserve"> uređenj</w:t>
      </w:r>
      <w:r w:rsidR="006C41EC">
        <w:t>u</w:t>
      </w:r>
      <w:r w:rsidR="009956B3">
        <w:t xml:space="preserve"> okoliša dječjeg vrtića te na izradu dokumentacije za energetsku obnovu zgrade Pučkog otvorenog učilišta Buje</w:t>
      </w:r>
      <w:r w:rsidR="006C41EC">
        <w:t xml:space="preserve"> i uređenje zgrade stare uljare</w:t>
      </w:r>
      <w:r w:rsidR="009956B3">
        <w:t>.</w:t>
      </w:r>
    </w:p>
    <w:p w14:paraId="0F701503" w14:textId="68835B91" w:rsidR="009956B3" w:rsidRDefault="009956B3" w:rsidP="00BB27BF">
      <w:pPr>
        <w:ind w:left="708" w:firstLine="708"/>
      </w:pPr>
      <w:r>
        <w:t xml:space="preserve">U izvještajnom razdoblju prethodne godine rashodi su bili </w:t>
      </w:r>
      <w:r w:rsidR="006C41EC">
        <w:t>veći</w:t>
      </w:r>
      <w:r>
        <w:t xml:space="preserve"> jer se provodio projekt zamjene javne rasvjete LED rasvjetom kao i </w:t>
      </w:r>
      <w:r w:rsidR="006C41EC">
        <w:t xml:space="preserve">završna faza </w:t>
      </w:r>
      <w:r>
        <w:t>projekt</w:t>
      </w:r>
      <w:r w:rsidR="006C41EC">
        <w:t>a</w:t>
      </w:r>
      <w:r>
        <w:t xml:space="preserve"> energetske obnove zgrade dječjeg vrtića.</w:t>
      </w:r>
    </w:p>
    <w:p w14:paraId="3B2505E8" w14:textId="77777777" w:rsidR="005712E4" w:rsidRPr="00E80A17" w:rsidRDefault="005712E4" w:rsidP="005712E4">
      <w:pPr>
        <w:ind w:left="708"/>
        <w:rPr>
          <w:sz w:val="20"/>
          <w:szCs w:val="20"/>
        </w:rPr>
      </w:pPr>
    </w:p>
    <w:p w14:paraId="16606023" w14:textId="34597F36" w:rsidR="000B4C80" w:rsidRDefault="0079579D" w:rsidP="00342E84">
      <w:r w:rsidRPr="00E80A17">
        <w:t xml:space="preserve">3. </w:t>
      </w:r>
      <w:r w:rsidR="005712E4" w:rsidRPr="00E80A17">
        <w:t xml:space="preserve">Izdaci za financijsku imovinu </w:t>
      </w:r>
      <w:r w:rsidR="00F6297F">
        <w:t xml:space="preserve">i otplate kredita </w:t>
      </w:r>
      <w:r w:rsidR="005712E4" w:rsidRPr="00E80A17">
        <w:t xml:space="preserve">u </w:t>
      </w:r>
      <w:r w:rsidR="00697EF4">
        <w:t>2</w:t>
      </w:r>
      <w:r w:rsidR="005712E4" w:rsidRPr="00E80A17">
        <w:t>0</w:t>
      </w:r>
      <w:r w:rsidR="00E63763">
        <w:t>2</w:t>
      </w:r>
      <w:r w:rsidR="00DF2216">
        <w:t>2</w:t>
      </w:r>
      <w:r w:rsidR="005712E4" w:rsidRPr="00E80A17">
        <w:t>. godin</w:t>
      </w:r>
      <w:r w:rsidR="00697EF4">
        <w:t>i</w:t>
      </w:r>
      <w:r w:rsidR="005712E4" w:rsidRPr="00E80A17">
        <w:t xml:space="preserve"> realizirani su u</w:t>
      </w:r>
      <w:r w:rsidR="00E63763">
        <w:t xml:space="preserve"> ukupnom </w:t>
      </w:r>
      <w:r w:rsidR="005712E4" w:rsidRPr="00E80A17">
        <w:t xml:space="preserve">iznosu od </w:t>
      </w:r>
      <w:r w:rsidR="006877A3">
        <w:t>1.216.116,80</w:t>
      </w:r>
      <w:r w:rsidR="005712E4" w:rsidRPr="00E80A17">
        <w:t xml:space="preserve"> kuna</w:t>
      </w:r>
      <w:r w:rsidR="00E63763">
        <w:t>.</w:t>
      </w:r>
    </w:p>
    <w:p w14:paraId="0A54E3CD" w14:textId="77777777" w:rsidR="000B4C80" w:rsidRDefault="000B4C80" w:rsidP="00342E84"/>
    <w:p w14:paraId="75B3F514" w14:textId="22480AC2" w:rsidR="00CC15C6" w:rsidRDefault="000B4C80" w:rsidP="007B44E0">
      <w:pPr>
        <w:ind w:left="708"/>
      </w:pPr>
      <w:r>
        <w:t>3.1. Izdaci za dionice i udjele u glavnici</w:t>
      </w:r>
      <w:r w:rsidR="005712E4" w:rsidRPr="00E80A17">
        <w:t xml:space="preserve"> odnose se na </w:t>
      </w:r>
      <w:r w:rsidR="0079579D" w:rsidRPr="00E80A17">
        <w:t xml:space="preserve">otplate temeljem Ugovora o načinu i uvjetima povrata sredstava u proračun Istarske županije za izgradnju ŽCGO </w:t>
      </w:r>
      <w:r w:rsidR="00ED312E" w:rsidRPr="00E80A17">
        <w:t>„</w:t>
      </w:r>
      <w:proofErr w:type="spellStart"/>
      <w:r w:rsidR="0079579D" w:rsidRPr="00E80A17">
        <w:t>Kaštijun</w:t>
      </w:r>
      <w:proofErr w:type="spellEnd"/>
      <w:r w:rsidR="00ED312E" w:rsidRPr="00E80A17">
        <w:t>“</w:t>
      </w:r>
      <w:r w:rsidR="0079579D" w:rsidRPr="00E80A17">
        <w:t xml:space="preserve"> </w:t>
      </w:r>
      <w:r w:rsidR="00ED312E" w:rsidRPr="00E80A17">
        <w:t xml:space="preserve">koji je Grad Buje – Buie sklopio s Istarskom županijom </w:t>
      </w:r>
      <w:r w:rsidR="00F84147">
        <w:t xml:space="preserve">08.03.2017. godine, </w:t>
      </w:r>
      <w:r w:rsidR="00ED312E" w:rsidRPr="00E80A17">
        <w:t>na sveukupni iznos od 232.360,25 EUR, u kunskoj protuvrijednosti, s otplatom na 20 godina. Navedenim Ugovorom</w:t>
      </w:r>
      <w:r w:rsidR="0079579D" w:rsidRPr="00E80A17">
        <w:t xml:space="preserve"> </w:t>
      </w:r>
      <w:r w:rsidR="00ED312E" w:rsidRPr="00E80A17">
        <w:t>utvrđeno je</w:t>
      </w:r>
      <w:r w:rsidR="0079579D" w:rsidRPr="00E80A17">
        <w:t xml:space="preserve"> da će uplaćena sredstva predstavljati vlasnički udio u trgovačkom društvu </w:t>
      </w:r>
      <w:proofErr w:type="spellStart"/>
      <w:r w:rsidR="0079579D" w:rsidRPr="00E80A17">
        <w:t>Kaštijun</w:t>
      </w:r>
      <w:proofErr w:type="spellEnd"/>
      <w:r w:rsidR="0079579D" w:rsidRPr="00E80A17">
        <w:t xml:space="preserve"> d.o.o.</w:t>
      </w:r>
      <w:r w:rsidR="00ED312E" w:rsidRPr="00E80A17">
        <w:t>, a što će biti regulirano posebnim Ugovorom.</w:t>
      </w:r>
      <w:r w:rsidR="0079579D" w:rsidRPr="00E80A17">
        <w:t xml:space="preserve"> </w:t>
      </w:r>
      <w:r w:rsidR="0052211A">
        <w:t>Prema planu otplate u</w:t>
      </w:r>
      <w:r>
        <w:t xml:space="preserve"> 202</w:t>
      </w:r>
      <w:r w:rsidR="00DF2216">
        <w:t>2</w:t>
      </w:r>
      <w:r>
        <w:t>. godin</w:t>
      </w:r>
      <w:r w:rsidR="006877A3">
        <w:t>i</w:t>
      </w:r>
      <w:r w:rsidR="0052211A">
        <w:t xml:space="preserve"> </w:t>
      </w:r>
      <w:r>
        <w:t>doznačeno</w:t>
      </w:r>
      <w:r w:rsidR="0052211A">
        <w:t xml:space="preserve"> je</w:t>
      </w:r>
      <w:r>
        <w:t xml:space="preserve"> </w:t>
      </w:r>
      <w:r w:rsidR="006877A3">
        <w:t>87.589,50</w:t>
      </w:r>
      <w:r>
        <w:t xml:space="preserve"> kuna.</w:t>
      </w:r>
    </w:p>
    <w:p w14:paraId="13CDF6A8" w14:textId="77777777" w:rsidR="000B4C80" w:rsidRDefault="000B4C80" w:rsidP="00342E84"/>
    <w:p w14:paraId="70770B7A" w14:textId="3F79CD32" w:rsidR="00E02859" w:rsidRDefault="000B4C80" w:rsidP="00697EF4">
      <w:pPr>
        <w:ind w:left="708"/>
      </w:pPr>
      <w:r>
        <w:t xml:space="preserve">3.2. Izdaci za otplatu glavnice primljenih kredita i zajmova </w:t>
      </w:r>
      <w:r w:rsidR="00DF2216">
        <w:t>re</w:t>
      </w:r>
      <w:r w:rsidR="00983C11">
        <w:t>a</w:t>
      </w:r>
      <w:r w:rsidR="00DF2216">
        <w:t>lizirani</w:t>
      </w:r>
      <w:r>
        <w:t xml:space="preserve"> su u ukupnom iznosu od </w:t>
      </w:r>
      <w:r w:rsidR="006877A3">
        <w:t xml:space="preserve">1.128.527,30 </w:t>
      </w:r>
      <w:r>
        <w:t>kuna</w:t>
      </w:r>
      <w:r w:rsidR="00697EF4">
        <w:t xml:space="preserve">, </w:t>
      </w:r>
      <w:r w:rsidR="00697EF4" w:rsidRPr="004A7618">
        <w:t xml:space="preserve">a odnose se </w:t>
      </w:r>
      <w:r w:rsidR="00DF2216">
        <w:t>na</w:t>
      </w:r>
      <w:r w:rsidR="00697EF4" w:rsidRPr="004A7618">
        <w:t xml:space="preserve"> </w:t>
      </w:r>
      <w:r w:rsidR="00247139">
        <w:t>otplatu</w:t>
      </w:r>
      <w:r w:rsidR="00697EF4" w:rsidRPr="004A7618">
        <w:t xml:space="preserve"> glavnice kredita kod Istarske kreditne banke Umag d.d. za energetsku obnovu zgrade uprave i Centra za inkluziju </w:t>
      </w:r>
      <w:r w:rsidR="006877A3">
        <w:t>183.172,84</w:t>
      </w:r>
      <w:r w:rsidR="00697EF4" w:rsidRPr="004A7618">
        <w:t xml:space="preserve"> kuna, </w:t>
      </w:r>
      <w:r w:rsidR="00DF2216">
        <w:t xml:space="preserve">na otplatu glavnice kredita kod Istarske kreditne banke Umag d.d. za energetsku obnovu zgrade dječjeg vrtića </w:t>
      </w:r>
      <w:r w:rsidR="006877A3">
        <w:t>299.636,68</w:t>
      </w:r>
      <w:r w:rsidR="00DF2216">
        <w:t xml:space="preserve">  kuna, </w:t>
      </w:r>
      <w:r w:rsidR="00247139">
        <w:t xml:space="preserve">na otplatu glavnice kredita kod Istarske kreditne banke Umag d.d. za projekt zamjene javne rasvjete LED rasvjetom </w:t>
      </w:r>
      <w:r w:rsidR="006877A3">
        <w:t>90.012,42</w:t>
      </w:r>
      <w:r w:rsidR="00247139">
        <w:t xml:space="preserve"> kuna, </w:t>
      </w:r>
      <w:r w:rsidR="00697EF4" w:rsidRPr="004A7618">
        <w:t xml:space="preserve">na </w:t>
      </w:r>
      <w:r w:rsidR="00247139">
        <w:t>otplatu</w:t>
      </w:r>
      <w:r w:rsidR="00697EF4" w:rsidRPr="004A7618">
        <w:t xml:space="preserve"> glavnice kredita kod Hrvatske banke za obnovu i razvitak za projekt zamjene javne rasvjete LED rasvjetom </w:t>
      </w:r>
      <w:r w:rsidR="006877A3">
        <w:t>236.355,64</w:t>
      </w:r>
      <w:r w:rsidR="00697EF4" w:rsidRPr="004A7618">
        <w:t xml:space="preserve"> kuna te na povrat zajmova Ministarstvu financija po osnovi odgode plaćanja poreznih obveza poduzetnika u iznosu od </w:t>
      </w:r>
      <w:r w:rsidR="006877A3">
        <w:t>219.349,72</w:t>
      </w:r>
      <w:r w:rsidR="00697EF4" w:rsidRPr="004A7618">
        <w:t xml:space="preserve"> kuna i po osnovi pada prihoda </w:t>
      </w:r>
      <w:r w:rsidR="006877A3">
        <w:t>100.000</w:t>
      </w:r>
      <w:r w:rsidR="00247139">
        <w:t>,00</w:t>
      </w:r>
      <w:r w:rsidR="00697EF4" w:rsidRPr="004A7618">
        <w:t xml:space="preserve"> kuna.</w:t>
      </w:r>
    </w:p>
    <w:p w14:paraId="27DB8E60" w14:textId="77777777" w:rsidR="003C6A20" w:rsidRDefault="003C6A20" w:rsidP="00697EF4">
      <w:pPr>
        <w:ind w:left="708"/>
      </w:pPr>
    </w:p>
    <w:p w14:paraId="51E042AA" w14:textId="77777777" w:rsidR="003C6A20" w:rsidRDefault="003C6A20" w:rsidP="00697EF4">
      <w:pPr>
        <w:ind w:left="708"/>
      </w:pPr>
    </w:p>
    <w:p w14:paraId="79949006" w14:textId="77777777" w:rsidR="00BB27BF" w:rsidRDefault="00BB27BF" w:rsidP="00697EF4">
      <w:pPr>
        <w:ind w:left="708"/>
      </w:pPr>
    </w:p>
    <w:p w14:paraId="150D0AA9" w14:textId="77777777" w:rsidR="00BB27BF" w:rsidRDefault="00BB27BF" w:rsidP="00697EF4">
      <w:pPr>
        <w:ind w:left="708"/>
      </w:pPr>
    </w:p>
    <w:p w14:paraId="403E179C" w14:textId="77777777" w:rsidR="003C6A20" w:rsidRDefault="003C6A20" w:rsidP="00697EF4">
      <w:pPr>
        <w:ind w:left="708"/>
      </w:pPr>
    </w:p>
    <w:p w14:paraId="005EF24F" w14:textId="77777777" w:rsidR="0076416E" w:rsidRDefault="0076416E" w:rsidP="00697EF4">
      <w:pPr>
        <w:ind w:left="708"/>
      </w:pPr>
    </w:p>
    <w:p w14:paraId="4578D89A" w14:textId="77777777" w:rsidR="003C6A20" w:rsidRDefault="003C6A20" w:rsidP="00697EF4">
      <w:pPr>
        <w:ind w:left="708"/>
      </w:pPr>
    </w:p>
    <w:p w14:paraId="40373352" w14:textId="77777777" w:rsidR="007E71B0" w:rsidRDefault="007E71B0" w:rsidP="007E71B0"/>
    <w:p w14:paraId="3A629B86" w14:textId="62F14BF0" w:rsidR="007E71B0" w:rsidRDefault="007E71B0" w:rsidP="007E71B0">
      <w:pPr>
        <w:pStyle w:val="Uvuenotijeloteksta"/>
        <w:ind w:left="0"/>
      </w:pPr>
      <w:r w:rsidRPr="00E80A17">
        <w:lastRenderedPageBreak/>
        <w:t xml:space="preserve">Struktura ostvarenih </w:t>
      </w:r>
      <w:r>
        <w:t>rashoda i izdataka</w:t>
      </w:r>
      <w:r w:rsidRPr="00E80A17">
        <w:t xml:space="preserve"> u 20</w:t>
      </w:r>
      <w:r>
        <w:t>22</w:t>
      </w:r>
      <w:r w:rsidRPr="00E80A17">
        <w:t>. godin</w:t>
      </w:r>
      <w:r w:rsidR="003C6A20">
        <w:t>i</w:t>
      </w:r>
    </w:p>
    <w:p w14:paraId="26744608" w14:textId="55AF7593" w:rsidR="007E71B0" w:rsidRDefault="007E71B0" w:rsidP="005712E4">
      <w:pPr>
        <w:pStyle w:val="Uvuenotijeloteksta"/>
        <w:ind w:left="0"/>
      </w:pPr>
    </w:p>
    <w:p w14:paraId="473E6BFB" w14:textId="3B669B00" w:rsidR="007E71B0" w:rsidRDefault="006F2EDE" w:rsidP="005712E4">
      <w:pPr>
        <w:pStyle w:val="Uvuenotijeloteksta"/>
        <w:ind w:left="0"/>
      </w:pPr>
      <w:r>
        <w:rPr>
          <w:noProof/>
        </w:rPr>
        <w:drawing>
          <wp:inline distT="0" distB="0" distL="0" distR="0" wp14:anchorId="3043ABD3" wp14:editId="2F238091">
            <wp:extent cx="4857750" cy="3476625"/>
            <wp:effectExtent l="0" t="0" r="0" b="9525"/>
            <wp:docPr id="1841616579" name="Grafikon 1">
              <a:extLst xmlns:a="http://schemas.openxmlformats.org/drawingml/2006/main">
                <a:ext uri="{FF2B5EF4-FFF2-40B4-BE49-F238E27FC236}">
                  <a16:creationId xmlns:a16="http://schemas.microsoft.com/office/drawing/2014/main" id="{5DC42EDF-F4D0-4867-AA48-4267A9C96A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9AA6AB" w14:textId="12F8BFB9" w:rsidR="00211B86" w:rsidRDefault="00211B86" w:rsidP="005712E4">
      <w:pPr>
        <w:pStyle w:val="Uvuenotijeloteksta"/>
        <w:ind w:left="0"/>
      </w:pPr>
    </w:p>
    <w:p w14:paraId="425688C8" w14:textId="3402C907" w:rsidR="00675494" w:rsidRDefault="00675494" w:rsidP="00675494">
      <w:pPr>
        <w:pStyle w:val="Uvuenotijeloteksta"/>
        <w:ind w:left="0"/>
      </w:pPr>
      <w:r w:rsidRPr="00E80A17">
        <w:t xml:space="preserve">Ostvarenje </w:t>
      </w:r>
      <w:r>
        <w:t>rashoda i izdataka</w:t>
      </w:r>
      <w:r w:rsidRPr="00E80A17">
        <w:t xml:space="preserve"> proračuna u 20</w:t>
      </w:r>
      <w:r>
        <w:t>22</w:t>
      </w:r>
      <w:r w:rsidRPr="00E80A17">
        <w:t xml:space="preserve"> godin</w:t>
      </w:r>
      <w:r w:rsidR="003C6A20">
        <w:t>i</w:t>
      </w:r>
      <w:r w:rsidRPr="00E80A17">
        <w:t xml:space="preserve"> u odnosu na plan </w:t>
      </w:r>
      <w:r>
        <w:t xml:space="preserve">na </w:t>
      </w:r>
      <w:r w:rsidR="003C6A20">
        <w:t>2</w:t>
      </w:r>
      <w:r w:rsidRPr="00E80A17">
        <w:rPr>
          <w:noProof/>
        </w:rPr>
        <w:t>0</w:t>
      </w:r>
      <w:r>
        <w:rPr>
          <w:noProof/>
        </w:rPr>
        <w:t>21</w:t>
      </w:r>
      <w:r w:rsidR="003C6A20">
        <w:rPr>
          <w:noProof/>
        </w:rPr>
        <w:t>.</w:t>
      </w:r>
      <w:r w:rsidRPr="00E80A17">
        <w:t xml:space="preserve"> godin</w:t>
      </w:r>
      <w:r w:rsidR="003C6A20">
        <w:t>u</w:t>
      </w:r>
    </w:p>
    <w:p w14:paraId="66BE49BC" w14:textId="77777777" w:rsidR="006F2EDE" w:rsidRDefault="006F2EDE" w:rsidP="00675494">
      <w:pPr>
        <w:pStyle w:val="Uvuenotijeloteksta"/>
        <w:ind w:left="0"/>
      </w:pPr>
    </w:p>
    <w:p w14:paraId="0FDD08E4" w14:textId="53B9F237" w:rsidR="006F2EDE" w:rsidRDefault="006F2EDE" w:rsidP="00675494">
      <w:pPr>
        <w:pStyle w:val="Uvuenotijeloteksta"/>
        <w:ind w:left="0"/>
      </w:pPr>
      <w:r>
        <w:rPr>
          <w:noProof/>
        </w:rPr>
        <w:drawing>
          <wp:inline distT="0" distB="0" distL="0" distR="0" wp14:anchorId="1F8E124E" wp14:editId="1FF2F988">
            <wp:extent cx="4867275" cy="3605530"/>
            <wp:effectExtent l="0" t="0" r="9525" b="13970"/>
            <wp:docPr id="820096781" name="Grafikon 1">
              <a:extLst xmlns:a="http://schemas.openxmlformats.org/drawingml/2006/main">
                <a:ext uri="{FF2B5EF4-FFF2-40B4-BE49-F238E27FC236}">
                  <a16:creationId xmlns:a16="http://schemas.microsoft.com/office/drawing/2014/main" id="{47F6CFAC-8F76-48B2-851E-5046DCE1D2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DF607E" w14:textId="77777777" w:rsidR="006F2EDE" w:rsidRDefault="006F2EDE" w:rsidP="00675494">
      <w:pPr>
        <w:pStyle w:val="Uvuenotijeloteksta"/>
        <w:ind w:left="0"/>
      </w:pPr>
    </w:p>
    <w:p w14:paraId="1B181EEB" w14:textId="77777777" w:rsidR="004A4EC9" w:rsidRDefault="004A4EC9" w:rsidP="00675494">
      <w:pPr>
        <w:pStyle w:val="Uvuenotijeloteksta"/>
        <w:ind w:left="0"/>
      </w:pPr>
    </w:p>
    <w:p w14:paraId="03AC91EB" w14:textId="0C1E7EAD" w:rsidR="003C2B95" w:rsidRPr="005655E6" w:rsidRDefault="003C2B95" w:rsidP="0044613A">
      <w:pPr>
        <w:pStyle w:val="Uvuenotijeloteksta"/>
        <w:ind w:left="0"/>
      </w:pPr>
    </w:p>
    <w:p w14:paraId="639D5F12" w14:textId="77777777" w:rsidR="004A4EC9" w:rsidRDefault="004A4EC9" w:rsidP="005712E4">
      <w:pPr>
        <w:rPr>
          <w:b/>
        </w:rPr>
      </w:pPr>
    </w:p>
    <w:p w14:paraId="0E669A3F" w14:textId="0B0DC050" w:rsidR="005712E4" w:rsidRPr="00F13AA2" w:rsidRDefault="005712E4" w:rsidP="00F13AA2">
      <w:pPr>
        <w:pStyle w:val="Subtitle1"/>
        <w:rPr>
          <w:rFonts w:ascii="Times New Roman" w:hAnsi="Times New Roman"/>
          <w:sz w:val="24"/>
          <w:szCs w:val="24"/>
        </w:rPr>
      </w:pPr>
      <w:bookmarkStart w:id="27" w:name="_Toc133398677"/>
      <w:r w:rsidRPr="00F13AA2">
        <w:rPr>
          <w:rFonts w:ascii="Times New Roman" w:hAnsi="Times New Roman"/>
          <w:sz w:val="24"/>
          <w:szCs w:val="24"/>
        </w:rPr>
        <w:lastRenderedPageBreak/>
        <w:t xml:space="preserve">IZVRŠENJE RASHODA PRORAČUNA U </w:t>
      </w:r>
      <w:r w:rsidR="006F2EDE">
        <w:rPr>
          <w:rFonts w:ascii="Times New Roman" w:hAnsi="Times New Roman"/>
          <w:sz w:val="24"/>
          <w:szCs w:val="24"/>
        </w:rPr>
        <w:t>2</w:t>
      </w:r>
      <w:r w:rsidRPr="00F13AA2">
        <w:rPr>
          <w:rFonts w:ascii="Times New Roman" w:hAnsi="Times New Roman"/>
          <w:sz w:val="24"/>
          <w:szCs w:val="24"/>
        </w:rPr>
        <w:t>0</w:t>
      </w:r>
      <w:r w:rsidR="00BA7309" w:rsidRPr="00F13AA2">
        <w:rPr>
          <w:rFonts w:ascii="Times New Roman" w:hAnsi="Times New Roman"/>
          <w:sz w:val="24"/>
          <w:szCs w:val="24"/>
        </w:rPr>
        <w:t>2</w:t>
      </w:r>
      <w:r w:rsidR="00675494" w:rsidRPr="00F13AA2">
        <w:rPr>
          <w:rFonts w:ascii="Times New Roman" w:hAnsi="Times New Roman"/>
          <w:sz w:val="24"/>
          <w:szCs w:val="24"/>
        </w:rPr>
        <w:t>2</w:t>
      </w:r>
      <w:r w:rsidRPr="00F13AA2">
        <w:rPr>
          <w:rFonts w:ascii="Times New Roman" w:hAnsi="Times New Roman"/>
          <w:sz w:val="24"/>
          <w:szCs w:val="24"/>
        </w:rPr>
        <w:t>. GODIN</w:t>
      </w:r>
      <w:r w:rsidR="004A291E" w:rsidRPr="00F13AA2">
        <w:rPr>
          <w:rFonts w:ascii="Times New Roman" w:hAnsi="Times New Roman"/>
          <w:sz w:val="24"/>
          <w:szCs w:val="24"/>
        </w:rPr>
        <w:t>I</w:t>
      </w:r>
      <w:r w:rsidRPr="00F13AA2">
        <w:rPr>
          <w:rFonts w:ascii="Times New Roman" w:hAnsi="Times New Roman"/>
          <w:sz w:val="24"/>
          <w:szCs w:val="24"/>
        </w:rPr>
        <w:t xml:space="preserve"> PO RAZDJELIMA – UPRAVNIM ODJELIMA GRADSKE UPRAVE</w:t>
      </w:r>
      <w:bookmarkEnd w:id="27"/>
    </w:p>
    <w:p w14:paraId="11382D5E" w14:textId="77777777" w:rsidR="005712E4" w:rsidRPr="00E80A17" w:rsidRDefault="005712E4" w:rsidP="005712E4"/>
    <w:p w14:paraId="0234C155" w14:textId="305EA832" w:rsidR="005712E4" w:rsidRPr="00E80A17" w:rsidRDefault="005712E4" w:rsidP="00BB27BF">
      <w:pPr>
        <w:ind w:firstLine="708"/>
      </w:pPr>
      <w:r w:rsidRPr="00E80A17">
        <w:t xml:space="preserve">U </w:t>
      </w:r>
      <w:r w:rsidR="008422A3">
        <w:t>tabličnom ispisu P</w:t>
      </w:r>
      <w:r w:rsidRPr="00E80A17">
        <w:t>osebno</w:t>
      </w:r>
      <w:r w:rsidR="008422A3">
        <w:t>g</w:t>
      </w:r>
      <w:r w:rsidRPr="00E80A17">
        <w:t xml:space="preserve"> dijel</w:t>
      </w:r>
      <w:r w:rsidR="008422A3">
        <w:t>a</w:t>
      </w:r>
      <w:r w:rsidRPr="00E80A17">
        <w:t xml:space="preserve"> proračuna detaljno su iskazani planirani i ostvareni rashodi prema organizacijskoj</w:t>
      </w:r>
      <w:r w:rsidR="007C7547" w:rsidRPr="00E80A17">
        <w:t xml:space="preserve"> i</w:t>
      </w:r>
      <w:r w:rsidRPr="00E80A17">
        <w:t xml:space="preserve"> programskoj klasifikaciji. </w:t>
      </w:r>
    </w:p>
    <w:p w14:paraId="3CE981AB" w14:textId="77777777" w:rsidR="005712E4" w:rsidRPr="00E80A17" w:rsidRDefault="005712E4" w:rsidP="00BB27BF">
      <w:pPr>
        <w:ind w:firstLine="708"/>
      </w:pPr>
      <w:r w:rsidRPr="00E80A17">
        <w:t xml:space="preserve">Gradska uprava Grada Buja </w:t>
      </w:r>
      <w:r w:rsidR="00A65DBF" w:rsidRPr="00E80A17">
        <w:t xml:space="preserve">– Buie </w:t>
      </w:r>
      <w:r w:rsidRPr="00E80A17">
        <w:t xml:space="preserve">organizirana je u tri upravna odjela: Upravni odjel za opće poslove, Upravni odjel za komunalne djelatnosti i Upravni odjel za prostorno uređenje i upravljanje gradskom imovinom. </w:t>
      </w:r>
    </w:p>
    <w:p w14:paraId="652041E8" w14:textId="77777777" w:rsidR="005712E4" w:rsidRPr="00E80A17" w:rsidRDefault="005712E4" w:rsidP="00BB27BF">
      <w:pPr>
        <w:ind w:firstLine="708"/>
      </w:pPr>
      <w:r w:rsidRPr="00E80A17">
        <w:t>Svi proračunski korisnici Grada Buja</w:t>
      </w:r>
      <w:r w:rsidR="00A65DBF" w:rsidRPr="00E80A17">
        <w:t xml:space="preserve"> - Buie</w:t>
      </w:r>
      <w:r w:rsidRPr="00E80A17">
        <w:t xml:space="preserve"> (Dječji vrtić Buje, Talijanski dječji vrtić Mrvica, Pučko otvoreno učilište Buje, Mjesni odbori i Vijeće talijanske nacionalne manjine) u nadležnosti su Upravnog odjela za opće poslove.</w:t>
      </w:r>
    </w:p>
    <w:p w14:paraId="218D4862" w14:textId="77777777" w:rsidR="005712E4" w:rsidRPr="004A4EC9" w:rsidRDefault="005712E4" w:rsidP="005712E4"/>
    <w:p w14:paraId="441EAF0B" w14:textId="39561A92" w:rsidR="005712E4" w:rsidRDefault="005712E4" w:rsidP="00BB27BF">
      <w:pPr>
        <w:ind w:firstLine="708"/>
      </w:pPr>
      <w:r w:rsidRPr="004A4EC9">
        <w:t xml:space="preserve">Pregled ostvarenih rashoda </w:t>
      </w:r>
      <w:r w:rsidR="009522EE" w:rsidRPr="004A4EC9">
        <w:t xml:space="preserve">i izdataka </w:t>
      </w:r>
      <w:r w:rsidRPr="004A4EC9">
        <w:t xml:space="preserve">po odjelima </w:t>
      </w:r>
      <w:r w:rsidR="00CF1DD7" w:rsidRPr="004A4EC9">
        <w:t xml:space="preserve">Gradske uprave i </w:t>
      </w:r>
      <w:r w:rsidR="00F4085D" w:rsidRPr="004A4EC9">
        <w:t>proračunskim korisnicima</w:t>
      </w:r>
      <w:r w:rsidRPr="004A4EC9">
        <w:t xml:space="preserve"> prikazan je u sljedećoj tablici.</w:t>
      </w:r>
    </w:p>
    <w:p w14:paraId="37461B59" w14:textId="77777777" w:rsidR="004A4EC9" w:rsidRPr="004A4EC9" w:rsidRDefault="004A4EC9" w:rsidP="005712E4"/>
    <w:p w14:paraId="4A700F18" w14:textId="77777777" w:rsidR="005712E4" w:rsidRPr="004A4EC9" w:rsidRDefault="005712E4" w:rsidP="005712E4">
      <w:pPr>
        <w:rPr>
          <w:sz w:val="20"/>
          <w:szCs w:val="20"/>
        </w:rPr>
      </w:pPr>
    </w:p>
    <w:p w14:paraId="47FFF452" w14:textId="77499F24" w:rsidR="00392A4E" w:rsidRDefault="005712E4" w:rsidP="005712E4">
      <w:r w:rsidRPr="004A4EC9">
        <w:t>Izvršenje rashoda prema upravnim odjelima</w:t>
      </w:r>
      <w:r w:rsidR="00091AFA" w:rsidRPr="004A4EC9">
        <w:t xml:space="preserve"> i proračunskim korisnicima</w:t>
      </w:r>
    </w:p>
    <w:p w14:paraId="262D41B3" w14:textId="77777777" w:rsidR="00E935E2" w:rsidRDefault="00E935E2" w:rsidP="005712E4"/>
    <w:tbl>
      <w:tblPr>
        <w:tblW w:w="9275" w:type="dxa"/>
        <w:tblLook w:val="04A0" w:firstRow="1" w:lastRow="0" w:firstColumn="1" w:lastColumn="0" w:noHBand="0" w:noVBand="1"/>
      </w:tblPr>
      <w:tblGrid>
        <w:gridCol w:w="716"/>
        <w:gridCol w:w="3679"/>
        <w:gridCol w:w="1760"/>
        <w:gridCol w:w="1860"/>
        <w:gridCol w:w="1260"/>
      </w:tblGrid>
      <w:tr w:rsidR="00E935E2" w14:paraId="1722E263" w14:textId="77777777" w:rsidTr="00E935E2">
        <w:trPr>
          <w:trHeight w:val="255"/>
        </w:trPr>
        <w:tc>
          <w:tcPr>
            <w:tcW w:w="4395" w:type="dxa"/>
            <w:gridSpan w:val="2"/>
            <w:tcBorders>
              <w:top w:val="single" w:sz="4" w:space="0" w:color="auto"/>
              <w:left w:val="nil"/>
              <w:bottom w:val="single" w:sz="4" w:space="0" w:color="auto"/>
              <w:right w:val="nil"/>
            </w:tcBorders>
            <w:shd w:val="clear" w:color="auto" w:fill="auto"/>
            <w:vAlign w:val="center"/>
            <w:hideMark/>
          </w:tcPr>
          <w:p w14:paraId="07265C1A" w14:textId="77777777" w:rsidR="00E935E2" w:rsidRDefault="00E935E2">
            <w:pPr>
              <w:jc w:val="center"/>
              <w:rPr>
                <w:sz w:val="20"/>
                <w:szCs w:val="20"/>
              </w:rPr>
            </w:pPr>
            <w:r>
              <w:rPr>
                <w:sz w:val="20"/>
                <w:szCs w:val="20"/>
              </w:rPr>
              <w:t>brojčana oznaka i naziv razdjela, glave, proračunskog korisnika</w:t>
            </w:r>
          </w:p>
        </w:tc>
        <w:tc>
          <w:tcPr>
            <w:tcW w:w="1760" w:type="dxa"/>
            <w:tcBorders>
              <w:top w:val="single" w:sz="4" w:space="0" w:color="auto"/>
              <w:left w:val="nil"/>
              <w:bottom w:val="single" w:sz="4" w:space="0" w:color="auto"/>
              <w:right w:val="nil"/>
            </w:tcBorders>
            <w:shd w:val="clear" w:color="auto" w:fill="auto"/>
            <w:noWrap/>
            <w:vAlign w:val="center"/>
            <w:hideMark/>
          </w:tcPr>
          <w:p w14:paraId="65A8043F" w14:textId="77777777" w:rsidR="00E935E2" w:rsidRDefault="00E935E2">
            <w:pPr>
              <w:jc w:val="center"/>
              <w:rPr>
                <w:sz w:val="20"/>
                <w:szCs w:val="20"/>
              </w:rPr>
            </w:pPr>
            <w:r>
              <w:rPr>
                <w:sz w:val="20"/>
                <w:szCs w:val="20"/>
              </w:rPr>
              <w:t>izvorni plan</w:t>
            </w:r>
          </w:p>
        </w:tc>
        <w:tc>
          <w:tcPr>
            <w:tcW w:w="1860" w:type="dxa"/>
            <w:tcBorders>
              <w:top w:val="single" w:sz="4" w:space="0" w:color="auto"/>
              <w:left w:val="nil"/>
              <w:bottom w:val="single" w:sz="4" w:space="0" w:color="auto"/>
              <w:right w:val="nil"/>
            </w:tcBorders>
            <w:shd w:val="clear" w:color="auto" w:fill="auto"/>
            <w:noWrap/>
            <w:vAlign w:val="center"/>
            <w:hideMark/>
          </w:tcPr>
          <w:p w14:paraId="79B7C491" w14:textId="77777777" w:rsidR="00E935E2" w:rsidRDefault="00E935E2">
            <w:pPr>
              <w:jc w:val="center"/>
              <w:rPr>
                <w:sz w:val="20"/>
                <w:szCs w:val="20"/>
              </w:rPr>
            </w:pPr>
            <w:r>
              <w:rPr>
                <w:sz w:val="20"/>
                <w:szCs w:val="20"/>
              </w:rPr>
              <w:t>izvršenje</w:t>
            </w:r>
          </w:p>
        </w:tc>
        <w:tc>
          <w:tcPr>
            <w:tcW w:w="1260" w:type="dxa"/>
            <w:tcBorders>
              <w:top w:val="single" w:sz="4" w:space="0" w:color="auto"/>
              <w:left w:val="nil"/>
              <w:bottom w:val="single" w:sz="4" w:space="0" w:color="auto"/>
              <w:right w:val="nil"/>
            </w:tcBorders>
            <w:shd w:val="clear" w:color="auto" w:fill="auto"/>
            <w:noWrap/>
            <w:vAlign w:val="center"/>
            <w:hideMark/>
          </w:tcPr>
          <w:p w14:paraId="19FCED28" w14:textId="77777777" w:rsidR="00E935E2" w:rsidRDefault="00E935E2">
            <w:pPr>
              <w:jc w:val="center"/>
              <w:rPr>
                <w:sz w:val="20"/>
                <w:szCs w:val="20"/>
              </w:rPr>
            </w:pPr>
            <w:r>
              <w:rPr>
                <w:sz w:val="20"/>
                <w:szCs w:val="20"/>
              </w:rPr>
              <w:t>indeks</w:t>
            </w:r>
          </w:p>
        </w:tc>
      </w:tr>
      <w:tr w:rsidR="00E935E2" w14:paraId="0FA4E8AB" w14:textId="77777777" w:rsidTr="00E935E2">
        <w:trPr>
          <w:trHeight w:val="255"/>
        </w:trPr>
        <w:tc>
          <w:tcPr>
            <w:tcW w:w="4395" w:type="dxa"/>
            <w:gridSpan w:val="2"/>
            <w:tcBorders>
              <w:top w:val="single" w:sz="4" w:space="0" w:color="auto"/>
              <w:left w:val="nil"/>
              <w:bottom w:val="single" w:sz="4" w:space="0" w:color="auto"/>
              <w:right w:val="nil"/>
            </w:tcBorders>
            <w:shd w:val="clear" w:color="auto" w:fill="auto"/>
            <w:vAlign w:val="center"/>
            <w:hideMark/>
          </w:tcPr>
          <w:p w14:paraId="3053B50D" w14:textId="77777777" w:rsidR="00E935E2" w:rsidRDefault="00E935E2">
            <w:pPr>
              <w:jc w:val="center"/>
              <w:rPr>
                <w:sz w:val="20"/>
                <w:szCs w:val="20"/>
              </w:rPr>
            </w:pPr>
            <w:r>
              <w:rPr>
                <w:sz w:val="20"/>
                <w:szCs w:val="20"/>
              </w:rPr>
              <w:t>1</w:t>
            </w:r>
          </w:p>
        </w:tc>
        <w:tc>
          <w:tcPr>
            <w:tcW w:w="1760" w:type="dxa"/>
            <w:tcBorders>
              <w:top w:val="nil"/>
              <w:left w:val="nil"/>
              <w:bottom w:val="single" w:sz="4" w:space="0" w:color="auto"/>
              <w:right w:val="nil"/>
            </w:tcBorders>
            <w:shd w:val="clear" w:color="auto" w:fill="auto"/>
            <w:noWrap/>
            <w:vAlign w:val="center"/>
            <w:hideMark/>
          </w:tcPr>
          <w:p w14:paraId="16557955" w14:textId="77777777" w:rsidR="00E935E2" w:rsidRDefault="00E935E2">
            <w:pPr>
              <w:jc w:val="center"/>
              <w:rPr>
                <w:sz w:val="20"/>
                <w:szCs w:val="20"/>
              </w:rPr>
            </w:pPr>
            <w:r>
              <w:rPr>
                <w:sz w:val="20"/>
                <w:szCs w:val="20"/>
              </w:rPr>
              <w:t>2</w:t>
            </w:r>
          </w:p>
        </w:tc>
        <w:tc>
          <w:tcPr>
            <w:tcW w:w="1860" w:type="dxa"/>
            <w:tcBorders>
              <w:top w:val="nil"/>
              <w:left w:val="nil"/>
              <w:bottom w:val="single" w:sz="4" w:space="0" w:color="auto"/>
              <w:right w:val="nil"/>
            </w:tcBorders>
            <w:shd w:val="clear" w:color="auto" w:fill="auto"/>
            <w:noWrap/>
            <w:vAlign w:val="center"/>
            <w:hideMark/>
          </w:tcPr>
          <w:p w14:paraId="681C81E6" w14:textId="77777777" w:rsidR="00E935E2" w:rsidRDefault="00E935E2">
            <w:pPr>
              <w:jc w:val="center"/>
              <w:rPr>
                <w:sz w:val="20"/>
                <w:szCs w:val="20"/>
              </w:rPr>
            </w:pPr>
            <w:r>
              <w:rPr>
                <w:sz w:val="20"/>
                <w:szCs w:val="20"/>
              </w:rPr>
              <w:t>3</w:t>
            </w:r>
          </w:p>
        </w:tc>
        <w:tc>
          <w:tcPr>
            <w:tcW w:w="1260" w:type="dxa"/>
            <w:tcBorders>
              <w:top w:val="nil"/>
              <w:left w:val="nil"/>
              <w:bottom w:val="single" w:sz="4" w:space="0" w:color="auto"/>
              <w:right w:val="nil"/>
            </w:tcBorders>
            <w:shd w:val="clear" w:color="auto" w:fill="auto"/>
            <w:noWrap/>
            <w:vAlign w:val="center"/>
            <w:hideMark/>
          </w:tcPr>
          <w:p w14:paraId="28B05476" w14:textId="77777777" w:rsidR="00E935E2" w:rsidRDefault="00E935E2">
            <w:pPr>
              <w:jc w:val="center"/>
              <w:rPr>
                <w:sz w:val="20"/>
                <w:szCs w:val="20"/>
              </w:rPr>
            </w:pPr>
            <w:r>
              <w:rPr>
                <w:sz w:val="20"/>
                <w:szCs w:val="20"/>
              </w:rPr>
              <w:t>(3/2*100)</w:t>
            </w:r>
          </w:p>
        </w:tc>
      </w:tr>
      <w:tr w:rsidR="00E935E2" w14:paraId="61504BA0" w14:textId="77777777" w:rsidTr="00E935E2">
        <w:trPr>
          <w:trHeight w:val="255"/>
        </w:trPr>
        <w:tc>
          <w:tcPr>
            <w:tcW w:w="716" w:type="dxa"/>
            <w:tcBorders>
              <w:top w:val="nil"/>
              <w:left w:val="nil"/>
              <w:bottom w:val="single" w:sz="4" w:space="0" w:color="auto"/>
              <w:right w:val="nil"/>
            </w:tcBorders>
            <w:shd w:val="clear" w:color="auto" w:fill="auto"/>
            <w:noWrap/>
            <w:vAlign w:val="bottom"/>
            <w:hideMark/>
          </w:tcPr>
          <w:p w14:paraId="447EABA2" w14:textId="77777777" w:rsidR="00E935E2" w:rsidRDefault="00E935E2">
            <w:pPr>
              <w:rPr>
                <w:b/>
                <w:bCs/>
                <w:sz w:val="20"/>
                <w:szCs w:val="20"/>
              </w:rPr>
            </w:pPr>
            <w:r>
              <w:rPr>
                <w:b/>
                <w:bCs/>
                <w:sz w:val="20"/>
                <w:szCs w:val="20"/>
              </w:rPr>
              <w:t>001</w:t>
            </w:r>
          </w:p>
        </w:tc>
        <w:tc>
          <w:tcPr>
            <w:tcW w:w="3679" w:type="dxa"/>
            <w:tcBorders>
              <w:top w:val="nil"/>
              <w:left w:val="nil"/>
              <w:bottom w:val="single" w:sz="4" w:space="0" w:color="auto"/>
              <w:right w:val="nil"/>
            </w:tcBorders>
            <w:shd w:val="clear" w:color="auto" w:fill="auto"/>
            <w:noWrap/>
            <w:vAlign w:val="bottom"/>
            <w:hideMark/>
          </w:tcPr>
          <w:p w14:paraId="4A8B3294" w14:textId="77777777" w:rsidR="00E935E2" w:rsidRDefault="00E935E2">
            <w:pPr>
              <w:rPr>
                <w:b/>
                <w:bCs/>
                <w:sz w:val="20"/>
                <w:szCs w:val="20"/>
              </w:rPr>
            </w:pPr>
            <w:r>
              <w:rPr>
                <w:b/>
                <w:bCs/>
                <w:sz w:val="20"/>
                <w:szCs w:val="20"/>
              </w:rPr>
              <w:t>Upravni odjel za opće poslove</w:t>
            </w:r>
          </w:p>
        </w:tc>
        <w:tc>
          <w:tcPr>
            <w:tcW w:w="1760" w:type="dxa"/>
            <w:tcBorders>
              <w:top w:val="nil"/>
              <w:left w:val="nil"/>
              <w:bottom w:val="single" w:sz="4" w:space="0" w:color="auto"/>
              <w:right w:val="nil"/>
            </w:tcBorders>
            <w:shd w:val="clear" w:color="auto" w:fill="auto"/>
            <w:noWrap/>
            <w:vAlign w:val="bottom"/>
            <w:hideMark/>
          </w:tcPr>
          <w:p w14:paraId="5920319A" w14:textId="77777777" w:rsidR="00E935E2" w:rsidRDefault="00E935E2">
            <w:pPr>
              <w:jc w:val="right"/>
              <w:rPr>
                <w:b/>
                <w:bCs/>
                <w:sz w:val="20"/>
                <w:szCs w:val="20"/>
              </w:rPr>
            </w:pPr>
            <w:r>
              <w:rPr>
                <w:b/>
                <w:bCs/>
                <w:sz w:val="20"/>
                <w:szCs w:val="20"/>
              </w:rPr>
              <w:t xml:space="preserve">       19.147.450,19    </w:t>
            </w:r>
          </w:p>
        </w:tc>
        <w:tc>
          <w:tcPr>
            <w:tcW w:w="1860" w:type="dxa"/>
            <w:tcBorders>
              <w:top w:val="nil"/>
              <w:left w:val="nil"/>
              <w:bottom w:val="single" w:sz="4" w:space="0" w:color="auto"/>
              <w:right w:val="nil"/>
            </w:tcBorders>
            <w:shd w:val="clear" w:color="auto" w:fill="auto"/>
            <w:noWrap/>
            <w:vAlign w:val="bottom"/>
            <w:hideMark/>
          </w:tcPr>
          <w:p w14:paraId="431BD8FB" w14:textId="77777777" w:rsidR="00E935E2" w:rsidRDefault="00E935E2">
            <w:pPr>
              <w:jc w:val="right"/>
              <w:rPr>
                <w:b/>
                <w:bCs/>
                <w:sz w:val="20"/>
                <w:szCs w:val="20"/>
              </w:rPr>
            </w:pPr>
            <w:r>
              <w:rPr>
                <w:b/>
                <w:bCs/>
                <w:sz w:val="20"/>
                <w:szCs w:val="20"/>
              </w:rPr>
              <w:t xml:space="preserve">         17.648.087,79    </w:t>
            </w:r>
          </w:p>
        </w:tc>
        <w:tc>
          <w:tcPr>
            <w:tcW w:w="1260" w:type="dxa"/>
            <w:tcBorders>
              <w:top w:val="nil"/>
              <w:left w:val="nil"/>
              <w:bottom w:val="single" w:sz="4" w:space="0" w:color="auto"/>
              <w:right w:val="nil"/>
            </w:tcBorders>
            <w:shd w:val="clear" w:color="auto" w:fill="auto"/>
            <w:noWrap/>
            <w:vAlign w:val="bottom"/>
            <w:hideMark/>
          </w:tcPr>
          <w:p w14:paraId="1E5FEE93" w14:textId="77777777" w:rsidR="00E935E2" w:rsidRDefault="00E935E2">
            <w:pPr>
              <w:jc w:val="right"/>
              <w:rPr>
                <w:b/>
                <w:bCs/>
                <w:sz w:val="20"/>
                <w:szCs w:val="20"/>
              </w:rPr>
            </w:pPr>
            <w:r>
              <w:rPr>
                <w:b/>
                <w:bCs/>
                <w:sz w:val="20"/>
                <w:szCs w:val="20"/>
              </w:rPr>
              <w:t xml:space="preserve">            92,17    </w:t>
            </w:r>
          </w:p>
        </w:tc>
      </w:tr>
      <w:tr w:rsidR="00E935E2" w14:paraId="2933955C" w14:textId="77777777" w:rsidTr="00E935E2">
        <w:trPr>
          <w:trHeight w:val="255"/>
        </w:trPr>
        <w:tc>
          <w:tcPr>
            <w:tcW w:w="716" w:type="dxa"/>
            <w:tcBorders>
              <w:top w:val="nil"/>
              <w:left w:val="nil"/>
              <w:bottom w:val="nil"/>
              <w:right w:val="nil"/>
            </w:tcBorders>
            <w:shd w:val="clear" w:color="auto" w:fill="auto"/>
            <w:noWrap/>
            <w:vAlign w:val="bottom"/>
            <w:hideMark/>
          </w:tcPr>
          <w:p w14:paraId="60722B3D" w14:textId="77777777" w:rsidR="00E935E2" w:rsidRDefault="00E935E2">
            <w:pPr>
              <w:rPr>
                <w:sz w:val="20"/>
                <w:szCs w:val="20"/>
              </w:rPr>
            </w:pPr>
            <w:r>
              <w:rPr>
                <w:sz w:val="20"/>
                <w:szCs w:val="20"/>
              </w:rPr>
              <w:t>00101</w:t>
            </w:r>
          </w:p>
        </w:tc>
        <w:tc>
          <w:tcPr>
            <w:tcW w:w="3679" w:type="dxa"/>
            <w:tcBorders>
              <w:top w:val="nil"/>
              <w:left w:val="nil"/>
              <w:bottom w:val="nil"/>
              <w:right w:val="nil"/>
            </w:tcBorders>
            <w:shd w:val="clear" w:color="auto" w:fill="auto"/>
            <w:noWrap/>
            <w:vAlign w:val="bottom"/>
            <w:hideMark/>
          </w:tcPr>
          <w:p w14:paraId="16F1B581" w14:textId="77777777" w:rsidR="00E935E2" w:rsidRDefault="00E935E2">
            <w:pPr>
              <w:rPr>
                <w:sz w:val="20"/>
                <w:szCs w:val="20"/>
              </w:rPr>
            </w:pPr>
            <w:r>
              <w:rPr>
                <w:sz w:val="20"/>
                <w:szCs w:val="20"/>
              </w:rPr>
              <w:t>Predstavničko, izvršna i radna tijela Grada</w:t>
            </w:r>
          </w:p>
        </w:tc>
        <w:tc>
          <w:tcPr>
            <w:tcW w:w="1760" w:type="dxa"/>
            <w:tcBorders>
              <w:top w:val="nil"/>
              <w:left w:val="nil"/>
              <w:bottom w:val="nil"/>
              <w:right w:val="nil"/>
            </w:tcBorders>
            <w:shd w:val="clear" w:color="auto" w:fill="auto"/>
            <w:noWrap/>
            <w:vAlign w:val="bottom"/>
            <w:hideMark/>
          </w:tcPr>
          <w:p w14:paraId="51CCD062" w14:textId="77777777" w:rsidR="00E935E2" w:rsidRDefault="00E935E2">
            <w:pPr>
              <w:jc w:val="right"/>
              <w:rPr>
                <w:sz w:val="20"/>
                <w:szCs w:val="20"/>
              </w:rPr>
            </w:pPr>
            <w:r>
              <w:rPr>
                <w:sz w:val="20"/>
                <w:szCs w:val="20"/>
              </w:rPr>
              <w:t xml:space="preserve">            1.182.397,62    </w:t>
            </w:r>
          </w:p>
        </w:tc>
        <w:tc>
          <w:tcPr>
            <w:tcW w:w="1860" w:type="dxa"/>
            <w:tcBorders>
              <w:top w:val="nil"/>
              <w:left w:val="nil"/>
              <w:bottom w:val="nil"/>
              <w:right w:val="nil"/>
            </w:tcBorders>
            <w:shd w:val="clear" w:color="auto" w:fill="auto"/>
            <w:noWrap/>
            <w:vAlign w:val="bottom"/>
            <w:hideMark/>
          </w:tcPr>
          <w:p w14:paraId="3963141F" w14:textId="77777777" w:rsidR="00E935E2" w:rsidRDefault="00E935E2">
            <w:pPr>
              <w:jc w:val="right"/>
              <w:rPr>
                <w:sz w:val="20"/>
                <w:szCs w:val="20"/>
              </w:rPr>
            </w:pPr>
            <w:r>
              <w:rPr>
                <w:sz w:val="20"/>
                <w:szCs w:val="20"/>
              </w:rPr>
              <w:t xml:space="preserve">              1.012.011,07    </w:t>
            </w:r>
          </w:p>
        </w:tc>
        <w:tc>
          <w:tcPr>
            <w:tcW w:w="1260" w:type="dxa"/>
            <w:tcBorders>
              <w:top w:val="nil"/>
              <w:left w:val="nil"/>
              <w:bottom w:val="nil"/>
              <w:right w:val="nil"/>
            </w:tcBorders>
            <w:shd w:val="clear" w:color="auto" w:fill="auto"/>
            <w:noWrap/>
            <w:vAlign w:val="bottom"/>
            <w:hideMark/>
          </w:tcPr>
          <w:p w14:paraId="2907BEE8" w14:textId="77777777" w:rsidR="00E935E2" w:rsidRDefault="00E935E2">
            <w:pPr>
              <w:jc w:val="right"/>
              <w:rPr>
                <w:sz w:val="20"/>
                <w:szCs w:val="20"/>
              </w:rPr>
            </w:pPr>
            <w:r>
              <w:rPr>
                <w:sz w:val="20"/>
                <w:szCs w:val="20"/>
              </w:rPr>
              <w:t xml:space="preserve">             85,59    </w:t>
            </w:r>
          </w:p>
        </w:tc>
      </w:tr>
      <w:tr w:rsidR="00E935E2" w14:paraId="6A139D1A" w14:textId="77777777" w:rsidTr="00E935E2">
        <w:trPr>
          <w:trHeight w:val="255"/>
        </w:trPr>
        <w:tc>
          <w:tcPr>
            <w:tcW w:w="716" w:type="dxa"/>
            <w:tcBorders>
              <w:top w:val="nil"/>
              <w:left w:val="nil"/>
              <w:bottom w:val="nil"/>
              <w:right w:val="nil"/>
            </w:tcBorders>
            <w:shd w:val="clear" w:color="auto" w:fill="auto"/>
            <w:noWrap/>
            <w:vAlign w:val="bottom"/>
            <w:hideMark/>
          </w:tcPr>
          <w:p w14:paraId="3AF5C469" w14:textId="77777777" w:rsidR="00E935E2" w:rsidRDefault="00E935E2">
            <w:pPr>
              <w:rPr>
                <w:sz w:val="20"/>
                <w:szCs w:val="20"/>
              </w:rPr>
            </w:pPr>
            <w:r>
              <w:rPr>
                <w:sz w:val="20"/>
                <w:szCs w:val="20"/>
              </w:rPr>
              <w:t>00102</w:t>
            </w:r>
          </w:p>
        </w:tc>
        <w:tc>
          <w:tcPr>
            <w:tcW w:w="3679" w:type="dxa"/>
            <w:tcBorders>
              <w:top w:val="nil"/>
              <w:left w:val="nil"/>
              <w:bottom w:val="nil"/>
              <w:right w:val="nil"/>
            </w:tcBorders>
            <w:shd w:val="clear" w:color="auto" w:fill="auto"/>
            <w:noWrap/>
            <w:vAlign w:val="bottom"/>
            <w:hideMark/>
          </w:tcPr>
          <w:p w14:paraId="017CCFC2" w14:textId="77777777" w:rsidR="00E935E2" w:rsidRDefault="00E935E2">
            <w:pPr>
              <w:rPr>
                <w:sz w:val="20"/>
                <w:szCs w:val="20"/>
              </w:rPr>
            </w:pPr>
            <w:r>
              <w:rPr>
                <w:sz w:val="20"/>
                <w:szCs w:val="20"/>
              </w:rPr>
              <w:t>Upravni odjel za opće poslove</w:t>
            </w:r>
          </w:p>
        </w:tc>
        <w:tc>
          <w:tcPr>
            <w:tcW w:w="1760" w:type="dxa"/>
            <w:tcBorders>
              <w:top w:val="nil"/>
              <w:left w:val="nil"/>
              <w:bottom w:val="nil"/>
              <w:right w:val="nil"/>
            </w:tcBorders>
            <w:shd w:val="clear" w:color="auto" w:fill="auto"/>
            <w:noWrap/>
            <w:vAlign w:val="bottom"/>
            <w:hideMark/>
          </w:tcPr>
          <w:p w14:paraId="2C3AF043" w14:textId="77777777" w:rsidR="00E935E2" w:rsidRDefault="00E935E2">
            <w:pPr>
              <w:jc w:val="right"/>
              <w:rPr>
                <w:sz w:val="20"/>
                <w:szCs w:val="20"/>
              </w:rPr>
            </w:pPr>
            <w:r>
              <w:rPr>
                <w:sz w:val="20"/>
                <w:szCs w:val="20"/>
              </w:rPr>
              <w:t xml:space="preserve">            9.557.143,35    </w:t>
            </w:r>
          </w:p>
        </w:tc>
        <w:tc>
          <w:tcPr>
            <w:tcW w:w="1860" w:type="dxa"/>
            <w:tcBorders>
              <w:top w:val="nil"/>
              <w:left w:val="nil"/>
              <w:bottom w:val="nil"/>
              <w:right w:val="nil"/>
            </w:tcBorders>
            <w:shd w:val="clear" w:color="auto" w:fill="auto"/>
            <w:noWrap/>
            <w:vAlign w:val="bottom"/>
            <w:hideMark/>
          </w:tcPr>
          <w:p w14:paraId="6C200950" w14:textId="77777777" w:rsidR="00E935E2" w:rsidRDefault="00E935E2">
            <w:pPr>
              <w:jc w:val="right"/>
              <w:rPr>
                <w:sz w:val="20"/>
                <w:szCs w:val="20"/>
              </w:rPr>
            </w:pPr>
            <w:r>
              <w:rPr>
                <w:sz w:val="20"/>
                <w:szCs w:val="20"/>
              </w:rPr>
              <w:t xml:space="preserve">              8.416.616,69    </w:t>
            </w:r>
          </w:p>
        </w:tc>
        <w:tc>
          <w:tcPr>
            <w:tcW w:w="1260" w:type="dxa"/>
            <w:tcBorders>
              <w:top w:val="nil"/>
              <w:left w:val="nil"/>
              <w:bottom w:val="nil"/>
              <w:right w:val="nil"/>
            </w:tcBorders>
            <w:shd w:val="clear" w:color="auto" w:fill="auto"/>
            <w:noWrap/>
            <w:vAlign w:val="bottom"/>
            <w:hideMark/>
          </w:tcPr>
          <w:p w14:paraId="241238A3" w14:textId="77777777" w:rsidR="00E935E2" w:rsidRDefault="00E935E2">
            <w:pPr>
              <w:jc w:val="right"/>
              <w:rPr>
                <w:sz w:val="20"/>
                <w:szCs w:val="20"/>
              </w:rPr>
            </w:pPr>
            <w:r>
              <w:rPr>
                <w:sz w:val="20"/>
                <w:szCs w:val="20"/>
              </w:rPr>
              <w:t xml:space="preserve">             88,07    </w:t>
            </w:r>
          </w:p>
        </w:tc>
      </w:tr>
      <w:tr w:rsidR="00E935E2" w14:paraId="43236C99" w14:textId="77777777" w:rsidTr="00E935E2">
        <w:trPr>
          <w:trHeight w:val="255"/>
        </w:trPr>
        <w:tc>
          <w:tcPr>
            <w:tcW w:w="716" w:type="dxa"/>
            <w:tcBorders>
              <w:top w:val="nil"/>
              <w:left w:val="nil"/>
              <w:bottom w:val="nil"/>
              <w:right w:val="nil"/>
            </w:tcBorders>
            <w:shd w:val="clear" w:color="auto" w:fill="auto"/>
            <w:noWrap/>
            <w:vAlign w:val="bottom"/>
            <w:hideMark/>
          </w:tcPr>
          <w:p w14:paraId="0D7EF120" w14:textId="77777777" w:rsidR="00E935E2" w:rsidRDefault="00E935E2">
            <w:pPr>
              <w:rPr>
                <w:sz w:val="20"/>
                <w:szCs w:val="20"/>
              </w:rPr>
            </w:pPr>
            <w:r>
              <w:rPr>
                <w:sz w:val="20"/>
                <w:szCs w:val="20"/>
              </w:rPr>
              <w:t>00103</w:t>
            </w:r>
          </w:p>
        </w:tc>
        <w:tc>
          <w:tcPr>
            <w:tcW w:w="3679" w:type="dxa"/>
            <w:tcBorders>
              <w:top w:val="nil"/>
              <w:left w:val="nil"/>
              <w:bottom w:val="nil"/>
              <w:right w:val="nil"/>
            </w:tcBorders>
            <w:shd w:val="clear" w:color="auto" w:fill="auto"/>
            <w:noWrap/>
            <w:vAlign w:val="bottom"/>
            <w:hideMark/>
          </w:tcPr>
          <w:p w14:paraId="59F503B5" w14:textId="77777777" w:rsidR="00E935E2" w:rsidRDefault="00E935E2">
            <w:pPr>
              <w:rPr>
                <w:sz w:val="20"/>
                <w:szCs w:val="20"/>
              </w:rPr>
            </w:pPr>
            <w:r>
              <w:rPr>
                <w:sz w:val="20"/>
                <w:szCs w:val="20"/>
              </w:rPr>
              <w:t>Dječji vrtići</w:t>
            </w:r>
          </w:p>
        </w:tc>
        <w:tc>
          <w:tcPr>
            <w:tcW w:w="1760" w:type="dxa"/>
            <w:tcBorders>
              <w:top w:val="nil"/>
              <w:left w:val="nil"/>
              <w:bottom w:val="nil"/>
              <w:right w:val="nil"/>
            </w:tcBorders>
            <w:shd w:val="clear" w:color="auto" w:fill="auto"/>
            <w:noWrap/>
            <w:vAlign w:val="bottom"/>
            <w:hideMark/>
          </w:tcPr>
          <w:p w14:paraId="279C219A" w14:textId="77777777" w:rsidR="00E935E2" w:rsidRDefault="00E935E2">
            <w:pPr>
              <w:jc w:val="right"/>
              <w:rPr>
                <w:sz w:val="20"/>
                <w:szCs w:val="20"/>
              </w:rPr>
            </w:pPr>
            <w:r>
              <w:rPr>
                <w:sz w:val="20"/>
                <w:szCs w:val="20"/>
              </w:rPr>
              <w:t xml:space="preserve">            6.828.910,10    </w:t>
            </w:r>
          </w:p>
        </w:tc>
        <w:tc>
          <w:tcPr>
            <w:tcW w:w="1860" w:type="dxa"/>
            <w:tcBorders>
              <w:top w:val="nil"/>
              <w:left w:val="nil"/>
              <w:bottom w:val="nil"/>
              <w:right w:val="nil"/>
            </w:tcBorders>
            <w:shd w:val="clear" w:color="auto" w:fill="auto"/>
            <w:noWrap/>
            <w:vAlign w:val="bottom"/>
            <w:hideMark/>
          </w:tcPr>
          <w:p w14:paraId="2BC1EB89" w14:textId="77777777" w:rsidR="00E935E2" w:rsidRDefault="00E935E2">
            <w:pPr>
              <w:jc w:val="right"/>
              <w:rPr>
                <w:sz w:val="20"/>
                <w:szCs w:val="20"/>
              </w:rPr>
            </w:pPr>
            <w:r>
              <w:rPr>
                <w:sz w:val="20"/>
                <w:szCs w:val="20"/>
              </w:rPr>
              <w:t xml:space="preserve">              6.867.876,85    </w:t>
            </w:r>
          </w:p>
        </w:tc>
        <w:tc>
          <w:tcPr>
            <w:tcW w:w="1260" w:type="dxa"/>
            <w:tcBorders>
              <w:top w:val="nil"/>
              <w:left w:val="nil"/>
              <w:bottom w:val="nil"/>
              <w:right w:val="nil"/>
            </w:tcBorders>
            <w:shd w:val="clear" w:color="auto" w:fill="auto"/>
            <w:noWrap/>
            <w:vAlign w:val="bottom"/>
            <w:hideMark/>
          </w:tcPr>
          <w:p w14:paraId="4975B166" w14:textId="77777777" w:rsidR="00E935E2" w:rsidRDefault="00E935E2">
            <w:pPr>
              <w:jc w:val="right"/>
              <w:rPr>
                <w:sz w:val="20"/>
                <w:szCs w:val="20"/>
              </w:rPr>
            </w:pPr>
            <w:r>
              <w:rPr>
                <w:sz w:val="20"/>
                <w:szCs w:val="20"/>
              </w:rPr>
              <w:t xml:space="preserve">           100,57    </w:t>
            </w:r>
          </w:p>
        </w:tc>
      </w:tr>
      <w:tr w:rsidR="00E935E2" w14:paraId="7B9AFEF6" w14:textId="77777777" w:rsidTr="00E935E2">
        <w:trPr>
          <w:trHeight w:val="255"/>
        </w:trPr>
        <w:tc>
          <w:tcPr>
            <w:tcW w:w="716" w:type="dxa"/>
            <w:tcBorders>
              <w:top w:val="nil"/>
              <w:left w:val="nil"/>
              <w:bottom w:val="nil"/>
              <w:right w:val="nil"/>
            </w:tcBorders>
            <w:shd w:val="clear" w:color="auto" w:fill="auto"/>
            <w:noWrap/>
            <w:vAlign w:val="bottom"/>
            <w:hideMark/>
          </w:tcPr>
          <w:p w14:paraId="4109FB8E" w14:textId="77777777" w:rsidR="00E935E2" w:rsidRDefault="00E935E2">
            <w:pPr>
              <w:jc w:val="right"/>
              <w:rPr>
                <w:i/>
                <w:iCs/>
                <w:sz w:val="18"/>
                <w:szCs w:val="18"/>
              </w:rPr>
            </w:pPr>
            <w:r>
              <w:rPr>
                <w:i/>
                <w:iCs/>
                <w:sz w:val="18"/>
                <w:szCs w:val="18"/>
              </w:rPr>
              <w:t>36305</w:t>
            </w:r>
          </w:p>
        </w:tc>
        <w:tc>
          <w:tcPr>
            <w:tcW w:w="3679" w:type="dxa"/>
            <w:tcBorders>
              <w:top w:val="nil"/>
              <w:left w:val="nil"/>
              <w:bottom w:val="nil"/>
              <w:right w:val="nil"/>
            </w:tcBorders>
            <w:shd w:val="clear" w:color="auto" w:fill="auto"/>
            <w:noWrap/>
            <w:vAlign w:val="bottom"/>
            <w:hideMark/>
          </w:tcPr>
          <w:p w14:paraId="3704457C" w14:textId="77777777" w:rsidR="00E935E2" w:rsidRDefault="00E935E2">
            <w:pPr>
              <w:ind w:firstLineChars="200" w:firstLine="360"/>
              <w:rPr>
                <w:i/>
                <w:iCs/>
                <w:sz w:val="18"/>
                <w:szCs w:val="18"/>
              </w:rPr>
            </w:pPr>
            <w:r>
              <w:rPr>
                <w:i/>
                <w:iCs/>
                <w:sz w:val="18"/>
                <w:szCs w:val="18"/>
              </w:rPr>
              <w:t>Dječji vrtić Buje</w:t>
            </w:r>
          </w:p>
        </w:tc>
        <w:tc>
          <w:tcPr>
            <w:tcW w:w="1760" w:type="dxa"/>
            <w:tcBorders>
              <w:top w:val="nil"/>
              <w:left w:val="nil"/>
              <w:bottom w:val="nil"/>
              <w:right w:val="nil"/>
            </w:tcBorders>
            <w:shd w:val="clear" w:color="auto" w:fill="auto"/>
            <w:noWrap/>
            <w:vAlign w:val="bottom"/>
            <w:hideMark/>
          </w:tcPr>
          <w:p w14:paraId="39EA8A27" w14:textId="77777777" w:rsidR="00E935E2" w:rsidRDefault="00E935E2">
            <w:pPr>
              <w:jc w:val="right"/>
              <w:rPr>
                <w:i/>
                <w:iCs/>
                <w:sz w:val="18"/>
                <w:szCs w:val="18"/>
              </w:rPr>
            </w:pPr>
            <w:r>
              <w:rPr>
                <w:i/>
                <w:iCs/>
                <w:sz w:val="18"/>
                <w:szCs w:val="18"/>
              </w:rPr>
              <w:t xml:space="preserve">           4.204.471,32    </w:t>
            </w:r>
          </w:p>
        </w:tc>
        <w:tc>
          <w:tcPr>
            <w:tcW w:w="1860" w:type="dxa"/>
            <w:tcBorders>
              <w:top w:val="nil"/>
              <w:left w:val="nil"/>
              <w:bottom w:val="nil"/>
              <w:right w:val="nil"/>
            </w:tcBorders>
            <w:shd w:val="clear" w:color="auto" w:fill="auto"/>
            <w:noWrap/>
            <w:vAlign w:val="bottom"/>
            <w:hideMark/>
          </w:tcPr>
          <w:p w14:paraId="75C2C76B" w14:textId="77777777" w:rsidR="00E935E2" w:rsidRDefault="00E935E2">
            <w:pPr>
              <w:jc w:val="right"/>
              <w:rPr>
                <w:i/>
                <w:iCs/>
                <w:sz w:val="18"/>
                <w:szCs w:val="18"/>
              </w:rPr>
            </w:pPr>
            <w:r>
              <w:rPr>
                <w:i/>
                <w:iCs/>
                <w:sz w:val="18"/>
                <w:szCs w:val="18"/>
              </w:rPr>
              <w:t xml:space="preserve">              4.172.188,33    </w:t>
            </w:r>
          </w:p>
        </w:tc>
        <w:tc>
          <w:tcPr>
            <w:tcW w:w="1260" w:type="dxa"/>
            <w:tcBorders>
              <w:top w:val="nil"/>
              <w:left w:val="nil"/>
              <w:bottom w:val="nil"/>
              <w:right w:val="nil"/>
            </w:tcBorders>
            <w:shd w:val="clear" w:color="auto" w:fill="auto"/>
            <w:noWrap/>
            <w:vAlign w:val="bottom"/>
            <w:hideMark/>
          </w:tcPr>
          <w:p w14:paraId="4C693820" w14:textId="77777777" w:rsidR="00E935E2" w:rsidRDefault="00E935E2">
            <w:pPr>
              <w:jc w:val="right"/>
              <w:rPr>
                <w:i/>
                <w:iCs/>
                <w:sz w:val="18"/>
                <w:szCs w:val="18"/>
              </w:rPr>
            </w:pPr>
            <w:r>
              <w:rPr>
                <w:i/>
                <w:iCs/>
                <w:sz w:val="18"/>
                <w:szCs w:val="18"/>
              </w:rPr>
              <w:t xml:space="preserve">            99,23    </w:t>
            </w:r>
          </w:p>
        </w:tc>
      </w:tr>
      <w:tr w:rsidR="00E935E2" w14:paraId="599A2AB1" w14:textId="77777777" w:rsidTr="00E935E2">
        <w:trPr>
          <w:trHeight w:val="255"/>
        </w:trPr>
        <w:tc>
          <w:tcPr>
            <w:tcW w:w="716" w:type="dxa"/>
            <w:tcBorders>
              <w:top w:val="nil"/>
              <w:left w:val="nil"/>
              <w:bottom w:val="nil"/>
              <w:right w:val="nil"/>
            </w:tcBorders>
            <w:shd w:val="clear" w:color="auto" w:fill="auto"/>
            <w:noWrap/>
            <w:vAlign w:val="bottom"/>
            <w:hideMark/>
          </w:tcPr>
          <w:p w14:paraId="04340D52" w14:textId="77777777" w:rsidR="00E935E2" w:rsidRDefault="00E935E2">
            <w:pPr>
              <w:jc w:val="right"/>
              <w:rPr>
                <w:i/>
                <w:iCs/>
                <w:sz w:val="18"/>
                <w:szCs w:val="18"/>
              </w:rPr>
            </w:pPr>
            <w:r>
              <w:rPr>
                <w:i/>
                <w:iCs/>
                <w:sz w:val="18"/>
                <w:szCs w:val="18"/>
              </w:rPr>
              <w:t>38663</w:t>
            </w:r>
          </w:p>
        </w:tc>
        <w:tc>
          <w:tcPr>
            <w:tcW w:w="3679" w:type="dxa"/>
            <w:tcBorders>
              <w:top w:val="nil"/>
              <w:left w:val="nil"/>
              <w:bottom w:val="nil"/>
              <w:right w:val="nil"/>
            </w:tcBorders>
            <w:shd w:val="clear" w:color="auto" w:fill="auto"/>
            <w:noWrap/>
            <w:vAlign w:val="bottom"/>
            <w:hideMark/>
          </w:tcPr>
          <w:p w14:paraId="5BEFB045" w14:textId="77777777" w:rsidR="00E935E2" w:rsidRDefault="00E935E2">
            <w:pPr>
              <w:ind w:firstLineChars="200" w:firstLine="360"/>
              <w:rPr>
                <w:i/>
                <w:iCs/>
                <w:sz w:val="18"/>
                <w:szCs w:val="18"/>
              </w:rPr>
            </w:pPr>
            <w:r>
              <w:rPr>
                <w:i/>
                <w:iCs/>
                <w:sz w:val="18"/>
                <w:szCs w:val="18"/>
              </w:rPr>
              <w:t>Talijanski dječji vrtić Mrvica</w:t>
            </w:r>
          </w:p>
        </w:tc>
        <w:tc>
          <w:tcPr>
            <w:tcW w:w="1760" w:type="dxa"/>
            <w:tcBorders>
              <w:top w:val="nil"/>
              <w:left w:val="nil"/>
              <w:bottom w:val="nil"/>
              <w:right w:val="nil"/>
            </w:tcBorders>
            <w:shd w:val="clear" w:color="auto" w:fill="auto"/>
            <w:noWrap/>
            <w:vAlign w:val="bottom"/>
            <w:hideMark/>
          </w:tcPr>
          <w:p w14:paraId="154A2AB9" w14:textId="77777777" w:rsidR="00E935E2" w:rsidRDefault="00E935E2">
            <w:pPr>
              <w:jc w:val="right"/>
              <w:rPr>
                <w:i/>
                <w:iCs/>
                <w:sz w:val="18"/>
                <w:szCs w:val="18"/>
              </w:rPr>
            </w:pPr>
            <w:r>
              <w:rPr>
                <w:i/>
                <w:iCs/>
                <w:sz w:val="18"/>
                <w:szCs w:val="18"/>
              </w:rPr>
              <w:t xml:space="preserve">           2.624.438,78    </w:t>
            </w:r>
          </w:p>
        </w:tc>
        <w:tc>
          <w:tcPr>
            <w:tcW w:w="1860" w:type="dxa"/>
            <w:tcBorders>
              <w:top w:val="nil"/>
              <w:left w:val="nil"/>
              <w:bottom w:val="nil"/>
              <w:right w:val="nil"/>
            </w:tcBorders>
            <w:shd w:val="clear" w:color="auto" w:fill="auto"/>
            <w:noWrap/>
            <w:vAlign w:val="bottom"/>
            <w:hideMark/>
          </w:tcPr>
          <w:p w14:paraId="5955C503" w14:textId="77777777" w:rsidR="00E935E2" w:rsidRDefault="00E935E2">
            <w:pPr>
              <w:jc w:val="right"/>
              <w:rPr>
                <w:i/>
                <w:iCs/>
                <w:sz w:val="18"/>
                <w:szCs w:val="18"/>
              </w:rPr>
            </w:pPr>
            <w:r>
              <w:rPr>
                <w:i/>
                <w:iCs/>
                <w:sz w:val="18"/>
                <w:szCs w:val="18"/>
              </w:rPr>
              <w:t xml:space="preserve">              2.695.688,52    </w:t>
            </w:r>
          </w:p>
        </w:tc>
        <w:tc>
          <w:tcPr>
            <w:tcW w:w="1260" w:type="dxa"/>
            <w:tcBorders>
              <w:top w:val="nil"/>
              <w:left w:val="nil"/>
              <w:bottom w:val="nil"/>
              <w:right w:val="nil"/>
            </w:tcBorders>
            <w:shd w:val="clear" w:color="auto" w:fill="auto"/>
            <w:noWrap/>
            <w:vAlign w:val="bottom"/>
            <w:hideMark/>
          </w:tcPr>
          <w:p w14:paraId="4A73DAB5" w14:textId="77777777" w:rsidR="00E935E2" w:rsidRDefault="00E935E2">
            <w:pPr>
              <w:jc w:val="right"/>
              <w:rPr>
                <w:i/>
                <w:iCs/>
                <w:sz w:val="18"/>
                <w:szCs w:val="18"/>
              </w:rPr>
            </w:pPr>
            <w:r>
              <w:rPr>
                <w:i/>
                <w:iCs/>
                <w:sz w:val="18"/>
                <w:szCs w:val="18"/>
              </w:rPr>
              <w:t xml:space="preserve">          102,71    </w:t>
            </w:r>
          </w:p>
        </w:tc>
      </w:tr>
      <w:tr w:rsidR="00E935E2" w14:paraId="304EA82F" w14:textId="77777777" w:rsidTr="00E935E2">
        <w:trPr>
          <w:trHeight w:val="255"/>
        </w:trPr>
        <w:tc>
          <w:tcPr>
            <w:tcW w:w="716" w:type="dxa"/>
            <w:tcBorders>
              <w:top w:val="nil"/>
              <w:left w:val="nil"/>
              <w:bottom w:val="nil"/>
              <w:right w:val="nil"/>
            </w:tcBorders>
            <w:shd w:val="clear" w:color="auto" w:fill="auto"/>
            <w:noWrap/>
            <w:vAlign w:val="bottom"/>
            <w:hideMark/>
          </w:tcPr>
          <w:p w14:paraId="0A64B972" w14:textId="77777777" w:rsidR="00E935E2" w:rsidRDefault="00E935E2">
            <w:pPr>
              <w:rPr>
                <w:sz w:val="20"/>
                <w:szCs w:val="20"/>
              </w:rPr>
            </w:pPr>
            <w:r>
              <w:rPr>
                <w:sz w:val="20"/>
                <w:szCs w:val="20"/>
              </w:rPr>
              <w:t>00104</w:t>
            </w:r>
          </w:p>
        </w:tc>
        <w:tc>
          <w:tcPr>
            <w:tcW w:w="3679" w:type="dxa"/>
            <w:tcBorders>
              <w:top w:val="nil"/>
              <w:left w:val="nil"/>
              <w:bottom w:val="nil"/>
              <w:right w:val="nil"/>
            </w:tcBorders>
            <w:shd w:val="clear" w:color="auto" w:fill="auto"/>
            <w:noWrap/>
            <w:vAlign w:val="bottom"/>
            <w:hideMark/>
          </w:tcPr>
          <w:p w14:paraId="552B0887" w14:textId="77777777" w:rsidR="00E935E2" w:rsidRDefault="00E935E2">
            <w:pPr>
              <w:rPr>
                <w:sz w:val="20"/>
                <w:szCs w:val="20"/>
              </w:rPr>
            </w:pPr>
            <w:r>
              <w:rPr>
                <w:sz w:val="20"/>
                <w:szCs w:val="20"/>
              </w:rPr>
              <w:t>Pučko otvoreno učilište</w:t>
            </w:r>
          </w:p>
        </w:tc>
        <w:tc>
          <w:tcPr>
            <w:tcW w:w="1760" w:type="dxa"/>
            <w:tcBorders>
              <w:top w:val="nil"/>
              <w:left w:val="nil"/>
              <w:bottom w:val="nil"/>
              <w:right w:val="nil"/>
            </w:tcBorders>
            <w:shd w:val="clear" w:color="auto" w:fill="auto"/>
            <w:noWrap/>
            <w:vAlign w:val="bottom"/>
            <w:hideMark/>
          </w:tcPr>
          <w:p w14:paraId="6EF31322" w14:textId="77777777" w:rsidR="00E935E2" w:rsidRDefault="00E935E2">
            <w:pPr>
              <w:jc w:val="right"/>
              <w:rPr>
                <w:sz w:val="20"/>
                <w:szCs w:val="20"/>
              </w:rPr>
            </w:pPr>
            <w:r>
              <w:rPr>
                <w:sz w:val="20"/>
                <w:szCs w:val="20"/>
              </w:rPr>
              <w:t xml:space="preserve">            1.578.999,12    </w:t>
            </w:r>
          </w:p>
        </w:tc>
        <w:tc>
          <w:tcPr>
            <w:tcW w:w="1860" w:type="dxa"/>
            <w:tcBorders>
              <w:top w:val="nil"/>
              <w:left w:val="nil"/>
              <w:bottom w:val="nil"/>
              <w:right w:val="nil"/>
            </w:tcBorders>
            <w:shd w:val="clear" w:color="auto" w:fill="auto"/>
            <w:noWrap/>
            <w:vAlign w:val="bottom"/>
            <w:hideMark/>
          </w:tcPr>
          <w:p w14:paraId="7E31F55C" w14:textId="77777777" w:rsidR="00E935E2" w:rsidRDefault="00E935E2">
            <w:pPr>
              <w:jc w:val="right"/>
              <w:rPr>
                <w:sz w:val="20"/>
                <w:szCs w:val="20"/>
              </w:rPr>
            </w:pPr>
            <w:r>
              <w:rPr>
                <w:sz w:val="20"/>
                <w:szCs w:val="20"/>
              </w:rPr>
              <w:t xml:space="preserve">              1.351.583,18    </w:t>
            </w:r>
          </w:p>
        </w:tc>
        <w:tc>
          <w:tcPr>
            <w:tcW w:w="1260" w:type="dxa"/>
            <w:tcBorders>
              <w:top w:val="nil"/>
              <w:left w:val="nil"/>
              <w:bottom w:val="nil"/>
              <w:right w:val="nil"/>
            </w:tcBorders>
            <w:shd w:val="clear" w:color="auto" w:fill="auto"/>
            <w:noWrap/>
            <w:vAlign w:val="bottom"/>
            <w:hideMark/>
          </w:tcPr>
          <w:p w14:paraId="5D9ECDEB" w14:textId="77777777" w:rsidR="00E935E2" w:rsidRDefault="00E935E2">
            <w:pPr>
              <w:jc w:val="right"/>
              <w:rPr>
                <w:sz w:val="20"/>
                <w:szCs w:val="20"/>
              </w:rPr>
            </w:pPr>
            <w:r>
              <w:rPr>
                <w:sz w:val="20"/>
                <w:szCs w:val="20"/>
              </w:rPr>
              <w:t xml:space="preserve">             85,60    </w:t>
            </w:r>
          </w:p>
        </w:tc>
      </w:tr>
      <w:tr w:rsidR="00E935E2" w14:paraId="5A44A573" w14:textId="77777777" w:rsidTr="00E935E2">
        <w:trPr>
          <w:trHeight w:val="255"/>
        </w:trPr>
        <w:tc>
          <w:tcPr>
            <w:tcW w:w="716" w:type="dxa"/>
            <w:tcBorders>
              <w:top w:val="nil"/>
              <w:left w:val="nil"/>
              <w:bottom w:val="nil"/>
              <w:right w:val="nil"/>
            </w:tcBorders>
            <w:shd w:val="clear" w:color="auto" w:fill="auto"/>
            <w:noWrap/>
            <w:vAlign w:val="bottom"/>
            <w:hideMark/>
          </w:tcPr>
          <w:p w14:paraId="5496D78F" w14:textId="77777777" w:rsidR="00E935E2" w:rsidRDefault="00E935E2">
            <w:pPr>
              <w:jc w:val="right"/>
              <w:rPr>
                <w:i/>
                <w:iCs/>
                <w:sz w:val="18"/>
                <w:szCs w:val="18"/>
              </w:rPr>
            </w:pPr>
            <w:r>
              <w:rPr>
                <w:i/>
                <w:iCs/>
                <w:sz w:val="18"/>
                <w:szCs w:val="18"/>
              </w:rPr>
              <w:t>48200</w:t>
            </w:r>
          </w:p>
        </w:tc>
        <w:tc>
          <w:tcPr>
            <w:tcW w:w="3679" w:type="dxa"/>
            <w:tcBorders>
              <w:top w:val="nil"/>
              <w:left w:val="nil"/>
              <w:bottom w:val="nil"/>
              <w:right w:val="nil"/>
            </w:tcBorders>
            <w:shd w:val="clear" w:color="auto" w:fill="auto"/>
            <w:noWrap/>
            <w:vAlign w:val="bottom"/>
            <w:hideMark/>
          </w:tcPr>
          <w:p w14:paraId="39D8638A" w14:textId="77777777" w:rsidR="00E935E2" w:rsidRDefault="00E935E2">
            <w:pPr>
              <w:ind w:firstLineChars="200" w:firstLine="360"/>
              <w:rPr>
                <w:i/>
                <w:iCs/>
                <w:sz w:val="18"/>
                <w:szCs w:val="18"/>
              </w:rPr>
            </w:pPr>
            <w:r>
              <w:rPr>
                <w:i/>
                <w:iCs/>
                <w:sz w:val="18"/>
                <w:szCs w:val="18"/>
              </w:rPr>
              <w:t>Pučko otvoreno učilište</w:t>
            </w:r>
          </w:p>
        </w:tc>
        <w:tc>
          <w:tcPr>
            <w:tcW w:w="1760" w:type="dxa"/>
            <w:tcBorders>
              <w:top w:val="nil"/>
              <w:left w:val="nil"/>
              <w:bottom w:val="nil"/>
              <w:right w:val="nil"/>
            </w:tcBorders>
            <w:shd w:val="clear" w:color="auto" w:fill="auto"/>
            <w:noWrap/>
            <w:vAlign w:val="bottom"/>
            <w:hideMark/>
          </w:tcPr>
          <w:p w14:paraId="3D6F6FC3" w14:textId="77777777" w:rsidR="00E935E2" w:rsidRDefault="00E935E2">
            <w:pPr>
              <w:jc w:val="right"/>
              <w:rPr>
                <w:i/>
                <w:iCs/>
                <w:sz w:val="18"/>
                <w:szCs w:val="18"/>
              </w:rPr>
            </w:pPr>
            <w:r>
              <w:rPr>
                <w:i/>
                <w:iCs/>
                <w:sz w:val="18"/>
                <w:szCs w:val="18"/>
              </w:rPr>
              <w:t xml:space="preserve">           1.578.999,12    </w:t>
            </w:r>
          </w:p>
        </w:tc>
        <w:tc>
          <w:tcPr>
            <w:tcW w:w="1860" w:type="dxa"/>
            <w:tcBorders>
              <w:top w:val="nil"/>
              <w:left w:val="nil"/>
              <w:bottom w:val="nil"/>
              <w:right w:val="nil"/>
            </w:tcBorders>
            <w:shd w:val="clear" w:color="auto" w:fill="auto"/>
            <w:noWrap/>
            <w:vAlign w:val="bottom"/>
            <w:hideMark/>
          </w:tcPr>
          <w:p w14:paraId="771F6261" w14:textId="77777777" w:rsidR="00E935E2" w:rsidRDefault="00E935E2">
            <w:pPr>
              <w:jc w:val="right"/>
              <w:rPr>
                <w:i/>
                <w:iCs/>
                <w:sz w:val="18"/>
                <w:szCs w:val="18"/>
              </w:rPr>
            </w:pPr>
            <w:r>
              <w:rPr>
                <w:i/>
                <w:iCs/>
                <w:sz w:val="18"/>
                <w:szCs w:val="18"/>
              </w:rPr>
              <w:t xml:space="preserve">              1.351.583,18    </w:t>
            </w:r>
          </w:p>
        </w:tc>
        <w:tc>
          <w:tcPr>
            <w:tcW w:w="1260" w:type="dxa"/>
            <w:tcBorders>
              <w:top w:val="nil"/>
              <w:left w:val="nil"/>
              <w:bottom w:val="nil"/>
              <w:right w:val="nil"/>
            </w:tcBorders>
            <w:shd w:val="clear" w:color="auto" w:fill="auto"/>
            <w:noWrap/>
            <w:vAlign w:val="bottom"/>
            <w:hideMark/>
          </w:tcPr>
          <w:p w14:paraId="0A0E1B94" w14:textId="77777777" w:rsidR="00E935E2" w:rsidRDefault="00E935E2">
            <w:pPr>
              <w:jc w:val="right"/>
              <w:rPr>
                <w:i/>
                <w:iCs/>
                <w:sz w:val="18"/>
                <w:szCs w:val="18"/>
              </w:rPr>
            </w:pPr>
            <w:r>
              <w:rPr>
                <w:i/>
                <w:iCs/>
                <w:sz w:val="18"/>
                <w:szCs w:val="18"/>
              </w:rPr>
              <w:t xml:space="preserve">            85,60    </w:t>
            </w:r>
          </w:p>
        </w:tc>
      </w:tr>
      <w:tr w:rsidR="00E935E2" w14:paraId="08448810" w14:textId="77777777" w:rsidTr="00E935E2">
        <w:trPr>
          <w:trHeight w:val="255"/>
        </w:trPr>
        <w:tc>
          <w:tcPr>
            <w:tcW w:w="716" w:type="dxa"/>
            <w:tcBorders>
              <w:top w:val="single" w:sz="4" w:space="0" w:color="auto"/>
              <w:left w:val="nil"/>
              <w:bottom w:val="single" w:sz="4" w:space="0" w:color="auto"/>
              <w:right w:val="nil"/>
            </w:tcBorders>
            <w:shd w:val="clear" w:color="auto" w:fill="auto"/>
            <w:noWrap/>
            <w:vAlign w:val="bottom"/>
            <w:hideMark/>
          </w:tcPr>
          <w:p w14:paraId="168C1ED2" w14:textId="77777777" w:rsidR="00E935E2" w:rsidRDefault="00E935E2">
            <w:pPr>
              <w:rPr>
                <w:b/>
                <w:bCs/>
                <w:sz w:val="20"/>
                <w:szCs w:val="20"/>
              </w:rPr>
            </w:pPr>
            <w:r>
              <w:rPr>
                <w:b/>
                <w:bCs/>
                <w:sz w:val="20"/>
                <w:szCs w:val="20"/>
              </w:rPr>
              <w:t>002</w:t>
            </w:r>
          </w:p>
        </w:tc>
        <w:tc>
          <w:tcPr>
            <w:tcW w:w="3679" w:type="dxa"/>
            <w:tcBorders>
              <w:top w:val="single" w:sz="4" w:space="0" w:color="auto"/>
              <w:left w:val="nil"/>
              <w:bottom w:val="single" w:sz="4" w:space="0" w:color="auto"/>
              <w:right w:val="nil"/>
            </w:tcBorders>
            <w:shd w:val="clear" w:color="auto" w:fill="auto"/>
            <w:noWrap/>
            <w:vAlign w:val="bottom"/>
            <w:hideMark/>
          </w:tcPr>
          <w:p w14:paraId="1887234D" w14:textId="77777777" w:rsidR="00E935E2" w:rsidRDefault="00E935E2">
            <w:pPr>
              <w:rPr>
                <w:b/>
                <w:bCs/>
                <w:sz w:val="20"/>
                <w:szCs w:val="20"/>
              </w:rPr>
            </w:pPr>
            <w:r>
              <w:rPr>
                <w:b/>
                <w:bCs/>
                <w:sz w:val="20"/>
                <w:szCs w:val="20"/>
              </w:rPr>
              <w:t>Upravni odjel za komunalne djelatnosti</w:t>
            </w:r>
          </w:p>
        </w:tc>
        <w:tc>
          <w:tcPr>
            <w:tcW w:w="1760" w:type="dxa"/>
            <w:tcBorders>
              <w:top w:val="single" w:sz="4" w:space="0" w:color="auto"/>
              <w:left w:val="nil"/>
              <w:bottom w:val="single" w:sz="4" w:space="0" w:color="auto"/>
              <w:right w:val="nil"/>
            </w:tcBorders>
            <w:shd w:val="clear" w:color="auto" w:fill="auto"/>
            <w:noWrap/>
            <w:vAlign w:val="bottom"/>
            <w:hideMark/>
          </w:tcPr>
          <w:p w14:paraId="1361FF9E" w14:textId="77777777" w:rsidR="00E935E2" w:rsidRDefault="00E935E2">
            <w:pPr>
              <w:jc w:val="right"/>
              <w:rPr>
                <w:b/>
                <w:bCs/>
                <w:sz w:val="20"/>
                <w:szCs w:val="20"/>
              </w:rPr>
            </w:pPr>
            <w:r>
              <w:rPr>
                <w:b/>
                <w:bCs/>
                <w:sz w:val="20"/>
                <w:szCs w:val="20"/>
              </w:rPr>
              <w:t xml:space="preserve">       17.852.711,10    </w:t>
            </w:r>
          </w:p>
        </w:tc>
        <w:tc>
          <w:tcPr>
            <w:tcW w:w="1860" w:type="dxa"/>
            <w:tcBorders>
              <w:top w:val="single" w:sz="4" w:space="0" w:color="auto"/>
              <w:left w:val="nil"/>
              <w:bottom w:val="single" w:sz="4" w:space="0" w:color="auto"/>
              <w:right w:val="nil"/>
            </w:tcBorders>
            <w:shd w:val="clear" w:color="auto" w:fill="auto"/>
            <w:noWrap/>
            <w:vAlign w:val="bottom"/>
            <w:hideMark/>
          </w:tcPr>
          <w:p w14:paraId="3197FE2E" w14:textId="77777777" w:rsidR="00E935E2" w:rsidRDefault="00E935E2">
            <w:pPr>
              <w:jc w:val="right"/>
              <w:rPr>
                <w:b/>
                <w:bCs/>
                <w:sz w:val="20"/>
                <w:szCs w:val="20"/>
              </w:rPr>
            </w:pPr>
            <w:r>
              <w:rPr>
                <w:b/>
                <w:bCs/>
                <w:sz w:val="20"/>
                <w:szCs w:val="20"/>
              </w:rPr>
              <w:t xml:space="preserve">         16.646.528,06    </w:t>
            </w:r>
          </w:p>
        </w:tc>
        <w:tc>
          <w:tcPr>
            <w:tcW w:w="1260" w:type="dxa"/>
            <w:tcBorders>
              <w:top w:val="single" w:sz="4" w:space="0" w:color="auto"/>
              <w:left w:val="nil"/>
              <w:bottom w:val="single" w:sz="4" w:space="0" w:color="auto"/>
              <w:right w:val="nil"/>
            </w:tcBorders>
            <w:shd w:val="clear" w:color="auto" w:fill="auto"/>
            <w:noWrap/>
            <w:vAlign w:val="bottom"/>
            <w:hideMark/>
          </w:tcPr>
          <w:p w14:paraId="2EFF03E1" w14:textId="77777777" w:rsidR="00E935E2" w:rsidRDefault="00E935E2">
            <w:pPr>
              <w:jc w:val="right"/>
              <w:rPr>
                <w:b/>
                <w:bCs/>
                <w:sz w:val="20"/>
                <w:szCs w:val="20"/>
              </w:rPr>
            </w:pPr>
            <w:r>
              <w:rPr>
                <w:b/>
                <w:bCs/>
                <w:sz w:val="20"/>
                <w:szCs w:val="20"/>
              </w:rPr>
              <w:t xml:space="preserve">            93,24    </w:t>
            </w:r>
          </w:p>
        </w:tc>
      </w:tr>
      <w:tr w:rsidR="00E935E2" w14:paraId="1F38DB8A" w14:textId="77777777" w:rsidTr="00E935E2">
        <w:trPr>
          <w:trHeight w:val="255"/>
        </w:trPr>
        <w:tc>
          <w:tcPr>
            <w:tcW w:w="716" w:type="dxa"/>
            <w:tcBorders>
              <w:top w:val="nil"/>
              <w:left w:val="nil"/>
              <w:bottom w:val="nil"/>
              <w:right w:val="nil"/>
            </w:tcBorders>
            <w:shd w:val="clear" w:color="auto" w:fill="auto"/>
            <w:noWrap/>
            <w:vAlign w:val="bottom"/>
            <w:hideMark/>
          </w:tcPr>
          <w:p w14:paraId="48247F91" w14:textId="77777777" w:rsidR="00E935E2" w:rsidRDefault="00E935E2">
            <w:pPr>
              <w:rPr>
                <w:sz w:val="20"/>
                <w:szCs w:val="20"/>
              </w:rPr>
            </w:pPr>
            <w:r>
              <w:rPr>
                <w:sz w:val="20"/>
                <w:szCs w:val="20"/>
              </w:rPr>
              <w:t>00201</w:t>
            </w:r>
          </w:p>
        </w:tc>
        <w:tc>
          <w:tcPr>
            <w:tcW w:w="3679" w:type="dxa"/>
            <w:tcBorders>
              <w:top w:val="nil"/>
              <w:left w:val="nil"/>
              <w:bottom w:val="nil"/>
              <w:right w:val="nil"/>
            </w:tcBorders>
            <w:shd w:val="clear" w:color="auto" w:fill="auto"/>
            <w:noWrap/>
            <w:vAlign w:val="bottom"/>
            <w:hideMark/>
          </w:tcPr>
          <w:p w14:paraId="3B3EA888" w14:textId="77777777" w:rsidR="00E935E2" w:rsidRDefault="00E935E2">
            <w:pPr>
              <w:rPr>
                <w:sz w:val="20"/>
                <w:szCs w:val="20"/>
              </w:rPr>
            </w:pPr>
            <w:r>
              <w:rPr>
                <w:sz w:val="20"/>
                <w:szCs w:val="20"/>
              </w:rPr>
              <w:t>Upravni odjel za komunalne djelatnosti</w:t>
            </w:r>
          </w:p>
        </w:tc>
        <w:tc>
          <w:tcPr>
            <w:tcW w:w="1760" w:type="dxa"/>
            <w:tcBorders>
              <w:top w:val="nil"/>
              <w:left w:val="nil"/>
              <w:bottom w:val="nil"/>
              <w:right w:val="nil"/>
            </w:tcBorders>
            <w:shd w:val="clear" w:color="auto" w:fill="auto"/>
            <w:noWrap/>
            <w:vAlign w:val="bottom"/>
            <w:hideMark/>
          </w:tcPr>
          <w:p w14:paraId="6DD42E7D" w14:textId="77777777" w:rsidR="00E935E2" w:rsidRDefault="00E935E2">
            <w:pPr>
              <w:jc w:val="right"/>
              <w:rPr>
                <w:sz w:val="20"/>
                <w:szCs w:val="20"/>
              </w:rPr>
            </w:pPr>
            <w:r>
              <w:rPr>
                <w:sz w:val="20"/>
                <w:szCs w:val="20"/>
              </w:rPr>
              <w:t xml:space="preserve">          17.852.711,10    </w:t>
            </w:r>
          </w:p>
        </w:tc>
        <w:tc>
          <w:tcPr>
            <w:tcW w:w="1860" w:type="dxa"/>
            <w:tcBorders>
              <w:top w:val="nil"/>
              <w:left w:val="nil"/>
              <w:bottom w:val="nil"/>
              <w:right w:val="nil"/>
            </w:tcBorders>
            <w:shd w:val="clear" w:color="auto" w:fill="auto"/>
            <w:noWrap/>
            <w:vAlign w:val="bottom"/>
            <w:hideMark/>
          </w:tcPr>
          <w:p w14:paraId="00085D63" w14:textId="77777777" w:rsidR="00E935E2" w:rsidRDefault="00E935E2">
            <w:pPr>
              <w:jc w:val="right"/>
              <w:rPr>
                <w:sz w:val="20"/>
                <w:szCs w:val="20"/>
              </w:rPr>
            </w:pPr>
            <w:r>
              <w:rPr>
                <w:sz w:val="20"/>
                <w:szCs w:val="20"/>
              </w:rPr>
              <w:t xml:space="preserve">            16.646.528,06    </w:t>
            </w:r>
          </w:p>
        </w:tc>
        <w:tc>
          <w:tcPr>
            <w:tcW w:w="1260" w:type="dxa"/>
            <w:tcBorders>
              <w:top w:val="nil"/>
              <w:left w:val="nil"/>
              <w:bottom w:val="nil"/>
              <w:right w:val="nil"/>
            </w:tcBorders>
            <w:shd w:val="clear" w:color="auto" w:fill="auto"/>
            <w:noWrap/>
            <w:vAlign w:val="bottom"/>
            <w:hideMark/>
          </w:tcPr>
          <w:p w14:paraId="5BF348B3" w14:textId="77777777" w:rsidR="00E935E2" w:rsidRDefault="00E935E2">
            <w:pPr>
              <w:jc w:val="right"/>
              <w:rPr>
                <w:sz w:val="20"/>
                <w:szCs w:val="20"/>
              </w:rPr>
            </w:pPr>
            <w:r>
              <w:rPr>
                <w:sz w:val="20"/>
                <w:szCs w:val="20"/>
              </w:rPr>
              <w:t xml:space="preserve">             93,24    </w:t>
            </w:r>
          </w:p>
        </w:tc>
      </w:tr>
      <w:tr w:rsidR="00E935E2" w14:paraId="279490B9" w14:textId="77777777" w:rsidTr="00E935E2">
        <w:trPr>
          <w:trHeight w:val="510"/>
        </w:trPr>
        <w:tc>
          <w:tcPr>
            <w:tcW w:w="716" w:type="dxa"/>
            <w:tcBorders>
              <w:top w:val="single" w:sz="4" w:space="0" w:color="auto"/>
              <w:left w:val="nil"/>
              <w:bottom w:val="single" w:sz="4" w:space="0" w:color="auto"/>
              <w:right w:val="nil"/>
            </w:tcBorders>
            <w:shd w:val="clear" w:color="auto" w:fill="auto"/>
            <w:noWrap/>
            <w:vAlign w:val="bottom"/>
            <w:hideMark/>
          </w:tcPr>
          <w:p w14:paraId="634AFC72" w14:textId="77777777" w:rsidR="00E935E2" w:rsidRDefault="00E935E2">
            <w:pPr>
              <w:rPr>
                <w:b/>
                <w:bCs/>
                <w:sz w:val="20"/>
                <w:szCs w:val="20"/>
              </w:rPr>
            </w:pPr>
            <w:r>
              <w:rPr>
                <w:b/>
                <w:bCs/>
                <w:sz w:val="20"/>
                <w:szCs w:val="20"/>
              </w:rPr>
              <w:t>003</w:t>
            </w:r>
          </w:p>
        </w:tc>
        <w:tc>
          <w:tcPr>
            <w:tcW w:w="3679" w:type="dxa"/>
            <w:tcBorders>
              <w:top w:val="single" w:sz="4" w:space="0" w:color="auto"/>
              <w:left w:val="nil"/>
              <w:bottom w:val="single" w:sz="4" w:space="0" w:color="auto"/>
              <w:right w:val="nil"/>
            </w:tcBorders>
            <w:shd w:val="clear" w:color="auto" w:fill="auto"/>
            <w:vAlign w:val="bottom"/>
            <w:hideMark/>
          </w:tcPr>
          <w:p w14:paraId="4EC38DE9" w14:textId="77777777" w:rsidR="00E935E2" w:rsidRDefault="00E935E2">
            <w:pPr>
              <w:rPr>
                <w:b/>
                <w:bCs/>
                <w:sz w:val="20"/>
                <w:szCs w:val="20"/>
              </w:rPr>
            </w:pPr>
            <w:r>
              <w:rPr>
                <w:b/>
                <w:bCs/>
                <w:sz w:val="20"/>
                <w:szCs w:val="20"/>
              </w:rPr>
              <w:t>Upravni odjel za prostorno uređenje i</w:t>
            </w:r>
            <w:r>
              <w:rPr>
                <w:b/>
                <w:bCs/>
                <w:sz w:val="20"/>
                <w:szCs w:val="20"/>
              </w:rPr>
              <w:br/>
              <w:t>upravljanje gradskom imovinom</w:t>
            </w:r>
          </w:p>
        </w:tc>
        <w:tc>
          <w:tcPr>
            <w:tcW w:w="1760" w:type="dxa"/>
            <w:tcBorders>
              <w:top w:val="single" w:sz="4" w:space="0" w:color="auto"/>
              <w:left w:val="nil"/>
              <w:bottom w:val="single" w:sz="4" w:space="0" w:color="auto"/>
              <w:right w:val="nil"/>
            </w:tcBorders>
            <w:shd w:val="clear" w:color="auto" w:fill="auto"/>
            <w:noWrap/>
            <w:vAlign w:val="bottom"/>
            <w:hideMark/>
          </w:tcPr>
          <w:p w14:paraId="3F27FE15" w14:textId="77777777" w:rsidR="00E935E2" w:rsidRDefault="00E935E2">
            <w:pPr>
              <w:jc w:val="right"/>
              <w:rPr>
                <w:b/>
                <w:bCs/>
                <w:sz w:val="20"/>
                <w:szCs w:val="20"/>
              </w:rPr>
            </w:pPr>
            <w:r>
              <w:rPr>
                <w:b/>
                <w:bCs/>
                <w:sz w:val="20"/>
                <w:szCs w:val="20"/>
              </w:rPr>
              <w:t xml:space="preserve">         4.135.825,96    </w:t>
            </w:r>
          </w:p>
        </w:tc>
        <w:tc>
          <w:tcPr>
            <w:tcW w:w="1860" w:type="dxa"/>
            <w:tcBorders>
              <w:top w:val="single" w:sz="4" w:space="0" w:color="auto"/>
              <w:left w:val="nil"/>
              <w:bottom w:val="single" w:sz="4" w:space="0" w:color="auto"/>
              <w:right w:val="nil"/>
            </w:tcBorders>
            <w:shd w:val="clear" w:color="auto" w:fill="auto"/>
            <w:noWrap/>
            <w:vAlign w:val="bottom"/>
            <w:hideMark/>
          </w:tcPr>
          <w:p w14:paraId="7C4B4EAE" w14:textId="77777777" w:rsidR="00E935E2" w:rsidRDefault="00E935E2">
            <w:pPr>
              <w:jc w:val="right"/>
              <w:rPr>
                <w:b/>
                <w:bCs/>
                <w:sz w:val="20"/>
                <w:szCs w:val="20"/>
              </w:rPr>
            </w:pPr>
            <w:r>
              <w:rPr>
                <w:b/>
                <w:bCs/>
                <w:sz w:val="20"/>
                <w:szCs w:val="20"/>
              </w:rPr>
              <w:t xml:space="preserve">           3.884.212,25    </w:t>
            </w:r>
          </w:p>
        </w:tc>
        <w:tc>
          <w:tcPr>
            <w:tcW w:w="1260" w:type="dxa"/>
            <w:tcBorders>
              <w:top w:val="single" w:sz="4" w:space="0" w:color="auto"/>
              <w:left w:val="nil"/>
              <w:bottom w:val="single" w:sz="4" w:space="0" w:color="auto"/>
              <w:right w:val="nil"/>
            </w:tcBorders>
            <w:shd w:val="clear" w:color="auto" w:fill="auto"/>
            <w:noWrap/>
            <w:vAlign w:val="bottom"/>
            <w:hideMark/>
          </w:tcPr>
          <w:p w14:paraId="70166E5B" w14:textId="77777777" w:rsidR="00E935E2" w:rsidRDefault="00E935E2">
            <w:pPr>
              <w:jc w:val="right"/>
              <w:rPr>
                <w:b/>
                <w:bCs/>
                <w:sz w:val="20"/>
                <w:szCs w:val="20"/>
              </w:rPr>
            </w:pPr>
            <w:r>
              <w:rPr>
                <w:b/>
                <w:bCs/>
                <w:sz w:val="20"/>
                <w:szCs w:val="20"/>
              </w:rPr>
              <w:t xml:space="preserve">            93,92    </w:t>
            </w:r>
          </w:p>
        </w:tc>
      </w:tr>
      <w:tr w:rsidR="00E935E2" w14:paraId="42D42116" w14:textId="77777777" w:rsidTr="00E935E2">
        <w:trPr>
          <w:trHeight w:val="510"/>
        </w:trPr>
        <w:tc>
          <w:tcPr>
            <w:tcW w:w="716" w:type="dxa"/>
            <w:tcBorders>
              <w:top w:val="nil"/>
              <w:left w:val="nil"/>
              <w:bottom w:val="nil"/>
              <w:right w:val="nil"/>
            </w:tcBorders>
            <w:shd w:val="clear" w:color="auto" w:fill="auto"/>
            <w:noWrap/>
            <w:vAlign w:val="bottom"/>
            <w:hideMark/>
          </w:tcPr>
          <w:p w14:paraId="0980BFD5" w14:textId="77777777" w:rsidR="00E935E2" w:rsidRDefault="00E935E2">
            <w:pPr>
              <w:rPr>
                <w:sz w:val="20"/>
                <w:szCs w:val="20"/>
              </w:rPr>
            </w:pPr>
            <w:r>
              <w:rPr>
                <w:sz w:val="20"/>
                <w:szCs w:val="20"/>
              </w:rPr>
              <w:t>00301</w:t>
            </w:r>
          </w:p>
        </w:tc>
        <w:tc>
          <w:tcPr>
            <w:tcW w:w="3679" w:type="dxa"/>
            <w:tcBorders>
              <w:top w:val="nil"/>
              <w:left w:val="nil"/>
              <w:bottom w:val="nil"/>
              <w:right w:val="nil"/>
            </w:tcBorders>
            <w:shd w:val="clear" w:color="auto" w:fill="auto"/>
            <w:vAlign w:val="bottom"/>
            <w:hideMark/>
          </w:tcPr>
          <w:p w14:paraId="2B4C11D1" w14:textId="77777777" w:rsidR="00E935E2" w:rsidRDefault="00E935E2">
            <w:pPr>
              <w:rPr>
                <w:sz w:val="20"/>
                <w:szCs w:val="20"/>
              </w:rPr>
            </w:pPr>
            <w:r>
              <w:rPr>
                <w:sz w:val="20"/>
                <w:szCs w:val="20"/>
              </w:rPr>
              <w:t>Upravni odjel za prostorno uređenje i</w:t>
            </w:r>
            <w:r>
              <w:rPr>
                <w:sz w:val="20"/>
                <w:szCs w:val="20"/>
              </w:rPr>
              <w:br/>
              <w:t>upravljanje gradskom imovinom</w:t>
            </w:r>
          </w:p>
        </w:tc>
        <w:tc>
          <w:tcPr>
            <w:tcW w:w="1760" w:type="dxa"/>
            <w:tcBorders>
              <w:top w:val="nil"/>
              <w:left w:val="nil"/>
              <w:bottom w:val="nil"/>
              <w:right w:val="nil"/>
            </w:tcBorders>
            <w:shd w:val="clear" w:color="auto" w:fill="auto"/>
            <w:noWrap/>
            <w:vAlign w:val="bottom"/>
            <w:hideMark/>
          </w:tcPr>
          <w:p w14:paraId="205444B0" w14:textId="77777777" w:rsidR="00E935E2" w:rsidRDefault="00E935E2">
            <w:pPr>
              <w:jc w:val="right"/>
              <w:rPr>
                <w:sz w:val="20"/>
                <w:szCs w:val="20"/>
              </w:rPr>
            </w:pPr>
            <w:r>
              <w:rPr>
                <w:sz w:val="20"/>
                <w:szCs w:val="20"/>
              </w:rPr>
              <w:t xml:space="preserve">            4.135.825,96    </w:t>
            </w:r>
          </w:p>
        </w:tc>
        <w:tc>
          <w:tcPr>
            <w:tcW w:w="1860" w:type="dxa"/>
            <w:tcBorders>
              <w:top w:val="nil"/>
              <w:left w:val="nil"/>
              <w:bottom w:val="nil"/>
              <w:right w:val="nil"/>
            </w:tcBorders>
            <w:shd w:val="clear" w:color="auto" w:fill="auto"/>
            <w:noWrap/>
            <w:vAlign w:val="bottom"/>
            <w:hideMark/>
          </w:tcPr>
          <w:p w14:paraId="5BDBCB88" w14:textId="77777777" w:rsidR="00E935E2" w:rsidRDefault="00E935E2">
            <w:pPr>
              <w:jc w:val="right"/>
              <w:rPr>
                <w:sz w:val="20"/>
                <w:szCs w:val="20"/>
              </w:rPr>
            </w:pPr>
            <w:r>
              <w:rPr>
                <w:sz w:val="20"/>
                <w:szCs w:val="20"/>
              </w:rPr>
              <w:t xml:space="preserve">              3.884.212,25    </w:t>
            </w:r>
          </w:p>
        </w:tc>
        <w:tc>
          <w:tcPr>
            <w:tcW w:w="1260" w:type="dxa"/>
            <w:tcBorders>
              <w:top w:val="nil"/>
              <w:left w:val="nil"/>
              <w:bottom w:val="nil"/>
              <w:right w:val="nil"/>
            </w:tcBorders>
            <w:shd w:val="clear" w:color="auto" w:fill="auto"/>
            <w:noWrap/>
            <w:vAlign w:val="bottom"/>
            <w:hideMark/>
          </w:tcPr>
          <w:p w14:paraId="1A1C1812" w14:textId="77777777" w:rsidR="00E935E2" w:rsidRDefault="00E935E2">
            <w:pPr>
              <w:jc w:val="right"/>
              <w:rPr>
                <w:sz w:val="20"/>
                <w:szCs w:val="20"/>
              </w:rPr>
            </w:pPr>
            <w:r>
              <w:rPr>
                <w:sz w:val="20"/>
                <w:szCs w:val="20"/>
              </w:rPr>
              <w:t xml:space="preserve">             93,92    </w:t>
            </w:r>
          </w:p>
        </w:tc>
      </w:tr>
      <w:tr w:rsidR="00E935E2" w14:paraId="0953FCF9" w14:textId="77777777" w:rsidTr="00E935E2">
        <w:trPr>
          <w:trHeight w:val="255"/>
        </w:trPr>
        <w:tc>
          <w:tcPr>
            <w:tcW w:w="716" w:type="dxa"/>
            <w:tcBorders>
              <w:top w:val="single" w:sz="4" w:space="0" w:color="auto"/>
              <w:left w:val="nil"/>
              <w:bottom w:val="single" w:sz="4" w:space="0" w:color="auto"/>
              <w:right w:val="nil"/>
            </w:tcBorders>
            <w:shd w:val="clear" w:color="auto" w:fill="auto"/>
            <w:noWrap/>
            <w:vAlign w:val="bottom"/>
            <w:hideMark/>
          </w:tcPr>
          <w:p w14:paraId="5F062BD2" w14:textId="77777777" w:rsidR="00E935E2" w:rsidRDefault="00E935E2">
            <w:pPr>
              <w:rPr>
                <w:b/>
                <w:bCs/>
                <w:sz w:val="20"/>
                <w:szCs w:val="20"/>
              </w:rPr>
            </w:pPr>
            <w:r>
              <w:rPr>
                <w:b/>
                <w:bCs/>
                <w:sz w:val="20"/>
                <w:szCs w:val="20"/>
              </w:rPr>
              <w:t> </w:t>
            </w:r>
          </w:p>
        </w:tc>
        <w:tc>
          <w:tcPr>
            <w:tcW w:w="3679" w:type="dxa"/>
            <w:tcBorders>
              <w:top w:val="single" w:sz="4" w:space="0" w:color="auto"/>
              <w:left w:val="nil"/>
              <w:bottom w:val="single" w:sz="4" w:space="0" w:color="auto"/>
              <w:right w:val="nil"/>
            </w:tcBorders>
            <w:shd w:val="clear" w:color="auto" w:fill="auto"/>
            <w:noWrap/>
            <w:vAlign w:val="bottom"/>
            <w:hideMark/>
          </w:tcPr>
          <w:p w14:paraId="0ACC0789" w14:textId="77777777" w:rsidR="00E935E2" w:rsidRDefault="00E935E2">
            <w:pPr>
              <w:rPr>
                <w:b/>
                <w:bCs/>
                <w:sz w:val="20"/>
                <w:szCs w:val="20"/>
              </w:rPr>
            </w:pPr>
            <w:r>
              <w:rPr>
                <w:b/>
                <w:bCs/>
                <w:sz w:val="20"/>
                <w:szCs w:val="20"/>
              </w:rPr>
              <w:t>Sveukupno</w:t>
            </w:r>
          </w:p>
        </w:tc>
        <w:tc>
          <w:tcPr>
            <w:tcW w:w="1760" w:type="dxa"/>
            <w:tcBorders>
              <w:top w:val="single" w:sz="4" w:space="0" w:color="auto"/>
              <w:left w:val="nil"/>
              <w:bottom w:val="single" w:sz="4" w:space="0" w:color="auto"/>
              <w:right w:val="nil"/>
            </w:tcBorders>
            <w:shd w:val="clear" w:color="auto" w:fill="auto"/>
            <w:noWrap/>
            <w:vAlign w:val="bottom"/>
            <w:hideMark/>
          </w:tcPr>
          <w:p w14:paraId="5049C9FE" w14:textId="77777777" w:rsidR="00E935E2" w:rsidRDefault="00E935E2">
            <w:pPr>
              <w:jc w:val="right"/>
              <w:rPr>
                <w:b/>
                <w:bCs/>
                <w:sz w:val="20"/>
                <w:szCs w:val="20"/>
              </w:rPr>
            </w:pPr>
            <w:r>
              <w:rPr>
                <w:b/>
                <w:bCs/>
                <w:sz w:val="20"/>
                <w:szCs w:val="20"/>
              </w:rPr>
              <w:t xml:space="preserve">       41.135.987,25    </w:t>
            </w:r>
          </w:p>
        </w:tc>
        <w:tc>
          <w:tcPr>
            <w:tcW w:w="1860" w:type="dxa"/>
            <w:tcBorders>
              <w:top w:val="single" w:sz="4" w:space="0" w:color="auto"/>
              <w:left w:val="nil"/>
              <w:bottom w:val="single" w:sz="4" w:space="0" w:color="auto"/>
              <w:right w:val="nil"/>
            </w:tcBorders>
            <w:shd w:val="clear" w:color="auto" w:fill="auto"/>
            <w:noWrap/>
            <w:vAlign w:val="bottom"/>
            <w:hideMark/>
          </w:tcPr>
          <w:p w14:paraId="39D6EA18" w14:textId="77777777" w:rsidR="00E935E2" w:rsidRDefault="00E935E2">
            <w:pPr>
              <w:jc w:val="right"/>
              <w:rPr>
                <w:b/>
                <w:bCs/>
                <w:sz w:val="20"/>
                <w:szCs w:val="20"/>
              </w:rPr>
            </w:pPr>
            <w:r>
              <w:rPr>
                <w:b/>
                <w:bCs/>
                <w:sz w:val="20"/>
                <w:szCs w:val="20"/>
              </w:rPr>
              <w:t xml:space="preserve">         38.178.828,10    </w:t>
            </w:r>
          </w:p>
        </w:tc>
        <w:tc>
          <w:tcPr>
            <w:tcW w:w="1260" w:type="dxa"/>
            <w:tcBorders>
              <w:top w:val="single" w:sz="4" w:space="0" w:color="auto"/>
              <w:left w:val="nil"/>
              <w:bottom w:val="single" w:sz="4" w:space="0" w:color="auto"/>
              <w:right w:val="nil"/>
            </w:tcBorders>
            <w:shd w:val="clear" w:color="auto" w:fill="auto"/>
            <w:noWrap/>
            <w:vAlign w:val="bottom"/>
            <w:hideMark/>
          </w:tcPr>
          <w:p w14:paraId="04DF65E0" w14:textId="77777777" w:rsidR="00E935E2" w:rsidRDefault="00E935E2">
            <w:pPr>
              <w:jc w:val="right"/>
              <w:rPr>
                <w:b/>
                <w:bCs/>
                <w:sz w:val="20"/>
                <w:szCs w:val="20"/>
              </w:rPr>
            </w:pPr>
            <w:r>
              <w:rPr>
                <w:b/>
                <w:bCs/>
                <w:sz w:val="20"/>
                <w:szCs w:val="20"/>
              </w:rPr>
              <w:t xml:space="preserve">            92,81    </w:t>
            </w:r>
          </w:p>
        </w:tc>
      </w:tr>
    </w:tbl>
    <w:p w14:paraId="3CAD6671" w14:textId="77777777" w:rsidR="00E935E2" w:rsidRDefault="00E935E2" w:rsidP="005712E4"/>
    <w:p w14:paraId="24712B80" w14:textId="77777777" w:rsidR="00E935E2" w:rsidRDefault="00E935E2" w:rsidP="005712E4"/>
    <w:p w14:paraId="72CEE592" w14:textId="77777777" w:rsidR="00E935E2" w:rsidRPr="004A4EC9" w:rsidRDefault="00E935E2" w:rsidP="005712E4"/>
    <w:p w14:paraId="5E6B32C5" w14:textId="77777777" w:rsidR="005655E6" w:rsidRPr="004A4EC9" w:rsidRDefault="005655E6" w:rsidP="005712E4"/>
    <w:p w14:paraId="00E06ADD" w14:textId="05B4B5EB" w:rsidR="009C7647" w:rsidRDefault="009C7647" w:rsidP="005712E4"/>
    <w:p w14:paraId="2FD34567" w14:textId="77777777" w:rsidR="00E935E2" w:rsidRDefault="00E935E2" w:rsidP="005712E4"/>
    <w:p w14:paraId="256D9109" w14:textId="77777777" w:rsidR="00E935E2" w:rsidRDefault="00E935E2" w:rsidP="005712E4"/>
    <w:p w14:paraId="7D364E00" w14:textId="77777777" w:rsidR="00E935E2" w:rsidRDefault="00E935E2" w:rsidP="005712E4"/>
    <w:p w14:paraId="3C7057CF" w14:textId="77777777" w:rsidR="009C7647" w:rsidRDefault="009C7647" w:rsidP="005712E4"/>
    <w:p w14:paraId="3CE56A88" w14:textId="77777777" w:rsidR="005712E4" w:rsidRPr="00771E8F" w:rsidRDefault="005712E4" w:rsidP="005712E4">
      <w:pPr>
        <w:rPr>
          <w:b/>
          <w:bCs/>
          <w:u w:val="single"/>
        </w:rPr>
      </w:pPr>
      <w:r w:rsidRPr="00771E8F">
        <w:rPr>
          <w:b/>
          <w:bCs/>
          <w:u w:val="single"/>
        </w:rPr>
        <w:lastRenderedPageBreak/>
        <w:t>Upravni odjel za opće poslove</w:t>
      </w:r>
    </w:p>
    <w:p w14:paraId="4834A98A" w14:textId="77777777" w:rsidR="005712E4" w:rsidRPr="00E80A17" w:rsidRDefault="005712E4" w:rsidP="005712E4"/>
    <w:p w14:paraId="2758ED93" w14:textId="38ADC045" w:rsidR="005712E4" w:rsidRPr="00E80A17" w:rsidRDefault="00A65DBF" w:rsidP="0076416E">
      <w:pPr>
        <w:ind w:firstLine="708"/>
      </w:pPr>
      <w:r w:rsidRPr="00E80A17">
        <w:t>U U</w:t>
      </w:r>
      <w:r w:rsidR="005712E4" w:rsidRPr="00E80A17">
        <w:t>pravnom odjelu za opće poslove u 20</w:t>
      </w:r>
      <w:r w:rsidR="009C7647">
        <w:t>2</w:t>
      </w:r>
      <w:r w:rsidR="003D7779">
        <w:t>2</w:t>
      </w:r>
      <w:r w:rsidR="005712E4" w:rsidRPr="00E80A17">
        <w:t>. godin</w:t>
      </w:r>
      <w:r w:rsidR="00020B65">
        <w:t>i</w:t>
      </w:r>
      <w:r w:rsidR="005712E4" w:rsidRPr="00E80A17">
        <w:t xml:space="preserve"> ostvareni su r</w:t>
      </w:r>
      <w:r w:rsidR="002C6323" w:rsidRPr="00E80A17">
        <w:t xml:space="preserve">ashodi </w:t>
      </w:r>
      <w:r w:rsidR="005712E4" w:rsidRPr="00E80A17">
        <w:t xml:space="preserve">u ukupnom iznosu od </w:t>
      </w:r>
      <w:r w:rsidR="00E7672E">
        <w:t>17.648.087,79</w:t>
      </w:r>
      <w:r w:rsidR="005712E4" w:rsidRPr="00E80A17">
        <w:t xml:space="preserve"> kuna što je</w:t>
      </w:r>
      <w:r w:rsidR="0034494B" w:rsidRPr="00E80A17">
        <w:t xml:space="preserve"> </w:t>
      </w:r>
      <w:r w:rsidR="00E7672E">
        <w:t>92,17</w:t>
      </w:r>
      <w:r w:rsidR="005712E4" w:rsidRPr="00E80A17">
        <w:t xml:space="preserve">% </w:t>
      </w:r>
      <w:r w:rsidRPr="00E80A17">
        <w:t xml:space="preserve">od </w:t>
      </w:r>
      <w:r w:rsidR="005712E4" w:rsidRPr="00E80A17">
        <w:t>plana.</w:t>
      </w:r>
    </w:p>
    <w:p w14:paraId="199EDD19" w14:textId="77777777" w:rsidR="005712E4" w:rsidRPr="00E80A17" w:rsidRDefault="005712E4" w:rsidP="005712E4"/>
    <w:p w14:paraId="639AEF94" w14:textId="77777777" w:rsidR="003D6DBF" w:rsidRDefault="005712E4" w:rsidP="005712E4">
      <w:r w:rsidRPr="008435D2">
        <w:rPr>
          <w:u w:val="single"/>
        </w:rPr>
        <w:t>Glava 00101: Predstavničko, izvršna i radna tijela Grada</w:t>
      </w:r>
      <w:r w:rsidRPr="00E80A17">
        <w:t xml:space="preserve"> – rashodi su ostvareni u ukupnom iznosu od </w:t>
      </w:r>
      <w:r w:rsidR="001F28F3">
        <w:t>1.012.011,07</w:t>
      </w:r>
      <w:r w:rsidR="0099501B">
        <w:t xml:space="preserve"> </w:t>
      </w:r>
      <w:r w:rsidRPr="00E80A17">
        <w:t xml:space="preserve">kuna ili </w:t>
      </w:r>
      <w:r w:rsidR="001F28F3">
        <w:t>85,59</w:t>
      </w:r>
      <w:r w:rsidRPr="00E80A17">
        <w:t xml:space="preserve">% od plana. </w:t>
      </w:r>
    </w:p>
    <w:p w14:paraId="023172EF" w14:textId="2923362A" w:rsidR="00BB7A88" w:rsidRDefault="005712E4" w:rsidP="003D6DBF">
      <w:pPr>
        <w:ind w:firstLine="708"/>
      </w:pPr>
      <w:r w:rsidRPr="00E80A17">
        <w:t>Ostvareni rashodi odnose se na rashode za zaposlene odnosno izvršno tijelo Grada (</w:t>
      </w:r>
      <w:r w:rsidR="001F28F3">
        <w:t>275.299,63</w:t>
      </w:r>
      <w:r w:rsidRPr="00E80A17">
        <w:t xml:space="preserve"> kn), </w:t>
      </w:r>
      <w:r w:rsidR="00D56D46" w:rsidRPr="00E80A17">
        <w:t>rashode protokola, promidžbe i proslava (</w:t>
      </w:r>
      <w:r w:rsidR="001F28F3">
        <w:t>168.929,71</w:t>
      </w:r>
      <w:r w:rsidR="00895EAE">
        <w:t xml:space="preserve"> </w:t>
      </w:r>
      <w:r w:rsidR="00D56D46" w:rsidRPr="00E80A17">
        <w:t xml:space="preserve">kn), donacije </w:t>
      </w:r>
      <w:r w:rsidR="0067283E">
        <w:t xml:space="preserve">za redovno financiranje </w:t>
      </w:r>
      <w:r w:rsidR="00D56D46" w:rsidRPr="00E80A17">
        <w:t>politički</w:t>
      </w:r>
      <w:r w:rsidR="0067283E">
        <w:t>h</w:t>
      </w:r>
      <w:r w:rsidR="00D56D46" w:rsidRPr="00E80A17">
        <w:t xml:space="preserve"> strana</w:t>
      </w:r>
      <w:r w:rsidR="0067283E">
        <w:t>k</w:t>
      </w:r>
      <w:r w:rsidR="00D56D46" w:rsidRPr="00E80A17">
        <w:t>a (</w:t>
      </w:r>
      <w:r w:rsidR="001F28F3">
        <w:t>33.800,00</w:t>
      </w:r>
      <w:r w:rsidR="00D56D46" w:rsidRPr="00E80A17">
        <w:t xml:space="preserve"> kn), </w:t>
      </w:r>
      <w:r w:rsidRPr="00E80A17">
        <w:t>rashode za rad predstavničk</w:t>
      </w:r>
      <w:r w:rsidR="00DC67B5" w:rsidRPr="00E80A17">
        <w:t xml:space="preserve">og, izvršnih </w:t>
      </w:r>
      <w:r w:rsidRPr="00E80A17">
        <w:t>i radnih tijela (</w:t>
      </w:r>
      <w:r w:rsidR="001F28F3">
        <w:t>441.694,56</w:t>
      </w:r>
      <w:r w:rsidR="0034494B" w:rsidRPr="00E80A17">
        <w:t xml:space="preserve"> </w:t>
      </w:r>
      <w:r w:rsidRPr="00E80A17">
        <w:t xml:space="preserve">kn), </w:t>
      </w:r>
      <w:r w:rsidR="00491B17" w:rsidRPr="00E80A17">
        <w:t xml:space="preserve">isplaćene pomoći i donacije temeljem Zaključaka </w:t>
      </w:r>
      <w:r w:rsidR="00E64BF0">
        <w:t>g</w:t>
      </w:r>
      <w:r w:rsidR="009522EE">
        <w:t xml:space="preserve">radonačelnika </w:t>
      </w:r>
      <w:r w:rsidR="00491B17" w:rsidRPr="00E80A17">
        <w:t>(</w:t>
      </w:r>
      <w:r w:rsidR="001F28F3">
        <w:t>39.500,00</w:t>
      </w:r>
      <w:r w:rsidR="00491B17" w:rsidRPr="00E80A17">
        <w:t xml:space="preserve"> kn)</w:t>
      </w:r>
      <w:r w:rsidR="001F28F3">
        <w:t>,</w:t>
      </w:r>
      <w:r w:rsidR="00BB7A88">
        <w:t xml:space="preserve"> na</w:t>
      </w:r>
      <w:r w:rsidR="009C7647">
        <w:t xml:space="preserve"> rashode za </w:t>
      </w:r>
      <w:r w:rsidR="003D7779">
        <w:t>usluge testiranja na</w:t>
      </w:r>
      <w:r w:rsidR="00D92C1C">
        <w:t xml:space="preserve"> korona virus</w:t>
      </w:r>
      <w:r w:rsidR="003D7779">
        <w:t xml:space="preserve"> COVID 19</w:t>
      </w:r>
      <w:r w:rsidR="00D92C1C">
        <w:t xml:space="preserve"> i nabavu </w:t>
      </w:r>
      <w:r w:rsidR="009C7647">
        <w:t>zaštitn</w:t>
      </w:r>
      <w:r w:rsidR="00D92C1C">
        <w:t>og</w:t>
      </w:r>
      <w:r w:rsidR="009C7647">
        <w:t xml:space="preserve"> materijal</w:t>
      </w:r>
      <w:r w:rsidR="00D92C1C">
        <w:t>a</w:t>
      </w:r>
      <w:r w:rsidR="006665C0">
        <w:t xml:space="preserve"> </w:t>
      </w:r>
      <w:r w:rsidR="009C7647">
        <w:t>(</w:t>
      </w:r>
      <w:r w:rsidR="003D7779">
        <w:t>1.325,58</w:t>
      </w:r>
      <w:r w:rsidR="009C7647">
        <w:t xml:space="preserve"> kn)</w:t>
      </w:r>
      <w:r w:rsidR="001F28F3">
        <w:t>, rashode mjesnih odbora (37.145,25 kn) i Vijeća talijanske nacionalne manjine (14.316,34 kn)</w:t>
      </w:r>
      <w:r w:rsidR="00BB7A88">
        <w:t>.</w:t>
      </w:r>
      <w:r w:rsidR="00DD204A">
        <w:t xml:space="preserve"> </w:t>
      </w:r>
    </w:p>
    <w:p w14:paraId="77C7CADC" w14:textId="77777777" w:rsidR="001F28F3" w:rsidRDefault="00BB7A88" w:rsidP="0076416E">
      <w:pPr>
        <w:ind w:firstLine="708"/>
      </w:pPr>
      <w:r>
        <w:t>Rashodi na teret sredstava proračunske zalihe</w:t>
      </w:r>
      <w:r w:rsidR="006665C0">
        <w:t xml:space="preserve"> </w:t>
      </w:r>
      <w:r>
        <w:t>nisu realizirani</w:t>
      </w:r>
      <w:r w:rsidR="001F28F3">
        <w:t>.</w:t>
      </w:r>
    </w:p>
    <w:p w14:paraId="4B9D6580" w14:textId="44D333D9" w:rsidR="00DD204A" w:rsidRDefault="00DD204A" w:rsidP="0076416E">
      <w:pPr>
        <w:ind w:firstLine="708"/>
      </w:pPr>
      <w:r>
        <w:t>Sve aktivnosti u programu Redovne djelatnosti su izvršene u planiranom obimu i iznosu, dok su rashodi programa Mjesna samouprava i Rad Vijeća talijanske nacionalne manjine izvršeni prema zahtjevima i u nešto manjem iznosu od plana.</w:t>
      </w:r>
    </w:p>
    <w:p w14:paraId="0CA33142" w14:textId="77777777" w:rsidR="001F28F3" w:rsidRDefault="001F28F3" w:rsidP="005712E4"/>
    <w:p w14:paraId="2FECAFF0" w14:textId="01FE300F" w:rsidR="00491B17" w:rsidRPr="00E80A17" w:rsidRDefault="005712E4" w:rsidP="005712E4">
      <w:r w:rsidRPr="008435D2">
        <w:rPr>
          <w:u w:val="single"/>
        </w:rPr>
        <w:t xml:space="preserve">Glava 00102: </w:t>
      </w:r>
      <w:r w:rsidR="00491B17" w:rsidRPr="008435D2">
        <w:rPr>
          <w:u w:val="single"/>
        </w:rPr>
        <w:t>Upravni odjel za opće poslove</w:t>
      </w:r>
      <w:r w:rsidRPr="00E80A17">
        <w:t xml:space="preserve"> – rashodi </w:t>
      </w:r>
      <w:r w:rsidR="00692BD3">
        <w:t xml:space="preserve">i izdaci </w:t>
      </w:r>
      <w:r w:rsidRPr="00E80A17">
        <w:t xml:space="preserve">su ostvareni u ukupnom iznosu od </w:t>
      </w:r>
      <w:r w:rsidR="00B341B3">
        <w:t>8.416.616,69</w:t>
      </w:r>
      <w:r w:rsidR="0034494B" w:rsidRPr="00E80A17">
        <w:t xml:space="preserve"> </w:t>
      </w:r>
      <w:r w:rsidRPr="00E80A17">
        <w:t xml:space="preserve">kuna ili </w:t>
      </w:r>
      <w:r w:rsidR="00B341B3">
        <w:t>88,07</w:t>
      </w:r>
      <w:r w:rsidRPr="00E80A17">
        <w:t>% od plan</w:t>
      </w:r>
      <w:r w:rsidR="00D56D46" w:rsidRPr="00E80A17">
        <w:t>a</w:t>
      </w:r>
      <w:r w:rsidRPr="00E80A17">
        <w:t xml:space="preserve">. </w:t>
      </w:r>
    </w:p>
    <w:p w14:paraId="26264AC7" w14:textId="77777777" w:rsidR="00E7734A" w:rsidRPr="00E80A17" w:rsidRDefault="00E7734A" w:rsidP="005712E4"/>
    <w:p w14:paraId="27A3464F" w14:textId="77777777" w:rsidR="00F04EA6" w:rsidRDefault="00491B17" w:rsidP="005712E4">
      <w:r w:rsidRPr="008435D2">
        <w:rPr>
          <w:u w:val="single"/>
        </w:rPr>
        <w:t>Program: Redovna djelatnost upravnih odjela</w:t>
      </w:r>
      <w:r w:rsidRPr="00E80A17">
        <w:t xml:space="preserve"> – rashodi u ukupnom iznosu od </w:t>
      </w:r>
      <w:r w:rsidR="00B341B3">
        <w:t>4.567.162,06</w:t>
      </w:r>
      <w:r w:rsidR="0034494B" w:rsidRPr="00E80A17">
        <w:t xml:space="preserve"> </w:t>
      </w:r>
      <w:r w:rsidRPr="00E80A17">
        <w:t xml:space="preserve">kuna </w:t>
      </w:r>
      <w:r w:rsidR="005712E4" w:rsidRPr="00E80A17">
        <w:t xml:space="preserve">odnose se na rashode za zaposlene u </w:t>
      </w:r>
      <w:r w:rsidR="00E70BA7" w:rsidRPr="00E80A17">
        <w:t>U</w:t>
      </w:r>
      <w:r w:rsidR="005712E4" w:rsidRPr="00E80A17">
        <w:t>pravnom odjelu (</w:t>
      </w:r>
      <w:r w:rsidR="00B341B3">
        <w:t>1.526.861,18</w:t>
      </w:r>
      <w:r w:rsidR="005712E4" w:rsidRPr="00E80A17">
        <w:t xml:space="preserve"> kn), materijalne i financijske rashode </w:t>
      </w:r>
      <w:r w:rsidR="00BB7A88">
        <w:t xml:space="preserve">gradske uprave </w:t>
      </w:r>
      <w:r w:rsidR="005712E4" w:rsidRPr="00E80A17">
        <w:t>(</w:t>
      </w:r>
      <w:r w:rsidR="00B341B3">
        <w:t>1.729.843,61</w:t>
      </w:r>
      <w:r w:rsidR="00E70BA7" w:rsidRPr="00E80A17">
        <w:t xml:space="preserve"> kn)</w:t>
      </w:r>
      <w:r w:rsidR="005712E4" w:rsidRPr="00E80A17">
        <w:t xml:space="preserve"> </w:t>
      </w:r>
      <w:r w:rsidR="00CA0A11">
        <w:t>te</w:t>
      </w:r>
      <w:r w:rsidR="005712E4" w:rsidRPr="00E80A17">
        <w:t xml:space="preserve"> rashode za nabavu opreme </w:t>
      </w:r>
      <w:r w:rsidR="00E70BA7" w:rsidRPr="00E80A17">
        <w:t>za potrebe</w:t>
      </w:r>
      <w:r w:rsidR="00951E51" w:rsidRPr="00E80A17">
        <w:t xml:space="preserve"> </w:t>
      </w:r>
      <w:r w:rsidR="00CA0A11">
        <w:t>u</w:t>
      </w:r>
      <w:r w:rsidR="005712E4" w:rsidRPr="00E80A17">
        <w:t>prav</w:t>
      </w:r>
      <w:r w:rsidR="00E70BA7" w:rsidRPr="00E80A17">
        <w:t>nih odjela</w:t>
      </w:r>
      <w:r w:rsidR="005712E4" w:rsidRPr="00E80A17">
        <w:t xml:space="preserve"> (</w:t>
      </w:r>
      <w:r w:rsidR="00B341B3">
        <w:t>117.909,80</w:t>
      </w:r>
      <w:r w:rsidR="004A6EAC">
        <w:t xml:space="preserve"> </w:t>
      </w:r>
      <w:r w:rsidR="005712E4" w:rsidRPr="00E80A17">
        <w:t>kn)</w:t>
      </w:r>
      <w:r w:rsidR="00D92C1C">
        <w:t xml:space="preserve"> i</w:t>
      </w:r>
      <w:r w:rsidR="00CA0A11">
        <w:t xml:space="preserve"> </w:t>
      </w:r>
      <w:r w:rsidR="00BB7A88">
        <w:t>otplate</w:t>
      </w:r>
      <w:r w:rsidR="00582BA5">
        <w:t xml:space="preserve"> kamata po kreditima</w:t>
      </w:r>
      <w:r w:rsidR="00BB7A88">
        <w:t xml:space="preserve"> </w:t>
      </w:r>
      <w:r w:rsidR="005B05AA">
        <w:t>(</w:t>
      </w:r>
      <w:r w:rsidR="00B341B3">
        <w:t>64.020,17</w:t>
      </w:r>
      <w:r w:rsidR="005B05AA">
        <w:t xml:space="preserve"> kn)</w:t>
      </w:r>
      <w:r w:rsidR="00F77370">
        <w:t>.</w:t>
      </w:r>
      <w:r w:rsidR="005B05AA">
        <w:t xml:space="preserve"> </w:t>
      </w:r>
      <w:r w:rsidR="00CA0A11">
        <w:t xml:space="preserve">Izdaci za otplatu kredita odnose se na </w:t>
      </w:r>
      <w:r w:rsidR="00F77370">
        <w:t>otplatu anuiteta dugoročn</w:t>
      </w:r>
      <w:r w:rsidR="00FB0492">
        <w:t>ih</w:t>
      </w:r>
      <w:r w:rsidR="00F77370">
        <w:t xml:space="preserve"> kredita</w:t>
      </w:r>
      <w:r w:rsidR="00CA0A11">
        <w:t xml:space="preserve"> </w:t>
      </w:r>
      <w:r w:rsidR="00F77370">
        <w:t>(</w:t>
      </w:r>
      <w:r w:rsidR="00B341B3">
        <w:t>809.177,58</w:t>
      </w:r>
      <w:r w:rsidR="00F77370">
        <w:t xml:space="preserve"> kn) te </w:t>
      </w:r>
      <w:r w:rsidR="00D92C1C">
        <w:t xml:space="preserve">na </w:t>
      </w:r>
      <w:r w:rsidR="00F77370">
        <w:t>pov</w:t>
      </w:r>
      <w:r w:rsidR="00BC3DB4">
        <w:t>ra</w:t>
      </w:r>
      <w:r w:rsidR="00F77370">
        <w:t>t zajmova Ministarstv</w:t>
      </w:r>
      <w:r w:rsidR="00FB0492">
        <w:t>a</w:t>
      </w:r>
      <w:r w:rsidR="00F77370">
        <w:t xml:space="preserve"> financija (</w:t>
      </w:r>
      <w:r w:rsidR="00B341B3">
        <w:t>319.349,72</w:t>
      </w:r>
      <w:r w:rsidR="00F77370">
        <w:t xml:space="preserve"> kn).</w:t>
      </w:r>
      <w:r w:rsidR="00A67599">
        <w:t xml:space="preserve"> </w:t>
      </w:r>
    </w:p>
    <w:p w14:paraId="260F7DCD" w14:textId="46E1A2CD" w:rsidR="00F77370" w:rsidRDefault="00DD204A" w:rsidP="00F04EA6">
      <w:pPr>
        <w:ind w:firstLine="708"/>
      </w:pPr>
      <w:r>
        <w:t xml:space="preserve">Svi rashodi vezano za zaposlene kao i rashodi za otplate kreditnih obveza uredno su izvršeni planiranom dinamikom. </w:t>
      </w:r>
      <w:r w:rsidR="00A67599">
        <w:t>Manje od planiranog</w:t>
      </w:r>
      <w:r>
        <w:t>, a u skladu s potrebama</w:t>
      </w:r>
      <w:r w:rsidR="006D1C4B">
        <w:t>,</w:t>
      </w:r>
      <w:r w:rsidR="00A67599">
        <w:t xml:space="preserve"> ostvareni su materijalni i financijski rashodi te rashodi za nabavu opreme i namještaja.</w:t>
      </w:r>
    </w:p>
    <w:p w14:paraId="3B59DC38" w14:textId="77777777" w:rsidR="005B05AA" w:rsidRPr="00E80A17" w:rsidRDefault="005B05AA" w:rsidP="005712E4"/>
    <w:p w14:paraId="01621369" w14:textId="7DD22291" w:rsidR="000B0134" w:rsidRDefault="00E72145" w:rsidP="005712E4">
      <w:r w:rsidRPr="008435D2">
        <w:rPr>
          <w:u w:val="single"/>
        </w:rPr>
        <w:t>Program: Javne potrebe u području kulture</w:t>
      </w:r>
      <w:r w:rsidR="005712E4" w:rsidRPr="00E80A17">
        <w:t xml:space="preserve"> – rashodi su ostvareni u </w:t>
      </w:r>
      <w:r w:rsidR="00B23285" w:rsidRPr="00E80A17">
        <w:t xml:space="preserve">ukupnom </w:t>
      </w:r>
      <w:r w:rsidR="005712E4" w:rsidRPr="00E80A17">
        <w:t xml:space="preserve">iznosu od </w:t>
      </w:r>
      <w:r w:rsidR="00B341B3">
        <w:t>535.682,13</w:t>
      </w:r>
      <w:r w:rsidR="005712E4" w:rsidRPr="00E80A17">
        <w:t xml:space="preserve"> kuna</w:t>
      </w:r>
      <w:r w:rsidR="00A67599">
        <w:t xml:space="preserve"> i</w:t>
      </w:r>
      <w:r w:rsidR="002270FE">
        <w:t xml:space="preserve">li </w:t>
      </w:r>
      <w:r w:rsidR="00B341B3">
        <w:t>99,52</w:t>
      </w:r>
      <w:r w:rsidR="002270FE">
        <w:t>% od planiranog</w:t>
      </w:r>
      <w:r w:rsidR="000B0134">
        <w:t>,</w:t>
      </w:r>
      <w:r w:rsidR="005B05AA">
        <w:t xml:space="preserve"> </w:t>
      </w:r>
      <w:r w:rsidR="000B0134">
        <w:t>a</w:t>
      </w:r>
      <w:r w:rsidR="005B05AA">
        <w:t xml:space="preserve"> odnose se na </w:t>
      </w:r>
      <w:r w:rsidR="000B0134">
        <w:t>donacije ud</w:t>
      </w:r>
      <w:r w:rsidR="00BC3DB4">
        <w:t>r</w:t>
      </w:r>
      <w:r w:rsidR="000B0134">
        <w:t>ugama po sklopljenim ugovorima u skladu s provedenim Javnim pozivom za financiranje (</w:t>
      </w:r>
      <w:r w:rsidR="00582BA5">
        <w:t>93</w:t>
      </w:r>
      <w:r w:rsidR="000B0134">
        <w:t>.000,00 kn)</w:t>
      </w:r>
      <w:r w:rsidR="00B341B3">
        <w:t>, na rashode vezane za održavanje lokalnih proslava i manifestacija (</w:t>
      </w:r>
      <w:r w:rsidR="00F351C8">
        <w:t>181.486,50 kn),</w:t>
      </w:r>
      <w:r w:rsidR="002270FE">
        <w:t xml:space="preserve"> na rashode vezane uz organizaciju manifestacije Festival </w:t>
      </w:r>
      <w:proofErr w:type="spellStart"/>
      <w:r w:rsidR="002270FE">
        <w:t>dell'Istroveneto</w:t>
      </w:r>
      <w:proofErr w:type="spellEnd"/>
      <w:r w:rsidR="000B0134">
        <w:t xml:space="preserve"> </w:t>
      </w:r>
      <w:r w:rsidR="002270FE">
        <w:t>(</w:t>
      </w:r>
      <w:r w:rsidR="00F351C8">
        <w:t>82.008,13</w:t>
      </w:r>
      <w:r w:rsidR="002270FE">
        <w:t xml:space="preserve"> kn)</w:t>
      </w:r>
      <w:r w:rsidR="00F351C8">
        <w:t xml:space="preserve"> te rashode </w:t>
      </w:r>
      <w:r w:rsidR="00E726FE">
        <w:t>za</w:t>
      </w:r>
      <w:r w:rsidR="000B0134">
        <w:t xml:space="preserve"> realizaciju projekta i</w:t>
      </w:r>
      <w:r w:rsidR="00D92C1C">
        <w:t>zdavanja</w:t>
      </w:r>
      <w:r w:rsidR="000B0134">
        <w:t xml:space="preserve"> Bujskog Statuta</w:t>
      </w:r>
      <w:r w:rsidR="00E726FE">
        <w:t xml:space="preserve"> </w:t>
      </w:r>
      <w:r w:rsidR="00F351C8">
        <w:t>(179.187,50 kn).</w:t>
      </w:r>
      <w:r w:rsidR="000B0134">
        <w:t xml:space="preserve"> </w:t>
      </w:r>
    </w:p>
    <w:p w14:paraId="6A2E2585" w14:textId="0EB8AC5A" w:rsidR="00F04EA6" w:rsidRDefault="00F04EA6" w:rsidP="005712E4">
      <w:r>
        <w:tab/>
        <w:t xml:space="preserve">Sredstva donacija udrugama uredno su isplaćena, manifestacije su sufinancirane u planiranim iznosima,  a projekt izdavanja Bujskog Statuta u suradnji s Istarskom županijom je u 2022. godini uspješno </w:t>
      </w:r>
      <w:r w:rsidR="001F5837">
        <w:t>okončan</w:t>
      </w:r>
      <w:r>
        <w:t>.</w:t>
      </w:r>
    </w:p>
    <w:p w14:paraId="2A8F4610" w14:textId="77777777" w:rsidR="005712E4" w:rsidRPr="00E80A17" w:rsidRDefault="005712E4" w:rsidP="005712E4"/>
    <w:p w14:paraId="166D9BAD" w14:textId="77777777" w:rsidR="003D6DBF" w:rsidRDefault="00E72145" w:rsidP="005712E4">
      <w:r w:rsidRPr="008435D2">
        <w:rPr>
          <w:u w:val="single"/>
        </w:rPr>
        <w:t>Program</w:t>
      </w:r>
      <w:r w:rsidR="005712E4" w:rsidRPr="008435D2">
        <w:rPr>
          <w:u w:val="single"/>
        </w:rPr>
        <w:t xml:space="preserve">: </w:t>
      </w:r>
      <w:r w:rsidRPr="008435D2">
        <w:rPr>
          <w:u w:val="single"/>
        </w:rPr>
        <w:t>Javne potrebe u području školstva, obrazovanja i mladih</w:t>
      </w:r>
      <w:r w:rsidRPr="00E80A17">
        <w:t xml:space="preserve"> </w:t>
      </w:r>
      <w:r w:rsidR="005712E4" w:rsidRPr="00E80A17">
        <w:t xml:space="preserve">– rashodi su ostvareni u iznosu od </w:t>
      </w:r>
      <w:r w:rsidR="00F351C8">
        <w:t>720.345,59</w:t>
      </w:r>
      <w:r w:rsidR="005712E4" w:rsidRPr="00E80A17">
        <w:t xml:space="preserve"> kuna ili </w:t>
      </w:r>
      <w:r w:rsidR="00F351C8">
        <w:t>94,51</w:t>
      </w:r>
      <w:r w:rsidR="005712E4" w:rsidRPr="00E80A17">
        <w:t xml:space="preserve">% od plana. </w:t>
      </w:r>
    </w:p>
    <w:p w14:paraId="1C2A9462" w14:textId="6B041384" w:rsidR="005727EC" w:rsidRDefault="005712E4" w:rsidP="003D6DBF">
      <w:pPr>
        <w:ind w:firstLine="708"/>
      </w:pPr>
      <w:r w:rsidRPr="00E80A17">
        <w:t xml:space="preserve">Isplaćene pomoći </w:t>
      </w:r>
      <w:r w:rsidR="005B05AA">
        <w:t xml:space="preserve">osnovnim </w:t>
      </w:r>
      <w:r w:rsidRPr="00E80A17">
        <w:t>školama (</w:t>
      </w:r>
      <w:r w:rsidR="00556E85">
        <w:t>553.845,59</w:t>
      </w:r>
      <w:r w:rsidR="00050113">
        <w:t xml:space="preserve"> </w:t>
      </w:r>
      <w:r w:rsidRPr="00E80A17">
        <w:t xml:space="preserve">kn) namijenjene su dodatnoj skrbi o školskoj djeci </w:t>
      </w:r>
      <w:r w:rsidR="005727EC">
        <w:t>odnosno</w:t>
      </w:r>
      <w:r w:rsidR="00BC3DB4">
        <w:t xml:space="preserve"> </w:t>
      </w:r>
      <w:r w:rsidR="005727EC">
        <w:t>sufinanciranj</w:t>
      </w:r>
      <w:r w:rsidR="00BC3DB4">
        <w:t>u</w:t>
      </w:r>
      <w:r w:rsidR="005727EC">
        <w:t xml:space="preserve"> </w:t>
      </w:r>
      <w:r w:rsidRPr="00E80A17">
        <w:t>produžen</w:t>
      </w:r>
      <w:r w:rsidR="005727EC">
        <w:t>og</w:t>
      </w:r>
      <w:r w:rsidRPr="00E80A17">
        <w:t xml:space="preserve"> boravk</w:t>
      </w:r>
      <w:r w:rsidR="005727EC">
        <w:t>a djece</w:t>
      </w:r>
      <w:r w:rsidR="00050113">
        <w:t xml:space="preserve"> i ostalih izvan nastavnih aktivnosti</w:t>
      </w:r>
      <w:r w:rsidR="005727EC">
        <w:t>.</w:t>
      </w:r>
      <w:r w:rsidR="005B05AA">
        <w:t xml:space="preserve"> </w:t>
      </w:r>
      <w:r w:rsidR="00BC3DB4">
        <w:t>Osim toga, s</w:t>
      </w:r>
      <w:r w:rsidR="00B002AD" w:rsidRPr="00E80A17">
        <w:t>ufinancirani su troškovi prijevoza za srednjoškolce (</w:t>
      </w:r>
      <w:r w:rsidR="00556E85">
        <w:t>15.600,00</w:t>
      </w:r>
      <w:r w:rsidR="00B002AD" w:rsidRPr="00E80A17">
        <w:t xml:space="preserve"> kn)</w:t>
      </w:r>
      <w:r w:rsidR="005727EC">
        <w:t xml:space="preserve">, </w:t>
      </w:r>
      <w:r w:rsidRPr="00E80A17">
        <w:t>isplaćene</w:t>
      </w:r>
      <w:r w:rsidR="005727EC">
        <w:t xml:space="preserve"> su</w:t>
      </w:r>
      <w:r w:rsidRPr="00E80A17">
        <w:t xml:space="preserve"> stipendije učenicima i studentima (</w:t>
      </w:r>
      <w:r w:rsidR="00556E85">
        <w:t>148.900,00</w:t>
      </w:r>
      <w:r w:rsidRPr="00E80A17">
        <w:t xml:space="preserve"> kn)</w:t>
      </w:r>
      <w:r w:rsidR="005727EC">
        <w:t xml:space="preserve"> te donacija udruzi studenata (</w:t>
      </w:r>
      <w:r w:rsidR="00050113">
        <w:t>2.00</w:t>
      </w:r>
      <w:r w:rsidR="005727EC">
        <w:t>0,00 kn)</w:t>
      </w:r>
      <w:r w:rsidR="000F6CC3">
        <w:t xml:space="preserve">. </w:t>
      </w:r>
    </w:p>
    <w:p w14:paraId="596AAA47" w14:textId="6D3A8FBE" w:rsidR="00F04EA6" w:rsidRDefault="00F04EA6" w:rsidP="005712E4">
      <w:r>
        <w:lastRenderedPageBreak/>
        <w:tab/>
      </w:r>
      <w:r w:rsidR="00EF54E2">
        <w:t>Učeničke i studentske stipendije isplaćene su prema ugovorima, a pomoći školama su doznačene prema zaprimljenim zahtjevima.</w:t>
      </w:r>
    </w:p>
    <w:p w14:paraId="204B8906" w14:textId="77777777" w:rsidR="00AE0A32" w:rsidRDefault="00AE0A32" w:rsidP="005712E4"/>
    <w:p w14:paraId="124AFA9F" w14:textId="77777777" w:rsidR="003D6DBF" w:rsidRDefault="006E60BB" w:rsidP="005712E4">
      <w:r w:rsidRPr="008435D2">
        <w:rPr>
          <w:u w:val="single"/>
        </w:rPr>
        <w:t>Program</w:t>
      </w:r>
      <w:r w:rsidR="005712E4" w:rsidRPr="008435D2">
        <w:rPr>
          <w:u w:val="single"/>
        </w:rPr>
        <w:t xml:space="preserve">: </w:t>
      </w:r>
      <w:r w:rsidRPr="008435D2">
        <w:rPr>
          <w:u w:val="single"/>
        </w:rPr>
        <w:t xml:space="preserve">Javne potrebe u sportu </w:t>
      </w:r>
      <w:r w:rsidR="005712E4" w:rsidRPr="008435D2">
        <w:rPr>
          <w:u w:val="single"/>
        </w:rPr>
        <w:t>i rekreacij</w:t>
      </w:r>
      <w:r w:rsidRPr="008435D2">
        <w:rPr>
          <w:u w:val="single"/>
        </w:rPr>
        <w:t>i</w:t>
      </w:r>
      <w:r w:rsidR="005712E4" w:rsidRPr="008435D2">
        <w:rPr>
          <w:u w:val="single"/>
        </w:rPr>
        <w:t xml:space="preserve"> </w:t>
      </w:r>
      <w:r w:rsidR="005712E4" w:rsidRPr="00E80A17">
        <w:t>– rashodi su ostvareni u</w:t>
      </w:r>
      <w:r w:rsidR="009C6FFB">
        <w:t xml:space="preserve"> iznosu od </w:t>
      </w:r>
      <w:r w:rsidR="00972D59">
        <w:t>1.205.000,00</w:t>
      </w:r>
      <w:r w:rsidR="009C6FFB">
        <w:t xml:space="preserve"> kuna ili </w:t>
      </w:r>
      <w:r w:rsidR="00972D59">
        <w:t>100,00</w:t>
      </w:r>
      <w:r w:rsidR="009C6FFB">
        <w:t>% od plana.</w:t>
      </w:r>
      <w:r w:rsidR="0069020B">
        <w:t xml:space="preserve"> </w:t>
      </w:r>
    </w:p>
    <w:p w14:paraId="288B2402" w14:textId="49E5DC8D" w:rsidR="005712E4" w:rsidRDefault="00F932DD" w:rsidP="003D6DBF">
      <w:pPr>
        <w:ind w:firstLine="708"/>
      </w:pPr>
      <w:r>
        <w:t>I</w:t>
      </w:r>
      <w:r w:rsidR="005727EC">
        <w:t xml:space="preserve">znos od </w:t>
      </w:r>
      <w:r w:rsidR="00972D59">
        <w:t>1.2</w:t>
      </w:r>
      <w:r w:rsidR="009C6FFB">
        <w:t>00</w:t>
      </w:r>
      <w:r>
        <w:t>.000</w:t>
      </w:r>
      <w:r w:rsidR="005727EC">
        <w:t xml:space="preserve">,00 kn odnosi </w:t>
      </w:r>
      <w:r w:rsidR="0069020B">
        <w:t xml:space="preserve">se </w:t>
      </w:r>
      <w:r w:rsidR="005727EC">
        <w:t>na redo</w:t>
      </w:r>
      <w:r w:rsidR="00BC3DB4">
        <w:t>v</w:t>
      </w:r>
      <w:r w:rsidR="005727EC">
        <w:t>no financiranje Sportske zajednice, a razlika od 5.000,00 kn na donacij</w:t>
      </w:r>
      <w:r w:rsidR="009C6FFB">
        <w:t>u</w:t>
      </w:r>
      <w:r w:rsidR="005727EC">
        <w:t xml:space="preserve"> sportsk</w:t>
      </w:r>
      <w:r w:rsidR="009C6FFB">
        <w:t>o</w:t>
      </w:r>
      <w:r w:rsidR="005727EC">
        <w:t xml:space="preserve"> rekreativn</w:t>
      </w:r>
      <w:r w:rsidR="009C6FFB">
        <w:t>oj</w:t>
      </w:r>
      <w:r w:rsidR="005727EC">
        <w:t xml:space="preserve"> udru</w:t>
      </w:r>
      <w:r w:rsidR="009C6FFB">
        <w:t>zi</w:t>
      </w:r>
      <w:r w:rsidR="005727EC">
        <w:t xml:space="preserve"> temeljem sklopljen</w:t>
      </w:r>
      <w:r w:rsidR="009C6FFB">
        <w:t>og</w:t>
      </w:r>
      <w:r w:rsidR="005727EC">
        <w:t xml:space="preserve"> </w:t>
      </w:r>
      <w:r w:rsidR="00972D59">
        <w:t>u</w:t>
      </w:r>
      <w:r w:rsidR="005727EC">
        <w:t>govora po provedenom Javnom pozivu za financiranje</w:t>
      </w:r>
      <w:r w:rsidR="005712E4" w:rsidRPr="00E80A17">
        <w:t>.</w:t>
      </w:r>
    </w:p>
    <w:p w14:paraId="7CF1213D" w14:textId="77777777" w:rsidR="0001560E" w:rsidRPr="00E80A17" w:rsidRDefault="0001560E" w:rsidP="005712E4"/>
    <w:p w14:paraId="21F4BDE7" w14:textId="77777777" w:rsidR="003D6DBF" w:rsidRDefault="006E60BB" w:rsidP="0097375A">
      <w:r w:rsidRPr="008435D2">
        <w:rPr>
          <w:u w:val="single"/>
        </w:rPr>
        <w:t>Program</w:t>
      </w:r>
      <w:r w:rsidR="005712E4" w:rsidRPr="008435D2">
        <w:rPr>
          <w:u w:val="single"/>
        </w:rPr>
        <w:t xml:space="preserve">: </w:t>
      </w:r>
      <w:r w:rsidR="00721FD8" w:rsidRPr="008435D2">
        <w:rPr>
          <w:u w:val="single"/>
        </w:rPr>
        <w:t>S</w:t>
      </w:r>
      <w:r w:rsidR="005712E4" w:rsidRPr="008435D2">
        <w:rPr>
          <w:u w:val="single"/>
        </w:rPr>
        <w:t xml:space="preserve">ocijalna skrb </w:t>
      </w:r>
      <w:r w:rsidR="00721FD8" w:rsidRPr="008435D2">
        <w:rPr>
          <w:u w:val="single"/>
        </w:rPr>
        <w:t>i zdravstvo</w:t>
      </w:r>
      <w:r w:rsidR="00721FD8" w:rsidRPr="00E80A17">
        <w:t xml:space="preserve"> </w:t>
      </w:r>
      <w:r w:rsidR="005712E4" w:rsidRPr="00E80A17">
        <w:t xml:space="preserve">– rashodi su ostvareni u ukupnom iznosu od </w:t>
      </w:r>
      <w:r w:rsidR="00972D59">
        <w:t>1.167.303,99</w:t>
      </w:r>
      <w:r w:rsidR="009C6FFB">
        <w:t xml:space="preserve"> </w:t>
      </w:r>
      <w:r w:rsidR="005712E4" w:rsidRPr="00E80A17">
        <w:t xml:space="preserve">kuna ili </w:t>
      </w:r>
      <w:r w:rsidR="00972D59">
        <w:t>82,19</w:t>
      </w:r>
      <w:r w:rsidR="005712E4" w:rsidRPr="00E80A17">
        <w:t xml:space="preserve">% od plana. </w:t>
      </w:r>
    </w:p>
    <w:p w14:paraId="4FCB6E96" w14:textId="02AD99B7" w:rsidR="008435D2" w:rsidRDefault="005712E4" w:rsidP="003D6DBF">
      <w:pPr>
        <w:ind w:firstLine="708"/>
      </w:pPr>
      <w:r w:rsidRPr="00E80A17">
        <w:t>Gradsk</w:t>
      </w:r>
      <w:r w:rsidR="00FB4A76">
        <w:t>om</w:t>
      </w:r>
      <w:r w:rsidRPr="00E80A17">
        <w:t xml:space="preserve"> društv</w:t>
      </w:r>
      <w:r w:rsidR="00FB4A76">
        <w:t>u</w:t>
      </w:r>
      <w:r w:rsidRPr="00E80A17">
        <w:t xml:space="preserve"> Crvenog križa </w:t>
      </w:r>
      <w:r w:rsidR="00F3134B">
        <w:t xml:space="preserve">doznačena su sredstva za </w:t>
      </w:r>
      <w:r w:rsidR="00FB4A76">
        <w:t>redovn</w:t>
      </w:r>
      <w:r w:rsidR="00F3134B">
        <w:t>u</w:t>
      </w:r>
      <w:r w:rsidR="00FB4A76">
        <w:t xml:space="preserve"> djelatnost i</w:t>
      </w:r>
      <w:r w:rsidR="00016E6D">
        <w:t xml:space="preserve"> </w:t>
      </w:r>
      <w:r w:rsidR="00F3134B">
        <w:t xml:space="preserve">za sufinanciranje </w:t>
      </w:r>
      <w:r w:rsidR="00016E6D">
        <w:t xml:space="preserve">projekta Pomoć u kući </w:t>
      </w:r>
      <w:r w:rsidRPr="00E80A17">
        <w:t>(</w:t>
      </w:r>
      <w:r w:rsidR="00972D59">
        <w:t>210.719,00</w:t>
      </w:r>
      <w:r w:rsidRPr="00E80A17">
        <w:t xml:space="preserve"> kn), a ustanovama iz oblasti socijalne skrbi i </w:t>
      </w:r>
      <w:r w:rsidR="006E60BB" w:rsidRPr="00E80A17">
        <w:t>zdravstva doznačene su pomoći (</w:t>
      </w:r>
      <w:r w:rsidR="00972D59">
        <w:t>242.475,29</w:t>
      </w:r>
      <w:r w:rsidRPr="00E80A17">
        <w:t xml:space="preserve"> kn)</w:t>
      </w:r>
      <w:r w:rsidR="0069020B">
        <w:t>. S</w:t>
      </w:r>
      <w:r w:rsidR="00FB4A76">
        <w:t>u</w:t>
      </w:r>
      <w:r w:rsidRPr="00E80A17">
        <w:t>financiran je rad medicinsko biokemijskog laboratorija u Bujama</w:t>
      </w:r>
      <w:r w:rsidR="009C6FFB">
        <w:t xml:space="preserve"> i</w:t>
      </w:r>
      <w:r w:rsidRPr="00E80A17">
        <w:t xml:space="preserve"> Dnevnog </w:t>
      </w:r>
      <w:r w:rsidR="006E60BB" w:rsidRPr="00E80A17">
        <w:t>centra za rehabilitaciju Veruda</w:t>
      </w:r>
      <w:r w:rsidR="009C6FFB">
        <w:t>.</w:t>
      </w:r>
      <w:r w:rsidR="008F46BE">
        <w:t xml:space="preserve"> </w:t>
      </w:r>
      <w:r w:rsidR="00A94FE1">
        <w:t>T</w:t>
      </w:r>
      <w:r w:rsidR="008F46BE">
        <w:t>emeljem Sporazuma s Istarskim domovima zdravlja sufina</w:t>
      </w:r>
      <w:r w:rsidR="004A291E">
        <w:t>n</w:t>
      </w:r>
      <w:r w:rsidR="008F46BE">
        <w:t>ciran je smještaj liječnika obiteljske medic</w:t>
      </w:r>
      <w:r w:rsidR="004A291E">
        <w:t>i</w:t>
      </w:r>
      <w:r w:rsidR="008F46BE">
        <w:t>ne</w:t>
      </w:r>
      <w:r w:rsidR="0069020B">
        <w:t>, a</w:t>
      </w:r>
      <w:r w:rsidR="006E60BB" w:rsidRPr="00E80A17">
        <w:t xml:space="preserve"> </w:t>
      </w:r>
      <w:r w:rsidR="0069020B" w:rsidRPr="00E80A17">
        <w:t xml:space="preserve">temeljem Sporazuma </w:t>
      </w:r>
      <w:r w:rsidR="0069020B">
        <w:t xml:space="preserve">gradova i općina </w:t>
      </w:r>
      <w:r w:rsidR="0069020B" w:rsidRPr="00E80A17">
        <w:t>Istarske županije</w:t>
      </w:r>
      <w:r w:rsidR="0069020B">
        <w:t xml:space="preserve"> </w:t>
      </w:r>
      <w:r w:rsidRPr="00E80A17">
        <w:t>doznačen</w:t>
      </w:r>
      <w:r w:rsidR="00E716DF" w:rsidRPr="00E80A17">
        <w:t xml:space="preserve">a </w:t>
      </w:r>
      <w:r w:rsidR="0069020B">
        <w:t xml:space="preserve">je </w:t>
      </w:r>
      <w:r w:rsidRPr="00E80A17">
        <w:t xml:space="preserve">pomoć za </w:t>
      </w:r>
      <w:r w:rsidR="00FB4A76">
        <w:t xml:space="preserve">redovan </w:t>
      </w:r>
      <w:r w:rsidRPr="00E80A17">
        <w:t xml:space="preserve">rad </w:t>
      </w:r>
      <w:r w:rsidR="00016E6D">
        <w:t xml:space="preserve">i </w:t>
      </w:r>
      <w:r w:rsidR="00D349BC">
        <w:t xml:space="preserve">za </w:t>
      </w:r>
      <w:r w:rsidR="00016E6D">
        <w:t>smještaj djelatni</w:t>
      </w:r>
      <w:r w:rsidR="00FB4A76">
        <w:t>k</w:t>
      </w:r>
      <w:r w:rsidR="00016E6D">
        <w:t xml:space="preserve">a </w:t>
      </w:r>
      <w:r w:rsidRPr="00E80A17">
        <w:t>Hitne medicinske pomoći</w:t>
      </w:r>
      <w:r w:rsidR="0001560E">
        <w:t>.</w:t>
      </w:r>
      <w:r w:rsidRPr="00E80A17">
        <w:t xml:space="preserve"> Socijalne potpore stanovništvu isplaćivane su temeljem </w:t>
      </w:r>
      <w:r w:rsidR="00493338" w:rsidRPr="00E80A17">
        <w:t>prijedloga</w:t>
      </w:r>
      <w:r w:rsidRPr="00E80A17">
        <w:t xml:space="preserve"> Socijalnog vijeća i u skladu s Odlukom o socijalnoj skrbi Grada Buja</w:t>
      </w:r>
      <w:r w:rsidR="00CD7FEC" w:rsidRPr="00E80A17">
        <w:t xml:space="preserve"> te temeljem Zaključaka gradonačelnika</w:t>
      </w:r>
      <w:r w:rsidRPr="00E80A17">
        <w:t xml:space="preserve"> (</w:t>
      </w:r>
      <w:r w:rsidR="00972D59">
        <w:t>439.751,07</w:t>
      </w:r>
      <w:r w:rsidRPr="00E80A17">
        <w:t xml:space="preserve"> kn). </w:t>
      </w:r>
      <w:r w:rsidR="00A12E8B">
        <w:t xml:space="preserve">Po provedenom Javnom pozivu za financiranje udruga, sklopljeni su ugovori i doznačene </w:t>
      </w:r>
      <w:r w:rsidR="00D349BC">
        <w:t xml:space="preserve">ugovorene </w:t>
      </w:r>
      <w:r w:rsidR="00A12E8B">
        <w:t xml:space="preserve">donacije (15.500,00 kn). </w:t>
      </w:r>
      <w:r w:rsidR="00646E4E">
        <w:t>Temeljem Ugovora</w:t>
      </w:r>
      <w:r w:rsidR="00BB528C">
        <w:t>,</w:t>
      </w:r>
      <w:r w:rsidR="00646E4E">
        <w:t xml:space="preserve"> D</w:t>
      </w:r>
      <w:r w:rsidR="00C63369">
        <w:t xml:space="preserve">ruštvu </w:t>
      </w:r>
      <w:proofErr w:type="spellStart"/>
      <w:r w:rsidR="00C63369">
        <w:t>celebralne</w:t>
      </w:r>
      <w:proofErr w:type="spellEnd"/>
      <w:r w:rsidR="00C63369">
        <w:t xml:space="preserve"> paralize Istarske županije </w:t>
      </w:r>
      <w:r w:rsidR="00646E4E">
        <w:t xml:space="preserve">doznačena su sredstava donacije </w:t>
      </w:r>
      <w:r w:rsidR="00C63369">
        <w:t>(</w:t>
      </w:r>
      <w:r w:rsidR="00972D59">
        <w:t>5</w:t>
      </w:r>
      <w:r w:rsidR="00130F13">
        <w:t>1</w:t>
      </w:r>
      <w:r w:rsidR="00972D59">
        <w:t>.0</w:t>
      </w:r>
      <w:r w:rsidR="00C63369">
        <w:t>00,00 kn</w:t>
      </w:r>
      <w:r w:rsidR="00646E4E">
        <w:t>)</w:t>
      </w:r>
      <w:r w:rsidR="00972D59">
        <w:t>, Centru za inkluziju i podršku zaj</w:t>
      </w:r>
      <w:r w:rsidR="00644B0B">
        <w:t>ednici (36.000,00 kn), a Sigurnoj kući Istra (5.000,00 kn)</w:t>
      </w:r>
      <w:r w:rsidR="00646E4E">
        <w:t xml:space="preserve">. </w:t>
      </w:r>
      <w:r w:rsidR="0097375A">
        <w:t xml:space="preserve">Udruzi </w:t>
      </w:r>
      <w:proofErr w:type="spellStart"/>
      <w:r w:rsidR="0097375A">
        <w:t>ZiiD</w:t>
      </w:r>
      <w:proofErr w:type="spellEnd"/>
      <w:r w:rsidR="0097375A">
        <w:t xml:space="preserve"> doznačena je donacija radi provedbe programa Obiteljskog savjetovališta (</w:t>
      </w:r>
      <w:r w:rsidR="00644B0B">
        <w:t>50.000,00</w:t>
      </w:r>
      <w:r w:rsidR="00646E4E">
        <w:t xml:space="preserve"> k</w:t>
      </w:r>
      <w:r w:rsidR="0097375A">
        <w:t>n)</w:t>
      </w:r>
      <w:r w:rsidR="00646E4E">
        <w:t>.</w:t>
      </w:r>
      <w:r w:rsidR="00644B0B">
        <w:t xml:space="preserve"> Za rad savjetovališta za prehranu i savjetovališta za spolno zdravlje mladih Zavodu za javno zdravstvo Istarske županije doznačeno je 29.000,00 kuna. </w:t>
      </w:r>
      <w:r w:rsidR="00646E4E">
        <w:t xml:space="preserve">Za edukativne brošure </w:t>
      </w:r>
      <w:r w:rsidR="00E1318D">
        <w:t xml:space="preserve">izdvojeno je </w:t>
      </w:r>
      <w:r w:rsidR="00644B0B">
        <w:t xml:space="preserve">11.882,87 </w:t>
      </w:r>
      <w:r w:rsidR="00E1318D">
        <w:t xml:space="preserve">kuna, a Centru za socijalnu skrb Pazin doznačena je pomoć u iznosu od 2.000,00 kuna radi snimanja promotivnog filma </w:t>
      </w:r>
      <w:r w:rsidR="00DF79EC">
        <w:t xml:space="preserve">za </w:t>
      </w:r>
      <w:r w:rsidR="00E1318D">
        <w:t xml:space="preserve">poticanje </w:t>
      </w:r>
      <w:proofErr w:type="spellStart"/>
      <w:r w:rsidR="00E1318D">
        <w:t>udomiteljstva</w:t>
      </w:r>
      <w:proofErr w:type="spellEnd"/>
      <w:r w:rsidR="00E1318D">
        <w:t xml:space="preserve">. </w:t>
      </w:r>
      <w:r w:rsidR="00FB4A76">
        <w:t xml:space="preserve">U skladu s </w:t>
      </w:r>
      <w:r w:rsidR="0097375A" w:rsidRPr="00E80A17">
        <w:t>Ugovor</w:t>
      </w:r>
      <w:r w:rsidR="00FB4A76">
        <w:t>om</w:t>
      </w:r>
      <w:r w:rsidR="0097375A" w:rsidRPr="00E80A17">
        <w:t xml:space="preserve"> o sufinanciranju dijela kreditne obveze za izgradnju i opremanje nove Opće bolnice u Puli </w:t>
      </w:r>
      <w:r w:rsidR="0097375A">
        <w:t>i Aneksa Ugovor</w:t>
      </w:r>
      <w:r w:rsidR="00BB528C">
        <w:t>u</w:t>
      </w:r>
      <w:r w:rsidR="0097375A">
        <w:t xml:space="preserve"> </w:t>
      </w:r>
      <w:r w:rsidR="0097375A" w:rsidRPr="00E80A17">
        <w:t>koji je sklopljen s Istarskom županijom na rok od 19 godina u ukupnoj vrijednosti od 1.</w:t>
      </w:r>
      <w:r w:rsidR="0097375A">
        <w:t>099.532,59</w:t>
      </w:r>
      <w:r w:rsidR="0097375A" w:rsidRPr="00E80A17">
        <w:t xml:space="preserve"> kuna, dozna</w:t>
      </w:r>
      <w:r w:rsidR="00A12E8B">
        <w:t xml:space="preserve">čen je </w:t>
      </w:r>
      <w:r w:rsidR="0097375A" w:rsidRPr="00E80A17">
        <w:t>ugovoreni iznos pomoći za 20</w:t>
      </w:r>
      <w:r w:rsidR="00A12E8B">
        <w:t>2</w:t>
      </w:r>
      <w:r w:rsidR="00E1318D">
        <w:t>2</w:t>
      </w:r>
      <w:r w:rsidR="0097375A" w:rsidRPr="00E80A17">
        <w:t>. godin</w:t>
      </w:r>
      <w:r w:rsidR="00972D59">
        <w:t>u</w:t>
      </w:r>
      <w:r w:rsidR="0097375A" w:rsidRPr="00E80A17">
        <w:t xml:space="preserve"> (</w:t>
      </w:r>
      <w:r w:rsidR="00972D59">
        <w:t>73.975,76</w:t>
      </w:r>
      <w:r w:rsidR="0097375A" w:rsidRPr="00E80A17">
        <w:t xml:space="preserve"> kn).</w:t>
      </w:r>
      <w:r w:rsidR="008435D2">
        <w:t xml:space="preserve"> </w:t>
      </w:r>
    </w:p>
    <w:p w14:paraId="7703C04D" w14:textId="61471193" w:rsidR="00E1318D" w:rsidRDefault="008435D2" w:rsidP="008435D2">
      <w:pPr>
        <w:ind w:firstLine="708"/>
      </w:pPr>
      <w:r>
        <w:t>U skladu s planiranim</w:t>
      </w:r>
      <w:r w:rsidR="00B02147">
        <w:t>,</w:t>
      </w:r>
      <w:r>
        <w:t xml:space="preserve"> raspoređena su sredstva za izvršenje programa i doznačena korisnicima temeljem zakona, ugovora, podnesenih zahtjeva i rješenja. </w:t>
      </w:r>
      <w:r w:rsidR="00647DF8">
        <w:t xml:space="preserve">Planirana sredstva za sufinanciranje troškova liječenja u Općoj bolnici </w:t>
      </w:r>
      <w:proofErr w:type="spellStart"/>
      <w:r w:rsidR="00647DF8">
        <w:t>Izola</w:t>
      </w:r>
      <w:proofErr w:type="spellEnd"/>
      <w:r w:rsidR="00647DF8">
        <w:t xml:space="preserve"> nisu utrošena, a radi smanjivanja broja korisnika zaj</w:t>
      </w:r>
      <w:r w:rsidR="00983C11">
        <w:t>a</w:t>
      </w:r>
      <w:r w:rsidR="00647DF8">
        <w:t>mčene minimalne naknade došlo je i do smanjenja naknada za sufinanciranje troškova stanovanja.</w:t>
      </w:r>
    </w:p>
    <w:p w14:paraId="1E9DD32D" w14:textId="77777777" w:rsidR="00647DF8" w:rsidRPr="00E80A17" w:rsidRDefault="00647DF8" w:rsidP="005712E4">
      <w:pPr>
        <w:rPr>
          <w:sz w:val="20"/>
          <w:szCs w:val="20"/>
        </w:rPr>
      </w:pPr>
    </w:p>
    <w:p w14:paraId="5E6DF611" w14:textId="77777777" w:rsidR="003D6DBF" w:rsidRDefault="000F476E" w:rsidP="00EB1F05">
      <w:r w:rsidRPr="008435D2">
        <w:rPr>
          <w:u w:val="single"/>
        </w:rPr>
        <w:t>Program</w:t>
      </w:r>
      <w:r w:rsidR="005712E4" w:rsidRPr="008435D2">
        <w:rPr>
          <w:u w:val="single"/>
        </w:rPr>
        <w:t xml:space="preserve">: </w:t>
      </w:r>
      <w:r w:rsidR="00721FD8" w:rsidRPr="008435D2">
        <w:rPr>
          <w:u w:val="single"/>
        </w:rPr>
        <w:t>Poticanje razvoja poljoprivrede</w:t>
      </w:r>
      <w:r w:rsidR="00326CF0" w:rsidRPr="008435D2">
        <w:rPr>
          <w:u w:val="single"/>
        </w:rPr>
        <w:t>,</w:t>
      </w:r>
      <w:r w:rsidR="00721FD8" w:rsidRPr="008435D2">
        <w:rPr>
          <w:u w:val="single"/>
        </w:rPr>
        <w:t xml:space="preserve"> poduzetništva</w:t>
      </w:r>
      <w:r w:rsidR="00326CF0" w:rsidRPr="008435D2">
        <w:rPr>
          <w:u w:val="single"/>
        </w:rPr>
        <w:t xml:space="preserve"> i trećeg sektora</w:t>
      </w:r>
      <w:r w:rsidR="005712E4" w:rsidRPr="00E80A17">
        <w:t xml:space="preserve"> – rashodi su ostvareni u ukupnom iznosu od </w:t>
      </w:r>
      <w:r w:rsidR="00615A8B">
        <w:t>221.122,92</w:t>
      </w:r>
      <w:r w:rsidR="005712E4" w:rsidRPr="00E80A17">
        <w:t xml:space="preserve"> kuna ili </w:t>
      </w:r>
      <w:r w:rsidR="00615A8B">
        <w:t>29,02</w:t>
      </w:r>
      <w:r w:rsidR="005712E4" w:rsidRPr="00E80A17">
        <w:t>% od</w:t>
      </w:r>
      <w:r w:rsidRPr="00E80A17">
        <w:t xml:space="preserve"> </w:t>
      </w:r>
      <w:r w:rsidR="005712E4" w:rsidRPr="00E80A17">
        <w:t>plana</w:t>
      </w:r>
      <w:r w:rsidR="000F6394">
        <w:t xml:space="preserve">. </w:t>
      </w:r>
    </w:p>
    <w:p w14:paraId="33390858" w14:textId="7B3760BE" w:rsidR="008435D2" w:rsidRDefault="000F6394" w:rsidP="003D6DBF">
      <w:pPr>
        <w:ind w:firstLine="708"/>
      </w:pPr>
      <w:r>
        <w:t xml:space="preserve">Agronomskom fakultetu </w:t>
      </w:r>
      <w:r w:rsidR="004D5E2E">
        <w:t>iz</w:t>
      </w:r>
      <w:r>
        <w:t xml:space="preserve"> Zagreb</w:t>
      </w:r>
      <w:r w:rsidR="004D5E2E">
        <w:t>a</w:t>
      </w:r>
      <w:r>
        <w:t xml:space="preserve"> doznačena je pomoć za nastavak provedbe projekta održavanja kolekcije udomaćenih i autohtonih maslina (8.000,00 kn)</w:t>
      </w:r>
      <w:r w:rsidR="005438ED">
        <w:t>.</w:t>
      </w:r>
      <w:r>
        <w:t xml:space="preserve"> </w:t>
      </w:r>
      <w:r w:rsidR="005438ED">
        <w:t>U</w:t>
      </w:r>
      <w:r>
        <w:t>drugama su po provedenom Javnom pozivu i sklopljenim ugovorima dozn</w:t>
      </w:r>
      <w:r w:rsidR="00082F8B">
        <w:t>a</w:t>
      </w:r>
      <w:r>
        <w:t>čene pomoći (12.000,00 kn)</w:t>
      </w:r>
      <w:r w:rsidR="005438ED">
        <w:t>.</w:t>
      </w:r>
      <w:r>
        <w:t xml:space="preserve"> </w:t>
      </w:r>
      <w:r w:rsidR="001243C3">
        <w:t xml:space="preserve">Održana je edukacija za poduzetnike – Start </w:t>
      </w:r>
      <w:proofErr w:type="spellStart"/>
      <w:r w:rsidR="001243C3">
        <w:t>up</w:t>
      </w:r>
      <w:proofErr w:type="spellEnd"/>
      <w:r w:rsidR="001243C3">
        <w:t xml:space="preserve"> akademija (19.500,00 kn). </w:t>
      </w:r>
      <w:r w:rsidR="005438ED">
        <w:t>U</w:t>
      </w:r>
      <w:r w:rsidR="00F3134B">
        <w:t>plaćena</w:t>
      </w:r>
      <w:r w:rsidR="00EB1F05">
        <w:t xml:space="preserve"> </w:t>
      </w:r>
      <w:r w:rsidR="00CC5E89">
        <w:t>su sredstva u</w:t>
      </w:r>
      <w:r w:rsidR="00EB1F05">
        <w:t xml:space="preserve"> fond Zaklade za razvoj civilnog društva (10.000,00</w:t>
      </w:r>
      <w:r w:rsidR="00451D43">
        <w:t xml:space="preserve"> kn</w:t>
      </w:r>
      <w:r w:rsidR="00EB1F05">
        <w:t>)</w:t>
      </w:r>
      <w:r w:rsidR="005438ED">
        <w:t>.</w:t>
      </w:r>
      <w:r w:rsidR="009D7CBC">
        <w:t xml:space="preserve"> </w:t>
      </w:r>
      <w:r w:rsidR="005438ED">
        <w:t>P</w:t>
      </w:r>
      <w:r w:rsidR="009D7CBC">
        <w:t xml:space="preserve">odmireni su rashodi za </w:t>
      </w:r>
      <w:r w:rsidR="00F34974">
        <w:t xml:space="preserve">uslugu </w:t>
      </w:r>
      <w:r w:rsidR="00CC5E89">
        <w:t xml:space="preserve">provedbe natječajnog postupka po Pozivu za financiranje programa, projekata i aktivnosti </w:t>
      </w:r>
      <w:r w:rsidR="00F34974">
        <w:t xml:space="preserve">(23.700,00 kn), rashodi za </w:t>
      </w:r>
      <w:r w:rsidR="009D7CBC">
        <w:t xml:space="preserve">održavanje i nadogradnju </w:t>
      </w:r>
      <w:r w:rsidR="000203BE">
        <w:t xml:space="preserve">informatičkog </w:t>
      </w:r>
      <w:r w:rsidR="009D7CBC">
        <w:t xml:space="preserve">programa </w:t>
      </w:r>
      <w:r w:rsidR="000203BE">
        <w:t xml:space="preserve">za </w:t>
      </w:r>
      <w:r w:rsidR="009D7CBC">
        <w:t>raspolaganj</w:t>
      </w:r>
      <w:r w:rsidR="000203BE">
        <w:t>e</w:t>
      </w:r>
      <w:r w:rsidR="009D7CBC">
        <w:t xml:space="preserve"> poljoprivrednim zemljištem u vlasništvu R</w:t>
      </w:r>
      <w:r w:rsidR="00CC5E89">
        <w:t xml:space="preserve">epublike </w:t>
      </w:r>
      <w:r w:rsidR="009D7CBC">
        <w:t>H</w:t>
      </w:r>
      <w:r w:rsidR="00CC5E89">
        <w:t>rvatske</w:t>
      </w:r>
      <w:r w:rsidR="009D7CBC">
        <w:t xml:space="preserve"> ( </w:t>
      </w:r>
      <w:r w:rsidR="009C2115">
        <w:t>24.900</w:t>
      </w:r>
      <w:r w:rsidR="009D7CBC">
        <w:t>,00 kn)</w:t>
      </w:r>
      <w:r w:rsidR="005952B9">
        <w:t xml:space="preserve">, rashodi za izradu </w:t>
      </w:r>
      <w:r w:rsidR="00D13737">
        <w:t xml:space="preserve">geodetskih </w:t>
      </w:r>
      <w:r w:rsidR="005952B9">
        <w:t>elaborata</w:t>
      </w:r>
      <w:r w:rsidR="00D13737">
        <w:t xml:space="preserve">, </w:t>
      </w:r>
      <w:r w:rsidR="00FC2307">
        <w:t xml:space="preserve">rashodi za </w:t>
      </w:r>
      <w:r w:rsidR="00D13737">
        <w:t xml:space="preserve">terenski očevid </w:t>
      </w:r>
      <w:r w:rsidR="009D7CBC">
        <w:t>te troškovi i naknade za rad povjerenstava za provedbu natječaja za zakup poljoprivrednog zemljišta (</w:t>
      </w:r>
      <w:r w:rsidR="009C2115">
        <w:t>22.865,74</w:t>
      </w:r>
      <w:r w:rsidR="009D7CBC">
        <w:t xml:space="preserve"> kn). Na </w:t>
      </w:r>
      <w:r w:rsidR="009D7CBC">
        <w:lastRenderedPageBreak/>
        <w:t>osnovi Sporazuma o provedbi kreditne linije „Poduzetnik – Istarska županija 2020.“ subvencionirana je kamata poduzetnicima (</w:t>
      </w:r>
      <w:r w:rsidR="009C2115">
        <w:t>23.983,43</w:t>
      </w:r>
      <w:r w:rsidR="009D7CBC">
        <w:t xml:space="preserve"> kn).</w:t>
      </w:r>
      <w:r w:rsidR="00D13737">
        <w:t xml:space="preserve"> </w:t>
      </w:r>
      <w:r w:rsidR="001243C3">
        <w:t xml:space="preserve">Plaćena je članarina Udruzi </w:t>
      </w:r>
      <w:proofErr w:type="spellStart"/>
      <w:r w:rsidR="001243C3">
        <w:t>modelna</w:t>
      </w:r>
      <w:proofErr w:type="spellEnd"/>
      <w:r w:rsidR="001243C3">
        <w:t xml:space="preserve"> šuma „Sliv rijeke Mirne“ (500,00 kn)</w:t>
      </w:r>
      <w:r w:rsidR="009C2115">
        <w:t xml:space="preserve"> i Udruzi gradova vina (5.673,75 kn)</w:t>
      </w:r>
      <w:r w:rsidR="001243C3">
        <w:t>.</w:t>
      </w:r>
      <w:r w:rsidR="009C2115">
        <w:t xml:space="preserve"> Fondu za razvoj poljoprivrede doznačena su sredstva pomoći za provođenje djelatnosti kreditiranja poljoprivrednika (15.000,00 kn), a nastavljena je i suradnja s Institutom za poljoprivredu i turizam iz Poreča na </w:t>
      </w:r>
      <w:r w:rsidR="00B02147">
        <w:t>održavanju i razvoju</w:t>
      </w:r>
      <w:r w:rsidR="009C2115">
        <w:t xml:space="preserve"> aplikacije web tržnica (5.000,00 kn). Izrađen je Program zaštite divljači za površine izvan lovišta Grada Buja (15.000,00 kn). Udruzi vinara </w:t>
      </w:r>
      <w:proofErr w:type="spellStart"/>
      <w:r w:rsidR="00451D43">
        <w:t>B</w:t>
      </w:r>
      <w:r w:rsidR="009C2115">
        <w:t>u</w:t>
      </w:r>
      <w:r w:rsidR="00451D43">
        <w:t>j</w:t>
      </w:r>
      <w:r w:rsidR="009C2115">
        <w:t>štine</w:t>
      </w:r>
      <w:proofErr w:type="spellEnd"/>
      <w:r w:rsidR="009C2115">
        <w:t xml:space="preserve"> „Bujska malvazija“ doznačena je donacija</w:t>
      </w:r>
      <w:r w:rsidR="00451D43">
        <w:t xml:space="preserve"> radi sufinanciranja aktivnosti na zaštiti izvornosti područja </w:t>
      </w:r>
      <w:proofErr w:type="spellStart"/>
      <w:r w:rsidR="00451D43">
        <w:t>Bujštine</w:t>
      </w:r>
      <w:proofErr w:type="spellEnd"/>
      <w:r w:rsidR="00451D43">
        <w:t xml:space="preserve"> na kojem uspijeva malvazija (</w:t>
      </w:r>
      <w:r w:rsidR="009C2115">
        <w:t>35.000,00 k</w:t>
      </w:r>
      <w:r w:rsidR="00451D43">
        <w:t xml:space="preserve">n). </w:t>
      </w:r>
    </w:p>
    <w:p w14:paraId="0E470790" w14:textId="231D39A4" w:rsidR="001243C3" w:rsidRDefault="00451D43" w:rsidP="008435D2">
      <w:pPr>
        <w:ind w:firstLine="708"/>
      </w:pPr>
      <w:r>
        <w:t>Sredstva za subvencije iskorištena su u iznosu manjem od planiranog.</w:t>
      </w:r>
    </w:p>
    <w:p w14:paraId="33768FDA" w14:textId="77777777" w:rsidR="0051518B" w:rsidRPr="00E80A17" w:rsidRDefault="0051518B" w:rsidP="005712E4">
      <w:pPr>
        <w:rPr>
          <w:sz w:val="20"/>
          <w:szCs w:val="20"/>
        </w:rPr>
      </w:pPr>
    </w:p>
    <w:p w14:paraId="66797496" w14:textId="384EEF99" w:rsidR="004A09E4" w:rsidRPr="00E80A17" w:rsidRDefault="004A09E4" w:rsidP="004A09E4">
      <w:r w:rsidRPr="008435D2">
        <w:rPr>
          <w:u w:val="single"/>
        </w:rPr>
        <w:t>Glava 00103: Dječji vrtić</w:t>
      </w:r>
      <w:r w:rsidR="00C73786" w:rsidRPr="008435D2">
        <w:rPr>
          <w:u w:val="single"/>
        </w:rPr>
        <w:t>i</w:t>
      </w:r>
      <w:r w:rsidRPr="00E80A17">
        <w:t xml:space="preserve"> – rashodi su ostvareni u ukupnom iznosu od </w:t>
      </w:r>
      <w:r w:rsidR="00451D43">
        <w:t>6.867.876,85</w:t>
      </w:r>
      <w:r w:rsidR="00735B33">
        <w:t xml:space="preserve"> </w:t>
      </w:r>
      <w:r w:rsidRPr="00E80A17">
        <w:t xml:space="preserve">kuna ili </w:t>
      </w:r>
      <w:r w:rsidR="00451D43">
        <w:t>0,57</w:t>
      </w:r>
      <w:r w:rsidRPr="00E80A17">
        <w:t xml:space="preserve">% </w:t>
      </w:r>
      <w:r w:rsidR="00451D43">
        <w:t xml:space="preserve">više </w:t>
      </w:r>
      <w:r w:rsidRPr="00E80A17">
        <w:t xml:space="preserve">od plana. </w:t>
      </w:r>
    </w:p>
    <w:p w14:paraId="5C7A88E4" w14:textId="1DEA2CF6" w:rsidR="005421E6" w:rsidRPr="00E80A17" w:rsidRDefault="004A09E4" w:rsidP="008435D2">
      <w:pPr>
        <w:ind w:firstLine="708"/>
      </w:pPr>
      <w:r w:rsidRPr="00E80A17">
        <w:t xml:space="preserve">Rashodi se odnose na proračunske korisnike Grada Buja </w:t>
      </w:r>
      <w:r w:rsidR="00C23BDB" w:rsidRPr="00E80A17">
        <w:t>– Buie:</w:t>
      </w:r>
      <w:r w:rsidRPr="00E80A17">
        <w:t xml:space="preserve"> Dječji vrtić Buje i Talijanski dječji vrtić Mrvica. Proračunski korisnici iz sredstava proračuna namiruju rashode za zaposlene te dio materijalnih rashoda. U </w:t>
      </w:r>
      <w:r w:rsidR="008A16B0">
        <w:t>202</w:t>
      </w:r>
      <w:r w:rsidR="00735B33">
        <w:t>2</w:t>
      </w:r>
      <w:r w:rsidR="008A16B0">
        <w:t>. godini</w:t>
      </w:r>
      <w:r w:rsidRPr="00E80A17">
        <w:t xml:space="preserve"> </w:t>
      </w:r>
      <w:r w:rsidR="00C935BE">
        <w:t>na teret</w:t>
      </w:r>
      <w:r w:rsidRPr="00E80A17">
        <w:t xml:space="preserve"> izvornih sredstava proračuna Grada Buja - Buie </w:t>
      </w:r>
      <w:r w:rsidR="00C935BE">
        <w:t xml:space="preserve">rashodi za rad dječjih vrtića realizirani su u iznosu od </w:t>
      </w:r>
      <w:r w:rsidR="00451D43">
        <w:t>4.814.862,97</w:t>
      </w:r>
      <w:r w:rsidR="00C935BE">
        <w:t xml:space="preserve"> kuna.</w:t>
      </w:r>
      <w:r w:rsidR="00910BE1" w:rsidRPr="00E80A17">
        <w:t xml:space="preserve"> </w:t>
      </w:r>
    </w:p>
    <w:p w14:paraId="63E269F8" w14:textId="21282F4F" w:rsidR="004A09E4" w:rsidRPr="00E80A17" w:rsidRDefault="00C935BE" w:rsidP="008435D2">
      <w:pPr>
        <w:ind w:firstLine="708"/>
      </w:pPr>
      <w:r>
        <w:t>R</w:t>
      </w:r>
      <w:r w:rsidR="004A09E4" w:rsidRPr="00E80A17">
        <w:t xml:space="preserve">ashodi financirani iz sredstava pomoći </w:t>
      </w:r>
      <w:r w:rsidR="00886258" w:rsidRPr="00E80A17">
        <w:t>po osnovi Ugovora o sufinanciranju rada dječjih vrtića te ostalih pomoći i</w:t>
      </w:r>
      <w:r w:rsidR="004A09E4" w:rsidRPr="00E80A17">
        <w:t xml:space="preserve"> donacija </w:t>
      </w:r>
      <w:r>
        <w:t xml:space="preserve">ostvareni su </w:t>
      </w:r>
      <w:r w:rsidR="004A09E4" w:rsidRPr="00E80A17">
        <w:t xml:space="preserve">u ukupnom iznosu od </w:t>
      </w:r>
      <w:r w:rsidR="00451D43">
        <w:t>733.922,04</w:t>
      </w:r>
      <w:r w:rsidR="004A09E4" w:rsidRPr="00E80A17">
        <w:t xml:space="preserve"> kuna. </w:t>
      </w:r>
    </w:p>
    <w:p w14:paraId="00083274" w14:textId="71283730" w:rsidR="004A09E4" w:rsidRPr="00E80A17" w:rsidRDefault="004A09E4" w:rsidP="008435D2">
      <w:pPr>
        <w:ind w:firstLine="708"/>
      </w:pPr>
      <w:r w:rsidRPr="00E80A17">
        <w:t xml:space="preserve">Rashodi financirani iz vlastitih sredstava </w:t>
      </w:r>
      <w:r w:rsidR="009D54A3">
        <w:t xml:space="preserve">i participacija </w:t>
      </w:r>
      <w:r w:rsidRPr="00E80A17">
        <w:t xml:space="preserve">iznose ukupno </w:t>
      </w:r>
      <w:r w:rsidR="00451D43">
        <w:t>1.319.091,84</w:t>
      </w:r>
      <w:r w:rsidR="00910BE1" w:rsidRPr="00E80A17">
        <w:t xml:space="preserve"> </w:t>
      </w:r>
      <w:r w:rsidRPr="00E80A17">
        <w:t>kuna.</w:t>
      </w:r>
      <w:r w:rsidR="005F509B" w:rsidRPr="00E80A17">
        <w:t xml:space="preserve"> </w:t>
      </w:r>
      <w:r w:rsidR="00404B92">
        <w:t>Od p</w:t>
      </w:r>
      <w:r w:rsidR="005F509B" w:rsidRPr="00E80A17">
        <w:t xml:space="preserve">articipacija roditelja </w:t>
      </w:r>
      <w:r w:rsidR="00433325">
        <w:t>je u 2022. godini naplaćeno</w:t>
      </w:r>
      <w:r w:rsidR="00404B92">
        <w:t xml:space="preserve"> ukupno 1.057.516,22 kuna što pokriva 15,40% </w:t>
      </w:r>
      <w:r w:rsidR="005F509B" w:rsidRPr="00E80A17">
        <w:t xml:space="preserve">ukupnih </w:t>
      </w:r>
      <w:r w:rsidR="004A18ED">
        <w:t xml:space="preserve">godišnjih </w:t>
      </w:r>
      <w:r w:rsidR="005F509B" w:rsidRPr="00E80A17">
        <w:t>troškova dječjih vrtića.</w:t>
      </w:r>
      <w:r w:rsidR="00B34FA6">
        <w:t xml:space="preserve"> </w:t>
      </w:r>
    </w:p>
    <w:p w14:paraId="55843A12" w14:textId="3A85F787" w:rsidR="004A09E4" w:rsidRPr="00E80A17" w:rsidRDefault="004A09E4" w:rsidP="008435D2">
      <w:pPr>
        <w:ind w:firstLine="708"/>
      </w:pPr>
      <w:r w:rsidRPr="00E80A17">
        <w:t xml:space="preserve">Dječji vrtić Buje ostvario je ukupne rashode u iznosu od </w:t>
      </w:r>
      <w:r w:rsidR="004A18ED">
        <w:t>4.172.188,33</w:t>
      </w:r>
      <w:r w:rsidRPr="00E80A17">
        <w:t xml:space="preserve"> kuna, a Talijanski dječji vrtić Mrvica u iznosu od </w:t>
      </w:r>
      <w:r w:rsidR="004A18ED">
        <w:t>2.695.688,52</w:t>
      </w:r>
      <w:r w:rsidRPr="00E80A17">
        <w:t xml:space="preserve"> kuna. </w:t>
      </w:r>
    </w:p>
    <w:p w14:paraId="4CB4ABA4" w14:textId="77777777" w:rsidR="00B34FA6" w:rsidRDefault="00B34FA6" w:rsidP="00C73786"/>
    <w:p w14:paraId="274A5DFA" w14:textId="77777777" w:rsidR="003D6DBF" w:rsidRDefault="00C73786" w:rsidP="00C73786">
      <w:r w:rsidRPr="008435D2">
        <w:rPr>
          <w:u w:val="single"/>
        </w:rPr>
        <w:t>Glava 00104: Pučko otvoreno učilište</w:t>
      </w:r>
      <w:r w:rsidRPr="00E80A17">
        <w:t xml:space="preserve"> - realizirani su ukupni rashodi u iznosu od </w:t>
      </w:r>
      <w:r w:rsidR="004A18ED">
        <w:t>1.351.583,18</w:t>
      </w:r>
      <w:r w:rsidRPr="00E80A17">
        <w:t xml:space="preserve"> kuna ili </w:t>
      </w:r>
      <w:r w:rsidR="004A18ED">
        <w:t>85,60</w:t>
      </w:r>
      <w:r w:rsidRPr="00E80A17">
        <w:t xml:space="preserve">% </w:t>
      </w:r>
      <w:r w:rsidR="005F509B" w:rsidRPr="00E80A17">
        <w:t>od</w:t>
      </w:r>
      <w:r w:rsidRPr="00E80A17">
        <w:t xml:space="preserve"> plana. </w:t>
      </w:r>
    </w:p>
    <w:p w14:paraId="4A2997A8" w14:textId="032115B4" w:rsidR="00C73786" w:rsidRDefault="00C73786" w:rsidP="003D6DBF">
      <w:pPr>
        <w:ind w:firstLine="708"/>
      </w:pPr>
      <w:r w:rsidRPr="00E80A17">
        <w:t xml:space="preserve">Od navedenog iznosa </w:t>
      </w:r>
      <w:r w:rsidR="004A18ED">
        <w:t>1.144.498,74</w:t>
      </w:r>
      <w:r w:rsidRPr="00E80A17">
        <w:t xml:space="preserve"> kuna </w:t>
      </w:r>
      <w:r w:rsidR="00082F8B">
        <w:t xml:space="preserve">ili </w:t>
      </w:r>
      <w:r w:rsidR="004A18ED">
        <w:t>84,68</w:t>
      </w:r>
      <w:r w:rsidR="00082F8B">
        <w:t xml:space="preserve">% </w:t>
      </w:r>
      <w:r w:rsidRPr="00E80A17">
        <w:t xml:space="preserve">rashoda </w:t>
      </w:r>
      <w:r w:rsidR="005421E6" w:rsidRPr="00E80A17">
        <w:t xml:space="preserve">izvršeno </w:t>
      </w:r>
      <w:r w:rsidRPr="00E80A17">
        <w:t xml:space="preserve">je </w:t>
      </w:r>
      <w:r w:rsidR="005421E6" w:rsidRPr="00E80A17">
        <w:t>na teret</w:t>
      </w:r>
      <w:r w:rsidRPr="00E80A17">
        <w:t xml:space="preserve"> izvornih sredstava proračuna. Rashodi financirani iz ostvarenih pomoći iznose</w:t>
      </w:r>
      <w:r w:rsidR="005F509B" w:rsidRPr="00E80A17">
        <w:t xml:space="preserve"> </w:t>
      </w:r>
      <w:r w:rsidR="004A18ED">
        <w:t>164.719,53</w:t>
      </w:r>
      <w:r w:rsidRPr="00E80A17">
        <w:t xml:space="preserve"> kuna, dok </w:t>
      </w:r>
      <w:r w:rsidR="004A18ED">
        <w:t>se na teret</w:t>
      </w:r>
      <w:r w:rsidRPr="00E80A17">
        <w:t xml:space="preserve"> vlastitih </w:t>
      </w:r>
      <w:r w:rsidR="00ED4B88">
        <w:t>prihoda</w:t>
      </w:r>
      <w:r w:rsidRPr="00E80A17">
        <w:t xml:space="preserve"> </w:t>
      </w:r>
      <w:r w:rsidR="00ED4B88">
        <w:t xml:space="preserve">i prihoda posebne namjene </w:t>
      </w:r>
      <w:r w:rsidR="004A18ED">
        <w:t>realiziralo</w:t>
      </w:r>
      <w:r w:rsidRPr="00E80A17">
        <w:t xml:space="preserve"> </w:t>
      </w:r>
      <w:r w:rsidR="004A18ED">
        <w:t>42.364,91</w:t>
      </w:r>
      <w:r w:rsidRPr="00E80A17">
        <w:t xml:space="preserve"> kuna rashoda.  </w:t>
      </w:r>
    </w:p>
    <w:p w14:paraId="6BBD9A57" w14:textId="77777777" w:rsidR="0019584F" w:rsidRPr="00E80A17" w:rsidRDefault="0019584F" w:rsidP="00C73786"/>
    <w:p w14:paraId="3535D77C" w14:textId="77777777" w:rsidR="005B737B" w:rsidRPr="00E80A17" w:rsidRDefault="005B737B" w:rsidP="00C73786"/>
    <w:p w14:paraId="6D98901A" w14:textId="77777777" w:rsidR="005712E4" w:rsidRPr="00771E8F" w:rsidRDefault="005712E4" w:rsidP="005712E4">
      <w:pPr>
        <w:rPr>
          <w:b/>
          <w:bCs/>
          <w:u w:val="single"/>
        </w:rPr>
      </w:pPr>
      <w:r w:rsidRPr="00771E8F">
        <w:rPr>
          <w:b/>
          <w:bCs/>
          <w:u w:val="single"/>
        </w:rPr>
        <w:t>Upravni odjel za komunalne djelatnosti</w:t>
      </w:r>
    </w:p>
    <w:p w14:paraId="10DD3068" w14:textId="77777777" w:rsidR="005712E4" w:rsidRPr="00E80A17" w:rsidRDefault="005712E4" w:rsidP="005712E4"/>
    <w:p w14:paraId="1096BC1C" w14:textId="7B572349" w:rsidR="005712E4" w:rsidRPr="00E80A17" w:rsidRDefault="00E7734A" w:rsidP="005712E4">
      <w:r w:rsidRPr="008435D2">
        <w:rPr>
          <w:u w:val="single"/>
        </w:rPr>
        <w:t xml:space="preserve">Glava 00201: </w:t>
      </w:r>
      <w:r w:rsidR="005712E4" w:rsidRPr="008435D2">
        <w:rPr>
          <w:u w:val="single"/>
        </w:rPr>
        <w:t>Upravn</w:t>
      </w:r>
      <w:r w:rsidRPr="008435D2">
        <w:rPr>
          <w:u w:val="single"/>
        </w:rPr>
        <w:t>i</w:t>
      </w:r>
      <w:r w:rsidR="005712E4" w:rsidRPr="008435D2">
        <w:rPr>
          <w:u w:val="single"/>
        </w:rPr>
        <w:t xml:space="preserve"> odjel za komunalne djelatnosti</w:t>
      </w:r>
      <w:r w:rsidRPr="00E80A17">
        <w:t xml:space="preserve"> u </w:t>
      </w:r>
      <w:r w:rsidR="008F24CD">
        <w:t>2</w:t>
      </w:r>
      <w:r w:rsidRPr="00E80A17">
        <w:t>0</w:t>
      </w:r>
      <w:r w:rsidR="00BD5192">
        <w:t>2</w:t>
      </w:r>
      <w:r w:rsidR="0019584F">
        <w:t>2</w:t>
      </w:r>
      <w:r w:rsidRPr="00E80A17">
        <w:t>. godin</w:t>
      </w:r>
      <w:r w:rsidR="00480209">
        <w:t>i</w:t>
      </w:r>
      <w:r w:rsidRPr="00E80A17">
        <w:t xml:space="preserve"> realizirao je ukupne rashode </w:t>
      </w:r>
      <w:r w:rsidR="005712E4" w:rsidRPr="00E80A17">
        <w:t xml:space="preserve">u iznosu od </w:t>
      </w:r>
      <w:r w:rsidR="00480209">
        <w:t>16.646.528,06</w:t>
      </w:r>
      <w:r w:rsidR="005712E4" w:rsidRPr="00E80A17">
        <w:t xml:space="preserve"> kuna ili </w:t>
      </w:r>
      <w:r w:rsidR="00480209">
        <w:t>93,24</w:t>
      </w:r>
      <w:r w:rsidR="00946871" w:rsidRPr="00E80A17">
        <w:t>%</w:t>
      </w:r>
      <w:r w:rsidR="005712E4" w:rsidRPr="00E80A17">
        <w:t xml:space="preserve"> od plana.</w:t>
      </w:r>
    </w:p>
    <w:p w14:paraId="01BB25BD" w14:textId="77777777" w:rsidR="005712E4" w:rsidRPr="00E80A17" w:rsidRDefault="005712E4" w:rsidP="005712E4"/>
    <w:p w14:paraId="348412A8" w14:textId="4D220B9F" w:rsidR="008F24CD" w:rsidRDefault="00E7734A" w:rsidP="005712E4">
      <w:r w:rsidRPr="008435D2">
        <w:rPr>
          <w:u w:val="single"/>
        </w:rPr>
        <w:t>Program : Redovna djelatnost upravnih odjela</w:t>
      </w:r>
      <w:r w:rsidR="005712E4" w:rsidRPr="00E80A17">
        <w:t xml:space="preserve"> – rashodi su ostvareni u iznosu od </w:t>
      </w:r>
      <w:r w:rsidR="00D5041B">
        <w:t>826.229,57</w:t>
      </w:r>
      <w:r w:rsidR="005712E4" w:rsidRPr="00E80A17">
        <w:t xml:space="preserve"> ili </w:t>
      </w:r>
      <w:r w:rsidR="00D5041B">
        <w:t>75,92</w:t>
      </w:r>
      <w:r w:rsidR="005712E4" w:rsidRPr="00E80A17">
        <w:t xml:space="preserve">% od </w:t>
      </w:r>
      <w:r w:rsidR="00D5041B">
        <w:t>P</w:t>
      </w:r>
      <w:r w:rsidR="005712E4" w:rsidRPr="00E80A17">
        <w:t xml:space="preserve">lana, a odnose se na rashode za zaposlene u </w:t>
      </w:r>
      <w:r w:rsidRPr="00E80A17">
        <w:t xml:space="preserve">upravnom </w:t>
      </w:r>
      <w:r w:rsidR="005712E4" w:rsidRPr="00E80A17">
        <w:t>odjelu</w:t>
      </w:r>
      <w:r w:rsidR="008C49DA">
        <w:t xml:space="preserve"> </w:t>
      </w:r>
      <w:r w:rsidR="00D5041B">
        <w:t>koji su</w:t>
      </w:r>
      <w:r w:rsidR="008C49DA">
        <w:t xml:space="preserve"> realiziran</w:t>
      </w:r>
      <w:r w:rsidR="003B6D69">
        <w:t>i</w:t>
      </w:r>
      <w:r w:rsidR="008C49DA">
        <w:t xml:space="preserve"> u visini od </w:t>
      </w:r>
      <w:r w:rsidR="00D5041B">
        <w:t>93,01</w:t>
      </w:r>
      <w:r w:rsidR="008C49DA">
        <w:t>% od plana</w:t>
      </w:r>
      <w:r w:rsidR="00BD5192">
        <w:t xml:space="preserve">. </w:t>
      </w:r>
    </w:p>
    <w:p w14:paraId="03A3738B" w14:textId="21AC8A74" w:rsidR="005712E4" w:rsidRPr="00E80A17" w:rsidRDefault="00D5041B" w:rsidP="008435D2">
      <w:pPr>
        <w:ind w:firstLine="708"/>
      </w:pPr>
      <w:r>
        <w:t>S</w:t>
      </w:r>
      <w:r w:rsidR="00BD5192">
        <w:t xml:space="preserve">redstva za </w:t>
      </w:r>
      <w:r w:rsidR="005712E4" w:rsidRPr="00E80A17">
        <w:t>kapitaln</w:t>
      </w:r>
      <w:r>
        <w:t>e</w:t>
      </w:r>
      <w:r w:rsidR="005712E4" w:rsidRPr="00E80A17">
        <w:t xml:space="preserve"> pomoć</w:t>
      </w:r>
      <w:r>
        <w:t>i</w:t>
      </w:r>
      <w:r w:rsidR="005712E4" w:rsidRPr="00E80A17">
        <w:t xml:space="preserve"> komunalnom poduzeću </w:t>
      </w:r>
      <w:proofErr w:type="spellStart"/>
      <w:r w:rsidR="005712E4" w:rsidRPr="00E80A17">
        <w:t>Civitas</w:t>
      </w:r>
      <w:proofErr w:type="spellEnd"/>
      <w:r w:rsidR="005712E4" w:rsidRPr="00E80A17">
        <w:t xml:space="preserve"> </w:t>
      </w:r>
      <w:proofErr w:type="spellStart"/>
      <w:r w:rsidR="005712E4" w:rsidRPr="00E80A17">
        <w:t>Bullearum</w:t>
      </w:r>
      <w:proofErr w:type="spellEnd"/>
      <w:r w:rsidR="005712E4" w:rsidRPr="00E80A17">
        <w:t xml:space="preserve"> d.o.o. </w:t>
      </w:r>
      <w:r w:rsidR="008F24CD">
        <w:t>u 202</w:t>
      </w:r>
      <w:r w:rsidR="008C49DA">
        <w:t>2</w:t>
      </w:r>
      <w:r w:rsidR="008F24CD">
        <w:t xml:space="preserve">. </w:t>
      </w:r>
      <w:r w:rsidR="00BD5192">
        <w:t>godin</w:t>
      </w:r>
      <w:r>
        <w:t>i</w:t>
      </w:r>
      <w:r w:rsidR="008F24CD">
        <w:t xml:space="preserve"> nisu utrošena</w:t>
      </w:r>
      <w:r w:rsidR="00BD5192">
        <w:t>.</w:t>
      </w:r>
      <w:r w:rsidR="005712E4" w:rsidRPr="00E80A17">
        <w:t xml:space="preserve"> </w:t>
      </w:r>
    </w:p>
    <w:p w14:paraId="30945199" w14:textId="77777777" w:rsidR="009C424D" w:rsidRPr="00E80A17" w:rsidRDefault="009C424D" w:rsidP="005712E4">
      <w:pPr>
        <w:ind w:firstLine="708"/>
      </w:pPr>
    </w:p>
    <w:p w14:paraId="18588120" w14:textId="77777777" w:rsidR="003D6DBF" w:rsidRDefault="00E7734A" w:rsidP="00E7734A">
      <w:r w:rsidRPr="008435D2">
        <w:rPr>
          <w:u w:val="single"/>
        </w:rPr>
        <w:t>Program</w:t>
      </w:r>
      <w:r w:rsidR="005712E4" w:rsidRPr="008435D2">
        <w:rPr>
          <w:u w:val="single"/>
        </w:rPr>
        <w:t xml:space="preserve">: Održavanje komunalne infrastrukture </w:t>
      </w:r>
      <w:r w:rsidR="009E7BCB">
        <w:t xml:space="preserve">– rashodi su </w:t>
      </w:r>
      <w:r w:rsidR="00555E2F">
        <w:t>izvršen</w:t>
      </w:r>
      <w:r w:rsidR="009E7BCB">
        <w:t xml:space="preserve">i </w:t>
      </w:r>
      <w:r w:rsidR="005712E4" w:rsidRPr="00E80A17">
        <w:t xml:space="preserve">u iznosu od </w:t>
      </w:r>
      <w:r w:rsidR="00F81DB7">
        <w:t>10.022.562,89</w:t>
      </w:r>
      <w:r w:rsidR="009E7BCB">
        <w:t xml:space="preserve"> </w:t>
      </w:r>
      <w:r w:rsidR="009C424D" w:rsidRPr="00E80A17">
        <w:t xml:space="preserve">kuna ili </w:t>
      </w:r>
      <w:r w:rsidR="00F81DB7">
        <w:t>95,94</w:t>
      </w:r>
      <w:r w:rsidR="005712E4" w:rsidRPr="00E80A17">
        <w:t xml:space="preserve">% od plana. </w:t>
      </w:r>
    </w:p>
    <w:p w14:paraId="450B2A99" w14:textId="3B85D566" w:rsidR="005712E4" w:rsidRDefault="005712E4" w:rsidP="003D6DBF">
      <w:pPr>
        <w:ind w:firstLine="708"/>
      </w:pPr>
      <w:r w:rsidRPr="00E80A17">
        <w:t>Ostvareni rashodi odnose se na troškove: javne i dekorativne rasvjete (</w:t>
      </w:r>
      <w:r w:rsidR="00286498">
        <w:t>641.92</w:t>
      </w:r>
      <w:r w:rsidR="001305AB">
        <w:t>6</w:t>
      </w:r>
      <w:r w:rsidR="00286498">
        <w:t>,02</w:t>
      </w:r>
      <w:r w:rsidR="009E7BCB">
        <w:t xml:space="preserve"> </w:t>
      </w:r>
      <w:r w:rsidRPr="00E80A17">
        <w:t>kn), održavanje nerazvrstanih cesta</w:t>
      </w:r>
      <w:r w:rsidR="00C43E54">
        <w:t>, poljskih puteva</w:t>
      </w:r>
      <w:r w:rsidRPr="00E80A17">
        <w:t xml:space="preserve"> i prometne signalizacije (</w:t>
      </w:r>
      <w:r w:rsidR="00286498">
        <w:t>2.515.645,84</w:t>
      </w:r>
      <w:r w:rsidR="00C43E54">
        <w:t xml:space="preserve"> </w:t>
      </w:r>
      <w:r w:rsidRPr="00E80A17">
        <w:t>kn), na troškove čišćenja javnih površina</w:t>
      </w:r>
      <w:r w:rsidR="00317DB2">
        <w:t>,</w:t>
      </w:r>
      <w:r w:rsidRPr="00E80A17">
        <w:t xml:space="preserve"> odvoza otpada</w:t>
      </w:r>
      <w:r w:rsidR="00317DB2">
        <w:t>, dezinsekciju, deratizaciju i higijeničarsku službu</w:t>
      </w:r>
      <w:r w:rsidRPr="00E80A17">
        <w:t xml:space="preserve"> (</w:t>
      </w:r>
      <w:r w:rsidR="00286498">
        <w:t>1.010.568,21</w:t>
      </w:r>
      <w:r w:rsidRPr="00E80A17">
        <w:t xml:space="preserve"> kn), </w:t>
      </w:r>
      <w:r w:rsidR="00082F8B">
        <w:t xml:space="preserve">troškove </w:t>
      </w:r>
      <w:r w:rsidRPr="00E80A17">
        <w:t xml:space="preserve">održavanja </w:t>
      </w:r>
      <w:r w:rsidR="00C43E54">
        <w:t xml:space="preserve">objekata </w:t>
      </w:r>
      <w:r w:rsidR="0091443C">
        <w:t xml:space="preserve">odvodnje </w:t>
      </w:r>
      <w:r w:rsidRPr="00E80A17">
        <w:t>oborinsk</w:t>
      </w:r>
      <w:r w:rsidR="0091443C">
        <w:t>ih voda</w:t>
      </w:r>
      <w:r w:rsidRPr="00E80A17">
        <w:t xml:space="preserve"> </w:t>
      </w:r>
      <w:r w:rsidRPr="00E80A17">
        <w:lastRenderedPageBreak/>
        <w:t>(</w:t>
      </w:r>
      <w:r w:rsidR="00286498">
        <w:t>395.503,45</w:t>
      </w:r>
      <w:r w:rsidR="00662819" w:rsidRPr="00E80A17">
        <w:t xml:space="preserve"> </w:t>
      </w:r>
      <w:r w:rsidRPr="00E80A17">
        <w:t xml:space="preserve">kn), </w:t>
      </w:r>
      <w:r w:rsidR="00082F8B">
        <w:t xml:space="preserve">troškove </w:t>
      </w:r>
      <w:r w:rsidRPr="00E80A17">
        <w:t xml:space="preserve">održavanja javnih </w:t>
      </w:r>
      <w:r w:rsidR="00C43E54">
        <w:t xml:space="preserve">zelenih </w:t>
      </w:r>
      <w:r w:rsidRPr="00E80A17">
        <w:t>površina (</w:t>
      </w:r>
      <w:r w:rsidR="00286498">
        <w:t>2.081.868,84</w:t>
      </w:r>
      <w:r w:rsidRPr="00E80A17">
        <w:t xml:space="preserve"> kn), održavanja groblj</w:t>
      </w:r>
      <w:r w:rsidR="0091443C">
        <w:t>a</w:t>
      </w:r>
      <w:r w:rsidRPr="00E80A17">
        <w:t xml:space="preserve"> (</w:t>
      </w:r>
      <w:r w:rsidR="00E66D80">
        <w:t>657.678,13</w:t>
      </w:r>
      <w:r w:rsidRPr="00E80A17">
        <w:t xml:space="preserve"> kn), </w:t>
      </w:r>
      <w:r w:rsidR="00E66D80">
        <w:t xml:space="preserve">uređenje pješačko planinarskih staza (50.025,00 kn), </w:t>
      </w:r>
      <w:r w:rsidRPr="00E80A17">
        <w:t>održavanja sportskih objekata (</w:t>
      </w:r>
      <w:r w:rsidR="00A46AE1">
        <w:t>419.486,94</w:t>
      </w:r>
      <w:r w:rsidRPr="00E80A17">
        <w:t xml:space="preserve"> kn),</w:t>
      </w:r>
      <w:r w:rsidR="00245BDF" w:rsidRPr="00245BDF">
        <w:t xml:space="preserve"> </w:t>
      </w:r>
      <w:r w:rsidRPr="00245BDF">
        <w:t xml:space="preserve">rashode </w:t>
      </w:r>
      <w:r w:rsidR="004E3780">
        <w:t>za režijske troškove</w:t>
      </w:r>
      <w:r w:rsidRPr="00AB2B61">
        <w:t xml:space="preserve"> sportsk</w:t>
      </w:r>
      <w:r w:rsidR="00145E48">
        <w:t>ih</w:t>
      </w:r>
      <w:r w:rsidRPr="00AB2B61">
        <w:t xml:space="preserve"> teren</w:t>
      </w:r>
      <w:r w:rsidR="00145E48">
        <w:t>a</w:t>
      </w:r>
      <w:r w:rsidRPr="00AB2B61">
        <w:t xml:space="preserve"> i ostal</w:t>
      </w:r>
      <w:r w:rsidR="00145E48">
        <w:t>ih</w:t>
      </w:r>
      <w:r w:rsidRPr="00AB2B61">
        <w:t xml:space="preserve"> objek</w:t>
      </w:r>
      <w:r w:rsidR="00145E48">
        <w:t>a</w:t>
      </w:r>
      <w:r w:rsidRPr="00AB2B61">
        <w:t>t</w:t>
      </w:r>
      <w:r w:rsidR="00145E48">
        <w:t>a</w:t>
      </w:r>
      <w:r w:rsidRPr="00AB2B61">
        <w:t xml:space="preserve"> u vlasništvu Grada (</w:t>
      </w:r>
      <w:r w:rsidR="00E66D80">
        <w:t>491.026,55</w:t>
      </w:r>
      <w:r w:rsidRPr="00AB2B61">
        <w:t xml:space="preserve"> kn)</w:t>
      </w:r>
      <w:r w:rsidR="00245BDF">
        <w:t xml:space="preserve">, tekuće i investicijsko održavanje </w:t>
      </w:r>
      <w:r w:rsidR="00E44A13">
        <w:t xml:space="preserve">poslovnih </w:t>
      </w:r>
      <w:r w:rsidR="00E32440">
        <w:t xml:space="preserve">i drugih </w:t>
      </w:r>
      <w:r w:rsidR="00245BDF">
        <w:t xml:space="preserve">objekata </w:t>
      </w:r>
      <w:r w:rsidR="00E32440">
        <w:t xml:space="preserve">u vlasništvu </w:t>
      </w:r>
      <w:r w:rsidR="00245BDF">
        <w:t>(</w:t>
      </w:r>
      <w:r w:rsidR="00A46AE1">
        <w:t>885.177,71</w:t>
      </w:r>
      <w:r w:rsidR="006F230B">
        <w:t xml:space="preserve"> kn),</w:t>
      </w:r>
      <w:r w:rsidR="00E44A13">
        <w:t xml:space="preserve"> tekuće i investicijsko održavanje stambenih objekata (</w:t>
      </w:r>
      <w:r w:rsidR="00A46AE1">
        <w:t>272.603,62</w:t>
      </w:r>
      <w:r w:rsidR="00E44A13">
        <w:t xml:space="preserve"> kn), sanaciju zgrada u povijesnoj jezgri (</w:t>
      </w:r>
      <w:r w:rsidR="00A46AE1">
        <w:t>17.875</w:t>
      </w:r>
      <w:r w:rsidR="00C86E33">
        <w:t>,00</w:t>
      </w:r>
      <w:r w:rsidR="00E44A13">
        <w:t xml:space="preserve"> kn), </w:t>
      </w:r>
      <w:r w:rsidR="00A46AE1">
        <w:t xml:space="preserve">održavanje </w:t>
      </w:r>
      <w:r w:rsidR="0048339F">
        <w:t xml:space="preserve">na pomorskom dobru </w:t>
      </w:r>
      <w:r w:rsidR="00A46AE1">
        <w:t xml:space="preserve">i </w:t>
      </w:r>
      <w:r w:rsidR="00C86E33">
        <w:t>p</w:t>
      </w:r>
      <w:r w:rsidR="006F230B">
        <w:t>sihološk</w:t>
      </w:r>
      <w:r w:rsidR="00145E48">
        <w:t>e</w:t>
      </w:r>
      <w:r w:rsidR="006F230B">
        <w:t xml:space="preserve"> barijer</w:t>
      </w:r>
      <w:r w:rsidR="00145E48">
        <w:t>e</w:t>
      </w:r>
      <w:r w:rsidR="006F230B">
        <w:t xml:space="preserve"> (</w:t>
      </w:r>
      <w:r w:rsidR="00A46AE1">
        <w:t>59.262,50</w:t>
      </w:r>
      <w:r w:rsidR="006F230B">
        <w:t xml:space="preserve"> kn), usluge interneta prema projektu WIFI4EU kojim </w:t>
      </w:r>
      <w:r w:rsidR="00145E48">
        <w:t>je</w:t>
      </w:r>
      <w:r w:rsidR="006F230B">
        <w:t xml:space="preserve"> omoguć</w:t>
      </w:r>
      <w:r w:rsidR="00145E48">
        <w:t>en</w:t>
      </w:r>
      <w:r w:rsidR="006F230B">
        <w:t xml:space="preserve"> besplatni pristup internetu građanima i posjetiteljima u javnim prostorima </w:t>
      </w:r>
      <w:r w:rsidR="00C86E33">
        <w:t xml:space="preserve">te sustav javnog videonadzora </w:t>
      </w:r>
      <w:r w:rsidR="006F230B">
        <w:t>(</w:t>
      </w:r>
      <w:r w:rsidR="00A46AE1">
        <w:t>136.164,30</w:t>
      </w:r>
      <w:r w:rsidR="006F230B">
        <w:t xml:space="preserve"> kn), </w:t>
      </w:r>
      <w:r w:rsidR="00A46AE1">
        <w:t>uređenje starih javnih špina (71.740,48 kn), investicijsko održavanje sakralnih objekata (198.401,25 kn), održavanje javnih površina prigodom manifestacija (16.950,00 kn), ostale usluge i pristojbe (13.069,5</w:t>
      </w:r>
      <w:r w:rsidR="0048339F">
        <w:t>5</w:t>
      </w:r>
      <w:r w:rsidR="00A46AE1">
        <w:t xml:space="preserve"> kn) te </w:t>
      </w:r>
      <w:r w:rsidR="00F60561" w:rsidRPr="00AB2B61">
        <w:t xml:space="preserve">na </w:t>
      </w:r>
      <w:r w:rsidR="00246B77" w:rsidRPr="00AB2B61">
        <w:t>u</w:t>
      </w:r>
      <w:r w:rsidR="00597B05" w:rsidRPr="00AB2B61">
        <w:t>plate temeljem Ugovora o načinu i uvjetima povrata sredstava u proračun Istarske</w:t>
      </w:r>
      <w:r w:rsidR="00597B05" w:rsidRPr="00E80A17">
        <w:t xml:space="preserve"> županije za izgradnju ŽCGO „</w:t>
      </w:r>
      <w:proofErr w:type="spellStart"/>
      <w:r w:rsidR="00597B05" w:rsidRPr="00E80A17">
        <w:t>Kaštijun</w:t>
      </w:r>
      <w:proofErr w:type="spellEnd"/>
      <w:r w:rsidR="00597B05" w:rsidRPr="00E80A17">
        <w:t>“</w:t>
      </w:r>
      <w:r w:rsidR="00662819" w:rsidRPr="00E80A17">
        <w:t xml:space="preserve"> </w:t>
      </w:r>
      <w:r w:rsidR="00597B05" w:rsidRPr="00E80A17">
        <w:t>(</w:t>
      </w:r>
      <w:r w:rsidR="00E66D80">
        <w:t>87.</w:t>
      </w:r>
      <w:r w:rsidR="0048339F">
        <w:t xml:space="preserve"> </w:t>
      </w:r>
      <w:r w:rsidR="00E66D80">
        <w:t>589,50</w:t>
      </w:r>
      <w:r w:rsidR="00597B05" w:rsidRPr="00E80A17">
        <w:t xml:space="preserve"> kn)</w:t>
      </w:r>
      <w:r w:rsidR="00A46AE1">
        <w:t>.</w:t>
      </w:r>
    </w:p>
    <w:p w14:paraId="62348F48" w14:textId="65B08544" w:rsidR="00B02147" w:rsidRPr="00E80A17" w:rsidRDefault="00B02147" w:rsidP="003D6DBF">
      <w:pPr>
        <w:ind w:firstLine="708"/>
      </w:pPr>
      <w:r>
        <w:t>Realizirane su sve planirane aktivnosti.</w:t>
      </w:r>
    </w:p>
    <w:p w14:paraId="586DF9DF" w14:textId="77777777" w:rsidR="005712E4" w:rsidRPr="00E80A17" w:rsidRDefault="005712E4" w:rsidP="005712E4">
      <w:pPr>
        <w:ind w:firstLine="708"/>
      </w:pPr>
    </w:p>
    <w:p w14:paraId="0E17D0B5" w14:textId="62DBC094" w:rsidR="00821E34" w:rsidRDefault="00B62B96" w:rsidP="00B62B96">
      <w:r w:rsidRPr="008435D2">
        <w:rPr>
          <w:u w:val="single"/>
        </w:rPr>
        <w:t>Program</w:t>
      </w:r>
      <w:r w:rsidR="005712E4" w:rsidRPr="008435D2">
        <w:rPr>
          <w:u w:val="single"/>
        </w:rPr>
        <w:t>: Gra</w:t>
      </w:r>
      <w:r w:rsidR="00603E19" w:rsidRPr="008435D2">
        <w:rPr>
          <w:u w:val="single"/>
        </w:rPr>
        <w:t>dnj</w:t>
      </w:r>
      <w:r w:rsidR="00145E48" w:rsidRPr="008435D2">
        <w:rPr>
          <w:u w:val="single"/>
        </w:rPr>
        <w:t>a</w:t>
      </w:r>
      <w:r w:rsidR="005712E4" w:rsidRPr="008435D2">
        <w:rPr>
          <w:u w:val="single"/>
        </w:rPr>
        <w:t xml:space="preserve"> komunalne infrastrukture</w:t>
      </w:r>
      <w:r w:rsidR="005712E4" w:rsidRPr="00E80A17">
        <w:t xml:space="preserve"> </w:t>
      </w:r>
      <w:r w:rsidR="00A14E35">
        <w:t xml:space="preserve">– rashodi su </w:t>
      </w:r>
      <w:r w:rsidR="005712E4" w:rsidRPr="00E80A17">
        <w:t>ostvaren</w:t>
      </w:r>
      <w:r w:rsidR="00A14E35">
        <w:t xml:space="preserve">i </w:t>
      </w:r>
      <w:r w:rsidR="005712E4" w:rsidRPr="00E80A17">
        <w:t xml:space="preserve">u vrijednosti od </w:t>
      </w:r>
      <w:r w:rsidR="0004109B">
        <w:t>3.922.655,15</w:t>
      </w:r>
      <w:r w:rsidR="005712E4" w:rsidRPr="00E80A17">
        <w:t xml:space="preserve"> kuna ili </w:t>
      </w:r>
      <w:r w:rsidR="0004109B">
        <w:t>88,31</w:t>
      </w:r>
      <w:r w:rsidR="005712E4" w:rsidRPr="00E80A17">
        <w:t>% od plana</w:t>
      </w:r>
      <w:r w:rsidR="001C5A2C">
        <w:t xml:space="preserve">, a odnose se na rashode </w:t>
      </w:r>
      <w:r w:rsidR="0004109B">
        <w:t xml:space="preserve">izmještanje vodovodne mreže  </w:t>
      </w:r>
      <w:r w:rsidR="00FA2DA4">
        <w:t xml:space="preserve">za naselje </w:t>
      </w:r>
      <w:proofErr w:type="spellStart"/>
      <w:r w:rsidR="0004109B">
        <w:t>Kukov</w:t>
      </w:r>
      <w:proofErr w:type="spellEnd"/>
      <w:r w:rsidR="0004109B">
        <w:t xml:space="preserve"> Vrh (147.716,25 kn), </w:t>
      </w:r>
      <w:r w:rsidR="00FA2DA4">
        <w:t>izgradnju spoja Klesarske ulice na cestu D200 (183.060,07 kn), rekonstrukciju ulice G. Garibaldi i Trga Slobode (112.500,00 kn), uređenje parkirališta u gospodarsko servisnoj zoni (623.137,50 kn), opremu za dječja igrališta u naselju Kaštel i uz zgradu Centra za inkluziju (180.118,75 kn), dogradnju javne rasvjete u nase</w:t>
      </w:r>
      <w:r w:rsidR="002B3AA5">
        <w:t>l</w:t>
      </w:r>
      <w:r w:rsidR="00FA2DA4">
        <w:t xml:space="preserve">jima </w:t>
      </w:r>
      <w:proofErr w:type="spellStart"/>
      <w:r w:rsidR="00FA2DA4">
        <w:t>Kruj</w:t>
      </w:r>
      <w:proofErr w:type="spellEnd"/>
      <w:r w:rsidR="00FA2DA4">
        <w:t xml:space="preserve">, </w:t>
      </w:r>
      <w:proofErr w:type="spellStart"/>
      <w:r w:rsidR="00FA2DA4">
        <w:t>Juricanija</w:t>
      </w:r>
      <w:proofErr w:type="spellEnd"/>
      <w:r w:rsidR="00FA2DA4">
        <w:t xml:space="preserve">, </w:t>
      </w:r>
      <w:proofErr w:type="spellStart"/>
      <w:r w:rsidR="00FA2DA4">
        <w:t>Buroli</w:t>
      </w:r>
      <w:proofErr w:type="spellEnd"/>
      <w:r w:rsidR="00FA2DA4">
        <w:t xml:space="preserve">, </w:t>
      </w:r>
      <w:proofErr w:type="spellStart"/>
      <w:r w:rsidR="00FA2DA4">
        <w:t>Trkusi</w:t>
      </w:r>
      <w:proofErr w:type="spellEnd"/>
      <w:r w:rsidR="00FA2DA4">
        <w:t xml:space="preserve"> , </w:t>
      </w:r>
      <w:proofErr w:type="spellStart"/>
      <w:r w:rsidR="00FA2DA4">
        <w:t>Bibali</w:t>
      </w:r>
      <w:proofErr w:type="spellEnd"/>
      <w:r w:rsidR="00FA2DA4">
        <w:t xml:space="preserve"> te u starogradskoj jezgri Buja (442.953,98 kn), rekonstrukciju nerazvrstanih cesta D300 – </w:t>
      </w:r>
      <w:proofErr w:type="spellStart"/>
      <w:r w:rsidR="00FA2DA4">
        <w:t>Kukov</w:t>
      </w:r>
      <w:proofErr w:type="spellEnd"/>
      <w:r w:rsidR="00FA2DA4">
        <w:t xml:space="preserve"> Vrh i N100, </w:t>
      </w:r>
      <w:proofErr w:type="spellStart"/>
      <w:r w:rsidR="00FA2DA4">
        <w:t>Kršin</w:t>
      </w:r>
      <w:proofErr w:type="spellEnd"/>
      <w:r w:rsidR="00FA2DA4">
        <w:t xml:space="preserve"> – </w:t>
      </w:r>
      <w:proofErr w:type="spellStart"/>
      <w:r w:rsidR="00FA2DA4">
        <w:t>Bracanija</w:t>
      </w:r>
      <w:proofErr w:type="spellEnd"/>
      <w:r w:rsidR="00FA2DA4">
        <w:t xml:space="preserve"> (2.079.434,85 kn), </w:t>
      </w:r>
      <w:r w:rsidR="001C5A2C">
        <w:t>uređenje autobusne čekaonice u naselju Krog (55.562,50 kn)</w:t>
      </w:r>
      <w:r w:rsidR="006A61B0">
        <w:t xml:space="preserve">, uređenje objekta u sportskoj zoni </w:t>
      </w:r>
      <w:proofErr w:type="spellStart"/>
      <w:r w:rsidR="006A61B0">
        <w:t>Momjan</w:t>
      </w:r>
      <w:proofErr w:type="spellEnd"/>
      <w:r w:rsidR="006A61B0">
        <w:t xml:space="preserve"> (78.171,25 kn) </w:t>
      </w:r>
      <w:r w:rsidR="001C5A2C">
        <w:t xml:space="preserve">i pomoć Istarskoj županiji za zamjenu stolarije na zgradi područne škole u </w:t>
      </w:r>
      <w:proofErr w:type="spellStart"/>
      <w:r w:rsidR="001C5A2C">
        <w:t>Momjanu</w:t>
      </w:r>
      <w:proofErr w:type="spellEnd"/>
      <w:r w:rsidR="001C5A2C">
        <w:t xml:space="preserve"> (20.000,00 kn)</w:t>
      </w:r>
      <w:r w:rsidR="005712E4" w:rsidRPr="00E80A17">
        <w:t xml:space="preserve">. </w:t>
      </w:r>
    </w:p>
    <w:p w14:paraId="4D59FC70" w14:textId="327582AB" w:rsidR="003A4B7D" w:rsidRDefault="00B02147" w:rsidP="00B62B96">
      <w:r>
        <w:tab/>
        <w:t xml:space="preserve">Dio planiranih </w:t>
      </w:r>
      <w:r w:rsidR="003A4B7D">
        <w:t>rashoda</w:t>
      </w:r>
      <w:r>
        <w:t xml:space="preserve"> vezano za nerazvrstane ceste </w:t>
      </w:r>
      <w:r w:rsidR="003A4B7D">
        <w:t>(spoj Klesarske ulice na D200 i rekonstrukcija ceste Ž5007 Kremenje – Marušići) nije realiziran prije kraja 2022. godine. Planirani rashodi za sustav za upravljanje prostornim i ne prostornim bazama podataka (ATLAS 14) realizirat će se po okončanju projekta. Ostale aktivnosti ostvarene su prema planiranom.</w:t>
      </w:r>
    </w:p>
    <w:p w14:paraId="42AE6A6C" w14:textId="77777777" w:rsidR="005712E4" w:rsidRPr="00E80A17" w:rsidRDefault="005712E4" w:rsidP="005712E4"/>
    <w:p w14:paraId="047B2402" w14:textId="77777777" w:rsidR="003D6DBF" w:rsidRDefault="00B62B96" w:rsidP="005712E4">
      <w:r w:rsidRPr="008435D2">
        <w:rPr>
          <w:u w:val="single"/>
        </w:rPr>
        <w:t>Program</w:t>
      </w:r>
      <w:r w:rsidR="005712E4" w:rsidRPr="008435D2">
        <w:rPr>
          <w:u w:val="single"/>
        </w:rPr>
        <w:t>: Protupožarna i civilna zaštita</w:t>
      </w:r>
      <w:r w:rsidR="005712E4" w:rsidRPr="00E80A17">
        <w:t xml:space="preserve"> – rashodi su ostvareni u ukupnom iznosu od </w:t>
      </w:r>
      <w:r w:rsidR="006A61B0">
        <w:t>1.875.080,45</w:t>
      </w:r>
      <w:r w:rsidR="0003368B">
        <w:t xml:space="preserve"> </w:t>
      </w:r>
      <w:r w:rsidR="005712E4" w:rsidRPr="00E80A17">
        <w:t xml:space="preserve">kuna ili </w:t>
      </w:r>
      <w:r w:rsidR="006A61B0">
        <w:t>99,97</w:t>
      </w:r>
      <w:r w:rsidR="005712E4" w:rsidRPr="00E80A17">
        <w:t xml:space="preserve">% od plana. </w:t>
      </w:r>
    </w:p>
    <w:p w14:paraId="383593B1" w14:textId="7E75B3AE" w:rsidR="005712E4" w:rsidRPr="00E80A17" w:rsidRDefault="005712E4" w:rsidP="003D6DBF">
      <w:pPr>
        <w:ind w:firstLine="708"/>
      </w:pPr>
      <w:r w:rsidRPr="00E80A17">
        <w:t xml:space="preserve">Najznačajniju stavku u ovom dijelu čini financiranje Javne vatrogasne postrojbe Umag </w:t>
      </w:r>
      <w:r w:rsidR="006A61B0">
        <w:t>1.425.205,78</w:t>
      </w:r>
      <w:r w:rsidRPr="00E80A17">
        <w:t xml:space="preserve"> kuna. Grad Buje</w:t>
      </w:r>
      <w:r w:rsidR="00597B05" w:rsidRPr="00E80A17">
        <w:t xml:space="preserve"> - Buie</w:t>
      </w:r>
      <w:r w:rsidRPr="00E80A17">
        <w:t xml:space="preserve"> je u skladu s </w:t>
      </w:r>
      <w:r w:rsidR="00145E48">
        <w:t xml:space="preserve">visinom </w:t>
      </w:r>
      <w:r w:rsidRPr="00E80A17">
        <w:t>osnivačk</w:t>
      </w:r>
      <w:r w:rsidR="00145E48">
        <w:t>og</w:t>
      </w:r>
      <w:r w:rsidRPr="00E80A17">
        <w:t xml:space="preserve"> udjel</w:t>
      </w:r>
      <w:r w:rsidR="00145E48">
        <w:t>a</w:t>
      </w:r>
      <w:r w:rsidRPr="00E80A17">
        <w:t xml:space="preserve"> istu financirao </w:t>
      </w:r>
      <w:r w:rsidR="004743BC">
        <w:t>u iznosu od</w:t>
      </w:r>
      <w:r w:rsidRPr="00E80A17">
        <w:t xml:space="preserve"> 19,77% ukupnih rashoda. Sredstva u iznosu od </w:t>
      </w:r>
      <w:r w:rsidR="006A61B0">
        <w:t>686.019,00</w:t>
      </w:r>
      <w:r w:rsidRPr="00E80A17">
        <w:t xml:space="preserve"> kuna koja se odnose na utvrđeni minimalni financijski standard za decentralizirano financiranje redovite djelatnosti Postrojbe, doznačena su iz državnog proračuna direktno u korist proračuna Grada Umaga. Grad Buje </w:t>
      </w:r>
      <w:r w:rsidR="00597B05" w:rsidRPr="00E80A17">
        <w:t xml:space="preserve">– Buie </w:t>
      </w:r>
      <w:r w:rsidRPr="00E80A17">
        <w:t xml:space="preserve">ostvario je dodatni udjel u porezu na dohodak od </w:t>
      </w:r>
      <w:r w:rsidR="006A61B0">
        <w:t>137.612,22</w:t>
      </w:r>
      <w:r w:rsidRPr="00E80A17">
        <w:t xml:space="preserve"> kuna za financiranje vatrogastva, a razlika od </w:t>
      </w:r>
      <w:r w:rsidR="006A61B0">
        <w:t>601.574,56</w:t>
      </w:r>
      <w:r w:rsidR="00F01F1D">
        <w:t xml:space="preserve"> </w:t>
      </w:r>
      <w:r w:rsidRPr="00E80A17">
        <w:t>kuna podmir</w:t>
      </w:r>
      <w:r w:rsidR="00A57DCE" w:rsidRPr="00E80A17">
        <w:t>ena</w:t>
      </w:r>
      <w:r w:rsidRPr="00E80A17">
        <w:t xml:space="preserve"> </w:t>
      </w:r>
      <w:r w:rsidR="00A57DCE" w:rsidRPr="00E80A17">
        <w:t>j</w:t>
      </w:r>
      <w:r w:rsidRPr="00E80A17">
        <w:t>e iz drugih izvora</w:t>
      </w:r>
      <w:r w:rsidR="00566CD0">
        <w:t xml:space="preserve"> proračuna</w:t>
      </w:r>
      <w:r w:rsidRPr="00E80A17">
        <w:t xml:space="preserve">. </w:t>
      </w:r>
    </w:p>
    <w:p w14:paraId="1C536BCA" w14:textId="7166E2AF" w:rsidR="007B6868" w:rsidRDefault="005712E4" w:rsidP="008435D2">
      <w:pPr>
        <w:ind w:firstLine="708"/>
      </w:pPr>
      <w:r w:rsidRPr="00E80A17">
        <w:t xml:space="preserve">Za financiranje Područne vatrogasne zajednice Umag doznačeno je </w:t>
      </w:r>
      <w:r w:rsidR="006A61B0">
        <w:t>270.881,70</w:t>
      </w:r>
      <w:r w:rsidRPr="00E80A17">
        <w:t xml:space="preserve"> kuna</w:t>
      </w:r>
      <w:r w:rsidR="006A61B0">
        <w:t xml:space="preserve"> za redovnu djelatnost</w:t>
      </w:r>
      <w:r w:rsidR="002B3AA5">
        <w:t>, a za opremanje DVD Buje odnosno nabavu vozila doznačeno je dodatnih 140.000,00 kuna.</w:t>
      </w:r>
      <w:r w:rsidRPr="00E80A17">
        <w:t xml:space="preserve"> Vatrogasn</w:t>
      </w:r>
      <w:r w:rsidR="004B5775" w:rsidRPr="00E80A17">
        <w:t>oj</w:t>
      </w:r>
      <w:r w:rsidRPr="00E80A17">
        <w:t xml:space="preserve"> zajednic</w:t>
      </w:r>
      <w:r w:rsidR="004B5775" w:rsidRPr="00E80A17">
        <w:t>i</w:t>
      </w:r>
      <w:r w:rsidRPr="00E80A17">
        <w:t xml:space="preserve"> Istarske županije </w:t>
      </w:r>
      <w:r w:rsidR="002B3AA5">
        <w:t>doznačeno je 13.492,97</w:t>
      </w:r>
      <w:r w:rsidRPr="00E80A17">
        <w:t xml:space="preserve"> kuna</w:t>
      </w:r>
      <w:r w:rsidR="00F01F1D">
        <w:t>,</w:t>
      </w:r>
      <w:r w:rsidR="007B6868">
        <w:t xml:space="preserve"> a za izradu elaborata procjene rizika od katastrofa i velikih nesreća </w:t>
      </w:r>
      <w:r w:rsidR="00F01F1D">
        <w:t>i elaborata protupoža</w:t>
      </w:r>
      <w:r w:rsidR="001F63DA">
        <w:t>r</w:t>
      </w:r>
      <w:r w:rsidR="00F01F1D">
        <w:t xml:space="preserve">ne i civilne zaštite </w:t>
      </w:r>
      <w:r w:rsidR="00E35D4B">
        <w:t xml:space="preserve">utrošeno je </w:t>
      </w:r>
      <w:r w:rsidR="002B3AA5">
        <w:t>25.500,</w:t>
      </w:r>
      <w:r w:rsidR="00F01F1D">
        <w:t xml:space="preserve">00 </w:t>
      </w:r>
      <w:r w:rsidR="00E35D4B">
        <w:t>kuna.</w:t>
      </w:r>
    </w:p>
    <w:p w14:paraId="0B2538A1" w14:textId="17EB9CE2" w:rsidR="003A4B7D" w:rsidRDefault="003A4B7D" w:rsidP="008435D2">
      <w:pPr>
        <w:ind w:firstLine="708"/>
      </w:pPr>
      <w:r>
        <w:t>Rashodi su realizirani prema planiranom.</w:t>
      </w:r>
    </w:p>
    <w:p w14:paraId="1F921C1F" w14:textId="77777777" w:rsidR="004A4EC9" w:rsidRDefault="004A4EC9" w:rsidP="005712E4"/>
    <w:p w14:paraId="165F3A0B" w14:textId="77777777" w:rsidR="00C16113" w:rsidRDefault="00C16113" w:rsidP="005712E4"/>
    <w:p w14:paraId="2B5A5738" w14:textId="1AB11429" w:rsidR="005712E4" w:rsidRPr="00771E8F" w:rsidRDefault="005712E4" w:rsidP="005712E4">
      <w:pPr>
        <w:rPr>
          <w:b/>
          <w:bCs/>
          <w:u w:val="single"/>
        </w:rPr>
      </w:pPr>
      <w:r w:rsidRPr="00771E8F">
        <w:rPr>
          <w:b/>
          <w:bCs/>
          <w:u w:val="single"/>
        </w:rPr>
        <w:lastRenderedPageBreak/>
        <w:t>Upravni odjel za prostorno uređenje i upravljanje gradskom imovinom</w:t>
      </w:r>
    </w:p>
    <w:p w14:paraId="43D0D24A" w14:textId="77777777" w:rsidR="005712E4" w:rsidRPr="00771E8F" w:rsidRDefault="005712E4" w:rsidP="005712E4">
      <w:pPr>
        <w:rPr>
          <w:b/>
          <w:bCs/>
        </w:rPr>
      </w:pPr>
    </w:p>
    <w:p w14:paraId="3D203DA5" w14:textId="16C63199" w:rsidR="005712E4" w:rsidRPr="00E80A17" w:rsidRDefault="008C3942" w:rsidP="005712E4">
      <w:r w:rsidRPr="008435D2">
        <w:rPr>
          <w:u w:val="single"/>
        </w:rPr>
        <w:t xml:space="preserve">Glava 00301: </w:t>
      </w:r>
      <w:r w:rsidR="005712E4" w:rsidRPr="008435D2">
        <w:rPr>
          <w:u w:val="single"/>
        </w:rPr>
        <w:t>Upravn</w:t>
      </w:r>
      <w:r w:rsidRPr="008435D2">
        <w:rPr>
          <w:u w:val="single"/>
        </w:rPr>
        <w:t xml:space="preserve">i </w:t>
      </w:r>
      <w:r w:rsidR="005712E4" w:rsidRPr="008435D2">
        <w:rPr>
          <w:u w:val="single"/>
        </w:rPr>
        <w:t>odjel</w:t>
      </w:r>
      <w:r w:rsidRPr="008435D2">
        <w:rPr>
          <w:u w:val="single"/>
        </w:rPr>
        <w:t xml:space="preserve"> </w:t>
      </w:r>
      <w:r w:rsidR="005712E4" w:rsidRPr="008435D2">
        <w:rPr>
          <w:u w:val="single"/>
        </w:rPr>
        <w:t>za prostorno uređenje i upravljanje gradskom imovinom</w:t>
      </w:r>
      <w:r w:rsidR="005712E4" w:rsidRPr="00E80A17">
        <w:t xml:space="preserve"> </w:t>
      </w:r>
      <w:r w:rsidRPr="00E80A17">
        <w:t xml:space="preserve">u </w:t>
      </w:r>
      <w:r w:rsidR="00231A11" w:rsidRPr="00E80A17">
        <w:t>20</w:t>
      </w:r>
      <w:r w:rsidR="000B1B83">
        <w:t>2</w:t>
      </w:r>
      <w:r w:rsidR="007B6807">
        <w:t>2</w:t>
      </w:r>
      <w:r w:rsidR="00231A11" w:rsidRPr="00E80A17">
        <w:t>. godin</w:t>
      </w:r>
      <w:r w:rsidR="00D778C6">
        <w:t>i</w:t>
      </w:r>
      <w:r w:rsidRPr="00E80A17">
        <w:t xml:space="preserve"> ostvario je rashode u ukupnom </w:t>
      </w:r>
      <w:r w:rsidR="005712E4" w:rsidRPr="00E80A17">
        <w:t>iznos</w:t>
      </w:r>
      <w:r w:rsidRPr="00E80A17">
        <w:t xml:space="preserve">u od </w:t>
      </w:r>
      <w:r w:rsidR="00D778C6">
        <w:t>3.884.212,25</w:t>
      </w:r>
      <w:r w:rsidRPr="00E80A17">
        <w:t xml:space="preserve"> </w:t>
      </w:r>
      <w:r w:rsidR="005712E4" w:rsidRPr="00E80A17">
        <w:t xml:space="preserve">kuna ili </w:t>
      </w:r>
      <w:r w:rsidR="00D778C6">
        <w:t>93,92</w:t>
      </w:r>
      <w:r w:rsidR="005712E4" w:rsidRPr="00E80A17">
        <w:t>% od plana.</w:t>
      </w:r>
    </w:p>
    <w:p w14:paraId="18E9B7D6" w14:textId="77777777" w:rsidR="005712E4" w:rsidRPr="00E80A17" w:rsidRDefault="005712E4" w:rsidP="005712E4"/>
    <w:p w14:paraId="593E5EDD" w14:textId="24859355" w:rsidR="005712E4" w:rsidRDefault="008C3942" w:rsidP="005712E4">
      <w:r w:rsidRPr="008435D2">
        <w:rPr>
          <w:u w:val="single"/>
        </w:rPr>
        <w:t>Program</w:t>
      </w:r>
      <w:r w:rsidR="005712E4" w:rsidRPr="008435D2">
        <w:rPr>
          <w:u w:val="single"/>
        </w:rPr>
        <w:t xml:space="preserve">: </w:t>
      </w:r>
      <w:r w:rsidRPr="008435D2">
        <w:rPr>
          <w:u w:val="single"/>
        </w:rPr>
        <w:t>Redovna djelatnost upravnih odjela</w:t>
      </w:r>
      <w:r w:rsidRPr="00E80A17">
        <w:t xml:space="preserve">  </w:t>
      </w:r>
      <w:r w:rsidR="005712E4" w:rsidRPr="00E80A17">
        <w:t xml:space="preserve">– rashodi su ostvareni u iznosu od </w:t>
      </w:r>
      <w:r w:rsidR="00D778C6">
        <w:t>664.475,83</w:t>
      </w:r>
      <w:r w:rsidR="00762415">
        <w:t xml:space="preserve"> </w:t>
      </w:r>
      <w:r w:rsidR="005712E4" w:rsidRPr="00E80A17">
        <w:t xml:space="preserve">kuna ili </w:t>
      </w:r>
      <w:r w:rsidR="00D778C6">
        <w:t>85,37</w:t>
      </w:r>
      <w:r w:rsidR="005712E4" w:rsidRPr="00E80A17">
        <w:t>% od plana, a odnose se na rashode za zaposlene u upravnom odjelu.</w:t>
      </w:r>
      <w:r w:rsidR="00BD5192">
        <w:t xml:space="preserve"> </w:t>
      </w:r>
    </w:p>
    <w:p w14:paraId="48CA211F" w14:textId="77777777" w:rsidR="000B1B83" w:rsidRPr="00E80A17" w:rsidRDefault="000B1B83" w:rsidP="005712E4"/>
    <w:p w14:paraId="0D657E21" w14:textId="66B569C7" w:rsidR="00C46834" w:rsidRDefault="008C3942" w:rsidP="008C3942">
      <w:r w:rsidRPr="008435D2">
        <w:rPr>
          <w:u w:val="single"/>
        </w:rPr>
        <w:t>Program</w:t>
      </w:r>
      <w:r w:rsidR="005712E4" w:rsidRPr="008435D2">
        <w:rPr>
          <w:u w:val="single"/>
        </w:rPr>
        <w:t>: Gradnja kapitalnih objekata</w:t>
      </w:r>
      <w:r w:rsidR="005712E4" w:rsidRPr="00E80A17">
        <w:t xml:space="preserve"> iznosi </w:t>
      </w:r>
      <w:r w:rsidR="007B6807">
        <w:t>1.</w:t>
      </w:r>
      <w:r w:rsidR="00D778C6">
        <w:t>991.384,73</w:t>
      </w:r>
      <w:r w:rsidR="005712E4" w:rsidRPr="00E80A17">
        <w:t xml:space="preserve"> kuna</w:t>
      </w:r>
      <w:r w:rsidR="008D58C9" w:rsidRPr="00E80A17">
        <w:t xml:space="preserve"> ili </w:t>
      </w:r>
      <w:r w:rsidR="00D778C6">
        <w:t>98,34</w:t>
      </w:r>
      <w:r w:rsidR="008D58C9" w:rsidRPr="00E80A17">
        <w:t>% od plana</w:t>
      </w:r>
      <w:r w:rsidR="005712E4" w:rsidRPr="00E80A17">
        <w:t xml:space="preserve">, a odnosi se </w:t>
      </w:r>
      <w:r w:rsidR="009506AD">
        <w:t xml:space="preserve">na rashode po projektu sanacije i </w:t>
      </w:r>
      <w:r w:rsidR="0080522B">
        <w:t>konzervacije</w:t>
      </w:r>
      <w:r w:rsidR="009506AD">
        <w:t xml:space="preserve"> kaštela </w:t>
      </w:r>
      <w:proofErr w:type="spellStart"/>
      <w:r w:rsidR="009506AD">
        <w:t>Rota</w:t>
      </w:r>
      <w:proofErr w:type="spellEnd"/>
      <w:r w:rsidR="009506AD">
        <w:t xml:space="preserve"> (</w:t>
      </w:r>
      <w:r w:rsidR="0080522B">
        <w:t>438.720,53</w:t>
      </w:r>
      <w:r w:rsidR="009506AD">
        <w:t xml:space="preserve"> kn), </w:t>
      </w:r>
      <w:r w:rsidR="00E144D9" w:rsidRPr="00E80A17">
        <w:t xml:space="preserve">na rashode </w:t>
      </w:r>
      <w:r w:rsidR="00B80165">
        <w:t xml:space="preserve">za otkup </w:t>
      </w:r>
      <w:r w:rsidR="007B6807">
        <w:t>suvlasn</w:t>
      </w:r>
      <w:r w:rsidR="001F63DA">
        <w:t>i</w:t>
      </w:r>
      <w:r w:rsidR="007B6807">
        <w:t>čkog dijela poslovnog prostora (228.130,73 kn)</w:t>
      </w:r>
      <w:r w:rsidR="0080522B">
        <w:t xml:space="preserve"> i otkup suvlasničkog dijela građevinskog zemljišta radi izgradnje POS stanova (217.909,20 kn)</w:t>
      </w:r>
      <w:r w:rsidR="0036711C">
        <w:t>,</w:t>
      </w:r>
      <w:r w:rsidR="00B80165">
        <w:t xml:space="preserve"> </w:t>
      </w:r>
      <w:r w:rsidR="00C46834" w:rsidRPr="00E80A17">
        <w:t xml:space="preserve">na rashode za </w:t>
      </w:r>
      <w:r w:rsidR="0080522B">
        <w:t xml:space="preserve">izradu procjeniteljskih elaborata </w:t>
      </w:r>
      <w:r w:rsidR="00C46834" w:rsidRPr="00E80A17">
        <w:t>prilikom prodaje nekretnina (</w:t>
      </w:r>
      <w:r w:rsidR="007B6807">
        <w:t>29.500,00</w:t>
      </w:r>
      <w:r w:rsidR="00C46834" w:rsidRPr="00E80A17">
        <w:t xml:space="preserve"> kn),</w:t>
      </w:r>
      <w:r w:rsidR="00C46834">
        <w:t xml:space="preserve"> </w:t>
      </w:r>
      <w:r w:rsidR="009506AD">
        <w:t>povrat sredstava</w:t>
      </w:r>
      <w:r w:rsidR="00A01889">
        <w:t xml:space="preserve"> od prodaje </w:t>
      </w:r>
      <w:r w:rsidR="009506AD">
        <w:t>p</w:t>
      </w:r>
      <w:r w:rsidR="00A01889">
        <w:t>rema</w:t>
      </w:r>
      <w:r w:rsidR="009506AD">
        <w:t xml:space="preserve"> </w:t>
      </w:r>
      <w:r w:rsidR="0036711C">
        <w:t xml:space="preserve">pravomoćnoj sudskoj </w:t>
      </w:r>
      <w:r w:rsidR="009506AD">
        <w:t>presudi</w:t>
      </w:r>
      <w:r w:rsidR="0036711C">
        <w:t xml:space="preserve"> o utvrđivanju prava vlasništva</w:t>
      </w:r>
      <w:r w:rsidR="009506AD">
        <w:t xml:space="preserve"> </w:t>
      </w:r>
      <w:r w:rsidR="00A01889">
        <w:t>(</w:t>
      </w:r>
      <w:r w:rsidR="0036711C">
        <w:t>322.045,88</w:t>
      </w:r>
      <w:r w:rsidR="00A01889">
        <w:t xml:space="preserve"> kn), </w:t>
      </w:r>
      <w:r w:rsidR="0036711C">
        <w:t>konzervatorsko restauratorske radove vezane</w:t>
      </w:r>
      <w:r w:rsidR="00A01889">
        <w:t xml:space="preserve"> za sanaciju spomenika Palim borcima u Plovaniji (</w:t>
      </w:r>
      <w:r w:rsidR="0036711C">
        <w:t>1.500</w:t>
      </w:r>
      <w:r w:rsidR="00A01889">
        <w:t xml:space="preserve">,00 kn), </w:t>
      </w:r>
      <w:r w:rsidR="0080522B">
        <w:t xml:space="preserve">konzervatorski elaborat, snimku stanja i idejno rješenje za rekonstrukciju objekta stare uljare (147.500,00 kn), </w:t>
      </w:r>
      <w:r w:rsidR="00A01889">
        <w:t xml:space="preserve">projektnu dokumentaciju </w:t>
      </w:r>
      <w:r w:rsidR="0036711C">
        <w:t>i pripremu prijave projekta za energetsku obnovu zgrade Pučkog otvorenog učilišta Buje (</w:t>
      </w:r>
      <w:r w:rsidR="0080522B">
        <w:t>200.138,89</w:t>
      </w:r>
      <w:r w:rsidR="0036711C">
        <w:t xml:space="preserve"> kn), </w:t>
      </w:r>
      <w:r w:rsidR="0080522B">
        <w:t xml:space="preserve">dokumentaciju za rekonstrukciju stare škole na Trgu sv. </w:t>
      </w:r>
      <w:proofErr w:type="spellStart"/>
      <w:r w:rsidR="0080522B">
        <w:t>Servula</w:t>
      </w:r>
      <w:proofErr w:type="spellEnd"/>
      <w:r w:rsidR="0080522B">
        <w:t xml:space="preserve"> (23.125,00 kn), </w:t>
      </w:r>
      <w:r w:rsidR="00F638A4">
        <w:t>n</w:t>
      </w:r>
      <w:r w:rsidR="00A01889">
        <w:t>a uređenje okoliša dječjeg vrtića (</w:t>
      </w:r>
      <w:r w:rsidR="00F638A4">
        <w:t>14.643,75</w:t>
      </w:r>
      <w:r w:rsidR="00A01889">
        <w:t xml:space="preserve"> kn), sufinanciranje projekta uređenja Kuće istarskih kaštela u </w:t>
      </w:r>
      <w:proofErr w:type="spellStart"/>
      <w:r w:rsidR="00A01889">
        <w:t>Momjanu</w:t>
      </w:r>
      <w:proofErr w:type="spellEnd"/>
      <w:r w:rsidR="00A01889">
        <w:t xml:space="preserve"> (</w:t>
      </w:r>
      <w:r w:rsidR="000B405C">
        <w:t>260.957,59</w:t>
      </w:r>
      <w:r w:rsidR="00A01889">
        <w:t xml:space="preserve"> kn)</w:t>
      </w:r>
      <w:r w:rsidR="00C46834">
        <w:t xml:space="preserve"> i rekonstrukciju zgrade starog vatrogasnog doma / </w:t>
      </w:r>
      <w:r w:rsidR="004743BC">
        <w:t>„</w:t>
      </w:r>
      <w:r w:rsidR="00C46834">
        <w:t>stari Digitron</w:t>
      </w:r>
      <w:r w:rsidR="004743BC">
        <w:t>“</w:t>
      </w:r>
      <w:r w:rsidR="00C46834">
        <w:t xml:space="preserve"> (</w:t>
      </w:r>
      <w:r w:rsidR="00F638A4">
        <w:t>107.213,16</w:t>
      </w:r>
      <w:r w:rsidR="00C46834">
        <w:t xml:space="preserve"> kn).</w:t>
      </w:r>
    </w:p>
    <w:p w14:paraId="02D70747" w14:textId="04F42A11" w:rsidR="003A4B7D" w:rsidRDefault="003A4B7D" w:rsidP="003A4B7D">
      <w:pPr>
        <w:ind w:firstLine="708"/>
      </w:pPr>
      <w:r>
        <w:t>Realizirane su sve planirane aktivnosti.</w:t>
      </w:r>
    </w:p>
    <w:p w14:paraId="01F55A57" w14:textId="77777777" w:rsidR="005712E4" w:rsidRPr="00E80A17" w:rsidRDefault="005712E4" w:rsidP="005712E4">
      <w:pPr>
        <w:ind w:firstLine="708"/>
      </w:pPr>
    </w:p>
    <w:p w14:paraId="3D61DEB8" w14:textId="77777777" w:rsidR="003D6DBF" w:rsidRDefault="003839B2" w:rsidP="003839B2">
      <w:r w:rsidRPr="008435D2">
        <w:rPr>
          <w:u w:val="single"/>
        </w:rPr>
        <w:t>Program</w:t>
      </w:r>
      <w:r w:rsidR="005712E4" w:rsidRPr="008435D2">
        <w:rPr>
          <w:u w:val="single"/>
        </w:rPr>
        <w:t>: Prostorno uređenje i projekti</w:t>
      </w:r>
      <w:r w:rsidR="005712E4" w:rsidRPr="00E80A17">
        <w:t xml:space="preserve"> iznosi ukupno </w:t>
      </w:r>
      <w:r w:rsidR="00B9430C">
        <w:t>808.104,23</w:t>
      </w:r>
      <w:r w:rsidR="005712E4" w:rsidRPr="00E80A17">
        <w:t xml:space="preserve"> kuna</w:t>
      </w:r>
      <w:r w:rsidRPr="00E80A17">
        <w:t xml:space="preserve"> </w:t>
      </w:r>
      <w:r w:rsidR="008962B4" w:rsidRPr="00E80A17">
        <w:t xml:space="preserve">ili </w:t>
      </w:r>
      <w:r w:rsidR="00B9430C">
        <w:t>94,64</w:t>
      </w:r>
      <w:r w:rsidR="008962B4" w:rsidRPr="00E80A17">
        <w:t xml:space="preserve">% od </w:t>
      </w:r>
      <w:r w:rsidR="001D2D78">
        <w:t xml:space="preserve">godišnjeg </w:t>
      </w:r>
      <w:r w:rsidR="008962B4" w:rsidRPr="00E80A17">
        <w:t xml:space="preserve">plana. </w:t>
      </w:r>
    </w:p>
    <w:p w14:paraId="432EBA62" w14:textId="165E5EA7" w:rsidR="007C51B8" w:rsidRDefault="008962B4" w:rsidP="003D6DBF">
      <w:pPr>
        <w:ind w:firstLine="708"/>
      </w:pPr>
      <w:r w:rsidRPr="00E80A17">
        <w:t>O</w:t>
      </w:r>
      <w:r w:rsidR="005712E4" w:rsidRPr="00E80A17">
        <w:t xml:space="preserve">d </w:t>
      </w:r>
      <w:r w:rsidRPr="00E80A17">
        <w:t>to</w:t>
      </w:r>
      <w:r w:rsidR="005712E4" w:rsidRPr="00E80A17">
        <w:t xml:space="preserve">ga se </w:t>
      </w:r>
      <w:r w:rsidR="00BB7660">
        <w:t>199.125</w:t>
      </w:r>
      <w:r w:rsidR="009A5E1B">
        <w:t>,00</w:t>
      </w:r>
      <w:r w:rsidR="005712E4" w:rsidRPr="00E80A17">
        <w:t xml:space="preserve"> kuna </w:t>
      </w:r>
      <w:r w:rsidR="004F715F" w:rsidRPr="00E80A17">
        <w:t xml:space="preserve">odnosi </w:t>
      </w:r>
      <w:r w:rsidR="005712E4" w:rsidRPr="00E80A17">
        <w:t>na geodetsk</w:t>
      </w:r>
      <w:r w:rsidR="009A5E1B">
        <w:t>a</w:t>
      </w:r>
      <w:r w:rsidR="005712E4" w:rsidRPr="00E80A17">
        <w:t xml:space="preserve"> snimanj</w:t>
      </w:r>
      <w:r w:rsidR="009A5E1B">
        <w:t>a</w:t>
      </w:r>
      <w:r w:rsidR="005712E4" w:rsidRPr="00E80A17">
        <w:t xml:space="preserve"> i </w:t>
      </w:r>
      <w:r w:rsidR="009D3500" w:rsidRPr="00E80A17">
        <w:t xml:space="preserve">parcelacijske </w:t>
      </w:r>
      <w:r w:rsidR="005712E4" w:rsidRPr="00E80A17">
        <w:t>elaborate</w:t>
      </w:r>
      <w:r w:rsidRPr="00E80A17">
        <w:t xml:space="preserve">, </w:t>
      </w:r>
      <w:r w:rsidR="00BB7660">
        <w:t>170.000</w:t>
      </w:r>
      <w:r w:rsidR="00B92D3A">
        <w:t>,00</w:t>
      </w:r>
      <w:r w:rsidR="009A5E1B">
        <w:t xml:space="preserve"> kuna na izradu </w:t>
      </w:r>
      <w:r w:rsidR="00BB7660">
        <w:t xml:space="preserve">urbanističkih planova uređenja (Rudine – Vladimir Nazor, </w:t>
      </w:r>
      <w:proofErr w:type="spellStart"/>
      <w:r w:rsidR="007C51B8">
        <w:t>Triban</w:t>
      </w:r>
      <w:proofErr w:type="spellEnd"/>
      <w:r w:rsidR="007C51B8">
        <w:t xml:space="preserve"> 1, </w:t>
      </w:r>
      <w:proofErr w:type="spellStart"/>
      <w:r w:rsidR="007C51B8">
        <w:t>Vižinada</w:t>
      </w:r>
      <w:proofErr w:type="spellEnd"/>
      <w:r w:rsidR="007C51B8">
        <w:t xml:space="preserve"> 1, </w:t>
      </w:r>
      <w:proofErr w:type="spellStart"/>
      <w:r w:rsidR="007C51B8">
        <w:t>Vižinada</w:t>
      </w:r>
      <w:proofErr w:type="spellEnd"/>
      <w:r w:rsidR="007C51B8">
        <w:t xml:space="preserve"> 2, </w:t>
      </w:r>
      <w:proofErr w:type="spellStart"/>
      <w:r w:rsidR="007C51B8">
        <w:t>Kruj</w:t>
      </w:r>
      <w:proofErr w:type="spellEnd"/>
      <w:r w:rsidR="007C51B8">
        <w:t xml:space="preserve"> 2, </w:t>
      </w:r>
      <w:proofErr w:type="spellStart"/>
      <w:r w:rsidR="00B92D3A">
        <w:t>Digitronska</w:t>
      </w:r>
      <w:proofErr w:type="spellEnd"/>
      <w:r w:rsidR="00B92D3A">
        <w:t xml:space="preserve"> ulica</w:t>
      </w:r>
      <w:r w:rsidR="007C51B8">
        <w:t>)</w:t>
      </w:r>
      <w:r w:rsidR="009A5E1B">
        <w:t xml:space="preserve">, </w:t>
      </w:r>
      <w:r w:rsidR="007C51B8">
        <w:t>107.25</w:t>
      </w:r>
      <w:r w:rsidR="006525B0">
        <w:t xml:space="preserve">0,00 kuna na izradu Izmjena i dopuna PPU Grada Buja, </w:t>
      </w:r>
      <w:r w:rsidR="007C51B8">
        <w:t>5</w:t>
      </w:r>
      <w:r w:rsidR="006525B0">
        <w:t xml:space="preserve">0.000,00 kuna na sufinanciranje plaća zaposlenika za poslovima legalizacije, </w:t>
      </w:r>
      <w:r w:rsidR="00B92D3A">
        <w:t>18.641,73 kuna na troškove vezane za legalizaciju obj</w:t>
      </w:r>
      <w:r w:rsidR="001F63DA">
        <w:t>e</w:t>
      </w:r>
      <w:r w:rsidR="00B92D3A">
        <w:t xml:space="preserve">kata, </w:t>
      </w:r>
      <w:r w:rsidR="00BB7660">
        <w:t>153.212,50</w:t>
      </w:r>
      <w:r w:rsidR="00B92D3A">
        <w:t xml:space="preserve"> </w:t>
      </w:r>
      <w:r w:rsidR="005712E4" w:rsidRPr="00E80A17">
        <w:t xml:space="preserve">kuna na </w:t>
      </w:r>
      <w:r w:rsidR="00B92D3A">
        <w:t>nadogradnju</w:t>
      </w:r>
      <w:r w:rsidR="0026535D">
        <w:t xml:space="preserve"> GIS sustava</w:t>
      </w:r>
      <w:r w:rsidR="007C51B8">
        <w:t>, 86.875,00 kuna na izradu Strateškog plana razvoja Grada Buja – Buie, 15.000,00 kuna na Provedbeni program za Grad Buje – Buie te 8.000,00 kuna na sufinanciranje projekta izrade web stranice za praćenje bespravne gradnje.</w:t>
      </w:r>
    </w:p>
    <w:p w14:paraId="3144C3E2" w14:textId="2BA58831" w:rsidR="003A4B7D" w:rsidRDefault="003A4B7D" w:rsidP="003D6DBF">
      <w:pPr>
        <w:ind w:firstLine="708"/>
      </w:pPr>
      <w:r>
        <w:t>Realizirane su sve planirane aktivnosti.</w:t>
      </w:r>
    </w:p>
    <w:p w14:paraId="1853CCE4" w14:textId="77777777" w:rsidR="005712E4" w:rsidRPr="00E80A17" w:rsidRDefault="005712E4" w:rsidP="005712E4">
      <w:pPr>
        <w:rPr>
          <w:sz w:val="20"/>
          <w:szCs w:val="20"/>
        </w:rPr>
      </w:pPr>
    </w:p>
    <w:p w14:paraId="61E8168D" w14:textId="228DF6F9" w:rsidR="00B54B14" w:rsidRDefault="003839B2" w:rsidP="005712E4">
      <w:r w:rsidRPr="008435D2">
        <w:rPr>
          <w:u w:val="single"/>
        </w:rPr>
        <w:t xml:space="preserve">Program: </w:t>
      </w:r>
      <w:r w:rsidR="005712E4" w:rsidRPr="008435D2">
        <w:rPr>
          <w:u w:val="single"/>
        </w:rPr>
        <w:t>EU i ostali fondovi</w:t>
      </w:r>
      <w:r w:rsidR="005712E4" w:rsidRPr="00E80A17">
        <w:t xml:space="preserve"> – </w:t>
      </w:r>
      <w:r w:rsidRPr="00E80A17">
        <w:t>u</w:t>
      </w:r>
      <w:r w:rsidR="008962B4" w:rsidRPr="00E80A17">
        <w:t xml:space="preserve"> </w:t>
      </w:r>
      <w:r w:rsidRPr="00E80A17">
        <w:t>20</w:t>
      </w:r>
      <w:r w:rsidR="009A5E1B">
        <w:t>2</w:t>
      </w:r>
      <w:r w:rsidR="00B92D3A">
        <w:t>2</w:t>
      </w:r>
      <w:r w:rsidRPr="00E80A17">
        <w:t>. godin</w:t>
      </w:r>
      <w:r w:rsidR="007C51B8">
        <w:t>i</w:t>
      </w:r>
      <w:r w:rsidRPr="00E80A17">
        <w:t xml:space="preserve"> realizirani su rashodi u iznosu od </w:t>
      </w:r>
      <w:r w:rsidR="007C51B8">
        <w:t>420.247,46</w:t>
      </w:r>
      <w:r w:rsidRPr="00E80A17">
        <w:t xml:space="preserve"> kuna ili </w:t>
      </w:r>
      <w:r w:rsidR="007C51B8">
        <w:t>87,80</w:t>
      </w:r>
      <w:r w:rsidRPr="00E80A17">
        <w:t xml:space="preserve">% od plana, a </w:t>
      </w:r>
      <w:r w:rsidR="008962B4" w:rsidRPr="00E80A17">
        <w:t xml:space="preserve">odnose se </w:t>
      </w:r>
      <w:r w:rsidR="0044187E">
        <w:t xml:space="preserve">na </w:t>
      </w:r>
      <w:r w:rsidR="001A1DDB">
        <w:t>plaćen</w:t>
      </w:r>
      <w:r w:rsidR="0044187E">
        <w:t>u</w:t>
      </w:r>
      <w:r w:rsidR="001A1DDB">
        <w:t xml:space="preserve"> članarin</w:t>
      </w:r>
      <w:r w:rsidR="0044187E">
        <w:t>u</w:t>
      </w:r>
      <w:r w:rsidR="00D97482">
        <w:t xml:space="preserve"> </w:t>
      </w:r>
      <w:r w:rsidR="007C51B8">
        <w:t xml:space="preserve">Lokalnoj akcijskog grupi sjeverna Istra 15.000,00 kuna i </w:t>
      </w:r>
      <w:r w:rsidR="001A1DDB">
        <w:t xml:space="preserve">Lokalnoj akcijskoj grupi u ribarstvu </w:t>
      </w:r>
      <w:proofErr w:type="spellStart"/>
      <w:r w:rsidR="00F44503">
        <w:t>Pinna</w:t>
      </w:r>
      <w:proofErr w:type="spellEnd"/>
      <w:r w:rsidR="00F44503">
        <w:t xml:space="preserve"> </w:t>
      </w:r>
      <w:proofErr w:type="spellStart"/>
      <w:r w:rsidR="00F44503">
        <w:t>nobilis</w:t>
      </w:r>
      <w:proofErr w:type="spellEnd"/>
      <w:r w:rsidR="00F44503">
        <w:t xml:space="preserve"> </w:t>
      </w:r>
      <w:r w:rsidR="001A1DDB">
        <w:t>7.000,00 kuna</w:t>
      </w:r>
      <w:r w:rsidR="0044187E">
        <w:t>, rashode za izradu projektne dokumentacije radi prijave na javnim natječ</w:t>
      </w:r>
      <w:r w:rsidR="001F63DA">
        <w:t>a</w:t>
      </w:r>
      <w:r w:rsidR="0044187E">
        <w:t xml:space="preserve">jima </w:t>
      </w:r>
      <w:r w:rsidR="007C51B8">
        <w:t>181.750,00</w:t>
      </w:r>
      <w:r w:rsidR="0044187E">
        <w:t xml:space="preserve"> kuna</w:t>
      </w:r>
      <w:r w:rsidR="001C772D">
        <w:t>, rashode za izradu web stranice po projektu „Tourism4all“ kojim se promovira cjelogodišnji turizam s naglaskom na uključenost osoba u nepovoljnijem položaju ili s posebnim potrebama (osobe s invaliditetom, stariji i dr.) 2.</w:t>
      </w:r>
      <w:r w:rsidR="000B5305">
        <w:t>25</w:t>
      </w:r>
      <w:r w:rsidR="001C772D">
        <w:t>0,00 kuna, rashode po projektu “</w:t>
      </w:r>
      <w:proofErr w:type="spellStart"/>
      <w:r w:rsidR="001C772D">
        <w:t>Istraconnect</w:t>
      </w:r>
      <w:proofErr w:type="spellEnd"/>
      <w:r w:rsidR="001C772D">
        <w:t>“</w:t>
      </w:r>
      <w:r w:rsidR="000B5305">
        <w:t xml:space="preserve"> čiji je cilj jačanje suradnje i razvoj multi modalnog javnog prijevoza za stanovnike pograničnog područja </w:t>
      </w:r>
      <w:r w:rsidR="001C772D">
        <w:t xml:space="preserve">176.747,46 kuna </w:t>
      </w:r>
      <w:r w:rsidR="0044187E">
        <w:t xml:space="preserve">te na rashode za upravljanje projektom promicanja </w:t>
      </w:r>
      <w:r w:rsidR="00C32326">
        <w:t xml:space="preserve">konzumacije ribe kod djece </w:t>
      </w:r>
      <w:r w:rsidR="0044187E">
        <w:t>„Iz mora do Buja“ 37.500,00 kuna</w:t>
      </w:r>
      <w:r w:rsidR="00B54B14">
        <w:t>.</w:t>
      </w:r>
    </w:p>
    <w:p w14:paraId="603B5B9D" w14:textId="5A3CEDF3" w:rsidR="003A4B7D" w:rsidRDefault="003A4B7D" w:rsidP="005712E4">
      <w:r>
        <w:tab/>
        <w:t xml:space="preserve">Realizacija projekata tekla je prema planu i u koordinaciji s ostalim sudionicima. </w:t>
      </w:r>
      <w:r w:rsidR="00274D53">
        <w:t>Realizacija dijela planiranih rashoda po projektu „</w:t>
      </w:r>
      <w:proofErr w:type="spellStart"/>
      <w:r w:rsidR="00274D53">
        <w:t>Istraconnect</w:t>
      </w:r>
      <w:proofErr w:type="spellEnd"/>
      <w:r w:rsidR="00274D53">
        <w:t>“ premještena je u narednu godinu.</w:t>
      </w:r>
    </w:p>
    <w:p w14:paraId="73629D60" w14:textId="77777777" w:rsidR="000B5305" w:rsidRDefault="000B5305" w:rsidP="00AA2BE1">
      <w:pPr>
        <w:pStyle w:val="Subtitle1"/>
        <w:rPr>
          <w:rFonts w:ascii="Times New Roman" w:hAnsi="Times New Roman"/>
          <w:sz w:val="24"/>
          <w:szCs w:val="24"/>
        </w:rPr>
      </w:pPr>
      <w:bookmarkStart w:id="28" w:name="_Toc78878322"/>
      <w:bookmarkStart w:id="29" w:name="_Toc79578509"/>
    </w:p>
    <w:p w14:paraId="4CEE2B91" w14:textId="4C12F3B2" w:rsidR="005712E4" w:rsidRDefault="00CC15C6" w:rsidP="00AA2BE1">
      <w:pPr>
        <w:pStyle w:val="Subtitle1"/>
        <w:rPr>
          <w:rFonts w:ascii="Times New Roman" w:hAnsi="Times New Roman"/>
          <w:sz w:val="24"/>
          <w:szCs w:val="24"/>
        </w:rPr>
      </w:pPr>
      <w:bookmarkStart w:id="30" w:name="_Toc133398678"/>
      <w:r w:rsidRPr="00F13AA2">
        <w:rPr>
          <w:rFonts w:ascii="Times New Roman" w:hAnsi="Times New Roman"/>
          <w:sz w:val="24"/>
          <w:szCs w:val="24"/>
        </w:rPr>
        <w:lastRenderedPageBreak/>
        <w:t xml:space="preserve">STANJE NENAPLAĆENIH POTRAŽIVANJA ZA PRIHODE </w:t>
      </w:r>
      <w:r w:rsidR="00116C51" w:rsidRPr="00F13AA2">
        <w:rPr>
          <w:rFonts w:ascii="Times New Roman" w:hAnsi="Times New Roman"/>
          <w:sz w:val="24"/>
          <w:szCs w:val="24"/>
        </w:rPr>
        <w:t>GRADA</w:t>
      </w:r>
      <w:r w:rsidRPr="00F13AA2">
        <w:rPr>
          <w:rFonts w:ascii="Times New Roman" w:hAnsi="Times New Roman"/>
          <w:sz w:val="24"/>
          <w:szCs w:val="24"/>
        </w:rPr>
        <w:t xml:space="preserve"> I PRORAČUNSKIH KORISNIKA</w:t>
      </w:r>
      <w:r w:rsidR="007B47E4" w:rsidRPr="00F13AA2">
        <w:rPr>
          <w:rFonts w:ascii="Times New Roman" w:hAnsi="Times New Roman"/>
          <w:sz w:val="24"/>
          <w:szCs w:val="24"/>
        </w:rPr>
        <w:t xml:space="preserve"> NA DAN </w:t>
      </w:r>
      <w:r w:rsidR="009B26A0">
        <w:rPr>
          <w:rFonts w:ascii="Times New Roman" w:hAnsi="Times New Roman"/>
          <w:sz w:val="24"/>
          <w:szCs w:val="24"/>
        </w:rPr>
        <w:t>31.12</w:t>
      </w:r>
      <w:r w:rsidR="007B47E4" w:rsidRPr="00F13AA2">
        <w:rPr>
          <w:rFonts w:ascii="Times New Roman" w:hAnsi="Times New Roman"/>
          <w:sz w:val="24"/>
          <w:szCs w:val="24"/>
        </w:rPr>
        <w:t>.20</w:t>
      </w:r>
      <w:r w:rsidR="007C683C" w:rsidRPr="00F13AA2">
        <w:rPr>
          <w:rFonts w:ascii="Times New Roman" w:hAnsi="Times New Roman"/>
          <w:sz w:val="24"/>
          <w:szCs w:val="24"/>
        </w:rPr>
        <w:t>2</w:t>
      </w:r>
      <w:r w:rsidR="00C32326" w:rsidRPr="00F13AA2">
        <w:rPr>
          <w:rFonts w:ascii="Times New Roman" w:hAnsi="Times New Roman"/>
          <w:sz w:val="24"/>
          <w:szCs w:val="24"/>
        </w:rPr>
        <w:t>2</w:t>
      </w:r>
      <w:r w:rsidR="007B47E4" w:rsidRPr="00F13AA2">
        <w:rPr>
          <w:rFonts w:ascii="Times New Roman" w:hAnsi="Times New Roman"/>
          <w:sz w:val="24"/>
          <w:szCs w:val="24"/>
        </w:rPr>
        <w:t>. GODINE</w:t>
      </w:r>
      <w:bookmarkEnd w:id="28"/>
      <w:bookmarkEnd w:id="29"/>
      <w:bookmarkEnd w:id="30"/>
    </w:p>
    <w:p w14:paraId="46D216CE" w14:textId="77777777" w:rsidR="00245A99" w:rsidRDefault="00245A99" w:rsidP="00AA2BE1">
      <w:pPr>
        <w:pStyle w:val="Subtitle1"/>
        <w:rPr>
          <w:rFonts w:ascii="Times New Roman" w:hAnsi="Times New Roman"/>
          <w:sz w:val="24"/>
          <w:szCs w:val="24"/>
        </w:rPr>
      </w:pPr>
    </w:p>
    <w:tbl>
      <w:tblPr>
        <w:tblW w:w="8800" w:type="dxa"/>
        <w:tblLook w:val="04A0" w:firstRow="1" w:lastRow="0" w:firstColumn="1" w:lastColumn="0" w:noHBand="0" w:noVBand="1"/>
      </w:tblPr>
      <w:tblGrid>
        <w:gridCol w:w="2835"/>
        <w:gridCol w:w="2251"/>
        <w:gridCol w:w="1783"/>
        <w:gridCol w:w="1895"/>
        <w:gridCol w:w="222"/>
      </w:tblGrid>
      <w:tr w:rsidR="00245A99" w14:paraId="3635702B" w14:textId="77777777" w:rsidTr="00245A99">
        <w:trPr>
          <w:gridAfter w:val="1"/>
          <w:wAfter w:w="36" w:type="dxa"/>
          <w:trHeight w:val="276"/>
        </w:trPr>
        <w:tc>
          <w:tcPr>
            <w:tcW w:w="8764" w:type="dxa"/>
            <w:gridSpan w:val="4"/>
            <w:vMerge w:val="restart"/>
            <w:tcBorders>
              <w:top w:val="nil"/>
              <w:left w:val="nil"/>
              <w:bottom w:val="nil"/>
              <w:right w:val="nil"/>
            </w:tcBorders>
            <w:shd w:val="clear" w:color="auto" w:fill="auto"/>
            <w:vAlign w:val="bottom"/>
            <w:hideMark/>
          </w:tcPr>
          <w:p w14:paraId="5AF2F888" w14:textId="77777777" w:rsidR="00245A99" w:rsidRDefault="00245A99">
            <w:pPr>
              <w:jc w:val="center"/>
              <w:rPr>
                <w:sz w:val="20"/>
                <w:szCs w:val="20"/>
              </w:rPr>
            </w:pPr>
            <w:r>
              <w:rPr>
                <w:sz w:val="20"/>
                <w:szCs w:val="20"/>
              </w:rPr>
              <w:t>STANJE NENAPLAĆENIH POTRAŽIVANJA ZA PRIHODE GRADA BUJA - BUIE I PRORAČUNSKIH KORISNIKA (stanje 31.12.2022.)</w:t>
            </w:r>
          </w:p>
        </w:tc>
      </w:tr>
      <w:tr w:rsidR="00245A99" w14:paraId="183F021A" w14:textId="77777777" w:rsidTr="00245A99">
        <w:trPr>
          <w:trHeight w:val="255"/>
        </w:trPr>
        <w:tc>
          <w:tcPr>
            <w:tcW w:w="8764" w:type="dxa"/>
            <w:gridSpan w:val="4"/>
            <w:vMerge/>
            <w:tcBorders>
              <w:top w:val="nil"/>
              <w:left w:val="nil"/>
              <w:bottom w:val="nil"/>
              <w:right w:val="nil"/>
            </w:tcBorders>
            <w:vAlign w:val="center"/>
            <w:hideMark/>
          </w:tcPr>
          <w:p w14:paraId="3B1CF7A4" w14:textId="77777777" w:rsidR="00245A99" w:rsidRDefault="00245A99">
            <w:pPr>
              <w:rPr>
                <w:sz w:val="20"/>
                <w:szCs w:val="20"/>
              </w:rPr>
            </w:pPr>
          </w:p>
        </w:tc>
        <w:tc>
          <w:tcPr>
            <w:tcW w:w="36" w:type="dxa"/>
            <w:tcBorders>
              <w:top w:val="nil"/>
              <w:left w:val="nil"/>
              <w:bottom w:val="nil"/>
              <w:right w:val="nil"/>
            </w:tcBorders>
            <w:shd w:val="clear" w:color="auto" w:fill="auto"/>
            <w:noWrap/>
            <w:vAlign w:val="bottom"/>
            <w:hideMark/>
          </w:tcPr>
          <w:p w14:paraId="61551622" w14:textId="77777777" w:rsidR="00245A99" w:rsidRDefault="00245A99">
            <w:pPr>
              <w:jc w:val="center"/>
              <w:rPr>
                <w:sz w:val="20"/>
                <w:szCs w:val="20"/>
              </w:rPr>
            </w:pPr>
          </w:p>
        </w:tc>
      </w:tr>
      <w:tr w:rsidR="00245A99" w14:paraId="593B1BD6" w14:textId="77777777" w:rsidTr="00245A99">
        <w:trPr>
          <w:trHeight w:val="255"/>
        </w:trPr>
        <w:tc>
          <w:tcPr>
            <w:tcW w:w="2835" w:type="dxa"/>
            <w:tcBorders>
              <w:top w:val="nil"/>
              <w:left w:val="nil"/>
              <w:bottom w:val="nil"/>
              <w:right w:val="nil"/>
            </w:tcBorders>
            <w:shd w:val="clear" w:color="auto" w:fill="auto"/>
            <w:noWrap/>
            <w:vAlign w:val="bottom"/>
            <w:hideMark/>
          </w:tcPr>
          <w:p w14:paraId="44405A90" w14:textId="77777777" w:rsidR="00245A99" w:rsidRDefault="00245A99">
            <w:pPr>
              <w:rPr>
                <w:sz w:val="20"/>
                <w:szCs w:val="20"/>
              </w:rPr>
            </w:pPr>
          </w:p>
        </w:tc>
        <w:tc>
          <w:tcPr>
            <w:tcW w:w="2251" w:type="dxa"/>
            <w:tcBorders>
              <w:top w:val="nil"/>
              <w:left w:val="nil"/>
              <w:bottom w:val="nil"/>
              <w:right w:val="nil"/>
            </w:tcBorders>
            <w:shd w:val="clear" w:color="auto" w:fill="auto"/>
            <w:noWrap/>
            <w:vAlign w:val="bottom"/>
            <w:hideMark/>
          </w:tcPr>
          <w:p w14:paraId="73DF2C36" w14:textId="77777777" w:rsidR="00245A99" w:rsidRDefault="00245A99">
            <w:pPr>
              <w:rPr>
                <w:sz w:val="20"/>
                <w:szCs w:val="20"/>
              </w:rPr>
            </w:pPr>
          </w:p>
        </w:tc>
        <w:tc>
          <w:tcPr>
            <w:tcW w:w="1783" w:type="dxa"/>
            <w:tcBorders>
              <w:top w:val="nil"/>
              <w:left w:val="nil"/>
              <w:bottom w:val="nil"/>
              <w:right w:val="nil"/>
            </w:tcBorders>
            <w:shd w:val="clear" w:color="auto" w:fill="auto"/>
            <w:noWrap/>
            <w:vAlign w:val="bottom"/>
            <w:hideMark/>
          </w:tcPr>
          <w:p w14:paraId="53B01504" w14:textId="77777777" w:rsidR="00245A99" w:rsidRDefault="00245A99">
            <w:pPr>
              <w:rPr>
                <w:sz w:val="20"/>
                <w:szCs w:val="20"/>
              </w:rPr>
            </w:pPr>
          </w:p>
        </w:tc>
        <w:tc>
          <w:tcPr>
            <w:tcW w:w="1895" w:type="dxa"/>
            <w:tcBorders>
              <w:top w:val="nil"/>
              <w:left w:val="nil"/>
              <w:bottom w:val="nil"/>
              <w:right w:val="nil"/>
            </w:tcBorders>
            <w:shd w:val="clear" w:color="auto" w:fill="auto"/>
            <w:noWrap/>
            <w:vAlign w:val="bottom"/>
            <w:hideMark/>
          </w:tcPr>
          <w:p w14:paraId="25232EF8" w14:textId="77777777" w:rsidR="00245A99" w:rsidRDefault="00245A99">
            <w:pPr>
              <w:rPr>
                <w:sz w:val="20"/>
                <w:szCs w:val="20"/>
              </w:rPr>
            </w:pPr>
          </w:p>
        </w:tc>
        <w:tc>
          <w:tcPr>
            <w:tcW w:w="36" w:type="dxa"/>
            <w:vAlign w:val="center"/>
            <w:hideMark/>
          </w:tcPr>
          <w:p w14:paraId="51CDA4E1" w14:textId="77777777" w:rsidR="00245A99" w:rsidRDefault="00245A99">
            <w:pPr>
              <w:rPr>
                <w:sz w:val="20"/>
                <w:szCs w:val="20"/>
              </w:rPr>
            </w:pPr>
          </w:p>
        </w:tc>
      </w:tr>
      <w:tr w:rsidR="00245A99" w14:paraId="43093367" w14:textId="77777777" w:rsidTr="00245A99">
        <w:trPr>
          <w:trHeight w:val="255"/>
        </w:trPr>
        <w:tc>
          <w:tcPr>
            <w:tcW w:w="2835" w:type="dxa"/>
            <w:tcBorders>
              <w:top w:val="nil"/>
              <w:left w:val="nil"/>
              <w:bottom w:val="nil"/>
              <w:right w:val="nil"/>
            </w:tcBorders>
            <w:shd w:val="clear" w:color="auto" w:fill="auto"/>
            <w:noWrap/>
            <w:vAlign w:val="bottom"/>
            <w:hideMark/>
          </w:tcPr>
          <w:p w14:paraId="4BA7C140" w14:textId="77777777" w:rsidR="00245A99" w:rsidRDefault="00245A99">
            <w:pPr>
              <w:rPr>
                <w:sz w:val="20"/>
                <w:szCs w:val="20"/>
              </w:rPr>
            </w:pPr>
          </w:p>
        </w:tc>
        <w:tc>
          <w:tcPr>
            <w:tcW w:w="2251" w:type="dxa"/>
            <w:tcBorders>
              <w:top w:val="nil"/>
              <w:left w:val="nil"/>
              <w:bottom w:val="nil"/>
              <w:right w:val="nil"/>
            </w:tcBorders>
            <w:shd w:val="clear" w:color="auto" w:fill="auto"/>
            <w:noWrap/>
            <w:vAlign w:val="bottom"/>
            <w:hideMark/>
          </w:tcPr>
          <w:p w14:paraId="7DAD8C4A" w14:textId="77777777" w:rsidR="00245A99" w:rsidRDefault="00245A99">
            <w:pPr>
              <w:rPr>
                <w:sz w:val="20"/>
                <w:szCs w:val="20"/>
              </w:rPr>
            </w:pPr>
          </w:p>
        </w:tc>
        <w:tc>
          <w:tcPr>
            <w:tcW w:w="1783" w:type="dxa"/>
            <w:tcBorders>
              <w:top w:val="nil"/>
              <w:left w:val="nil"/>
              <w:bottom w:val="nil"/>
              <w:right w:val="nil"/>
            </w:tcBorders>
            <w:shd w:val="clear" w:color="auto" w:fill="auto"/>
            <w:noWrap/>
            <w:vAlign w:val="bottom"/>
            <w:hideMark/>
          </w:tcPr>
          <w:p w14:paraId="05EBDD23" w14:textId="77777777" w:rsidR="00245A99" w:rsidRDefault="00245A99">
            <w:pPr>
              <w:rPr>
                <w:sz w:val="20"/>
                <w:szCs w:val="20"/>
              </w:rPr>
            </w:pPr>
          </w:p>
        </w:tc>
        <w:tc>
          <w:tcPr>
            <w:tcW w:w="1895" w:type="dxa"/>
            <w:tcBorders>
              <w:top w:val="nil"/>
              <w:left w:val="nil"/>
              <w:bottom w:val="nil"/>
              <w:right w:val="nil"/>
            </w:tcBorders>
            <w:shd w:val="clear" w:color="auto" w:fill="auto"/>
            <w:noWrap/>
            <w:vAlign w:val="bottom"/>
            <w:hideMark/>
          </w:tcPr>
          <w:p w14:paraId="448F2AB5" w14:textId="77777777" w:rsidR="00245A99" w:rsidRDefault="00245A99">
            <w:pPr>
              <w:rPr>
                <w:sz w:val="20"/>
                <w:szCs w:val="20"/>
              </w:rPr>
            </w:pPr>
          </w:p>
        </w:tc>
        <w:tc>
          <w:tcPr>
            <w:tcW w:w="36" w:type="dxa"/>
            <w:vAlign w:val="center"/>
            <w:hideMark/>
          </w:tcPr>
          <w:p w14:paraId="436634ED" w14:textId="77777777" w:rsidR="00245A99" w:rsidRDefault="00245A99">
            <w:pPr>
              <w:rPr>
                <w:sz w:val="20"/>
                <w:szCs w:val="20"/>
              </w:rPr>
            </w:pPr>
          </w:p>
        </w:tc>
      </w:tr>
      <w:tr w:rsidR="00245A99" w14:paraId="44877E0D" w14:textId="77777777" w:rsidTr="00245A99">
        <w:trPr>
          <w:trHeight w:val="465"/>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5BEF3" w14:textId="77777777" w:rsidR="00245A99" w:rsidRDefault="00245A99">
            <w:pPr>
              <w:jc w:val="center"/>
              <w:rPr>
                <w:sz w:val="20"/>
                <w:szCs w:val="20"/>
              </w:rPr>
            </w:pPr>
            <w:r>
              <w:rPr>
                <w:sz w:val="20"/>
                <w:szCs w:val="20"/>
              </w:rPr>
              <w:t>Naziv</w:t>
            </w:r>
          </w:p>
        </w:tc>
        <w:tc>
          <w:tcPr>
            <w:tcW w:w="592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E7B4386" w14:textId="77777777" w:rsidR="00245A99" w:rsidRDefault="00245A99">
            <w:pPr>
              <w:jc w:val="center"/>
              <w:rPr>
                <w:sz w:val="20"/>
                <w:szCs w:val="20"/>
              </w:rPr>
            </w:pPr>
            <w:r>
              <w:rPr>
                <w:sz w:val="20"/>
                <w:szCs w:val="20"/>
              </w:rPr>
              <w:t xml:space="preserve">Iznos nenaplaćenih potraživanja </w:t>
            </w:r>
          </w:p>
        </w:tc>
        <w:tc>
          <w:tcPr>
            <w:tcW w:w="36" w:type="dxa"/>
            <w:vAlign w:val="center"/>
            <w:hideMark/>
          </w:tcPr>
          <w:p w14:paraId="79DA3DF3" w14:textId="77777777" w:rsidR="00245A99" w:rsidRDefault="00245A99">
            <w:pPr>
              <w:rPr>
                <w:sz w:val="20"/>
                <w:szCs w:val="20"/>
              </w:rPr>
            </w:pPr>
          </w:p>
        </w:tc>
      </w:tr>
      <w:tr w:rsidR="00245A99" w14:paraId="5D496007" w14:textId="77777777" w:rsidTr="00245A99">
        <w:trPr>
          <w:trHeight w:val="1275"/>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1CFB8C6C" w14:textId="77777777" w:rsidR="00245A99" w:rsidRDefault="00245A99">
            <w:pPr>
              <w:rPr>
                <w:sz w:val="20"/>
                <w:szCs w:val="20"/>
              </w:rPr>
            </w:pPr>
          </w:p>
        </w:tc>
        <w:tc>
          <w:tcPr>
            <w:tcW w:w="2251" w:type="dxa"/>
            <w:tcBorders>
              <w:top w:val="nil"/>
              <w:left w:val="nil"/>
              <w:bottom w:val="single" w:sz="4" w:space="0" w:color="auto"/>
              <w:right w:val="single" w:sz="4" w:space="0" w:color="auto"/>
            </w:tcBorders>
            <w:shd w:val="clear" w:color="auto" w:fill="auto"/>
            <w:vAlign w:val="center"/>
            <w:hideMark/>
          </w:tcPr>
          <w:p w14:paraId="7946BA96" w14:textId="77777777" w:rsidR="00245A99" w:rsidRDefault="00245A99">
            <w:pPr>
              <w:jc w:val="center"/>
              <w:rPr>
                <w:sz w:val="20"/>
                <w:szCs w:val="20"/>
              </w:rPr>
            </w:pPr>
            <w:r>
              <w:rPr>
                <w:sz w:val="20"/>
                <w:szCs w:val="20"/>
              </w:rPr>
              <w:t>Potraživanja za prihode poslovanja (konto 16 bez 167 i 169)</w:t>
            </w:r>
          </w:p>
        </w:tc>
        <w:tc>
          <w:tcPr>
            <w:tcW w:w="1783" w:type="dxa"/>
            <w:tcBorders>
              <w:top w:val="nil"/>
              <w:left w:val="nil"/>
              <w:bottom w:val="single" w:sz="4" w:space="0" w:color="auto"/>
              <w:right w:val="single" w:sz="4" w:space="0" w:color="auto"/>
            </w:tcBorders>
            <w:shd w:val="clear" w:color="auto" w:fill="auto"/>
            <w:vAlign w:val="center"/>
            <w:hideMark/>
          </w:tcPr>
          <w:p w14:paraId="297104E7" w14:textId="77777777" w:rsidR="00245A99" w:rsidRDefault="00245A99">
            <w:pPr>
              <w:jc w:val="center"/>
              <w:rPr>
                <w:sz w:val="20"/>
                <w:szCs w:val="20"/>
              </w:rPr>
            </w:pPr>
            <w:r>
              <w:rPr>
                <w:sz w:val="20"/>
                <w:szCs w:val="20"/>
              </w:rPr>
              <w:t>Potraživanja od prodaje nefinancijske imovine (konto 17 bez 179)</w:t>
            </w:r>
          </w:p>
        </w:tc>
        <w:tc>
          <w:tcPr>
            <w:tcW w:w="1895" w:type="dxa"/>
            <w:tcBorders>
              <w:top w:val="nil"/>
              <w:left w:val="nil"/>
              <w:bottom w:val="single" w:sz="4" w:space="0" w:color="auto"/>
              <w:right w:val="single" w:sz="4" w:space="0" w:color="auto"/>
            </w:tcBorders>
            <w:shd w:val="clear" w:color="auto" w:fill="auto"/>
            <w:vAlign w:val="center"/>
            <w:hideMark/>
          </w:tcPr>
          <w:p w14:paraId="6FD5E7DC" w14:textId="77777777" w:rsidR="00245A99" w:rsidRDefault="00245A99">
            <w:pPr>
              <w:jc w:val="center"/>
              <w:rPr>
                <w:sz w:val="20"/>
                <w:szCs w:val="20"/>
              </w:rPr>
            </w:pPr>
            <w:r>
              <w:rPr>
                <w:sz w:val="20"/>
                <w:szCs w:val="20"/>
              </w:rPr>
              <w:t>Ukupno</w:t>
            </w:r>
          </w:p>
        </w:tc>
        <w:tc>
          <w:tcPr>
            <w:tcW w:w="36" w:type="dxa"/>
            <w:vAlign w:val="center"/>
            <w:hideMark/>
          </w:tcPr>
          <w:p w14:paraId="7C2CC9DF" w14:textId="77777777" w:rsidR="00245A99" w:rsidRDefault="00245A99">
            <w:pPr>
              <w:rPr>
                <w:sz w:val="20"/>
                <w:szCs w:val="20"/>
              </w:rPr>
            </w:pPr>
          </w:p>
        </w:tc>
      </w:tr>
      <w:tr w:rsidR="00245A99" w14:paraId="02A2CF2A" w14:textId="77777777" w:rsidTr="00245A99">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2F5DBA9" w14:textId="77777777" w:rsidR="00245A99" w:rsidRDefault="00245A99">
            <w:pPr>
              <w:rPr>
                <w:b/>
                <w:bCs/>
                <w:sz w:val="20"/>
                <w:szCs w:val="20"/>
              </w:rPr>
            </w:pPr>
            <w:r>
              <w:rPr>
                <w:b/>
                <w:bCs/>
                <w:sz w:val="20"/>
                <w:szCs w:val="20"/>
              </w:rPr>
              <w:t>Grad Buje - Buie</w:t>
            </w:r>
          </w:p>
        </w:tc>
        <w:tc>
          <w:tcPr>
            <w:tcW w:w="2251" w:type="dxa"/>
            <w:tcBorders>
              <w:top w:val="nil"/>
              <w:left w:val="nil"/>
              <w:bottom w:val="single" w:sz="4" w:space="0" w:color="auto"/>
              <w:right w:val="single" w:sz="4" w:space="0" w:color="auto"/>
            </w:tcBorders>
            <w:shd w:val="clear" w:color="auto" w:fill="auto"/>
            <w:noWrap/>
            <w:vAlign w:val="bottom"/>
            <w:hideMark/>
          </w:tcPr>
          <w:p w14:paraId="0CF8CA8C" w14:textId="77777777" w:rsidR="00245A99" w:rsidRDefault="00245A99">
            <w:pPr>
              <w:rPr>
                <w:b/>
                <w:bCs/>
                <w:sz w:val="20"/>
                <w:szCs w:val="20"/>
              </w:rPr>
            </w:pPr>
            <w:r>
              <w:rPr>
                <w:b/>
                <w:bCs/>
                <w:sz w:val="20"/>
                <w:szCs w:val="20"/>
              </w:rPr>
              <w:t xml:space="preserve">               9.550.543,30    </w:t>
            </w:r>
          </w:p>
        </w:tc>
        <w:tc>
          <w:tcPr>
            <w:tcW w:w="1783" w:type="dxa"/>
            <w:tcBorders>
              <w:top w:val="nil"/>
              <w:left w:val="nil"/>
              <w:bottom w:val="single" w:sz="4" w:space="0" w:color="auto"/>
              <w:right w:val="single" w:sz="4" w:space="0" w:color="auto"/>
            </w:tcBorders>
            <w:shd w:val="clear" w:color="auto" w:fill="auto"/>
            <w:noWrap/>
            <w:vAlign w:val="bottom"/>
            <w:hideMark/>
          </w:tcPr>
          <w:p w14:paraId="3F7F22C5" w14:textId="77777777" w:rsidR="00245A99" w:rsidRDefault="00245A99">
            <w:pPr>
              <w:rPr>
                <w:b/>
                <w:bCs/>
                <w:sz w:val="20"/>
                <w:szCs w:val="20"/>
              </w:rPr>
            </w:pPr>
            <w:r>
              <w:rPr>
                <w:b/>
                <w:bCs/>
                <w:sz w:val="20"/>
                <w:szCs w:val="20"/>
              </w:rPr>
              <w:t xml:space="preserve">      2.293.720,39    </w:t>
            </w:r>
          </w:p>
        </w:tc>
        <w:tc>
          <w:tcPr>
            <w:tcW w:w="1895" w:type="dxa"/>
            <w:tcBorders>
              <w:top w:val="nil"/>
              <w:left w:val="nil"/>
              <w:bottom w:val="single" w:sz="4" w:space="0" w:color="auto"/>
              <w:right w:val="single" w:sz="4" w:space="0" w:color="auto"/>
            </w:tcBorders>
            <w:shd w:val="clear" w:color="auto" w:fill="auto"/>
            <w:noWrap/>
            <w:vAlign w:val="bottom"/>
            <w:hideMark/>
          </w:tcPr>
          <w:p w14:paraId="0B65A51A" w14:textId="77777777" w:rsidR="00245A99" w:rsidRDefault="00245A99">
            <w:pPr>
              <w:rPr>
                <w:b/>
                <w:bCs/>
                <w:sz w:val="20"/>
                <w:szCs w:val="20"/>
              </w:rPr>
            </w:pPr>
            <w:r>
              <w:rPr>
                <w:b/>
                <w:bCs/>
                <w:sz w:val="20"/>
                <w:szCs w:val="20"/>
              </w:rPr>
              <w:t xml:space="preserve">     11.844.263,69    </w:t>
            </w:r>
          </w:p>
        </w:tc>
        <w:tc>
          <w:tcPr>
            <w:tcW w:w="36" w:type="dxa"/>
            <w:vAlign w:val="center"/>
            <w:hideMark/>
          </w:tcPr>
          <w:p w14:paraId="557B9F80" w14:textId="77777777" w:rsidR="00245A99" w:rsidRDefault="00245A99">
            <w:pPr>
              <w:rPr>
                <w:sz w:val="20"/>
                <w:szCs w:val="20"/>
              </w:rPr>
            </w:pPr>
          </w:p>
        </w:tc>
      </w:tr>
      <w:tr w:rsidR="00245A99" w14:paraId="0155DDA7" w14:textId="77777777" w:rsidTr="00245A99">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AF233AF" w14:textId="77777777" w:rsidR="00245A99" w:rsidRDefault="00245A99">
            <w:pPr>
              <w:rPr>
                <w:b/>
                <w:bCs/>
                <w:sz w:val="20"/>
                <w:szCs w:val="20"/>
              </w:rPr>
            </w:pPr>
            <w:r>
              <w:rPr>
                <w:b/>
                <w:bCs/>
                <w:sz w:val="20"/>
                <w:szCs w:val="20"/>
              </w:rPr>
              <w:t>ukupno proračunski korisnici</w:t>
            </w:r>
          </w:p>
        </w:tc>
        <w:tc>
          <w:tcPr>
            <w:tcW w:w="2251" w:type="dxa"/>
            <w:tcBorders>
              <w:top w:val="nil"/>
              <w:left w:val="nil"/>
              <w:bottom w:val="single" w:sz="4" w:space="0" w:color="auto"/>
              <w:right w:val="single" w:sz="4" w:space="0" w:color="auto"/>
            </w:tcBorders>
            <w:shd w:val="clear" w:color="auto" w:fill="auto"/>
            <w:noWrap/>
            <w:vAlign w:val="bottom"/>
            <w:hideMark/>
          </w:tcPr>
          <w:p w14:paraId="78B5879B" w14:textId="77777777" w:rsidR="00245A99" w:rsidRDefault="00245A99">
            <w:pPr>
              <w:rPr>
                <w:b/>
                <w:bCs/>
                <w:sz w:val="20"/>
                <w:szCs w:val="20"/>
              </w:rPr>
            </w:pPr>
            <w:r>
              <w:rPr>
                <w:b/>
                <w:bCs/>
                <w:sz w:val="20"/>
                <w:szCs w:val="20"/>
              </w:rPr>
              <w:t xml:space="preserve">                  151.782,98    </w:t>
            </w:r>
          </w:p>
        </w:tc>
        <w:tc>
          <w:tcPr>
            <w:tcW w:w="1783" w:type="dxa"/>
            <w:tcBorders>
              <w:top w:val="nil"/>
              <w:left w:val="nil"/>
              <w:bottom w:val="single" w:sz="4" w:space="0" w:color="auto"/>
              <w:right w:val="single" w:sz="4" w:space="0" w:color="auto"/>
            </w:tcBorders>
            <w:shd w:val="clear" w:color="auto" w:fill="auto"/>
            <w:noWrap/>
            <w:vAlign w:val="bottom"/>
            <w:hideMark/>
          </w:tcPr>
          <w:p w14:paraId="67203DA4" w14:textId="77777777" w:rsidR="00245A99" w:rsidRDefault="00245A99">
            <w:pPr>
              <w:rPr>
                <w:b/>
                <w:bCs/>
                <w:sz w:val="20"/>
                <w:szCs w:val="20"/>
              </w:rPr>
            </w:pPr>
            <w:r>
              <w:rPr>
                <w:b/>
                <w:bCs/>
                <w:sz w:val="20"/>
                <w:szCs w:val="20"/>
              </w:rPr>
              <w:t xml:space="preserve">                          -      </w:t>
            </w:r>
          </w:p>
        </w:tc>
        <w:tc>
          <w:tcPr>
            <w:tcW w:w="1895" w:type="dxa"/>
            <w:tcBorders>
              <w:top w:val="nil"/>
              <w:left w:val="nil"/>
              <w:bottom w:val="single" w:sz="4" w:space="0" w:color="auto"/>
              <w:right w:val="single" w:sz="4" w:space="0" w:color="auto"/>
            </w:tcBorders>
            <w:shd w:val="clear" w:color="auto" w:fill="auto"/>
            <w:noWrap/>
            <w:vAlign w:val="bottom"/>
            <w:hideMark/>
          </w:tcPr>
          <w:p w14:paraId="5AE9B1FD" w14:textId="77777777" w:rsidR="00245A99" w:rsidRDefault="00245A99">
            <w:pPr>
              <w:rPr>
                <w:b/>
                <w:bCs/>
                <w:sz w:val="20"/>
                <w:szCs w:val="20"/>
              </w:rPr>
            </w:pPr>
            <w:r>
              <w:rPr>
                <w:b/>
                <w:bCs/>
                <w:sz w:val="20"/>
                <w:szCs w:val="20"/>
              </w:rPr>
              <w:t xml:space="preserve">           151.782,98    </w:t>
            </w:r>
          </w:p>
        </w:tc>
        <w:tc>
          <w:tcPr>
            <w:tcW w:w="36" w:type="dxa"/>
            <w:vAlign w:val="center"/>
            <w:hideMark/>
          </w:tcPr>
          <w:p w14:paraId="525E28F3" w14:textId="77777777" w:rsidR="00245A99" w:rsidRDefault="00245A99">
            <w:pPr>
              <w:rPr>
                <w:sz w:val="20"/>
                <w:szCs w:val="20"/>
              </w:rPr>
            </w:pPr>
          </w:p>
        </w:tc>
      </w:tr>
      <w:tr w:rsidR="00245A99" w14:paraId="7035EA57" w14:textId="77777777" w:rsidTr="00245A99">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6250E4F" w14:textId="77777777" w:rsidR="00245A99" w:rsidRDefault="00245A99">
            <w:pPr>
              <w:rPr>
                <w:sz w:val="20"/>
                <w:szCs w:val="20"/>
              </w:rPr>
            </w:pPr>
            <w:r>
              <w:rPr>
                <w:sz w:val="20"/>
                <w:szCs w:val="20"/>
              </w:rPr>
              <w:t>Dječji vrtić Buje</w:t>
            </w:r>
          </w:p>
        </w:tc>
        <w:tc>
          <w:tcPr>
            <w:tcW w:w="2251" w:type="dxa"/>
            <w:tcBorders>
              <w:top w:val="nil"/>
              <w:left w:val="nil"/>
              <w:bottom w:val="single" w:sz="4" w:space="0" w:color="auto"/>
              <w:right w:val="single" w:sz="4" w:space="0" w:color="auto"/>
            </w:tcBorders>
            <w:shd w:val="clear" w:color="auto" w:fill="auto"/>
            <w:noWrap/>
            <w:vAlign w:val="bottom"/>
            <w:hideMark/>
          </w:tcPr>
          <w:p w14:paraId="66A2C0D8" w14:textId="77777777" w:rsidR="00245A99" w:rsidRDefault="00245A99">
            <w:pPr>
              <w:rPr>
                <w:sz w:val="20"/>
                <w:szCs w:val="20"/>
              </w:rPr>
            </w:pPr>
            <w:r>
              <w:rPr>
                <w:sz w:val="20"/>
                <w:szCs w:val="20"/>
              </w:rPr>
              <w:t xml:space="preserve">                     110.003,24    </w:t>
            </w:r>
          </w:p>
        </w:tc>
        <w:tc>
          <w:tcPr>
            <w:tcW w:w="1783" w:type="dxa"/>
            <w:tcBorders>
              <w:top w:val="nil"/>
              <w:left w:val="nil"/>
              <w:bottom w:val="single" w:sz="4" w:space="0" w:color="auto"/>
              <w:right w:val="single" w:sz="4" w:space="0" w:color="auto"/>
            </w:tcBorders>
            <w:shd w:val="clear" w:color="auto" w:fill="auto"/>
            <w:noWrap/>
            <w:vAlign w:val="bottom"/>
            <w:hideMark/>
          </w:tcPr>
          <w:p w14:paraId="0CCD031A" w14:textId="77777777" w:rsidR="00245A99" w:rsidRDefault="00245A99">
            <w:pPr>
              <w:rPr>
                <w:sz w:val="20"/>
                <w:szCs w:val="20"/>
              </w:rPr>
            </w:pPr>
            <w:r>
              <w:rPr>
                <w:sz w:val="20"/>
                <w:szCs w:val="20"/>
              </w:rPr>
              <w:t xml:space="preserve">                          -      </w:t>
            </w:r>
          </w:p>
        </w:tc>
        <w:tc>
          <w:tcPr>
            <w:tcW w:w="1895" w:type="dxa"/>
            <w:tcBorders>
              <w:top w:val="nil"/>
              <w:left w:val="nil"/>
              <w:bottom w:val="single" w:sz="4" w:space="0" w:color="auto"/>
              <w:right w:val="single" w:sz="4" w:space="0" w:color="auto"/>
            </w:tcBorders>
            <w:shd w:val="clear" w:color="auto" w:fill="auto"/>
            <w:noWrap/>
            <w:vAlign w:val="bottom"/>
            <w:hideMark/>
          </w:tcPr>
          <w:p w14:paraId="2FFCADC0" w14:textId="77777777" w:rsidR="00245A99" w:rsidRDefault="00245A99">
            <w:pPr>
              <w:rPr>
                <w:sz w:val="20"/>
                <w:szCs w:val="20"/>
              </w:rPr>
            </w:pPr>
            <w:r>
              <w:rPr>
                <w:sz w:val="20"/>
                <w:szCs w:val="20"/>
              </w:rPr>
              <w:t xml:space="preserve">              110.003,24    </w:t>
            </w:r>
          </w:p>
        </w:tc>
        <w:tc>
          <w:tcPr>
            <w:tcW w:w="36" w:type="dxa"/>
            <w:vAlign w:val="center"/>
            <w:hideMark/>
          </w:tcPr>
          <w:p w14:paraId="0BA26629" w14:textId="77777777" w:rsidR="00245A99" w:rsidRDefault="00245A99">
            <w:pPr>
              <w:rPr>
                <w:sz w:val="20"/>
                <w:szCs w:val="20"/>
              </w:rPr>
            </w:pPr>
          </w:p>
        </w:tc>
      </w:tr>
      <w:tr w:rsidR="00245A99" w14:paraId="518B5714" w14:textId="77777777" w:rsidTr="00245A99">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F6BF554" w14:textId="77777777" w:rsidR="00245A99" w:rsidRDefault="00245A99">
            <w:pPr>
              <w:rPr>
                <w:sz w:val="20"/>
                <w:szCs w:val="20"/>
              </w:rPr>
            </w:pPr>
            <w:r>
              <w:rPr>
                <w:sz w:val="20"/>
                <w:szCs w:val="20"/>
              </w:rPr>
              <w:t>Talijanski dječji vrtić Mrvica</w:t>
            </w:r>
          </w:p>
        </w:tc>
        <w:tc>
          <w:tcPr>
            <w:tcW w:w="2251" w:type="dxa"/>
            <w:tcBorders>
              <w:top w:val="nil"/>
              <w:left w:val="nil"/>
              <w:bottom w:val="single" w:sz="4" w:space="0" w:color="auto"/>
              <w:right w:val="single" w:sz="4" w:space="0" w:color="auto"/>
            </w:tcBorders>
            <w:shd w:val="clear" w:color="auto" w:fill="auto"/>
            <w:noWrap/>
            <w:vAlign w:val="bottom"/>
            <w:hideMark/>
          </w:tcPr>
          <w:p w14:paraId="4BAF7CBE" w14:textId="77777777" w:rsidR="00245A99" w:rsidRDefault="00245A99">
            <w:pPr>
              <w:rPr>
                <w:sz w:val="20"/>
                <w:szCs w:val="20"/>
              </w:rPr>
            </w:pPr>
            <w:r>
              <w:rPr>
                <w:sz w:val="20"/>
                <w:szCs w:val="20"/>
              </w:rPr>
              <w:t xml:space="preserve">                       40.804,74    </w:t>
            </w:r>
          </w:p>
        </w:tc>
        <w:tc>
          <w:tcPr>
            <w:tcW w:w="1783" w:type="dxa"/>
            <w:tcBorders>
              <w:top w:val="nil"/>
              <w:left w:val="nil"/>
              <w:bottom w:val="single" w:sz="4" w:space="0" w:color="auto"/>
              <w:right w:val="single" w:sz="4" w:space="0" w:color="auto"/>
            </w:tcBorders>
            <w:shd w:val="clear" w:color="auto" w:fill="auto"/>
            <w:noWrap/>
            <w:vAlign w:val="bottom"/>
            <w:hideMark/>
          </w:tcPr>
          <w:p w14:paraId="26516E13" w14:textId="77777777" w:rsidR="00245A99" w:rsidRDefault="00245A99">
            <w:pPr>
              <w:rPr>
                <w:sz w:val="20"/>
                <w:szCs w:val="20"/>
              </w:rPr>
            </w:pPr>
            <w:r>
              <w:rPr>
                <w:sz w:val="20"/>
                <w:szCs w:val="20"/>
              </w:rPr>
              <w:t> </w:t>
            </w:r>
          </w:p>
        </w:tc>
        <w:tc>
          <w:tcPr>
            <w:tcW w:w="1895" w:type="dxa"/>
            <w:tcBorders>
              <w:top w:val="nil"/>
              <w:left w:val="nil"/>
              <w:bottom w:val="single" w:sz="4" w:space="0" w:color="auto"/>
              <w:right w:val="single" w:sz="4" w:space="0" w:color="auto"/>
            </w:tcBorders>
            <w:shd w:val="clear" w:color="auto" w:fill="auto"/>
            <w:noWrap/>
            <w:vAlign w:val="bottom"/>
            <w:hideMark/>
          </w:tcPr>
          <w:p w14:paraId="1CF89BB5" w14:textId="77777777" w:rsidR="00245A99" w:rsidRDefault="00245A99">
            <w:pPr>
              <w:rPr>
                <w:sz w:val="20"/>
                <w:szCs w:val="20"/>
              </w:rPr>
            </w:pPr>
            <w:r>
              <w:rPr>
                <w:sz w:val="20"/>
                <w:szCs w:val="20"/>
              </w:rPr>
              <w:t xml:space="preserve">                40.804,74    </w:t>
            </w:r>
          </w:p>
        </w:tc>
        <w:tc>
          <w:tcPr>
            <w:tcW w:w="36" w:type="dxa"/>
            <w:vAlign w:val="center"/>
            <w:hideMark/>
          </w:tcPr>
          <w:p w14:paraId="087A2934" w14:textId="77777777" w:rsidR="00245A99" w:rsidRDefault="00245A99">
            <w:pPr>
              <w:rPr>
                <w:sz w:val="20"/>
                <w:szCs w:val="20"/>
              </w:rPr>
            </w:pPr>
          </w:p>
        </w:tc>
      </w:tr>
      <w:tr w:rsidR="00245A99" w14:paraId="11B7033F" w14:textId="77777777" w:rsidTr="00245A99">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9987407" w14:textId="77777777" w:rsidR="00245A99" w:rsidRDefault="00245A99">
            <w:pPr>
              <w:rPr>
                <w:sz w:val="20"/>
                <w:szCs w:val="20"/>
              </w:rPr>
            </w:pPr>
            <w:r>
              <w:rPr>
                <w:sz w:val="20"/>
                <w:szCs w:val="20"/>
              </w:rPr>
              <w:t>Pučko otvoreno učilište Buje</w:t>
            </w:r>
          </w:p>
        </w:tc>
        <w:tc>
          <w:tcPr>
            <w:tcW w:w="2251" w:type="dxa"/>
            <w:tcBorders>
              <w:top w:val="nil"/>
              <w:left w:val="nil"/>
              <w:bottom w:val="single" w:sz="4" w:space="0" w:color="auto"/>
              <w:right w:val="single" w:sz="4" w:space="0" w:color="auto"/>
            </w:tcBorders>
            <w:shd w:val="clear" w:color="auto" w:fill="auto"/>
            <w:noWrap/>
            <w:vAlign w:val="bottom"/>
            <w:hideMark/>
          </w:tcPr>
          <w:p w14:paraId="18A8219D" w14:textId="77777777" w:rsidR="00245A99" w:rsidRDefault="00245A99">
            <w:pPr>
              <w:rPr>
                <w:sz w:val="20"/>
                <w:szCs w:val="20"/>
              </w:rPr>
            </w:pPr>
            <w:r>
              <w:rPr>
                <w:sz w:val="20"/>
                <w:szCs w:val="20"/>
              </w:rPr>
              <w:t xml:space="preserve">                            975,00    </w:t>
            </w:r>
          </w:p>
        </w:tc>
        <w:tc>
          <w:tcPr>
            <w:tcW w:w="1783" w:type="dxa"/>
            <w:tcBorders>
              <w:top w:val="nil"/>
              <w:left w:val="nil"/>
              <w:bottom w:val="single" w:sz="4" w:space="0" w:color="auto"/>
              <w:right w:val="single" w:sz="4" w:space="0" w:color="auto"/>
            </w:tcBorders>
            <w:shd w:val="clear" w:color="auto" w:fill="auto"/>
            <w:noWrap/>
            <w:vAlign w:val="bottom"/>
            <w:hideMark/>
          </w:tcPr>
          <w:p w14:paraId="051E3B30" w14:textId="77777777" w:rsidR="00245A99" w:rsidRDefault="00245A99">
            <w:pPr>
              <w:rPr>
                <w:sz w:val="20"/>
                <w:szCs w:val="20"/>
              </w:rPr>
            </w:pPr>
            <w:r>
              <w:rPr>
                <w:sz w:val="20"/>
                <w:szCs w:val="20"/>
              </w:rPr>
              <w:t> </w:t>
            </w:r>
          </w:p>
        </w:tc>
        <w:tc>
          <w:tcPr>
            <w:tcW w:w="1895" w:type="dxa"/>
            <w:tcBorders>
              <w:top w:val="nil"/>
              <w:left w:val="nil"/>
              <w:bottom w:val="single" w:sz="4" w:space="0" w:color="auto"/>
              <w:right w:val="single" w:sz="4" w:space="0" w:color="auto"/>
            </w:tcBorders>
            <w:shd w:val="clear" w:color="auto" w:fill="auto"/>
            <w:noWrap/>
            <w:vAlign w:val="bottom"/>
            <w:hideMark/>
          </w:tcPr>
          <w:p w14:paraId="73D147EC" w14:textId="77777777" w:rsidR="00245A99" w:rsidRDefault="00245A99">
            <w:pPr>
              <w:rPr>
                <w:sz w:val="20"/>
                <w:szCs w:val="20"/>
              </w:rPr>
            </w:pPr>
            <w:r>
              <w:rPr>
                <w:sz w:val="20"/>
                <w:szCs w:val="20"/>
              </w:rPr>
              <w:t xml:space="preserve">                     975,00    </w:t>
            </w:r>
          </w:p>
        </w:tc>
        <w:tc>
          <w:tcPr>
            <w:tcW w:w="36" w:type="dxa"/>
            <w:vAlign w:val="center"/>
            <w:hideMark/>
          </w:tcPr>
          <w:p w14:paraId="3EC11E5F" w14:textId="77777777" w:rsidR="00245A99" w:rsidRDefault="00245A99">
            <w:pPr>
              <w:rPr>
                <w:sz w:val="20"/>
                <w:szCs w:val="20"/>
              </w:rPr>
            </w:pPr>
          </w:p>
        </w:tc>
      </w:tr>
      <w:tr w:rsidR="00245A99" w14:paraId="23AB175C" w14:textId="77777777" w:rsidTr="00245A99">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5044E78" w14:textId="77777777" w:rsidR="00245A99" w:rsidRDefault="00245A99">
            <w:pPr>
              <w:rPr>
                <w:b/>
                <w:bCs/>
                <w:sz w:val="20"/>
                <w:szCs w:val="20"/>
              </w:rPr>
            </w:pPr>
            <w:r>
              <w:rPr>
                <w:b/>
                <w:bCs/>
                <w:sz w:val="20"/>
                <w:szCs w:val="20"/>
              </w:rPr>
              <w:t>Sveukupno</w:t>
            </w:r>
          </w:p>
        </w:tc>
        <w:tc>
          <w:tcPr>
            <w:tcW w:w="2251" w:type="dxa"/>
            <w:tcBorders>
              <w:top w:val="nil"/>
              <w:left w:val="nil"/>
              <w:bottom w:val="single" w:sz="4" w:space="0" w:color="auto"/>
              <w:right w:val="single" w:sz="4" w:space="0" w:color="auto"/>
            </w:tcBorders>
            <w:shd w:val="clear" w:color="auto" w:fill="auto"/>
            <w:noWrap/>
            <w:vAlign w:val="bottom"/>
            <w:hideMark/>
          </w:tcPr>
          <w:p w14:paraId="01432F7C" w14:textId="77777777" w:rsidR="00245A99" w:rsidRDefault="00245A99">
            <w:pPr>
              <w:rPr>
                <w:b/>
                <w:bCs/>
                <w:sz w:val="20"/>
                <w:szCs w:val="20"/>
              </w:rPr>
            </w:pPr>
            <w:r>
              <w:rPr>
                <w:b/>
                <w:bCs/>
                <w:sz w:val="20"/>
                <w:szCs w:val="20"/>
              </w:rPr>
              <w:t xml:space="preserve">               9.702.326,28    </w:t>
            </w:r>
          </w:p>
        </w:tc>
        <w:tc>
          <w:tcPr>
            <w:tcW w:w="1783" w:type="dxa"/>
            <w:tcBorders>
              <w:top w:val="nil"/>
              <w:left w:val="nil"/>
              <w:bottom w:val="single" w:sz="4" w:space="0" w:color="auto"/>
              <w:right w:val="single" w:sz="4" w:space="0" w:color="auto"/>
            </w:tcBorders>
            <w:shd w:val="clear" w:color="auto" w:fill="auto"/>
            <w:noWrap/>
            <w:vAlign w:val="bottom"/>
            <w:hideMark/>
          </w:tcPr>
          <w:p w14:paraId="09814C04" w14:textId="77777777" w:rsidR="00245A99" w:rsidRDefault="00245A99">
            <w:pPr>
              <w:rPr>
                <w:b/>
                <w:bCs/>
                <w:sz w:val="20"/>
                <w:szCs w:val="20"/>
              </w:rPr>
            </w:pPr>
            <w:r>
              <w:rPr>
                <w:b/>
                <w:bCs/>
                <w:sz w:val="20"/>
                <w:szCs w:val="20"/>
              </w:rPr>
              <w:t xml:space="preserve">      2.293.720,39    </w:t>
            </w:r>
          </w:p>
        </w:tc>
        <w:tc>
          <w:tcPr>
            <w:tcW w:w="1895" w:type="dxa"/>
            <w:tcBorders>
              <w:top w:val="nil"/>
              <w:left w:val="nil"/>
              <w:bottom w:val="single" w:sz="4" w:space="0" w:color="auto"/>
              <w:right w:val="single" w:sz="4" w:space="0" w:color="auto"/>
            </w:tcBorders>
            <w:shd w:val="clear" w:color="auto" w:fill="auto"/>
            <w:noWrap/>
            <w:vAlign w:val="bottom"/>
            <w:hideMark/>
          </w:tcPr>
          <w:p w14:paraId="404DF020" w14:textId="77777777" w:rsidR="00245A99" w:rsidRDefault="00245A99">
            <w:pPr>
              <w:rPr>
                <w:b/>
                <w:bCs/>
                <w:sz w:val="20"/>
                <w:szCs w:val="20"/>
              </w:rPr>
            </w:pPr>
            <w:r>
              <w:rPr>
                <w:b/>
                <w:bCs/>
                <w:sz w:val="20"/>
                <w:szCs w:val="20"/>
              </w:rPr>
              <w:t xml:space="preserve">     11.996.046,67    </w:t>
            </w:r>
          </w:p>
        </w:tc>
        <w:tc>
          <w:tcPr>
            <w:tcW w:w="36" w:type="dxa"/>
            <w:vAlign w:val="center"/>
            <w:hideMark/>
          </w:tcPr>
          <w:p w14:paraId="0901C339" w14:textId="77777777" w:rsidR="00245A99" w:rsidRDefault="00245A99">
            <w:pPr>
              <w:rPr>
                <w:sz w:val="20"/>
                <w:szCs w:val="20"/>
              </w:rPr>
            </w:pPr>
          </w:p>
        </w:tc>
      </w:tr>
    </w:tbl>
    <w:p w14:paraId="189AC4BA" w14:textId="77777777" w:rsidR="00245A99" w:rsidRPr="00F13AA2" w:rsidRDefault="00245A99" w:rsidP="00AA2BE1">
      <w:pPr>
        <w:pStyle w:val="Subtitle1"/>
        <w:rPr>
          <w:rFonts w:ascii="Times New Roman" w:hAnsi="Times New Roman"/>
          <w:sz w:val="24"/>
          <w:szCs w:val="24"/>
        </w:rPr>
      </w:pPr>
    </w:p>
    <w:p w14:paraId="680A347D" w14:textId="77777777" w:rsidR="006D6555" w:rsidRDefault="006D6555" w:rsidP="00A2660D">
      <w:pPr>
        <w:rPr>
          <w:b/>
        </w:rPr>
      </w:pPr>
    </w:p>
    <w:p w14:paraId="26F004C4" w14:textId="77777777" w:rsidR="00D83188" w:rsidRPr="00D83188" w:rsidRDefault="00D83188" w:rsidP="00A2660D">
      <w:pPr>
        <w:rPr>
          <w:bCs/>
          <w:u w:val="single"/>
        </w:rPr>
      </w:pPr>
      <w:r w:rsidRPr="00D83188">
        <w:rPr>
          <w:bCs/>
          <w:u w:val="single"/>
        </w:rPr>
        <w:t>Grad</w:t>
      </w:r>
    </w:p>
    <w:p w14:paraId="60F3A4B9" w14:textId="570EE8C5" w:rsidR="005943FA" w:rsidRDefault="006D6555" w:rsidP="00274D53">
      <w:pPr>
        <w:ind w:firstLine="708"/>
        <w:rPr>
          <w:bCs/>
        </w:rPr>
      </w:pPr>
      <w:r w:rsidRPr="00CB41F0">
        <w:rPr>
          <w:bCs/>
        </w:rPr>
        <w:t xml:space="preserve">Stanje ukupnih nenaplaćenih potraživanja Grada Buja – Buie na dan </w:t>
      </w:r>
      <w:r w:rsidR="00245A99">
        <w:rPr>
          <w:bCs/>
        </w:rPr>
        <w:t>31.12</w:t>
      </w:r>
      <w:r w:rsidRPr="00CB41F0">
        <w:rPr>
          <w:bCs/>
        </w:rPr>
        <w:t>.202</w:t>
      </w:r>
      <w:r w:rsidR="00710744">
        <w:rPr>
          <w:bCs/>
        </w:rPr>
        <w:t>2</w:t>
      </w:r>
      <w:r w:rsidRPr="00CB41F0">
        <w:rPr>
          <w:bCs/>
        </w:rPr>
        <w:t xml:space="preserve">. godine iznosi </w:t>
      </w:r>
      <w:r w:rsidR="00245A99">
        <w:rPr>
          <w:bCs/>
        </w:rPr>
        <w:t>11.844.263,69</w:t>
      </w:r>
      <w:r w:rsidR="00E56D37">
        <w:rPr>
          <w:bCs/>
        </w:rPr>
        <w:t xml:space="preserve"> </w:t>
      </w:r>
      <w:r w:rsidRPr="00CB41F0">
        <w:rPr>
          <w:bCs/>
        </w:rPr>
        <w:t xml:space="preserve">kuna i </w:t>
      </w:r>
      <w:r w:rsidR="00710744">
        <w:rPr>
          <w:bCs/>
        </w:rPr>
        <w:t>manje</w:t>
      </w:r>
      <w:r w:rsidRPr="00CB41F0">
        <w:rPr>
          <w:bCs/>
        </w:rPr>
        <w:t xml:space="preserve"> </w:t>
      </w:r>
      <w:r w:rsidR="00CB41F0">
        <w:rPr>
          <w:bCs/>
        </w:rPr>
        <w:t>je</w:t>
      </w:r>
      <w:r w:rsidRPr="00CB41F0">
        <w:rPr>
          <w:bCs/>
        </w:rPr>
        <w:t xml:space="preserve"> za </w:t>
      </w:r>
      <w:r w:rsidR="00245A99">
        <w:rPr>
          <w:bCs/>
        </w:rPr>
        <w:t>4,23</w:t>
      </w:r>
      <w:r w:rsidR="00CB41F0">
        <w:rPr>
          <w:bCs/>
        </w:rPr>
        <w:t xml:space="preserve">% </w:t>
      </w:r>
      <w:r w:rsidRPr="00CB41F0">
        <w:rPr>
          <w:bCs/>
        </w:rPr>
        <w:t>u odnosu na stanje</w:t>
      </w:r>
      <w:r w:rsidR="000C29FA">
        <w:rPr>
          <w:bCs/>
        </w:rPr>
        <w:t xml:space="preserve"> na dan</w:t>
      </w:r>
      <w:r w:rsidRPr="00CB41F0">
        <w:rPr>
          <w:bCs/>
        </w:rPr>
        <w:t xml:space="preserve"> 31.12.202</w:t>
      </w:r>
      <w:r w:rsidR="00710744">
        <w:rPr>
          <w:bCs/>
        </w:rPr>
        <w:t>1</w:t>
      </w:r>
      <w:r w:rsidRPr="00CB41F0">
        <w:rPr>
          <w:bCs/>
        </w:rPr>
        <w:t>. godine</w:t>
      </w:r>
      <w:r w:rsidR="00CB41F0" w:rsidRPr="00CB41F0">
        <w:rPr>
          <w:bCs/>
        </w:rPr>
        <w:t>.</w:t>
      </w:r>
      <w:r w:rsidR="005943FA">
        <w:rPr>
          <w:bCs/>
        </w:rPr>
        <w:t xml:space="preserve"> </w:t>
      </w:r>
    </w:p>
    <w:p w14:paraId="7E033F05" w14:textId="6E815A0B" w:rsidR="000C29FA" w:rsidRDefault="005943FA" w:rsidP="00274D53">
      <w:pPr>
        <w:ind w:firstLine="708"/>
        <w:rPr>
          <w:bCs/>
        </w:rPr>
      </w:pPr>
      <w:r>
        <w:rPr>
          <w:bCs/>
        </w:rPr>
        <w:t xml:space="preserve">Stanje potraživanja za prihode poslovanja iznosi </w:t>
      </w:r>
      <w:r w:rsidR="004853F9">
        <w:rPr>
          <w:bCs/>
        </w:rPr>
        <w:t>9.</w:t>
      </w:r>
      <w:r w:rsidR="00245A99">
        <w:rPr>
          <w:bCs/>
        </w:rPr>
        <w:t>550.543,30</w:t>
      </w:r>
      <w:r>
        <w:rPr>
          <w:bCs/>
        </w:rPr>
        <w:t xml:space="preserve"> kuna </w:t>
      </w:r>
      <w:r w:rsidR="00ED17DE">
        <w:rPr>
          <w:bCs/>
        </w:rPr>
        <w:t>i u odnosu na stanje</w:t>
      </w:r>
      <w:r w:rsidR="000C29FA">
        <w:rPr>
          <w:bCs/>
        </w:rPr>
        <w:t xml:space="preserve"> na dan</w:t>
      </w:r>
      <w:r w:rsidR="00ED17DE">
        <w:rPr>
          <w:bCs/>
        </w:rPr>
        <w:t xml:space="preserve"> 31.12.202</w:t>
      </w:r>
      <w:r w:rsidR="00710744">
        <w:rPr>
          <w:bCs/>
        </w:rPr>
        <w:t>1</w:t>
      </w:r>
      <w:r w:rsidR="00ED17DE">
        <w:rPr>
          <w:bCs/>
        </w:rPr>
        <w:t xml:space="preserve">. godine </w:t>
      </w:r>
      <w:r w:rsidR="00710744">
        <w:rPr>
          <w:bCs/>
        </w:rPr>
        <w:t>manje</w:t>
      </w:r>
      <w:r w:rsidR="00ED17DE">
        <w:rPr>
          <w:bCs/>
        </w:rPr>
        <w:t xml:space="preserve"> je za </w:t>
      </w:r>
      <w:r w:rsidR="00245A99">
        <w:rPr>
          <w:bCs/>
        </w:rPr>
        <w:t>88.28</w:t>
      </w:r>
      <w:r w:rsidR="00284E07">
        <w:rPr>
          <w:bCs/>
        </w:rPr>
        <w:t>9,14</w:t>
      </w:r>
      <w:r w:rsidR="00ED17DE">
        <w:rPr>
          <w:bCs/>
        </w:rPr>
        <w:t xml:space="preserve"> kuna. </w:t>
      </w:r>
      <w:r w:rsidR="000C29FA">
        <w:rPr>
          <w:bCs/>
        </w:rPr>
        <w:t xml:space="preserve">Od </w:t>
      </w:r>
      <w:r w:rsidR="004C4D02">
        <w:rPr>
          <w:bCs/>
        </w:rPr>
        <w:t xml:space="preserve">ukupnog </w:t>
      </w:r>
      <w:r w:rsidR="000C29FA">
        <w:rPr>
          <w:bCs/>
        </w:rPr>
        <w:t>iznos</w:t>
      </w:r>
      <w:r w:rsidR="004C4D02">
        <w:rPr>
          <w:bCs/>
        </w:rPr>
        <w:t>a,</w:t>
      </w:r>
      <w:r w:rsidR="000C29FA">
        <w:rPr>
          <w:bCs/>
        </w:rPr>
        <w:t xml:space="preserve"> </w:t>
      </w:r>
      <w:r w:rsidR="00553415">
        <w:rPr>
          <w:bCs/>
        </w:rPr>
        <w:t>1.9</w:t>
      </w:r>
      <w:r w:rsidR="00284E07">
        <w:rPr>
          <w:bCs/>
        </w:rPr>
        <w:t>44.429,77</w:t>
      </w:r>
      <w:r w:rsidR="000C29FA">
        <w:rPr>
          <w:bCs/>
        </w:rPr>
        <w:t xml:space="preserve"> kuna odnosi </w:t>
      </w:r>
      <w:r w:rsidR="006A2B7F">
        <w:rPr>
          <w:bCs/>
        </w:rPr>
        <w:t xml:space="preserve">se </w:t>
      </w:r>
      <w:r w:rsidR="000C29FA">
        <w:rPr>
          <w:bCs/>
        </w:rPr>
        <w:t>na porez na promet nekretnina koji obračunava i naplaćuje Porezna uprava, a iznos od 808.266</w:t>
      </w:r>
      <w:r w:rsidR="00730853">
        <w:rPr>
          <w:bCs/>
        </w:rPr>
        <w:t>,32</w:t>
      </w:r>
      <w:r w:rsidR="000C29FA">
        <w:rPr>
          <w:bCs/>
        </w:rPr>
        <w:t xml:space="preserve"> kuna na naknadu za razvoj vodoopskrbe koju obračunava i naplaćuje Istarski vodovod d.o.o. Od ukupno nenaplaćenih potraživanja</w:t>
      </w:r>
      <w:r w:rsidR="00274D53">
        <w:rPr>
          <w:bCs/>
        </w:rPr>
        <w:t>,</w:t>
      </w:r>
      <w:r w:rsidR="000C29FA">
        <w:rPr>
          <w:bCs/>
        </w:rPr>
        <w:t xml:space="preserve"> </w:t>
      </w:r>
      <w:r w:rsidR="00245A99">
        <w:rPr>
          <w:bCs/>
        </w:rPr>
        <w:t>9.324.401,46</w:t>
      </w:r>
      <w:r w:rsidR="000C29FA">
        <w:rPr>
          <w:bCs/>
        </w:rPr>
        <w:t xml:space="preserve"> kuna odnosi se na dospjela potraživanja, a iznos od </w:t>
      </w:r>
      <w:r w:rsidR="00245A99">
        <w:rPr>
          <w:bCs/>
        </w:rPr>
        <w:t>226.141,84</w:t>
      </w:r>
      <w:r w:rsidR="00A646CB">
        <w:rPr>
          <w:bCs/>
        </w:rPr>
        <w:t xml:space="preserve"> </w:t>
      </w:r>
      <w:r w:rsidR="000C29FA">
        <w:rPr>
          <w:bCs/>
        </w:rPr>
        <w:t>kuna na nedospjela potraživanja. Najveći dio dospjelih potraživanja čine potraživanja za komunaln</w:t>
      </w:r>
      <w:r w:rsidR="00553415">
        <w:rPr>
          <w:bCs/>
        </w:rPr>
        <w:t>i</w:t>
      </w:r>
      <w:r w:rsidR="000C29FA">
        <w:rPr>
          <w:bCs/>
        </w:rPr>
        <w:t xml:space="preserve"> </w:t>
      </w:r>
      <w:r w:rsidR="00553415">
        <w:rPr>
          <w:bCs/>
        </w:rPr>
        <w:t xml:space="preserve">doprinos </w:t>
      </w:r>
      <w:r w:rsidR="00284E07">
        <w:rPr>
          <w:bCs/>
        </w:rPr>
        <w:t xml:space="preserve">2.949.819,78 kuna </w:t>
      </w:r>
      <w:r w:rsidR="000C29FA">
        <w:rPr>
          <w:bCs/>
        </w:rPr>
        <w:t>i komunaln</w:t>
      </w:r>
      <w:r w:rsidR="00553415">
        <w:rPr>
          <w:bCs/>
        </w:rPr>
        <w:t>u</w:t>
      </w:r>
      <w:r w:rsidR="000C29FA">
        <w:rPr>
          <w:bCs/>
        </w:rPr>
        <w:t xml:space="preserve"> </w:t>
      </w:r>
      <w:r w:rsidR="00553415">
        <w:rPr>
          <w:bCs/>
        </w:rPr>
        <w:t>naknadu</w:t>
      </w:r>
      <w:r w:rsidR="00284E07">
        <w:rPr>
          <w:bCs/>
        </w:rPr>
        <w:t xml:space="preserve"> 1.388.417,83 kuna</w:t>
      </w:r>
      <w:r w:rsidR="000C29FA">
        <w:rPr>
          <w:bCs/>
        </w:rPr>
        <w:t>.</w:t>
      </w:r>
    </w:p>
    <w:p w14:paraId="5D959FA5" w14:textId="73B65A0E" w:rsidR="00907695" w:rsidRPr="00CB41F0" w:rsidRDefault="00ED17DE" w:rsidP="00274D53">
      <w:pPr>
        <w:ind w:firstLine="708"/>
        <w:rPr>
          <w:bCs/>
        </w:rPr>
      </w:pPr>
      <w:r>
        <w:rPr>
          <w:bCs/>
        </w:rPr>
        <w:t>Stanje potraživ</w:t>
      </w:r>
      <w:r w:rsidR="00960F52">
        <w:rPr>
          <w:bCs/>
        </w:rPr>
        <w:t>a</w:t>
      </w:r>
      <w:r>
        <w:rPr>
          <w:bCs/>
        </w:rPr>
        <w:t xml:space="preserve">nja od prodaje nefinancijske imovine iznosi </w:t>
      </w:r>
      <w:r w:rsidR="00284E07">
        <w:rPr>
          <w:bCs/>
        </w:rPr>
        <w:t>2.293.720,39</w:t>
      </w:r>
      <w:r>
        <w:rPr>
          <w:bCs/>
        </w:rPr>
        <w:t xml:space="preserve"> kuna i u odnosu na stanje </w:t>
      </w:r>
      <w:r w:rsidR="00170109">
        <w:rPr>
          <w:bCs/>
        </w:rPr>
        <w:t xml:space="preserve">na dan </w:t>
      </w:r>
      <w:r>
        <w:rPr>
          <w:bCs/>
        </w:rPr>
        <w:t>31.12.202</w:t>
      </w:r>
      <w:r w:rsidR="00730853">
        <w:rPr>
          <w:bCs/>
        </w:rPr>
        <w:t>1</w:t>
      </w:r>
      <w:r>
        <w:rPr>
          <w:bCs/>
        </w:rPr>
        <w:t xml:space="preserve">. godine </w:t>
      </w:r>
      <w:r w:rsidR="0025172C">
        <w:rPr>
          <w:bCs/>
        </w:rPr>
        <w:t>manje</w:t>
      </w:r>
      <w:r>
        <w:rPr>
          <w:bCs/>
        </w:rPr>
        <w:t xml:space="preserve"> je za </w:t>
      </w:r>
      <w:r w:rsidR="00284E07">
        <w:rPr>
          <w:bCs/>
        </w:rPr>
        <w:t>434.289,67</w:t>
      </w:r>
      <w:r>
        <w:rPr>
          <w:bCs/>
        </w:rPr>
        <w:t xml:space="preserve"> kuna</w:t>
      </w:r>
      <w:r w:rsidR="00960F52">
        <w:rPr>
          <w:bCs/>
        </w:rPr>
        <w:t>.</w:t>
      </w:r>
      <w:r w:rsidR="00E04F49">
        <w:rPr>
          <w:bCs/>
        </w:rPr>
        <w:t xml:space="preserve"> </w:t>
      </w:r>
      <w:r w:rsidR="000C29FA">
        <w:rPr>
          <w:bCs/>
        </w:rPr>
        <w:t xml:space="preserve">Od toga se iznos od </w:t>
      </w:r>
      <w:r w:rsidR="00284E07">
        <w:rPr>
          <w:bCs/>
        </w:rPr>
        <w:t>969.728,42</w:t>
      </w:r>
      <w:r w:rsidR="000C29FA">
        <w:rPr>
          <w:bCs/>
        </w:rPr>
        <w:t xml:space="preserve"> kuna odnosi na dospjela, a iznos od </w:t>
      </w:r>
      <w:r w:rsidR="0025172C">
        <w:rPr>
          <w:bCs/>
        </w:rPr>
        <w:t>1.</w:t>
      </w:r>
      <w:r w:rsidR="00284E07">
        <w:rPr>
          <w:bCs/>
        </w:rPr>
        <w:t>323.991,97</w:t>
      </w:r>
      <w:r w:rsidR="000C29FA">
        <w:rPr>
          <w:bCs/>
        </w:rPr>
        <w:t xml:space="preserve"> kuna na nedospjela potraživanja.</w:t>
      </w:r>
    </w:p>
    <w:p w14:paraId="501A6E75" w14:textId="77777777" w:rsidR="00CB41F0" w:rsidRDefault="00CB41F0" w:rsidP="00A2660D">
      <w:pPr>
        <w:rPr>
          <w:bCs/>
        </w:rPr>
      </w:pPr>
    </w:p>
    <w:p w14:paraId="210C5F77" w14:textId="77777777" w:rsidR="00D83188" w:rsidRPr="00D83188" w:rsidRDefault="00D83188" w:rsidP="00A2660D">
      <w:pPr>
        <w:rPr>
          <w:bCs/>
          <w:u w:val="single"/>
        </w:rPr>
      </w:pPr>
      <w:r w:rsidRPr="00D83188">
        <w:rPr>
          <w:bCs/>
          <w:u w:val="single"/>
        </w:rPr>
        <w:t>Proračunski korisnici</w:t>
      </w:r>
    </w:p>
    <w:p w14:paraId="72B70D5A" w14:textId="534E856B" w:rsidR="00CB41F0" w:rsidRDefault="00CB41F0" w:rsidP="00274D53">
      <w:pPr>
        <w:ind w:firstLine="708"/>
        <w:rPr>
          <w:bCs/>
        </w:rPr>
      </w:pPr>
      <w:r w:rsidRPr="00CB41F0">
        <w:rPr>
          <w:bCs/>
        </w:rPr>
        <w:t xml:space="preserve">Stanje ukupnih nenaplaćenih potraživanja svih proračunskih korisnika na dan </w:t>
      </w:r>
      <w:r w:rsidR="00760FFF">
        <w:rPr>
          <w:bCs/>
        </w:rPr>
        <w:t>31.12</w:t>
      </w:r>
      <w:r w:rsidRPr="00CB41F0">
        <w:rPr>
          <w:bCs/>
        </w:rPr>
        <w:t>.202</w:t>
      </w:r>
      <w:r w:rsidR="00E04F49">
        <w:rPr>
          <w:bCs/>
        </w:rPr>
        <w:t>2</w:t>
      </w:r>
      <w:r w:rsidRPr="00CB41F0">
        <w:rPr>
          <w:bCs/>
        </w:rPr>
        <w:t xml:space="preserve">. godine iznosi </w:t>
      </w:r>
      <w:r w:rsidR="00760FFF">
        <w:rPr>
          <w:bCs/>
        </w:rPr>
        <w:t>151.782,98</w:t>
      </w:r>
      <w:r w:rsidRPr="00CB41F0">
        <w:rPr>
          <w:bCs/>
        </w:rPr>
        <w:t xml:space="preserve"> kuna i </w:t>
      </w:r>
      <w:r w:rsidR="00DD456C">
        <w:rPr>
          <w:bCs/>
        </w:rPr>
        <w:t xml:space="preserve">veće </w:t>
      </w:r>
      <w:r w:rsidRPr="00CB41F0">
        <w:rPr>
          <w:bCs/>
        </w:rPr>
        <w:t xml:space="preserve">je za </w:t>
      </w:r>
      <w:r w:rsidR="00DD456C">
        <w:rPr>
          <w:bCs/>
        </w:rPr>
        <w:t>35,3</w:t>
      </w:r>
      <w:r>
        <w:rPr>
          <w:bCs/>
        </w:rPr>
        <w:t xml:space="preserve">% ili </w:t>
      </w:r>
      <w:r w:rsidR="00DD456C">
        <w:rPr>
          <w:bCs/>
        </w:rPr>
        <w:t>39.602,17</w:t>
      </w:r>
      <w:r w:rsidRPr="00CB41F0">
        <w:rPr>
          <w:bCs/>
        </w:rPr>
        <w:t xml:space="preserve"> kuna u odnosu na stanje </w:t>
      </w:r>
      <w:r w:rsidR="00170109">
        <w:rPr>
          <w:bCs/>
        </w:rPr>
        <w:t xml:space="preserve">na dan </w:t>
      </w:r>
      <w:r w:rsidRPr="00CB41F0">
        <w:rPr>
          <w:bCs/>
        </w:rPr>
        <w:t>31.12.202</w:t>
      </w:r>
      <w:r w:rsidR="004308A2">
        <w:rPr>
          <w:bCs/>
        </w:rPr>
        <w:t>1</w:t>
      </w:r>
      <w:r w:rsidRPr="00CB41F0">
        <w:rPr>
          <w:bCs/>
        </w:rPr>
        <w:t xml:space="preserve">. godine. </w:t>
      </w:r>
      <w:r w:rsidR="00ED17DE">
        <w:rPr>
          <w:bCs/>
        </w:rPr>
        <w:t>Ukupna potraživanja proračunskih korisnika odnose se na potraživanja za prihode poslovanja</w:t>
      </w:r>
      <w:r w:rsidR="000C29FA">
        <w:rPr>
          <w:bCs/>
        </w:rPr>
        <w:t xml:space="preserve"> od čega je </w:t>
      </w:r>
      <w:r w:rsidR="00DD456C">
        <w:rPr>
          <w:bCs/>
        </w:rPr>
        <w:t>62.029,23</w:t>
      </w:r>
      <w:r w:rsidR="00170109">
        <w:rPr>
          <w:bCs/>
        </w:rPr>
        <w:t xml:space="preserve"> kuna dospjelo, a </w:t>
      </w:r>
      <w:r w:rsidR="00DD456C">
        <w:rPr>
          <w:bCs/>
        </w:rPr>
        <w:t>89.753,75</w:t>
      </w:r>
      <w:r w:rsidR="00170109">
        <w:rPr>
          <w:bCs/>
        </w:rPr>
        <w:t xml:space="preserve"> kuna nedospjelo potraživanje</w:t>
      </w:r>
      <w:r w:rsidR="00ED17DE">
        <w:rPr>
          <w:bCs/>
        </w:rPr>
        <w:t>.</w:t>
      </w:r>
    </w:p>
    <w:p w14:paraId="483F4DA8" w14:textId="0EF8CE66" w:rsidR="004A4EC9" w:rsidRDefault="004A4EC9" w:rsidP="00A2660D">
      <w:pPr>
        <w:rPr>
          <w:bCs/>
        </w:rPr>
      </w:pPr>
    </w:p>
    <w:p w14:paraId="6D94C19F" w14:textId="77777777" w:rsidR="00F51240" w:rsidRDefault="00F51240" w:rsidP="00A2660D">
      <w:pPr>
        <w:rPr>
          <w:bCs/>
        </w:rPr>
      </w:pPr>
    </w:p>
    <w:p w14:paraId="4DBD4050" w14:textId="77777777" w:rsidR="003D6DBF" w:rsidRDefault="003D6DBF" w:rsidP="00A2660D">
      <w:pPr>
        <w:rPr>
          <w:bCs/>
        </w:rPr>
      </w:pPr>
    </w:p>
    <w:p w14:paraId="6DEA8F70" w14:textId="77777777" w:rsidR="003D6DBF" w:rsidRDefault="003D6DBF" w:rsidP="00A2660D">
      <w:pPr>
        <w:rPr>
          <w:bCs/>
        </w:rPr>
      </w:pPr>
    </w:p>
    <w:p w14:paraId="0709D2A3" w14:textId="77777777" w:rsidR="003D6DBF" w:rsidRDefault="003D6DBF" w:rsidP="00A2660D">
      <w:pPr>
        <w:rPr>
          <w:bCs/>
        </w:rPr>
      </w:pPr>
    </w:p>
    <w:p w14:paraId="4A497895" w14:textId="77777777" w:rsidR="00F34B10" w:rsidRDefault="00F34B10" w:rsidP="00A2660D">
      <w:pPr>
        <w:rPr>
          <w:sz w:val="20"/>
          <w:szCs w:val="20"/>
        </w:rPr>
      </w:pPr>
    </w:p>
    <w:p w14:paraId="7FA3C2AB" w14:textId="69FA7FA7" w:rsidR="00D93E2A" w:rsidRDefault="007B47E4" w:rsidP="00AA2BE1">
      <w:pPr>
        <w:pStyle w:val="Subtitle1"/>
        <w:rPr>
          <w:rFonts w:ascii="Times New Roman" w:hAnsi="Times New Roman"/>
          <w:sz w:val="24"/>
          <w:szCs w:val="24"/>
        </w:rPr>
      </w:pPr>
      <w:bookmarkStart w:id="31" w:name="_Toc78878323"/>
      <w:bookmarkStart w:id="32" w:name="_Toc79578510"/>
      <w:bookmarkStart w:id="33" w:name="_Toc133398679"/>
      <w:r w:rsidRPr="00F13AA2">
        <w:rPr>
          <w:rFonts w:ascii="Times New Roman" w:hAnsi="Times New Roman"/>
          <w:sz w:val="24"/>
          <w:szCs w:val="24"/>
        </w:rPr>
        <w:lastRenderedPageBreak/>
        <w:t xml:space="preserve">STANJE NEPODMIRENIH DOSPJELIH OBVEZA </w:t>
      </w:r>
      <w:r w:rsidR="00116C51" w:rsidRPr="00F13AA2">
        <w:rPr>
          <w:rFonts w:ascii="Times New Roman" w:hAnsi="Times New Roman"/>
          <w:sz w:val="24"/>
          <w:szCs w:val="24"/>
        </w:rPr>
        <w:t>GRADA</w:t>
      </w:r>
      <w:r w:rsidRPr="00F13AA2">
        <w:rPr>
          <w:rFonts w:ascii="Times New Roman" w:hAnsi="Times New Roman"/>
          <w:sz w:val="24"/>
          <w:szCs w:val="24"/>
        </w:rPr>
        <w:t xml:space="preserve"> I PRORAČUNSKIH </w:t>
      </w:r>
      <w:r w:rsidR="008D615A" w:rsidRPr="00F13AA2">
        <w:rPr>
          <w:rFonts w:ascii="Times New Roman" w:hAnsi="Times New Roman"/>
          <w:sz w:val="24"/>
          <w:szCs w:val="24"/>
        </w:rPr>
        <w:t>K</w:t>
      </w:r>
      <w:r w:rsidRPr="00F13AA2">
        <w:rPr>
          <w:rFonts w:ascii="Times New Roman" w:hAnsi="Times New Roman"/>
          <w:sz w:val="24"/>
          <w:szCs w:val="24"/>
        </w:rPr>
        <w:t xml:space="preserve">ORISNIKA NA DAN </w:t>
      </w:r>
      <w:r w:rsidR="00DD456C">
        <w:rPr>
          <w:rFonts w:ascii="Times New Roman" w:hAnsi="Times New Roman"/>
          <w:sz w:val="24"/>
          <w:szCs w:val="24"/>
        </w:rPr>
        <w:t>31.12.</w:t>
      </w:r>
      <w:r w:rsidR="007C683C" w:rsidRPr="00F13AA2">
        <w:rPr>
          <w:rFonts w:ascii="Times New Roman" w:hAnsi="Times New Roman"/>
          <w:sz w:val="24"/>
          <w:szCs w:val="24"/>
        </w:rPr>
        <w:t>202</w:t>
      </w:r>
      <w:r w:rsidR="004308A2" w:rsidRPr="00F13AA2">
        <w:rPr>
          <w:rFonts w:ascii="Times New Roman" w:hAnsi="Times New Roman"/>
          <w:sz w:val="24"/>
          <w:szCs w:val="24"/>
        </w:rPr>
        <w:t>2</w:t>
      </w:r>
      <w:r w:rsidRPr="00F13AA2">
        <w:rPr>
          <w:rFonts w:ascii="Times New Roman" w:hAnsi="Times New Roman"/>
          <w:sz w:val="24"/>
          <w:szCs w:val="24"/>
        </w:rPr>
        <w:t>. GODINE</w:t>
      </w:r>
      <w:bookmarkEnd w:id="31"/>
      <w:bookmarkEnd w:id="32"/>
      <w:bookmarkEnd w:id="33"/>
    </w:p>
    <w:p w14:paraId="7B1B7B46" w14:textId="77777777" w:rsidR="003E3842" w:rsidRDefault="003E3842" w:rsidP="00AA2BE1">
      <w:pPr>
        <w:pStyle w:val="Subtitle1"/>
        <w:rPr>
          <w:rFonts w:ascii="Times New Roman" w:hAnsi="Times New Roman"/>
          <w:sz w:val="24"/>
          <w:szCs w:val="24"/>
        </w:rPr>
      </w:pPr>
    </w:p>
    <w:tbl>
      <w:tblPr>
        <w:tblW w:w="8640" w:type="dxa"/>
        <w:tblLook w:val="04A0" w:firstRow="1" w:lastRow="0" w:firstColumn="1" w:lastColumn="0" w:noHBand="0" w:noVBand="1"/>
      </w:tblPr>
      <w:tblGrid>
        <w:gridCol w:w="3928"/>
        <w:gridCol w:w="4046"/>
        <w:gridCol w:w="222"/>
        <w:gridCol w:w="222"/>
        <w:gridCol w:w="222"/>
      </w:tblGrid>
      <w:tr w:rsidR="003E3842" w14:paraId="335BF89B" w14:textId="77777777" w:rsidTr="003E3842">
        <w:trPr>
          <w:gridAfter w:val="1"/>
          <w:wAfter w:w="222" w:type="dxa"/>
          <w:trHeight w:val="276"/>
        </w:trPr>
        <w:tc>
          <w:tcPr>
            <w:tcW w:w="8418" w:type="dxa"/>
            <w:gridSpan w:val="4"/>
            <w:vMerge w:val="restart"/>
            <w:tcBorders>
              <w:top w:val="nil"/>
              <w:left w:val="nil"/>
              <w:bottom w:val="nil"/>
              <w:right w:val="nil"/>
            </w:tcBorders>
            <w:shd w:val="clear" w:color="auto" w:fill="auto"/>
            <w:vAlign w:val="bottom"/>
            <w:hideMark/>
          </w:tcPr>
          <w:p w14:paraId="617DD4DC" w14:textId="77777777" w:rsidR="003E3842" w:rsidRDefault="003E3842">
            <w:pPr>
              <w:jc w:val="center"/>
              <w:rPr>
                <w:sz w:val="20"/>
                <w:szCs w:val="20"/>
              </w:rPr>
            </w:pPr>
            <w:r>
              <w:rPr>
                <w:sz w:val="20"/>
                <w:szCs w:val="20"/>
              </w:rPr>
              <w:t>STANJE DOSPJELIH NEPODMIRENIH OBVEZA GRADA BUJA - BUIE I PRORAČUNKIH KORISNIKA (stanje 31.12.2022.)</w:t>
            </w:r>
          </w:p>
        </w:tc>
      </w:tr>
      <w:tr w:rsidR="003E3842" w14:paraId="674F6EB1" w14:textId="77777777" w:rsidTr="003E3842">
        <w:trPr>
          <w:trHeight w:val="255"/>
        </w:trPr>
        <w:tc>
          <w:tcPr>
            <w:tcW w:w="8418" w:type="dxa"/>
            <w:gridSpan w:val="4"/>
            <w:vMerge/>
            <w:tcBorders>
              <w:top w:val="nil"/>
              <w:left w:val="nil"/>
              <w:bottom w:val="nil"/>
              <w:right w:val="nil"/>
            </w:tcBorders>
            <w:vAlign w:val="center"/>
            <w:hideMark/>
          </w:tcPr>
          <w:p w14:paraId="6A5D0F5F" w14:textId="77777777" w:rsidR="003E3842" w:rsidRDefault="003E3842">
            <w:pPr>
              <w:rPr>
                <w:sz w:val="20"/>
                <w:szCs w:val="20"/>
              </w:rPr>
            </w:pPr>
          </w:p>
        </w:tc>
        <w:tc>
          <w:tcPr>
            <w:tcW w:w="222" w:type="dxa"/>
            <w:tcBorders>
              <w:top w:val="nil"/>
              <w:left w:val="nil"/>
              <w:bottom w:val="nil"/>
              <w:right w:val="nil"/>
            </w:tcBorders>
            <w:shd w:val="clear" w:color="auto" w:fill="auto"/>
            <w:noWrap/>
            <w:vAlign w:val="bottom"/>
            <w:hideMark/>
          </w:tcPr>
          <w:p w14:paraId="0F23B124" w14:textId="77777777" w:rsidR="003E3842" w:rsidRDefault="003E3842">
            <w:pPr>
              <w:jc w:val="center"/>
              <w:rPr>
                <w:sz w:val="20"/>
                <w:szCs w:val="20"/>
              </w:rPr>
            </w:pPr>
          </w:p>
        </w:tc>
      </w:tr>
      <w:tr w:rsidR="003E3842" w14:paraId="5B0D3628" w14:textId="77777777" w:rsidTr="003E3842">
        <w:trPr>
          <w:trHeight w:val="255"/>
        </w:trPr>
        <w:tc>
          <w:tcPr>
            <w:tcW w:w="3928" w:type="dxa"/>
            <w:tcBorders>
              <w:top w:val="nil"/>
              <w:left w:val="nil"/>
              <w:bottom w:val="nil"/>
              <w:right w:val="nil"/>
            </w:tcBorders>
            <w:shd w:val="clear" w:color="auto" w:fill="auto"/>
            <w:noWrap/>
            <w:vAlign w:val="bottom"/>
            <w:hideMark/>
          </w:tcPr>
          <w:p w14:paraId="6D567A7A" w14:textId="77777777" w:rsidR="003E3842" w:rsidRDefault="003E3842">
            <w:pPr>
              <w:rPr>
                <w:sz w:val="20"/>
                <w:szCs w:val="20"/>
              </w:rPr>
            </w:pPr>
          </w:p>
        </w:tc>
        <w:tc>
          <w:tcPr>
            <w:tcW w:w="4046" w:type="dxa"/>
            <w:tcBorders>
              <w:top w:val="nil"/>
              <w:left w:val="nil"/>
              <w:bottom w:val="nil"/>
              <w:right w:val="nil"/>
            </w:tcBorders>
            <w:shd w:val="clear" w:color="auto" w:fill="auto"/>
            <w:noWrap/>
            <w:vAlign w:val="bottom"/>
            <w:hideMark/>
          </w:tcPr>
          <w:p w14:paraId="29A59607" w14:textId="77777777" w:rsidR="003E3842" w:rsidRDefault="003E3842">
            <w:pPr>
              <w:rPr>
                <w:sz w:val="20"/>
                <w:szCs w:val="20"/>
              </w:rPr>
            </w:pPr>
          </w:p>
        </w:tc>
        <w:tc>
          <w:tcPr>
            <w:tcW w:w="222" w:type="dxa"/>
            <w:tcBorders>
              <w:top w:val="nil"/>
              <w:left w:val="nil"/>
              <w:bottom w:val="nil"/>
              <w:right w:val="nil"/>
            </w:tcBorders>
            <w:shd w:val="clear" w:color="auto" w:fill="auto"/>
            <w:noWrap/>
            <w:vAlign w:val="bottom"/>
            <w:hideMark/>
          </w:tcPr>
          <w:p w14:paraId="5079602F" w14:textId="77777777" w:rsidR="003E3842" w:rsidRDefault="003E3842">
            <w:pPr>
              <w:rPr>
                <w:sz w:val="20"/>
                <w:szCs w:val="20"/>
              </w:rPr>
            </w:pPr>
          </w:p>
        </w:tc>
        <w:tc>
          <w:tcPr>
            <w:tcW w:w="222" w:type="dxa"/>
            <w:tcBorders>
              <w:top w:val="nil"/>
              <w:left w:val="nil"/>
              <w:bottom w:val="nil"/>
              <w:right w:val="nil"/>
            </w:tcBorders>
            <w:shd w:val="clear" w:color="auto" w:fill="auto"/>
            <w:noWrap/>
            <w:vAlign w:val="bottom"/>
            <w:hideMark/>
          </w:tcPr>
          <w:p w14:paraId="5B6BDC84" w14:textId="77777777" w:rsidR="003E3842" w:rsidRDefault="003E3842">
            <w:pPr>
              <w:rPr>
                <w:sz w:val="20"/>
                <w:szCs w:val="20"/>
              </w:rPr>
            </w:pPr>
          </w:p>
        </w:tc>
        <w:tc>
          <w:tcPr>
            <w:tcW w:w="222" w:type="dxa"/>
            <w:vAlign w:val="center"/>
            <w:hideMark/>
          </w:tcPr>
          <w:p w14:paraId="53F78DF1" w14:textId="77777777" w:rsidR="003E3842" w:rsidRDefault="003E3842">
            <w:pPr>
              <w:rPr>
                <w:sz w:val="20"/>
                <w:szCs w:val="20"/>
              </w:rPr>
            </w:pPr>
          </w:p>
        </w:tc>
      </w:tr>
      <w:tr w:rsidR="003E3842" w14:paraId="209FCDE8" w14:textId="77777777" w:rsidTr="003E3842">
        <w:trPr>
          <w:trHeight w:val="255"/>
        </w:trPr>
        <w:tc>
          <w:tcPr>
            <w:tcW w:w="3928" w:type="dxa"/>
            <w:tcBorders>
              <w:top w:val="nil"/>
              <w:left w:val="nil"/>
              <w:bottom w:val="nil"/>
              <w:right w:val="nil"/>
            </w:tcBorders>
            <w:shd w:val="clear" w:color="auto" w:fill="auto"/>
            <w:noWrap/>
            <w:vAlign w:val="bottom"/>
            <w:hideMark/>
          </w:tcPr>
          <w:p w14:paraId="24E3940B" w14:textId="77777777" w:rsidR="003E3842" w:rsidRDefault="003E3842">
            <w:pPr>
              <w:rPr>
                <w:sz w:val="20"/>
                <w:szCs w:val="20"/>
              </w:rPr>
            </w:pPr>
          </w:p>
        </w:tc>
        <w:tc>
          <w:tcPr>
            <w:tcW w:w="4046" w:type="dxa"/>
            <w:tcBorders>
              <w:top w:val="nil"/>
              <w:left w:val="nil"/>
              <w:bottom w:val="nil"/>
              <w:right w:val="nil"/>
            </w:tcBorders>
            <w:shd w:val="clear" w:color="auto" w:fill="auto"/>
            <w:noWrap/>
            <w:vAlign w:val="bottom"/>
            <w:hideMark/>
          </w:tcPr>
          <w:p w14:paraId="49B338F8" w14:textId="77777777" w:rsidR="003E3842" w:rsidRDefault="003E3842">
            <w:pPr>
              <w:rPr>
                <w:sz w:val="20"/>
                <w:szCs w:val="20"/>
              </w:rPr>
            </w:pPr>
          </w:p>
        </w:tc>
        <w:tc>
          <w:tcPr>
            <w:tcW w:w="222" w:type="dxa"/>
            <w:tcBorders>
              <w:top w:val="nil"/>
              <w:left w:val="nil"/>
              <w:bottom w:val="nil"/>
              <w:right w:val="nil"/>
            </w:tcBorders>
            <w:shd w:val="clear" w:color="auto" w:fill="auto"/>
            <w:noWrap/>
            <w:vAlign w:val="bottom"/>
            <w:hideMark/>
          </w:tcPr>
          <w:p w14:paraId="7B9D6D2A" w14:textId="77777777" w:rsidR="003E3842" w:rsidRDefault="003E3842">
            <w:pPr>
              <w:rPr>
                <w:sz w:val="20"/>
                <w:szCs w:val="20"/>
              </w:rPr>
            </w:pPr>
          </w:p>
        </w:tc>
        <w:tc>
          <w:tcPr>
            <w:tcW w:w="222" w:type="dxa"/>
            <w:tcBorders>
              <w:top w:val="nil"/>
              <w:left w:val="nil"/>
              <w:bottom w:val="nil"/>
              <w:right w:val="nil"/>
            </w:tcBorders>
            <w:shd w:val="clear" w:color="auto" w:fill="auto"/>
            <w:noWrap/>
            <w:vAlign w:val="bottom"/>
            <w:hideMark/>
          </w:tcPr>
          <w:p w14:paraId="6171D3C0" w14:textId="77777777" w:rsidR="003E3842" w:rsidRDefault="003E3842">
            <w:pPr>
              <w:rPr>
                <w:sz w:val="20"/>
                <w:szCs w:val="20"/>
              </w:rPr>
            </w:pPr>
          </w:p>
        </w:tc>
        <w:tc>
          <w:tcPr>
            <w:tcW w:w="222" w:type="dxa"/>
            <w:vAlign w:val="center"/>
            <w:hideMark/>
          </w:tcPr>
          <w:p w14:paraId="66D55160" w14:textId="77777777" w:rsidR="003E3842" w:rsidRDefault="003E3842">
            <w:pPr>
              <w:rPr>
                <w:sz w:val="20"/>
                <w:szCs w:val="20"/>
              </w:rPr>
            </w:pPr>
          </w:p>
        </w:tc>
      </w:tr>
      <w:tr w:rsidR="003E3842" w14:paraId="4B1EE3C8" w14:textId="77777777" w:rsidTr="003E3842">
        <w:trPr>
          <w:trHeight w:val="1275"/>
        </w:trPr>
        <w:tc>
          <w:tcPr>
            <w:tcW w:w="3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BD448" w14:textId="77777777" w:rsidR="003E3842" w:rsidRDefault="003E3842">
            <w:pPr>
              <w:jc w:val="center"/>
              <w:rPr>
                <w:sz w:val="20"/>
                <w:szCs w:val="20"/>
              </w:rPr>
            </w:pPr>
            <w:r>
              <w:rPr>
                <w:sz w:val="20"/>
                <w:szCs w:val="20"/>
              </w:rPr>
              <w:t>Naziv</w:t>
            </w: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4A8B78DD" w14:textId="77777777" w:rsidR="003E3842" w:rsidRDefault="003E3842">
            <w:pPr>
              <w:jc w:val="center"/>
              <w:rPr>
                <w:sz w:val="20"/>
                <w:szCs w:val="20"/>
              </w:rPr>
            </w:pPr>
            <w:r>
              <w:rPr>
                <w:sz w:val="20"/>
                <w:szCs w:val="20"/>
              </w:rPr>
              <w:t>Iznos nepodmirenih dospjelih obveza</w:t>
            </w:r>
          </w:p>
        </w:tc>
        <w:tc>
          <w:tcPr>
            <w:tcW w:w="222" w:type="dxa"/>
            <w:tcBorders>
              <w:top w:val="nil"/>
              <w:left w:val="nil"/>
              <w:bottom w:val="nil"/>
              <w:right w:val="nil"/>
            </w:tcBorders>
            <w:shd w:val="clear" w:color="auto" w:fill="auto"/>
            <w:noWrap/>
            <w:vAlign w:val="bottom"/>
            <w:hideMark/>
          </w:tcPr>
          <w:p w14:paraId="63A8A4A7" w14:textId="77777777" w:rsidR="003E3842" w:rsidRDefault="003E3842">
            <w:pPr>
              <w:jc w:val="center"/>
              <w:rPr>
                <w:sz w:val="20"/>
                <w:szCs w:val="20"/>
              </w:rPr>
            </w:pPr>
          </w:p>
        </w:tc>
        <w:tc>
          <w:tcPr>
            <w:tcW w:w="222" w:type="dxa"/>
            <w:tcBorders>
              <w:top w:val="nil"/>
              <w:left w:val="nil"/>
              <w:bottom w:val="nil"/>
              <w:right w:val="nil"/>
            </w:tcBorders>
            <w:shd w:val="clear" w:color="auto" w:fill="auto"/>
            <w:noWrap/>
            <w:vAlign w:val="bottom"/>
            <w:hideMark/>
          </w:tcPr>
          <w:p w14:paraId="57C189DC" w14:textId="77777777" w:rsidR="003E3842" w:rsidRDefault="003E3842">
            <w:pPr>
              <w:rPr>
                <w:sz w:val="20"/>
                <w:szCs w:val="20"/>
              </w:rPr>
            </w:pPr>
          </w:p>
        </w:tc>
        <w:tc>
          <w:tcPr>
            <w:tcW w:w="222" w:type="dxa"/>
            <w:vAlign w:val="center"/>
            <w:hideMark/>
          </w:tcPr>
          <w:p w14:paraId="36D2AC0B" w14:textId="77777777" w:rsidR="003E3842" w:rsidRDefault="003E3842">
            <w:pPr>
              <w:rPr>
                <w:sz w:val="20"/>
                <w:szCs w:val="20"/>
              </w:rPr>
            </w:pPr>
          </w:p>
        </w:tc>
      </w:tr>
      <w:tr w:rsidR="003E3842" w14:paraId="25E9D854" w14:textId="77777777" w:rsidTr="003E3842">
        <w:trPr>
          <w:trHeight w:val="255"/>
        </w:trPr>
        <w:tc>
          <w:tcPr>
            <w:tcW w:w="3928" w:type="dxa"/>
            <w:tcBorders>
              <w:top w:val="nil"/>
              <w:left w:val="single" w:sz="4" w:space="0" w:color="auto"/>
              <w:bottom w:val="single" w:sz="4" w:space="0" w:color="auto"/>
              <w:right w:val="single" w:sz="4" w:space="0" w:color="auto"/>
            </w:tcBorders>
            <w:shd w:val="clear" w:color="auto" w:fill="auto"/>
            <w:noWrap/>
            <w:vAlign w:val="bottom"/>
            <w:hideMark/>
          </w:tcPr>
          <w:p w14:paraId="7B155BED" w14:textId="77777777" w:rsidR="003E3842" w:rsidRDefault="003E3842">
            <w:pPr>
              <w:rPr>
                <w:b/>
                <w:bCs/>
                <w:sz w:val="20"/>
                <w:szCs w:val="20"/>
              </w:rPr>
            </w:pPr>
            <w:r>
              <w:rPr>
                <w:b/>
                <w:bCs/>
                <w:sz w:val="20"/>
                <w:szCs w:val="20"/>
              </w:rPr>
              <w:t>Grad Buje - Buie</w:t>
            </w:r>
          </w:p>
        </w:tc>
        <w:tc>
          <w:tcPr>
            <w:tcW w:w="4046" w:type="dxa"/>
            <w:tcBorders>
              <w:top w:val="nil"/>
              <w:left w:val="nil"/>
              <w:bottom w:val="single" w:sz="4" w:space="0" w:color="auto"/>
              <w:right w:val="single" w:sz="4" w:space="0" w:color="auto"/>
            </w:tcBorders>
            <w:shd w:val="clear" w:color="auto" w:fill="auto"/>
            <w:noWrap/>
            <w:vAlign w:val="bottom"/>
            <w:hideMark/>
          </w:tcPr>
          <w:p w14:paraId="7D747EFE" w14:textId="77777777" w:rsidR="003E3842" w:rsidRDefault="003E3842">
            <w:pPr>
              <w:rPr>
                <w:b/>
                <w:bCs/>
                <w:sz w:val="20"/>
                <w:szCs w:val="20"/>
              </w:rPr>
            </w:pPr>
            <w:r>
              <w:rPr>
                <w:b/>
                <w:bCs/>
                <w:sz w:val="20"/>
                <w:szCs w:val="20"/>
              </w:rPr>
              <w:t xml:space="preserve">                                401.378,58    </w:t>
            </w:r>
          </w:p>
        </w:tc>
        <w:tc>
          <w:tcPr>
            <w:tcW w:w="222" w:type="dxa"/>
            <w:tcBorders>
              <w:top w:val="nil"/>
              <w:left w:val="nil"/>
              <w:bottom w:val="nil"/>
              <w:right w:val="nil"/>
            </w:tcBorders>
            <w:shd w:val="clear" w:color="auto" w:fill="auto"/>
            <w:noWrap/>
            <w:vAlign w:val="bottom"/>
            <w:hideMark/>
          </w:tcPr>
          <w:p w14:paraId="7938C5B0" w14:textId="77777777" w:rsidR="003E3842" w:rsidRDefault="003E3842">
            <w:pPr>
              <w:rPr>
                <w:b/>
                <w:bCs/>
                <w:sz w:val="20"/>
                <w:szCs w:val="20"/>
              </w:rPr>
            </w:pPr>
          </w:p>
        </w:tc>
        <w:tc>
          <w:tcPr>
            <w:tcW w:w="222" w:type="dxa"/>
            <w:tcBorders>
              <w:top w:val="nil"/>
              <w:left w:val="nil"/>
              <w:bottom w:val="nil"/>
              <w:right w:val="nil"/>
            </w:tcBorders>
            <w:shd w:val="clear" w:color="auto" w:fill="auto"/>
            <w:noWrap/>
            <w:vAlign w:val="bottom"/>
            <w:hideMark/>
          </w:tcPr>
          <w:p w14:paraId="1204F50A" w14:textId="77777777" w:rsidR="003E3842" w:rsidRDefault="003E3842">
            <w:pPr>
              <w:rPr>
                <w:sz w:val="20"/>
                <w:szCs w:val="20"/>
              </w:rPr>
            </w:pPr>
          </w:p>
        </w:tc>
        <w:tc>
          <w:tcPr>
            <w:tcW w:w="222" w:type="dxa"/>
            <w:vAlign w:val="center"/>
            <w:hideMark/>
          </w:tcPr>
          <w:p w14:paraId="63393D19" w14:textId="77777777" w:rsidR="003E3842" w:rsidRDefault="003E3842">
            <w:pPr>
              <w:rPr>
                <w:sz w:val="20"/>
                <w:szCs w:val="20"/>
              </w:rPr>
            </w:pPr>
          </w:p>
        </w:tc>
      </w:tr>
      <w:tr w:rsidR="003E3842" w14:paraId="5E14E637" w14:textId="77777777" w:rsidTr="003E3842">
        <w:trPr>
          <w:trHeight w:val="255"/>
        </w:trPr>
        <w:tc>
          <w:tcPr>
            <w:tcW w:w="3928" w:type="dxa"/>
            <w:tcBorders>
              <w:top w:val="nil"/>
              <w:left w:val="single" w:sz="4" w:space="0" w:color="auto"/>
              <w:bottom w:val="single" w:sz="4" w:space="0" w:color="auto"/>
              <w:right w:val="single" w:sz="4" w:space="0" w:color="auto"/>
            </w:tcBorders>
            <w:shd w:val="clear" w:color="auto" w:fill="auto"/>
            <w:noWrap/>
            <w:vAlign w:val="bottom"/>
            <w:hideMark/>
          </w:tcPr>
          <w:p w14:paraId="171CC5BE" w14:textId="77777777" w:rsidR="003E3842" w:rsidRDefault="003E3842">
            <w:pPr>
              <w:rPr>
                <w:b/>
                <w:bCs/>
                <w:sz w:val="20"/>
                <w:szCs w:val="20"/>
              </w:rPr>
            </w:pPr>
            <w:r>
              <w:rPr>
                <w:b/>
                <w:bCs/>
                <w:sz w:val="20"/>
                <w:szCs w:val="20"/>
              </w:rPr>
              <w:t>ukupno proračunski korisnici</w:t>
            </w:r>
          </w:p>
        </w:tc>
        <w:tc>
          <w:tcPr>
            <w:tcW w:w="4046" w:type="dxa"/>
            <w:tcBorders>
              <w:top w:val="nil"/>
              <w:left w:val="nil"/>
              <w:bottom w:val="single" w:sz="4" w:space="0" w:color="auto"/>
              <w:right w:val="single" w:sz="4" w:space="0" w:color="auto"/>
            </w:tcBorders>
            <w:shd w:val="clear" w:color="auto" w:fill="auto"/>
            <w:noWrap/>
            <w:vAlign w:val="bottom"/>
            <w:hideMark/>
          </w:tcPr>
          <w:p w14:paraId="45DAB87B" w14:textId="77777777" w:rsidR="003E3842" w:rsidRDefault="003E3842">
            <w:pPr>
              <w:rPr>
                <w:b/>
                <w:bCs/>
                <w:sz w:val="20"/>
                <w:szCs w:val="20"/>
              </w:rPr>
            </w:pPr>
            <w:r>
              <w:rPr>
                <w:b/>
                <w:bCs/>
                <w:sz w:val="20"/>
                <w:szCs w:val="20"/>
              </w:rPr>
              <w:t xml:space="preserve">                                173.763,62    </w:t>
            </w:r>
          </w:p>
        </w:tc>
        <w:tc>
          <w:tcPr>
            <w:tcW w:w="222" w:type="dxa"/>
            <w:tcBorders>
              <w:top w:val="nil"/>
              <w:left w:val="nil"/>
              <w:bottom w:val="nil"/>
              <w:right w:val="nil"/>
            </w:tcBorders>
            <w:shd w:val="clear" w:color="auto" w:fill="auto"/>
            <w:noWrap/>
            <w:vAlign w:val="bottom"/>
            <w:hideMark/>
          </w:tcPr>
          <w:p w14:paraId="72E411D5" w14:textId="77777777" w:rsidR="003E3842" w:rsidRDefault="003E3842">
            <w:pPr>
              <w:rPr>
                <w:b/>
                <w:bCs/>
                <w:sz w:val="20"/>
                <w:szCs w:val="20"/>
              </w:rPr>
            </w:pPr>
          </w:p>
        </w:tc>
        <w:tc>
          <w:tcPr>
            <w:tcW w:w="222" w:type="dxa"/>
            <w:tcBorders>
              <w:top w:val="nil"/>
              <w:left w:val="nil"/>
              <w:bottom w:val="nil"/>
              <w:right w:val="nil"/>
            </w:tcBorders>
            <w:shd w:val="clear" w:color="auto" w:fill="auto"/>
            <w:noWrap/>
            <w:vAlign w:val="bottom"/>
            <w:hideMark/>
          </w:tcPr>
          <w:p w14:paraId="328D1FB3" w14:textId="77777777" w:rsidR="003E3842" w:rsidRDefault="003E3842">
            <w:pPr>
              <w:rPr>
                <w:sz w:val="20"/>
                <w:szCs w:val="20"/>
              </w:rPr>
            </w:pPr>
          </w:p>
        </w:tc>
        <w:tc>
          <w:tcPr>
            <w:tcW w:w="222" w:type="dxa"/>
            <w:vAlign w:val="center"/>
            <w:hideMark/>
          </w:tcPr>
          <w:p w14:paraId="6B05F1AA" w14:textId="77777777" w:rsidR="003E3842" w:rsidRDefault="003E3842">
            <w:pPr>
              <w:rPr>
                <w:sz w:val="20"/>
                <w:szCs w:val="20"/>
              </w:rPr>
            </w:pPr>
          </w:p>
        </w:tc>
      </w:tr>
      <w:tr w:rsidR="003E3842" w14:paraId="7BFD8279" w14:textId="77777777" w:rsidTr="003E3842">
        <w:trPr>
          <w:trHeight w:val="255"/>
        </w:trPr>
        <w:tc>
          <w:tcPr>
            <w:tcW w:w="3928" w:type="dxa"/>
            <w:tcBorders>
              <w:top w:val="nil"/>
              <w:left w:val="single" w:sz="4" w:space="0" w:color="auto"/>
              <w:bottom w:val="single" w:sz="4" w:space="0" w:color="auto"/>
              <w:right w:val="single" w:sz="4" w:space="0" w:color="auto"/>
            </w:tcBorders>
            <w:shd w:val="clear" w:color="auto" w:fill="auto"/>
            <w:noWrap/>
            <w:vAlign w:val="bottom"/>
            <w:hideMark/>
          </w:tcPr>
          <w:p w14:paraId="62D0B5B4" w14:textId="77777777" w:rsidR="003E3842" w:rsidRDefault="003E3842">
            <w:pPr>
              <w:rPr>
                <w:sz w:val="20"/>
                <w:szCs w:val="20"/>
              </w:rPr>
            </w:pPr>
            <w:r>
              <w:rPr>
                <w:sz w:val="20"/>
                <w:szCs w:val="20"/>
              </w:rPr>
              <w:t>Dječji vrtić Buje</w:t>
            </w:r>
          </w:p>
        </w:tc>
        <w:tc>
          <w:tcPr>
            <w:tcW w:w="4046" w:type="dxa"/>
            <w:tcBorders>
              <w:top w:val="nil"/>
              <w:left w:val="nil"/>
              <w:bottom w:val="single" w:sz="4" w:space="0" w:color="auto"/>
              <w:right w:val="single" w:sz="4" w:space="0" w:color="auto"/>
            </w:tcBorders>
            <w:shd w:val="clear" w:color="auto" w:fill="auto"/>
            <w:noWrap/>
            <w:vAlign w:val="bottom"/>
            <w:hideMark/>
          </w:tcPr>
          <w:p w14:paraId="7BD79F8A" w14:textId="77777777" w:rsidR="003E3842" w:rsidRDefault="003E3842">
            <w:pPr>
              <w:rPr>
                <w:sz w:val="20"/>
                <w:szCs w:val="20"/>
              </w:rPr>
            </w:pPr>
            <w:r>
              <w:rPr>
                <w:sz w:val="20"/>
                <w:szCs w:val="20"/>
              </w:rPr>
              <w:t xml:space="preserve">                                    96.620,05    </w:t>
            </w:r>
          </w:p>
        </w:tc>
        <w:tc>
          <w:tcPr>
            <w:tcW w:w="222" w:type="dxa"/>
            <w:tcBorders>
              <w:top w:val="nil"/>
              <w:left w:val="nil"/>
              <w:bottom w:val="nil"/>
              <w:right w:val="nil"/>
            </w:tcBorders>
            <w:shd w:val="clear" w:color="auto" w:fill="auto"/>
            <w:noWrap/>
            <w:vAlign w:val="bottom"/>
            <w:hideMark/>
          </w:tcPr>
          <w:p w14:paraId="1A107994" w14:textId="77777777" w:rsidR="003E3842" w:rsidRDefault="003E3842">
            <w:pPr>
              <w:rPr>
                <w:sz w:val="20"/>
                <w:szCs w:val="20"/>
              </w:rPr>
            </w:pPr>
          </w:p>
        </w:tc>
        <w:tc>
          <w:tcPr>
            <w:tcW w:w="222" w:type="dxa"/>
            <w:tcBorders>
              <w:top w:val="nil"/>
              <w:left w:val="nil"/>
              <w:bottom w:val="nil"/>
              <w:right w:val="nil"/>
            </w:tcBorders>
            <w:shd w:val="clear" w:color="auto" w:fill="auto"/>
            <w:noWrap/>
            <w:vAlign w:val="bottom"/>
            <w:hideMark/>
          </w:tcPr>
          <w:p w14:paraId="0514F3C4" w14:textId="77777777" w:rsidR="003E3842" w:rsidRDefault="003E3842">
            <w:pPr>
              <w:rPr>
                <w:sz w:val="20"/>
                <w:szCs w:val="20"/>
              </w:rPr>
            </w:pPr>
          </w:p>
        </w:tc>
        <w:tc>
          <w:tcPr>
            <w:tcW w:w="222" w:type="dxa"/>
            <w:vAlign w:val="center"/>
            <w:hideMark/>
          </w:tcPr>
          <w:p w14:paraId="0FD8673F" w14:textId="77777777" w:rsidR="003E3842" w:rsidRDefault="003E3842">
            <w:pPr>
              <w:rPr>
                <w:sz w:val="20"/>
                <w:szCs w:val="20"/>
              </w:rPr>
            </w:pPr>
          </w:p>
        </w:tc>
      </w:tr>
      <w:tr w:rsidR="003E3842" w14:paraId="3EB32C80" w14:textId="77777777" w:rsidTr="003E3842">
        <w:trPr>
          <w:trHeight w:val="255"/>
        </w:trPr>
        <w:tc>
          <w:tcPr>
            <w:tcW w:w="3928" w:type="dxa"/>
            <w:tcBorders>
              <w:top w:val="nil"/>
              <w:left w:val="single" w:sz="4" w:space="0" w:color="auto"/>
              <w:bottom w:val="single" w:sz="4" w:space="0" w:color="auto"/>
              <w:right w:val="single" w:sz="4" w:space="0" w:color="auto"/>
            </w:tcBorders>
            <w:shd w:val="clear" w:color="auto" w:fill="auto"/>
            <w:noWrap/>
            <w:vAlign w:val="bottom"/>
            <w:hideMark/>
          </w:tcPr>
          <w:p w14:paraId="47834AB3" w14:textId="77777777" w:rsidR="003E3842" w:rsidRDefault="003E3842">
            <w:pPr>
              <w:rPr>
                <w:sz w:val="20"/>
                <w:szCs w:val="20"/>
              </w:rPr>
            </w:pPr>
            <w:r>
              <w:rPr>
                <w:sz w:val="20"/>
                <w:szCs w:val="20"/>
              </w:rPr>
              <w:t>Talijanski dječji vrtić Mrvica</w:t>
            </w:r>
          </w:p>
        </w:tc>
        <w:tc>
          <w:tcPr>
            <w:tcW w:w="4046" w:type="dxa"/>
            <w:tcBorders>
              <w:top w:val="nil"/>
              <w:left w:val="nil"/>
              <w:bottom w:val="single" w:sz="4" w:space="0" w:color="auto"/>
              <w:right w:val="single" w:sz="4" w:space="0" w:color="auto"/>
            </w:tcBorders>
            <w:shd w:val="clear" w:color="auto" w:fill="auto"/>
            <w:noWrap/>
            <w:vAlign w:val="bottom"/>
            <w:hideMark/>
          </w:tcPr>
          <w:p w14:paraId="12D5A0DA" w14:textId="77777777" w:rsidR="003E3842" w:rsidRDefault="003E3842">
            <w:pPr>
              <w:rPr>
                <w:sz w:val="20"/>
                <w:szCs w:val="20"/>
              </w:rPr>
            </w:pPr>
            <w:r>
              <w:rPr>
                <w:sz w:val="20"/>
                <w:szCs w:val="20"/>
              </w:rPr>
              <w:t xml:space="preserve">                                    77.143,57    </w:t>
            </w:r>
          </w:p>
        </w:tc>
        <w:tc>
          <w:tcPr>
            <w:tcW w:w="222" w:type="dxa"/>
            <w:tcBorders>
              <w:top w:val="nil"/>
              <w:left w:val="nil"/>
              <w:bottom w:val="nil"/>
              <w:right w:val="nil"/>
            </w:tcBorders>
            <w:shd w:val="clear" w:color="auto" w:fill="auto"/>
            <w:noWrap/>
            <w:vAlign w:val="bottom"/>
            <w:hideMark/>
          </w:tcPr>
          <w:p w14:paraId="28888D49" w14:textId="77777777" w:rsidR="003E3842" w:rsidRDefault="003E3842">
            <w:pPr>
              <w:rPr>
                <w:sz w:val="20"/>
                <w:szCs w:val="20"/>
              </w:rPr>
            </w:pPr>
          </w:p>
        </w:tc>
        <w:tc>
          <w:tcPr>
            <w:tcW w:w="222" w:type="dxa"/>
            <w:tcBorders>
              <w:top w:val="nil"/>
              <w:left w:val="nil"/>
              <w:bottom w:val="nil"/>
              <w:right w:val="nil"/>
            </w:tcBorders>
            <w:shd w:val="clear" w:color="auto" w:fill="auto"/>
            <w:noWrap/>
            <w:vAlign w:val="bottom"/>
            <w:hideMark/>
          </w:tcPr>
          <w:p w14:paraId="19A0E4F1" w14:textId="77777777" w:rsidR="003E3842" w:rsidRDefault="003E3842">
            <w:pPr>
              <w:rPr>
                <w:sz w:val="20"/>
                <w:szCs w:val="20"/>
              </w:rPr>
            </w:pPr>
          </w:p>
        </w:tc>
        <w:tc>
          <w:tcPr>
            <w:tcW w:w="222" w:type="dxa"/>
            <w:vAlign w:val="center"/>
            <w:hideMark/>
          </w:tcPr>
          <w:p w14:paraId="4C7BA699" w14:textId="77777777" w:rsidR="003E3842" w:rsidRDefault="003E3842">
            <w:pPr>
              <w:rPr>
                <w:sz w:val="20"/>
                <w:szCs w:val="20"/>
              </w:rPr>
            </w:pPr>
          </w:p>
        </w:tc>
      </w:tr>
      <w:tr w:rsidR="003E3842" w14:paraId="16175F92" w14:textId="77777777" w:rsidTr="003E3842">
        <w:trPr>
          <w:trHeight w:val="255"/>
        </w:trPr>
        <w:tc>
          <w:tcPr>
            <w:tcW w:w="3928" w:type="dxa"/>
            <w:tcBorders>
              <w:top w:val="nil"/>
              <w:left w:val="single" w:sz="4" w:space="0" w:color="auto"/>
              <w:bottom w:val="single" w:sz="4" w:space="0" w:color="auto"/>
              <w:right w:val="single" w:sz="4" w:space="0" w:color="auto"/>
            </w:tcBorders>
            <w:shd w:val="clear" w:color="auto" w:fill="auto"/>
            <w:noWrap/>
            <w:vAlign w:val="bottom"/>
            <w:hideMark/>
          </w:tcPr>
          <w:p w14:paraId="7ABEFA12" w14:textId="77777777" w:rsidR="003E3842" w:rsidRDefault="003E3842">
            <w:pPr>
              <w:rPr>
                <w:sz w:val="20"/>
                <w:szCs w:val="20"/>
              </w:rPr>
            </w:pPr>
            <w:r>
              <w:rPr>
                <w:sz w:val="20"/>
                <w:szCs w:val="20"/>
              </w:rPr>
              <w:t>Pučko otvoreno učilište Buje</w:t>
            </w:r>
          </w:p>
        </w:tc>
        <w:tc>
          <w:tcPr>
            <w:tcW w:w="4046" w:type="dxa"/>
            <w:tcBorders>
              <w:top w:val="nil"/>
              <w:left w:val="nil"/>
              <w:bottom w:val="single" w:sz="4" w:space="0" w:color="auto"/>
              <w:right w:val="single" w:sz="4" w:space="0" w:color="auto"/>
            </w:tcBorders>
            <w:shd w:val="clear" w:color="auto" w:fill="auto"/>
            <w:noWrap/>
            <w:vAlign w:val="bottom"/>
            <w:hideMark/>
          </w:tcPr>
          <w:p w14:paraId="0B8C8100" w14:textId="77777777" w:rsidR="003E3842" w:rsidRDefault="003E3842">
            <w:pPr>
              <w:rPr>
                <w:sz w:val="20"/>
                <w:szCs w:val="20"/>
              </w:rPr>
            </w:pPr>
            <w:r>
              <w:rPr>
                <w:sz w:val="20"/>
                <w:szCs w:val="20"/>
              </w:rPr>
              <w:t xml:space="preserve">                                                 -      </w:t>
            </w:r>
          </w:p>
        </w:tc>
        <w:tc>
          <w:tcPr>
            <w:tcW w:w="222" w:type="dxa"/>
            <w:tcBorders>
              <w:top w:val="nil"/>
              <w:left w:val="nil"/>
              <w:bottom w:val="nil"/>
              <w:right w:val="nil"/>
            </w:tcBorders>
            <w:shd w:val="clear" w:color="auto" w:fill="auto"/>
            <w:noWrap/>
            <w:vAlign w:val="bottom"/>
            <w:hideMark/>
          </w:tcPr>
          <w:p w14:paraId="283D853D" w14:textId="77777777" w:rsidR="003E3842" w:rsidRDefault="003E3842">
            <w:pPr>
              <w:rPr>
                <w:sz w:val="20"/>
                <w:szCs w:val="20"/>
              </w:rPr>
            </w:pPr>
          </w:p>
        </w:tc>
        <w:tc>
          <w:tcPr>
            <w:tcW w:w="222" w:type="dxa"/>
            <w:tcBorders>
              <w:top w:val="nil"/>
              <w:left w:val="nil"/>
              <w:bottom w:val="nil"/>
              <w:right w:val="nil"/>
            </w:tcBorders>
            <w:shd w:val="clear" w:color="auto" w:fill="auto"/>
            <w:noWrap/>
            <w:vAlign w:val="bottom"/>
            <w:hideMark/>
          </w:tcPr>
          <w:p w14:paraId="5B2D3D64" w14:textId="77777777" w:rsidR="003E3842" w:rsidRDefault="003E3842">
            <w:pPr>
              <w:rPr>
                <w:sz w:val="20"/>
                <w:szCs w:val="20"/>
              </w:rPr>
            </w:pPr>
          </w:p>
        </w:tc>
        <w:tc>
          <w:tcPr>
            <w:tcW w:w="222" w:type="dxa"/>
            <w:vAlign w:val="center"/>
            <w:hideMark/>
          </w:tcPr>
          <w:p w14:paraId="71990310" w14:textId="77777777" w:rsidR="003E3842" w:rsidRDefault="003E3842">
            <w:pPr>
              <w:rPr>
                <w:sz w:val="20"/>
                <w:szCs w:val="20"/>
              </w:rPr>
            </w:pPr>
          </w:p>
        </w:tc>
      </w:tr>
      <w:tr w:rsidR="003E3842" w14:paraId="2AB706D3" w14:textId="77777777" w:rsidTr="003E3842">
        <w:trPr>
          <w:trHeight w:val="255"/>
        </w:trPr>
        <w:tc>
          <w:tcPr>
            <w:tcW w:w="3928" w:type="dxa"/>
            <w:tcBorders>
              <w:top w:val="nil"/>
              <w:left w:val="single" w:sz="4" w:space="0" w:color="auto"/>
              <w:bottom w:val="single" w:sz="4" w:space="0" w:color="auto"/>
              <w:right w:val="single" w:sz="4" w:space="0" w:color="auto"/>
            </w:tcBorders>
            <w:shd w:val="clear" w:color="auto" w:fill="auto"/>
            <w:noWrap/>
            <w:vAlign w:val="bottom"/>
            <w:hideMark/>
          </w:tcPr>
          <w:p w14:paraId="19BA271A" w14:textId="77777777" w:rsidR="003E3842" w:rsidRDefault="003E3842">
            <w:pPr>
              <w:rPr>
                <w:b/>
                <w:bCs/>
                <w:sz w:val="20"/>
                <w:szCs w:val="20"/>
              </w:rPr>
            </w:pPr>
            <w:r>
              <w:rPr>
                <w:b/>
                <w:bCs/>
                <w:sz w:val="20"/>
                <w:szCs w:val="20"/>
              </w:rPr>
              <w:t>Sveukupno</w:t>
            </w:r>
          </w:p>
        </w:tc>
        <w:tc>
          <w:tcPr>
            <w:tcW w:w="4046" w:type="dxa"/>
            <w:tcBorders>
              <w:top w:val="nil"/>
              <w:left w:val="nil"/>
              <w:bottom w:val="single" w:sz="4" w:space="0" w:color="auto"/>
              <w:right w:val="single" w:sz="4" w:space="0" w:color="auto"/>
            </w:tcBorders>
            <w:shd w:val="clear" w:color="auto" w:fill="auto"/>
            <w:noWrap/>
            <w:vAlign w:val="bottom"/>
            <w:hideMark/>
          </w:tcPr>
          <w:p w14:paraId="157AD9BA" w14:textId="77777777" w:rsidR="003E3842" w:rsidRDefault="003E3842">
            <w:pPr>
              <w:rPr>
                <w:b/>
                <w:bCs/>
                <w:sz w:val="20"/>
                <w:szCs w:val="20"/>
              </w:rPr>
            </w:pPr>
            <w:r>
              <w:rPr>
                <w:b/>
                <w:bCs/>
                <w:sz w:val="20"/>
                <w:szCs w:val="20"/>
              </w:rPr>
              <w:t xml:space="preserve">                                575.142,20    </w:t>
            </w:r>
          </w:p>
        </w:tc>
        <w:tc>
          <w:tcPr>
            <w:tcW w:w="222" w:type="dxa"/>
            <w:tcBorders>
              <w:top w:val="nil"/>
              <w:left w:val="nil"/>
              <w:bottom w:val="nil"/>
              <w:right w:val="nil"/>
            </w:tcBorders>
            <w:shd w:val="clear" w:color="auto" w:fill="auto"/>
            <w:noWrap/>
            <w:vAlign w:val="bottom"/>
            <w:hideMark/>
          </w:tcPr>
          <w:p w14:paraId="24FF80C6" w14:textId="77777777" w:rsidR="003E3842" w:rsidRDefault="003E3842">
            <w:pPr>
              <w:rPr>
                <w:b/>
                <w:bCs/>
                <w:sz w:val="20"/>
                <w:szCs w:val="20"/>
              </w:rPr>
            </w:pPr>
          </w:p>
        </w:tc>
        <w:tc>
          <w:tcPr>
            <w:tcW w:w="222" w:type="dxa"/>
            <w:tcBorders>
              <w:top w:val="nil"/>
              <w:left w:val="nil"/>
              <w:bottom w:val="nil"/>
              <w:right w:val="nil"/>
            </w:tcBorders>
            <w:shd w:val="clear" w:color="auto" w:fill="auto"/>
            <w:noWrap/>
            <w:vAlign w:val="bottom"/>
            <w:hideMark/>
          </w:tcPr>
          <w:p w14:paraId="78FBFB5A" w14:textId="77777777" w:rsidR="003E3842" w:rsidRDefault="003E3842">
            <w:pPr>
              <w:rPr>
                <w:sz w:val="20"/>
                <w:szCs w:val="20"/>
              </w:rPr>
            </w:pPr>
          </w:p>
        </w:tc>
        <w:tc>
          <w:tcPr>
            <w:tcW w:w="222" w:type="dxa"/>
            <w:vAlign w:val="center"/>
            <w:hideMark/>
          </w:tcPr>
          <w:p w14:paraId="75E69A36" w14:textId="77777777" w:rsidR="003E3842" w:rsidRDefault="003E3842">
            <w:pPr>
              <w:rPr>
                <w:sz w:val="20"/>
                <w:szCs w:val="20"/>
              </w:rPr>
            </w:pPr>
          </w:p>
        </w:tc>
      </w:tr>
    </w:tbl>
    <w:p w14:paraId="25FD1BD8" w14:textId="77777777" w:rsidR="003E3842" w:rsidRPr="00F13AA2" w:rsidRDefault="003E3842" w:rsidP="00AA2BE1">
      <w:pPr>
        <w:pStyle w:val="Subtitle1"/>
        <w:rPr>
          <w:rFonts w:ascii="Times New Roman" w:hAnsi="Times New Roman"/>
          <w:sz w:val="24"/>
          <w:szCs w:val="24"/>
        </w:rPr>
      </w:pPr>
    </w:p>
    <w:p w14:paraId="7FBC0F28" w14:textId="00DD73C2" w:rsidR="00C357FD" w:rsidRDefault="00C357FD" w:rsidP="00A2660D">
      <w:pPr>
        <w:rPr>
          <w:b/>
        </w:rPr>
      </w:pPr>
    </w:p>
    <w:p w14:paraId="1E2DCF83" w14:textId="4D4028CD" w:rsidR="00735637" w:rsidRPr="00CC4264" w:rsidRDefault="00C357FD" w:rsidP="00A2660D">
      <w:pPr>
        <w:rPr>
          <w:bCs/>
          <w:u w:val="single"/>
        </w:rPr>
      </w:pPr>
      <w:r w:rsidRPr="00CC4264">
        <w:rPr>
          <w:bCs/>
          <w:u w:val="single"/>
        </w:rPr>
        <w:t>Grad</w:t>
      </w:r>
    </w:p>
    <w:p w14:paraId="52106E20" w14:textId="77777777" w:rsidR="0061781D" w:rsidRDefault="00C357FD" w:rsidP="00274D53">
      <w:pPr>
        <w:ind w:firstLine="708"/>
        <w:rPr>
          <w:bCs/>
        </w:rPr>
      </w:pPr>
      <w:r>
        <w:rPr>
          <w:bCs/>
        </w:rPr>
        <w:t xml:space="preserve">Stanje ukupnih dospjelih nepodmirenih obveza Grada Buja – Buie na dan </w:t>
      </w:r>
      <w:r w:rsidR="003E3842">
        <w:rPr>
          <w:bCs/>
        </w:rPr>
        <w:t>31.12.2022</w:t>
      </w:r>
      <w:r>
        <w:rPr>
          <w:bCs/>
        </w:rPr>
        <w:t xml:space="preserve">. godine iznosi </w:t>
      </w:r>
      <w:r w:rsidR="003E3842">
        <w:rPr>
          <w:bCs/>
        </w:rPr>
        <w:t>401.378,58</w:t>
      </w:r>
      <w:r>
        <w:rPr>
          <w:bCs/>
        </w:rPr>
        <w:t xml:space="preserve"> kuna i za </w:t>
      </w:r>
      <w:r w:rsidR="0061781D">
        <w:rPr>
          <w:bCs/>
        </w:rPr>
        <w:t>285.623,80</w:t>
      </w:r>
      <w:r>
        <w:rPr>
          <w:bCs/>
        </w:rPr>
        <w:t xml:space="preserve"> kuna </w:t>
      </w:r>
      <w:r w:rsidR="0061781D">
        <w:rPr>
          <w:bCs/>
        </w:rPr>
        <w:t>već</w:t>
      </w:r>
      <w:r w:rsidR="009B4AD7">
        <w:rPr>
          <w:bCs/>
        </w:rPr>
        <w:t>e</w:t>
      </w:r>
      <w:r>
        <w:rPr>
          <w:bCs/>
        </w:rPr>
        <w:t xml:space="preserve"> </w:t>
      </w:r>
      <w:r w:rsidR="009B4AD7">
        <w:rPr>
          <w:bCs/>
        </w:rPr>
        <w:t xml:space="preserve">je </w:t>
      </w:r>
      <w:r>
        <w:rPr>
          <w:bCs/>
        </w:rPr>
        <w:t>u odnosu na stanje na dan 31.12.202</w:t>
      </w:r>
      <w:r w:rsidR="009B4AD7">
        <w:rPr>
          <w:bCs/>
        </w:rPr>
        <w:t>1</w:t>
      </w:r>
      <w:r>
        <w:rPr>
          <w:bCs/>
        </w:rPr>
        <w:t xml:space="preserve">. godine. </w:t>
      </w:r>
      <w:r w:rsidR="0061781D" w:rsidRPr="00D97BCF">
        <w:t>Od toga se iznos od 47.015,40 kuna odnosi na obveze za rashode poslovanja (tri računa), a iznos od 354.363,18 kuna na obveze za nabavu nefinancijske imovine (jedan račun). Dospjele obveze spadaju u kategoriju obveza s prekoračenjem 1 do 60 dana, a odnose se na račune koji su zaprimljeni nakon datuma dospijeća.</w:t>
      </w:r>
    </w:p>
    <w:p w14:paraId="5B5D9C36" w14:textId="77777777" w:rsidR="0061781D" w:rsidRDefault="0061781D" w:rsidP="0061781D">
      <w:pPr>
        <w:rPr>
          <w:bCs/>
        </w:rPr>
      </w:pPr>
    </w:p>
    <w:p w14:paraId="47A96B99" w14:textId="77777777" w:rsidR="004C5E68" w:rsidRDefault="004C5E68" w:rsidP="00A2660D">
      <w:pPr>
        <w:rPr>
          <w:bCs/>
        </w:rPr>
      </w:pPr>
      <w:bookmarkStart w:id="34" w:name="_Hlk132964794"/>
    </w:p>
    <w:bookmarkEnd w:id="34"/>
    <w:p w14:paraId="4991B149" w14:textId="77777777" w:rsidR="000B22BE" w:rsidRPr="00CC4264" w:rsidRDefault="000B22BE" w:rsidP="00A2660D">
      <w:pPr>
        <w:rPr>
          <w:bCs/>
          <w:u w:val="single"/>
        </w:rPr>
      </w:pPr>
      <w:r w:rsidRPr="00CC4264">
        <w:rPr>
          <w:bCs/>
          <w:u w:val="single"/>
        </w:rPr>
        <w:t>Proračunski korisnici</w:t>
      </w:r>
    </w:p>
    <w:p w14:paraId="754B1C27" w14:textId="57E34987" w:rsidR="00CC4264" w:rsidRDefault="000B22BE" w:rsidP="00274D53">
      <w:pPr>
        <w:ind w:firstLine="708"/>
        <w:rPr>
          <w:bCs/>
        </w:rPr>
      </w:pPr>
      <w:r>
        <w:rPr>
          <w:bCs/>
        </w:rPr>
        <w:t>Stanje ukupnih dospjelih nepodmirenih obveza svih proračunskih korisnika iznos</w:t>
      </w:r>
      <w:r w:rsidR="00960F52">
        <w:rPr>
          <w:bCs/>
        </w:rPr>
        <w:t>i</w:t>
      </w:r>
      <w:r>
        <w:rPr>
          <w:bCs/>
        </w:rPr>
        <w:t xml:space="preserve"> </w:t>
      </w:r>
      <w:r w:rsidR="0061781D">
        <w:rPr>
          <w:bCs/>
        </w:rPr>
        <w:t>173.763,62</w:t>
      </w:r>
      <w:r>
        <w:rPr>
          <w:bCs/>
        </w:rPr>
        <w:t xml:space="preserve"> kuna i za </w:t>
      </w:r>
      <w:r w:rsidR="0061781D">
        <w:rPr>
          <w:bCs/>
        </w:rPr>
        <w:t>135.277,50</w:t>
      </w:r>
      <w:r>
        <w:rPr>
          <w:bCs/>
        </w:rPr>
        <w:t xml:space="preserve"> kuna </w:t>
      </w:r>
      <w:r w:rsidR="0061781D">
        <w:rPr>
          <w:bCs/>
        </w:rPr>
        <w:t>veće</w:t>
      </w:r>
      <w:r>
        <w:rPr>
          <w:bCs/>
        </w:rPr>
        <w:t xml:space="preserve"> </w:t>
      </w:r>
      <w:r w:rsidR="00960F52">
        <w:rPr>
          <w:bCs/>
        </w:rPr>
        <w:t>je</w:t>
      </w:r>
      <w:r>
        <w:rPr>
          <w:bCs/>
        </w:rPr>
        <w:t xml:space="preserve"> u odnosu na početno stanje. </w:t>
      </w:r>
      <w:r w:rsidR="0061781D">
        <w:rPr>
          <w:bCs/>
        </w:rPr>
        <w:t xml:space="preserve">Pučko otvoreno učilište nema dospjelih obveza, a pretežiti dio dospjelih obveza dječjih vrtića u iznosu od 168.333,21 kuna spada u kategoriju obveza s prekoračenjem 1 do 60 dana, dok iznos od 5.427,46 kuna spada u kategoriju obveza s prekoračenjem 61 do 180 dana. </w:t>
      </w:r>
      <w:r w:rsidR="004C24B6">
        <w:rPr>
          <w:bCs/>
        </w:rPr>
        <w:t>Dospjele obveze su nastale većim dijelom radi nedostatnih prihoda posebne namjene za podmirivanje istih, a manjim dijelom radi zaprimanja računa nakon datuma njihova dospijeća.</w:t>
      </w:r>
    </w:p>
    <w:p w14:paraId="2ED25D1E" w14:textId="77777777" w:rsidR="00BC03F5" w:rsidRDefault="00BC03F5" w:rsidP="00A2660D">
      <w:pPr>
        <w:rPr>
          <w:b/>
        </w:rPr>
      </w:pPr>
    </w:p>
    <w:p w14:paraId="14F08A76" w14:textId="77777777" w:rsidR="003D6DBF" w:rsidRDefault="003D6DBF" w:rsidP="00A2660D">
      <w:pPr>
        <w:rPr>
          <w:b/>
        </w:rPr>
      </w:pPr>
    </w:p>
    <w:p w14:paraId="741D7942" w14:textId="77777777" w:rsidR="003D6DBF" w:rsidRDefault="003D6DBF" w:rsidP="00A2660D">
      <w:pPr>
        <w:rPr>
          <w:b/>
        </w:rPr>
      </w:pPr>
    </w:p>
    <w:p w14:paraId="0CB58B76" w14:textId="77777777" w:rsidR="003D6DBF" w:rsidRDefault="003D6DBF" w:rsidP="00A2660D">
      <w:pPr>
        <w:rPr>
          <w:b/>
        </w:rPr>
      </w:pPr>
    </w:p>
    <w:p w14:paraId="2FD2D364" w14:textId="77777777" w:rsidR="003D6DBF" w:rsidRDefault="003D6DBF" w:rsidP="00A2660D">
      <w:pPr>
        <w:rPr>
          <w:b/>
        </w:rPr>
      </w:pPr>
    </w:p>
    <w:p w14:paraId="3334A3F6" w14:textId="77777777" w:rsidR="003D6DBF" w:rsidRDefault="003D6DBF" w:rsidP="00A2660D">
      <w:pPr>
        <w:rPr>
          <w:b/>
        </w:rPr>
      </w:pPr>
    </w:p>
    <w:p w14:paraId="08F0F056" w14:textId="77777777" w:rsidR="003D6DBF" w:rsidRDefault="003D6DBF" w:rsidP="00A2660D">
      <w:pPr>
        <w:rPr>
          <w:b/>
        </w:rPr>
      </w:pPr>
    </w:p>
    <w:p w14:paraId="388F95EF" w14:textId="77777777" w:rsidR="003D6DBF" w:rsidRDefault="003D6DBF" w:rsidP="00A2660D">
      <w:pPr>
        <w:rPr>
          <w:b/>
        </w:rPr>
      </w:pPr>
    </w:p>
    <w:p w14:paraId="4B3A1A01" w14:textId="77777777" w:rsidR="003D6DBF" w:rsidRDefault="003D6DBF" w:rsidP="00A2660D">
      <w:pPr>
        <w:rPr>
          <w:b/>
        </w:rPr>
      </w:pPr>
    </w:p>
    <w:p w14:paraId="3A9DAF8B" w14:textId="77777777" w:rsidR="003D6DBF" w:rsidRDefault="003D6DBF" w:rsidP="00A2660D">
      <w:pPr>
        <w:rPr>
          <w:b/>
        </w:rPr>
      </w:pPr>
    </w:p>
    <w:p w14:paraId="7667DAB5" w14:textId="77777777" w:rsidR="003D6DBF" w:rsidRDefault="003D6DBF" w:rsidP="00A2660D">
      <w:pPr>
        <w:rPr>
          <w:b/>
        </w:rPr>
      </w:pPr>
    </w:p>
    <w:p w14:paraId="32CA6491" w14:textId="77777777" w:rsidR="003D6DBF" w:rsidRDefault="003D6DBF" w:rsidP="00A2660D">
      <w:pPr>
        <w:rPr>
          <w:b/>
        </w:rPr>
      </w:pPr>
    </w:p>
    <w:p w14:paraId="2655EFD3" w14:textId="77777777" w:rsidR="004C24B6" w:rsidRPr="00E80A17" w:rsidRDefault="004C24B6" w:rsidP="00A2660D">
      <w:pPr>
        <w:rPr>
          <w:b/>
        </w:rPr>
      </w:pPr>
    </w:p>
    <w:p w14:paraId="75B97F97" w14:textId="1C34450E" w:rsidR="00A37624" w:rsidRDefault="00A37624" w:rsidP="00F51240">
      <w:pPr>
        <w:pStyle w:val="Subtitle1"/>
        <w:rPr>
          <w:rFonts w:ascii="Times New Roman" w:hAnsi="Times New Roman"/>
          <w:sz w:val="24"/>
          <w:szCs w:val="24"/>
        </w:rPr>
      </w:pPr>
      <w:bookmarkStart w:id="35" w:name="_Toc78878324"/>
      <w:bookmarkStart w:id="36" w:name="_Toc79578511"/>
      <w:bookmarkStart w:id="37" w:name="_Toc133398680"/>
      <w:r w:rsidRPr="00F13AA2">
        <w:rPr>
          <w:rFonts w:ascii="Times New Roman" w:hAnsi="Times New Roman"/>
          <w:sz w:val="24"/>
          <w:szCs w:val="24"/>
        </w:rPr>
        <w:lastRenderedPageBreak/>
        <w:t>STANJE POTENCIJALNIH OBVEZA PO OSNOVI SUDSKIH POSTUPAKA</w:t>
      </w:r>
      <w:bookmarkEnd w:id="35"/>
      <w:bookmarkEnd w:id="36"/>
      <w:bookmarkEnd w:id="37"/>
    </w:p>
    <w:p w14:paraId="09844A96" w14:textId="77777777" w:rsidR="004C24B6" w:rsidRDefault="004C24B6" w:rsidP="00F51240">
      <w:pPr>
        <w:pStyle w:val="Subtitle1"/>
        <w:rPr>
          <w:rFonts w:ascii="Times New Roman" w:hAnsi="Times New Roman"/>
          <w:sz w:val="24"/>
          <w:szCs w:val="24"/>
        </w:rPr>
      </w:pPr>
    </w:p>
    <w:tbl>
      <w:tblPr>
        <w:tblW w:w="8925" w:type="dxa"/>
        <w:tblLook w:val="04A0" w:firstRow="1" w:lastRow="0" w:firstColumn="1" w:lastColumn="0" w:noHBand="0" w:noVBand="1"/>
      </w:tblPr>
      <w:tblGrid>
        <w:gridCol w:w="640"/>
        <w:gridCol w:w="1907"/>
        <w:gridCol w:w="1843"/>
        <w:gridCol w:w="1559"/>
        <w:gridCol w:w="1559"/>
        <w:gridCol w:w="1417"/>
      </w:tblGrid>
      <w:tr w:rsidR="004C24B6" w14:paraId="66C13F83" w14:textId="77777777" w:rsidTr="004C24B6">
        <w:trPr>
          <w:trHeight w:val="1725"/>
        </w:trPr>
        <w:tc>
          <w:tcPr>
            <w:tcW w:w="640" w:type="dxa"/>
            <w:tcBorders>
              <w:top w:val="single" w:sz="4" w:space="0" w:color="auto"/>
              <w:left w:val="single" w:sz="4" w:space="0" w:color="auto"/>
              <w:bottom w:val="single" w:sz="4" w:space="0" w:color="auto"/>
              <w:right w:val="single" w:sz="4" w:space="0" w:color="auto"/>
            </w:tcBorders>
            <w:shd w:val="clear" w:color="DDDDDD" w:fill="C0C0C0"/>
            <w:vAlign w:val="center"/>
            <w:hideMark/>
          </w:tcPr>
          <w:p w14:paraId="0F4D6E06" w14:textId="77777777" w:rsidR="004C24B6" w:rsidRDefault="004C24B6">
            <w:pPr>
              <w:jc w:val="center"/>
              <w:rPr>
                <w:sz w:val="22"/>
                <w:szCs w:val="22"/>
              </w:rPr>
            </w:pPr>
            <w:r>
              <w:rPr>
                <w:sz w:val="22"/>
                <w:szCs w:val="22"/>
              </w:rPr>
              <w:t>Red.</w:t>
            </w:r>
            <w:r>
              <w:rPr>
                <w:sz w:val="22"/>
                <w:szCs w:val="22"/>
              </w:rPr>
              <w:br/>
              <w:t>br.</w:t>
            </w:r>
          </w:p>
        </w:tc>
        <w:tc>
          <w:tcPr>
            <w:tcW w:w="1907" w:type="dxa"/>
            <w:tcBorders>
              <w:top w:val="single" w:sz="4" w:space="0" w:color="auto"/>
              <w:left w:val="nil"/>
              <w:bottom w:val="single" w:sz="4" w:space="0" w:color="auto"/>
              <w:right w:val="single" w:sz="4" w:space="0" w:color="auto"/>
            </w:tcBorders>
            <w:shd w:val="clear" w:color="DDDDDD" w:fill="C0C0C0"/>
            <w:vAlign w:val="center"/>
            <w:hideMark/>
          </w:tcPr>
          <w:p w14:paraId="28828A30" w14:textId="77777777" w:rsidR="004C24B6" w:rsidRDefault="004C24B6">
            <w:pPr>
              <w:jc w:val="center"/>
              <w:rPr>
                <w:b/>
                <w:bCs/>
                <w:sz w:val="22"/>
                <w:szCs w:val="22"/>
              </w:rPr>
            </w:pPr>
            <w:r>
              <w:rPr>
                <w:b/>
                <w:bCs/>
                <w:sz w:val="22"/>
                <w:szCs w:val="22"/>
              </w:rPr>
              <w:t>Opis prirode spora</w:t>
            </w:r>
          </w:p>
        </w:tc>
        <w:tc>
          <w:tcPr>
            <w:tcW w:w="1843" w:type="dxa"/>
            <w:tcBorders>
              <w:top w:val="single" w:sz="4" w:space="0" w:color="auto"/>
              <w:left w:val="nil"/>
              <w:bottom w:val="single" w:sz="4" w:space="0" w:color="auto"/>
              <w:right w:val="single" w:sz="4" w:space="0" w:color="auto"/>
            </w:tcBorders>
            <w:shd w:val="clear" w:color="DDDDDD" w:fill="C0C0C0"/>
            <w:vAlign w:val="center"/>
            <w:hideMark/>
          </w:tcPr>
          <w:p w14:paraId="32FC1B25" w14:textId="77777777" w:rsidR="004C24B6" w:rsidRDefault="004C24B6">
            <w:pPr>
              <w:jc w:val="center"/>
              <w:rPr>
                <w:b/>
                <w:bCs/>
                <w:sz w:val="22"/>
                <w:szCs w:val="22"/>
              </w:rPr>
            </w:pPr>
            <w:r>
              <w:rPr>
                <w:b/>
                <w:bCs/>
                <w:sz w:val="22"/>
                <w:szCs w:val="22"/>
              </w:rPr>
              <w:t>Naziv pravne / fizičke osobe</w:t>
            </w:r>
          </w:p>
        </w:tc>
        <w:tc>
          <w:tcPr>
            <w:tcW w:w="1559" w:type="dxa"/>
            <w:tcBorders>
              <w:top w:val="single" w:sz="4" w:space="0" w:color="auto"/>
              <w:left w:val="nil"/>
              <w:bottom w:val="single" w:sz="4" w:space="0" w:color="auto"/>
              <w:right w:val="single" w:sz="4" w:space="0" w:color="auto"/>
            </w:tcBorders>
            <w:shd w:val="clear" w:color="DDDDDD" w:fill="C0C0C0"/>
            <w:vAlign w:val="center"/>
            <w:hideMark/>
          </w:tcPr>
          <w:p w14:paraId="0CAA2DC4" w14:textId="77777777" w:rsidR="004C24B6" w:rsidRDefault="004C24B6">
            <w:pPr>
              <w:jc w:val="center"/>
              <w:rPr>
                <w:b/>
                <w:bCs/>
                <w:sz w:val="22"/>
                <w:szCs w:val="22"/>
              </w:rPr>
            </w:pPr>
            <w:r>
              <w:rPr>
                <w:b/>
                <w:bCs/>
                <w:sz w:val="22"/>
                <w:szCs w:val="22"/>
              </w:rPr>
              <w:t>procijenjena vrijednost financijskog učinka IMOVINA</w:t>
            </w:r>
          </w:p>
        </w:tc>
        <w:tc>
          <w:tcPr>
            <w:tcW w:w="1559" w:type="dxa"/>
            <w:tcBorders>
              <w:top w:val="single" w:sz="4" w:space="0" w:color="auto"/>
              <w:left w:val="nil"/>
              <w:bottom w:val="single" w:sz="4" w:space="0" w:color="auto"/>
              <w:right w:val="single" w:sz="4" w:space="0" w:color="auto"/>
            </w:tcBorders>
            <w:shd w:val="clear" w:color="DDDDDD" w:fill="C0C0C0"/>
            <w:vAlign w:val="center"/>
            <w:hideMark/>
          </w:tcPr>
          <w:p w14:paraId="77AA6B14" w14:textId="77777777" w:rsidR="004C24B6" w:rsidRDefault="004C24B6">
            <w:pPr>
              <w:jc w:val="center"/>
              <w:rPr>
                <w:b/>
                <w:bCs/>
                <w:sz w:val="22"/>
                <w:szCs w:val="22"/>
              </w:rPr>
            </w:pPr>
            <w:r>
              <w:rPr>
                <w:b/>
                <w:bCs/>
                <w:sz w:val="22"/>
                <w:szCs w:val="22"/>
              </w:rPr>
              <w:t xml:space="preserve">procijenjena vrijednost financijskog učinka </w:t>
            </w:r>
            <w:r>
              <w:rPr>
                <w:b/>
                <w:bCs/>
                <w:sz w:val="22"/>
                <w:szCs w:val="22"/>
              </w:rPr>
              <w:br/>
              <w:t>OBVEZA</w:t>
            </w:r>
          </w:p>
        </w:tc>
        <w:tc>
          <w:tcPr>
            <w:tcW w:w="1417" w:type="dxa"/>
            <w:tcBorders>
              <w:top w:val="single" w:sz="4" w:space="0" w:color="auto"/>
              <w:left w:val="nil"/>
              <w:bottom w:val="single" w:sz="4" w:space="0" w:color="auto"/>
              <w:right w:val="single" w:sz="4" w:space="0" w:color="auto"/>
            </w:tcBorders>
            <w:shd w:val="clear" w:color="DDDDDD" w:fill="C0C0C0"/>
            <w:vAlign w:val="center"/>
            <w:hideMark/>
          </w:tcPr>
          <w:p w14:paraId="5FDAC4EA" w14:textId="77777777" w:rsidR="004C24B6" w:rsidRDefault="004C24B6">
            <w:pPr>
              <w:jc w:val="center"/>
              <w:rPr>
                <w:b/>
                <w:bCs/>
                <w:sz w:val="22"/>
                <w:szCs w:val="22"/>
              </w:rPr>
            </w:pPr>
            <w:r>
              <w:rPr>
                <w:b/>
                <w:bCs/>
                <w:sz w:val="22"/>
                <w:szCs w:val="22"/>
              </w:rPr>
              <w:t>procijenjeno vrijeme odljeva ili priljeva sredstava</w:t>
            </w:r>
          </w:p>
        </w:tc>
      </w:tr>
      <w:tr w:rsidR="004C24B6" w14:paraId="52C59892" w14:textId="77777777" w:rsidTr="004C24B6">
        <w:trPr>
          <w:trHeight w:val="9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AE841F" w14:textId="77777777" w:rsidR="004C24B6" w:rsidRDefault="004C24B6">
            <w:pPr>
              <w:jc w:val="center"/>
              <w:rPr>
                <w:sz w:val="22"/>
                <w:szCs w:val="22"/>
              </w:rPr>
            </w:pPr>
            <w:r>
              <w:rPr>
                <w:sz w:val="22"/>
                <w:szCs w:val="22"/>
              </w:rPr>
              <w:t>1.</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14:paraId="280F5295" w14:textId="77777777" w:rsidR="004C24B6" w:rsidRDefault="004C24B6">
            <w:pPr>
              <w:jc w:val="center"/>
              <w:rPr>
                <w:sz w:val="22"/>
                <w:szCs w:val="22"/>
              </w:rPr>
            </w:pPr>
            <w:r>
              <w:rPr>
                <w:sz w:val="22"/>
                <w:szCs w:val="22"/>
              </w:rPr>
              <w:t>Tužba protiv otkaza Ugovora o osnivanju prava služnosti na javnim površinama – služnost za EKI mrežu</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EDFF63E" w14:textId="77777777" w:rsidR="004C24B6" w:rsidRDefault="004C24B6">
            <w:pPr>
              <w:jc w:val="center"/>
              <w:rPr>
                <w:sz w:val="22"/>
                <w:szCs w:val="22"/>
              </w:rPr>
            </w:pPr>
            <w:r>
              <w:rPr>
                <w:sz w:val="22"/>
                <w:szCs w:val="22"/>
              </w:rPr>
              <w:t>Hrvatski Telekom d.d. , Zagreb,</w:t>
            </w:r>
            <w:r>
              <w:rPr>
                <w:sz w:val="22"/>
                <w:szCs w:val="22"/>
              </w:rPr>
              <w:br/>
              <w:t>Roberta Frangeša Mihanovića 9</w:t>
            </w:r>
          </w:p>
        </w:tc>
        <w:tc>
          <w:tcPr>
            <w:tcW w:w="1559" w:type="dxa"/>
            <w:tcBorders>
              <w:top w:val="nil"/>
              <w:left w:val="nil"/>
              <w:bottom w:val="single" w:sz="4" w:space="0" w:color="auto"/>
              <w:right w:val="single" w:sz="4" w:space="0" w:color="auto"/>
            </w:tcBorders>
            <w:shd w:val="clear" w:color="auto" w:fill="auto"/>
            <w:vAlign w:val="center"/>
            <w:hideMark/>
          </w:tcPr>
          <w:p w14:paraId="20F699BE" w14:textId="77777777" w:rsidR="004C24B6" w:rsidRDefault="004C24B6">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2F74D32F" w14:textId="77777777" w:rsidR="004C24B6" w:rsidRDefault="004C24B6">
            <w:pPr>
              <w:jc w:val="center"/>
              <w:rPr>
                <w:sz w:val="22"/>
                <w:szCs w:val="22"/>
              </w:rPr>
            </w:pPr>
            <w:r>
              <w:rPr>
                <w:sz w:val="22"/>
                <w:szCs w:val="22"/>
              </w:rPr>
              <w:t xml:space="preserve">    1.000.005,00      </w:t>
            </w:r>
          </w:p>
        </w:tc>
        <w:tc>
          <w:tcPr>
            <w:tcW w:w="1417" w:type="dxa"/>
            <w:tcBorders>
              <w:top w:val="nil"/>
              <w:left w:val="nil"/>
              <w:bottom w:val="single" w:sz="4" w:space="0" w:color="auto"/>
              <w:right w:val="single" w:sz="4" w:space="0" w:color="auto"/>
            </w:tcBorders>
            <w:shd w:val="clear" w:color="auto" w:fill="auto"/>
            <w:vAlign w:val="center"/>
            <w:hideMark/>
          </w:tcPr>
          <w:p w14:paraId="2FD67EA7" w14:textId="77777777" w:rsidR="004C24B6" w:rsidRDefault="004C24B6">
            <w:pPr>
              <w:jc w:val="center"/>
              <w:rPr>
                <w:sz w:val="22"/>
                <w:szCs w:val="22"/>
              </w:rPr>
            </w:pPr>
            <w:r>
              <w:rPr>
                <w:sz w:val="22"/>
                <w:szCs w:val="22"/>
              </w:rPr>
              <w:t>2024</w:t>
            </w:r>
          </w:p>
        </w:tc>
      </w:tr>
      <w:tr w:rsidR="004C24B6" w14:paraId="24C13F66" w14:textId="77777777" w:rsidTr="004C24B6">
        <w:trPr>
          <w:trHeight w:val="9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7AF2F5" w14:textId="77777777" w:rsidR="004C24B6" w:rsidRDefault="004C24B6">
            <w:pPr>
              <w:jc w:val="center"/>
              <w:rPr>
                <w:sz w:val="22"/>
                <w:szCs w:val="22"/>
              </w:rPr>
            </w:pPr>
            <w:r>
              <w:rPr>
                <w:sz w:val="22"/>
                <w:szCs w:val="22"/>
              </w:rPr>
              <w:t>2.</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14:paraId="64C75347" w14:textId="77777777" w:rsidR="004C24B6" w:rsidRDefault="004C24B6">
            <w:pPr>
              <w:jc w:val="center"/>
              <w:rPr>
                <w:sz w:val="22"/>
                <w:szCs w:val="22"/>
              </w:rPr>
            </w:pPr>
            <w:r>
              <w:rPr>
                <w:sz w:val="22"/>
                <w:szCs w:val="22"/>
              </w:rPr>
              <w:t>Tužba radi stjecanja bez osnove - korištenje nekretnina bez plaćanja naknade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DD2C66D" w14:textId="77777777" w:rsidR="004C24B6" w:rsidRDefault="004C24B6">
            <w:pPr>
              <w:jc w:val="center"/>
              <w:rPr>
                <w:sz w:val="22"/>
                <w:szCs w:val="22"/>
              </w:rPr>
            </w:pPr>
            <w:r>
              <w:rPr>
                <w:sz w:val="22"/>
                <w:szCs w:val="22"/>
              </w:rPr>
              <w:t>Hrvatski Telekom d.d. , Zagreb,</w:t>
            </w:r>
            <w:r>
              <w:rPr>
                <w:sz w:val="22"/>
                <w:szCs w:val="22"/>
              </w:rPr>
              <w:br/>
              <w:t>Roberta Frangeša Mihanovića 9</w:t>
            </w:r>
          </w:p>
        </w:tc>
        <w:tc>
          <w:tcPr>
            <w:tcW w:w="1559" w:type="dxa"/>
            <w:tcBorders>
              <w:top w:val="nil"/>
              <w:left w:val="nil"/>
              <w:bottom w:val="single" w:sz="4" w:space="0" w:color="auto"/>
              <w:right w:val="single" w:sz="4" w:space="0" w:color="auto"/>
            </w:tcBorders>
            <w:shd w:val="clear" w:color="auto" w:fill="auto"/>
            <w:vAlign w:val="center"/>
            <w:hideMark/>
          </w:tcPr>
          <w:p w14:paraId="2A131DAA" w14:textId="77777777" w:rsidR="004C24B6" w:rsidRDefault="004C24B6">
            <w:pPr>
              <w:jc w:val="center"/>
              <w:rPr>
                <w:sz w:val="22"/>
                <w:szCs w:val="22"/>
              </w:rPr>
            </w:pPr>
            <w:r>
              <w:rPr>
                <w:sz w:val="22"/>
                <w:szCs w:val="22"/>
              </w:rPr>
              <w:t>1.539.487,31</w:t>
            </w:r>
          </w:p>
        </w:tc>
        <w:tc>
          <w:tcPr>
            <w:tcW w:w="1559" w:type="dxa"/>
            <w:tcBorders>
              <w:top w:val="nil"/>
              <w:left w:val="nil"/>
              <w:bottom w:val="single" w:sz="4" w:space="0" w:color="auto"/>
              <w:right w:val="single" w:sz="4" w:space="0" w:color="auto"/>
            </w:tcBorders>
            <w:shd w:val="clear" w:color="auto" w:fill="auto"/>
            <w:vAlign w:val="center"/>
            <w:hideMark/>
          </w:tcPr>
          <w:p w14:paraId="3A65C2F9" w14:textId="77777777" w:rsidR="004C24B6" w:rsidRDefault="004C24B6">
            <w:pPr>
              <w:jc w:val="center"/>
              <w:rPr>
                <w:sz w:val="22"/>
                <w:szCs w:val="22"/>
              </w:rPr>
            </w:pPr>
            <w:r>
              <w:rPr>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14:paraId="6CF5977B" w14:textId="77777777" w:rsidR="004C24B6" w:rsidRDefault="004C24B6">
            <w:pPr>
              <w:jc w:val="center"/>
              <w:rPr>
                <w:sz w:val="22"/>
                <w:szCs w:val="22"/>
              </w:rPr>
            </w:pPr>
            <w:r>
              <w:rPr>
                <w:sz w:val="22"/>
                <w:szCs w:val="22"/>
              </w:rPr>
              <w:t>2023</w:t>
            </w:r>
          </w:p>
        </w:tc>
      </w:tr>
      <w:tr w:rsidR="004C24B6" w14:paraId="3E9A78F3" w14:textId="77777777" w:rsidTr="004C24B6">
        <w:trPr>
          <w:trHeight w:val="9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A9ED52" w14:textId="77777777" w:rsidR="004C24B6" w:rsidRDefault="004C24B6">
            <w:pPr>
              <w:jc w:val="center"/>
              <w:rPr>
                <w:sz w:val="22"/>
                <w:szCs w:val="22"/>
              </w:rPr>
            </w:pPr>
            <w:r>
              <w:rPr>
                <w:sz w:val="22"/>
                <w:szCs w:val="22"/>
              </w:rPr>
              <w:t>3.</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14:paraId="26021E49" w14:textId="77777777" w:rsidR="004C24B6" w:rsidRDefault="004C24B6">
            <w:pPr>
              <w:jc w:val="center"/>
              <w:rPr>
                <w:sz w:val="22"/>
                <w:szCs w:val="22"/>
              </w:rPr>
            </w:pPr>
            <w:r>
              <w:rPr>
                <w:sz w:val="22"/>
                <w:szCs w:val="22"/>
              </w:rPr>
              <w:t>Tužba radi isplate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A50928A" w14:textId="77777777" w:rsidR="004C24B6" w:rsidRDefault="004C24B6">
            <w:pPr>
              <w:jc w:val="center"/>
              <w:rPr>
                <w:sz w:val="22"/>
                <w:szCs w:val="22"/>
              </w:rPr>
            </w:pPr>
            <w:r>
              <w:rPr>
                <w:sz w:val="22"/>
                <w:szCs w:val="22"/>
              </w:rPr>
              <w:t>Hrvatski Telekom d.d. , Zagreb,</w:t>
            </w:r>
            <w:r>
              <w:rPr>
                <w:sz w:val="22"/>
                <w:szCs w:val="22"/>
              </w:rPr>
              <w:br/>
              <w:t>Roberta Frangeša Mihanovića 9</w:t>
            </w:r>
          </w:p>
        </w:tc>
        <w:tc>
          <w:tcPr>
            <w:tcW w:w="1559" w:type="dxa"/>
            <w:tcBorders>
              <w:top w:val="nil"/>
              <w:left w:val="nil"/>
              <w:bottom w:val="single" w:sz="4" w:space="0" w:color="auto"/>
              <w:right w:val="single" w:sz="4" w:space="0" w:color="auto"/>
            </w:tcBorders>
            <w:shd w:val="clear" w:color="auto" w:fill="auto"/>
            <w:vAlign w:val="center"/>
            <w:hideMark/>
          </w:tcPr>
          <w:p w14:paraId="40127E91" w14:textId="77777777" w:rsidR="004C24B6" w:rsidRDefault="004C24B6">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208E50A0" w14:textId="77777777" w:rsidR="004C24B6" w:rsidRDefault="004C24B6">
            <w:pPr>
              <w:jc w:val="center"/>
              <w:rPr>
                <w:sz w:val="22"/>
                <w:szCs w:val="22"/>
              </w:rPr>
            </w:pPr>
            <w:r>
              <w:rPr>
                <w:sz w:val="22"/>
                <w:szCs w:val="22"/>
              </w:rPr>
              <w:t>688.000,86</w:t>
            </w:r>
          </w:p>
        </w:tc>
        <w:tc>
          <w:tcPr>
            <w:tcW w:w="1417" w:type="dxa"/>
            <w:tcBorders>
              <w:top w:val="nil"/>
              <w:left w:val="nil"/>
              <w:bottom w:val="single" w:sz="4" w:space="0" w:color="auto"/>
              <w:right w:val="single" w:sz="4" w:space="0" w:color="auto"/>
            </w:tcBorders>
            <w:shd w:val="clear" w:color="auto" w:fill="auto"/>
            <w:vAlign w:val="center"/>
            <w:hideMark/>
          </w:tcPr>
          <w:p w14:paraId="0EB7DCB3" w14:textId="77777777" w:rsidR="004C24B6" w:rsidRDefault="004C24B6">
            <w:pPr>
              <w:jc w:val="center"/>
              <w:rPr>
                <w:sz w:val="22"/>
                <w:szCs w:val="22"/>
              </w:rPr>
            </w:pPr>
            <w:r>
              <w:rPr>
                <w:sz w:val="22"/>
                <w:szCs w:val="22"/>
              </w:rPr>
              <w:t>2024</w:t>
            </w:r>
          </w:p>
        </w:tc>
      </w:tr>
      <w:tr w:rsidR="004C24B6" w14:paraId="052674D0" w14:textId="77777777" w:rsidTr="004C24B6">
        <w:trPr>
          <w:trHeight w:val="8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1EC56A" w14:textId="77777777" w:rsidR="004C24B6" w:rsidRDefault="004C24B6">
            <w:pPr>
              <w:jc w:val="center"/>
              <w:rPr>
                <w:sz w:val="22"/>
                <w:szCs w:val="22"/>
              </w:rPr>
            </w:pPr>
            <w:r>
              <w:rPr>
                <w:sz w:val="22"/>
                <w:szCs w:val="22"/>
              </w:rPr>
              <w:t>4.</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14:paraId="028843C3" w14:textId="77777777" w:rsidR="004C24B6" w:rsidRDefault="004C24B6">
            <w:pPr>
              <w:jc w:val="center"/>
              <w:rPr>
                <w:sz w:val="22"/>
                <w:szCs w:val="22"/>
              </w:rPr>
            </w:pPr>
            <w:r>
              <w:rPr>
                <w:sz w:val="22"/>
                <w:szCs w:val="22"/>
              </w:rPr>
              <w:t xml:space="preserve"> Tužba radi priznanja ulaganja u poslovni prostor, Buje, Istarska 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09C318F" w14:textId="77777777" w:rsidR="004C24B6" w:rsidRDefault="004C24B6">
            <w:pPr>
              <w:jc w:val="center"/>
              <w:rPr>
                <w:sz w:val="22"/>
                <w:szCs w:val="22"/>
              </w:rPr>
            </w:pPr>
            <w:r>
              <w:rPr>
                <w:sz w:val="22"/>
                <w:szCs w:val="22"/>
              </w:rPr>
              <w:t>fizička osoba W.V., Buje</w:t>
            </w:r>
          </w:p>
        </w:tc>
        <w:tc>
          <w:tcPr>
            <w:tcW w:w="1559" w:type="dxa"/>
            <w:tcBorders>
              <w:top w:val="nil"/>
              <w:left w:val="nil"/>
              <w:bottom w:val="single" w:sz="4" w:space="0" w:color="auto"/>
              <w:right w:val="single" w:sz="4" w:space="0" w:color="auto"/>
            </w:tcBorders>
            <w:shd w:val="clear" w:color="auto" w:fill="auto"/>
            <w:vAlign w:val="center"/>
            <w:hideMark/>
          </w:tcPr>
          <w:p w14:paraId="43260AC0" w14:textId="77777777" w:rsidR="004C24B6" w:rsidRDefault="004C24B6">
            <w:pP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25774364" w14:textId="77777777" w:rsidR="004C24B6" w:rsidRDefault="004C24B6">
            <w:pPr>
              <w:jc w:val="center"/>
              <w:rPr>
                <w:sz w:val="22"/>
                <w:szCs w:val="22"/>
              </w:rPr>
            </w:pPr>
            <w:r>
              <w:rPr>
                <w:sz w:val="22"/>
                <w:szCs w:val="22"/>
              </w:rPr>
              <w:t xml:space="preserve">       206.063,70      </w:t>
            </w:r>
          </w:p>
        </w:tc>
        <w:tc>
          <w:tcPr>
            <w:tcW w:w="1417" w:type="dxa"/>
            <w:tcBorders>
              <w:top w:val="nil"/>
              <w:left w:val="nil"/>
              <w:bottom w:val="single" w:sz="4" w:space="0" w:color="auto"/>
              <w:right w:val="single" w:sz="4" w:space="0" w:color="auto"/>
            </w:tcBorders>
            <w:shd w:val="clear" w:color="auto" w:fill="auto"/>
            <w:vAlign w:val="center"/>
            <w:hideMark/>
          </w:tcPr>
          <w:p w14:paraId="6B610C6C" w14:textId="77777777" w:rsidR="004C24B6" w:rsidRDefault="004C24B6">
            <w:pPr>
              <w:jc w:val="center"/>
              <w:rPr>
                <w:sz w:val="22"/>
                <w:szCs w:val="22"/>
              </w:rPr>
            </w:pPr>
            <w:r>
              <w:rPr>
                <w:sz w:val="22"/>
                <w:szCs w:val="22"/>
              </w:rPr>
              <w:t>2023</w:t>
            </w:r>
          </w:p>
        </w:tc>
      </w:tr>
      <w:tr w:rsidR="004C24B6" w14:paraId="45043F2C" w14:textId="77777777" w:rsidTr="004C24B6">
        <w:trPr>
          <w:trHeight w:val="8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5C007E" w14:textId="77777777" w:rsidR="004C24B6" w:rsidRDefault="004C24B6">
            <w:pPr>
              <w:jc w:val="center"/>
              <w:rPr>
                <w:sz w:val="22"/>
                <w:szCs w:val="22"/>
              </w:rPr>
            </w:pPr>
            <w:r>
              <w:rPr>
                <w:sz w:val="22"/>
                <w:szCs w:val="22"/>
              </w:rPr>
              <w:t>5.</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14:paraId="778BACB3" w14:textId="77777777" w:rsidR="004C24B6" w:rsidRDefault="004C24B6">
            <w:pPr>
              <w:jc w:val="center"/>
              <w:rPr>
                <w:sz w:val="22"/>
                <w:szCs w:val="22"/>
              </w:rPr>
            </w:pPr>
            <w:r>
              <w:rPr>
                <w:sz w:val="22"/>
                <w:szCs w:val="22"/>
              </w:rPr>
              <w:t>Tužba radi predaje u posjed</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46D4171" w14:textId="77777777" w:rsidR="004C24B6" w:rsidRDefault="004C24B6">
            <w:pPr>
              <w:jc w:val="center"/>
              <w:rPr>
                <w:sz w:val="22"/>
                <w:szCs w:val="22"/>
              </w:rPr>
            </w:pPr>
            <w:r>
              <w:rPr>
                <w:sz w:val="22"/>
                <w:szCs w:val="22"/>
              </w:rPr>
              <w:t>fizička osoba G.Z.</w:t>
            </w:r>
          </w:p>
        </w:tc>
        <w:tc>
          <w:tcPr>
            <w:tcW w:w="1559" w:type="dxa"/>
            <w:tcBorders>
              <w:top w:val="nil"/>
              <w:left w:val="nil"/>
              <w:bottom w:val="single" w:sz="4" w:space="0" w:color="auto"/>
              <w:right w:val="single" w:sz="4" w:space="0" w:color="auto"/>
            </w:tcBorders>
            <w:shd w:val="clear" w:color="auto" w:fill="auto"/>
            <w:vAlign w:val="center"/>
            <w:hideMark/>
          </w:tcPr>
          <w:p w14:paraId="2E7473FA" w14:textId="77777777" w:rsidR="004C24B6" w:rsidRDefault="004C24B6">
            <w:pPr>
              <w:jc w:val="center"/>
              <w:rPr>
                <w:sz w:val="22"/>
                <w:szCs w:val="22"/>
              </w:rPr>
            </w:pPr>
            <w:r>
              <w:rPr>
                <w:sz w:val="22"/>
                <w:szCs w:val="22"/>
              </w:rPr>
              <w:t xml:space="preserve">       105.000,00      </w:t>
            </w:r>
          </w:p>
        </w:tc>
        <w:tc>
          <w:tcPr>
            <w:tcW w:w="1559" w:type="dxa"/>
            <w:tcBorders>
              <w:top w:val="nil"/>
              <w:left w:val="nil"/>
              <w:bottom w:val="single" w:sz="4" w:space="0" w:color="auto"/>
              <w:right w:val="single" w:sz="4" w:space="0" w:color="auto"/>
            </w:tcBorders>
            <w:shd w:val="clear" w:color="auto" w:fill="auto"/>
            <w:vAlign w:val="center"/>
            <w:hideMark/>
          </w:tcPr>
          <w:p w14:paraId="44921530" w14:textId="77777777" w:rsidR="004C24B6" w:rsidRDefault="004C24B6">
            <w:pPr>
              <w:jc w:val="center"/>
              <w:rPr>
                <w:sz w:val="22"/>
                <w:szCs w:val="22"/>
              </w:rPr>
            </w:pPr>
            <w:r>
              <w:rPr>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14:paraId="3343A456" w14:textId="77777777" w:rsidR="004C24B6" w:rsidRDefault="004C24B6">
            <w:pPr>
              <w:jc w:val="center"/>
              <w:rPr>
                <w:sz w:val="22"/>
                <w:szCs w:val="22"/>
              </w:rPr>
            </w:pPr>
            <w:r>
              <w:rPr>
                <w:sz w:val="22"/>
                <w:szCs w:val="22"/>
              </w:rPr>
              <w:t>2023</w:t>
            </w:r>
          </w:p>
        </w:tc>
      </w:tr>
      <w:tr w:rsidR="004C24B6" w14:paraId="2C2DDE82" w14:textId="77777777" w:rsidTr="004C24B6">
        <w:trPr>
          <w:trHeight w:val="8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F86336" w14:textId="77777777" w:rsidR="004C24B6" w:rsidRDefault="004C24B6">
            <w:pPr>
              <w:jc w:val="center"/>
              <w:rPr>
                <w:sz w:val="22"/>
                <w:szCs w:val="22"/>
              </w:rPr>
            </w:pPr>
            <w:r>
              <w:rPr>
                <w:sz w:val="22"/>
                <w:szCs w:val="22"/>
              </w:rPr>
              <w:t>6.</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14:paraId="2A02DB7F" w14:textId="77777777" w:rsidR="004C24B6" w:rsidRDefault="004C24B6">
            <w:pPr>
              <w:jc w:val="center"/>
              <w:rPr>
                <w:sz w:val="22"/>
                <w:szCs w:val="22"/>
              </w:rPr>
            </w:pPr>
            <w:r>
              <w:rPr>
                <w:sz w:val="22"/>
                <w:szCs w:val="22"/>
              </w:rPr>
              <w:t>Tužba radi isplate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AAB588C" w14:textId="77777777" w:rsidR="004C24B6" w:rsidRDefault="004C24B6">
            <w:pPr>
              <w:jc w:val="center"/>
              <w:rPr>
                <w:sz w:val="22"/>
                <w:szCs w:val="22"/>
              </w:rPr>
            </w:pPr>
            <w:r>
              <w:rPr>
                <w:sz w:val="22"/>
                <w:szCs w:val="22"/>
              </w:rPr>
              <w:t>fizička osoba M.Š.</w:t>
            </w:r>
          </w:p>
        </w:tc>
        <w:tc>
          <w:tcPr>
            <w:tcW w:w="1559" w:type="dxa"/>
            <w:tcBorders>
              <w:top w:val="nil"/>
              <w:left w:val="nil"/>
              <w:bottom w:val="single" w:sz="4" w:space="0" w:color="auto"/>
              <w:right w:val="single" w:sz="4" w:space="0" w:color="auto"/>
            </w:tcBorders>
            <w:shd w:val="clear" w:color="auto" w:fill="auto"/>
            <w:vAlign w:val="center"/>
            <w:hideMark/>
          </w:tcPr>
          <w:p w14:paraId="2A70E2A7" w14:textId="77777777" w:rsidR="004C24B6" w:rsidRDefault="004C24B6">
            <w:pPr>
              <w:jc w:val="center"/>
              <w:rPr>
                <w:sz w:val="22"/>
                <w:szCs w:val="22"/>
              </w:rPr>
            </w:pPr>
            <w:r>
              <w:rPr>
                <w:sz w:val="22"/>
                <w:szCs w:val="22"/>
              </w:rPr>
              <w:t xml:space="preserve">           8.195,25      </w:t>
            </w:r>
          </w:p>
        </w:tc>
        <w:tc>
          <w:tcPr>
            <w:tcW w:w="1559" w:type="dxa"/>
            <w:tcBorders>
              <w:top w:val="nil"/>
              <w:left w:val="nil"/>
              <w:bottom w:val="single" w:sz="4" w:space="0" w:color="auto"/>
              <w:right w:val="single" w:sz="4" w:space="0" w:color="auto"/>
            </w:tcBorders>
            <w:shd w:val="clear" w:color="auto" w:fill="auto"/>
            <w:vAlign w:val="center"/>
            <w:hideMark/>
          </w:tcPr>
          <w:p w14:paraId="47B3FACE" w14:textId="77777777" w:rsidR="004C24B6" w:rsidRDefault="004C24B6">
            <w:pPr>
              <w:jc w:val="center"/>
              <w:rPr>
                <w:sz w:val="22"/>
                <w:szCs w:val="22"/>
              </w:rPr>
            </w:pPr>
            <w:r>
              <w:rPr>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14:paraId="5EA99E61" w14:textId="77777777" w:rsidR="004C24B6" w:rsidRDefault="004C24B6">
            <w:pPr>
              <w:jc w:val="center"/>
              <w:rPr>
                <w:sz w:val="22"/>
                <w:szCs w:val="22"/>
              </w:rPr>
            </w:pPr>
            <w:r>
              <w:rPr>
                <w:sz w:val="22"/>
                <w:szCs w:val="22"/>
              </w:rPr>
              <w:t>2024</w:t>
            </w:r>
          </w:p>
        </w:tc>
      </w:tr>
      <w:tr w:rsidR="004C24B6" w14:paraId="7389D585" w14:textId="77777777" w:rsidTr="004C24B6">
        <w:trPr>
          <w:trHeight w:val="600"/>
        </w:trPr>
        <w:tc>
          <w:tcPr>
            <w:tcW w:w="43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DF0F2" w14:textId="77777777" w:rsidR="004C24B6" w:rsidRDefault="004C24B6">
            <w:pPr>
              <w:jc w:val="right"/>
              <w:rPr>
                <w:sz w:val="22"/>
                <w:szCs w:val="22"/>
              </w:rPr>
            </w:pPr>
            <w:r>
              <w:rPr>
                <w:sz w:val="22"/>
                <w:szCs w:val="22"/>
              </w:rPr>
              <w:t xml:space="preserve">UKUPNO </w:t>
            </w:r>
          </w:p>
        </w:tc>
        <w:tc>
          <w:tcPr>
            <w:tcW w:w="1559" w:type="dxa"/>
            <w:tcBorders>
              <w:top w:val="nil"/>
              <w:left w:val="nil"/>
              <w:bottom w:val="single" w:sz="4" w:space="0" w:color="auto"/>
              <w:right w:val="single" w:sz="4" w:space="0" w:color="auto"/>
            </w:tcBorders>
            <w:shd w:val="clear" w:color="auto" w:fill="auto"/>
            <w:vAlign w:val="center"/>
            <w:hideMark/>
          </w:tcPr>
          <w:p w14:paraId="6FD17E4E" w14:textId="77777777" w:rsidR="004C24B6" w:rsidRDefault="004C24B6">
            <w:pPr>
              <w:jc w:val="center"/>
              <w:rPr>
                <w:sz w:val="22"/>
                <w:szCs w:val="22"/>
              </w:rPr>
            </w:pPr>
            <w:r>
              <w:rPr>
                <w:sz w:val="22"/>
                <w:szCs w:val="22"/>
              </w:rPr>
              <w:t>1.652.682,56</w:t>
            </w:r>
          </w:p>
        </w:tc>
        <w:tc>
          <w:tcPr>
            <w:tcW w:w="1559" w:type="dxa"/>
            <w:tcBorders>
              <w:top w:val="nil"/>
              <w:left w:val="nil"/>
              <w:bottom w:val="single" w:sz="4" w:space="0" w:color="auto"/>
              <w:right w:val="single" w:sz="4" w:space="0" w:color="auto"/>
            </w:tcBorders>
            <w:shd w:val="clear" w:color="auto" w:fill="auto"/>
            <w:vAlign w:val="center"/>
            <w:hideMark/>
          </w:tcPr>
          <w:p w14:paraId="52E7630E" w14:textId="77777777" w:rsidR="004C24B6" w:rsidRDefault="004C24B6">
            <w:pPr>
              <w:jc w:val="center"/>
              <w:rPr>
                <w:sz w:val="22"/>
                <w:szCs w:val="22"/>
              </w:rPr>
            </w:pPr>
            <w:r>
              <w:rPr>
                <w:sz w:val="22"/>
                <w:szCs w:val="22"/>
              </w:rPr>
              <w:t>1.894.069,56</w:t>
            </w:r>
          </w:p>
        </w:tc>
        <w:tc>
          <w:tcPr>
            <w:tcW w:w="1417" w:type="dxa"/>
            <w:tcBorders>
              <w:top w:val="nil"/>
              <w:left w:val="nil"/>
              <w:bottom w:val="single" w:sz="4" w:space="0" w:color="auto"/>
              <w:right w:val="single" w:sz="4" w:space="0" w:color="auto"/>
            </w:tcBorders>
            <w:shd w:val="clear" w:color="auto" w:fill="auto"/>
            <w:vAlign w:val="center"/>
            <w:hideMark/>
          </w:tcPr>
          <w:p w14:paraId="11CFFF82" w14:textId="77777777" w:rsidR="004C24B6" w:rsidRDefault="004C24B6">
            <w:pPr>
              <w:jc w:val="center"/>
              <w:rPr>
                <w:sz w:val="22"/>
                <w:szCs w:val="22"/>
              </w:rPr>
            </w:pPr>
            <w:r>
              <w:rPr>
                <w:sz w:val="22"/>
                <w:szCs w:val="22"/>
              </w:rPr>
              <w:t> </w:t>
            </w:r>
          </w:p>
        </w:tc>
      </w:tr>
    </w:tbl>
    <w:p w14:paraId="5A9F3F4C" w14:textId="77777777" w:rsidR="004C24B6" w:rsidRPr="00F13AA2" w:rsidRDefault="004C24B6" w:rsidP="00F51240">
      <w:pPr>
        <w:pStyle w:val="Subtitle1"/>
        <w:rPr>
          <w:rFonts w:ascii="Times New Roman" w:hAnsi="Times New Roman"/>
          <w:sz w:val="24"/>
          <w:szCs w:val="24"/>
        </w:rPr>
      </w:pPr>
    </w:p>
    <w:p w14:paraId="3002018D" w14:textId="77777777" w:rsidR="000A7BE0" w:rsidRPr="008D615A" w:rsidRDefault="000A7BE0" w:rsidP="008D615A">
      <w:pPr>
        <w:pStyle w:val="Subtitle1"/>
        <w:rPr>
          <w:rFonts w:ascii="Times New Roman" w:hAnsi="Times New Roman"/>
          <w:sz w:val="22"/>
          <w:szCs w:val="22"/>
          <w:lang w:val="pl-PL"/>
        </w:rPr>
      </w:pPr>
    </w:p>
    <w:p w14:paraId="47D418E6" w14:textId="77777777" w:rsidR="004B782B" w:rsidRPr="001D4A9F" w:rsidRDefault="00A37624" w:rsidP="006D0589">
      <w:pPr>
        <w:autoSpaceDE w:val="0"/>
        <w:autoSpaceDN w:val="0"/>
        <w:adjustRightInd w:val="0"/>
        <w:rPr>
          <w:spacing w:val="-3"/>
          <w:sz w:val="22"/>
          <w:szCs w:val="22"/>
          <w:u w:val="single"/>
          <w:lang w:val="pl-PL"/>
        </w:rPr>
      </w:pPr>
      <w:r w:rsidRPr="001D4A9F">
        <w:rPr>
          <w:spacing w:val="-3"/>
          <w:sz w:val="22"/>
          <w:szCs w:val="22"/>
          <w:u w:val="single"/>
          <w:lang w:val="pl-PL"/>
        </w:rPr>
        <w:t>Grad</w:t>
      </w:r>
    </w:p>
    <w:p w14:paraId="2ECC1B27" w14:textId="22290123" w:rsidR="00A37624" w:rsidRDefault="00A37624" w:rsidP="00274D53">
      <w:pPr>
        <w:autoSpaceDE w:val="0"/>
        <w:autoSpaceDN w:val="0"/>
        <w:adjustRightInd w:val="0"/>
        <w:ind w:firstLine="708"/>
        <w:rPr>
          <w:spacing w:val="-3"/>
          <w:sz w:val="22"/>
          <w:szCs w:val="22"/>
          <w:lang w:val="pl-PL"/>
        </w:rPr>
      </w:pPr>
      <w:r>
        <w:rPr>
          <w:spacing w:val="-3"/>
          <w:sz w:val="22"/>
          <w:szCs w:val="22"/>
          <w:lang w:val="pl-PL"/>
        </w:rPr>
        <w:t xml:space="preserve">Grad Buje – Buie vodi </w:t>
      </w:r>
      <w:r w:rsidR="004C24B6">
        <w:rPr>
          <w:spacing w:val="-3"/>
          <w:sz w:val="22"/>
          <w:szCs w:val="22"/>
          <w:lang w:val="pl-PL"/>
        </w:rPr>
        <w:t>3</w:t>
      </w:r>
      <w:r>
        <w:rPr>
          <w:spacing w:val="-3"/>
          <w:sz w:val="22"/>
          <w:szCs w:val="22"/>
          <w:lang w:val="pl-PL"/>
        </w:rPr>
        <w:t xml:space="preserve"> sudsk</w:t>
      </w:r>
      <w:r w:rsidR="004C24B6">
        <w:rPr>
          <w:spacing w:val="-3"/>
          <w:sz w:val="22"/>
          <w:szCs w:val="22"/>
          <w:lang w:val="pl-PL"/>
        </w:rPr>
        <w:t>a</w:t>
      </w:r>
      <w:r>
        <w:rPr>
          <w:spacing w:val="-3"/>
          <w:sz w:val="22"/>
          <w:szCs w:val="22"/>
          <w:lang w:val="pl-PL"/>
        </w:rPr>
        <w:t xml:space="preserve"> spor</w:t>
      </w:r>
      <w:r w:rsidR="004C24B6">
        <w:rPr>
          <w:spacing w:val="-3"/>
          <w:sz w:val="22"/>
          <w:szCs w:val="22"/>
          <w:lang w:val="pl-PL"/>
        </w:rPr>
        <w:t>a</w:t>
      </w:r>
      <w:r>
        <w:rPr>
          <w:spacing w:val="-3"/>
          <w:sz w:val="22"/>
          <w:szCs w:val="22"/>
          <w:lang w:val="pl-PL"/>
        </w:rPr>
        <w:t xml:space="preserve"> potencijalne vrijednosti obveza od </w:t>
      </w:r>
      <w:r w:rsidR="00A059CC">
        <w:rPr>
          <w:spacing w:val="-3"/>
          <w:sz w:val="22"/>
          <w:szCs w:val="22"/>
          <w:lang w:val="pl-PL"/>
        </w:rPr>
        <w:t>1.894.069,56</w:t>
      </w:r>
      <w:r>
        <w:rPr>
          <w:spacing w:val="-3"/>
          <w:sz w:val="22"/>
          <w:szCs w:val="22"/>
          <w:lang w:val="pl-PL"/>
        </w:rPr>
        <w:t xml:space="preserve"> kuna, a istovremeno vodi </w:t>
      </w:r>
      <w:r w:rsidR="00170109">
        <w:rPr>
          <w:spacing w:val="-3"/>
          <w:sz w:val="22"/>
          <w:szCs w:val="22"/>
          <w:lang w:val="pl-PL"/>
        </w:rPr>
        <w:t xml:space="preserve">i </w:t>
      </w:r>
      <w:r w:rsidR="00A059CC">
        <w:rPr>
          <w:spacing w:val="-3"/>
          <w:sz w:val="22"/>
          <w:szCs w:val="22"/>
          <w:lang w:val="pl-PL"/>
        </w:rPr>
        <w:t>3</w:t>
      </w:r>
      <w:r>
        <w:rPr>
          <w:spacing w:val="-3"/>
          <w:sz w:val="22"/>
          <w:szCs w:val="22"/>
          <w:lang w:val="pl-PL"/>
        </w:rPr>
        <w:t xml:space="preserve"> sudsk</w:t>
      </w:r>
      <w:r w:rsidR="006A2B7F">
        <w:rPr>
          <w:spacing w:val="-3"/>
          <w:sz w:val="22"/>
          <w:szCs w:val="22"/>
          <w:lang w:val="pl-PL"/>
        </w:rPr>
        <w:t>a</w:t>
      </w:r>
      <w:r>
        <w:rPr>
          <w:spacing w:val="-3"/>
          <w:sz w:val="22"/>
          <w:szCs w:val="22"/>
          <w:lang w:val="pl-PL"/>
        </w:rPr>
        <w:t xml:space="preserve"> spor</w:t>
      </w:r>
      <w:r w:rsidR="006A2B7F">
        <w:rPr>
          <w:spacing w:val="-3"/>
          <w:sz w:val="22"/>
          <w:szCs w:val="22"/>
          <w:lang w:val="pl-PL"/>
        </w:rPr>
        <w:t>a</w:t>
      </w:r>
      <w:r>
        <w:rPr>
          <w:spacing w:val="-3"/>
          <w:sz w:val="22"/>
          <w:szCs w:val="22"/>
          <w:lang w:val="pl-PL"/>
        </w:rPr>
        <w:t xml:space="preserve"> potencijalne imovine u vrijednosti od 1.</w:t>
      </w:r>
      <w:r w:rsidR="00A059CC">
        <w:rPr>
          <w:spacing w:val="-3"/>
          <w:sz w:val="22"/>
          <w:szCs w:val="22"/>
          <w:lang w:val="pl-PL"/>
        </w:rPr>
        <w:t>652.682,56</w:t>
      </w:r>
      <w:r>
        <w:rPr>
          <w:spacing w:val="-3"/>
          <w:sz w:val="22"/>
          <w:szCs w:val="22"/>
          <w:lang w:val="pl-PL"/>
        </w:rPr>
        <w:t xml:space="preserve"> kuna.</w:t>
      </w:r>
    </w:p>
    <w:p w14:paraId="673A7AB6" w14:textId="77777777" w:rsidR="00A37624" w:rsidRDefault="00A37624" w:rsidP="006D0589">
      <w:pPr>
        <w:autoSpaceDE w:val="0"/>
        <w:autoSpaceDN w:val="0"/>
        <w:adjustRightInd w:val="0"/>
        <w:rPr>
          <w:spacing w:val="-3"/>
          <w:sz w:val="22"/>
          <w:szCs w:val="22"/>
          <w:lang w:val="pl-PL"/>
        </w:rPr>
      </w:pPr>
    </w:p>
    <w:p w14:paraId="49828643" w14:textId="77777777" w:rsidR="00A37624" w:rsidRPr="001D4A9F" w:rsidRDefault="00A37624" w:rsidP="006D0589">
      <w:pPr>
        <w:autoSpaceDE w:val="0"/>
        <w:autoSpaceDN w:val="0"/>
        <w:adjustRightInd w:val="0"/>
        <w:rPr>
          <w:spacing w:val="-3"/>
          <w:sz w:val="22"/>
          <w:szCs w:val="22"/>
          <w:u w:val="single"/>
          <w:lang w:val="pl-PL"/>
        </w:rPr>
      </w:pPr>
      <w:r w:rsidRPr="001D4A9F">
        <w:rPr>
          <w:spacing w:val="-3"/>
          <w:sz w:val="22"/>
          <w:szCs w:val="22"/>
          <w:u w:val="single"/>
          <w:lang w:val="pl-PL"/>
        </w:rPr>
        <w:t>Proračunski korisnici</w:t>
      </w:r>
    </w:p>
    <w:p w14:paraId="2F6592A1" w14:textId="1EDDD58A" w:rsidR="00A37624" w:rsidRDefault="00A37624" w:rsidP="00274D53">
      <w:pPr>
        <w:autoSpaceDE w:val="0"/>
        <w:autoSpaceDN w:val="0"/>
        <w:adjustRightInd w:val="0"/>
        <w:ind w:firstLine="708"/>
        <w:rPr>
          <w:spacing w:val="-3"/>
          <w:sz w:val="22"/>
          <w:szCs w:val="22"/>
          <w:lang w:val="pl-PL"/>
        </w:rPr>
      </w:pPr>
      <w:r>
        <w:rPr>
          <w:spacing w:val="-3"/>
          <w:sz w:val="22"/>
          <w:szCs w:val="22"/>
          <w:lang w:val="pl-PL"/>
        </w:rPr>
        <w:t>Proračunski korisnici nemaju aktivnih sudskih sporova</w:t>
      </w:r>
      <w:r w:rsidR="001D4A9F">
        <w:rPr>
          <w:spacing w:val="-3"/>
          <w:sz w:val="22"/>
          <w:szCs w:val="22"/>
          <w:lang w:val="pl-PL"/>
        </w:rPr>
        <w:t>.</w:t>
      </w:r>
      <w:r>
        <w:rPr>
          <w:spacing w:val="-3"/>
          <w:sz w:val="22"/>
          <w:szCs w:val="22"/>
          <w:lang w:val="pl-PL"/>
        </w:rPr>
        <w:t xml:space="preserve"> </w:t>
      </w:r>
    </w:p>
    <w:sectPr w:rsidR="00A37624" w:rsidSect="0029539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D0A32" w14:textId="77777777" w:rsidR="00ED5CFD" w:rsidRDefault="00ED5CFD">
      <w:r>
        <w:separator/>
      </w:r>
    </w:p>
  </w:endnote>
  <w:endnote w:type="continuationSeparator" w:id="0">
    <w:p w14:paraId="6B4553DD" w14:textId="77777777" w:rsidR="00ED5CFD" w:rsidRDefault="00ED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937370"/>
      <w:docPartObj>
        <w:docPartGallery w:val="Page Numbers (Bottom of Page)"/>
        <w:docPartUnique/>
      </w:docPartObj>
    </w:sdtPr>
    <w:sdtContent>
      <w:p w14:paraId="47E9E7B4" w14:textId="51B4AD25" w:rsidR="00976031" w:rsidRDefault="00000000">
        <w:pPr>
          <w:pStyle w:val="Podnoje"/>
          <w:jc w:val="right"/>
        </w:pPr>
      </w:p>
    </w:sdtContent>
  </w:sdt>
  <w:p w14:paraId="3042F750" w14:textId="77777777" w:rsidR="008602BF" w:rsidRDefault="008602B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370247"/>
      <w:docPartObj>
        <w:docPartGallery w:val="Page Numbers (Bottom of Page)"/>
        <w:docPartUnique/>
      </w:docPartObj>
    </w:sdtPr>
    <w:sdtContent>
      <w:p w14:paraId="492142EA" w14:textId="77777777" w:rsidR="00976031" w:rsidRDefault="00976031">
        <w:pPr>
          <w:pStyle w:val="Podnoje"/>
          <w:jc w:val="right"/>
        </w:pPr>
        <w:r>
          <w:fldChar w:fldCharType="begin"/>
        </w:r>
        <w:r>
          <w:instrText>PAGE   \* MERGEFORMAT</w:instrText>
        </w:r>
        <w:r>
          <w:fldChar w:fldCharType="separate"/>
        </w:r>
        <w:r>
          <w:t>2</w:t>
        </w:r>
        <w:r>
          <w:fldChar w:fldCharType="end"/>
        </w:r>
      </w:p>
    </w:sdtContent>
  </w:sdt>
  <w:p w14:paraId="1C10F5DC" w14:textId="77777777" w:rsidR="00976031" w:rsidRDefault="0097603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FB9A2" w14:textId="77777777" w:rsidR="00ED5CFD" w:rsidRDefault="00ED5CFD">
      <w:r>
        <w:separator/>
      </w:r>
    </w:p>
  </w:footnote>
  <w:footnote w:type="continuationSeparator" w:id="0">
    <w:p w14:paraId="4C477B3E" w14:textId="77777777" w:rsidR="00ED5CFD" w:rsidRDefault="00ED5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DA1C" w14:textId="1CA6927C" w:rsidR="003533D1" w:rsidRPr="003533D1" w:rsidRDefault="003533D1">
    <w:pPr>
      <w:pStyle w:val="Zaglavlje"/>
    </w:pPr>
    <w:r>
      <w:tab/>
    </w:r>
    <w:r>
      <w:tab/>
    </w:r>
  </w:p>
  <w:p w14:paraId="6ED3DB2C" w14:textId="77777777" w:rsidR="003533D1" w:rsidRDefault="003533D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24B"/>
    <w:multiLevelType w:val="hybridMultilevel"/>
    <w:tmpl w:val="65F6EEA6"/>
    <w:lvl w:ilvl="0" w:tplc="EF0EA80C">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2E49A9"/>
    <w:multiLevelType w:val="hybridMultilevel"/>
    <w:tmpl w:val="9ADC76DA"/>
    <w:lvl w:ilvl="0" w:tplc="4C90B27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D5FF1"/>
    <w:multiLevelType w:val="hybridMultilevel"/>
    <w:tmpl w:val="B9C8D906"/>
    <w:lvl w:ilvl="0" w:tplc="DED8894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E6DD8"/>
    <w:multiLevelType w:val="multilevel"/>
    <w:tmpl w:val="21400EF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15:restartNumberingAfterBreak="0">
    <w:nsid w:val="46656632"/>
    <w:multiLevelType w:val="hybridMultilevel"/>
    <w:tmpl w:val="57D018B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9853DC6"/>
    <w:multiLevelType w:val="hybridMultilevel"/>
    <w:tmpl w:val="315CFABE"/>
    <w:lvl w:ilvl="0" w:tplc="AFA4CB22">
      <w:start w:val="4"/>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9F62480"/>
    <w:multiLevelType w:val="multilevel"/>
    <w:tmpl w:val="FE662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CE07666"/>
    <w:multiLevelType w:val="hybridMultilevel"/>
    <w:tmpl w:val="FCDC067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C069F7"/>
    <w:multiLevelType w:val="hybridMultilevel"/>
    <w:tmpl w:val="373A112C"/>
    <w:lvl w:ilvl="0" w:tplc="E26E46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AA339B3"/>
    <w:multiLevelType w:val="hybridMultilevel"/>
    <w:tmpl w:val="711A6F1A"/>
    <w:lvl w:ilvl="0" w:tplc="9C20EC1C">
      <w:start w:val="1"/>
      <w:numFmt w:val="decimal"/>
      <w:pStyle w:val="Title1"/>
      <w:lvlText w:val="%1."/>
      <w:lvlJc w:val="left"/>
      <w:pPr>
        <w:ind w:left="9291" w:hanging="360"/>
      </w:pPr>
    </w:lvl>
    <w:lvl w:ilvl="1" w:tplc="041A0019" w:tentative="1">
      <w:start w:val="1"/>
      <w:numFmt w:val="lowerLetter"/>
      <w:lvlText w:val="%2."/>
      <w:lvlJc w:val="left"/>
      <w:pPr>
        <w:ind w:left="1659" w:hanging="360"/>
      </w:pPr>
    </w:lvl>
    <w:lvl w:ilvl="2" w:tplc="041A001B" w:tentative="1">
      <w:start w:val="1"/>
      <w:numFmt w:val="lowerRoman"/>
      <w:lvlText w:val="%3."/>
      <w:lvlJc w:val="right"/>
      <w:pPr>
        <w:ind w:left="2379" w:hanging="180"/>
      </w:pPr>
    </w:lvl>
    <w:lvl w:ilvl="3" w:tplc="041A000F" w:tentative="1">
      <w:start w:val="1"/>
      <w:numFmt w:val="decimal"/>
      <w:lvlText w:val="%4."/>
      <w:lvlJc w:val="left"/>
      <w:pPr>
        <w:ind w:left="3099" w:hanging="360"/>
      </w:pPr>
    </w:lvl>
    <w:lvl w:ilvl="4" w:tplc="041A0019" w:tentative="1">
      <w:start w:val="1"/>
      <w:numFmt w:val="lowerLetter"/>
      <w:lvlText w:val="%5."/>
      <w:lvlJc w:val="left"/>
      <w:pPr>
        <w:ind w:left="3819" w:hanging="360"/>
      </w:pPr>
    </w:lvl>
    <w:lvl w:ilvl="5" w:tplc="041A001B" w:tentative="1">
      <w:start w:val="1"/>
      <w:numFmt w:val="lowerRoman"/>
      <w:lvlText w:val="%6."/>
      <w:lvlJc w:val="right"/>
      <w:pPr>
        <w:ind w:left="4539" w:hanging="180"/>
      </w:pPr>
    </w:lvl>
    <w:lvl w:ilvl="6" w:tplc="041A000F" w:tentative="1">
      <w:start w:val="1"/>
      <w:numFmt w:val="decimal"/>
      <w:lvlText w:val="%7."/>
      <w:lvlJc w:val="left"/>
      <w:pPr>
        <w:ind w:left="5259" w:hanging="360"/>
      </w:pPr>
    </w:lvl>
    <w:lvl w:ilvl="7" w:tplc="041A0019" w:tentative="1">
      <w:start w:val="1"/>
      <w:numFmt w:val="lowerLetter"/>
      <w:lvlText w:val="%8."/>
      <w:lvlJc w:val="left"/>
      <w:pPr>
        <w:ind w:left="5979" w:hanging="360"/>
      </w:pPr>
    </w:lvl>
    <w:lvl w:ilvl="8" w:tplc="041A001B" w:tentative="1">
      <w:start w:val="1"/>
      <w:numFmt w:val="lowerRoman"/>
      <w:lvlText w:val="%9."/>
      <w:lvlJc w:val="right"/>
      <w:pPr>
        <w:ind w:left="6699" w:hanging="180"/>
      </w:pPr>
    </w:lvl>
  </w:abstractNum>
  <w:abstractNum w:abstractNumId="10" w15:restartNumberingAfterBreak="0">
    <w:nsid w:val="6DD0053C"/>
    <w:multiLevelType w:val="hybridMultilevel"/>
    <w:tmpl w:val="507AA8F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24520C5"/>
    <w:multiLevelType w:val="hybridMultilevel"/>
    <w:tmpl w:val="9536E31A"/>
    <w:lvl w:ilvl="0" w:tplc="6AB87AC0">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64111460">
    <w:abstractNumId w:val="2"/>
  </w:num>
  <w:num w:numId="2" w16cid:durableId="807085993">
    <w:abstractNumId w:val="0"/>
  </w:num>
  <w:num w:numId="3" w16cid:durableId="258032002">
    <w:abstractNumId w:val="3"/>
  </w:num>
  <w:num w:numId="4" w16cid:durableId="74397580">
    <w:abstractNumId w:val="5"/>
  </w:num>
  <w:num w:numId="5" w16cid:durableId="1341201887">
    <w:abstractNumId w:val="9"/>
  </w:num>
  <w:num w:numId="6" w16cid:durableId="952832909">
    <w:abstractNumId w:val="1"/>
  </w:num>
  <w:num w:numId="7" w16cid:durableId="2095591767">
    <w:abstractNumId w:val="11"/>
  </w:num>
  <w:num w:numId="8" w16cid:durableId="205216436">
    <w:abstractNumId w:val="4"/>
  </w:num>
  <w:num w:numId="9" w16cid:durableId="1703241297">
    <w:abstractNumId w:val="10"/>
  </w:num>
  <w:num w:numId="10" w16cid:durableId="216556142">
    <w:abstractNumId w:val="7"/>
  </w:num>
  <w:num w:numId="11" w16cid:durableId="1999839118">
    <w:abstractNumId w:val="9"/>
    <w:lvlOverride w:ilvl="0">
      <w:startOverride w:val="1"/>
    </w:lvlOverride>
  </w:num>
  <w:num w:numId="12" w16cid:durableId="441074200">
    <w:abstractNumId w:val="9"/>
  </w:num>
  <w:num w:numId="13" w16cid:durableId="533539720">
    <w:abstractNumId w:val="9"/>
    <w:lvlOverride w:ilvl="0">
      <w:startOverride w:val="1"/>
    </w:lvlOverride>
  </w:num>
  <w:num w:numId="14" w16cid:durableId="395905569">
    <w:abstractNumId w:val="9"/>
  </w:num>
  <w:num w:numId="15" w16cid:durableId="543756687">
    <w:abstractNumId w:val="9"/>
    <w:lvlOverride w:ilvl="0">
      <w:startOverride w:val="1"/>
    </w:lvlOverride>
  </w:num>
  <w:num w:numId="16" w16cid:durableId="1172989587">
    <w:abstractNumId w:val="9"/>
    <w:lvlOverride w:ilvl="0">
      <w:startOverride w:val="1"/>
    </w:lvlOverride>
  </w:num>
  <w:num w:numId="17" w16cid:durableId="160976639">
    <w:abstractNumId w:val="9"/>
  </w:num>
  <w:num w:numId="18" w16cid:durableId="104734458">
    <w:abstractNumId w:val="1"/>
  </w:num>
  <w:num w:numId="19" w16cid:durableId="4507891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3402049">
    <w:abstractNumId w:val="9"/>
  </w:num>
  <w:num w:numId="21" w16cid:durableId="1475679368">
    <w:abstractNumId w:val="9"/>
  </w:num>
  <w:num w:numId="22" w16cid:durableId="136239425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38"/>
    <w:rsid w:val="00001A82"/>
    <w:rsid w:val="00001ADE"/>
    <w:rsid w:val="00001C2F"/>
    <w:rsid w:val="00001F88"/>
    <w:rsid w:val="0000227A"/>
    <w:rsid w:val="000027B7"/>
    <w:rsid w:val="00004131"/>
    <w:rsid w:val="000067DF"/>
    <w:rsid w:val="0000690D"/>
    <w:rsid w:val="00007D33"/>
    <w:rsid w:val="00007E10"/>
    <w:rsid w:val="00010CB0"/>
    <w:rsid w:val="00011452"/>
    <w:rsid w:val="000118E6"/>
    <w:rsid w:val="00012068"/>
    <w:rsid w:val="0001235A"/>
    <w:rsid w:val="00012B0B"/>
    <w:rsid w:val="00013070"/>
    <w:rsid w:val="00015006"/>
    <w:rsid w:val="0001560E"/>
    <w:rsid w:val="00015B21"/>
    <w:rsid w:val="00016E6D"/>
    <w:rsid w:val="000175D8"/>
    <w:rsid w:val="00017A12"/>
    <w:rsid w:val="000201B3"/>
    <w:rsid w:val="000203BE"/>
    <w:rsid w:val="00020B65"/>
    <w:rsid w:val="00021199"/>
    <w:rsid w:val="00021D4F"/>
    <w:rsid w:val="00022592"/>
    <w:rsid w:val="00022C57"/>
    <w:rsid w:val="00023351"/>
    <w:rsid w:val="000238B6"/>
    <w:rsid w:val="00023E33"/>
    <w:rsid w:val="000243DD"/>
    <w:rsid w:val="000246C7"/>
    <w:rsid w:val="00024908"/>
    <w:rsid w:val="00024ED2"/>
    <w:rsid w:val="000254C9"/>
    <w:rsid w:val="0002557B"/>
    <w:rsid w:val="00025A04"/>
    <w:rsid w:val="00026994"/>
    <w:rsid w:val="00027216"/>
    <w:rsid w:val="000272CD"/>
    <w:rsid w:val="00031637"/>
    <w:rsid w:val="00032546"/>
    <w:rsid w:val="000325E0"/>
    <w:rsid w:val="0003368B"/>
    <w:rsid w:val="0003488A"/>
    <w:rsid w:val="00034CEF"/>
    <w:rsid w:val="000365D8"/>
    <w:rsid w:val="000376F5"/>
    <w:rsid w:val="00037A21"/>
    <w:rsid w:val="00037DB1"/>
    <w:rsid w:val="00037F5B"/>
    <w:rsid w:val="0004004D"/>
    <w:rsid w:val="0004076D"/>
    <w:rsid w:val="0004109B"/>
    <w:rsid w:val="00041CAB"/>
    <w:rsid w:val="00042274"/>
    <w:rsid w:val="00043FA8"/>
    <w:rsid w:val="0004402D"/>
    <w:rsid w:val="00044804"/>
    <w:rsid w:val="00044BEA"/>
    <w:rsid w:val="0004537F"/>
    <w:rsid w:val="00046533"/>
    <w:rsid w:val="000465C8"/>
    <w:rsid w:val="000466B8"/>
    <w:rsid w:val="00046956"/>
    <w:rsid w:val="000473FF"/>
    <w:rsid w:val="0004778C"/>
    <w:rsid w:val="00047FA2"/>
    <w:rsid w:val="00050113"/>
    <w:rsid w:val="0005034D"/>
    <w:rsid w:val="00051946"/>
    <w:rsid w:val="00051C5D"/>
    <w:rsid w:val="0005555F"/>
    <w:rsid w:val="00056099"/>
    <w:rsid w:val="00056312"/>
    <w:rsid w:val="00056D4F"/>
    <w:rsid w:val="00057668"/>
    <w:rsid w:val="00057F1E"/>
    <w:rsid w:val="00057F51"/>
    <w:rsid w:val="0006013F"/>
    <w:rsid w:val="00060DE8"/>
    <w:rsid w:val="0006178C"/>
    <w:rsid w:val="0006352D"/>
    <w:rsid w:val="00064751"/>
    <w:rsid w:val="0006561E"/>
    <w:rsid w:val="0006772C"/>
    <w:rsid w:val="00070292"/>
    <w:rsid w:val="0007031F"/>
    <w:rsid w:val="00070C01"/>
    <w:rsid w:val="000716FD"/>
    <w:rsid w:val="00072DC8"/>
    <w:rsid w:val="00072EB9"/>
    <w:rsid w:val="00072FBD"/>
    <w:rsid w:val="00073586"/>
    <w:rsid w:val="00073B28"/>
    <w:rsid w:val="00073D37"/>
    <w:rsid w:val="0007453B"/>
    <w:rsid w:val="00076052"/>
    <w:rsid w:val="00076387"/>
    <w:rsid w:val="00076A26"/>
    <w:rsid w:val="00077718"/>
    <w:rsid w:val="00081599"/>
    <w:rsid w:val="00081EC9"/>
    <w:rsid w:val="000820D7"/>
    <w:rsid w:val="00082F8B"/>
    <w:rsid w:val="00083139"/>
    <w:rsid w:val="00084BAD"/>
    <w:rsid w:val="00085D52"/>
    <w:rsid w:val="000867EC"/>
    <w:rsid w:val="00086CD8"/>
    <w:rsid w:val="000873CF"/>
    <w:rsid w:val="00087619"/>
    <w:rsid w:val="00087F41"/>
    <w:rsid w:val="00090548"/>
    <w:rsid w:val="00090F41"/>
    <w:rsid w:val="00091672"/>
    <w:rsid w:val="00091AFA"/>
    <w:rsid w:val="00091D17"/>
    <w:rsid w:val="0009263F"/>
    <w:rsid w:val="00092904"/>
    <w:rsid w:val="00093EE6"/>
    <w:rsid w:val="00094691"/>
    <w:rsid w:val="00095519"/>
    <w:rsid w:val="00095774"/>
    <w:rsid w:val="0009589E"/>
    <w:rsid w:val="00096DA0"/>
    <w:rsid w:val="00096E2F"/>
    <w:rsid w:val="000A05B1"/>
    <w:rsid w:val="000A143A"/>
    <w:rsid w:val="000A16C4"/>
    <w:rsid w:val="000A22E1"/>
    <w:rsid w:val="000A2790"/>
    <w:rsid w:val="000A28B3"/>
    <w:rsid w:val="000A3447"/>
    <w:rsid w:val="000A387D"/>
    <w:rsid w:val="000A4E1E"/>
    <w:rsid w:val="000A5081"/>
    <w:rsid w:val="000A5241"/>
    <w:rsid w:val="000A5B57"/>
    <w:rsid w:val="000A61B3"/>
    <w:rsid w:val="000A7BE0"/>
    <w:rsid w:val="000B0134"/>
    <w:rsid w:val="000B0168"/>
    <w:rsid w:val="000B0512"/>
    <w:rsid w:val="000B08DA"/>
    <w:rsid w:val="000B13A8"/>
    <w:rsid w:val="000B1B83"/>
    <w:rsid w:val="000B22BE"/>
    <w:rsid w:val="000B2676"/>
    <w:rsid w:val="000B2C68"/>
    <w:rsid w:val="000B3E57"/>
    <w:rsid w:val="000B3EB0"/>
    <w:rsid w:val="000B405C"/>
    <w:rsid w:val="000B49AF"/>
    <w:rsid w:val="000B4BDF"/>
    <w:rsid w:val="000B4C80"/>
    <w:rsid w:val="000B5305"/>
    <w:rsid w:val="000B62DC"/>
    <w:rsid w:val="000B6F34"/>
    <w:rsid w:val="000C0698"/>
    <w:rsid w:val="000C107C"/>
    <w:rsid w:val="000C1151"/>
    <w:rsid w:val="000C1B91"/>
    <w:rsid w:val="000C29FA"/>
    <w:rsid w:val="000C2DD0"/>
    <w:rsid w:val="000C2F3A"/>
    <w:rsid w:val="000C3E3F"/>
    <w:rsid w:val="000C4EEF"/>
    <w:rsid w:val="000C569B"/>
    <w:rsid w:val="000C5AFA"/>
    <w:rsid w:val="000C6622"/>
    <w:rsid w:val="000C7354"/>
    <w:rsid w:val="000C766A"/>
    <w:rsid w:val="000C7A7C"/>
    <w:rsid w:val="000C7BB9"/>
    <w:rsid w:val="000D0928"/>
    <w:rsid w:val="000D0AC9"/>
    <w:rsid w:val="000D1D71"/>
    <w:rsid w:val="000D2D36"/>
    <w:rsid w:val="000D3170"/>
    <w:rsid w:val="000D365C"/>
    <w:rsid w:val="000D41F4"/>
    <w:rsid w:val="000D57E9"/>
    <w:rsid w:val="000D610E"/>
    <w:rsid w:val="000D78FE"/>
    <w:rsid w:val="000E0444"/>
    <w:rsid w:val="000E0706"/>
    <w:rsid w:val="000E0842"/>
    <w:rsid w:val="000E0985"/>
    <w:rsid w:val="000E1F26"/>
    <w:rsid w:val="000E2377"/>
    <w:rsid w:val="000E274E"/>
    <w:rsid w:val="000E2B05"/>
    <w:rsid w:val="000E4941"/>
    <w:rsid w:val="000E4BA8"/>
    <w:rsid w:val="000E5103"/>
    <w:rsid w:val="000E5153"/>
    <w:rsid w:val="000E52C3"/>
    <w:rsid w:val="000E6AB6"/>
    <w:rsid w:val="000E732E"/>
    <w:rsid w:val="000E7591"/>
    <w:rsid w:val="000F0F88"/>
    <w:rsid w:val="000F1609"/>
    <w:rsid w:val="000F21AE"/>
    <w:rsid w:val="000F3031"/>
    <w:rsid w:val="000F3152"/>
    <w:rsid w:val="000F31FF"/>
    <w:rsid w:val="000F476E"/>
    <w:rsid w:val="000F50C9"/>
    <w:rsid w:val="000F542D"/>
    <w:rsid w:val="000F6394"/>
    <w:rsid w:val="000F6CC3"/>
    <w:rsid w:val="000F6E0A"/>
    <w:rsid w:val="000F731A"/>
    <w:rsid w:val="00100AFD"/>
    <w:rsid w:val="00100DEC"/>
    <w:rsid w:val="0010145E"/>
    <w:rsid w:val="00101C0A"/>
    <w:rsid w:val="001034B9"/>
    <w:rsid w:val="00103920"/>
    <w:rsid w:val="00105AF1"/>
    <w:rsid w:val="001069FE"/>
    <w:rsid w:val="001070A3"/>
    <w:rsid w:val="00107343"/>
    <w:rsid w:val="001078B4"/>
    <w:rsid w:val="00107AF9"/>
    <w:rsid w:val="00107BF3"/>
    <w:rsid w:val="00107E4C"/>
    <w:rsid w:val="0011218C"/>
    <w:rsid w:val="00113501"/>
    <w:rsid w:val="00113982"/>
    <w:rsid w:val="0011564D"/>
    <w:rsid w:val="00115B73"/>
    <w:rsid w:val="00116690"/>
    <w:rsid w:val="00116C51"/>
    <w:rsid w:val="0011709B"/>
    <w:rsid w:val="0011784B"/>
    <w:rsid w:val="00117BB7"/>
    <w:rsid w:val="00117C13"/>
    <w:rsid w:val="00120D63"/>
    <w:rsid w:val="00121B9F"/>
    <w:rsid w:val="0012239B"/>
    <w:rsid w:val="00122967"/>
    <w:rsid w:val="00122A62"/>
    <w:rsid w:val="00122B27"/>
    <w:rsid w:val="00122B43"/>
    <w:rsid w:val="00124238"/>
    <w:rsid w:val="001243C3"/>
    <w:rsid w:val="001245FA"/>
    <w:rsid w:val="00124C94"/>
    <w:rsid w:val="00124DFD"/>
    <w:rsid w:val="00125554"/>
    <w:rsid w:val="00125832"/>
    <w:rsid w:val="00127899"/>
    <w:rsid w:val="00127988"/>
    <w:rsid w:val="001305AB"/>
    <w:rsid w:val="00130ED3"/>
    <w:rsid w:val="00130F13"/>
    <w:rsid w:val="001316A1"/>
    <w:rsid w:val="00131DB7"/>
    <w:rsid w:val="00132289"/>
    <w:rsid w:val="001328C8"/>
    <w:rsid w:val="00132CAE"/>
    <w:rsid w:val="001332C8"/>
    <w:rsid w:val="0013373C"/>
    <w:rsid w:val="00133931"/>
    <w:rsid w:val="001339E7"/>
    <w:rsid w:val="00133CDE"/>
    <w:rsid w:val="00136010"/>
    <w:rsid w:val="001378E7"/>
    <w:rsid w:val="00137C51"/>
    <w:rsid w:val="0014009A"/>
    <w:rsid w:val="00140CA4"/>
    <w:rsid w:val="001415AB"/>
    <w:rsid w:val="00141B57"/>
    <w:rsid w:val="00141CE5"/>
    <w:rsid w:val="00143B94"/>
    <w:rsid w:val="0014496D"/>
    <w:rsid w:val="00144E3E"/>
    <w:rsid w:val="00145E48"/>
    <w:rsid w:val="00145F5F"/>
    <w:rsid w:val="001470D5"/>
    <w:rsid w:val="00147AC1"/>
    <w:rsid w:val="00150638"/>
    <w:rsid w:val="00150CD3"/>
    <w:rsid w:val="001513A9"/>
    <w:rsid w:val="00153254"/>
    <w:rsid w:val="00153361"/>
    <w:rsid w:val="001546DD"/>
    <w:rsid w:val="00154E78"/>
    <w:rsid w:val="00155C38"/>
    <w:rsid w:val="00156078"/>
    <w:rsid w:val="0015690A"/>
    <w:rsid w:val="00156BFC"/>
    <w:rsid w:val="00156C59"/>
    <w:rsid w:val="0016057B"/>
    <w:rsid w:val="001606DD"/>
    <w:rsid w:val="0016084A"/>
    <w:rsid w:val="00161971"/>
    <w:rsid w:val="00161C25"/>
    <w:rsid w:val="00161CE2"/>
    <w:rsid w:val="001623F7"/>
    <w:rsid w:val="0016291E"/>
    <w:rsid w:val="00162952"/>
    <w:rsid w:val="001629C9"/>
    <w:rsid w:val="00162ACC"/>
    <w:rsid w:val="001643EC"/>
    <w:rsid w:val="001647C6"/>
    <w:rsid w:val="00165457"/>
    <w:rsid w:val="0016661C"/>
    <w:rsid w:val="001678BF"/>
    <w:rsid w:val="001679D6"/>
    <w:rsid w:val="00170109"/>
    <w:rsid w:val="00170B74"/>
    <w:rsid w:val="0017120F"/>
    <w:rsid w:val="001726AF"/>
    <w:rsid w:val="00172C6E"/>
    <w:rsid w:val="0017303A"/>
    <w:rsid w:val="00173B68"/>
    <w:rsid w:val="001743A2"/>
    <w:rsid w:val="00174808"/>
    <w:rsid w:val="00174E60"/>
    <w:rsid w:val="00175100"/>
    <w:rsid w:val="001754AC"/>
    <w:rsid w:val="00175F4E"/>
    <w:rsid w:val="0017674A"/>
    <w:rsid w:val="0017701D"/>
    <w:rsid w:val="001779C4"/>
    <w:rsid w:val="00177A88"/>
    <w:rsid w:val="0018037A"/>
    <w:rsid w:val="00181565"/>
    <w:rsid w:val="00181C38"/>
    <w:rsid w:val="00181EC2"/>
    <w:rsid w:val="001843B3"/>
    <w:rsid w:val="00184B89"/>
    <w:rsid w:val="00185F67"/>
    <w:rsid w:val="00185FCB"/>
    <w:rsid w:val="001872B1"/>
    <w:rsid w:val="001877E5"/>
    <w:rsid w:val="001879E1"/>
    <w:rsid w:val="001908D9"/>
    <w:rsid w:val="00190F1F"/>
    <w:rsid w:val="00191079"/>
    <w:rsid w:val="0019168D"/>
    <w:rsid w:val="00192026"/>
    <w:rsid w:val="00192681"/>
    <w:rsid w:val="0019276D"/>
    <w:rsid w:val="00192F4B"/>
    <w:rsid w:val="0019381F"/>
    <w:rsid w:val="00193C12"/>
    <w:rsid w:val="00194164"/>
    <w:rsid w:val="001944E7"/>
    <w:rsid w:val="0019563E"/>
    <w:rsid w:val="0019584F"/>
    <w:rsid w:val="00195853"/>
    <w:rsid w:val="00195B87"/>
    <w:rsid w:val="00196439"/>
    <w:rsid w:val="00196FB1"/>
    <w:rsid w:val="00197AEC"/>
    <w:rsid w:val="00197B5B"/>
    <w:rsid w:val="001A0269"/>
    <w:rsid w:val="001A084E"/>
    <w:rsid w:val="001A1755"/>
    <w:rsid w:val="001A19AC"/>
    <w:rsid w:val="001A1DDB"/>
    <w:rsid w:val="001A424C"/>
    <w:rsid w:val="001A4AAE"/>
    <w:rsid w:val="001A4E5F"/>
    <w:rsid w:val="001A61EF"/>
    <w:rsid w:val="001A6FB8"/>
    <w:rsid w:val="001A7093"/>
    <w:rsid w:val="001A791F"/>
    <w:rsid w:val="001B0553"/>
    <w:rsid w:val="001B06DC"/>
    <w:rsid w:val="001B158D"/>
    <w:rsid w:val="001B2213"/>
    <w:rsid w:val="001B3B1F"/>
    <w:rsid w:val="001B3F3A"/>
    <w:rsid w:val="001B4404"/>
    <w:rsid w:val="001B48F7"/>
    <w:rsid w:val="001B5563"/>
    <w:rsid w:val="001B5641"/>
    <w:rsid w:val="001B63F4"/>
    <w:rsid w:val="001B6459"/>
    <w:rsid w:val="001C0103"/>
    <w:rsid w:val="001C076D"/>
    <w:rsid w:val="001C09C1"/>
    <w:rsid w:val="001C0F25"/>
    <w:rsid w:val="001C3E8F"/>
    <w:rsid w:val="001C4E99"/>
    <w:rsid w:val="001C54E4"/>
    <w:rsid w:val="001C55A3"/>
    <w:rsid w:val="001C5A2C"/>
    <w:rsid w:val="001C6A7E"/>
    <w:rsid w:val="001C7201"/>
    <w:rsid w:val="001C74F5"/>
    <w:rsid w:val="001C772D"/>
    <w:rsid w:val="001D0068"/>
    <w:rsid w:val="001D0157"/>
    <w:rsid w:val="001D0A30"/>
    <w:rsid w:val="001D1163"/>
    <w:rsid w:val="001D2D78"/>
    <w:rsid w:val="001D30BC"/>
    <w:rsid w:val="001D40FE"/>
    <w:rsid w:val="001D4A26"/>
    <w:rsid w:val="001D4A9F"/>
    <w:rsid w:val="001D7416"/>
    <w:rsid w:val="001D7A3E"/>
    <w:rsid w:val="001D7B37"/>
    <w:rsid w:val="001D7B63"/>
    <w:rsid w:val="001E06D4"/>
    <w:rsid w:val="001E0D31"/>
    <w:rsid w:val="001E1986"/>
    <w:rsid w:val="001E1C98"/>
    <w:rsid w:val="001E1CFB"/>
    <w:rsid w:val="001E1DC8"/>
    <w:rsid w:val="001E1DF3"/>
    <w:rsid w:val="001E4DF5"/>
    <w:rsid w:val="001E6C47"/>
    <w:rsid w:val="001E77FF"/>
    <w:rsid w:val="001F002A"/>
    <w:rsid w:val="001F13DF"/>
    <w:rsid w:val="001F1F18"/>
    <w:rsid w:val="001F2234"/>
    <w:rsid w:val="001F2336"/>
    <w:rsid w:val="001F23E4"/>
    <w:rsid w:val="001F28F3"/>
    <w:rsid w:val="001F350D"/>
    <w:rsid w:val="001F3811"/>
    <w:rsid w:val="001F39A3"/>
    <w:rsid w:val="001F452F"/>
    <w:rsid w:val="001F5837"/>
    <w:rsid w:val="001F58CC"/>
    <w:rsid w:val="001F63DA"/>
    <w:rsid w:val="001F68CA"/>
    <w:rsid w:val="001F6909"/>
    <w:rsid w:val="001F7848"/>
    <w:rsid w:val="001F7B7A"/>
    <w:rsid w:val="00200FAE"/>
    <w:rsid w:val="00201394"/>
    <w:rsid w:val="002016E1"/>
    <w:rsid w:val="00201E02"/>
    <w:rsid w:val="002036AC"/>
    <w:rsid w:val="00204064"/>
    <w:rsid w:val="00205099"/>
    <w:rsid w:val="0020584E"/>
    <w:rsid w:val="00205902"/>
    <w:rsid w:val="00205A7E"/>
    <w:rsid w:val="00205E25"/>
    <w:rsid w:val="00205E52"/>
    <w:rsid w:val="002064DB"/>
    <w:rsid w:val="00210B7D"/>
    <w:rsid w:val="00210BBC"/>
    <w:rsid w:val="00210D5A"/>
    <w:rsid w:val="00211B86"/>
    <w:rsid w:val="002126B9"/>
    <w:rsid w:val="002127AD"/>
    <w:rsid w:val="00212BB3"/>
    <w:rsid w:val="0021476D"/>
    <w:rsid w:val="00215103"/>
    <w:rsid w:val="002158C4"/>
    <w:rsid w:val="00215D2D"/>
    <w:rsid w:val="00215F5F"/>
    <w:rsid w:val="00217EF1"/>
    <w:rsid w:val="00220D82"/>
    <w:rsid w:val="00222B0F"/>
    <w:rsid w:val="00222B98"/>
    <w:rsid w:val="00223518"/>
    <w:rsid w:val="00223536"/>
    <w:rsid w:val="002238A2"/>
    <w:rsid w:val="00223EF3"/>
    <w:rsid w:val="00224826"/>
    <w:rsid w:val="00224FE8"/>
    <w:rsid w:val="002253AF"/>
    <w:rsid w:val="0022544B"/>
    <w:rsid w:val="00225C59"/>
    <w:rsid w:val="00225DB0"/>
    <w:rsid w:val="00226BB1"/>
    <w:rsid w:val="002270FE"/>
    <w:rsid w:val="00227334"/>
    <w:rsid w:val="00230076"/>
    <w:rsid w:val="00230BD0"/>
    <w:rsid w:val="00231584"/>
    <w:rsid w:val="00231A11"/>
    <w:rsid w:val="00231A84"/>
    <w:rsid w:val="00232701"/>
    <w:rsid w:val="00232D46"/>
    <w:rsid w:val="002338C2"/>
    <w:rsid w:val="00234364"/>
    <w:rsid w:val="002349DB"/>
    <w:rsid w:val="002351E3"/>
    <w:rsid w:val="00235FA4"/>
    <w:rsid w:val="00236393"/>
    <w:rsid w:val="00236747"/>
    <w:rsid w:val="00236CD7"/>
    <w:rsid w:val="0023737F"/>
    <w:rsid w:val="00237906"/>
    <w:rsid w:val="00237D12"/>
    <w:rsid w:val="00240A80"/>
    <w:rsid w:val="00242003"/>
    <w:rsid w:val="00243831"/>
    <w:rsid w:val="00243ABA"/>
    <w:rsid w:val="00244D0D"/>
    <w:rsid w:val="0024565A"/>
    <w:rsid w:val="00245804"/>
    <w:rsid w:val="00245A99"/>
    <w:rsid w:val="00245BDF"/>
    <w:rsid w:val="00245D9B"/>
    <w:rsid w:val="00246A31"/>
    <w:rsid w:val="00246B77"/>
    <w:rsid w:val="00247139"/>
    <w:rsid w:val="00247288"/>
    <w:rsid w:val="0025172C"/>
    <w:rsid w:val="00253C01"/>
    <w:rsid w:val="00254205"/>
    <w:rsid w:val="002547BD"/>
    <w:rsid w:val="00254920"/>
    <w:rsid w:val="00254E44"/>
    <w:rsid w:val="00254ED4"/>
    <w:rsid w:val="002558C4"/>
    <w:rsid w:val="00255E3E"/>
    <w:rsid w:val="00255FA6"/>
    <w:rsid w:val="002562E3"/>
    <w:rsid w:val="002565E1"/>
    <w:rsid w:val="002600A5"/>
    <w:rsid w:val="002601E3"/>
    <w:rsid w:val="0026024F"/>
    <w:rsid w:val="00260397"/>
    <w:rsid w:val="0026082C"/>
    <w:rsid w:val="00261D0A"/>
    <w:rsid w:val="00262206"/>
    <w:rsid w:val="0026266E"/>
    <w:rsid w:val="0026281D"/>
    <w:rsid w:val="002633FE"/>
    <w:rsid w:val="00263CB7"/>
    <w:rsid w:val="0026535D"/>
    <w:rsid w:val="00265802"/>
    <w:rsid w:val="002661E7"/>
    <w:rsid w:val="00266943"/>
    <w:rsid w:val="00267E7D"/>
    <w:rsid w:val="00271152"/>
    <w:rsid w:val="00271B74"/>
    <w:rsid w:val="0027228A"/>
    <w:rsid w:val="002747A4"/>
    <w:rsid w:val="00274D53"/>
    <w:rsid w:val="00274FCC"/>
    <w:rsid w:val="00276504"/>
    <w:rsid w:val="00277F78"/>
    <w:rsid w:val="00281B64"/>
    <w:rsid w:val="00282349"/>
    <w:rsid w:val="00282356"/>
    <w:rsid w:val="00282F82"/>
    <w:rsid w:val="002848D0"/>
    <w:rsid w:val="00284E07"/>
    <w:rsid w:val="0028538E"/>
    <w:rsid w:val="002854AF"/>
    <w:rsid w:val="0028607E"/>
    <w:rsid w:val="00286485"/>
    <w:rsid w:val="00286498"/>
    <w:rsid w:val="00286A2D"/>
    <w:rsid w:val="00286E00"/>
    <w:rsid w:val="0028721E"/>
    <w:rsid w:val="0029127E"/>
    <w:rsid w:val="00291366"/>
    <w:rsid w:val="00291C65"/>
    <w:rsid w:val="00293654"/>
    <w:rsid w:val="00295390"/>
    <w:rsid w:val="00295396"/>
    <w:rsid w:val="0029562E"/>
    <w:rsid w:val="00295C6A"/>
    <w:rsid w:val="00296A1F"/>
    <w:rsid w:val="00297CCA"/>
    <w:rsid w:val="002A0C83"/>
    <w:rsid w:val="002A1E1D"/>
    <w:rsid w:val="002A5394"/>
    <w:rsid w:val="002A5728"/>
    <w:rsid w:val="002A57A3"/>
    <w:rsid w:val="002A5865"/>
    <w:rsid w:val="002A5905"/>
    <w:rsid w:val="002A7104"/>
    <w:rsid w:val="002A72DC"/>
    <w:rsid w:val="002A7380"/>
    <w:rsid w:val="002B06F0"/>
    <w:rsid w:val="002B1A3F"/>
    <w:rsid w:val="002B2A6B"/>
    <w:rsid w:val="002B3765"/>
    <w:rsid w:val="002B3AA5"/>
    <w:rsid w:val="002B43F4"/>
    <w:rsid w:val="002B5191"/>
    <w:rsid w:val="002B51F0"/>
    <w:rsid w:val="002B5521"/>
    <w:rsid w:val="002B6C6A"/>
    <w:rsid w:val="002C0056"/>
    <w:rsid w:val="002C1001"/>
    <w:rsid w:val="002C14EE"/>
    <w:rsid w:val="002C1D3C"/>
    <w:rsid w:val="002C2AB3"/>
    <w:rsid w:val="002C5216"/>
    <w:rsid w:val="002C5253"/>
    <w:rsid w:val="002C6323"/>
    <w:rsid w:val="002C7C29"/>
    <w:rsid w:val="002D000F"/>
    <w:rsid w:val="002D0998"/>
    <w:rsid w:val="002D0E0C"/>
    <w:rsid w:val="002D1903"/>
    <w:rsid w:val="002D1D60"/>
    <w:rsid w:val="002D1FAD"/>
    <w:rsid w:val="002D2E4A"/>
    <w:rsid w:val="002D3005"/>
    <w:rsid w:val="002D35BE"/>
    <w:rsid w:val="002D3766"/>
    <w:rsid w:val="002D4589"/>
    <w:rsid w:val="002D458E"/>
    <w:rsid w:val="002D4DD1"/>
    <w:rsid w:val="002D5ABA"/>
    <w:rsid w:val="002D64D7"/>
    <w:rsid w:val="002D654F"/>
    <w:rsid w:val="002E0522"/>
    <w:rsid w:val="002E0AA1"/>
    <w:rsid w:val="002E0F2B"/>
    <w:rsid w:val="002E1031"/>
    <w:rsid w:val="002E126A"/>
    <w:rsid w:val="002E1E10"/>
    <w:rsid w:val="002E372D"/>
    <w:rsid w:val="002E4BA1"/>
    <w:rsid w:val="002E6106"/>
    <w:rsid w:val="002E62FB"/>
    <w:rsid w:val="002E79F7"/>
    <w:rsid w:val="002F163A"/>
    <w:rsid w:val="002F27FB"/>
    <w:rsid w:val="002F2B00"/>
    <w:rsid w:val="002F2F44"/>
    <w:rsid w:val="002F3CD4"/>
    <w:rsid w:val="002F3F7C"/>
    <w:rsid w:val="002F401F"/>
    <w:rsid w:val="002F476E"/>
    <w:rsid w:val="002F47E4"/>
    <w:rsid w:val="002F61F4"/>
    <w:rsid w:val="002F6834"/>
    <w:rsid w:val="002F6F09"/>
    <w:rsid w:val="00300323"/>
    <w:rsid w:val="00302B15"/>
    <w:rsid w:val="003039D9"/>
    <w:rsid w:val="00303E62"/>
    <w:rsid w:val="003043E2"/>
    <w:rsid w:val="0030532C"/>
    <w:rsid w:val="00306660"/>
    <w:rsid w:val="00306E73"/>
    <w:rsid w:val="003078BA"/>
    <w:rsid w:val="003106E4"/>
    <w:rsid w:val="00310FE5"/>
    <w:rsid w:val="0031106B"/>
    <w:rsid w:val="00311C3B"/>
    <w:rsid w:val="0031218C"/>
    <w:rsid w:val="00313115"/>
    <w:rsid w:val="00313E85"/>
    <w:rsid w:val="0031446F"/>
    <w:rsid w:val="00314C46"/>
    <w:rsid w:val="0031558D"/>
    <w:rsid w:val="00316E29"/>
    <w:rsid w:val="0031739E"/>
    <w:rsid w:val="00317DB2"/>
    <w:rsid w:val="00320927"/>
    <w:rsid w:val="00321709"/>
    <w:rsid w:val="00322FAC"/>
    <w:rsid w:val="00323520"/>
    <w:rsid w:val="00324A4F"/>
    <w:rsid w:val="003254C3"/>
    <w:rsid w:val="00326CF0"/>
    <w:rsid w:val="00326DC5"/>
    <w:rsid w:val="00327A5A"/>
    <w:rsid w:val="00327C88"/>
    <w:rsid w:val="0033063A"/>
    <w:rsid w:val="00331211"/>
    <w:rsid w:val="00331BF9"/>
    <w:rsid w:val="0033203C"/>
    <w:rsid w:val="0033341A"/>
    <w:rsid w:val="00333B92"/>
    <w:rsid w:val="00333E45"/>
    <w:rsid w:val="003343F8"/>
    <w:rsid w:val="00334F0A"/>
    <w:rsid w:val="00336AC4"/>
    <w:rsid w:val="00342C36"/>
    <w:rsid w:val="00342E84"/>
    <w:rsid w:val="0034354B"/>
    <w:rsid w:val="00343A9B"/>
    <w:rsid w:val="0034494B"/>
    <w:rsid w:val="00344DA7"/>
    <w:rsid w:val="00345F9C"/>
    <w:rsid w:val="003472CA"/>
    <w:rsid w:val="003501A2"/>
    <w:rsid w:val="00350824"/>
    <w:rsid w:val="00351065"/>
    <w:rsid w:val="00351C1B"/>
    <w:rsid w:val="00351FC3"/>
    <w:rsid w:val="00352E7E"/>
    <w:rsid w:val="003533D1"/>
    <w:rsid w:val="003537B9"/>
    <w:rsid w:val="00354169"/>
    <w:rsid w:val="00354ECB"/>
    <w:rsid w:val="00354EEB"/>
    <w:rsid w:val="003554CB"/>
    <w:rsid w:val="00355D0E"/>
    <w:rsid w:val="0035693F"/>
    <w:rsid w:val="003573EE"/>
    <w:rsid w:val="00357476"/>
    <w:rsid w:val="00360A0E"/>
    <w:rsid w:val="00362B36"/>
    <w:rsid w:val="00362E6B"/>
    <w:rsid w:val="0036334B"/>
    <w:rsid w:val="00363A6A"/>
    <w:rsid w:val="00363FD9"/>
    <w:rsid w:val="00364255"/>
    <w:rsid w:val="00364843"/>
    <w:rsid w:val="00365272"/>
    <w:rsid w:val="00366F03"/>
    <w:rsid w:val="00367007"/>
    <w:rsid w:val="0036711C"/>
    <w:rsid w:val="003677EC"/>
    <w:rsid w:val="0037095C"/>
    <w:rsid w:val="00370F64"/>
    <w:rsid w:val="0037167A"/>
    <w:rsid w:val="003717C6"/>
    <w:rsid w:val="00371D3E"/>
    <w:rsid w:val="0037261F"/>
    <w:rsid w:val="003727F1"/>
    <w:rsid w:val="003728E9"/>
    <w:rsid w:val="00372C16"/>
    <w:rsid w:val="003732AB"/>
    <w:rsid w:val="003743DA"/>
    <w:rsid w:val="003745B0"/>
    <w:rsid w:val="003751D1"/>
    <w:rsid w:val="00375639"/>
    <w:rsid w:val="003756E1"/>
    <w:rsid w:val="00375AE5"/>
    <w:rsid w:val="00376616"/>
    <w:rsid w:val="00376732"/>
    <w:rsid w:val="00376FE4"/>
    <w:rsid w:val="00376FE5"/>
    <w:rsid w:val="003773A8"/>
    <w:rsid w:val="003774CC"/>
    <w:rsid w:val="003779C3"/>
    <w:rsid w:val="003779CB"/>
    <w:rsid w:val="00377C2E"/>
    <w:rsid w:val="0038121D"/>
    <w:rsid w:val="00382728"/>
    <w:rsid w:val="003828B3"/>
    <w:rsid w:val="003831CF"/>
    <w:rsid w:val="003839B2"/>
    <w:rsid w:val="00384C40"/>
    <w:rsid w:val="00384E7B"/>
    <w:rsid w:val="00385ADC"/>
    <w:rsid w:val="00385B4E"/>
    <w:rsid w:val="00385EA4"/>
    <w:rsid w:val="00387831"/>
    <w:rsid w:val="003901CB"/>
    <w:rsid w:val="0039090E"/>
    <w:rsid w:val="0039277D"/>
    <w:rsid w:val="00392924"/>
    <w:rsid w:val="00392A4E"/>
    <w:rsid w:val="003931E6"/>
    <w:rsid w:val="00393259"/>
    <w:rsid w:val="00394805"/>
    <w:rsid w:val="00394BEF"/>
    <w:rsid w:val="00394CC8"/>
    <w:rsid w:val="00394D1C"/>
    <w:rsid w:val="00394E99"/>
    <w:rsid w:val="00394F5B"/>
    <w:rsid w:val="003953EE"/>
    <w:rsid w:val="00396949"/>
    <w:rsid w:val="003A0134"/>
    <w:rsid w:val="003A1496"/>
    <w:rsid w:val="003A14C5"/>
    <w:rsid w:val="003A3784"/>
    <w:rsid w:val="003A48DD"/>
    <w:rsid w:val="003A4B7D"/>
    <w:rsid w:val="003A4C7E"/>
    <w:rsid w:val="003A5296"/>
    <w:rsid w:val="003A58CE"/>
    <w:rsid w:val="003A6AC0"/>
    <w:rsid w:val="003B16E2"/>
    <w:rsid w:val="003B2953"/>
    <w:rsid w:val="003B2C9F"/>
    <w:rsid w:val="003B2F6E"/>
    <w:rsid w:val="003B3769"/>
    <w:rsid w:val="003B431E"/>
    <w:rsid w:val="003B46B6"/>
    <w:rsid w:val="003B483B"/>
    <w:rsid w:val="003B56F2"/>
    <w:rsid w:val="003B5C8C"/>
    <w:rsid w:val="003B6AE2"/>
    <w:rsid w:val="003B6D69"/>
    <w:rsid w:val="003B6E48"/>
    <w:rsid w:val="003B7ED4"/>
    <w:rsid w:val="003B7F56"/>
    <w:rsid w:val="003C1E02"/>
    <w:rsid w:val="003C21D3"/>
    <w:rsid w:val="003C2B95"/>
    <w:rsid w:val="003C38DA"/>
    <w:rsid w:val="003C3D1C"/>
    <w:rsid w:val="003C6A20"/>
    <w:rsid w:val="003C6D54"/>
    <w:rsid w:val="003D0165"/>
    <w:rsid w:val="003D02CA"/>
    <w:rsid w:val="003D2DE7"/>
    <w:rsid w:val="003D33A0"/>
    <w:rsid w:val="003D38F3"/>
    <w:rsid w:val="003D3BEF"/>
    <w:rsid w:val="003D4ACA"/>
    <w:rsid w:val="003D4B6A"/>
    <w:rsid w:val="003D4F81"/>
    <w:rsid w:val="003D53F3"/>
    <w:rsid w:val="003D54C5"/>
    <w:rsid w:val="003D5BFF"/>
    <w:rsid w:val="003D5ED9"/>
    <w:rsid w:val="003D6346"/>
    <w:rsid w:val="003D6DBF"/>
    <w:rsid w:val="003D6E05"/>
    <w:rsid w:val="003D6F80"/>
    <w:rsid w:val="003D731F"/>
    <w:rsid w:val="003D7779"/>
    <w:rsid w:val="003E041B"/>
    <w:rsid w:val="003E0589"/>
    <w:rsid w:val="003E3842"/>
    <w:rsid w:val="003E4FCA"/>
    <w:rsid w:val="003E5127"/>
    <w:rsid w:val="003E77C1"/>
    <w:rsid w:val="003E77C3"/>
    <w:rsid w:val="003F0377"/>
    <w:rsid w:val="003F0D9B"/>
    <w:rsid w:val="003F1021"/>
    <w:rsid w:val="003F1120"/>
    <w:rsid w:val="003F2E96"/>
    <w:rsid w:val="003F2EFB"/>
    <w:rsid w:val="003F6A00"/>
    <w:rsid w:val="003F6D9C"/>
    <w:rsid w:val="003F7377"/>
    <w:rsid w:val="00400FB7"/>
    <w:rsid w:val="00401B3C"/>
    <w:rsid w:val="004024D0"/>
    <w:rsid w:val="00402818"/>
    <w:rsid w:val="00404B92"/>
    <w:rsid w:val="00405805"/>
    <w:rsid w:val="00405B1C"/>
    <w:rsid w:val="00405D60"/>
    <w:rsid w:val="00405EF0"/>
    <w:rsid w:val="004064E3"/>
    <w:rsid w:val="0040732F"/>
    <w:rsid w:val="00407774"/>
    <w:rsid w:val="00410145"/>
    <w:rsid w:val="00410D8E"/>
    <w:rsid w:val="00411B11"/>
    <w:rsid w:val="0041357F"/>
    <w:rsid w:val="0041362A"/>
    <w:rsid w:val="00413D17"/>
    <w:rsid w:val="0041481C"/>
    <w:rsid w:val="00414C22"/>
    <w:rsid w:val="00414E1B"/>
    <w:rsid w:val="004160E9"/>
    <w:rsid w:val="0041623B"/>
    <w:rsid w:val="00416432"/>
    <w:rsid w:val="0042022F"/>
    <w:rsid w:val="00420B01"/>
    <w:rsid w:val="00421394"/>
    <w:rsid w:val="004215F1"/>
    <w:rsid w:val="00421D8F"/>
    <w:rsid w:val="00422072"/>
    <w:rsid w:val="0042768B"/>
    <w:rsid w:val="00430307"/>
    <w:rsid w:val="004308A2"/>
    <w:rsid w:val="00430E79"/>
    <w:rsid w:val="004322AC"/>
    <w:rsid w:val="004326D0"/>
    <w:rsid w:val="00432F36"/>
    <w:rsid w:val="00433325"/>
    <w:rsid w:val="00434A3C"/>
    <w:rsid w:val="00435922"/>
    <w:rsid w:val="00435ACC"/>
    <w:rsid w:val="00436303"/>
    <w:rsid w:val="00436346"/>
    <w:rsid w:val="00436980"/>
    <w:rsid w:val="004405DE"/>
    <w:rsid w:val="00440BC5"/>
    <w:rsid w:val="00440CD8"/>
    <w:rsid w:val="0044186C"/>
    <w:rsid w:val="0044187E"/>
    <w:rsid w:val="0044228F"/>
    <w:rsid w:val="00442D06"/>
    <w:rsid w:val="00444001"/>
    <w:rsid w:val="004448C6"/>
    <w:rsid w:val="00445343"/>
    <w:rsid w:val="0044560C"/>
    <w:rsid w:val="0044613A"/>
    <w:rsid w:val="004465D0"/>
    <w:rsid w:val="00446A56"/>
    <w:rsid w:val="00446EF2"/>
    <w:rsid w:val="0044721C"/>
    <w:rsid w:val="00447520"/>
    <w:rsid w:val="0045012B"/>
    <w:rsid w:val="00450595"/>
    <w:rsid w:val="004505F7"/>
    <w:rsid w:val="004508F7"/>
    <w:rsid w:val="0045115D"/>
    <w:rsid w:val="00451938"/>
    <w:rsid w:val="00451B86"/>
    <w:rsid w:val="00451BAC"/>
    <w:rsid w:val="00451D43"/>
    <w:rsid w:val="00453976"/>
    <w:rsid w:val="00453CA4"/>
    <w:rsid w:val="00453E3C"/>
    <w:rsid w:val="004543EB"/>
    <w:rsid w:val="00454EBB"/>
    <w:rsid w:val="00455314"/>
    <w:rsid w:val="004554E0"/>
    <w:rsid w:val="0045671A"/>
    <w:rsid w:val="00457C4B"/>
    <w:rsid w:val="004608C7"/>
    <w:rsid w:val="004630E8"/>
    <w:rsid w:val="00463717"/>
    <w:rsid w:val="00466517"/>
    <w:rsid w:val="00470DA2"/>
    <w:rsid w:val="00470FC6"/>
    <w:rsid w:val="004729CC"/>
    <w:rsid w:val="00473263"/>
    <w:rsid w:val="004743BC"/>
    <w:rsid w:val="00476B93"/>
    <w:rsid w:val="00477F24"/>
    <w:rsid w:val="00480209"/>
    <w:rsid w:val="0048339F"/>
    <w:rsid w:val="00483CF6"/>
    <w:rsid w:val="004853F9"/>
    <w:rsid w:val="004861DA"/>
    <w:rsid w:val="0048644E"/>
    <w:rsid w:val="00486DFC"/>
    <w:rsid w:val="00490E6D"/>
    <w:rsid w:val="00490F7A"/>
    <w:rsid w:val="00491286"/>
    <w:rsid w:val="004919DA"/>
    <w:rsid w:val="00491B17"/>
    <w:rsid w:val="00491CD3"/>
    <w:rsid w:val="004932AB"/>
    <w:rsid w:val="00493338"/>
    <w:rsid w:val="00493480"/>
    <w:rsid w:val="00493F9B"/>
    <w:rsid w:val="00493FDA"/>
    <w:rsid w:val="004940CB"/>
    <w:rsid w:val="00494238"/>
    <w:rsid w:val="00494CF4"/>
    <w:rsid w:val="00494EB8"/>
    <w:rsid w:val="004951D9"/>
    <w:rsid w:val="00495A08"/>
    <w:rsid w:val="004962E0"/>
    <w:rsid w:val="004968A7"/>
    <w:rsid w:val="004A09E4"/>
    <w:rsid w:val="004A18ED"/>
    <w:rsid w:val="004A18F3"/>
    <w:rsid w:val="004A2017"/>
    <w:rsid w:val="004A2287"/>
    <w:rsid w:val="004A25EB"/>
    <w:rsid w:val="004A291E"/>
    <w:rsid w:val="004A2C0E"/>
    <w:rsid w:val="004A352C"/>
    <w:rsid w:val="004A48CB"/>
    <w:rsid w:val="004A4EC9"/>
    <w:rsid w:val="004A551E"/>
    <w:rsid w:val="004A5CD3"/>
    <w:rsid w:val="004A6EAC"/>
    <w:rsid w:val="004A7406"/>
    <w:rsid w:val="004A7D09"/>
    <w:rsid w:val="004B032A"/>
    <w:rsid w:val="004B0525"/>
    <w:rsid w:val="004B0FD5"/>
    <w:rsid w:val="004B305B"/>
    <w:rsid w:val="004B4BD0"/>
    <w:rsid w:val="004B5775"/>
    <w:rsid w:val="004B6F99"/>
    <w:rsid w:val="004B782B"/>
    <w:rsid w:val="004C09D8"/>
    <w:rsid w:val="004C0D9C"/>
    <w:rsid w:val="004C1120"/>
    <w:rsid w:val="004C1593"/>
    <w:rsid w:val="004C230E"/>
    <w:rsid w:val="004C24B6"/>
    <w:rsid w:val="004C27BA"/>
    <w:rsid w:val="004C2BE9"/>
    <w:rsid w:val="004C2DE7"/>
    <w:rsid w:val="004C4D02"/>
    <w:rsid w:val="004C4D44"/>
    <w:rsid w:val="004C5106"/>
    <w:rsid w:val="004C55FA"/>
    <w:rsid w:val="004C5E68"/>
    <w:rsid w:val="004C7495"/>
    <w:rsid w:val="004D0260"/>
    <w:rsid w:val="004D092B"/>
    <w:rsid w:val="004D1313"/>
    <w:rsid w:val="004D20AA"/>
    <w:rsid w:val="004D2C35"/>
    <w:rsid w:val="004D2F80"/>
    <w:rsid w:val="004D3A02"/>
    <w:rsid w:val="004D3DCD"/>
    <w:rsid w:val="004D41E9"/>
    <w:rsid w:val="004D587E"/>
    <w:rsid w:val="004D58E3"/>
    <w:rsid w:val="004D5956"/>
    <w:rsid w:val="004D5E2E"/>
    <w:rsid w:val="004D607C"/>
    <w:rsid w:val="004D6C83"/>
    <w:rsid w:val="004D7CEB"/>
    <w:rsid w:val="004E00EB"/>
    <w:rsid w:val="004E12AA"/>
    <w:rsid w:val="004E1E9B"/>
    <w:rsid w:val="004E26A7"/>
    <w:rsid w:val="004E2983"/>
    <w:rsid w:val="004E2CF5"/>
    <w:rsid w:val="004E33D4"/>
    <w:rsid w:val="004E3780"/>
    <w:rsid w:val="004E3CB2"/>
    <w:rsid w:val="004E4F60"/>
    <w:rsid w:val="004E5914"/>
    <w:rsid w:val="004E5A1D"/>
    <w:rsid w:val="004E5B06"/>
    <w:rsid w:val="004E657A"/>
    <w:rsid w:val="004E7B06"/>
    <w:rsid w:val="004F0160"/>
    <w:rsid w:val="004F027D"/>
    <w:rsid w:val="004F081F"/>
    <w:rsid w:val="004F085F"/>
    <w:rsid w:val="004F1260"/>
    <w:rsid w:val="004F1B5B"/>
    <w:rsid w:val="004F3787"/>
    <w:rsid w:val="004F3C4D"/>
    <w:rsid w:val="004F410B"/>
    <w:rsid w:val="004F47DD"/>
    <w:rsid w:val="004F4818"/>
    <w:rsid w:val="004F4E82"/>
    <w:rsid w:val="004F5CD9"/>
    <w:rsid w:val="004F6EE3"/>
    <w:rsid w:val="004F6F93"/>
    <w:rsid w:val="004F715F"/>
    <w:rsid w:val="004F725B"/>
    <w:rsid w:val="004F7A87"/>
    <w:rsid w:val="00500E0F"/>
    <w:rsid w:val="00500EA7"/>
    <w:rsid w:val="00502F00"/>
    <w:rsid w:val="00504197"/>
    <w:rsid w:val="00506584"/>
    <w:rsid w:val="005069D9"/>
    <w:rsid w:val="00507845"/>
    <w:rsid w:val="00507FE4"/>
    <w:rsid w:val="005104F0"/>
    <w:rsid w:val="00511AC3"/>
    <w:rsid w:val="005120A9"/>
    <w:rsid w:val="005120E1"/>
    <w:rsid w:val="0051224A"/>
    <w:rsid w:val="0051233A"/>
    <w:rsid w:val="0051274D"/>
    <w:rsid w:val="00513456"/>
    <w:rsid w:val="00514450"/>
    <w:rsid w:val="0051474C"/>
    <w:rsid w:val="0051518B"/>
    <w:rsid w:val="00516C62"/>
    <w:rsid w:val="00516D53"/>
    <w:rsid w:val="00517D4B"/>
    <w:rsid w:val="005204EE"/>
    <w:rsid w:val="0052175B"/>
    <w:rsid w:val="0052211A"/>
    <w:rsid w:val="005223F3"/>
    <w:rsid w:val="00522853"/>
    <w:rsid w:val="00522B34"/>
    <w:rsid w:val="00524CE1"/>
    <w:rsid w:val="0052582B"/>
    <w:rsid w:val="0052692E"/>
    <w:rsid w:val="00526B06"/>
    <w:rsid w:val="005274F5"/>
    <w:rsid w:val="005304D8"/>
    <w:rsid w:val="00530E35"/>
    <w:rsid w:val="005319D3"/>
    <w:rsid w:val="00531E45"/>
    <w:rsid w:val="005321D0"/>
    <w:rsid w:val="0053227A"/>
    <w:rsid w:val="005322AB"/>
    <w:rsid w:val="00535CB1"/>
    <w:rsid w:val="00536904"/>
    <w:rsid w:val="00536BC5"/>
    <w:rsid w:val="00536E3C"/>
    <w:rsid w:val="00537543"/>
    <w:rsid w:val="00540554"/>
    <w:rsid w:val="00540B0D"/>
    <w:rsid w:val="0054107D"/>
    <w:rsid w:val="00541494"/>
    <w:rsid w:val="00541AD2"/>
    <w:rsid w:val="00541CC7"/>
    <w:rsid w:val="005421E6"/>
    <w:rsid w:val="005426AF"/>
    <w:rsid w:val="005427AC"/>
    <w:rsid w:val="005429F6"/>
    <w:rsid w:val="0054389E"/>
    <w:rsid w:val="005438C6"/>
    <w:rsid w:val="005438ED"/>
    <w:rsid w:val="005439D2"/>
    <w:rsid w:val="00544319"/>
    <w:rsid w:val="00545568"/>
    <w:rsid w:val="00545955"/>
    <w:rsid w:val="00546329"/>
    <w:rsid w:val="0054670F"/>
    <w:rsid w:val="00547705"/>
    <w:rsid w:val="00547D45"/>
    <w:rsid w:val="005508A0"/>
    <w:rsid w:val="00550DBB"/>
    <w:rsid w:val="00551689"/>
    <w:rsid w:val="00551CE5"/>
    <w:rsid w:val="00553415"/>
    <w:rsid w:val="00553B57"/>
    <w:rsid w:val="0055437A"/>
    <w:rsid w:val="005549C2"/>
    <w:rsid w:val="0055541F"/>
    <w:rsid w:val="00555E2F"/>
    <w:rsid w:val="00556C29"/>
    <w:rsid w:val="00556E85"/>
    <w:rsid w:val="005611CF"/>
    <w:rsid w:val="00561AD2"/>
    <w:rsid w:val="00561C80"/>
    <w:rsid w:val="00562FA7"/>
    <w:rsid w:val="00563415"/>
    <w:rsid w:val="00563D58"/>
    <w:rsid w:val="00564512"/>
    <w:rsid w:val="00564717"/>
    <w:rsid w:val="005655E6"/>
    <w:rsid w:val="00565A71"/>
    <w:rsid w:val="00566575"/>
    <w:rsid w:val="00566A63"/>
    <w:rsid w:val="00566CD0"/>
    <w:rsid w:val="005670C9"/>
    <w:rsid w:val="0056712A"/>
    <w:rsid w:val="005712E4"/>
    <w:rsid w:val="00571DEB"/>
    <w:rsid w:val="005727EC"/>
    <w:rsid w:val="00573506"/>
    <w:rsid w:val="00573BD9"/>
    <w:rsid w:val="00573EB4"/>
    <w:rsid w:val="0057446A"/>
    <w:rsid w:val="00575C3A"/>
    <w:rsid w:val="00577757"/>
    <w:rsid w:val="00577847"/>
    <w:rsid w:val="00577D0F"/>
    <w:rsid w:val="00580C20"/>
    <w:rsid w:val="00581EC3"/>
    <w:rsid w:val="00582BA5"/>
    <w:rsid w:val="00583015"/>
    <w:rsid w:val="005840E6"/>
    <w:rsid w:val="0058473C"/>
    <w:rsid w:val="00584954"/>
    <w:rsid w:val="00584AD6"/>
    <w:rsid w:val="0058602D"/>
    <w:rsid w:val="00586727"/>
    <w:rsid w:val="00587143"/>
    <w:rsid w:val="00587E79"/>
    <w:rsid w:val="00590171"/>
    <w:rsid w:val="00591AEB"/>
    <w:rsid w:val="00593B58"/>
    <w:rsid w:val="00593BA3"/>
    <w:rsid w:val="005943FA"/>
    <w:rsid w:val="00594422"/>
    <w:rsid w:val="0059446E"/>
    <w:rsid w:val="00594DDF"/>
    <w:rsid w:val="005952B9"/>
    <w:rsid w:val="00595A96"/>
    <w:rsid w:val="00596455"/>
    <w:rsid w:val="005973B0"/>
    <w:rsid w:val="00597B05"/>
    <w:rsid w:val="00597F4F"/>
    <w:rsid w:val="005A01CF"/>
    <w:rsid w:val="005A1307"/>
    <w:rsid w:val="005A1406"/>
    <w:rsid w:val="005A1989"/>
    <w:rsid w:val="005A3140"/>
    <w:rsid w:val="005A3479"/>
    <w:rsid w:val="005A4D89"/>
    <w:rsid w:val="005A581A"/>
    <w:rsid w:val="005A5E76"/>
    <w:rsid w:val="005A6ED0"/>
    <w:rsid w:val="005A6FA2"/>
    <w:rsid w:val="005A73A0"/>
    <w:rsid w:val="005A7459"/>
    <w:rsid w:val="005A7B6C"/>
    <w:rsid w:val="005A7EE5"/>
    <w:rsid w:val="005B05AA"/>
    <w:rsid w:val="005B0691"/>
    <w:rsid w:val="005B0776"/>
    <w:rsid w:val="005B0BFB"/>
    <w:rsid w:val="005B0CB4"/>
    <w:rsid w:val="005B1C27"/>
    <w:rsid w:val="005B4071"/>
    <w:rsid w:val="005B4B0A"/>
    <w:rsid w:val="005B5F80"/>
    <w:rsid w:val="005B650E"/>
    <w:rsid w:val="005B6B78"/>
    <w:rsid w:val="005B737B"/>
    <w:rsid w:val="005B7B17"/>
    <w:rsid w:val="005C1708"/>
    <w:rsid w:val="005C23D8"/>
    <w:rsid w:val="005C2D6D"/>
    <w:rsid w:val="005C2EBB"/>
    <w:rsid w:val="005C475E"/>
    <w:rsid w:val="005C5471"/>
    <w:rsid w:val="005C638C"/>
    <w:rsid w:val="005C6825"/>
    <w:rsid w:val="005C6B0A"/>
    <w:rsid w:val="005C72D5"/>
    <w:rsid w:val="005C7863"/>
    <w:rsid w:val="005D0B93"/>
    <w:rsid w:val="005D0BDA"/>
    <w:rsid w:val="005D0D04"/>
    <w:rsid w:val="005D34DF"/>
    <w:rsid w:val="005D43F2"/>
    <w:rsid w:val="005D444C"/>
    <w:rsid w:val="005D4A0D"/>
    <w:rsid w:val="005D4A83"/>
    <w:rsid w:val="005D4D7C"/>
    <w:rsid w:val="005D5373"/>
    <w:rsid w:val="005D5AA2"/>
    <w:rsid w:val="005D6C01"/>
    <w:rsid w:val="005E1702"/>
    <w:rsid w:val="005E24B8"/>
    <w:rsid w:val="005E45E8"/>
    <w:rsid w:val="005E4B0F"/>
    <w:rsid w:val="005E537A"/>
    <w:rsid w:val="005E59ED"/>
    <w:rsid w:val="005E63AE"/>
    <w:rsid w:val="005E6721"/>
    <w:rsid w:val="005E78A5"/>
    <w:rsid w:val="005F07B0"/>
    <w:rsid w:val="005F0914"/>
    <w:rsid w:val="005F09A9"/>
    <w:rsid w:val="005F2506"/>
    <w:rsid w:val="005F39F7"/>
    <w:rsid w:val="005F4F7D"/>
    <w:rsid w:val="005F4FF8"/>
    <w:rsid w:val="005F509B"/>
    <w:rsid w:val="005F77F6"/>
    <w:rsid w:val="005F7CE4"/>
    <w:rsid w:val="00600096"/>
    <w:rsid w:val="00600102"/>
    <w:rsid w:val="00601284"/>
    <w:rsid w:val="00601D01"/>
    <w:rsid w:val="00601D24"/>
    <w:rsid w:val="00601E98"/>
    <w:rsid w:val="006030D4"/>
    <w:rsid w:val="0060310B"/>
    <w:rsid w:val="00603927"/>
    <w:rsid w:val="00603E19"/>
    <w:rsid w:val="0060437F"/>
    <w:rsid w:val="00604D82"/>
    <w:rsid w:val="0060587D"/>
    <w:rsid w:val="00605D81"/>
    <w:rsid w:val="00606651"/>
    <w:rsid w:val="00606B02"/>
    <w:rsid w:val="0060787B"/>
    <w:rsid w:val="00607895"/>
    <w:rsid w:val="006101D6"/>
    <w:rsid w:val="00610228"/>
    <w:rsid w:val="0061069C"/>
    <w:rsid w:val="00611482"/>
    <w:rsid w:val="0061151D"/>
    <w:rsid w:val="00612DE2"/>
    <w:rsid w:val="0061303E"/>
    <w:rsid w:val="00614F0A"/>
    <w:rsid w:val="00615A8B"/>
    <w:rsid w:val="006166A1"/>
    <w:rsid w:val="00616C52"/>
    <w:rsid w:val="0061781D"/>
    <w:rsid w:val="00617B93"/>
    <w:rsid w:val="00617FD3"/>
    <w:rsid w:val="00620F8E"/>
    <w:rsid w:val="006213F4"/>
    <w:rsid w:val="0062177C"/>
    <w:rsid w:val="00621A36"/>
    <w:rsid w:val="00621C13"/>
    <w:rsid w:val="00622077"/>
    <w:rsid w:val="0062249C"/>
    <w:rsid w:val="0062392B"/>
    <w:rsid w:val="0062395B"/>
    <w:rsid w:val="00624204"/>
    <w:rsid w:val="00624273"/>
    <w:rsid w:val="006243B3"/>
    <w:rsid w:val="006244DF"/>
    <w:rsid w:val="00624567"/>
    <w:rsid w:val="00624EDA"/>
    <w:rsid w:val="00624FEB"/>
    <w:rsid w:val="00625FA1"/>
    <w:rsid w:val="00627D9E"/>
    <w:rsid w:val="006309F7"/>
    <w:rsid w:val="00630D44"/>
    <w:rsid w:val="00631051"/>
    <w:rsid w:val="00631C3D"/>
    <w:rsid w:val="00632A6A"/>
    <w:rsid w:val="00633B54"/>
    <w:rsid w:val="00635252"/>
    <w:rsid w:val="006352D1"/>
    <w:rsid w:val="0063577C"/>
    <w:rsid w:val="0063612C"/>
    <w:rsid w:val="00637345"/>
    <w:rsid w:val="00640E24"/>
    <w:rsid w:val="0064163C"/>
    <w:rsid w:val="00641CA6"/>
    <w:rsid w:val="006430DA"/>
    <w:rsid w:val="006445AB"/>
    <w:rsid w:val="00644679"/>
    <w:rsid w:val="00644B0B"/>
    <w:rsid w:val="00645116"/>
    <w:rsid w:val="0064516E"/>
    <w:rsid w:val="0064652B"/>
    <w:rsid w:val="00646E4E"/>
    <w:rsid w:val="006475BE"/>
    <w:rsid w:val="00647DF8"/>
    <w:rsid w:val="006511C7"/>
    <w:rsid w:val="0065120B"/>
    <w:rsid w:val="006525B0"/>
    <w:rsid w:val="00652B78"/>
    <w:rsid w:val="006539AC"/>
    <w:rsid w:val="006541F9"/>
    <w:rsid w:val="0065585B"/>
    <w:rsid w:val="00655F0B"/>
    <w:rsid w:val="00656592"/>
    <w:rsid w:val="006603AD"/>
    <w:rsid w:val="00660DB0"/>
    <w:rsid w:val="00660EE3"/>
    <w:rsid w:val="00661307"/>
    <w:rsid w:val="00661DFB"/>
    <w:rsid w:val="0066245E"/>
    <w:rsid w:val="006624F2"/>
    <w:rsid w:val="00662819"/>
    <w:rsid w:val="00664F5F"/>
    <w:rsid w:val="006665C0"/>
    <w:rsid w:val="00666FD1"/>
    <w:rsid w:val="006672EF"/>
    <w:rsid w:val="0066772F"/>
    <w:rsid w:val="0067144B"/>
    <w:rsid w:val="00671F76"/>
    <w:rsid w:val="00672682"/>
    <w:rsid w:val="0067283E"/>
    <w:rsid w:val="006733BC"/>
    <w:rsid w:val="006739CA"/>
    <w:rsid w:val="00674C14"/>
    <w:rsid w:val="00674FA7"/>
    <w:rsid w:val="00675494"/>
    <w:rsid w:val="0067599C"/>
    <w:rsid w:val="0067673A"/>
    <w:rsid w:val="00677A59"/>
    <w:rsid w:val="00680512"/>
    <w:rsid w:val="00680A32"/>
    <w:rsid w:val="0068267E"/>
    <w:rsid w:val="00682734"/>
    <w:rsid w:val="00684C55"/>
    <w:rsid w:val="00684CF3"/>
    <w:rsid w:val="00684F47"/>
    <w:rsid w:val="0068547B"/>
    <w:rsid w:val="00685626"/>
    <w:rsid w:val="006857D0"/>
    <w:rsid w:val="00685B44"/>
    <w:rsid w:val="006865A0"/>
    <w:rsid w:val="00686CD4"/>
    <w:rsid w:val="006877A3"/>
    <w:rsid w:val="0069020B"/>
    <w:rsid w:val="00690CCD"/>
    <w:rsid w:val="00691EBC"/>
    <w:rsid w:val="00692039"/>
    <w:rsid w:val="006926C7"/>
    <w:rsid w:val="00692BD3"/>
    <w:rsid w:val="00693539"/>
    <w:rsid w:val="006949FF"/>
    <w:rsid w:val="00694D46"/>
    <w:rsid w:val="0069741C"/>
    <w:rsid w:val="006974E6"/>
    <w:rsid w:val="006975C5"/>
    <w:rsid w:val="006976E3"/>
    <w:rsid w:val="00697BE0"/>
    <w:rsid w:val="00697C16"/>
    <w:rsid w:val="00697EF4"/>
    <w:rsid w:val="00697EFD"/>
    <w:rsid w:val="006A093B"/>
    <w:rsid w:val="006A2539"/>
    <w:rsid w:val="006A2B7F"/>
    <w:rsid w:val="006A2C50"/>
    <w:rsid w:val="006A344B"/>
    <w:rsid w:val="006A3538"/>
    <w:rsid w:val="006A4F75"/>
    <w:rsid w:val="006A53DE"/>
    <w:rsid w:val="006A595E"/>
    <w:rsid w:val="006A61B0"/>
    <w:rsid w:val="006A7647"/>
    <w:rsid w:val="006A7E72"/>
    <w:rsid w:val="006B09E5"/>
    <w:rsid w:val="006B0F85"/>
    <w:rsid w:val="006B17AD"/>
    <w:rsid w:val="006B2100"/>
    <w:rsid w:val="006B29B7"/>
    <w:rsid w:val="006B4C93"/>
    <w:rsid w:val="006B532E"/>
    <w:rsid w:val="006B5B2F"/>
    <w:rsid w:val="006B5B8C"/>
    <w:rsid w:val="006B5E4E"/>
    <w:rsid w:val="006B6D78"/>
    <w:rsid w:val="006C07D7"/>
    <w:rsid w:val="006C2ED0"/>
    <w:rsid w:val="006C3BCD"/>
    <w:rsid w:val="006C3E28"/>
    <w:rsid w:val="006C41EC"/>
    <w:rsid w:val="006C4991"/>
    <w:rsid w:val="006C57EC"/>
    <w:rsid w:val="006C588C"/>
    <w:rsid w:val="006C6CC7"/>
    <w:rsid w:val="006D0096"/>
    <w:rsid w:val="006D0589"/>
    <w:rsid w:val="006D0A03"/>
    <w:rsid w:val="006D1B3B"/>
    <w:rsid w:val="006D1C4B"/>
    <w:rsid w:val="006D3E2E"/>
    <w:rsid w:val="006D44A6"/>
    <w:rsid w:val="006D475D"/>
    <w:rsid w:val="006D5916"/>
    <w:rsid w:val="006D5BD7"/>
    <w:rsid w:val="006D5DD3"/>
    <w:rsid w:val="006D60B2"/>
    <w:rsid w:val="006D6555"/>
    <w:rsid w:val="006D6ECB"/>
    <w:rsid w:val="006D7501"/>
    <w:rsid w:val="006D7C6A"/>
    <w:rsid w:val="006E01D2"/>
    <w:rsid w:val="006E146B"/>
    <w:rsid w:val="006E1B84"/>
    <w:rsid w:val="006E30D7"/>
    <w:rsid w:val="006E3AD5"/>
    <w:rsid w:val="006E4DC8"/>
    <w:rsid w:val="006E55D3"/>
    <w:rsid w:val="006E60BB"/>
    <w:rsid w:val="006E7FDA"/>
    <w:rsid w:val="006F12BB"/>
    <w:rsid w:val="006F230B"/>
    <w:rsid w:val="006F2EDE"/>
    <w:rsid w:val="006F3241"/>
    <w:rsid w:val="006F35B0"/>
    <w:rsid w:val="006F4711"/>
    <w:rsid w:val="006F4F73"/>
    <w:rsid w:val="006F5492"/>
    <w:rsid w:val="006F57F9"/>
    <w:rsid w:val="006F582D"/>
    <w:rsid w:val="006F6A35"/>
    <w:rsid w:val="006F6B38"/>
    <w:rsid w:val="006F7293"/>
    <w:rsid w:val="006F7CDC"/>
    <w:rsid w:val="00700166"/>
    <w:rsid w:val="0070302E"/>
    <w:rsid w:val="00703AE3"/>
    <w:rsid w:val="00704A36"/>
    <w:rsid w:val="007052CE"/>
    <w:rsid w:val="007061B2"/>
    <w:rsid w:val="00706951"/>
    <w:rsid w:val="00706D56"/>
    <w:rsid w:val="0070715B"/>
    <w:rsid w:val="0070734F"/>
    <w:rsid w:val="00707C94"/>
    <w:rsid w:val="00710744"/>
    <w:rsid w:val="00710A6F"/>
    <w:rsid w:val="00711213"/>
    <w:rsid w:val="00711480"/>
    <w:rsid w:val="00711CE3"/>
    <w:rsid w:val="007120AA"/>
    <w:rsid w:val="007122FD"/>
    <w:rsid w:val="007124E5"/>
    <w:rsid w:val="00712A9E"/>
    <w:rsid w:val="00713100"/>
    <w:rsid w:val="00713911"/>
    <w:rsid w:val="00714818"/>
    <w:rsid w:val="00714BD8"/>
    <w:rsid w:val="00717114"/>
    <w:rsid w:val="007171FC"/>
    <w:rsid w:val="0071732D"/>
    <w:rsid w:val="00717958"/>
    <w:rsid w:val="00721FD8"/>
    <w:rsid w:val="007234E7"/>
    <w:rsid w:val="007236FA"/>
    <w:rsid w:val="00723A48"/>
    <w:rsid w:val="00724F5F"/>
    <w:rsid w:val="007265F2"/>
    <w:rsid w:val="007274F9"/>
    <w:rsid w:val="00727700"/>
    <w:rsid w:val="00730853"/>
    <w:rsid w:val="00731DB7"/>
    <w:rsid w:val="00733CD7"/>
    <w:rsid w:val="00733F33"/>
    <w:rsid w:val="007345AE"/>
    <w:rsid w:val="00734EDE"/>
    <w:rsid w:val="007350AB"/>
    <w:rsid w:val="00735409"/>
    <w:rsid w:val="00735637"/>
    <w:rsid w:val="00735B33"/>
    <w:rsid w:val="00736B18"/>
    <w:rsid w:val="0073742A"/>
    <w:rsid w:val="00737BC8"/>
    <w:rsid w:val="007404AA"/>
    <w:rsid w:val="007404B1"/>
    <w:rsid w:val="0074099B"/>
    <w:rsid w:val="00741568"/>
    <w:rsid w:val="00741A9C"/>
    <w:rsid w:val="0074217C"/>
    <w:rsid w:val="00742C52"/>
    <w:rsid w:val="00743C1B"/>
    <w:rsid w:val="00743D9D"/>
    <w:rsid w:val="00743F01"/>
    <w:rsid w:val="00744142"/>
    <w:rsid w:val="0074544C"/>
    <w:rsid w:val="007455A1"/>
    <w:rsid w:val="007456D9"/>
    <w:rsid w:val="007459F2"/>
    <w:rsid w:val="00747ABD"/>
    <w:rsid w:val="007505A5"/>
    <w:rsid w:val="00751FB8"/>
    <w:rsid w:val="0075228A"/>
    <w:rsid w:val="0075249C"/>
    <w:rsid w:val="007540A6"/>
    <w:rsid w:val="00754101"/>
    <w:rsid w:val="0075416A"/>
    <w:rsid w:val="007546C2"/>
    <w:rsid w:val="00754ED0"/>
    <w:rsid w:val="0075555E"/>
    <w:rsid w:val="0075576F"/>
    <w:rsid w:val="007559C6"/>
    <w:rsid w:val="00755EDF"/>
    <w:rsid w:val="007561C8"/>
    <w:rsid w:val="0075645C"/>
    <w:rsid w:val="00757B68"/>
    <w:rsid w:val="00760FFF"/>
    <w:rsid w:val="007617F6"/>
    <w:rsid w:val="00761F09"/>
    <w:rsid w:val="00761F2B"/>
    <w:rsid w:val="00762415"/>
    <w:rsid w:val="00763812"/>
    <w:rsid w:val="00763BB7"/>
    <w:rsid w:val="00763CC6"/>
    <w:rsid w:val="0076416E"/>
    <w:rsid w:val="0076505A"/>
    <w:rsid w:val="007653C8"/>
    <w:rsid w:val="00767701"/>
    <w:rsid w:val="007678B8"/>
    <w:rsid w:val="00771690"/>
    <w:rsid w:val="00771E8F"/>
    <w:rsid w:val="00772248"/>
    <w:rsid w:val="00772D13"/>
    <w:rsid w:val="007738DC"/>
    <w:rsid w:val="00773D96"/>
    <w:rsid w:val="007754F4"/>
    <w:rsid w:val="007757AA"/>
    <w:rsid w:val="00776CB7"/>
    <w:rsid w:val="00776F34"/>
    <w:rsid w:val="00777415"/>
    <w:rsid w:val="00777A0F"/>
    <w:rsid w:val="00777EE5"/>
    <w:rsid w:val="00781932"/>
    <w:rsid w:val="00782289"/>
    <w:rsid w:val="00785252"/>
    <w:rsid w:val="0078560C"/>
    <w:rsid w:val="00785B7A"/>
    <w:rsid w:val="0078646D"/>
    <w:rsid w:val="00786E3E"/>
    <w:rsid w:val="007874D7"/>
    <w:rsid w:val="0078795D"/>
    <w:rsid w:val="00791061"/>
    <w:rsid w:val="00791168"/>
    <w:rsid w:val="00791833"/>
    <w:rsid w:val="00791903"/>
    <w:rsid w:val="00791C8B"/>
    <w:rsid w:val="007923CB"/>
    <w:rsid w:val="007926F3"/>
    <w:rsid w:val="00792B7D"/>
    <w:rsid w:val="00792CDB"/>
    <w:rsid w:val="00792EEE"/>
    <w:rsid w:val="007932BA"/>
    <w:rsid w:val="00794C29"/>
    <w:rsid w:val="00794E3B"/>
    <w:rsid w:val="00794FB8"/>
    <w:rsid w:val="00795772"/>
    <w:rsid w:val="0079579D"/>
    <w:rsid w:val="0079581B"/>
    <w:rsid w:val="00795A4C"/>
    <w:rsid w:val="00795BFE"/>
    <w:rsid w:val="007966A1"/>
    <w:rsid w:val="00796AA1"/>
    <w:rsid w:val="00796FD3"/>
    <w:rsid w:val="007978D5"/>
    <w:rsid w:val="007979D8"/>
    <w:rsid w:val="007A1104"/>
    <w:rsid w:val="007A16B1"/>
    <w:rsid w:val="007A18FE"/>
    <w:rsid w:val="007A1AA0"/>
    <w:rsid w:val="007A3C92"/>
    <w:rsid w:val="007A43B0"/>
    <w:rsid w:val="007A4CCB"/>
    <w:rsid w:val="007A5904"/>
    <w:rsid w:val="007A6C6D"/>
    <w:rsid w:val="007A734D"/>
    <w:rsid w:val="007A7CC6"/>
    <w:rsid w:val="007B0DF2"/>
    <w:rsid w:val="007B117B"/>
    <w:rsid w:val="007B1936"/>
    <w:rsid w:val="007B3E27"/>
    <w:rsid w:val="007B44E0"/>
    <w:rsid w:val="007B47E4"/>
    <w:rsid w:val="007B4926"/>
    <w:rsid w:val="007B523B"/>
    <w:rsid w:val="007B5D22"/>
    <w:rsid w:val="007B5F12"/>
    <w:rsid w:val="007B6807"/>
    <w:rsid w:val="007B6868"/>
    <w:rsid w:val="007C004B"/>
    <w:rsid w:val="007C08A5"/>
    <w:rsid w:val="007C1054"/>
    <w:rsid w:val="007C125B"/>
    <w:rsid w:val="007C1549"/>
    <w:rsid w:val="007C1AEF"/>
    <w:rsid w:val="007C2D97"/>
    <w:rsid w:val="007C35DC"/>
    <w:rsid w:val="007C3E55"/>
    <w:rsid w:val="007C4177"/>
    <w:rsid w:val="007C51B8"/>
    <w:rsid w:val="007C5715"/>
    <w:rsid w:val="007C653E"/>
    <w:rsid w:val="007C683C"/>
    <w:rsid w:val="007C69BB"/>
    <w:rsid w:val="007C7191"/>
    <w:rsid w:val="007C7410"/>
    <w:rsid w:val="007C7547"/>
    <w:rsid w:val="007D05D3"/>
    <w:rsid w:val="007D096B"/>
    <w:rsid w:val="007D0C94"/>
    <w:rsid w:val="007D1365"/>
    <w:rsid w:val="007D2014"/>
    <w:rsid w:val="007D2F61"/>
    <w:rsid w:val="007D34F3"/>
    <w:rsid w:val="007D3AFF"/>
    <w:rsid w:val="007D4E9A"/>
    <w:rsid w:val="007D604D"/>
    <w:rsid w:val="007D6A2E"/>
    <w:rsid w:val="007D794A"/>
    <w:rsid w:val="007D7EC8"/>
    <w:rsid w:val="007E0088"/>
    <w:rsid w:val="007E0246"/>
    <w:rsid w:val="007E0840"/>
    <w:rsid w:val="007E1971"/>
    <w:rsid w:val="007E1A73"/>
    <w:rsid w:val="007E543B"/>
    <w:rsid w:val="007E6444"/>
    <w:rsid w:val="007E6C5C"/>
    <w:rsid w:val="007E6F3F"/>
    <w:rsid w:val="007E716E"/>
    <w:rsid w:val="007E71B0"/>
    <w:rsid w:val="007E7EC5"/>
    <w:rsid w:val="007F0438"/>
    <w:rsid w:val="007F248C"/>
    <w:rsid w:val="007F2D5E"/>
    <w:rsid w:val="007F2FB9"/>
    <w:rsid w:val="007F4756"/>
    <w:rsid w:val="007F4FBA"/>
    <w:rsid w:val="007F5A61"/>
    <w:rsid w:val="007F5ED9"/>
    <w:rsid w:val="007F6614"/>
    <w:rsid w:val="007F661F"/>
    <w:rsid w:val="007F69AD"/>
    <w:rsid w:val="007F7ACD"/>
    <w:rsid w:val="008003F2"/>
    <w:rsid w:val="00800CE8"/>
    <w:rsid w:val="00800EE0"/>
    <w:rsid w:val="00801D08"/>
    <w:rsid w:val="00803151"/>
    <w:rsid w:val="00803FF0"/>
    <w:rsid w:val="0080504D"/>
    <w:rsid w:val="0080522B"/>
    <w:rsid w:val="00806B76"/>
    <w:rsid w:val="00806E3B"/>
    <w:rsid w:val="00807119"/>
    <w:rsid w:val="00807B3A"/>
    <w:rsid w:val="00807C67"/>
    <w:rsid w:val="00810F7C"/>
    <w:rsid w:val="008112AF"/>
    <w:rsid w:val="008127F5"/>
    <w:rsid w:val="0081525F"/>
    <w:rsid w:val="0081723E"/>
    <w:rsid w:val="00821E34"/>
    <w:rsid w:val="00822795"/>
    <w:rsid w:val="008229F8"/>
    <w:rsid w:val="0082520E"/>
    <w:rsid w:val="00826313"/>
    <w:rsid w:val="00826AE6"/>
    <w:rsid w:val="0082794F"/>
    <w:rsid w:val="00827F71"/>
    <w:rsid w:val="00827FEE"/>
    <w:rsid w:val="0083056F"/>
    <w:rsid w:val="00830C42"/>
    <w:rsid w:val="00830EA9"/>
    <w:rsid w:val="00832BE7"/>
    <w:rsid w:val="00832FF4"/>
    <w:rsid w:val="00833303"/>
    <w:rsid w:val="00833FCB"/>
    <w:rsid w:val="00834449"/>
    <w:rsid w:val="008345F0"/>
    <w:rsid w:val="008349B5"/>
    <w:rsid w:val="00835581"/>
    <w:rsid w:val="00835B45"/>
    <w:rsid w:val="00835D50"/>
    <w:rsid w:val="00835F33"/>
    <w:rsid w:val="00836714"/>
    <w:rsid w:val="00836A7A"/>
    <w:rsid w:val="0083714C"/>
    <w:rsid w:val="008407A6"/>
    <w:rsid w:val="00840954"/>
    <w:rsid w:val="00840F87"/>
    <w:rsid w:val="008422A3"/>
    <w:rsid w:val="00842AA0"/>
    <w:rsid w:val="00843447"/>
    <w:rsid w:val="008435D2"/>
    <w:rsid w:val="00844294"/>
    <w:rsid w:val="00844DD6"/>
    <w:rsid w:val="00851379"/>
    <w:rsid w:val="00851A4F"/>
    <w:rsid w:val="00852BF6"/>
    <w:rsid w:val="0085319D"/>
    <w:rsid w:val="00853312"/>
    <w:rsid w:val="008533F8"/>
    <w:rsid w:val="00853A7C"/>
    <w:rsid w:val="00855412"/>
    <w:rsid w:val="008566BE"/>
    <w:rsid w:val="008569BE"/>
    <w:rsid w:val="00856F0C"/>
    <w:rsid w:val="008602BF"/>
    <w:rsid w:val="00860EDA"/>
    <w:rsid w:val="00861515"/>
    <w:rsid w:val="00861D18"/>
    <w:rsid w:val="00861ED2"/>
    <w:rsid w:val="008621ED"/>
    <w:rsid w:val="00862218"/>
    <w:rsid w:val="00862D29"/>
    <w:rsid w:val="008631A1"/>
    <w:rsid w:val="00863516"/>
    <w:rsid w:val="00863CE6"/>
    <w:rsid w:val="00863D75"/>
    <w:rsid w:val="008643C8"/>
    <w:rsid w:val="0086467B"/>
    <w:rsid w:val="008653CB"/>
    <w:rsid w:val="0086592D"/>
    <w:rsid w:val="00865DF6"/>
    <w:rsid w:val="00866215"/>
    <w:rsid w:val="00866373"/>
    <w:rsid w:val="008665D6"/>
    <w:rsid w:val="008677B2"/>
    <w:rsid w:val="00867B2B"/>
    <w:rsid w:val="008707FC"/>
    <w:rsid w:val="008725FE"/>
    <w:rsid w:val="008729A8"/>
    <w:rsid w:val="00873273"/>
    <w:rsid w:val="00873D1A"/>
    <w:rsid w:val="008743CF"/>
    <w:rsid w:val="008763FE"/>
    <w:rsid w:val="00876451"/>
    <w:rsid w:val="00881FF9"/>
    <w:rsid w:val="008834A9"/>
    <w:rsid w:val="008839C2"/>
    <w:rsid w:val="008841FB"/>
    <w:rsid w:val="00884219"/>
    <w:rsid w:val="00886258"/>
    <w:rsid w:val="0088784F"/>
    <w:rsid w:val="008906B4"/>
    <w:rsid w:val="00890D13"/>
    <w:rsid w:val="008914F0"/>
    <w:rsid w:val="00891850"/>
    <w:rsid w:val="008925E3"/>
    <w:rsid w:val="00893B27"/>
    <w:rsid w:val="00893B58"/>
    <w:rsid w:val="00894D72"/>
    <w:rsid w:val="00894E36"/>
    <w:rsid w:val="008957DB"/>
    <w:rsid w:val="00895EAE"/>
    <w:rsid w:val="008962B4"/>
    <w:rsid w:val="008968F8"/>
    <w:rsid w:val="008A04EC"/>
    <w:rsid w:val="008A12BA"/>
    <w:rsid w:val="008A12CB"/>
    <w:rsid w:val="008A16B0"/>
    <w:rsid w:val="008A2EE8"/>
    <w:rsid w:val="008A3B02"/>
    <w:rsid w:val="008A3F2D"/>
    <w:rsid w:val="008A4618"/>
    <w:rsid w:val="008A4881"/>
    <w:rsid w:val="008A6231"/>
    <w:rsid w:val="008A7ED4"/>
    <w:rsid w:val="008A7EDC"/>
    <w:rsid w:val="008B0AE9"/>
    <w:rsid w:val="008B18D0"/>
    <w:rsid w:val="008B200B"/>
    <w:rsid w:val="008B284C"/>
    <w:rsid w:val="008B2ED7"/>
    <w:rsid w:val="008B3128"/>
    <w:rsid w:val="008B3766"/>
    <w:rsid w:val="008B3C2C"/>
    <w:rsid w:val="008B446B"/>
    <w:rsid w:val="008B7619"/>
    <w:rsid w:val="008B79BF"/>
    <w:rsid w:val="008C0C05"/>
    <w:rsid w:val="008C15C3"/>
    <w:rsid w:val="008C1A09"/>
    <w:rsid w:val="008C27A7"/>
    <w:rsid w:val="008C2894"/>
    <w:rsid w:val="008C3155"/>
    <w:rsid w:val="008C3942"/>
    <w:rsid w:val="008C4335"/>
    <w:rsid w:val="008C43C1"/>
    <w:rsid w:val="008C4787"/>
    <w:rsid w:val="008C49DA"/>
    <w:rsid w:val="008C57B9"/>
    <w:rsid w:val="008C68E6"/>
    <w:rsid w:val="008C7367"/>
    <w:rsid w:val="008C757E"/>
    <w:rsid w:val="008D00A0"/>
    <w:rsid w:val="008D1244"/>
    <w:rsid w:val="008D1947"/>
    <w:rsid w:val="008D25C5"/>
    <w:rsid w:val="008D2E76"/>
    <w:rsid w:val="008D39DE"/>
    <w:rsid w:val="008D3B56"/>
    <w:rsid w:val="008D4D7D"/>
    <w:rsid w:val="008D58C9"/>
    <w:rsid w:val="008D615A"/>
    <w:rsid w:val="008D6C0F"/>
    <w:rsid w:val="008D6EB9"/>
    <w:rsid w:val="008D724C"/>
    <w:rsid w:val="008D7383"/>
    <w:rsid w:val="008D7F64"/>
    <w:rsid w:val="008E137D"/>
    <w:rsid w:val="008E2ECC"/>
    <w:rsid w:val="008E501E"/>
    <w:rsid w:val="008E6BB5"/>
    <w:rsid w:val="008E6E79"/>
    <w:rsid w:val="008F0B4E"/>
    <w:rsid w:val="008F0E0F"/>
    <w:rsid w:val="008F193E"/>
    <w:rsid w:val="008F1B68"/>
    <w:rsid w:val="008F1BB8"/>
    <w:rsid w:val="008F210B"/>
    <w:rsid w:val="008F24CD"/>
    <w:rsid w:val="008F34BE"/>
    <w:rsid w:val="008F3D85"/>
    <w:rsid w:val="008F46BE"/>
    <w:rsid w:val="008F5225"/>
    <w:rsid w:val="008F6CA0"/>
    <w:rsid w:val="008F7E05"/>
    <w:rsid w:val="00902016"/>
    <w:rsid w:val="009022BD"/>
    <w:rsid w:val="0090267E"/>
    <w:rsid w:val="00903177"/>
    <w:rsid w:val="0090591D"/>
    <w:rsid w:val="00906BE8"/>
    <w:rsid w:val="009075FA"/>
    <w:rsid w:val="00907695"/>
    <w:rsid w:val="00907A32"/>
    <w:rsid w:val="00910353"/>
    <w:rsid w:val="009106CF"/>
    <w:rsid w:val="00910AE8"/>
    <w:rsid w:val="00910BE1"/>
    <w:rsid w:val="00910C4D"/>
    <w:rsid w:val="009119F3"/>
    <w:rsid w:val="00912273"/>
    <w:rsid w:val="00912AF0"/>
    <w:rsid w:val="0091334F"/>
    <w:rsid w:val="0091443C"/>
    <w:rsid w:val="00914573"/>
    <w:rsid w:val="00914BC2"/>
    <w:rsid w:val="00915D6D"/>
    <w:rsid w:val="00915F81"/>
    <w:rsid w:val="00916B6D"/>
    <w:rsid w:val="009170DC"/>
    <w:rsid w:val="00917644"/>
    <w:rsid w:val="009200ED"/>
    <w:rsid w:val="009201B8"/>
    <w:rsid w:val="00920D56"/>
    <w:rsid w:val="009211A7"/>
    <w:rsid w:val="009211D2"/>
    <w:rsid w:val="00921BD4"/>
    <w:rsid w:val="00922021"/>
    <w:rsid w:val="00922024"/>
    <w:rsid w:val="00922906"/>
    <w:rsid w:val="0092336C"/>
    <w:rsid w:val="00923EFB"/>
    <w:rsid w:val="00924704"/>
    <w:rsid w:val="00925A04"/>
    <w:rsid w:val="00926453"/>
    <w:rsid w:val="00926605"/>
    <w:rsid w:val="00927A46"/>
    <w:rsid w:val="00927D5C"/>
    <w:rsid w:val="00927F53"/>
    <w:rsid w:val="00930232"/>
    <w:rsid w:val="00930EB2"/>
    <w:rsid w:val="00932763"/>
    <w:rsid w:val="00932976"/>
    <w:rsid w:val="00933370"/>
    <w:rsid w:val="009340D1"/>
    <w:rsid w:val="009357A4"/>
    <w:rsid w:val="00935D01"/>
    <w:rsid w:val="00937190"/>
    <w:rsid w:val="00937A2B"/>
    <w:rsid w:val="00937DFF"/>
    <w:rsid w:val="00937EC0"/>
    <w:rsid w:val="00942F67"/>
    <w:rsid w:val="00944E02"/>
    <w:rsid w:val="00945A36"/>
    <w:rsid w:val="00946871"/>
    <w:rsid w:val="00946AF6"/>
    <w:rsid w:val="009471E5"/>
    <w:rsid w:val="00947314"/>
    <w:rsid w:val="009500F3"/>
    <w:rsid w:val="009506AD"/>
    <w:rsid w:val="00950EF5"/>
    <w:rsid w:val="00951E51"/>
    <w:rsid w:val="009522EE"/>
    <w:rsid w:val="009527E4"/>
    <w:rsid w:val="009531AC"/>
    <w:rsid w:val="00953AE7"/>
    <w:rsid w:val="00953E85"/>
    <w:rsid w:val="009540EF"/>
    <w:rsid w:val="00954700"/>
    <w:rsid w:val="00954BB3"/>
    <w:rsid w:val="00956028"/>
    <w:rsid w:val="00957341"/>
    <w:rsid w:val="009578AB"/>
    <w:rsid w:val="00960E11"/>
    <w:rsid w:val="00960E97"/>
    <w:rsid w:val="00960F52"/>
    <w:rsid w:val="00961E19"/>
    <w:rsid w:val="00964057"/>
    <w:rsid w:val="0096428C"/>
    <w:rsid w:val="00965264"/>
    <w:rsid w:val="00965470"/>
    <w:rsid w:val="00965A2F"/>
    <w:rsid w:val="00965C64"/>
    <w:rsid w:val="00966AB6"/>
    <w:rsid w:val="00966F7C"/>
    <w:rsid w:val="0096719A"/>
    <w:rsid w:val="00967DA9"/>
    <w:rsid w:val="00970043"/>
    <w:rsid w:val="00970876"/>
    <w:rsid w:val="009712AF"/>
    <w:rsid w:val="00971928"/>
    <w:rsid w:val="00972419"/>
    <w:rsid w:val="00972D59"/>
    <w:rsid w:val="0097375A"/>
    <w:rsid w:val="00973B23"/>
    <w:rsid w:val="00974052"/>
    <w:rsid w:val="009742CC"/>
    <w:rsid w:val="00974477"/>
    <w:rsid w:val="00974BF4"/>
    <w:rsid w:val="009750E6"/>
    <w:rsid w:val="009758B7"/>
    <w:rsid w:val="00976031"/>
    <w:rsid w:val="00976146"/>
    <w:rsid w:val="00976B96"/>
    <w:rsid w:val="00976D43"/>
    <w:rsid w:val="00976D82"/>
    <w:rsid w:val="00977814"/>
    <w:rsid w:val="0098037A"/>
    <w:rsid w:val="00980884"/>
    <w:rsid w:val="00980E11"/>
    <w:rsid w:val="00981AE5"/>
    <w:rsid w:val="009832CF"/>
    <w:rsid w:val="00983C11"/>
    <w:rsid w:val="00983E90"/>
    <w:rsid w:val="0098526D"/>
    <w:rsid w:val="0098584F"/>
    <w:rsid w:val="009860BD"/>
    <w:rsid w:val="00986150"/>
    <w:rsid w:val="0098641D"/>
    <w:rsid w:val="00986460"/>
    <w:rsid w:val="0098669E"/>
    <w:rsid w:val="00986A7C"/>
    <w:rsid w:val="0098761C"/>
    <w:rsid w:val="00987DEF"/>
    <w:rsid w:val="009904AC"/>
    <w:rsid w:val="00992E83"/>
    <w:rsid w:val="009948CA"/>
    <w:rsid w:val="00994C7F"/>
    <w:rsid w:val="00994D66"/>
    <w:rsid w:val="0099501B"/>
    <w:rsid w:val="0099514F"/>
    <w:rsid w:val="009956B3"/>
    <w:rsid w:val="00995ACD"/>
    <w:rsid w:val="009A0B89"/>
    <w:rsid w:val="009A0B8C"/>
    <w:rsid w:val="009A0FD9"/>
    <w:rsid w:val="009A12A9"/>
    <w:rsid w:val="009A1FE9"/>
    <w:rsid w:val="009A25FB"/>
    <w:rsid w:val="009A2875"/>
    <w:rsid w:val="009A3329"/>
    <w:rsid w:val="009A3C07"/>
    <w:rsid w:val="009A5E1B"/>
    <w:rsid w:val="009A6288"/>
    <w:rsid w:val="009A6E1D"/>
    <w:rsid w:val="009B1FC1"/>
    <w:rsid w:val="009B24DB"/>
    <w:rsid w:val="009B26A0"/>
    <w:rsid w:val="009B2EAD"/>
    <w:rsid w:val="009B32FC"/>
    <w:rsid w:val="009B34ED"/>
    <w:rsid w:val="009B4879"/>
    <w:rsid w:val="009B4AD7"/>
    <w:rsid w:val="009B4F8C"/>
    <w:rsid w:val="009B517E"/>
    <w:rsid w:val="009B5209"/>
    <w:rsid w:val="009B53E0"/>
    <w:rsid w:val="009B62B2"/>
    <w:rsid w:val="009B6AD3"/>
    <w:rsid w:val="009B6C35"/>
    <w:rsid w:val="009B7055"/>
    <w:rsid w:val="009C1499"/>
    <w:rsid w:val="009C1D79"/>
    <w:rsid w:val="009C1F4E"/>
    <w:rsid w:val="009C2115"/>
    <w:rsid w:val="009C3C3B"/>
    <w:rsid w:val="009C424D"/>
    <w:rsid w:val="009C6FFB"/>
    <w:rsid w:val="009C74DA"/>
    <w:rsid w:val="009C7581"/>
    <w:rsid w:val="009C7647"/>
    <w:rsid w:val="009C784D"/>
    <w:rsid w:val="009D009E"/>
    <w:rsid w:val="009D0201"/>
    <w:rsid w:val="009D0C52"/>
    <w:rsid w:val="009D0C75"/>
    <w:rsid w:val="009D0E76"/>
    <w:rsid w:val="009D1176"/>
    <w:rsid w:val="009D321C"/>
    <w:rsid w:val="009D3500"/>
    <w:rsid w:val="009D377D"/>
    <w:rsid w:val="009D4269"/>
    <w:rsid w:val="009D50CD"/>
    <w:rsid w:val="009D54A3"/>
    <w:rsid w:val="009D59D3"/>
    <w:rsid w:val="009D6341"/>
    <w:rsid w:val="009D6579"/>
    <w:rsid w:val="009D69CA"/>
    <w:rsid w:val="009D7279"/>
    <w:rsid w:val="009D7CBC"/>
    <w:rsid w:val="009D7E5E"/>
    <w:rsid w:val="009E05ED"/>
    <w:rsid w:val="009E08B6"/>
    <w:rsid w:val="009E0AB1"/>
    <w:rsid w:val="009E1198"/>
    <w:rsid w:val="009E1E82"/>
    <w:rsid w:val="009E3BC9"/>
    <w:rsid w:val="009E478A"/>
    <w:rsid w:val="009E5194"/>
    <w:rsid w:val="009E54A8"/>
    <w:rsid w:val="009E5575"/>
    <w:rsid w:val="009E59F8"/>
    <w:rsid w:val="009E687F"/>
    <w:rsid w:val="009E6F90"/>
    <w:rsid w:val="009E7BCB"/>
    <w:rsid w:val="009E7E97"/>
    <w:rsid w:val="009F0B44"/>
    <w:rsid w:val="009F0F13"/>
    <w:rsid w:val="009F3734"/>
    <w:rsid w:val="009F3E4B"/>
    <w:rsid w:val="009F3EA5"/>
    <w:rsid w:val="009F44A7"/>
    <w:rsid w:val="009F5747"/>
    <w:rsid w:val="009F61F7"/>
    <w:rsid w:val="009F6231"/>
    <w:rsid w:val="00A006B6"/>
    <w:rsid w:val="00A01889"/>
    <w:rsid w:val="00A03511"/>
    <w:rsid w:val="00A0413B"/>
    <w:rsid w:val="00A05772"/>
    <w:rsid w:val="00A059CC"/>
    <w:rsid w:val="00A05D6F"/>
    <w:rsid w:val="00A05EFF"/>
    <w:rsid w:val="00A066C9"/>
    <w:rsid w:val="00A06887"/>
    <w:rsid w:val="00A068E8"/>
    <w:rsid w:val="00A07033"/>
    <w:rsid w:val="00A10D0B"/>
    <w:rsid w:val="00A11345"/>
    <w:rsid w:val="00A11CC2"/>
    <w:rsid w:val="00A12E8B"/>
    <w:rsid w:val="00A1331B"/>
    <w:rsid w:val="00A13E50"/>
    <w:rsid w:val="00A14E35"/>
    <w:rsid w:val="00A15C81"/>
    <w:rsid w:val="00A17BC8"/>
    <w:rsid w:val="00A202F9"/>
    <w:rsid w:val="00A2194F"/>
    <w:rsid w:val="00A21D76"/>
    <w:rsid w:val="00A226D1"/>
    <w:rsid w:val="00A22799"/>
    <w:rsid w:val="00A2292C"/>
    <w:rsid w:val="00A23804"/>
    <w:rsid w:val="00A23921"/>
    <w:rsid w:val="00A24036"/>
    <w:rsid w:val="00A25130"/>
    <w:rsid w:val="00A2514D"/>
    <w:rsid w:val="00A25A2B"/>
    <w:rsid w:val="00A2660D"/>
    <w:rsid w:val="00A2689D"/>
    <w:rsid w:val="00A26C1B"/>
    <w:rsid w:val="00A27200"/>
    <w:rsid w:val="00A303E6"/>
    <w:rsid w:val="00A30438"/>
    <w:rsid w:val="00A311D5"/>
    <w:rsid w:val="00A315D6"/>
    <w:rsid w:val="00A32837"/>
    <w:rsid w:val="00A32A77"/>
    <w:rsid w:val="00A3317D"/>
    <w:rsid w:val="00A34067"/>
    <w:rsid w:val="00A348F2"/>
    <w:rsid w:val="00A34938"/>
    <w:rsid w:val="00A35A41"/>
    <w:rsid w:val="00A35B27"/>
    <w:rsid w:val="00A37624"/>
    <w:rsid w:val="00A37D06"/>
    <w:rsid w:val="00A4099C"/>
    <w:rsid w:val="00A410DD"/>
    <w:rsid w:val="00A416ED"/>
    <w:rsid w:val="00A42ECA"/>
    <w:rsid w:val="00A43CD0"/>
    <w:rsid w:val="00A43E7A"/>
    <w:rsid w:val="00A447D3"/>
    <w:rsid w:val="00A45855"/>
    <w:rsid w:val="00A45DD6"/>
    <w:rsid w:val="00A46568"/>
    <w:rsid w:val="00A46AE1"/>
    <w:rsid w:val="00A4715D"/>
    <w:rsid w:val="00A4798A"/>
    <w:rsid w:val="00A50E9B"/>
    <w:rsid w:val="00A51C5D"/>
    <w:rsid w:val="00A526A4"/>
    <w:rsid w:val="00A5310C"/>
    <w:rsid w:val="00A53651"/>
    <w:rsid w:val="00A54810"/>
    <w:rsid w:val="00A54C2C"/>
    <w:rsid w:val="00A55712"/>
    <w:rsid w:val="00A57DCE"/>
    <w:rsid w:val="00A57F94"/>
    <w:rsid w:val="00A6010A"/>
    <w:rsid w:val="00A60771"/>
    <w:rsid w:val="00A62036"/>
    <w:rsid w:val="00A63472"/>
    <w:rsid w:val="00A646CB"/>
    <w:rsid w:val="00A652B7"/>
    <w:rsid w:val="00A65423"/>
    <w:rsid w:val="00A65DBF"/>
    <w:rsid w:val="00A66430"/>
    <w:rsid w:val="00A67599"/>
    <w:rsid w:val="00A7039F"/>
    <w:rsid w:val="00A70496"/>
    <w:rsid w:val="00A70CD7"/>
    <w:rsid w:val="00A7217F"/>
    <w:rsid w:val="00A72B5F"/>
    <w:rsid w:val="00A72CB0"/>
    <w:rsid w:val="00A73F41"/>
    <w:rsid w:val="00A74384"/>
    <w:rsid w:val="00A7455A"/>
    <w:rsid w:val="00A74730"/>
    <w:rsid w:val="00A75680"/>
    <w:rsid w:val="00A76F17"/>
    <w:rsid w:val="00A773E7"/>
    <w:rsid w:val="00A77CB2"/>
    <w:rsid w:val="00A827D4"/>
    <w:rsid w:val="00A8289E"/>
    <w:rsid w:val="00A82A9F"/>
    <w:rsid w:val="00A83258"/>
    <w:rsid w:val="00A84657"/>
    <w:rsid w:val="00A8478B"/>
    <w:rsid w:val="00A86084"/>
    <w:rsid w:val="00A863B9"/>
    <w:rsid w:val="00A8675D"/>
    <w:rsid w:val="00A86AF0"/>
    <w:rsid w:val="00A87A28"/>
    <w:rsid w:val="00A87FC3"/>
    <w:rsid w:val="00A903A0"/>
    <w:rsid w:val="00A92E77"/>
    <w:rsid w:val="00A93087"/>
    <w:rsid w:val="00A9361F"/>
    <w:rsid w:val="00A937D2"/>
    <w:rsid w:val="00A94FE1"/>
    <w:rsid w:val="00A965C6"/>
    <w:rsid w:val="00A977FC"/>
    <w:rsid w:val="00AA0254"/>
    <w:rsid w:val="00AA07A1"/>
    <w:rsid w:val="00AA163F"/>
    <w:rsid w:val="00AA1B87"/>
    <w:rsid w:val="00AA2BE1"/>
    <w:rsid w:val="00AA3DB8"/>
    <w:rsid w:val="00AA43DB"/>
    <w:rsid w:val="00AB24C4"/>
    <w:rsid w:val="00AB2677"/>
    <w:rsid w:val="00AB2B61"/>
    <w:rsid w:val="00AB3315"/>
    <w:rsid w:val="00AB44A4"/>
    <w:rsid w:val="00AB4DC2"/>
    <w:rsid w:val="00AB4E53"/>
    <w:rsid w:val="00AB6034"/>
    <w:rsid w:val="00AB63FE"/>
    <w:rsid w:val="00AB660D"/>
    <w:rsid w:val="00AB669A"/>
    <w:rsid w:val="00AB66D5"/>
    <w:rsid w:val="00AB7381"/>
    <w:rsid w:val="00AC056E"/>
    <w:rsid w:val="00AC1685"/>
    <w:rsid w:val="00AC1E6F"/>
    <w:rsid w:val="00AC217B"/>
    <w:rsid w:val="00AC23D4"/>
    <w:rsid w:val="00AC35E6"/>
    <w:rsid w:val="00AC415D"/>
    <w:rsid w:val="00AC6801"/>
    <w:rsid w:val="00AC79AD"/>
    <w:rsid w:val="00AD02A0"/>
    <w:rsid w:val="00AD09AD"/>
    <w:rsid w:val="00AD0CB3"/>
    <w:rsid w:val="00AD1014"/>
    <w:rsid w:val="00AD22AC"/>
    <w:rsid w:val="00AD26CF"/>
    <w:rsid w:val="00AD350F"/>
    <w:rsid w:val="00AD4392"/>
    <w:rsid w:val="00AD4474"/>
    <w:rsid w:val="00AD6049"/>
    <w:rsid w:val="00AD6BAE"/>
    <w:rsid w:val="00AD72E4"/>
    <w:rsid w:val="00AE06D5"/>
    <w:rsid w:val="00AE089B"/>
    <w:rsid w:val="00AE0A32"/>
    <w:rsid w:val="00AE0E59"/>
    <w:rsid w:val="00AE19FB"/>
    <w:rsid w:val="00AE1DB5"/>
    <w:rsid w:val="00AE206F"/>
    <w:rsid w:val="00AE268E"/>
    <w:rsid w:val="00AE39FA"/>
    <w:rsid w:val="00AE3D53"/>
    <w:rsid w:val="00AE5B01"/>
    <w:rsid w:val="00AE5D61"/>
    <w:rsid w:val="00AE5EA0"/>
    <w:rsid w:val="00AE6770"/>
    <w:rsid w:val="00AF0C5C"/>
    <w:rsid w:val="00AF0F54"/>
    <w:rsid w:val="00AF109F"/>
    <w:rsid w:val="00AF2446"/>
    <w:rsid w:val="00AF27CD"/>
    <w:rsid w:val="00AF406A"/>
    <w:rsid w:val="00AF4179"/>
    <w:rsid w:val="00AF4FBB"/>
    <w:rsid w:val="00AF50AF"/>
    <w:rsid w:val="00AF5A10"/>
    <w:rsid w:val="00AF5B08"/>
    <w:rsid w:val="00AF5BA8"/>
    <w:rsid w:val="00AF6FBF"/>
    <w:rsid w:val="00AF74A0"/>
    <w:rsid w:val="00AF7D1A"/>
    <w:rsid w:val="00B002AD"/>
    <w:rsid w:val="00B00BB1"/>
    <w:rsid w:val="00B01558"/>
    <w:rsid w:val="00B01AC4"/>
    <w:rsid w:val="00B01E53"/>
    <w:rsid w:val="00B02147"/>
    <w:rsid w:val="00B021F4"/>
    <w:rsid w:val="00B02330"/>
    <w:rsid w:val="00B03C93"/>
    <w:rsid w:val="00B04106"/>
    <w:rsid w:val="00B04C79"/>
    <w:rsid w:val="00B059D0"/>
    <w:rsid w:val="00B05BD4"/>
    <w:rsid w:val="00B078BD"/>
    <w:rsid w:val="00B1083E"/>
    <w:rsid w:val="00B10DB7"/>
    <w:rsid w:val="00B11A2B"/>
    <w:rsid w:val="00B13076"/>
    <w:rsid w:val="00B13DF7"/>
    <w:rsid w:val="00B140BD"/>
    <w:rsid w:val="00B1440D"/>
    <w:rsid w:val="00B14501"/>
    <w:rsid w:val="00B14838"/>
    <w:rsid w:val="00B14C6A"/>
    <w:rsid w:val="00B16275"/>
    <w:rsid w:val="00B1773B"/>
    <w:rsid w:val="00B2004E"/>
    <w:rsid w:val="00B20767"/>
    <w:rsid w:val="00B2188E"/>
    <w:rsid w:val="00B21C03"/>
    <w:rsid w:val="00B22237"/>
    <w:rsid w:val="00B23285"/>
    <w:rsid w:val="00B233A9"/>
    <w:rsid w:val="00B2355F"/>
    <w:rsid w:val="00B26B34"/>
    <w:rsid w:val="00B2780D"/>
    <w:rsid w:val="00B27FCA"/>
    <w:rsid w:val="00B314BD"/>
    <w:rsid w:val="00B33281"/>
    <w:rsid w:val="00B33AF8"/>
    <w:rsid w:val="00B33D19"/>
    <w:rsid w:val="00B341B3"/>
    <w:rsid w:val="00B343D7"/>
    <w:rsid w:val="00B34FA6"/>
    <w:rsid w:val="00B351DF"/>
    <w:rsid w:val="00B36FE2"/>
    <w:rsid w:val="00B373A9"/>
    <w:rsid w:val="00B37F83"/>
    <w:rsid w:val="00B40131"/>
    <w:rsid w:val="00B408D8"/>
    <w:rsid w:val="00B416DE"/>
    <w:rsid w:val="00B4326B"/>
    <w:rsid w:val="00B43F94"/>
    <w:rsid w:val="00B43FFB"/>
    <w:rsid w:val="00B44189"/>
    <w:rsid w:val="00B44265"/>
    <w:rsid w:val="00B4643A"/>
    <w:rsid w:val="00B47116"/>
    <w:rsid w:val="00B473BA"/>
    <w:rsid w:val="00B47410"/>
    <w:rsid w:val="00B47B46"/>
    <w:rsid w:val="00B50546"/>
    <w:rsid w:val="00B5094C"/>
    <w:rsid w:val="00B5102C"/>
    <w:rsid w:val="00B5386F"/>
    <w:rsid w:val="00B54B14"/>
    <w:rsid w:val="00B60C96"/>
    <w:rsid w:val="00B61964"/>
    <w:rsid w:val="00B62B96"/>
    <w:rsid w:val="00B637E6"/>
    <w:rsid w:val="00B6410B"/>
    <w:rsid w:val="00B6434E"/>
    <w:rsid w:val="00B643D6"/>
    <w:rsid w:val="00B6472C"/>
    <w:rsid w:val="00B64AB0"/>
    <w:rsid w:val="00B65C0E"/>
    <w:rsid w:val="00B6607F"/>
    <w:rsid w:val="00B6767D"/>
    <w:rsid w:val="00B67E69"/>
    <w:rsid w:val="00B700CB"/>
    <w:rsid w:val="00B700E4"/>
    <w:rsid w:val="00B70598"/>
    <w:rsid w:val="00B71C4F"/>
    <w:rsid w:val="00B72110"/>
    <w:rsid w:val="00B7275F"/>
    <w:rsid w:val="00B73979"/>
    <w:rsid w:val="00B745D7"/>
    <w:rsid w:val="00B7572D"/>
    <w:rsid w:val="00B757DC"/>
    <w:rsid w:val="00B75B07"/>
    <w:rsid w:val="00B75BFC"/>
    <w:rsid w:val="00B76271"/>
    <w:rsid w:val="00B76F5A"/>
    <w:rsid w:val="00B80165"/>
    <w:rsid w:val="00B80437"/>
    <w:rsid w:val="00B8149E"/>
    <w:rsid w:val="00B8211B"/>
    <w:rsid w:val="00B830D7"/>
    <w:rsid w:val="00B8365F"/>
    <w:rsid w:val="00B83E9D"/>
    <w:rsid w:val="00B8429B"/>
    <w:rsid w:val="00B843CB"/>
    <w:rsid w:val="00B8459A"/>
    <w:rsid w:val="00B84D15"/>
    <w:rsid w:val="00B84E13"/>
    <w:rsid w:val="00B8528D"/>
    <w:rsid w:val="00B8645E"/>
    <w:rsid w:val="00B86A08"/>
    <w:rsid w:val="00B87820"/>
    <w:rsid w:val="00B92992"/>
    <w:rsid w:val="00B92AED"/>
    <w:rsid w:val="00B92D1E"/>
    <w:rsid w:val="00B92D2A"/>
    <w:rsid w:val="00B92D3A"/>
    <w:rsid w:val="00B92E77"/>
    <w:rsid w:val="00B940C7"/>
    <w:rsid w:val="00B9430C"/>
    <w:rsid w:val="00B9460E"/>
    <w:rsid w:val="00B94969"/>
    <w:rsid w:val="00B95152"/>
    <w:rsid w:val="00B95219"/>
    <w:rsid w:val="00B953C1"/>
    <w:rsid w:val="00B959C9"/>
    <w:rsid w:val="00B965FF"/>
    <w:rsid w:val="00B96BD7"/>
    <w:rsid w:val="00B975C1"/>
    <w:rsid w:val="00B977CE"/>
    <w:rsid w:val="00BA06C6"/>
    <w:rsid w:val="00BA2981"/>
    <w:rsid w:val="00BA3DAB"/>
    <w:rsid w:val="00BA5C99"/>
    <w:rsid w:val="00BA5ED0"/>
    <w:rsid w:val="00BA69FA"/>
    <w:rsid w:val="00BA7309"/>
    <w:rsid w:val="00BA76EC"/>
    <w:rsid w:val="00BB1256"/>
    <w:rsid w:val="00BB185A"/>
    <w:rsid w:val="00BB1CB4"/>
    <w:rsid w:val="00BB1EB3"/>
    <w:rsid w:val="00BB27BF"/>
    <w:rsid w:val="00BB2F08"/>
    <w:rsid w:val="00BB2F19"/>
    <w:rsid w:val="00BB528C"/>
    <w:rsid w:val="00BB6070"/>
    <w:rsid w:val="00BB62EF"/>
    <w:rsid w:val="00BB7660"/>
    <w:rsid w:val="00BB7A88"/>
    <w:rsid w:val="00BC03F5"/>
    <w:rsid w:val="00BC3061"/>
    <w:rsid w:val="00BC3DB4"/>
    <w:rsid w:val="00BC4578"/>
    <w:rsid w:val="00BC6535"/>
    <w:rsid w:val="00BC735F"/>
    <w:rsid w:val="00BC7AE1"/>
    <w:rsid w:val="00BC7C9B"/>
    <w:rsid w:val="00BD058E"/>
    <w:rsid w:val="00BD0C34"/>
    <w:rsid w:val="00BD12E3"/>
    <w:rsid w:val="00BD2E60"/>
    <w:rsid w:val="00BD3233"/>
    <w:rsid w:val="00BD5192"/>
    <w:rsid w:val="00BD5900"/>
    <w:rsid w:val="00BD5FC3"/>
    <w:rsid w:val="00BD7B17"/>
    <w:rsid w:val="00BD7CF4"/>
    <w:rsid w:val="00BE033F"/>
    <w:rsid w:val="00BE035C"/>
    <w:rsid w:val="00BE0B00"/>
    <w:rsid w:val="00BE0C56"/>
    <w:rsid w:val="00BE121B"/>
    <w:rsid w:val="00BE15EA"/>
    <w:rsid w:val="00BE3440"/>
    <w:rsid w:val="00BE439F"/>
    <w:rsid w:val="00BE456A"/>
    <w:rsid w:val="00BE45CF"/>
    <w:rsid w:val="00BE5A45"/>
    <w:rsid w:val="00BE6394"/>
    <w:rsid w:val="00BE6461"/>
    <w:rsid w:val="00BE6879"/>
    <w:rsid w:val="00BE73E3"/>
    <w:rsid w:val="00BE77A5"/>
    <w:rsid w:val="00BF041C"/>
    <w:rsid w:val="00BF0E27"/>
    <w:rsid w:val="00BF1613"/>
    <w:rsid w:val="00BF2224"/>
    <w:rsid w:val="00BF2464"/>
    <w:rsid w:val="00BF357E"/>
    <w:rsid w:val="00BF36CD"/>
    <w:rsid w:val="00BF43DA"/>
    <w:rsid w:val="00BF6137"/>
    <w:rsid w:val="00BF627E"/>
    <w:rsid w:val="00BF63C6"/>
    <w:rsid w:val="00BF676D"/>
    <w:rsid w:val="00BF738A"/>
    <w:rsid w:val="00BF7696"/>
    <w:rsid w:val="00BF7CCA"/>
    <w:rsid w:val="00C002DF"/>
    <w:rsid w:val="00C0106D"/>
    <w:rsid w:val="00C012BA"/>
    <w:rsid w:val="00C01B06"/>
    <w:rsid w:val="00C023A1"/>
    <w:rsid w:val="00C02EA7"/>
    <w:rsid w:val="00C03105"/>
    <w:rsid w:val="00C045EC"/>
    <w:rsid w:val="00C04FF8"/>
    <w:rsid w:val="00C06D80"/>
    <w:rsid w:val="00C0714E"/>
    <w:rsid w:val="00C074B6"/>
    <w:rsid w:val="00C07B9D"/>
    <w:rsid w:val="00C07BF0"/>
    <w:rsid w:val="00C103CD"/>
    <w:rsid w:val="00C10FCD"/>
    <w:rsid w:val="00C113A9"/>
    <w:rsid w:val="00C1141C"/>
    <w:rsid w:val="00C11457"/>
    <w:rsid w:val="00C13511"/>
    <w:rsid w:val="00C136A8"/>
    <w:rsid w:val="00C139A6"/>
    <w:rsid w:val="00C147C9"/>
    <w:rsid w:val="00C15FA6"/>
    <w:rsid w:val="00C160BF"/>
    <w:rsid w:val="00C16113"/>
    <w:rsid w:val="00C164EF"/>
    <w:rsid w:val="00C175C3"/>
    <w:rsid w:val="00C1775A"/>
    <w:rsid w:val="00C20611"/>
    <w:rsid w:val="00C20857"/>
    <w:rsid w:val="00C21114"/>
    <w:rsid w:val="00C2180F"/>
    <w:rsid w:val="00C22241"/>
    <w:rsid w:val="00C23BDB"/>
    <w:rsid w:val="00C24553"/>
    <w:rsid w:val="00C24838"/>
    <w:rsid w:val="00C249E6"/>
    <w:rsid w:val="00C25A00"/>
    <w:rsid w:val="00C25EF0"/>
    <w:rsid w:val="00C25FF5"/>
    <w:rsid w:val="00C27CD2"/>
    <w:rsid w:val="00C302CC"/>
    <w:rsid w:val="00C3046D"/>
    <w:rsid w:val="00C30D66"/>
    <w:rsid w:val="00C3141E"/>
    <w:rsid w:val="00C3159F"/>
    <w:rsid w:val="00C31809"/>
    <w:rsid w:val="00C31862"/>
    <w:rsid w:val="00C32326"/>
    <w:rsid w:val="00C328A0"/>
    <w:rsid w:val="00C32947"/>
    <w:rsid w:val="00C32E07"/>
    <w:rsid w:val="00C33951"/>
    <w:rsid w:val="00C357FD"/>
    <w:rsid w:val="00C3600E"/>
    <w:rsid w:val="00C3733A"/>
    <w:rsid w:val="00C3799E"/>
    <w:rsid w:val="00C40F4F"/>
    <w:rsid w:val="00C41F0B"/>
    <w:rsid w:val="00C421CB"/>
    <w:rsid w:val="00C423E0"/>
    <w:rsid w:val="00C42505"/>
    <w:rsid w:val="00C42F3A"/>
    <w:rsid w:val="00C43257"/>
    <w:rsid w:val="00C4342B"/>
    <w:rsid w:val="00C43E54"/>
    <w:rsid w:val="00C43EED"/>
    <w:rsid w:val="00C43F43"/>
    <w:rsid w:val="00C440F6"/>
    <w:rsid w:val="00C441EB"/>
    <w:rsid w:val="00C442A4"/>
    <w:rsid w:val="00C446FE"/>
    <w:rsid w:val="00C45AFC"/>
    <w:rsid w:val="00C45D40"/>
    <w:rsid w:val="00C462A3"/>
    <w:rsid w:val="00C46834"/>
    <w:rsid w:val="00C46EDF"/>
    <w:rsid w:val="00C4734A"/>
    <w:rsid w:val="00C4782C"/>
    <w:rsid w:val="00C47A0A"/>
    <w:rsid w:val="00C47AD3"/>
    <w:rsid w:val="00C51855"/>
    <w:rsid w:val="00C51A88"/>
    <w:rsid w:val="00C53971"/>
    <w:rsid w:val="00C56132"/>
    <w:rsid w:val="00C5667B"/>
    <w:rsid w:val="00C56B22"/>
    <w:rsid w:val="00C57074"/>
    <w:rsid w:val="00C57233"/>
    <w:rsid w:val="00C57C94"/>
    <w:rsid w:val="00C60C8A"/>
    <w:rsid w:val="00C617BB"/>
    <w:rsid w:val="00C61874"/>
    <w:rsid w:val="00C627C4"/>
    <w:rsid w:val="00C628E4"/>
    <w:rsid w:val="00C628F4"/>
    <w:rsid w:val="00C63369"/>
    <w:rsid w:val="00C66962"/>
    <w:rsid w:val="00C670CB"/>
    <w:rsid w:val="00C7156C"/>
    <w:rsid w:val="00C715B1"/>
    <w:rsid w:val="00C735C3"/>
    <w:rsid w:val="00C73786"/>
    <w:rsid w:val="00C74157"/>
    <w:rsid w:val="00C74329"/>
    <w:rsid w:val="00C74B5D"/>
    <w:rsid w:val="00C74FD9"/>
    <w:rsid w:val="00C7505C"/>
    <w:rsid w:val="00C751A3"/>
    <w:rsid w:val="00C75668"/>
    <w:rsid w:val="00C7570A"/>
    <w:rsid w:val="00C75B0F"/>
    <w:rsid w:val="00C76D26"/>
    <w:rsid w:val="00C8176B"/>
    <w:rsid w:val="00C8211B"/>
    <w:rsid w:val="00C8263E"/>
    <w:rsid w:val="00C84BFB"/>
    <w:rsid w:val="00C85AD5"/>
    <w:rsid w:val="00C86E33"/>
    <w:rsid w:val="00C874E0"/>
    <w:rsid w:val="00C87BED"/>
    <w:rsid w:val="00C909CA"/>
    <w:rsid w:val="00C934D1"/>
    <w:rsid w:val="00C935BE"/>
    <w:rsid w:val="00C9381F"/>
    <w:rsid w:val="00C93AB6"/>
    <w:rsid w:val="00C93FDF"/>
    <w:rsid w:val="00C946D7"/>
    <w:rsid w:val="00C94D12"/>
    <w:rsid w:val="00C97F90"/>
    <w:rsid w:val="00CA02D0"/>
    <w:rsid w:val="00CA0A11"/>
    <w:rsid w:val="00CA1081"/>
    <w:rsid w:val="00CA1913"/>
    <w:rsid w:val="00CA1B0D"/>
    <w:rsid w:val="00CA241E"/>
    <w:rsid w:val="00CA27E1"/>
    <w:rsid w:val="00CA2866"/>
    <w:rsid w:val="00CA3ABF"/>
    <w:rsid w:val="00CA4AEB"/>
    <w:rsid w:val="00CA50EB"/>
    <w:rsid w:val="00CA5894"/>
    <w:rsid w:val="00CA5CFF"/>
    <w:rsid w:val="00CA5E7C"/>
    <w:rsid w:val="00CA5FAB"/>
    <w:rsid w:val="00CA6015"/>
    <w:rsid w:val="00CA6858"/>
    <w:rsid w:val="00CA7DFF"/>
    <w:rsid w:val="00CB0A0E"/>
    <w:rsid w:val="00CB1A9B"/>
    <w:rsid w:val="00CB1C37"/>
    <w:rsid w:val="00CB1D30"/>
    <w:rsid w:val="00CB218D"/>
    <w:rsid w:val="00CB2653"/>
    <w:rsid w:val="00CB2B71"/>
    <w:rsid w:val="00CB2EDC"/>
    <w:rsid w:val="00CB41F0"/>
    <w:rsid w:val="00CB44DE"/>
    <w:rsid w:val="00CB49AE"/>
    <w:rsid w:val="00CB5C9A"/>
    <w:rsid w:val="00CB5F93"/>
    <w:rsid w:val="00CB63FF"/>
    <w:rsid w:val="00CB6869"/>
    <w:rsid w:val="00CB751F"/>
    <w:rsid w:val="00CC12EA"/>
    <w:rsid w:val="00CC15C6"/>
    <w:rsid w:val="00CC1617"/>
    <w:rsid w:val="00CC1EAB"/>
    <w:rsid w:val="00CC2394"/>
    <w:rsid w:val="00CC26AB"/>
    <w:rsid w:val="00CC2A0C"/>
    <w:rsid w:val="00CC3304"/>
    <w:rsid w:val="00CC35C7"/>
    <w:rsid w:val="00CC4264"/>
    <w:rsid w:val="00CC4475"/>
    <w:rsid w:val="00CC5331"/>
    <w:rsid w:val="00CC5E89"/>
    <w:rsid w:val="00CC66A3"/>
    <w:rsid w:val="00CC7790"/>
    <w:rsid w:val="00CC7A4E"/>
    <w:rsid w:val="00CD1673"/>
    <w:rsid w:val="00CD1AA5"/>
    <w:rsid w:val="00CD3A75"/>
    <w:rsid w:val="00CD4094"/>
    <w:rsid w:val="00CD512E"/>
    <w:rsid w:val="00CD53A4"/>
    <w:rsid w:val="00CD6738"/>
    <w:rsid w:val="00CD79AE"/>
    <w:rsid w:val="00CD7FEC"/>
    <w:rsid w:val="00CE0501"/>
    <w:rsid w:val="00CE05ED"/>
    <w:rsid w:val="00CE19A5"/>
    <w:rsid w:val="00CE257C"/>
    <w:rsid w:val="00CE30F0"/>
    <w:rsid w:val="00CE4814"/>
    <w:rsid w:val="00CE4CEB"/>
    <w:rsid w:val="00CE5045"/>
    <w:rsid w:val="00CE556B"/>
    <w:rsid w:val="00CF0035"/>
    <w:rsid w:val="00CF0A43"/>
    <w:rsid w:val="00CF1DD7"/>
    <w:rsid w:val="00CF2413"/>
    <w:rsid w:val="00CF3B52"/>
    <w:rsid w:val="00CF4D1F"/>
    <w:rsid w:val="00CF50D1"/>
    <w:rsid w:val="00CF5389"/>
    <w:rsid w:val="00CF5E42"/>
    <w:rsid w:val="00D00EDE"/>
    <w:rsid w:val="00D03B98"/>
    <w:rsid w:val="00D04DBB"/>
    <w:rsid w:val="00D05BE8"/>
    <w:rsid w:val="00D05CA9"/>
    <w:rsid w:val="00D063DD"/>
    <w:rsid w:val="00D06D89"/>
    <w:rsid w:val="00D06DF4"/>
    <w:rsid w:val="00D07F7E"/>
    <w:rsid w:val="00D1134F"/>
    <w:rsid w:val="00D11381"/>
    <w:rsid w:val="00D1293A"/>
    <w:rsid w:val="00D12B2B"/>
    <w:rsid w:val="00D13737"/>
    <w:rsid w:val="00D149B3"/>
    <w:rsid w:val="00D14BA0"/>
    <w:rsid w:val="00D179FC"/>
    <w:rsid w:val="00D17AB4"/>
    <w:rsid w:val="00D205B8"/>
    <w:rsid w:val="00D21F35"/>
    <w:rsid w:val="00D2238A"/>
    <w:rsid w:val="00D22C5C"/>
    <w:rsid w:val="00D23F86"/>
    <w:rsid w:val="00D24BDD"/>
    <w:rsid w:val="00D25FBA"/>
    <w:rsid w:val="00D25FD4"/>
    <w:rsid w:val="00D27B8D"/>
    <w:rsid w:val="00D27C24"/>
    <w:rsid w:val="00D27D67"/>
    <w:rsid w:val="00D302E0"/>
    <w:rsid w:val="00D307DC"/>
    <w:rsid w:val="00D30FDB"/>
    <w:rsid w:val="00D31C19"/>
    <w:rsid w:val="00D320EE"/>
    <w:rsid w:val="00D32487"/>
    <w:rsid w:val="00D32C31"/>
    <w:rsid w:val="00D32C67"/>
    <w:rsid w:val="00D32FC0"/>
    <w:rsid w:val="00D33D43"/>
    <w:rsid w:val="00D34662"/>
    <w:rsid w:val="00D349BC"/>
    <w:rsid w:val="00D34D51"/>
    <w:rsid w:val="00D36100"/>
    <w:rsid w:val="00D3661B"/>
    <w:rsid w:val="00D36E29"/>
    <w:rsid w:val="00D3754B"/>
    <w:rsid w:val="00D42838"/>
    <w:rsid w:val="00D43911"/>
    <w:rsid w:val="00D43C5F"/>
    <w:rsid w:val="00D44F36"/>
    <w:rsid w:val="00D45292"/>
    <w:rsid w:val="00D459D7"/>
    <w:rsid w:val="00D46969"/>
    <w:rsid w:val="00D5041B"/>
    <w:rsid w:val="00D508F8"/>
    <w:rsid w:val="00D514CD"/>
    <w:rsid w:val="00D516E9"/>
    <w:rsid w:val="00D5227B"/>
    <w:rsid w:val="00D55790"/>
    <w:rsid w:val="00D56996"/>
    <w:rsid w:val="00D56D06"/>
    <w:rsid w:val="00D56D46"/>
    <w:rsid w:val="00D604FD"/>
    <w:rsid w:val="00D61BA6"/>
    <w:rsid w:val="00D6250F"/>
    <w:rsid w:val="00D62A25"/>
    <w:rsid w:val="00D62FB7"/>
    <w:rsid w:val="00D638C0"/>
    <w:rsid w:val="00D6424A"/>
    <w:rsid w:val="00D66075"/>
    <w:rsid w:val="00D661F6"/>
    <w:rsid w:val="00D70832"/>
    <w:rsid w:val="00D710CF"/>
    <w:rsid w:val="00D7113F"/>
    <w:rsid w:val="00D72C8A"/>
    <w:rsid w:val="00D72F3C"/>
    <w:rsid w:val="00D74030"/>
    <w:rsid w:val="00D7456A"/>
    <w:rsid w:val="00D76A1D"/>
    <w:rsid w:val="00D76A68"/>
    <w:rsid w:val="00D778C6"/>
    <w:rsid w:val="00D8140A"/>
    <w:rsid w:val="00D83188"/>
    <w:rsid w:val="00D840C9"/>
    <w:rsid w:val="00D87DCF"/>
    <w:rsid w:val="00D908A3"/>
    <w:rsid w:val="00D91674"/>
    <w:rsid w:val="00D92495"/>
    <w:rsid w:val="00D92C1C"/>
    <w:rsid w:val="00D92E40"/>
    <w:rsid w:val="00D9308C"/>
    <w:rsid w:val="00D93E2A"/>
    <w:rsid w:val="00D9611A"/>
    <w:rsid w:val="00D96244"/>
    <w:rsid w:val="00D96E7C"/>
    <w:rsid w:val="00D97482"/>
    <w:rsid w:val="00D976FC"/>
    <w:rsid w:val="00D97B50"/>
    <w:rsid w:val="00DA0B7B"/>
    <w:rsid w:val="00DA2285"/>
    <w:rsid w:val="00DA2475"/>
    <w:rsid w:val="00DA643B"/>
    <w:rsid w:val="00DA7088"/>
    <w:rsid w:val="00DB1F21"/>
    <w:rsid w:val="00DB3DD5"/>
    <w:rsid w:val="00DB3FC5"/>
    <w:rsid w:val="00DB448D"/>
    <w:rsid w:val="00DB4664"/>
    <w:rsid w:val="00DB5869"/>
    <w:rsid w:val="00DB7C99"/>
    <w:rsid w:val="00DC0D8A"/>
    <w:rsid w:val="00DC26EB"/>
    <w:rsid w:val="00DC314C"/>
    <w:rsid w:val="00DC3E4F"/>
    <w:rsid w:val="00DC4965"/>
    <w:rsid w:val="00DC67B5"/>
    <w:rsid w:val="00DC77F4"/>
    <w:rsid w:val="00DC7F2F"/>
    <w:rsid w:val="00DD049E"/>
    <w:rsid w:val="00DD0876"/>
    <w:rsid w:val="00DD09BE"/>
    <w:rsid w:val="00DD09FF"/>
    <w:rsid w:val="00DD0C56"/>
    <w:rsid w:val="00DD16A3"/>
    <w:rsid w:val="00DD1A7E"/>
    <w:rsid w:val="00DD204A"/>
    <w:rsid w:val="00DD2E33"/>
    <w:rsid w:val="00DD3C50"/>
    <w:rsid w:val="00DD425D"/>
    <w:rsid w:val="00DD456C"/>
    <w:rsid w:val="00DD4A6B"/>
    <w:rsid w:val="00DD5386"/>
    <w:rsid w:val="00DD5EBE"/>
    <w:rsid w:val="00DD74D2"/>
    <w:rsid w:val="00DD7BB3"/>
    <w:rsid w:val="00DE0C88"/>
    <w:rsid w:val="00DE1032"/>
    <w:rsid w:val="00DE1576"/>
    <w:rsid w:val="00DE18F3"/>
    <w:rsid w:val="00DE1BC5"/>
    <w:rsid w:val="00DE2EBF"/>
    <w:rsid w:val="00DE58DA"/>
    <w:rsid w:val="00DE5C10"/>
    <w:rsid w:val="00DE6BDC"/>
    <w:rsid w:val="00DE71A4"/>
    <w:rsid w:val="00DE777B"/>
    <w:rsid w:val="00DE7BF7"/>
    <w:rsid w:val="00DF04D9"/>
    <w:rsid w:val="00DF1823"/>
    <w:rsid w:val="00DF1FF5"/>
    <w:rsid w:val="00DF2216"/>
    <w:rsid w:val="00DF4D70"/>
    <w:rsid w:val="00DF53AC"/>
    <w:rsid w:val="00DF56E6"/>
    <w:rsid w:val="00DF616C"/>
    <w:rsid w:val="00DF6ED4"/>
    <w:rsid w:val="00DF79EC"/>
    <w:rsid w:val="00DF7A7E"/>
    <w:rsid w:val="00E0007A"/>
    <w:rsid w:val="00E00707"/>
    <w:rsid w:val="00E00C32"/>
    <w:rsid w:val="00E00EC1"/>
    <w:rsid w:val="00E0103C"/>
    <w:rsid w:val="00E018CC"/>
    <w:rsid w:val="00E02859"/>
    <w:rsid w:val="00E02B0C"/>
    <w:rsid w:val="00E030F7"/>
    <w:rsid w:val="00E03CE6"/>
    <w:rsid w:val="00E04F49"/>
    <w:rsid w:val="00E053B9"/>
    <w:rsid w:val="00E057DD"/>
    <w:rsid w:val="00E05861"/>
    <w:rsid w:val="00E05A99"/>
    <w:rsid w:val="00E05B2F"/>
    <w:rsid w:val="00E05E4D"/>
    <w:rsid w:val="00E05E84"/>
    <w:rsid w:val="00E06682"/>
    <w:rsid w:val="00E07468"/>
    <w:rsid w:val="00E12751"/>
    <w:rsid w:val="00E12C7A"/>
    <w:rsid w:val="00E1318D"/>
    <w:rsid w:val="00E13378"/>
    <w:rsid w:val="00E13F19"/>
    <w:rsid w:val="00E1442B"/>
    <w:rsid w:val="00E144D9"/>
    <w:rsid w:val="00E156E6"/>
    <w:rsid w:val="00E15B0C"/>
    <w:rsid w:val="00E165D2"/>
    <w:rsid w:val="00E16FBF"/>
    <w:rsid w:val="00E2088B"/>
    <w:rsid w:val="00E211E2"/>
    <w:rsid w:val="00E23201"/>
    <w:rsid w:val="00E234B2"/>
    <w:rsid w:val="00E236F2"/>
    <w:rsid w:val="00E24216"/>
    <w:rsid w:val="00E252AF"/>
    <w:rsid w:val="00E25E78"/>
    <w:rsid w:val="00E260B7"/>
    <w:rsid w:val="00E265DB"/>
    <w:rsid w:val="00E31FD0"/>
    <w:rsid w:val="00E32321"/>
    <w:rsid w:val="00E32440"/>
    <w:rsid w:val="00E32B1F"/>
    <w:rsid w:val="00E32EED"/>
    <w:rsid w:val="00E3322F"/>
    <w:rsid w:val="00E341D7"/>
    <w:rsid w:val="00E34F99"/>
    <w:rsid w:val="00E35C49"/>
    <w:rsid w:val="00E35D4B"/>
    <w:rsid w:val="00E363E7"/>
    <w:rsid w:val="00E37854"/>
    <w:rsid w:val="00E37B80"/>
    <w:rsid w:val="00E414BE"/>
    <w:rsid w:val="00E43B38"/>
    <w:rsid w:val="00E44146"/>
    <w:rsid w:val="00E44A13"/>
    <w:rsid w:val="00E46177"/>
    <w:rsid w:val="00E4637A"/>
    <w:rsid w:val="00E46F75"/>
    <w:rsid w:val="00E471CB"/>
    <w:rsid w:val="00E51353"/>
    <w:rsid w:val="00E518E5"/>
    <w:rsid w:val="00E536E6"/>
    <w:rsid w:val="00E54681"/>
    <w:rsid w:val="00E55161"/>
    <w:rsid w:val="00E551D7"/>
    <w:rsid w:val="00E55A11"/>
    <w:rsid w:val="00E55F0E"/>
    <w:rsid w:val="00E55F47"/>
    <w:rsid w:val="00E56D37"/>
    <w:rsid w:val="00E57A2F"/>
    <w:rsid w:val="00E60197"/>
    <w:rsid w:val="00E6051D"/>
    <w:rsid w:val="00E60A43"/>
    <w:rsid w:val="00E60B37"/>
    <w:rsid w:val="00E61710"/>
    <w:rsid w:val="00E6260F"/>
    <w:rsid w:val="00E63763"/>
    <w:rsid w:val="00E64BF0"/>
    <w:rsid w:val="00E66D80"/>
    <w:rsid w:val="00E70BA7"/>
    <w:rsid w:val="00E71575"/>
    <w:rsid w:val="00E716DF"/>
    <w:rsid w:val="00E71887"/>
    <w:rsid w:val="00E7211C"/>
    <w:rsid w:val="00E72145"/>
    <w:rsid w:val="00E726FE"/>
    <w:rsid w:val="00E72F42"/>
    <w:rsid w:val="00E731EE"/>
    <w:rsid w:val="00E73609"/>
    <w:rsid w:val="00E74A03"/>
    <w:rsid w:val="00E74AF7"/>
    <w:rsid w:val="00E76102"/>
    <w:rsid w:val="00E76136"/>
    <w:rsid w:val="00E7672E"/>
    <w:rsid w:val="00E76737"/>
    <w:rsid w:val="00E76E36"/>
    <w:rsid w:val="00E7734A"/>
    <w:rsid w:val="00E77AA8"/>
    <w:rsid w:val="00E77FAA"/>
    <w:rsid w:val="00E80A17"/>
    <w:rsid w:val="00E81D5C"/>
    <w:rsid w:val="00E85195"/>
    <w:rsid w:val="00E85375"/>
    <w:rsid w:val="00E85850"/>
    <w:rsid w:val="00E8711A"/>
    <w:rsid w:val="00E871A9"/>
    <w:rsid w:val="00E87EB8"/>
    <w:rsid w:val="00E908AE"/>
    <w:rsid w:val="00E9133F"/>
    <w:rsid w:val="00E91CE8"/>
    <w:rsid w:val="00E92B46"/>
    <w:rsid w:val="00E935E2"/>
    <w:rsid w:val="00E95111"/>
    <w:rsid w:val="00E9536C"/>
    <w:rsid w:val="00E95B00"/>
    <w:rsid w:val="00E95DA2"/>
    <w:rsid w:val="00E96137"/>
    <w:rsid w:val="00E96724"/>
    <w:rsid w:val="00E969A0"/>
    <w:rsid w:val="00EA102F"/>
    <w:rsid w:val="00EA1812"/>
    <w:rsid w:val="00EA1993"/>
    <w:rsid w:val="00EA19B8"/>
    <w:rsid w:val="00EA2C39"/>
    <w:rsid w:val="00EA3737"/>
    <w:rsid w:val="00EA3DF9"/>
    <w:rsid w:val="00EA45ED"/>
    <w:rsid w:val="00EB124D"/>
    <w:rsid w:val="00EB174D"/>
    <w:rsid w:val="00EB1F05"/>
    <w:rsid w:val="00EB29AB"/>
    <w:rsid w:val="00EB2D69"/>
    <w:rsid w:val="00EB339D"/>
    <w:rsid w:val="00EB3C80"/>
    <w:rsid w:val="00EB4A93"/>
    <w:rsid w:val="00EB53A6"/>
    <w:rsid w:val="00EB7504"/>
    <w:rsid w:val="00EB768A"/>
    <w:rsid w:val="00EC1740"/>
    <w:rsid w:val="00EC2C8B"/>
    <w:rsid w:val="00EC2F7E"/>
    <w:rsid w:val="00EC3105"/>
    <w:rsid w:val="00EC3F79"/>
    <w:rsid w:val="00EC4B30"/>
    <w:rsid w:val="00EC4EEA"/>
    <w:rsid w:val="00EC681C"/>
    <w:rsid w:val="00EC6BEA"/>
    <w:rsid w:val="00EC77B8"/>
    <w:rsid w:val="00ED06C8"/>
    <w:rsid w:val="00ED0A6A"/>
    <w:rsid w:val="00ED1132"/>
    <w:rsid w:val="00ED17DE"/>
    <w:rsid w:val="00ED23A5"/>
    <w:rsid w:val="00ED24B3"/>
    <w:rsid w:val="00ED312E"/>
    <w:rsid w:val="00ED341D"/>
    <w:rsid w:val="00ED41A8"/>
    <w:rsid w:val="00ED4378"/>
    <w:rsid w:val="00ED449F"/>
    <w:rsid w:val="00ED4B88"/>
    <w:rsid w:val="00ED5CFD"/>
    <w:rsid w:val="00ED6F82"/>
    <w:rsid w:val="00ED781B"/>
    <w:rsid w:val="00EE0FD4"/>
    <w:rsid w:val="00EE12B6"/>
    <w:rsid w:val="00EE1F79"/>
    <w:rsid w:val="00EE1F96"/>
    <w:rsid w:val="00EE2381"/>
    <w:rsid w:val="00EE3C85"/>
    <w:rsid w:val="00EE4771"/>
    <w:rsid w:val="00EE4D75"/>
    <w:rsid w:val="00EE52B5"/>
    <w:rsid w:val="00EE5FBC"/>
    <w:rsid w:val="00EE6F11"/>
    <w:rsid w:val="00EE7B41"/>
    <w:rsid w:val="00EE7EA3"/>
    <w:rsid w:val="00EF0A65"/>
    <w:rsid w:val="00EF15D1"/>
    <w:rsid w:val="00EF2B4A"/>
    <w:rsid w:val="00EF3C7A"/>
    <w:rsid w:val="00EF54E2"/>
    <w:rsid w:val="00EF5E3C"/>
    <w:rsid w:val="00F01F1D"/>
    <w:rsid w:val="00F02388"/>
    <w:rsid w:val="00F02C02"/>
    <w:rsid w:val="00F04060"/>
    <w:rsid w:val="00F04EA6"/>
    <w:rsid w:val="00F054AA"/>
    <w:rsid w:val="00F07000"/>
    <w:rsid w:val="00F07435"/>
    <w:rsid w:val="00F0776A"/>
    <w:rsid w:val="00F077E4"/>
    <w:rsid w:val="00F11FEA"/>
    <w:rsid w:val="00F13519"/>
    <w:rsid w:val="00F138B1"/>
    <w:rsid w:val="00F13AA2"/>
    <w:rsid w:val="00F13C42"/>
    <w:rsid w:val="00F1471E"/>
    <w:rsid w:val="00F14C37"/>
    <w:rsid w:val="00F15879"/>
    <w:rsid w:val="00F158F1"/>
    <w:rsid w:val="00F15C49"/>
    <w:rsid w:val="00F1688F"/>
    <w:rsid w:val="00F17E38"/>
    <w:rsid w:val="00F20642"/>
    <w:rsid w:val="00F21242"/>
    <w:rsid w:val="00F2138A"/>
    <w:rsid w:val="00F21EFC"/>
    <w:rsid w:val="00F22C87"/>
    <w:rsid w:val="00F23D66"/>
    <w:rsid w:val="00F24722"/>
    <w:rsid w:val="00F26FD7"/>
    <w:rsid w:val="00F27C6C"/>
    <w:rsid w:val="00F306FC"/>
    <w:rsid w:val="00F30A31"/>
    <w:rsid w:val="00F312A5"/>
    <w:rsid w:val="00F3134B"/>
    <w:rsid w:val="00F3153B"/>
    <w:rsid w:val="00F32016"/>
    <w:rsid w:val="00F331AA"/>
    <w:rsid w:val="00F333C6"/>
    <w:rsid w:val="00F3361F"/>
    <w:rsid w:val="00F33FA8"/>
    <w:rsid w:val="00F3401E"/>
    <w:rsid w:val="00F34077"/>
    <w:rsid w:val="00F34863"/>
    <w:rsid w:val="00F34969"/>
    <w:rsid w:val="00F34974"/>
    <w:rsid w:val="00F34B10"/>
    <w:rsid w:val="00F34B83"/>
    <w:rsid w:val="00F34D71"/>
    <w:rsid w:val="00F34E49"/>
    <w:rsid w:val="00F351C8"/>
    <w:rsid w:val="00F3553E"/>
    <w:rsid w:val="00F3725F"/>
    <w:rsid w:val="00F37423"/>
    <w:rsid w:val="00F37E68"/>
    <w:rsid w:val="00F4085D"/>
    <w:rsid w:val="00F41A87"/>
    <w:rsid w:val="00F4364B"/>
    <w:rsid w:val="00F44503"/>
    <w:rsid w:val="00F454F4"/>
    <w:rsid w:val="00F457F0"/>
    <w:rsid w:val="00F4646C"/>
    <w:rsid w:val="00F47208"/>
    <w:rsid w:val="00F50129"/>
    <w:rsid w:val="00F5043F"/>
    <w:rsid w:val="00F505A5"/>
    <w:rsid w:val="00F507BD"/>
    <w:rsid w:val="00F510F4"/>
    <w:rsid w:val="00F51240"/>
    <w:rsid w:val="00F51756"/>
    <w:rsid w:val="00F52907"/>
    <w:rsid w:val="00F52B92"/>
    <w:rsid w:val="00F52CC2"/>
    <w:rsid w:val="00F56993"/>
    <w:rsid w:val="00F60369"/>
    <w:rsid w:val="00F60561"/>
    <w:rsid w:val="00F611CE"/>
    <w:rsid w:val="00F61662"/>
    <w:rsid w:val="00F618B4"/>
    <w:rsid w:val="00F61D9B"/>
    <w:rsid w:val="00F62531"/>
    <w:rsid w:val="00F6297F"/>
    <w:rsid w:val="00F62B34"/>
    <w:rsid w:val="00F636CA"/>
    <w:rsid w:val="00F638A4"/>
    <w:rsid w:val="00F64808"/>
    <w:rsid w:val="00F64A8B"/>
    <w:rsid w:val="00F64C89"/>
    <w:rsid w:val="00F65E7D"/>
    <w:rsid w:val="00F668DE"/>
    <w:rsid w:val="00F72653"/>
    <w:rsid w:val="00F739CA"/>
    <w:rsid w:val="00F74B61"/>
    <w:rsid w:val="00F757E4"/>
    <w:rsid w:val="00F75CB2"/>
    <w:rsid w:val="00F762CD"/>
    <w:rsid w:val="00F77370"/>
    <w:rsid w:val="00F7770F"/>
    <w:rsid w:val="00F81DB7"/>
    <w:rsid w:val="00F8214E"/>
    <w:rsid w:val="00F830F9"/>
    <w:rsid w:val="00F8373E"/>
    <w:rsid w:val="00F8378D"/>
    <w:rsid w:val="00F83955"/>
    <w:rsid w:val="00F83BFE"/>
    <w:rsid w:val="00F83EF0"/>
    <w:rsid w:val="00F84147"/>
    <w:rsid w:val="00F84382"/>
    <w:rsid w:val="00F85056"/>
    <w:rsid w:val="00F862EE"/>
    <w:rsid w:val="00F86A26"/>
    <w:rsid w:val="00F86AC0"/>
    <w:rsid w:val="00F87176"/>
    <w:rsid w:val="00F8751A"/>
    <w:rsid w:val="00F87724"/>
    <w:rsid w:val="00F87A77"/>
    <w:rsid w:val="00F87BCD"/>
    <w:rsid w:val="00F91015"/>
    <w:rsid w:val="00F92F66"/>
    <w:rsid w:val="00F932DD"/>
    <w:rsid w:val="00F93484"/>
    <w:rsid w:val="00F937D8"/>
    <w:rsid w:val="00F93E82"/>
    <w:rsid w:val="00F93FBE"/>
    <w:rsid w:val="00F96494"/>
    <w:rsid w:val="00F96F6A"/>
    <w:rsid w:val="00F970D1"/>
    <w:rsid w:val="00FA0873"/>
    <w:rsid w:val="00FA2DA4"/>
    <w:rsid w:val="00FA3724"/>
    <w:rsid w:val="00FA37F0"/>
    <w:rsid w:val="00FA3D86"/>
    <w:rsid w:val="00FA4385"/>
    <w:rsid w:val="00FA4EEC"/>
    <w:rsid w:val="00FA599F"/>
    <w:rsid w:val="00FA66FE"/>
    <w:rsid w:val="00FB01D0"/>
    <w:rsid w:val="00FB0492"/>
    <w:rsid w:val="00FB11C5"/>
    <w:rsid w:val="00FB18B2"/>
    <w:rsid w:val="00FB1D78"/>
    <w:rsid w:val="00FB21EA"/>
    <w:rsid w:val="00FB2ECB"/>
    <w:rsid w:val="00FB2F4F"/>
    <w:rsid w:val="00FB3075"/>
    <w:rsid w:val="00FB317A"/>
    <w:rsid w:val="00FB4A76"/>
    <w:rsid w:val="00FB5C03"/>
    <w:rsid w:val="00FB6E48"/>
    <w:rsid w:val="00FB6EE6"/>
    <w:rsid w:val="00FB6F9D"/>
    <w:rsid w:val="00FB7D52"/>
    <w:rsid w:val="00FC0515"/>
    <w:rsid w:val="00FC129D"/>
    <w:rsid w:val="00FC1716"/>
    <w:rsid w:val="00FC17E3"/>
    <w:rsid w:val="00FC21D9"/>
    <w:rsid w:val="00FC2307"/>
    <w:rsid w:val="00FC2A4E"/>
    <w:rsid w:val="00FC31C7"/>
    <w:rsid w:val="00FC48F3"/>
    <w:rsid w:val="00FC4A5C"/>
    <w:rsid w:val="00FC588D"/>
    <w:rsid w:val="00FC606D"/>
    <w:rsid w:val="00FC6365"/>
    <w:rsid w:val="00FC6A1E"/>
    <w:rsid w:val="00FC6CE4"/>
    <w:rsid w:val="00FC7A87"/>
    <w:rsid w:val="00FC7AC5"/>
    <w:rsid w:val="00FC7B64"/>
    <w:rsid w:val="00FD05DE"/>
    <w:rsid w:val="00FD0A9F"/>
    <w:rsid w:val="00FD0C9E"/>
    <w:rsid w:val="00FD1148"/>
    <w:rsid w:val="00FD18CF"/>
    <w:rsid w:val="00FD1C9A"/>
    <w:rsid w:val="00FD1F10"/>
    <w:rsid w:val="00FD3480"/>
    <w:rsid w:val="00FD3DF1"/>
    <w:rsid w:val="00FD5EBF"/>
    <w:rsid w:val="00FD626C"/>
    <w:rsid w:val="00FD6BC9"/>
    <w:rsid w:val="00FD6BFB"/>
    <w:rsid w:val="00FD7C1C"/>
    <w:rsid w:val="00FE009E"/>
    <w:rsid w:val="00FE080D"/>
    <w:rsid w:val="00FE0F80"/>
    <w:rsid w:val="00FE117B"/>
    <w:rsid w:val="00FE3DF8"/>
    <w:rsid w:val="00FE6053"/>
    <w:rsid w:val="00FE6B4C"/>
    <w:rsid w:val="00FE6D69"/>
    <w:rsid w:val="00FE7625"/>
    <w:rsid w:val="00FE7B08"/>
    <w:rsid w:val="00FF04B8"/>
    <w:rsid w:val="00FF0895"/>
    <w:rsid w:val="00FF2A98"/>
    <w:rsid w:val="00FF2DAF"/>
    <w:rsid w:val="00FF2F17"/>
    <w:rsid w:val="00FF31EA"/>
    <w:rsid w:val="00FF3B8C"/>
    <w:rsid w:val="00FF4090"/>
    <w:rsid w:val="00FF434A"/>
    <w:rsid w:val="00FF4D6E"/>
    <w:rsid w:val="00FF52E3"/>
    <w:rsid w:val="00FF616B"/>
    <w:rsid w:val="00FF6210"/>
    <w:rsid w:val="00FF6294"/>
    <w:rsid w:val="00FF7E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EBDC8"/>
  <w15:chartTrackingRefBased/>
  <w15:docId w15:val="{11174873-8386-4B56-9F05-C88EA207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8F1"/>
    <w:rPr>
      <w:sz w:val="24"/>
      <w:szCs w:val="24"/>
    </w:rPr>
  </w:style>
  <w:style w:type="paragraph" w:styleId="Naslov1">
    <w:name w:val="heading 1"/>
    <w:basedOn w:val="Normal"/>
    <w:next w:val="Normal"/>
    <w:link w:val="Naslov1Char"/>
    <w:qFormat/>
    <w:rsid w:val="0098037A"/>
    <w:pPr>
      <w:keepNext/>
      <w:spacing w:before="240" w:after="60"/>
      <w:outlineLvl w:val="0"/>
    </w:pPr>
    <w:rPr>
      <w:rFonts w:ascii="Cambria" w:hAnsi="Cambria"/>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98037A"/>
    <w:rPr>
      <w:rFonts w:ascii="Cambria" w:eastAsia="Times New Roman" w:hAnsi="Cambria" w:cs="Times New Roman"/>
      <w:b/>
      <w:bCs/>
      <w:kern w:val="32"/>
      <w:sz w:val="32"/>
      <w:szCs w:val="32"/>
    </w:rPr>
  </w:style>
  <w:style w:type="paragraph" w:customStyle="1" w:styleId="xl25">
    <w:name w:val="xl25"/>
    <w:basedOn w:val="Normal"/>
    <w:rsid w:val="00F158F1"/>
    <w:pPr>
      <w:spacing w:before="100" w:beforeAutospacing="1" w:after="100" w:afterAutospacing="1"/>
    </w:pPr>
    <w:rPr>
      <w:lang w:val="en-GB" w:eastAsia="en-US"/>
    </w:rPr>
  </w:style>
  <w:style w:type="paragraph" w:customStyle="1" w:styleId="xl26">
    <w:name w:val="xl26"/>
    <w:basedOn w:val="Normal"/>
    <w:rsid w:val="00F158F1"/>
    <w:pPr>
      <w:spacing w:before="100" w:beforeAutospacing="1" w:after="100" w:afterAutospacing="1"/>
    </w:pPr>
    <w:rPr>
      <w:lang w:val="en-GB" w:eastAsia="en-US"/>
    </w:rPr>
  </w:style>
  <w:style w:type="paragraph" w:customStyle="1" w:styleId="xl27">
    <w:name w:val="xl27"/>
    <w:basedOn w:val="Normal"/>
    <w:rsid w:val="00F158F1"/>
    <w:pPr>
      <w:pBdr>
        <w:top w:val="single" w:sz="4" w:space="0" w:color="auto"/>
        <w:bottom w:val="single" w:sz="4" w:space="0" w:color="auto"/>
      </w:pBdr>
      <w:spacing w:before="100" w:beforeAutospacing="1" w:after="100" w:afterAutospacing="1"/>
      <w:jc w:val="center"/>
    </w:pPr>
    <w:rPr>
      <w:lang w:val="en-GB" w:eastAsia="en-US"/>
    </w:rPr>
  </w:style>
  <w:style w:type="paragraph" w:customStyle="1" w:styleId="xl28">
    <w:name w:val="xl28"/>
    <w:basedOn w:val="Normal"/>
    <w:rsid w:val="00F158F1"/>
    <w:pPr>
      <w:spacing w:before="100" w:beforeAutospacing="1" w:after="100" w:afterAutospacing="1"/>
    </w:pPr>
    <w:rPr>
      <w:rFonts w:ascii="Arial" w:hAnsi="Arial" w:cs="Arial"/>
      <w:b/>
      <w:bCs/>
      <w:lang w:val="en-GB" w:eastAsia="en-US"/>
    </w:rPr>
  </w:style>
  <w:style w:type="paragraph" w:customStyle="1" w:styleId="xl29">
    <w:name w:val="xl29"/>
    <w:basedOn w:val="Normal"/>
    <w:rsid w:val="00F158F1"/>
    <w:pPr>
      <w:spacing w:before="100" w:beforeAutospacing="1" w:after="100" w:afterAutospacing="1"/>
      <w:ind w:firstLineChars="200" w:firstLine="200"/>
    </w:pPr>
    <w:rPr>
      <w:lang w:val="en-GB" w:eastAsia="en-US"/>
    </w:rPr>
  </w:style>
  <w:style w:type="paragraph" w:customStyle="1" w:styleId="xl30">
    <w:name w:val="xl30"/>
    <w:basedOn w:val="Normal"/>
    <w:rsid w:val="00F158F1"/>
    <w:pPr>
      <w:spacing w:before="100" w:beforeAutospacing="1" w:after="100" w:afterAutospacing="1"/>
      <w:ind w:firstLineChars="100" w:firstLine="100"/>
    </w:pPr>
    <w:rPr>
      <w:rFonts w:ascii="Arial" w:hAnsi="Arial" w:cs="Arial"/>
      <w:b/>
      <w:bCs/>
      <w:lang w:val="en-GB" w:eastAsia="en-US"/>
    </w:rPr>
  </w:style>
  <w:style w:type="paragraph" w:customStyle="1" w:styleId="xl31">
    <w:name w:val="xl31"/>
    <w:basedOn w:val="Normal"/>
    <w:rsid w:val="00F158F1"/>
    <w:pPr>
      <w:spacing w:before="100" w:beforeAutospacing="1" w:after="100" w:afterAutospacing="1"/>
    </w:pPr>
    <w:rPr>
      <w:rFonts w:ascii="Arial" w:hAnsi="Arial" w:cs="Arial"/>
      <w:b/>
      <w:bCs/>
      <w:lang w:val="en-GB" w:eastAsia="en-US"/>
    </w:rPr>
  </w:style>
  <w:style w:type="paragraph" w:customStyle="1" w:styleId="xl32">
    <w:name w:val="xl32"/>
    <w:basedOn w:val="Normal"/>
    <w:rsid w:val="00F158F1"/>
    <w:pPr>
      <w:pBdr>
        <w:bottom w:val="single" w:sz="4" w:space="0" w:color="auto"/>
      </w:pBdr>
      <w:spacing w:before="100" w:beforeAutospacing="1" w:after="100" w:afterAutospacing="1"/>
    </w:pPr>
    <w:rPr>
      <w:rFonts w:ascii="Arial" w:hAnsi="Arial" w:cs="Arial"/>
      <w:b/>
      <w:bCs/>
      <w:lang w:val="en-GB" w:eastAsia="en-US"/>
    </w:rPr>
  </w:style>
  <w:style w:type="paragraph" w:customStyle="1" w:styleId="xl33">
    <w:name w:val="xl33"/>
    <w:basedOn w:val="Normal"/>
    <w:rsid w:val="00F158F1"/>
    <w:pPr>
      <w:spacing w:before="100" w:beforeAutospacing="1" w:after="100" w:afterAutospacing="1"/>
    </w:pPr>
    <w:rPr>
      <w:rFonts w:ascii="Arial" w:hAnsi="Arial" w:cs="Arial"/>
      <w:b/>
      <w:bCs/>
      <w:lang w:val="en-GB" w:eastAsia="en-US"/>
    </w:rPr>
  </w:style>
  <w:style w:type="paragraph" w:customStyle="1" w:styleId="xl35">
    <w:name w:val="xl35"/>
    <w:basedOn w:val="Normal"/>
    <w:rsid w:val="00F158F1"/>
    <w:pPr>
      <w:pBdr>
        <w:bottom w:val="single" w:sz="4" w:space="0" w:color="auto"/>
      </w:pBdr>
      <w:spacing w:before="100" w:beforeAutospacing="1" w:after="100" w:afterAutospacing="1"/>
    </w:pPr>
    <w:rPr>
      <w:rFonts w:ascii="Arial" w:hAnsi="Arial" w:cs="Arial"/>
      <w:b/>
      <w:bCs/>
      <w:lang w:val="en-GB" w:eastAsia="en-US"/>
    </w:rPr>
  </w:style>
  <w:style w:type="paragraph" w:customStyle="1" w:styleId="xl36">
    <w:name w:val="xl36"/>
    <w:basedOn w:val="Normal"/>
    <w:rsid w:val="00F158F1"/>
    <w:pPr>
      <w:spacing w:before="100" w:beforeAutospacing="1" w:after="100" w:afterAutospacing="1"/>
    </w:pPr>
    <w:rPr>
      <w:rFonts w:ascii="Arial" w:hAnsi="Arial" w:cs="Arial"/>
      <w:b/>
      <w:bCs/>
      <w:lang w:val="en-GB" w:eastAsia="en-US"/>
    </w:rPr>
  </w:style>
  <w:style w:type="paragraph" w:customStyle="1" w:styleId="xl37">
    <w:name w:val="xl37"/>
    <w:basedOn w:val="Normal"/>
    <w:rsid w:val="00F158F1"/>
    <w:pPr>
      <w:spacing w:before="100" w:beforeAutospacing="1" w:after="100" w:afterAutospacing="1"/>
    </w:pPr>
    <w:rPr>
      <w:rFonts w:ascii="Arial" w:hAnsi="Arial" w:cs="Arial"/>
      <w:lang w:val="en-GB" w:eastAsia="en-US"/>
    </w:rPr>
  </w:style>
  <w:style w:type="paragraph" w:customStyle="1" w:styleId="xl38">
    <w:name w:val="xl38"/>
    <w:basedOn w:val="Normal"/>
    <w:rsid w:val="00F158F1"/>
    <w:pPr>
      <w:pBdr>
        <w:bottom w:val="single" w:sz="4" w:space="0" w:color="auto"/>
      </w:pBdr>
      <w:spacing w:before="100" w:beforeAutospacing="1" w:after="100" w:afterAutospacing="1"/>
    </w:pPr>
    <w:rPr>
      <w:rFonts w:ascii="Arial" w:hAnsi="Arial" w:cs="Arial"/>
      <w:b/>
      <w:bCs/>
      <w:lang w:val="en-GB" w:eastAsia="en-US"/>
    </w:rPr>
  </w:style>
  <w:style w:type="paragraph" w:customStyle="1" w:styleId="xl39">
    <w:name w:val="xl39"/>
    <w:basedOn w:val="Normal"/>
    <w:rsid w:val="00F158F1"/>
    <w:pPr>
      <w:pBdr>
        <w:top w:val="single" w:sz="4" w:space="0" w:color="auto"/>
        <w:bottom w:val="single" w:sz="4" w:space="0" w:color="auto"/>
      </w:pBdr>
      <w:spacing w:before="100" w:beforeAutospacing="1" w:after="100" w:afterAutospacing="1"/>
      <w:jc w:val="center"/>
    </w:pPr>
    <w:rPr>
      <w:lang w:val="en-GB" w:eastAsia="en-US"/>
    </w:rPr>
  </w:style>
  <w:style w:type="paragraph" w:styleId="Uvuenotijeloteksta">
    <w:name w:val="Body Text Indent"/>
    <w:basedOn w:val="Normal"/>
    <w:rsid w:val="00F158F1"/>
    <w:pPr>
      <w:ind w:left="708"/>
    </w:pPr>
  </w:style>
  <w:style w:type="paragraph" w:styleId="Podnoje">
    <w:name w:val="footer"/>
    <w:basedOn w:val="Normal"/>
    <w:link w:val="PodnojeChar"/>
    <w:uiPriority w:val="99"/>
    <w:rsid w:val="00F158F1"/>
    <w:pPr>
      <w:tabs>
        <w:tab w:val="center" w:pos="4536"/>
        <w:tab w:val="right" w:pos="9072"/>
      </w:tabs>
    </w:pPr>
  </w:style>
  <w:style w:type="character" w:customStyle="1" w:styleId="PodnojeChar">
    <w:name w:val="Podnožje Char"/>
    <w:link w:val="Podnoje"/>
    <w:uiPriority w:val="99"/>
    <w:rsid w:val="00410D8E"/>
    <w:rPr>
      <w:sz w:val="24"/>
      <w:szCs w:val="24"/>
    </w:rPr>
  </w:style>
  <w:style w:type="character" w:styleId="Brojstranice">
    <w:name w:val="page number"/>
    <w:basedOn w:val="Zadanifontodlomka"/>
    <w:rsid w:val="00F158F1"/>
  </w:style>
  <w:style w:type="paragraph" w:styleId="Zaglavlje">
    <w:name w:val="header"/>
    <w:basedOn w:val="Normal"/>
    <w:link w:val="ZaglavljeChar"/>
    <w:uiPriority w:val="99"/>
    <w:rsid w:val="00F158F1"/>
    <w:pPr>
      <w:tabs>
        <w:tab w:val="center" w:pos="4536"/>
        <w:tab w:val="right" w:pos="9072"/>
      </w:tabs>
    </w:pPr>
  </w:style>
  <w:style w:type="character" w:customStyle="1" w:styleId="ZaglavljeChar">
    <w:name w:val="Zaglavlje Char"/>
    <w:link w:val="Zaglavlje"/>
    <w:uiPriority w:val="99"/>
    <w:rsid w:val="009211A7"/>
    <w:rPr>
      <w:sz w:val="24"/>
      <w:szCs w:val="24"/>
    </w:rPr>
  </w:style>
  <w:style w:type="paragraph" w:styleId="Tijeloteksta">
    <w:name w:val="Body Text"/>
    <w:basedOn w:val="Normal"/>
    <w:rsid w:val="00F158F1"/>
    <w:rPr>
      <w:rFonts w:ascii="Arial" w:hAnsi="Arial" w:cs="Arial"/>
      <w:color w:val="000080"/>
      <w:sz w:val="20"/>
    </w:rPr>
  </w:style>
  <w:style w:type="paragraph" w:styleId="Tijeloteksta2">
    <w:name w:val="Body Text 2"/>
    <w:basedOn w:val="Normal"/>
    <w:link w:val="Tijeloteksta2Char"/>
    <w:rsid w:val="00F158F1"/>
    <w:rPr>
      <w:rFonts w:ascii="Arial" w:hAnsi="Arial" w:cs="Arial"/>
      <w:sz w:val="20"/>
    </w:rPr>
  </w:style>
  <w:style w:type="character" w:customStyle="1" w:styleId="Tijeloteksta2Char">
    <w:name w:val="Tijelo teksta 2 Char"/>
    <w:link w:val="Tijeloteksta2"/>
    <w:rsid w:val="00F86AC0"/>
    <w:rPr>
      <w:rFonts w:ascii="Arial" w:hAnsi="Arial" w:cs="Arial"/>
      <w:szCs w:val="24"/>
    </w:rPr>
  </w:style>
  <w:style w:type="paragraph" w:styleId="Tekstbalonia">
    <w:name w:val="Balloon Text"/>
    <w:basedOn w:val="Normal"/>
    <w:link w:val="TekstbaloniaChar"/>
    <w:rsid w:val="006E01D2"/>
    <w:rPr>
      <w:rFonts w:ascii="Tahoma" w:hAnsi="Tahoma" w:cs="Tahoma"/>
      <w:sz w:val="16"/>
      <w:szCs w:val="16"/>
    </w:rPr>
  </w:style>
  <w:style w:type="character" w:customStyle="1" w:styleId="TekstbaloniaChar">
    <w:name w:val="Tekst balončića Char"/>
    <w:link w:val="Tekstbalonia"/>
    <w:rsid w:val="006E01D2"/>
    <w:rPr>
      <w:rFonts w:ascii="Tahoma" w:hAnsi="Tahoma" w:cs="Tahoma"/>
      <w:sz w:val="16"/>
      <w:szCs w:val="16"/>
    </w:rPr>
  </w:style>
  <w:style w:type="paragraph" w:styleId="Odlomakpopisa">
    <w:name w:val="List Paragraph"/>
    <w:basedOn w:val="Normal"/>
    <w:uiPriority w:val="34"/>
    <w:qFormat/>
    <w:rsid w:val="006C2ED0"/>
    <w:pPr>
      <w:ind w:left="708"/>
    </w:pPr>
  </w:style>
  <w:style w:type="character" w:styleId="Hiperveza">
    <w:name w:val="Hyperlink"/>
    <w:uiPriority w:val="99"/>
    <w:unhideWhenUsed/>
    <w:rsid w:val="00A773E7"/>
    <w:rPr>
      <w:color w:val="0000FF"/>
      <w:u w:val="single"/>
    </w:rPr>
  </w:style>
  <w:style w:type="character" w:styleId="SlijeenaHiperveza">
    <w:name w:val="FollowedHyperlink"/>
    <w:uiPriority w:val="99"/>
    <w:unhideWhenUsed/>
    <w:rsid w:val="00A773E7"/>
    <w:rPr>
      <w:color w:val="800080"/>
      <w:u w:val="single"/>
    </w:rPr>
  </w:style>
  <w:style w:type="paragraph" w:customStyle="1" w:styleId="xl66">
    <w:name w:val="xl66"/>
    <w:basedOn w:val="Normal"/>
    <w:rsid w:val="0039277D"/>
    <w:pPr>
      <w:spacing w:before="100" w:beforeAutospacing="1" w:after="100" w:afterAutospacing="1"/>
    </w:pPr>
    <w:rPr>
      <w:sz w:val="32"/>
      <w:szCs w:val="32"/>
    </w:rPr>
  </w:style>
  <w:style w:type="paragraph" w:customStyle="1" w:styleId="xl67">
    <w:name w:val="xl67"/>
    <w:basedOn w:val="Normal"/>
    <w:rsid w:val="0039277D"/>
    <w:pPr>
      <w:spacing w:before="100" w:beforeAutospacing="1" w:after="100" w:afterAutospacing="1"/>
    </w:pPr>
    <w:rPr>
      <w:b/>
      <w:bCs/>
    </w:rPr>
  </w:style>
  <w:style w:type="paragraph" w:customStyle="1" w:styleId="xl68">
    <w:name w:val="xl68"/>
    <w:basedOn w:val="Normal"/>
    <w:rsid w:val="0039277D"/>
    <w:pPr>
      <w:spacing w:before="100" w:beforeAutospacing="1" w:after="100" w:afterAutospacing="1"/>
    </w:pPr>
  </w:style>
  <w:style w:type="paragraph" w:customStyle="1" w:styleId="xl69">
    <w:name w:val="xl69"/>
    <w:basedOn w:val="Normal"/>
    <w:rsid w:val="0039277D"/>
    <w:pPr>
      <w:pBdr>
        <w:bottom w:val="single" w:sz="4" w:space="0" w:color="auto"/>
      </w:pBdr>
      <w:spacing w:before="100" w:beforeAutospacing="1" w:after="100" w:afterAutospacing="1"/>
      <w:jc w:val="center"/>
    </w:pPr>
    <w:rPr>
      <w:b/>
      <w:bCs/>
    </w:rPr>
  </w:style>
  <w:style w:type="paragraph" w:customStyle="1" w:styleId="xl70">
    <w:name w:val="xl70"/>
    <w:basedOn w:val="Normal"/>
    <w:rsid w:val="0039277D"/>
    <w:pPr>
      <w:pBdr>
        <w:top w:val="single" w:sz="4" w:space="0" w:color="auto"/>
        <w:bottom w:val="single" w:sz="4" w:space="0" w:color="auto"/>
      </w:pBdr>
      <w:spacing w:before="100" w:beforeAutospacing="1" w:after="100" w:afterAutospacing="1"/>
      <w:jc w:val="center"/>
    </w:pPr>
    <w:rPr>
      <w:b/>
      <w:bCs/>
    </w:rPr>
  </w:style>
  <w:style w:type="paragraph" w:customStyle="1" w:styleId="xl71">
    <w:name w:val="xl71"/>
    <w:basedOn w:val="Normal"/>
    <w:rsid w:val="0039277D"/>
    <w:pPr>
      <w:pBdr>
        <w:top w:val="single" w:sz="4" w:space="0" w:color="auto"/>
        <w:bottom w:val="single" w:sz="4" w:space="0" w:color="auto"/>
      </w:pBdr>
      <w:spacing w:before="100" w:beforeAutospacing="1" w:after="100" w:afterAutospacing="1"/>
    </w:pPr>
    <w:rPr>
      <w:b/>
      <w:bCs/>
    </w:rPr>
  </w:style>
  <w:style w:type="paragraph" w:customStyle="1" w:styleId="xl72">
    <w:name w:val="xl72"/>
    <w:basedOn w:val="Normal"/>
    <w:rsid w:val="0039277D"/>
    <w:pPr>
      <w:pBdr>
        <w:top w:val="single" w:sz="4" w:space="0" w:color="auto"/>
        <w:bottom w:val="single" w:sz="4" w:space="0" w:color="auto"/>
      </w:pBdr>
      <w:spacing w:before="100" w:beforeAutospacing="1" w:after="100" w:afterAutospacing="1"/>
    </w:pPr>
    <w:rPr>
      <w:b/>
      <w:bCs/>
    </w:rPr>
  </w:style>
  <w:style w:type="paragraph" w:customStyle="1" w:styleId="xl73">
    <w:name w:val="xl73"/>
    <w:basedOn w:val="Normal"/>
    <w:rsid w:val="0039277D"/>
    <w:pPr>
      <w:spacing w:before="100" w:beforeAutospacing="1" w:after="100" w:afterAutospacing="1"/>
    </w:pPr>
    <w:rPr>
      <w:b/>
      <w:bCs/>
    </w:rPr>
  </w:style>
  <w:style w:type="paragraph" w:customStyle="1" w:styleId="xl74">
    <w:name w:val="xl74"/>
    <w:basedOn w:val="Normal"/>
    <w:rsid w:val="0039277D"/>
    <w:pPr>
      <w:spacing w:before="100" w:beforeAutospacing="1" w:after="100" w:afterAutospacing="1"/>
    </w:pPr>
    <w:rPr>
      <w:b/>
      <w:bCs/>
    </w:rPr>
  </w:style>
  <w:style w:type="paragraph" w:customStyle="1" w:styleId="xl75">
    <w:name w:val="xl75"/>
    <w:basedOn w:val="Normal"/>
    <w:rsid w:val="0039277D"/>
    <w:pPr>
      <w:spacing w:before="100" w:beforeAutospacing="1" w:after="100" w:afterAutospacing="1"/>
    </w:pPr>
    <w:rPr>
      <w:b/>
      <w:bCs/>
    </w:rPr>
  </w:style>
  <w:style w:type="paragraph" w:customStyle="1" w:styleId="xl76">
    <w:name w:val="xl76"/>
    <w:basedOn w:val="Normal"/>
    <w:rsid w:val="0039277D"/>
    <w:pPr>
      <w:spacing w:before="100" w:beforeAutospacing="1" w:after="100" w:afterAutospacing="1"/>
      <w:jc w:val="center"/>
    </w:pPr>
    <w:rPr>
      <w:b/>
      <w:bCs/>
      <w:sz w:val="28"/>
      <w:szCs w:val="28"/>
    </w:rPr>
  </w:style>
  <w:style w:type="paragraph" w:customStyle="1" w:styleId="xl77">
    <w:name w:val="xl77"/>
    <w:basedOn w:val="Normal"/>
    <w:rsid w:val="0039277D"/>
    <w:pPr>
      <w:pBdr>
        <w:top w:val="single" w:sz="4" w:space="0" w:color="auto"/>
        <w:bottom w:val="single" w:sz="4" w:space="0" w:color="auto"/>
      </w:pBdr>
      <w:spacing w:before="100" w:beforeAutospacing="1" w:after="100" w:afterAutospacing="1"/>
    </w:pPr>
    <w:rPr>
      <w:b/>
      <w:bCs/>
    </w:rPr>
  </w:style>
  <w:style w:type="paragraph" w:customStyle="1" w:styleId="xl78">
    <w:name w:val="xl78"/>
    <w:basedOn w:val="Normal"/>
    <w:rsid w:val="0039277D"/>
    <w:pPr>
      <w:spacing w:before="100" w:beforeAutospacing="1" w:after="100" w:afterAutospacing="1"/>
      <w:jc w:val="center"/>
    </w:pPr>
    <w:rPr>
      <w:b/>
      <w:bCs/>
      <w:sz w:val="28"/>
      <w:szCs w:val="28"/>
    </w:rPr>
  </w:style>
  <w:style w:type="paragraph" w:customStyle="1" w:styleId="xl79">
    <w:name w:val="xl79"/>
    <w:basedOn w:val="Normal"/>
    <w:rsid w:val="0039277D"/>
    <w:pPr>
      <w:pBdr>
        <w:top w:val="double" w:sz="6" w:space="0" w:color="auto"/>
        <w:bottom w:val="single" w:sz="8" w:space="0" w:color="auto"/>
      </w:pBdr>
      <w:spacing w:before="100" w:beforeAutospacing="1" w:after="100" w:afterAutospacing="1"/>
    </w:pPr>
    <w:rPr>
      <w:b/>
      <w:bCs/>
    </w:rPr>
  </w:style>
  <w:style w:type="paragraph" w:customStyle="1" w:styleId="xl80">
    <w:name w:val="xl80"/>
    <w:basedOn w:val="Normal"/>
    <w:rsid w:val="0039277D"/>
    <w:pPr>
      <w:pBdr>
        <w:top w:val="double" w:sz="6" w:space="0" w:color="auto"/>
        <w:bottom w:val="single" w:sz="8" w:space="0" w:color="auto"/>
      </w:pBdr>
      <w:spacing w:before="100" w:beforeAutospacing="1" w:after="100" w:afterAutospacing="1"/>
    </w:pPr>
    <w:rPr>
      <w:b/>
      <w:bCs/>
    </w:rPr>
  </w:style>
  <w:style w:type="paragraph" w:customStyle="1" w:styleId="xl81">
    <w:name w:val="xl81"/>
    <w:basedOn w:val="Normal"/>
    <w:rsid w:val="0039277D"/>
    <w:pPr>
      <w:pBdr>
        <w:top w:val="double" w:sz="6" w:space="0" w:color="auto"/>
        <w:bottom w:val="single" w:sz="8" w:space="0" w:color="auto"/>
      </w:pBdr>
      <w:spacing w:before="100" w:beforeAutospacing="1" w:after="100" w:afterAutospacing="1"/>
    </w:pPr>
    <w:rPr>
      <w:b/>
      <w:bCs/>
    </w:rPr>
  </w:style>
  <w:style w:type="paragraph" w:customStyle="1" w:styleId="xl82">
    <w:name w:val="xl82"/>
    <w:basedOn w:val="Normal"/>
    <w:rsid w:val="0039277D"/>
    <w:pPr>
      <w:spacing w:before="100" w:beforeAutospacing="1" w:after="100" w:afterAutospacing="1"/>
    </w:pPr>
  </w:style>
  <w:style w:type="paragraph" w:customStyle="1" w:styleId="xl83">
    <w:name w:val="xl83"/>
    <w:basedOn w:val="Normal"/>
    <w:rsid w:val="0039277D"/>
    <w:pPr>
      <w:pBdr>
        <w:top w:val="single" w:sz="4" w:space="0" w:color="auto"/>
        <w:bottom w:val="single" w:sz="4" w:space="0" w:color="auto"/>
      </w:pBdr>
      <w:spacing w:before="100" w:beforeAutospacing="1" w:after="100" w:afterAutospacing="1"/>
      <w:jc w:val="center"/>
    </w:pPr>
    <w:rPr>
      <w:b/>
      <w:bCs/>
    </w:rPr>
  </w:style>
  <w:style w:type="paragraph" w:customStyle="1" w:styleId="xl84">
    <w:name w:val="xl84"/>
    <w:basedOn w:val="Normal"/>
    <w:rsid w:val="0039277D"/>
    <w:pPr>
      <w:pBdr>
        <w:top w:val="single" w:sz="4" w:space="0" w:color="auto"/>
      </w:pBdr>
      <w:spacing w:before="100" w:beforeAutospacing="1" w:after="100" w:afterAutospacing="1"/>
      <w:jc w:val="center"/>
    </w:pPr>
    <w:rPr>
      <w:b/>
      <w:bCs/>
    </w:rPr>
  </w:style>
  <w:style w:type="paragraph" w:customStyle="1" w:styleId="xl85">
    <w:name w:val="xl85"/>
    <w:basedOn w:val="Normal"/>
    <w:rsid w:val="0039277D"/>
    <w:pPr>
      <w:pBdr>
        <w:bottom w:val="single" w:sz="4" w:space="0" w:color="auto"/>
      </w:pBdr>
      <w:spacing w:before="100" w:beforeAutospacing="1" w:after="100" w:afterAutospacing="1"/>
      <w:jc w:val="center"/>
    </w:pPr>
    <w:rPr>
      <w:b/>
      <w:bCs/>
    </w:rPr>
  </w:style>
  <w:style w:type="paragraph" w:customStyle="1" w:styleId="xl86">
    <w:name w:val="xl86"/>
    <w:basedOn w:val="Normal"/>
    <w:rsid w:val="0039277D"/>
    <w:pPr>
      <w:spacing w:before="100" w:beforeAutospacing="1" w:after="100" w:afterAutospacing="1"/>
    </w:pPr>
    <w:rPr>
      <w:b/>
      <w:bCs/>
    </w:rPr>
  </w:style>
  <w:style w:type="paragraph" w:customStyle="1" w:styleId="xl87">
    <w:name w:val="xl87"/>
    <w:basedOn w:val="Normal"/>
    <w:rsid w:val="0039277D"/>
    <w:pPr>
      <w:spacing w:before="100" w:beforeAutospacing="1" w:after="100" w:afterAutospacing="1"/>
    </w:pPr>
  </w:style>
  <w:style w:type="paragraph" w:customStyle="1" w:styleId="xl88">
    <w:name w:val="xl88"/>
    <w:basedOn w:val="Normal"/>
    <w:rsid w:val="0039277D"/>
    <w:pPr>
      <w:spacing w:before="100" w:beforeAutospacing="1" w:after="100" w:afterAutospacing="1"/>
    </w:pPr>
  </w:style>
  <w:style w:type="paragraph" w:customStyle="1" w:styleId="xl89">
    <w:name w:val="xl89"/>
    <w:basedOn w:val="Normal"/>
    <w:rsid w:val="0039277D"/>
    <w:pPr>
      <w:spacing w:before="100" w:beforeAutospacing="1" w:after="100" w:afterAutospacing="1"/>
    </w:pPr>
    <w:rPr>
      <w:b/>
      <w:bCs/>
      <w:sz w:val="28"/>
      <w:szCs w:val="28"/>
    </w:rPr>
  </w:style>
  <w:style w:type="paragraph" w:customStyle="1" w:styleId="xl90">
    <w:name w:val="xl90"/>
    <w:basedOn w:val="Normal"/>
    <w:rsid w:val="0039277D"/>
    <w:pPr>
      <w:pBdr>
        <w:top w:val="single" w:sz="4" w:space="0" w:color="auto"/>
      </w:pBdr>
      <w:spacing w:before="100" w:beforeAutospacing="1" w:after="100" w:afterAutospacing="1"/>
      <w:jc w:val="center"/>
    </w:pPr>
    <w:rPr>
      <w:b/>
      <w:bCs/>
    </w:rPr>
  </w:style>
  <w:style w:type="paragraph" w:styleId="TOCNaslov">
    <w:name w:val="TOC Heading"/>
    <w:basedOn w:val="Naslov1"/>
    <w:next w:val="Normal"/>
    <w:uiPriority w:val="39"/>
    <w:unhideWhenUsed/>
    <w:qFormat/>
    <w:rsid w:val="00FF31EA"/>
    <w:pPr>
      <w:keepLines/>
      <w:spacing w:before="480" w:after="0" w:line="276" w:lineRule="auto"/>
      <w:outlineLvl w:val="9"/>
    </w:pPr>
    <w:rPr>
      <w:rFonts w:eastAsia="MS Gothic"/>
      <w:color w:val="365F91"/>
      <w:kern w:val="0"/>
      <w:sz w:val="28"/>
      <w:szCs w:val="28"/>
      <w:lang w:val="en-US" w:eastAsia="ja-JP"/>
    </w:rPr>
  </w:style>
  <w:style w:type="paragraph" w:styleId="Naslov">
    <w:name w:val="Title"/>
    <w:basedOn w:val="Normal"/>
    <w:next w:val="Normal"/>
    <w:link w:val="NaslovChar"/>
    <w:qFormat/>
    <w:rsid w:val="00843447"/>
    <w:pPr>
      <w:spacing w:before="240" w:after="60"/>
      <w:jc w:val="center"/>
      <w:outlineLvl w:val="0"/>
    </w:pPr>
    <w:rPr>
      <w:rFonts w:ascii="Cambria" w:hAnsi="Cambria"/>
      <w:b/>
      <w:bCs/>
      <w:kern w:val="28"/>
      <w:sz w:val="32"/>
      <w:szCs w:val="32"/>
    </w:rPr>
  </w:style>
  <w:style w:type="character" w:customStyle="1" w:styleId="NaslovChar">
    <w:name w:val="Naslov Char"/>
    <w:link w:val="Naslov"/>
    <w:rsid w:val="00843447"/>
    <w:rPr>
      <w:rFonts w:ascii="Cambria" w:eastAsia="Times New Roman" w:hAnsi="Cambria" w:cs="Times New Roman"/>
      <w:b/>
      <w:bCs/>
      <w:kern w:val="28"/>
      <w:sz w:val="32"/>
      <w:szCs w:val="32"/>
    </w:rPr>
  </w:style>
  <w:style w:type="paragraph" w:styleId="Sadraj1">
    <w:name w:val="toc 1"/>
    <w:basedOn w:val="Normal"/>
    <w:next w:val="Normal"/>
    <w:autoRedefine/>
    <w:uiPriority w:val="39"/>
    <w:rsid w:val="00C75668"/>
    <w:pPr>
      <w:tabs>
        <w:tab w:val="left" w:pos="440"/>
        <w:tab w:val="right" w:leader="dot" w:pos="9062"/>
      </w:tabs>
      <w:jc w:val="both"/>
    </w:pPr>
  </w:style>
  <w:style w:type="paragraph" w:styleId="Podnaslov">
    <w:name w:val="Subtitle"/>
    <w:basedOn w:val="Normal"/>
    <w:next w:val="Normal"/>
    <w:link w:val="PodnaslovChar"/>
    <w:qFormat/>
    <w:rsid w:val="00843447"/>
    <w:pPr>
      <w:spacing w:after="60"/>
      <w:jc w:val="center"/>
      <w:outlineLvl w:val="1"/>
    </w:pPr>
    <w:rPr>
      <w:rFonts w:ascii="Cambria" w:hAnsi="Cambria"/>
    </w:rPr>
  </w:style>
  <w:style w:type="character" w:customStyle="1" w:styleId="PodnaslovChar">
    <w:name w:val="Podnaslov Char"/>
    <w:link w:val="Podnaslov"/>
    <w:rsid w:val="00843447"/>
    <w:rPr>
      <w:rFonts w:ascii="Cambria" w:eastAsia="Times New Roman" w:hAnsi="Cambria" w:cs="Times New Roman"/>
      <w:sz w:val="24"/>
      <w:szCs w:val="24"/>
    </w:rPr>
  </w:style>
  <w:style w:type="paragraph" w:styleId="Sadraj2">
    <w:name w:val="toc 2"/>
    <w:basedOn w:val="Normal"/>
    <w:next w:val="Normal"/>
    <w:autoRedefine/>
    <w:uiPriority w:val="39"/>
    <w:rsid w:val="00843447"/>
    <w:pPr>
      <w:ind w:left="240"/>
    </w:pPr>
  </w:style>
  <w:style w:type="paragraph" w:customStyle="1" w:styleId="Standard">
    <w:name w:val="Standard"/>
    <w:rsid w:val="006D0589"/>
    <w:pPr>
      <w:widowControl w:val="0"/>
      <w:suppressAutoHyphens/>
      <w:autoSpaceDN w:val="0"/>
    </w:pPr>
    <w:rPr>
      <w:rFonts w:eastAsia="Arial Unicode MS" w:cs="Mangal"/>
      <w:kern w:val="3"/>
      <w:sz w:val="24"/>
      <w:szCs w:val="24"/>
      <w:lang w:eastAsia="zh-CN" w:bidi="hi-IN"/>
    </w:rPr>
  </w:style>
  <w:style w:type="table" w:styleId="Reetkatablice">
    <w:name w:val="Table Grid"/>
    <w:basedOn w:val="Obinatablica"/>
    <w:uiPriority w:val="39"/>
    <w:rsid w:val="006D058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upadljivoisticanje">
    <w:name w:val="Subtle Emphasis"/>
    <w:uiPriority w:val="19"/>
    <w:qFormat/>
    <w:rsid w:val="00FB21EA"/>
    <w:rPr>
      <w:i/>
      <w:iCs/>
      <w:color w:val="808080"/>
    </w:rPr>
  </w:style>
  <w:style w:type="paragraph" w:customStyle="1" w:styleId="xl91">
    <w:name w:val="xl91"/>
    <w:basedOn w:val="Normal"/>
    <w:rsid w:val="00EF0A65"/>
    <w:pPr>
      <w:pBdr>
        <w:top w:val="single" w:sz="4" w:space="0" w:color="auto"/>
        <w:bottom w:val="single" w:sz="4" w:space="0" w:color="auto"/>
      </w:pBdr>
      <w:spacing w:before="100" w:beforeAutospacing="1" w:after="100" w:afterAutospacing="1"/>
    </w:pPr>
  </w:style>
  <w:style w:type="paragraph" w:customStyle="1" w:styleId="xl92">
    <w:name w:val="xl92"/>
    <w:basedOn w:val="Normal"/>
    <w:rsid w:val="00EF0A65"/>
    <w:pPr>
      <w:pBdr>
        <w:top w:val="single" w:sz="4" w:space="0" w:color="auto"/>
        <w:bottom w:val="single" w:sz="4" w:space="0" w:color="auto"/>
      </w:pBdr>
      <w:spacing w:before="100" w:beforeAutospacing="1" w:after="100" w:afterAutospacing="1"/>
    </w:pPr>
    <w:rPr>
      <w:b/>
      <w:bCs/>
    </w:rPr>
  </w:style>
  <w:style w:type="paragraph" w:customStyle="1" w:styleId="xl93">
    <w:name w:val="xl93"/>
    <w:basedOn w:val="Normal"/>
    <w:rsid w:val="00EF0A65"/>
    <w:pPr>
      <w:pBdr>
        <w:top w:val="double" w:sz="6" w:space="0" w:color="auto"/>
        <w:bottom w:val="single" w:sz="8" w:space="0" w:color="auto"/>
      </w:pBdr>
      <w:spacing w:before="100" w:beforeAutospacing="1" w:after="100" w:afterAutospacing="1"/>
      <w:jc w:val="right"/>
    </w:pPr>
    <w:rPr>
      <w:b/>
      <w:bCs/>
    </w:rPr>
  </w:style>
  <w:style w:type="paragraph" w:customStyle="1" w:styleId="xl94">
    <w:name w:val="xl94"/>
    <w:basedOn w:val="Normal"/>
    <w:rsid w:val="00EF0A65"/>
    <w:pPr>
      <w:pBdr>
        <w:top w:val="single" w:sz="4" w:space="0" w:color="auto"/>
        <w:bottom w:val="single" w:sz="4" w:space="0" w:color="auto"/>
      </w:pBdr>
      <w:spacing w:before="100" w:beforeAutospacing="1" w:after="100" w:afterAutospacing="1"/>
    </w:pPr>
  </w:style>
  <w:style w:type="paragraph" w:customStyle="1" w:styleId="xl95">
    <w:name w:val="xl95"/>
    <w:basedOn w:val="Normal"/>
    <w:rsid w:val="00EF0A65"/>
    <w:pPr>
      <w:spacing w:before="100" w:beforeAutospacing="1" w:after="100" w:afterAutospacing="1"/>
      <w:jc w:val="right"/>
    </w:pPr>
    <w:rPr>
      <w:b/>
      <w:bCs/>
    </w:rPr>
  </w:style>
  <w:style w:type="paragraph" w:customStyle="1" w:styleId="xl96">
    <w:name w:val="xl96"/>
    <w:basedOn w:val="Normal"/>
    <w:rsid w:val="00EF0A65"/>
    <w:pPr>
      <w:spacing w:before="100" w:beforeAutospacing="1" w:after="100" w:afterAutospacing="1"/>
      <w:jc w:val="right"/>
    </w:pPr>
  </w:style>
  <w:style w:type="paragraph" w:customStyle="1" w:styleId="xl97">
    <w:name w:val="xl97"/>
    <w:basedOn w:val="Normal"/>
    <w:rsid w:val="00EF0A65"/>
    <w:pPr>
      <w:spacing w:before="100" w:beforeAutospacing="1" w:after="100" w:afterAutospacing="1"/>
    </w:pPr>
    <w:rPr>
      <w:b/>
      <w:bCs/>
    </w:rPr>
  </w:style>
  <w:style w:type="paragraph" w:customStyle="1" w:styleId="Title1">
    <w:name w:val="Title 1"/>
    <w:basedOn w:val="Naslov"/>
    <w:link w:val="Title1Char"/>
    <w:qFormat/>
    <w:rsid w:val="00D459D7"/>
    <w:pPr>
      <w:numPr>
        <w:numId w:val="5"/>
      </w:numPr>
      <w:jc w:val="left"/>
    </w:pPr>
    <w:rPr>
      <w:rFonts w:ascii="Calibri" w:hAnsi="Calibri" w:cs="Tahoma"/>
      <w:sz w:val="28"/>
      <w:szCs w:val="28"/>
    </w:rPr>
  </w:style>
  <w:style w:type="character" w:customStyle="1" w:styleId="Title1Char">
    <w:name w:val="Title 1 Char"/>
    <w:link w:val="Title1"/>
    <w:rsid w:val="00D459D7"/>
    <w:rPr>
      <w:rFonts w:ascii="Calibri" w:eastAsia="Times New Roman" w:hAnsi="Calibri" w:cs="Tahoma"/>
      <w:b/>
      <w:bCs/>
      <w:kern w:val="28"/>
      <w:sz w:val="28"/>
      <w:szCs w:val="28"/>
    </w:rPr>
  </w:style>
  <w:style w:type="paragraph" w:customStyle="1" w:styleId="Subtitle1">
    <w:name w:val="Subtitle 1"/>
    <w:basedOn w:val="Podnaslov"/>
    <w:link w:val="Subtitle1Char"/>
    <w:qFormat/>
    <w:rsid w:val="00D459D7"/>
    <w:pPr>
      <w:jc w:val="left"/>
    </w:pPr>
    <w:rPr>
      <w:rFonts w:ascii="Calibri" w:hAnsi="Calibri"/>
      <w:b/>
      <w:sz w:val="28"/>
      <w:szCs w:val="28"/>
    </w:rPr>
  </w:style>
  <w:style w:type="character" w:customStyle="1" w:styleId="Subtitle1Char">
    <w:name w:val="Subtitle 1 Char"/>
    <w:link w:val="Subtitle1"/>
    <w:rsid w:val="00D459D7"/>
    <w:rPr>
      <w:rFonts w:ascii="Calibri" w:eastAsia="Times New Roman" w:hAnsi="Calibri" w:cs="Times New Roman"/>
      <w:b/>
      <w:sz w:val="28"/>
      <w:szCs w:val="28"/>
    </w:rPr>
  </w:style>
  <w:style w:type="paragraph" w:customStyle="1" w:styleId="msonormal0">
    <w:name w:val="msonormal"/>
    <w:basedOn w:val="Normal"/>
    <w:rsid w:val="004962E0"/>
    <w:pPr>
      <w:spacing w:before="100" w:beforeAutospacing="1" w:after="100" w:afterAutospacing="1"/>
    </w:pPr>
  </w:style>
  <w:style w:type="paragraph" w:customStyle="1" w:styleId="xl98">
    <w:name w:val="xl98"/>
    <w:basedOn w:val="Normal"/>
    <w:rsid w:val="004962E0"/>
    <w:pPr>
      <w:spacing w:before="100" w:beforeAutospacing="1" w:after="100" w:afterAutospacing="1"/>
      <w:jc w:val="right"/>
    </w:pPr>
    <w:rPr>
      <w:rFonts w:ascii="Calibri" w:hAnsi="Calibri" w:cs="Calibri"/>
    </w:rPr>
  </w:style>
  <w:style w:type="paragraph" w:customStyle="1" w:styleId="xl99">
    <w:name w:val="xl99"/>
    <w:basedOn w:val="Normal"/>
    <w:rsid w:val="004962E0"/>
    <w:pPr>
      <w:spacing w:before="100" w:beforeAutospacing="1" w:after="100" w:afterAutospacing="1"/>
      <w:jc w:val="right"/>
    </w:pPr>
    <w:rPr>
      <w:rFonts w:ascii="Calibri" w:hAnsi="Calibri" w:cs="Calibri"/>
    </w:rPr>
  </w:style>
  <w:style w:type="paragraph" w:customStyle="1" w:styleId="xl100">
    <w:name w:val="xl100"/>
    <w:basedOn w:val="Normal"/>
    <w:rsid w:val="00F37423"/>
    <w:pPr>
      <w:pBdr>
        <w:top w:val="double" w:sz="6" w:space="0" w:color="auto"/>
        <w:bottom w:val="single" w:sz="8" w:space="0" w:color="auto"/>
      </w:pBdr>
      <w:spacing w:before="100" w:beforeAutospacing="1" w:after="100" w:afterAutospacing="1"/>
      <w:jc w:val="right"/>
    </w:pPr>
    <w:rPr>
      <w:b/>
      <w:bCs/>
      <w:sz w:val="20"/>
      <w:szCs w:val="20"/>
    </w:rPr>
  </w:style>
  <w:style w:type="paragraph" w:customStyle="1" w:styleId="xl101">
    <w:name w:val="xl101"/>
    <w:basedOn w:val="Normal"/>
    <w:rsid w:val="00F37423"/>
    <w:pPr>
      <w:pBdr>
        <w:top w:val="single" w:sz="4" w:space="0" w:color="auto"/>
      </w:pBdr>
      <w:spacing w:before="100" w:beforeAutospacing="1" w:after="100" w:afterAutospacing="1"/>
    </w:pPr>
    <w:rPr>
      <w:b/>
      <w:bCs/>
      <w:sz w:val="20"/>
      <w:szCs w:val="20"/>
    </w:rPr>
  </w:style>
  <w:style w:type="paragraph" w:customStyle="1" w:styleId="xl102">
    <w:name w:val="xl102"/>
    <w:basedOn w:val="Normal"/>
    <w:rsid w:val="00F37423"/>
    <w:pPr>
      <w:pBdr>
        <w:bottom w:val="single" w:sz="4" w:space="0" w:color="auto"/>
      </w:pBdr>
      <w:spacing w:before="100" w:beforeAutospacing="1" w:after="100" w:afterAutospacing="1"/>
    </w:pPr>
    <w:rPr>
      <w:b/>
      <w:bCs/>
      <w:sz w:val="20"/>
      <w:szCs w:val="20"/>
    </w:rPr>
  </w:style>
  <w:style w:type="paragraph" w:customStyle="1" w:styleId="xl103">
    <w:name w:val="xl103"/>
    <w:basedOn w:val="Normal"/>
    <w:rsid w:val="007F6614"/>
    <w:pPr>
      <w:pBdr>
        <w:top w:val="double" w:sz="6" w:space="0" w:color="auto"/>
        <w:bottom w:val="single" w:sz="8" w:space="0" w:color="auto"/>
      </w:pBdr>
      <w:spacing w:before="100" w:beforeAutospacing="1" w:after="100" w:afterAutospacing="1"/>
    </w:pPr>
    <w:rPr>
      <w:b/>
      <w:bCs/>
      <w:sz w:val="20"/>
      <w:szCs w:val="20"/>
    </w:rPr>
  </w:style>
  <w:style w:type="paragraph" w:customStyle="1" w:styleId="xl104">
    <w:name w:val="xl104"/>
    <w:basedOn w:val="Normal"/>
    <w:rsid w:val="007F6614"/>
    <w:pPr>
      <w:pBdr>
        <w:top w:val="double" w:sz="6" w:space="0" w:color="auto"/>
        <w:bottom w:val="single" w:sz="8" w:space="0" w:color="auto"/>
      </w:pBdr>
      <w:spacing w:before="100" w:beforeAutospacing="1" w:after="100" w:afterAutospacing="1"/>
    </w:pPr>
    <w:rPr>
      <w:b/>
      <w:bCs/>
      <w:sz w:val="20"/>
      <w:szCs w:val="20"/>
    </w:rPr>
  </w:style>
  <w:style w:type="paragraph" w:customStyle="1" w:styleId="xl105">
    <w:name w:val="xl105"/>
    <w:basedOn w:val="Normal"/>
    <w:rsid w:val="007F6614"/>
    <w:pPr>
      <w:pBdr>
        <w:bottom w:val="single" w:sz="8" w:space="0" w:color="auto"/>
      </w:pBdr>
      <w:spacing w:before="100" w:beforeAutospacing="1" w:after="100" w:afterAutospacing="1"/>
    </w:pPr>
    <w:rPr>
      <w:b/>
      <w:bCs/>
      <w:sz w:val="20"/>
      <w:szCs w:val="20"/>
    </w:rPr>
  </w:style>
  <w:style w:type="paragraph" w:customStyle="1" w:styleId="xl106">
    <w:name w:val="xl106"/>
    <w:basedOn w:val="Normal"/>
    <w:rsid w:val="00BE6461"/>
    <w:pPr>
      <w:pBdr>
        <w:top w:val="double" w:sz="6" w:space="0" w:color="auto"/>
        <w:bottom w:val="single" w:sz="8" w:space="0" w:color="auto"/>
      </w:pBdr>
      <w:spacing w:before="100" w:beforeAutospacing="1" w:after="100" w:afterAutospacing="1"/>
    </w:pPr>
    <w:rPr>
      <w:b/>
      <w:bCs/>
      <w:sz w:val="20"/>
      <w:szCs w:val="20"/>
    </w:rPr>
  </w:style>
  <w:style w:type="paragraph" w:customStyle="1" w:styleId="xl107">
    <w:name w:val="xl107"/>
    <w:basedOn w:val="Normal"/>
    <w:rsid w:val="00BE6461"/>
    <w:pPr>
      <w:pBdr>
        <w:bottom w:val="single" w:sz="8" w:space="0" w:color="auto"/>
      </w:pBdr>
      <w:spacing w:before="100" w:beforeAutospacing="1" w:after="100" w:afterAutospacing="1"/>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451">
      <w:bodyDiv w:val="1"/>
      <w:marLeft w:val="0"/>
      <w:marRight w:val="0"/>
      <w:marTop w:val="0"/>
      <w:marBottom w:val="0"/>
      <w:divBdr>
        <w:top w:val="none" w:sz="0" w:space="0" w:color="auto"/>
        <w:left w:val="none" w:sz="0" w:space="0" w:color="auto"/>
        <w:bottom w:val="none" w:sz="0" w:space="0" w:color="auto"/>
        <w:right w:val="none" w:sz="0" w:space="0" w:color="auto"/>
      </w:divBdr>
    </w:div>
    <w:div w:id="30343198">
      <w:bodyDiv w:val="1"/>
      <w:marLeft w:val="0"/>
      <w:marRight w:val="0"/>
      <w:marTop w:val="0"/>
      <w:marBottom w:val="0"/>
      <w:divBdr>
        <w:top w:val="none" w:sz="0" w:space="0" w:color="auto"/>
        <w:left w:val="none" w:sz="0" w:space="0" w:color="auto"/>
        <w:bottom w:val="none" w:sz="0" w:space="0" w:color="auto"/>
        <w:right w:val="none" w:sz="0" w:space="0" w:color="auto"/>
      </w:divBdr>
    </w:div>
    <w:div w:id="30688739">
      <w:bodyDiv w:val="1"/>
      <w:marLeft w:val="0"/>
      <w:marRight w:val="0"/>
      <w:marTop w:val="0"/>
      <w:marBottom w:val="0"/>
      <w:divBdr>
        <w:top w:val="none" w:sz="0" w:space="0" w:color="auto"/>
        <w:left w:val="none" w:sz="0" w:space="0" w:color="auto"/>
        <w:bottom w:val="none" w:sz="0" w:space="0" w:color="auto"/>
        <w:right w:val="none" w:sz="0" w:space="0" w:color="auto"/>
      </w:divBdr>
    </w:div>
    <w:div w:id="41367775">
      <w:bodyDiv w:val="1"/>
      <w:marLeft w:val="0"/>
      <w:marRight w:val="0"/>
      <w:marTop w:val="0"/>
      <w:marBottom w:val="0"/>
      <w:divBdr>
        <w:top w:val="none" w:sz="0" w:space="0" w:color="auto"/>
        <w:left w:val="none" w:sz="0" w:space="0" w:color="auto"/>
        <w:bottom w:val="none" w:sz="0" w:space="0" w:color="auto"/>
        <w:right w:val="none" w:sz="0" w:space="0" w:color="auto"/>
      </w:divBdr>
    </w:div>
    <w:div w:id="42682494">
      <w:bodyDiv w:val="1"/>
      <w:marLeft w:val="0"/>
      <w:marRight w:val="0"/>
      <w:marTop w:val="0"/>
      <w:marBottom w:val="0"/>
      <w:divBdr>
        <w:top w:val="none" w:sz="0" w:space="0" w:color="auto"/>
        <w:left w:val="none" w:sz="0" w:space="0" w:color="auto"/>
        <w:bottom w:val="none" w:sz="0" w:space="0" w:color="auto"/>
        <w:right w:val="none" w:sz="0" w:space="0" w:color="auto"/>
      </w:divBdr>
    </w:div>
    <w:div w:id="50736067">
      <w:bodyDiv w:val="1"/>
      <w:marLeft w:val="0"/>
      <w:marRight w:val="0"/>
      <w:marTop w:val="0"/>
      <w:marBottom w:val="0"/>
      <w:divBdr>
        <w:top w:val="none" w:sz="0" w:space="0" w:color="auto"/>
        <w:left w:val="none" w:sz="0" w:space="0" w:color="auto"/>
        <w:bottom w:val="none" w:sz="0" w:space="0" w:color="auto"/>
        <w:right w:val="none" w:sz="0" w:space="0" w:color="auto"/>
      </w:divBdr>
    </w:div>
    <w:div w:id="57360574">
      <w:bodyDiv w:val="1"/>
      <w:marLeft w:val="0"/>
      <w:marRight w:val="0"/>
      <w:marTop w:val="0"/>
      <w:marBottom w:val="0"/>
      <w:divBdr>
        <w:top w:val="none" w:sz="0" w:space="0" w:color="auto"/>
        <w:left w:val="none" w:sz="0" w:space="0" w:color="auto"/>
        <w:bottom w:val="none" w:sz="0" w:space="0" w:color="auto"/>
        <w:right w:val="none" w:sz="0" w:space="0" w:color="auto"/>
      </w:divBdr>
    </w:div>
    <w:div w:id="59720105">
      <w:bodyDiv w:val="1"/>
      <w:marLeft w:val="0"/>
      <w:marRight w:val="0"/>
      <w:marTop w:val="0"/>
      <w:marBottom w:val="0"/>
      <w:divBdr>
        <w:top w:val="none" w:sz="0" w:space="0" w:color="auto"/>
        <w:left w:val="none" w:sz="0" w:space="0" w:color="auto"/>
        <w:bottom w:val="none" w:sz="0" w:space="0" w:color="auto"/>
        <w:right w:val="none" w:sz="0" w:space="0" w:color="auto"/>
      </w:divBdr>
    </w:div>
    <w:div w:id="63570802">
      <w:bodyDiv w:val="1"/>
      <w:marLeft w:val="0"/>
      <w:marRight w:val="0"/>
      <w:marTop w:val="0"/>
      <w:marBottom w:val="0"/>
      <w:divBdr>
        <w:top w:val="none" w:sz="0" w:space="0" w:color="auto"/>
        <w:left w:val="none" w:sz="0" w:space="0" w:color="auto"/>
        <w:bottom w:val="none" w:sz="0" w:space="0" w:color="auto"/>
        <w:right w:val="none" w:sz="0" w:space="0" w:color="auto"/>
      </w:divBdr>
    </w:div>
    <w:div w:id="65998303">
      <w:bodyDiv w:val="1"/>
      <w:marLeft w:val="0"/>
      <w:marRight w:val="0"/>
      <w:marTop w:val="0"/>
      <w:marBottom w:val="0"/>
      <w:divBdr>
        <w:top w:val="none" w:sz="0" w:space="0" w:color="auto"/>
        <w:left w:val="none" w:sz="0" w:space="0" w:color="auto"/>
        <w:bottom w:val="none" w:sz="0" w:space="0" w:color="auto"/>
        <w:right w:val="none" w:sz="0" w:space="0" w:color="auto"/>
      </w:divBdr>
    </w:div>
    <w:div w:id="78410053">
      <w:bodyDiv w:val="1"/>
      <w:marLeft w:val="0"/>
      <w:marRight w:val="0"/>
      <w:marTop w:val="0"/>
      <w:marBottom w:val="0"/>
      <w:divBdr>
        <w:top w:val="none" w:sz="0" w:space="0" w:color="auto"/>
        <w:left w:val="none" w:sz="0" w:space="0" w:color="auto"/>
        <w:bottom w:val="none" w:sz="0" w:space="0" w:color="auto"/>
        <w:right w:val="none" w:sz="0" w:space="0" w:color="auto"/>
      </w:divBdr>
    </w:div>
    <w:div w:id="79760957">
      <w:bodyDiv w:val="1"/>
      <w:marLeft w:val="0"/>
      <w:marRight w:val="0"/>
      <w:marTop w:val="0"/>
      <w:marBottom w:val="0"/>
      <w:divBdr>
        <w:top w:val="none" w:sz="0" w:space="0" w:color="auto"/>
        <w:left w:val="none" w:sz="0" w:space="0" w:color="auto"/>
        <w:bottom w:val="none" w:sz="0" w:space="0" w:color="auto"/>
        <w:right w:val="none" w:sz="0" w:space="0" w:color="auto"/>
      </w:divBdr>
    </w:div>
    <w:div w:id="85468803">
      <w:bodyDiv w:val="1"/>
      <w:marLeft w:val="0"/>
      <w:marRight w:val="0"/>
      <w:marTop w:val="0"/>
      <w:marBottom w:val="0"/>
      <w:divBdr>
        <w:top w:val="none" w:sz="0" w:space="0" w:color="auto"/>
        <w:left w:val="none" w:sz="0" w:space="0" w:color="auto"/>
        <w:bottom w:val="none" w:sz="0" w:space="0" w:color="auto"/>
        <w:right w:val="none" w:sz="0" w:space="0" w:color="auto"/>
      </w:divBdr>
    </w:div>
    <w:div w:id="103306923">
      <w:bodyDiv w:val="1"/>
      <w:marLeft w:val="0"/>
      <w:marRight w:val="0"/>
      <w:marTop w:val="0"/>
      <w:marBottom w:val="0"/>
      <w:divBdr>
        <w:top w:val="none" w:sz="0" w:space="0" w:color="auto"/>
        <w:left w:val="none" w:sz="0" w:space="0" w:color="auto"/>
        <w:bottom w:val="none" w:sz="0" w:space="0" w:color="auto"/>
        <w:right w:val="none" w:sz="0" w:space="0" w:color="auto"/>
      </w:divBdr>
    </w:div>
    <w:div w:id="105463516">
      <w:bodyDiv w:val="1"/>
      <w:marLeft w:val="0"/>
      <w:marRight w:val="0"/>
      <w:marTop w:val="0"/>
      <w:marBottom w:val="0"/>
      <w:divBdr>
        <w:top w:val="none" w:sz="0" w:space="0" w:color="auto"/>
        <w:left w:val="none" w:sz="0" w:space="0" w:color="auto"/>
        <w:bottom w:val="none" w:sz="0" w:space="0" w:color="auto"/>
        <w:right w:val="none" w:sz="0" w:space="0" w:color="auto"/>
      </w:divBdr>
    </w:div>
    <w:div w:id="119959982">
      <w:bodyDiv w:val="1"/>
      <w:marLeft w:val="0"/>
      <w:marRight w:val="0"/>
      <w:marTop w:val="0"/>
      <w:marBottom w:val="0"/>
      <w:divBdr>
        <w:top w:val="none" w:sz="0" w:space="0" w:color="auto"/>
        <w:left w:val="none" w:sz="0" w:space="0" w:color="auto"/>
        <w:bottom w:val="none" w:sz="0" w:space="0" w:color="auto"/>
        <w:right w:val="none" w:sz="0" w:space="0" w:color="auto"/>
      </w:divBdr>
    </w:div>
    <w:div w:id="140970209">
      <w:bodyDiv w:val="1"/>
      <w:marLeft w:val="0"/>
      <w:marRight w:val="0"/>
      <w:marTop w:val="0"/>
      <w:marBottom w:val="0"/>
      <w:divBdr>
        <w:top w:val="none" w:sz="0" w:space="0" w:color="auto"/>
        <w:left w:val="none" w:sz="0" w:space="0" w:color="auto"/>
        <w:bottom w:val="none" w:sz="0" w:space="0" w:color="auto"/>
        <w:right w:val="none" w:sz="0" w:space="0" w:color="auto"/>
      </w:divBdr>
    </w:div>
    <w:div w:id="142966077">
      <w:bodyDiv w:val="1"/>
      <w:marLeft w:val="0"/>
      <w:marRight w:val="0"/>
      <w:marTop w:val="0"/>
      <w:marBottom w:val="0"/>
      <w:divBdr>
        <w:top w:val="none" w:sz="0" w:space="0" w:color="auto"/>
        <w:left w:val="none" w:sz="0" w:space="0" w:color="auto"/>
        <w:bottom w:val="none" w:sz="0" w:space="0" w:color="auto"/>
        <w:right w:val="none" w:sz="0" w:space="0" w:color="auto"/>
      </w:divBdr>
    </w:div>
    <w:div w:id="146291955">
      <w:bodyDiv w:val="1"/>
      <w:marLeft w:val="0"/>
      <w:marRight w:val="0"/>
      <w:marTop w:val="0"/>
      <w:marBottom w:val="0"/>
      <w:divBdr>
        <w:top w:val="none" w:sz="0" w:space="0" w:color="auto"/>
        <w:left w:val="none" w:sz="0" w:space="0" w:color="auto"/>
        <w:bottom w:val="none" w:sz="0" w:space="0" w:color="auto"/>
        <w:right w:val="none" w:sz="0" w:space="0" w:color="auto"/>
      </w:divBdr>
    </w:div>
    <w:div w:id="148983276">
      <w:bodyDiv w:val="1"/>
      <w:marLeft w:val="0"/>
      <w:marRight w:val="0"/>
      <w:marTop w:val="0"/>
      <w:marBottom w:val="0"/>
      <w:divBdr>
        <w:top w:val="none" w:sz="0" w:space="0" w:color="auto"/>
        <w:left w:val="none" w:sz="0" w:space="0" w:color="auto"/>
        <w:bottom w:val="none" w:sz="0" w:space="0" w:color="auto"/>
        <w:right w:val="none" w:sz="0" w:space="0" w:color="auto"/>
      </w:divBdr>
    </w:div>
    <w:div w:id="153495932">
      <w:bodyDiv w:val="1"/>
      <w:marLeft w:val="0"/>
      <w:marRight w:val="0"/>
      <w:marTop w:val="0"/>
      <w:marBottom w:val="0"/>
      <w:divBdr>
        <w:top w:val="none" w:sz="0" w:space="0" w:color="auto"/>
        <w:left w:val="none" w:sz="0" w:space="0" w:color="auto"/>
        <w:bottom w:val="none" w:sz="0" w:space="0" w:color="auto"/>
        <w:right w:val="none" w:sz="0" w:space="0" w:color="auto"/>
      </w:divBdr>
    </w:div>
    <w:div w:id="155998591">
      <w:bodyDiv w:val="1"/>
      <w:marLeft w:val="0"/>
      <w:marRight w:val="0"/>
      <w:marTop w:val="0"/>
      <w:marBottom w:val="0"/>
      <w:divBdr>
        <w:top w:val="none" w:sz="0" w:space="0" w:color="auto"/>
        <w:left w:val="none" w:sz="0" w:space="0" w:color="auto"/>
        <w:bottom w:val="none" w:sz="0" w:space="0" w:color="auto"/>
        <w:right w:val="none" w:sz="0" w:space="0" w:color="auto"/>
      </w:divBdr>
    </w:div>
    <w:div w:id="163210263">
      <w:bodyDiv w:val="1"/>
      <w:marLeft w:val="0"/>
      <w:marRight w:val="0"/>
      <w:marTop w:val="0"/>
      <w:marBottom w:val="0"/>
      <w:divBdr>
        <w:top w:val="none" w:sz="0" w:space="0" w:color="auto"/>
        <w:left w:val="none" w:sz="0" w:space="0" w:color="auto"/>
        <w:bottom w:val="none" w:sz="0" w:space="0" w:color="auto"/>
        <w:right w:val="none" w:sz="0" w:space="0" w:color="auto"/>
      </w:divBdr>
    </w:div>
    <w:div w:id="166485280">
      <w:bodyDiv w:val="1"/>
      <w:marLeft w:val="0"/>
      <w:marRight w:val="0"/>
      <w:marTop w:val="0"/>
      <w:marBottom w:val="0"/>
      <w:divBdr>
        <w:top w:val="none" w:sz="0" w:space="0" w:color="auto"/>
        <w:left w:val="none" w:sz="0" w:space="0" w:color="auto"/>
        <w:bottom w:val="none" w:sz="0" w:space="0" w:color="auto"/>
        <w:right w:val="none" w:sz="0" w:space="0" w:color="auto"/>
      </w:divBdr>
    </w:div>
    <w:div w:id="169835103">
      <w:bodyDiv w:val="1"/>
      <w:marLeft w:val="0"/>
      <w:marRight w:val="0"/>
      <w:marTop w:val="0"/>
      <w:marBottom w:val="0"/>
      <w:divBdr>
        <w:top w:val="none" w:sz="0" w:space="0" w:color="auto"/>
        <w:left w:val="none" w:sz="0" w:space="0" w:color="auto"/>
        <w:bottom w:val="none" w:sz="0" w:space="0" w:color="auto"/>
        <w:right w:val="none" w:sz="0" w:space="0" w:color="auto"/>
      </w:divBdr>
    </w:div>
    <w:div w:id="182981098">
      <w:bodyDiv w:val="1"/>
      <w:marLeft w:val="0"/>
      <w:marRight w:val="0"/>
      <w:marTop w:val="0"/>
      <w:marBottom w:val="0"/>
      <w:divBdr>
        <w:top w:val="none" w:sz="0" w:space="0" w:color="auto"/>
        <w:left w:val="none" w:sz="0" w:space="0" w:color="auto"/>
        <w:bottom w:val="none" w:sz="0" w:space="0" w:color="auto"/>
        <w:right w:val="none" w:sz="0" w:space="0" w:color="auto"/>
      </w:divBdr>
    </w:div>
    <w:div w:id="195582801">
      <w:bodyDiv w:val="1"/>
      <w:marLeft w:val="0"/>
      <w:marRight w:val="0"/>
      <w:marTop w:val="0"/>
      <w:marBottom w:val="0"/>
      <w:divBdr>
        <w:top w:val="none" w:sz="0" w:space="0" w:color="auto"/>
        <w:left w:val="none" w:sz="0" w:space="0" w:color="auto"/>
        <w:bottom w:val="none" w:sz="0" w:space="0" w:color="auto"/>
        <w:right w:val="none" w:sz="0" w:space="0" w:color="auto"/>
      </w:divBdr>
    </w:div>
    <w:div w:id="206379416">
      <w:bodyDiv w:val="1"/>
      <w:marLeft w:val="0"/>
      <w:marRight w:val="0"/>
      <w:marTop w:val="0"/>
      <w:marBottom w:val="0"/>
      <w:divBdr>
        <w:top w:val="none" w:sz="0" w:space="0" w:color="auto"/>
        <w:left w:val="none" w:sz="0" w:space="0" w:color="auto"/>
        <w:bottom w:val="none" w:sz="0" w:space="0" w:color="auto"/>
        <w:right w:val="none" w:sz="0" w:space="0" w:color="auto"/>
      </w:divBdr>
    </w:div>
    <w:div w:id="211425924">
      <w:bodyDiv w:val="1"/>
      <w:marLeft w:val="0"/>
      <w:marRight w:val="0"/>
      <w:marTop w:val="0"/>
      <w:marBottom w:val="0"/>
      <w:divBdr>
        <w:top w:val="none" w:sz="0" w:space="0" w:color="auto"/>
        <w:left w:val="none" w:sz="0" w:space="0" w:color="auto"/>
        <w:bottom w:val="none" w:sz="0" w:space="0" w:color="auto"/>
        <w:right w:val="none" w:sz="0" w:space="0" w:color="auto"/>
      </w:divBdr>
    </w:div>
    <w:div w:id="211769464">
      <w:bodyDiv w:val="1"/>
      <w:marLeft w:val="0"/>
      <w:marRight w:val="0"/>
      <w:marTop w:val="0"/>
      <w:marBottom w:val="0"/>
      <w:divBdr>
        <w:top w:val="none" w:sz="0" w:space="0" w:color="auto"/>
        <w:left w:val="none" w:sz="0" w:space="0" w:color="auto"/>
        <w:bottom w:val="none" w:sz="0" w:space="0" w:color="auto"/>
        <w:right w:val="none" w:sz="0" w:space="0" w:color="auto"/>
      </w:divBdr>
    </w:div>
    <w:div w:id="218370314">
      <w:bodyDiv w:val="1"/>
      <w:marLeft w:val="0"/>
      <w:marRight w:val="0"/>
      <w:marTop w:val="0"/>
      <w:marBottom w:val="0"/>
      <w:divBdr>
        <w:top w:val="none" w:sz="0" w:space="0" w:color="auto"/>
        <w:left w:val="none" w:sz="0" w:space="0" w:color="auto"/>
        <w:bottom w:val="none" w:sz="0" w:space="0" w:color="auto"/>
        <w:right w:val="none" w:sz="0" w:space="0" w:color="auto"/>
      </w:divBdr>
    </w:div>
    <w:div w:id="224030429">
      <w:bodyDiv w:val="1"/>
      <w:marLeft w:val="0"/>
      <w:marRight w:val="0"/>
      <w:marTop w:val="0"/>
      <w:marBottom w:val="0"/>
      <w:divBdr>
        <w:top w:val="none" w:sz="0" w:space="0" w:color="auto"/>
        <w:left w:val="none" w:sz="0" w:space="0" w:color="auto"/>
        <w:bottom w:val="none" w:sz="0" w:space="0" w:color="auto"/>
        <w:right w:val="none" w:sz="0" w:space="0" w:color="auto"/>
      </w:divBdr>
    </w:div>
    <w:div w:id="233660833">
      <w:bodyDiv w:val="1"/>
      <w:marLeft w:val="0"/>
      <w:marRight w:val="0"/>
      <w:marTop w:val="0"/>
      <w:marBottom w:val="0"/>
      <w:divBdr>
        <w:top w:val="none" w:sz="0" w:space="0" w:color="auto"/>
        <w:left w:val="none" w:sz="0" w:space="0" w:color="auto"/>
        <w:bottom w:val="none" w:sz="0" w:space="0" w:color="auto"/>
        <w:right w:val="none" w:sz="0" w:space="0" w:color="auto"/>
      </w:divBdr>
    </w:div>
    <w:div w:id="237591146">
      <w:bodyDiv w:val="1"/>
      <w:marLeft w:val="0"/>
      <w:marRight w:val="0"/>
      <w:marTop w:val="0"/>
      <w:marBottom w:val="0"/>
      <w:divBdr>
        <w:top w:val="none" w:sz="0" w:space="0" w:color="auto"/>
        <w:left w:val="none" w:sz="0" w:space="0" w:color="auto"/>
        <w:bottom w:val="none" w:sz="0" w:space="0" w:color="auto"/>
        <w:right w:val="none" w:sz="0" w:space="0" w:color="auto"/>
      </w:divBdr>
    </w:div>
    <w:div w:id="240725713">
      <w:bodyDiv w:val="1"/>
      <w:marLeft w:val="0"/>
      <w:marRight w:val="0"/>
      <w:marTop w:val="0"/>
      <w:marBottom w:val="0"/>
      <w:divBdr>
        <w:top w:val="none" w:sz="0" w:space="0" w:color="auto"/>
        <w:left w:val="none" w:sz="0" w:space="0" w:color="auto"/>
        <w:bottom w:val="none" w:sz="0" w:space="0" w:color="auto"/>
        <w:right w:val="none" w:sz="0" w:space="0" w:color="auto"/>
      </w:divBdr>
    </w:div>
    <w:div w:id="241333023">
      <w:bodyDiv w:val="1"/>
      <w:marLeft w:val="0"/>
      <w:marRight w:val="0"/>
      <w:marTop w:val="0"/>
      <w:marBottom w:val="0"/>
      <w:divBdr>
        <w:top w:val="none" w:sz="0" w:space="0" w:color="auto"/>
        <w:left w:val="none" w:sz="0" w:space="0" w:color="auto"/>
        <w:bottom w:val="none" w:sz="0" w:space="0" w:color="auto"/>
        <w:right w:val="none" w:sz="0" w:space="0" w:color="auto"/>
      </w:divBdr>
    </w:div>
    <w:div w:id="255209711">
      <w:bodyDiv w:val="1"/>
      <w:marLeft w:val="0"/>
      <w:marRight w:val="0"/>
      <w:marTop w:val="0"/>
      <w:marBottom w:val="0"/>
      <w:divBdr>
        <w:top w:val="none" w:sz="0" w:space="0" w:color="auto"/>
        <w:left w:val="none" w:sz="0" w:space="0" w:color="auto"/>
        <w:bottom w:val="none" w:sz="0" w:space="0" w:color="auto"/>
        <w:right w:val="none" w:sz="0" w:space="0" w:color="auto"/>
      </w:divBdr>
    </w:div>
    <w:div w:id="265159449">
      <w:bodyDiv w:val="1"/>
      <w:marLeft w:val="0"/>
      <w:marRight w:val="0"/>
      <w:marTop w:val="0"/>
      <w:marBottom w:val="0"/>
      <w:divBdr>
        <w:top w:val="none" w:sz="0" w:space="0" w:color="auto"/>
        <w:left w:val="none" w:sz="0" w:space="0" w:color="auto"/>
        <w:bottom w:val="none" w:sz="0" w:space="0" w:color="auto"/>
        <w:right w:val="none" w:sz="0" w:space="0" w:color="auto"/>
      </w:divBdr>
    </w:div>
    <w:div w:id="270821823">
      <w:bodyDiv w:val="1"/>
      <w:marLeft w:val="0"/>
      <w:marRight w:val="0"/>
      <w:marTop w:val="0"/>
      <w:marBottom w:val="0"/>
      <w:divBdr>
        <w:top w:val="none" w:sz="0" w:space="0" w:color="auto"/>
        <w:left w:val="none" w:sz="0" w:space="0" w:color="auto"/>
        <w:bottom w:val="none" w:sz="0" w:space="0" w:color="auto"/>
        <w:right w:val="none" w:sz="0" w:space="0" w:color="auto"/>
      </w:divBdr>
    </w:div>
    <w:div w:id="292101780">
      <w:bodyDiv w:val="1"/>
      <w:marLeft w:val="0"/>
      <w:marRight w:val="0"/>
      <w:marTop w:val="0"/>
      <w:marBottom w:val="0"/>
      <w:divBdr>
        <w:top w:val="none" w:sz="0" w:space="0" w:color="auto"/>
        <w:left w:val="none" w:sz="0" w:space="0" w:color="auto"/>
        <w:bottom w:val="none" w:sz="0" w:space="0" w:color="auto"/>
        <w:right w:val="none" w:sz="0" w:space="0" w:color="auto"/>
      </w:divBdr>
    </w:div>
    <w:div w:id="292565440">
      <w:bodyDiv w:val="1"/>
      <w:marLeft w:val="0"/>
      <w:marRight w:val="0"/>
      <w:marTop w:val="0"/>
      <w:marBottom w:val="0"/>
      <w:divBdr>
        <w:top w:val="none" w:sz="0" w:space="0" w:color="auto"/>
        <w:left w:val="none" w:sz="0" w:space="0" w:color="auto"/>
        <w:bottom w:val="none" w:sz="0" w:space="0" w:color="auto"/>
        <w:right w:val="none" w:sz="0" w:space="0" w:color="auto"/>
      </w:divBdr>
    </w:div>
    <w:div w:id="295796629">
      <w:bodyDiv w:val="1"/>
      <w:marLeft w:val="0"/>
      <w:marRight w:val="0"/>
      <w:marTop w:val="0"/>
      <w:marBottom w:val="0"/>
      <w:divBdr>
        <w:top w:val="none" w:sz="0" w:space="0" w:color="auto"/>
        <w:left w:val="none" w:sz="0" w:space="0" w:color="auto"/>
        <w:bottom w:val="none" w:sz="0" w:space="0" w:color="auto"/>
        <w:right w:val="none" w:sz="0" w:space="0" w:color="auto"/>
      </w:divBdr>
    </w:div>
    <w:div w:id="297035113">
      <w:bodyDiv w:val="1"/>
      <w:marLeft w:val="0"/>
      <w:marRight w:val="0"/>
      <w:marTop w:val="0"/>
      <w:marBottom w:val="0"/>
      <w:divBdr>
        <w:top w:val="none" w:sz="0" w:space="0" w:color="auto"/>
        <w:left w:val="none" w:sz="0" w:space="0" w:color="auto"/>
        <w:bottom w:val="none" w:sz="0" w:space="0" w:color="auto"/>
        <w:right w:val="none" w:sz="0" w:space="0" w:color="auto"/>
      </w:divBdr>
    </w:div>
    <w:div w:id="298149023">
      <w:bodyDiv w:val="1"/>
      <w:marLeft w:val="0"/>
      <w:marRight w:val="0"/>
      <w:marTop w:val="0"/>
      <w:marBottom w:val="0"/>
      <w:divBdr>
        <w:top w:val="none" w:sz="0" w:space="0" w:color="auto"/>
        <w:left w:val="none" w:sz="0" w:space="0" w:color="auto"/>
        <w:bottom w:val="none" w:sz="0" w:space="0" w:color="auto"/>
        <w:right w:val="none" w:sz="0" w:space="0" w:color="auto"/>
      </w:divBdr>
    </w:div>
    <w:div w:id="299923529">
      <w:bodyDiv w:val="1"/>
      <w:marLeft w:val="0"/>
      <w:marRight w:val="0"/>
      <w:marTop w:val="0"/>
      <w:marBottom w:val="0"/>
      <w:divBdr>
        <w:top w:val="none" w:sz="0" w:space="0" w:color="auto"/>
        <w:left w:val="none" w:sz="0" w:space="0" w:color="auto"/>
        <w:bottom w:val="none" w:sz="0" w:space="0" w:color="auto"/>
        <w:right w:val="none" w:sz="0" w:space="0" w:color="auto"/>
      </w:divBdr>
    </w:div>
    <w:div w:id="306206207">
      <w:bodyDiv w:val="1"/>
      <w:marLeft w:val="0"/>
      <w:marRight w:val="0"/>
      <w:marTop w:val="0"/>
      <w:marBottom w:val="0"/>
      <w:divBdr>
        <w:top w:val="none" w:sz="0" w:space="0" w:color="auto"/>
        <w:left w:val="none" w:sz="0" w:space="0" w:color="auto"/>
        <w:bottom w:val="none" w:sz="0" w:space="0" w:color="auto"/>
        <w:right w:val="none" w:sz="0" w:space="0" w:color="auto"/>
      </w:divBdr>
    </w:div>
    <w:div w:id="322928569">
      <w:bodyDiv w:val="1"/>
      <w:marLeft w:val="0"/>
      <w:marRight w:val="0"/>
      <w:marTop w:val="0"/>
      <w:marBottom w:val="0"/>
      <w:divBdr>
        <w:top w:val="none" w:sz="0" w:space="0" w:color="auto"/>
        <w:left w:val="none" w:sz="0" w:space="0" w:color="auto"/>
        <w:bottom w:val="none" w:sz="0" w:space="0" w:color="auto"/>
        <w:right w:val="none" w:sz="0" w:space="0" w:color="auto"/>
      </w:divBdr>
    </w:div>
    <w:div w:id="325133679">
      <w:bodyDiv w:val="1"/>
      <w:marLeft w:val="0"/>
      <w:marRight w:val="0"/>
      <w:marTop w:val="0"/>
      <w:marBottom w:val="0"/>
      <w:divBdr>
        <w:top w:val="none" w:sz="0" w:space="0" w:color="auto"/>
        <w:left w:val="none" w:sz="0" w:space="0" w:color="auto"/>
        <w:bottom w:val="none" w:sz="0" w:space="0" w:color="auto"/>
        <w:right w:val="none" w:sz="0" w:space="0" w:color="auto"/>
      </w:divBdr>
    </w:div>
    <w:div w:id="335152674">
      <w:bodyDiv w:val="1"/>
      <w:marLeft w:val="0"/>
      <w:marRight w:val="0"/>
      <w:marTop w:val="0"/>
      <w:marBottom w:val="0"/>
      <w:divBdr>
        <w:top w:val="none" w:sz="0" w:space="0" w:color="auto"/>
        <w:left w:val="none" w:sz="0" w:space="0" w:color="auto"/>
        <w:bottom w:val="none" w:sz="0" w:space="0" w:color="auto"/>
        <w:right w:val="none" w:sz="0" w:space="0" w:color="auto"/>
      </w:divBdr>
    </w:div>
    <w:div w:id="339819545">
      <w:bodyDiv w:val="1"/>
      <w:marLeft w:val="0"/>
      <w:marRight w:val="0"/>
      <w:marTop w:val="0"/>
      <w:marBottom w:val="0"/>
      <w:divBdr>
        <w:top w:val="none" w:sz="0" w:space="0" w:color="auto"/>
        <w:left w:val="none" w:sz="0" w:space="0" w:color="auto"/>
        <w:bottom w:val="none" w:sz="0" w:space="0" w:color="auto"/>
        <w:right w:val="none" w:sz="0" w:space="0" w:color="auto"/>
      </w:divBdr>
    </w:div>
    <w:div w:id="358162932">
      <w:bodyDiv w:val="1"/>
      <w:marLeft w:val="0"/>
      <w:marRight w:val="0"/>
      <w:marTop w:val="0"/>
      <w:marBottom w:val="0"/>
      <w:divBdr>
        <w:top w:val="none" w:sz="0" w:space="0" w:color="auto"/>
        <w:left w:val="none" w:sz="0" w:space="0" w:color="auto"/>
        <w:bottom w:val="none" w:sz="0" w:space="0" w:color="auto"/>
        <w:right w:val="none" w:sz="0" w:space="0" w:color="auto"/>
      </w:divBdr>
    </w:div>
    <w:div w:id="364252630">
      <w:bodyDiv w:val="1"/>
      <w:marLeft w:val="0"/>
      <w:marRight w:val="0"/>
      <w:marTop w:val="0"/>
      <w:marBottom w:val="0"/>
      <w:divBdr>
        <w:top w:val="none" w:sz="0" w:space="0" w:color="auto"/>
        <w:left w:val="none" w:sz="0" w:space="0" w:color="auto"/>
        <w:bottom w:val="none" w:sz="0" w:space="0" w:color="auto"/>
        <w:right w:val="none" w:sz="0" w:space="0" w:color="auto"/>
      </w:divBdr>
    </w:div>
    <w:div w:id="364603587">
      <w:bodyDiv w:val="1"/>
      <w:marLeft w:val="0"/>
      <w:marRight w:val="0"/>
      <w:marTop w:val="0"/>
      <w:marBottom w:val="0"/>
      <w:divBdr>
        <w:top w:val="none" w:sz="0" w:space="0" w:color="auto"/>
        <w:left w:val="none" w:sz="0" w:space="0" w:color="auto"/>
        <w:bottom w:val="none" w:sz="0" w:space="0" w:color="auto"/>
        <w:right w:val="none" w:sz="0" w:space="0" w:color="auto"/>
      </w:divBdr>
    </w:div>
    <w:div w:id="372316207">
      <w:bodyDiv w:val="1"/>
      <w:marLeft w:val="0"/>
      <w:marRight w:val="0"/>
      <w:marTop w:val="0"/>
      <w:marBottom w:val="0"/>
      <w:divBdr>
        <w:top w:val="none" w:sz="0" w:space="0" w:color="auto"/>
        <w:left w:val="none" w:sz="0" w:space="0" w:color="auto"/>
        <w:bottom w:val="none" w:sz="0" w:space="0" w:color="auto"/>
        <w:right w:val="none" w:sz="0" w:space="0" w:color="auto"/>
      </w:divBdr>
    </w:div>
    <w:div w:id="372854516">
      <w:bodyDiv w:val="1"/>
      <w:marLeft w:val="0"/>
      <w:marRight w:val="0"/>
      <w:marTop w:val="0"/>
      <w:marBottom w:val="0"/>
      <w:divBdr>
        <w:top w:val="none" w:sz="0" w:space="0" w:color="auto"/>
        <w:left w:val="none" w:sz="0" w:space="0" w:color="auto"/>
        <w:bottom w:val="none" w:sz="0" w:space="0" w:color="auto"/>
        <w:right w:val="none" w:sz="0" w:space="0" w:color="auto"/>
      </w:divBdr>
    </w:div>
    <w:div w:id="375086292">
      <w:bodyDiv w:val="1"/>
      <w:marLeft w:val="0"/>
      <w:marRight w:val="0"/>
      <w:marTop w:val="0"/>
      <w:marBottom w:val="0"/>
      <w:divBdr>
        <w:top w:val="none" w:sz="0" w:space="0" w:color="auto"/>
        <w:left w:val="none" w:sz="0" w:space="0" w:color="auto"/>
        <w:bottom w:val="none" w:sz="0" w:space="0" w:color="auto"/>
        <w:right w:val="none" w:sz="0" w:space="0" w:color="auto"/>
      </w:divBdr>
    </w:div>
    <w:div w:id="395737371">
      <w:bodyDiv w:val="1"/>
      <w:marLeft w:val="0"/>
      <w:marRight w:val="0"/>
      <w:marTop w:val="0"/>
      <w:marBottom w:val="0"/>
      <w:divBdr>
        <w:top w:val="none" w:sz="0" w:space="0" w:color="auto"/>
        <w:left w:val="none" w:sz="0" w:space="0" w:color="auto"/>
        <w:bottom w:val="none" w:sz="0" w:space="0" w:color="auto"/>
        <w:right w:val="none" w:sz="0" w:space="0" w:color="auto"/>
      </w:divBdr>
    </w:div>
    <w:div w:id="404298781">
      <w:bodyDiv w:val="1"/>
      <w:marLeft w:val="0"/>
      <w:marRight w:val="0"/>
      <w:marTop w:val="0"/>
      <w:marBottom w:val="0"/>
      <w:divBdr>
        <w:top w:val="none" w:sz="0" w:space="0" w:color="auto"/>
        <w:left w:val="none" w:sz="0" w:space="0" w:color="auto"/>
        <w:bottom w:val="none" w:sz="0" w:space="0" w:color="auto"/>
        <w:right w:val="none" w:sz="0" w:space="0" w:color="auto"/>
      </w:divBdr>
    </w:div>
    <w:div w:id="410084676">
      <w:bodyDiv w:val="1"/>
      <w:marLeft w:val="0"/>
      <w:marRight w:val="0"/>
      <w:marTop w:val="0"/>
      <w:marBottom w:val="0"/>
      <w:divBdr>
        <w:top w:val="none" w:sz="0" w:space="0" w:color="auto"/>
        <w:left w:val="none" w:sz="0" w:space="0" w:color="auto"/>
        <w:bottom w:val="none" w:sz="0" w:space="0" w:color="auto"/>
        <w:right w:val="none" w:sz="0" w:space="0" w:color="auto"/>
      </w:divBdr>
    </w:div>
    <w:div w:id="414515350">
      <w:bodyDiv w:val="1"/>
      <w:marLeft w:val="0"/>
      <w:marRight w:val="0"/>
      <w:marTop w:val="0"/>
      <w:marBottom w:val="0"/>
      <w:divBdr>
        <w:top w:val="none" w:sz="0" w:space="0" w:color="auto"/>
        <w:left w:val="none" w:sz="0" w:space="0" w:color="auto"/>
        <w:bottom w:val="none" w:sz="0" w:space="0" w:color="auto"/>
        <w:right w:val="none" w:sz="0" w:space="0" w:color="auto"/>
      </w:divBdr>
    </w:div>
    <w:div w:id="419714596">
      <w:bodyDiv w:val="1"/>
      <w:marLeft w:val="0"/>
      <w:marRight w:val="0"/>
      <w:marTop w:val="0"/>
      <w:marBottom w:val="0"/>
      <w:divBdr>
        <w:top w:val="none" w:sz="0" w:space="0" w:color="auto"/>
        <w:left w:val="none" w:sz="0" w:space="0" w:color="auto"/>
        <w:bottom w:val="none" w:sz="0" w:space="0" w:color="auto"/>
        <w:right w:val="none" w:sz="0" w:space="0" w:color="auto"/>
      </w:divBdr>
    </w:div>
    <w:div w:id="421074655">
      <w:bodyDiv w:val="1"/>
      <w:marLeft w:val="0"/>
      <w:marRight w:val="0"/>
      <w:marTop w:val="0"/>
      <w:marBottom w:val="0"/>
      <w:divBdr>
        <w:top w:val="none" w:sz="0" w:space="0" w:color="auto"/>
        <w:left w:val="none" w:sz="0" w:space="0" w:color="auto"/>
        <w:bottom w:val="none" w:sz="0" w:space="0" w:color="auto"/>
        <w:right w:val="none" w:sz="0" w:space="0" w:color="auto"/>
      </w:divBdr>
    </w:div>
    <w:div w:id="439489560">
      <w:bodyDiv w:val="1"/>
      <w:marLeft w:val="0"/>
      <w:marRight w:val="0"/>
      <w:marTop w:val="0"/>
      <w:marBottom w:val="0"/>
      <w:divBdr>
        <w:top w:val="none" w:sz="0" w:space="0" w:color="auto"/>
        <w:left w:val="none" w:sz="0" w:space="0" w:color="auto"/>
        <w:bottom w:val="none" w:sz="0" w:space="0" w:color="auto"/>
        <w:right w:val="none" w:sz="0" w:space="0" w:color="auto"/>
      </w:divBdr>
    </w:div>
    <w:div w:id="441265737">
      <w:bodyDiv w:val="1"/>
      <w:marLeft w:val="0"/>
      <w:marRight w:val="0"/>
      <w:marTop w:val="0"/>
      <w:marBottom w:val="0"/>
      <w:divBdr>
        <w:top w:val="none" w:sz="0" w:space="0" w:color="auto"/>
        <w:left w:val="none" w:sz="0" w:space="0" w:color="auto"/>
        <w:bottom w:val="none" w:sz="0" w:space="0" w:color="auto"/>
        <w:right w:val="none" w:sz="0" w:space="0" w:color="auto"/>
      </w:divBdr>
    </w:div>
    <w:div w:id="441998373">
      <w:bodyDiv w:val="1"/>
      <w:marLeft w:val="0"/>
      <w:marRight w:val="0"/>
      <w:marTop w:val="0"/>
      <w:marBottom w:val="0"/>
      <w:divBdr>
        <w:top w:val="none" w:sz="0" w:space="0" w:color="auto"/>
        <w:left w:val="none" w:sz="0" w:space="0" w:color="auto"/>
        <w:bottom w:val="none" w:sz="0" w:space="0" w:color="auto"/>
        <w:right w:val="none" w:sz="0" w:space="0" w:color="auto"/>
      </w:divBdr>
    </w:div>
    <w:div w:id="444622585">
      <w:bodyDiv w:val="1"/>
      <w:marLeft w:val="0"/>
      <w:marRight w:val="0"/>
      <w:marTop w:val="0"/>
      <w:marBottom w:val="0"/>
      <w:divBdr>
        <w:top w:val="none" w:sz="0" w:space="0" w:color="auto"/>
        <w:left w:val="none" w:sz="0" w:space="0" w:color="auto"/>
        <w:bottom w:val="none" w:sz="0" w:space="0" w:color="auto"/>
        <w:right w:val="none" w:sz="0" w:space="0" w:color="auto"/>
      </w:divBdr>
    </w:div>
    <w:div w:id="445198387">
      <w:bodyDiv w:val="1"/>
      <w:marLeft w:val="0"/>
      <w:marRight w:val="0"/>
      <w:marTop w:val="0"/>
      <w:marBottom w:val="0"/>
      <w:divBdr>
        <w:top w:val="none" w:sz="0" w:space="0" w:color="auto"/>
        <w:left w:val="none" w:sz="0" w:space="0" w:color="auto"/>
        <w:bottom w:val="none" w:sz="0" w:space="0" w:color="auto"/>
        <w:right w:val="none" w:sz="0" w:space="0" w:color="auto"/>
      </w:divBdr>
    </w:div>
    <w:div w:id="449204293">
      <w:bodyDiv w:val="1"/>
      <w:marLeft w:val="0"/>
      <w:marRight w:val="0"/>
      <w:marTop w:val="0"/>
      <w:marBottom w:val="0"/>
      <w:divBdr>
        <w:top w:val="none" w:sz="0" w:space="0" w:color="auto"/>
        <w:left w:val="none" w:sz="0" w:space="0" w:color="auto"/>
        <w:bottom w:val="none" w:sz="0" w:space="0" w:color="auto"/>
        <w:right w:val="none" w:sz="0" w:space="0" w:color="auto"/>
      </w:divBdr>
    </w:div>
    <w:div w:id="461969571">
      <w:bodyDiv w:val="1"/>
      <w:marLeft w:val="0"/>
      <w:marRight w:val="0"/>
      <w:marTop w:val="0"/>
      <w:marBottom w:val="0"/>
      <w:divBdr>
        <w:top w:val="none" w:sz="0" w:space="0" w:color="auto"/>
        <w:left w:val="none" w:sz="0" w:space="0" w:color="auto"/>
        <w:bottom w:val="none" w:sz="0" w:space="0" w:color="auto"/>
        <w:right w:val="none" w:sz="0" w:space="0" w:color="auto"/>
      </w:divBdr>
    </w:div>
    <w:div w:id="523248060">
      <w:bodyDiv w:val="1"/>
      <w:marLeft w:val="0"/>
      <w:marRight w:val="0"/>
      <w:marTop w:val="0"/>
      <w:marBottom w:val="0"/>
      <w:divBdr>
        <w:top w:val="none" w:sz="0" w:space="0" w:color="auto"/>
        <w:left w:val="none" w:sz="0" w:space="0" w:color="auto"/>
        <w:bottom w:val="none" w:sz="0" w:space="0" w:color="auto"/>
        <w:right w:val="none" w:sz="0" w:space="0" w:color="auto"/>
      </w:divBdr>
    </w:div>
    <w:div w:id="538279550">
      <w:bodyDiv w:val="1"/>
      <w:marLeft w:val="0"/>
      <w:marRight w:val="0"/>
      <w:marTop w:val="0"/>
      <w:marBottom w:val="0"/>
      <w:divBdr>
        <w:top w:val="none" w:sz="0" w:space="0" w:color="auto"/>
        <w:left w:val="none" w:sz="0" w:space="0" w:color="auto"/>
        <w:bottom w:val="none" w:sz="0" w:space="0" w:color="auto"/>
        <w:right w:val="none" w:sz="0" w:space="0" w:color="auto"/>
      </w:divBdr>
    </w:div>
    <w:div w:id="551380659">
      <w:bodyDiv w:val="1"/>
      <w:marLeft w:val="0"/>
      <w:marRight w:val="0"/>
      <w:marTop w:val="0"/>
      <w:marBottom w:val="0"/>
      <w:divBdr>
        <w:top w:val="none" w:sz="0" w:space="0" w:color="auto"/>
        <w:left w:val="none" w:sz="0" w:space="0" w:color="auto"/>
        <w:bottom w:val="none" w:sz="0" w:space="0" w:color="auto"/>
        <w:right w:val="none" w:sz="0" w:space="0" w:color="auto"/>
      </w:divBdr>
    </w:div>
    <w:div w:id="563949328">
      <w:bodyDiv w:val="1"/>
      <w:marLeft w:val="0"/>
      <w:marRight w:val="0"/>
      <w:marTop w:val="0"/>
      <w:marBottom w:val="0"/>
      <w:divBdr>
        <w:top w:val="none" w:sz="0" w:space="0" w:color="auto"/>
        <w:left w:val="none" w:sz="0" w:space="0" w:color="auto"/>
        <w:bottom w:val="none" w:sz="0" w:space="0" w:color="auto"/>
        <w:right w:val="none" w:sz="0" w:space="0" w:color="auto"/>
      </w:divBdr>
    </w:div>
    <w:div w:id="564488728">
      <w:bodyDiv w:val="1"/>
      <w:marLeft w:val="0"/>
      <w:marRight w:val="0"/>
      <w:marTop w:val="0"/>
      <w:marBottom w:val="0"/>
      <w:divBdr>
        <w:top w:val="none" w:sz="0" w:space="0" w:color="auto"/>
        <w:left w:val="none" w:sz="0" w:space="0" w:color="auto"/>
        <w:bottom w:val="none" w:sz="0" w:space="0" w:color="auto"/>
        <w:right w:val="none" w:sz="0" w:space="0" w:color="auto"/>
      </w:divBdr>
    </w:div>
    <w:div w:id="566652078">
      <w:bodyDiv w:val="1"/>
      <w:marLeft w:val="0"/>
      <w:marRight w:val="0"/>
      <w:marTop w:val="0"/>
      <w:marBottom w:val="0"/>
      <w:divBdr>
        <w:top w:val="none" w:sz="0" w:space="0" w:color="auto"/>
        <w:left w:val="none" w:sz="0" w:space="0" w:color="auto"/>
        <w:bottom w:val="none" w:sz="0" w:space="0" w:color="auto"/>
        <w:right w:val="none" w:sz="0" w:space="0" w:color="auto"/>
      </w:divBdr>
    </w:div>
    <w:div w:id="569996880">
      <w:bodyDiv w:val="1"/>
      <w:marLeft w:val="0"/>
      <w:marRight w:val="0"/>
      <w:marTop w:val="0"/>
      <w:marBottom w:val="0"/>
      <w:divBdr>
        <w:top w:val="none" w:sz="0" w:space="0" w:color="auto"/>
        <w:left w:val="none" w:sz="0" w:space="0" w:color="auto"/>
        <w:bottom w:val="none" w:sz="0" w:space="0" w:color="auto"/>
        <w:right w:val="none" w:sz="0" w:space="0" w:color="auto"/>
      </w:divBdr>
    </w:div>
    <w:div w:id="582766247">
      <w:bodyDiv w:val="1"/>
      <w:marLeft w:val="0"/>
      <w:marRight w:val="0"/>
      <w:marTop w:val="0"/>
      <w:marBottom w:val="0"/>
      <w:divBdr>
        <w:top w:val="none" w:sz="0" w:space="0" w:color="auto"/>
        <w:left w:val="none" w:sz="0" w:space="0" w:color="auto"/>
        <w:bottom w:val="none" w:sz="0" w:space="0" w:color="auto"/>
        <w:right w:val="none" w:sz="0" w:space="0" w:color="auto"/>
      </w:divBdr>
    </w:div>
    <w:div w:id="585071323">
      <w:bodyDiv w:val="1"/>
      <w:marLeft w:val="0"/>
      <w:marRight w:val="0"/>
      <w:marTop w:val="0"/>
      <w:marBottom w:val="0"/>
      <w:divBdr>
        <w:top w:val="none" w:sz="0" w:space="0" w:color="auto"/>
        <w:left w:val="none" w:sz="0" w:space="0" w:color="auto"/>
        <w:bottom w:val="none" w:sz="0" w:space="0" w:color="auto"/>
        <w:right w:val="none" w:sz="0" w:space="0" w:color="auto"/>
      </w:divBdr>
    </w:div>
    <w:div w:id="589848613">
      <w:bodyDiv w:val="1"/>
      <w:marLeft w:val="0"/>
      <w:marRight w:val="0"/>
      <w:marTop w:val="0"/>
      <w:marBottom w:val="0"/>
      <w:divBdr>
        <w:top w:val="none" w:sz="0" w:space="0" w:color="auto"/>
        <w:left w:val="none" w:sz="0" w:space="0" w:color="auto"/>
        <w:bottom w:val="none" w:sz="0" w:space="0" w:color="auto"/>
        <w:right w:val="none" w:sz="0" w:space="0" w:color="auto"/>
      </w:divBdr>
    </w:div>
    <w:div w:id="594019047">
      <w:bodyDiv w:val="1"/>
      <w:marLeft w:val="0"/>
      <w:marRight w:val="0"/>
      <w:marTop w:val="0"/>
      <w:marBottom w:val="0"/>
      <w:divBdr>
        <w:top w:val="none" w:sz="0" w:space="0" w:color="auto"/>
        <w:left w:val="none" w:sz="0" w:space="0" w:color="auto"/>
        <w:bottom w:val="none" w:sz="0" w:space="0" w:color="auto"/>
        <w:right w:val="none" w:sz="0" w:space="0" w:color="auto"/>
      </w:divBdr>
    </w:div>
    <w:div w:id="594561255">
      <w:bodyDiv w:val="1"/>
      <w:marLeft w:val="0"/>
      <w:marRight w:val="0"/>
      <w:marTop w:val="0"/>
      <w:marBottom w:val="0"/>
      <w:divBdr>
        <w:top w:val="none" w:sz="0" w:space="0" w:color="auto"/>
        <w:left w:val="none" w:sz="0" w:space="0" w:color="auto"/>
        <w:bottom w:val="none" w:sz="0" w:space="0" w:color="auto"/>
        <w:right w:val="none" w:sz="0" w:space="0" w:color="auto"/>
      </w:divBdr>
    </w:div>
    <w:div w:id="605040022">
      <w:bodyDiv w:val="1"/>
      <w:marLeft w:val="0"/>
      <w:marRight w:val="0"/>
      <w:marTop w:val="0"/>
      <w:marBottom w:val="0"/>
      <w:divBdr>
        <w:top w:val="none" w:sz="0" w:space="0" w:color="auto"/>
        <w:left w:val="none" w:sz="0" w:space="0" w:color="auto"/>
        <w:bottom w:val="none" w:sz="0" w:space="0" w:color="auto"/>
        <w:right w:val="none" w:sz="0" w:space="0" w:color="auto"/>
      </w:divBdr>
    </w:div>
    <w:div w:id="605387104">
      <w:bodyDiv w:val="1"/>
      <w:marLeft w:val="0"/>
      <w:marRight w:val="0"/>
      <w:marTop w:val="0"/>
      <w:marBottom w:val="0"/>
      <w:divBdr>
        <w:top w:val="none" w:sz="0" w:space="0" w:color="auto"/>
        <w:left w:val="none" w:sz="0" w:space="0" w:color="auto"/>
        <w:bottom w:val="none" w:sz="0" w:space="0" w:color="auto"/>
        <w:right w:val="none" w:sz="0" w:space="0" w:color="auto"/>
      </w:divBdr>
    </w:div>
    <w:div w:id="605770491">
      <w:bodyDiv w:val="1"/>
      <w:marLeft w:val="0"/>
      <w:marRight w:val="0"/>
      <w:marTop w:val="0"/>
      <w:marBottom w:val="0"/>
      <w:divBdr>
        <w:top w:val="none" w:sz="0" w:space="0" w:color="auto"/>
        <w:left w:val="none" w:sz="0" w:space="0" w:color="auto"/>
        <w:bottom w:val="none" w:sz="0" w:space="0" w:color="auto"/>
        <w:right w:val="none" w:sz="0" w:space="0" w:color="auto"/>
      </w:divBdr>
    </w:div>
    <w:div w:id="608198800">
      <w:bodyDiv w:val="1"/>
      <w:marLeft w:val="0"/>
      <w:marRight w:val="0"/>
      <w:marTop w:val="0"/>
      <w:marBottom w:val="0"/>
      <w:divBdr>
        <w:top w:val="none" w:sz="0" w:space="0" w:color="auto"/>
        <w:left w:val="none" w:sz="0" w:space="0" w:color="auto"/>
        <w:bottom w:val="none" w:sz="0" w:space="0" w:color="auto"/>
        <w:right w:val="none" w:sz="0" w:space="0" w:color="auto"/>
      </w:divBdr>
    </w:div>
    <w:div w:id="614409157">
      <w:bodyDiv w:val="1"/>
      <w:marLeft w:val="0"/>
      <w:marRight w:val="0"/>
      <w:marTop w:val="0"/>
      <w:marBottom w:val="0"/>
      <w:divBdr>
        <w:top w:val="none" w:sz="0" w:space="0" w:color="auto"/>
        <w:left w:val="none" w:sz="0" w:space="0" w:color="auto"/>
        <w:bottom w:val="none" w:sz="0" w:space="0" w:color="auto"/>
        <w:right w:val="none" w:sz="0" w:space="0" w:color="auto"/>
      </w:divBdr>
    </w:div>
    <w:div w:id="616184024">
      <w:bodyDiv w:val="1"/>
      <w:marLeft w:val="0"/>
      <w:marRight w:val="0"/>
      <w:marTop w:val="0"/>
      <w:marBottom w:val="0"/>
      <w:divBdr>
        <w:top w:val="none" w:sz="0" w:space="0" w:color="auto"/>
        <w:left w:val="none" w:sz="0" w:space="0" w:color="auto"/>
        <w:bottom w:val="none" w:sz="0" w:space="0" w:color="auto"/>
        <w:right w:val="none" w:sz="0" w:space="0" w:color="auto"/>
      </w:divBdr>
    </w:div>
    <w:div w:id="620578534">
      <w:bodyDiv w:val="1"/>
      <w:marLeft w:val="0"/>
      <w:marRight w:val="0"/>
      <w:marTop w:val="0"/>
      <w:marBottom w:val="0"/>
      <w:divBdr>
        <w:top w:val="none" w:sz="0" w:space="0" w:color="auto"/>
        <w:left w:val="none" w:sz="0" w:space="0" w:color="auto"/>
        <w:bottom w:val="none" w:sz="0" w:space="0" w:color="auto"/>
        <w:right w:val="none" w:sz="0" w:space="0" w:color="auto"/>
      </w:divBdr>
    </w:div>
    <w:div w:id="624509427">
      <w:bodyDiv w:val="1"/>
      <w:marLeft w:val="0"/>
      <w:marRight w:val="0"/>
      <w:marTop w:val="0"/>
      <w:marBottom w:val="0"/>
      <w:divBdr>
        <w:top w:val="none" w:sz="0" w:space="0" w:color="auto"/>
        <w:left w:val="none" w:sz="0" w:space="0" w:color="auto"/>
        <w:bottom w:val="none" w:sz="0" w:space="0" w:color="auto"/>
        <w:right w:val="none" w:sz="0" w:space="0" w:color="auto"/>
      </w:divBdr>
    </w:div>
    <w:div w:id="626354034">
      <w:bodyDiv w:val="1"/>
      <w:marLeft w:val="0"/>
      <w:marRight w:val="0"/>
      <w:marTop w:val="0"/>
      <w:marBottom w:val="0"/>
      <w:divBdr>
        <w:top w:val="none" w:sz="0" w:space="0" w:color="auto"/>
        <w:left w:val="none" w:sz="0" w:space="0" w:color="auto"/>
        <w:bottom w:val="none" w:sz="0" w:space="0" w:color="auto"/>
        <w:right w:val="none" w:sz="0" w:space="0" w:color="auto"/>
      </w:divBdr>
    </w:div>
    <w:div w:id="626937601">
      <w:bodyDiv w:val="1"/>
      <w:marLeft w:val="0"/>
      <w:marRight w:val="0"/>
      <w:marTop w:val="0"/>
      <w:marBottom w:val="0"/>
      <w:divBdr>
        <w:top w:val="none" w:sz="0" w:space="0" w:color="auto"/>
        <w:left w:val="none" w:sz="0" w:space="0" w:color="auto"/>
        <w:bottom w:val="none" w:sz="0" w:space="0" w:color="auto"/>
        <w:right w:val="none" w:sz="0" w:space="0" w:color="auto"/>
      </w:divBdr>
    </w:div>
    <w:div w:id="633675182">
      <w:bodyDiv w:val="1"/>
      <w:marLeft w:val="0"/>
      <w:marRight w:val="0"/>
      <w:marTop w:val="0"/>
      <w:marBottom w:val="0"/>
      <w:divBdr>
        <w:top w:val="none" w:sz="0" w:space="0" w:color="auto"/>
        <w:left w:val="none" w:sz="0" w:space="0" w:color="auto"/>
        <w:bottom w:val="none" w:sz="0" w:space="0" w:color="auto"/>
        <w:right w:val="none" w:sz="0" w:space="0" w:color="auto"/>
      </w:divBdr>
    </w:div>
    <w:div w:id="634337846">
      <w:bodyDiv w:val="1"/>
      <w:marLeft w:val="0"/>
      <w:marRight w:val="0"/>
      <w:marTop w:val="0"/>
      <w:marBottom w:val="0"/>
      <w:divBdr>
        <w:top w:val="none" w:sz="0" w:space="0" w:color="auto"/>
        <w:left w:val="none" w:sz="0" w:space="0" w:color="auto"/>
        <w:bottom w:val="none" w:sz="0" w:space="0" w:color="auto"/>
        <w:right w:val="none" w:sz="0" w:space="0" w:color="auto"/>
      </w:divBdr>
    </w:div>
    <w:div w:id="634876259">
      <w:bodyDiv w:val="1"/>
      <w:marLeft w:val="0"/>
      <w:marRight w:val="0"/>
      <w:marTop w:val="0"/>
      <w:marBottom w:val="0"/>
      <w:divBdr>
        <w:top w:val="none" w:sz="0" w:space="0" w:color="auto"/>
        <w:left w:val="none" w:sz="0" w:space="0" w:color="auto"/>
        <w:bottom w:val="none" w:sz="0" w:space="0" w:color="auto"/>
        <w:right w:val="none" w:sz="0" w:space="0" w:color="auto"/>
      </w:divBdr>
    </w:div>
    <w:div w:id="634993739">
      <w:bodyDiv w:val="1"/>
      <w:marLeft w:val="0"/>
      <w:marRight w:val="0"/>
      <w:marTop w:val="0"/>
      <w:marBottom w:val="0"/>
      <w:divBdr>
        <w:top w:val="none" w:sz="0" w:space="0" w:color="auto"/>
        <w:left w:val="none" w:sz="0" w:space="0" w:color="auto"/>
        <w:bottom w:val="none" w:sz="0" w:space="0" w:color="auto"/>
        <w:right w:val="none" w:sz="0" w:space="0" w:color="auto"/>
      </w:divBdr>
    </w:div>
    <w:div w:id="636884250">
      <w:bodyDiv w:val="1"/>
      <w:marLeft w:val="0"/>
      <w:marRight w:val="0"/>
      <w:marTop w:val="0"/>
      <w:marBottom w:val="0"/>
      <w:divBdr>
        <w:top w:val="none" w:sz="0" w:space="0" w:color="auto"/>
        <w:left w:val="none" w:sz="0" w:space="0" w:color="auto"/>
        <w:bottom w:val="none" w:sz="0" w:space="0" w:color="auto"/>
        <w:right w:val="none" w:sz="0" w:space="0" w:color="auto"/>
      </w:divBdr>
    </w:div>
    <w:div w:id="643702743">
      <w:bodyDiv w:val="1"/>
      <w:marLeft w:val="0"/>
      <w:marRight w:val="0"/>
      <w:marTop w:val="0"/>
      <w:marBottom w:val="0"/>
      <w:divBdr>
        <w:top w:val="none" w:sz="0" w:space="0" w:color="auto"/>
        <w:left w:val="none" w:sz="0" w:space="0" w:color="auto"/>
        <w:bottom w:val="none" w:sz="0" w:space="0" w:color="auto"/>
        <w:right w:val="none" w:sz="0" w:space="0" w:color="auto"/>
      </w:divBdr>
    </w:div>
    <w:div w:id="652760492">
      <w:bodyDiv w:val="1"/>
      <w:marLeft w:val="0"/>
      <w:marRight w:val="0"/>
      <w:marTop w:val="0"/>
      <w:marBottom w:val="0"/>
      <w:divBdr>
        <w:top w:val="none" w:sz="0" w:space="0" w:color="auto"/>
        <w:left w:val="none" w:sz="0" w:space="0" w:color="auto"/>
        <w:bottom w:val="none" w:sz="0" w:space="0" w:color="auto"/>
        <w:right w:val="none" w:sz="0" w:space="0" w:color="auto"/>
      </w:divBdr>
    </w:div>
    <w:div w:id="660347835">
      <w:bodyDiv w:val="1"/>
      <w:marLeft w:val="0"/>
      <w:marRight w:val="0"/>
      <w:marTop w:val="0"/>
      <w:marBottom w:val="0"/>
      <w:divBdr>
        <w:top w:val="none" w:sz="0" w:space="0" w:color="auto"/>
        <w:left w:val="none" w:sz="0" w:space="0" w:color="auto"/>
        <w:bottom w:val="none" w:sz="0" w:space="0" w:color="auto"/>
        <w:right w:val="none" w:sz="0" w:space="0" w:color="auto"/>
      </w:divBdr>
    </w:div>
    <w:div w:id="661079266">
      <w:bodyDiv w:val="1"/>
      <w:marLeft w:val="0"/>
      <w:marRight w:val="0"/>
      <w:marTop w:val="0"/>
      <w:marBottom w:val="0"/>
      <w:divBdr>
        <w:top w:val="none" w:sz="0" w:space="0" w:color="auto"/>
        <w:left w:val="none" w:sz="0" w:space="0" w:color="auto"/>
        <w:bottom w:val="none" w:sz="0" w:space="0" w:color="auto"/>
        <w:right w:val="none" w:sz="0" w:space="0" w:color="auto"/>
      </w:divBdr>
    </w:div>
    <w:div w:id="676424893">
      <w:bodyDiv w:val="1"/>
      <w:marLeft w:val="0"/>
      <w:marRight w:val="0"/>
      <w:marTop w:val="0"/>
      <w:marBottom w:val="0"/>
      <w:divBdr>
        <w:top w:val="none" w:sz="0" w:space="0" w:color="auto"/>
        <w:left w:val="none" w:sz="0" w:space="0" w:color="auto"/>
        <w:bottom w:val="none" w:sz="0" w:space="0" w:color="auto"/>
        <w:right w:val="none" w:sz="0" w:space="0" w:color="auto"/>
      </w:divBdr>
    </w:div>
    <w:div w:id="683828515">
      <w:bodyDiv w:val="1"/>
      <w:marLeft w:val="0"/>
      <w:marRight w:val="0"/>
      <w:marTop w:val="0"/>
      <w:marBottom w:val="0"/>
      <w:divBdr>
        <w:top w:val="none" w:sz="0" w:space="0" w:color="auto"/>
        <w:left w:val="none" w:sz="0" w:space="0" w:color="auto"/>
        <w:bottom w:val="none" w:sz="0" w:space="0" w:color="auto"/>
        <w:right w:val="none" w:sz="0" w:space="0" w:color="auto"/>
      </w:divBdr>
    </w:div>
    <w:div w:id="696469717">
      <w:bodyDiv w:val="1"/>
      <w:marLeft w:val="0"/>
      <w:marRight w:val="0"/>
      <w:marTop w:val="0"/>
      <w:marBottom w:val="0"/>
      <w:divBdr>
        <w:top w:val="none" w:sz="0" w:space="0" w:color="auto"/>
        <w:left w:val="none" w:sz="0" w:space="0" w:color="auto"/>
        <w:bottom w:val="none" w:sz="0" w:space="0" w:color="auto"/>
        <w:right w:val="none" w:sz="0" w:space="0" w:color="auto"/>
      </w:divBdr>
    </w:div>
    <w:div w:id="707871136">
      <w:bodyDiv w:val="1"/>
      <w:marLeft w:val="0"/>
      <w:marRight w:val="0"/>
      <w:marTop w:val="0"/>
      <w:marBottom w:val="0"/>
      <w:divBdr>
        <w:top w:val="none" w:sz="0" w:space="0" w:color="auto"/>
        <w:left w:val="none" w:sz="0" w:space="0" w:color="auto"/>
        <w:bottom w:val="none" w:sz="0" w:space="0" w:color="auto"/>
        <w:right w:val="none" w:sz="0" w:space="0" w:color="auto"/>
      </w:divBdr>
    </w:div>
    <w:div w:id="708141260">
      <w:bodyDiv w:val="1"/>
      <w:marLeft w:val="0"/>
      <w:marRight w:val="0"/>
      <w:marTop w:val="0"/>
      <w:marBottom w:val="0"/>
      <w:divBdr>
        <w:top w:val="none" w:sz="0" w:space="0" w:color="auto"/>
        <w:left w:val="none" w:sz="0" w:space="0" w:color="auto"/>
        <w:bottom w:val="none" w:sz="0" w:space="0" w:color="auto"/>
        <w:right w:val="none" w:sz="0" w:space="0" w:color="auto"/>
      </w:divBdr>
    </w:div>
    <w:div w:id="709379065">
      <w:bodyDiv w:val="1"/>
      <w:marLeft w:val="0"/>
      <w:marRight w:val="0"/>
      <w:marTop w:val="0"/>
      <w:marBottom w:val="0"/>
      <w:divBdr>
        <w:top w:val="none" w:sz="0" w:space="0" w:color="auto"/>
        <w:left w:val="none" w:sz="0" w:space="0" w:color="auto"/>
        <w:bottom w:val="none" w:sz="0" w:space="0" w:color="auto"/>
        <w:right w:val="none" w:sz="0" w:space="0" w:color="auto"/>
      </w:divBdr>
    </w:div>
    <w:div w:id="711417296">
      <w:bodyDiv w:val="1"/>
      <w:marLeft w:val="0"/>
      <w:marRight w:val="0"/>
      <w:marTop w:val="0"/>
      <w:marBottom w:val="0"/>
      <w:divBdr>
        <w:top w:val="none" w:sz="0" w:space="0" w:color="auto"/>
        <w:left w:val="none" w:sz="0" w:space="0" w:color="auto"/>
        <w:bottom w:val="none" w:sz="0" w:space="0" w:color="auto"/>
        <w:right w:val="none" w:sz="0" w:space="0" w:color="auto"/>
      </w:divBdr>
    </w:div>
    <w:div w:id="711808509">
      <w:bodyDiv w:val="1"/>
      <w:marLeft w:val="0"/>
      <w:marRight w:val="0"/>
      <w:marTop w:val="0"/>
      <w:marBottom w:val="0"/>
      <w:divBdr>
        <w:top w:val="none" w:sz="0" w:space="0" w:color="auto"/>
        <w:left w:val="none" w:sz="0" w:space="0" w:color="auto"/>
        <w:bottom w:val="none" w:sz="0" w:space="0" w:color="auto"/>
        <w:right w:val="none" w:sz="0" w:space="0" w:color="auto"/>
      </w:divBdr>
    </w:div>
    <w:div w:id="715741002">
      <w:bodyDiv w:val="1"/>
      <w:marLeft w:val="0"/>
      <w:marRight w:val="0"/>
      <w:marTop w:val="0"/>
      <w:marBottom w:val="0"/>
      <w:divBdr>
        <w:top w:val="none" w:sz="0" w:space="0" w:color="auto"/>
        <w:left w:val="none" w:sz="0" w:space="0" w:color="auto"/>
        <w:bottom w:val="none" w:sz="0" w:space="0" w:color="auto"/>
        <w:right w:val="none" w:sz="0" w:space="0" w:color="auto"/>
      </w:divBdr>
    </w:div>
    <w:div w:id="722173529">
      <w:bodyDiv w:val="1"/>
      <w:marLeft w:val="0"/>
      <w:marRight w:val="0"/>
      <w:marTop w:val="0"/>
      <w:marBottom w:val="0"/>
      <w:divBdr>
        <w:top w:val="none" w:sz="0" w:space="0" w:color="auto"/>
        <w:left w:val="none" w:sz="0" w:space="0" w:color="auto"/>
        <w:bottom w:val="none" w:sz="0" w:space="0" w:color="auto"/>
        <w:right w:val="none" w:sz="0" w:space="0" w:color="auto"/>
      </w:divBdr>
    </w:div>
    <w:div w:id="723063322">
      <w:bodyDiv w:val="1"/>
      <w:marLeft w:val="0"/>
      <w:marRight w:val="0"/>
      <w:marTop w:val="0"/>
      <w:marBottom w:val="0"/>
      <w:divBdr>
        <w:top w:val="none" w:sz="0" w:space="0" w:color="auto"/>
        <w:left w:val="none" w:sz="0" w:space="0" w:color="auto"/>
        <w:bottom w:val="none" w:sz="0" w:space="0" w:color="auto"/>
        <w:right w:val="none" w:sz="0" w:space="0" w:color="auto"/>
      </w:divBdr>
    </w:div>
    <w:div w:id="731276645">
      <w:bodyDiv w:val="1"/>
      <w:marLeft w:val="0"/>
      <w:marRight w:val="0"/>
      <w:marTop w:val="0"/>
      <w:marBottom w:val="0"/>
      <w:divBdr>
        <w:top w:val="none" w:sz="0" w:space="0" w:color="auto"/>
        <w:left w:val="none" w:sz="0" w:space="0" w:color="auto"/>
        <w:bottom w:val="none" w:sz="0" w:space="0" w:color="auto"/>
        <w:right w:val="none" w:sz="0" w:space="0" w:color="auto"/>
      </w:divBdr>
    </w:div>
    <w:div w:id="732503804">
      <w:bodyDiv w:val="1"/>
      <w:marLeft w:val="0"/>
      <w:marRight w:val="0"/>
      <w:marTop w:val="0"/>
      <w:marBottom w:val="0"/>
      <w:divBdr>
        <w:top w:val="none" w:sz="0" w:space="0" w:color="auto"/>
        <w:left w:val="none" w:sz="0" w:space="0" w:color="auto"/>
        <w:bottom w:val="none" w:sz="0" w:space="0" w:color="auto"/>
        <w:right w:val="none" w:sz="0" w:space="0" w:color="auto"/>
      </w:divBdr>
    </w:div>
    <w:div w:id="740908364">
      <w:bodyDiv w:val="1"/>
      <w:marLeft w:val="0"/>
      <w:marRight w:val="0"/>
      <w:marTop w:val="0"/>
      <w:marBottom w:val="0"/>
      <w:divBdr>
        <w:top w:val="none" w:sz="0" w:space="0" w:color="auto"/>
        <w:left w:val="none" w:sz="0" w:space="0" w:color="auto"/>
        <w:bottom w:val="none" w:sz="0" w:space="0" w:color="auto"/>
        <w:right w:val="none" w:sz="0" w:space="0" w:color="auto"/>
      </w:divBdr>
    </w:div>
    <w:div w:id="743525803">
      <w:bodyDiv w:val="1"/>
      <w:marLeft w:val="0"/>
      <w:marRight w:val="0"/>
      <w:marTop w:val="0"/>
      <w:marBottom w:val="0"/>
      <w:divBdr>
        <w:top w:val="none" w:sz="0" w:space="0" w:color="auto"/>
        <w:left w:val="none" w:sz="0" w:space="0" w:color="auto"/>
        <w:bottom w:val="none" w:sz="0" w:space="0" w:color="auto"/>
        <w:right w:val="none" w:sz="0" w:space="0" w:color="auto"/>
      </w:divBdr>
    </w:div>
    <w:div w:id="754017948">
      <w:bodyDiv w:val="1"/>
      <w:marLeft w:val="0"/>
      <w:marRight w:val="0"/>
      <w:marTop w:val="0"/>
      <w:marBottom w:val="0"/>
      <w:divBdr>
        <w:top w:val="none" w:sz="0" w:space="0" w:color="auto"/>
        <w:left w:val="none" w:sz="0" w:space="0" w:color="auto"/>
        <w:bottom w:val="none" w:sz="0" w:space="0" w:color="auto"/>
        <w:right w:val="none" w:sz="0" w:space="0" w:color="auto"/>
      </w:divBdr>
    </w:div>
    <w:div w:id="761612524">
      <w:bodyDiv w:val="1"/>
      <w:marLeft w:val="0"/>
      <w:marRight w:val="0"/>
      <w:marTop w:val="0"/>
      <w:marBottom w:val="0"/>
      <w:divBdr>
        <w:top w:val="none" w:sz="0" w:space="0" w:color="auto"/>
        <w:left w:val="none" w:sz="0" w:space="0" w:color="auto"/>
        <w:bottom w:val="none" w:sz="0" w:space="0" w:color="auto"/>
        <w:right w:val="none" w:sz="0" w:space="0" w:color="auto"/>
      </w:divBdr>
    </w:div>
    <w:div w:id="764426271">
      <w:bodyDiv w:val="1"/>
      <w:marLeft w:val="0"/>
      <w:marRight w:val="0"/>
      <w:marTop w:val="0"/>
      <w:marBottom w:val="0"/>
      <w:divBdr>
        <w:top w:val="none" w:sz="0" w:space="0" w:color="auto"/>
        <w:left w:val="none" w:sz="0" w:space="0" w:color="auto"/>
        <w:bottom w:val="none" w:sz="0" w:space="0" w:color="auto"/>
        <w:right w:val="none" w:sz="0" w:space="0" w:color="auto"/>
      </w:divBdr>
    </w:div>
    <w:div w:id="770006635">
      <w:bodyDiv w:val="1"/>
      <w:marLeft w:val="0"/>
      <w:marRight w:val="0"/>
      <w:marTop w:val="0"/>
      <w:marBottom w:val="0"/>
      <w:divBdr>
        <w:top w:val="none" w:sz="0" w:space="0" w:color="auto"/>
        <w:left w:val="none" w:sz="0" w:space="0" w:color="auto"/>
        <w:bottom w:val="none" w:sz="0" w:space="0" w:color="auto"/>
        <w:right w:val="none" w:sz="0" w:space="0" w:color="auto"/>
      </w:divBdr>
    </w:div>
    <w:div w:id="775245952">
      <w:bodyDiv w:val="1"/>
      <w:marLeft w:val="0"/>
      <w:marRight w:val="0"/>
      <w:marTop w:val="0"/>
      <w:marBottom w:val="0"/>
      <w:divBdr>
        <w:top w:val="none" w:sz="0" w:space="0" w:color="auto"/>
        <w:left w:val="none" w:sz="0" w:space="0" w:color="auto"/>
        <w:bottom w:val="none" w:sz="0" w:space="0" w:color="auto"/>
        <w:right w:val="none" w:sz="0" w:space="0" w:color="auto"/>
      </w:divBdr>
    </w:div>
    <w:div w:id="777607665">
      <w:bodyDiv w:val="1"/>
      <w:marLeft w:val="0"/>
      <w:marRight w:val="0"/>
      <w:marTop w:val="0"/>
      <w:marBottom w:val="0"/>
      <w:divBdr>
        <w:top w:val="none" w:sz="0" w:space="0" w:color="auto"/>
        <w:left w:val="none" w:sz="0" w:space="0" w:color="auto"/>
        <w:bottom w:val="none" w:sz="0" w:space="0" w:color="auto"/>
        <w:right w:val="none" w:sz="0" w:space="0" w:color="auto"/>
      </w:divBdr>
    </w:div>
    <w:div w:id="782306413">
      <w:bodyDiv w:val="1"/>
      <w:marLeft w:val="0"/>
      <w:marRight w:val="0"/>
      <w:marTop w:val="0"/>
      <w:marBottom w:val="0"/>
      <w:divBdr>
        <w:top w:val="none" w:sz="0" w:space="0" w:color="auto"/>
        <w:left w:val="none" w:sz="0" w:space="0" w:color="auto"/>
        <w:bottom w:val="none" w:sz="0" w:space="0" w:color="auto"/>
        <w:right w:val="none" w:sz="0" w:space="0" w:color="auto"/>
      </w:divBdr>
    </w:div>
    <w:div w:id="782923592">
      <w:bodyDiv w:val="1"/>
      <w:marLeft w:val="0"/>
      <w:marRight w:val="0"/>
      <w:marTop w:val="0"/>
      <w:marBottom w:val="0"/>
      <w:divBdr>
        <w:top w:val="none" w:sz="0" w:space="0" w:color="auto"/>
        <w:left w:val="none" w:sz="0" w:space="0" w:color="auto"/>
        <w:bottom w:val="none" w:sz="0" w:space="0" w:color="auto"/>
        <w:right w:val="none" w:sz="0" w:space="0" w:color="auto"/>
      </w:divBdr>
    </w:div>
    <w:div w:id="797722121">
      <w:bodyDiv w:val="1"/>
      <w:marLeft w:val="0"/>
      <w:marRight w:val="0"/>
      <w:marTop w:val="0"/>
      <w:marBottom w:val="0"/>
      <w:divBdr>
        <w:top w:val="none" w:sz="0" w:space="0" w:color="auto"/>
        <w:left w:val="none" w:sz="0" w:space="0" w:color="auto"/>
        <w:bottom w:val="none" w:sz="0" w:space="0" w:color="auto"/>
        <w:right w:val="none" w:sz="0" w:space="0" w:color="auto"/>
      </w:divBdr>
    </w:div>
    <w:div w:id="805122747">
      <w:bodyDiv w:val="1"/>
      <w:marLeft w:val="0"/>
      <w:marRight w:val="0"/>
      <w:marTop w:val="0"/>
      <w:marBottom w:val="0"/>
      <w:divBdr>
        <w:top w:val="none" w:sz="0" w:space="0" w:color="auto"/>
        <w:left w:val="none" w:sz="0" w:space="0" w:color="auto"/>
        <w:bottom w:val="none" w:sz="0" w:space="0" w:color="auto"/>
        <w:right w:val="none" w:sz="0" w:space="0" w:color="auto"/>
      </w:divBdr>
    </w:div>
    <w:div w:id="805271383">
      <w:bodyDiv w:val="1"/>
      <w:marLeft w:val="0"/>
      <w:marRight w:val="0"/>
      <w:marTop w:val="0"/>
      <w:marBottom w:val="0"/>
      <w:divBdr>
        <w:top w:val="none" w:sz="0" w:space="0" w:color="auto"/>
        <w:left w:val="none" w:sz="0" w:space="0" w:color="auto"/>
        <w:bottom w:val="none" w:sz="0" w:space="0" w:color="auto"/>
        <w:right w:val="none" w:sz="0" w:space="0" w:color="auto"/>
      </w:divBdr>
    </w:div>
    <w:div w:id="806240706">
      <w:bodyDiv w:val="1"/>
      <w:marLeft w:val="0"/>
      <w:marRight w:val="0"/>
      <w:marTop w:val="0"/>
      <w:marBottom w:val="0"/>
      <w:divBdr>
        <w:top w:val="none" w:sz="0" w:space="0" w:color="auto"/>
        <w:left w:val="none" w:sz="0" w:space="0" w:color="auto"/>
        <w:bottom w:val="none" w:sz="0" w:space="0" w:color="auto"/>
        <w:right w:val="none" w:sz="0" w:space="0" w:color="auto"/>
      </w:divBdr>
    </w:div>
    <w:div w:id="809054768">
      <w:bodyDiv w:val="1"/>
      <w:marLeft w:val="0"/>
      <w:marRight w:val="0"/>
      <w:marTop w:val="0"/>
      <w:marBottom w:val="0"/>
      <w:divBdr>
        <w:top w:val="none" w:sz="0" w:space="0" w:color="auto"/>
        <w:left w:val="none" w:sz="0" w:space="0" w:color="auto"/>
        <w:bottom w:val="none" w:sz="0" w:space="0" w:color="auto"/>
        <w:right w:val="none" w:sz="0" w:space="0" w:color="auto"/>
      </w:divBdr>
    </w:div>
    <w:div w:id="813566896">
      <w:bodyDiv w:val="1"/>
      <w:marLeft w:val="0"/>
      <w:marRight w:val="0"/>
      <w:marTop w:val="0"/>
      <w:marBottom w:val="0"/>
      <w:divBdr>
        <w:top w:val="none" w:sz="0" w:space="0" w:color="auto"/>
        <w:left w:val="none" w:sz="0" w:space="0" w:color="auto"/>
        <w:bottom w:val="none" w:sz="0" w:space="0" w:color="auto"/>
        <w:right w:val="none" w:sz="0" w:space="0" w:color="auto"/>
      </w:divBdr>
    </w:div>
    <w:div w:id="815685191">
      <w:bodyDiv w:val="1"/>
      <w:marLeft w:val="0"/>
      <w:marRight w:val="0"/>
      <w:marTop w:val="0"/>
      <w:marBottom w:val="0"/>
      <w:divBdr>
        <w:top w:val="none" w:sz="0" w:space="0" w:color="auto"/>
        <w:left w:val="none" w:sz="0" w:space="0" w:color="auto"/>
        <w:bottom w:val="none" w:sz="0" w:space="0" w:color="auto"/>
        <w:right w:val="none" w:sz="0" w:space="0" w:color="auto"/>
      </w:divBdr>
    </w:div>
    <w:div w:id="818231652">
      <w:bodyDiv w:val="1"/>
      <w:marLeft w:val="0"/>
      <w:marRight w:val="0"/>
      <w:marTop w:val="0"/>
      <w:marBottom w:val="0"/>
      <w:divBdr>
        <w:top w:val="none" w:sz="0" w:space="0" w:color="auto"/>
        <w:left w:val="none" w:sz="0" w:space="0" w:color="auto"/>
        <w:bottom w:val="none" w:sz="0" w:space="0" w:color="auto"/>
        <w:right w:val="none" w:sz="0" w:space="0" w:color="auto"/>
      </w:divBdr>
    </w:div>
    <w:div w:id="832532239">
      <w:bodyDiv w:val="1"/>
      <w:marLeft w:val="0"/>
      <w:marRight w:val="0"/>
      <w:marTop w:val="0"/>
      <w:marBottom w:val="0"/>
      <w:divBdr>
        <w:top w:val="none" w:sz="0" w:space="0" w:color="auto"/>
        <w:left w:val="none" w:sz="0" w:space="0" w:color="auto"/>
        <w:bottom w:val="none" w:sz="0" w:space="0" w:color="auto"/>
        <w:right w:val="none" w:sz="0" w:space="0" w:color="auto"/>
      </w:divBdr>
    </w:div>
    <w:div w:id="841433662">
      <w:bodyDiv w:val="1"/>
      <w:marLeft w:val="0"/>
      <w:marRight w:val="0"/>
      <w:marTop w:val="0"/>
      <w:marBottom w:val="0"/>
      <w:divBdr>
        <w:top w:val="none" w:sz="0" w:space="0" w:color="auto"/>
        <w:left w:val="none" w:sz="0" w:space="0" w:color="auto"/>
        <w:bottom w:val="none" w:sz="0" w:space="0" w:color="auto"/>
        <w:right w:val="none" w:sz="0" w:space="0" w:color="auto"/>
      </w:divBdr>
    </w:div>
    <w:div w:id="851845433">
      <w:bodyDiv w:val="1"/>
      <w:marLeft w:val="0"/>
      <w:marRight w:val="0"/>
      <w:marTop w:val="0"/>
      <w:marBottom w:val="0"/>
      <w:divBdr>
        <w:top w:val="none" w:sz="0" w:space="0" w:color="auto"/>
        <w:left w:val="none" w:sz="0" w:space="0" w:color="auto"/>
        <w:bottom w:val="none" w:sz="0" w:space="0" w:color="auto"/>
        <w:right w:val="none" w:sz="0" w:space="0" w:color="auto"/>
      </w:divBdr>
    </w:div>
    <w:div w:id="863716982">
      <w:bodyDiv w:val="1"/>
      <w:marLeft w:val="0"/>
      <w:marRight w:val="0"/>
      <w:marTop w:val="0"/>
      <w:marBottom w:val="0"/>
      <w:divBdr>
        <w:top w:val="none" w:sz="0" w:space="0" w:color="auto"/>
        <w:left w:val="none" w:sz="0" w:space="0" w:color="auto"/>
        <w:bottom w:val="none" w:sz="0" w:space="0" w:color="auto"/>
        <w:right w:val="none" w:sz="0" w:space="0" w:color="auto"/>
      </w:divBdr>
    </w:div>
    <w:div w:id="868951865">
      <w:bodyDiv w:val="1"/>
      <w:marLeft w:val="0"/>
      <w:marRight w:val="0"/>
      <w:marTop w:val="0"/>
      <w:marBottom w:val="0"/>
      <w:divBdr>
        <w:top w:val="none" w:sz="0" w:space="0" w:color="auto"/>
        <w:left w:val="none" w:sz="0" w:space="0" w:color="auto"/>
        <w:bottom w:val="none" w:sz="0" w:space="0" w:color="auto"/>
        <w:right w:val="none" w:sz="0" w:space="0" w:color="auto"/>
      </w:divBdr>
    </w:div>
    <w:div w:id="870269218">
      <w:bodyDiv w:val="1"/>
      <w:marLeft w:val="0"/>
      <w:marRight w:val="0"/>
      <w:marTop w:val="0"/>
      <w:marBottom w:val="0"/>
      <w:divBdr>
        <w:top w:val="none" w:sz="0" w:space="0" w:color="auto"/>
        <w:left w:val="none" w:sz="0" w:space="0" w:color="auto"/>
        <w:bottom w:val="none" w:sz="0" w:space="0" w:color="auto"/>
        <w:right w:val="none" w:sz="0" w:space="0" w:color="auto"/>
      </w:divBdr>
    </w:div>
    <w:div w:id="877014197">
      <w:bodyDiv w:val="1"/>
      <w:marLeft w:val="0"/>
      <w:marRight w:val="0"/>
      <w:marTop w:val="0"/>
      <w:marBottom w:val="0"/>
      <w:divBdr>
        <w:top w:val="none" w:sz="0" w:space="0" w:color="auto"/>
        <w:left w:val="none" w:sz="0" w:space="0" w:color="auto"/>
        <w:bottom w:val="none" w:sz="0" w:space="0" w:color="auto"/>
        <w:right w:val="none" w:sz="0" w:space="0" w:color="auto"/>
      </w:divBdr>
    </w:div>
    <w:div w:id="884874357">
      <w:bodyDiv w:val="1"/>
      <w:marLeft w:val="0"/>
      <w:marRight w:val="0"/>
      <w:marTop w:val="0"/>
      <w:marBottom w:val="0"/>
      <w:divBdr>
        <w:top w:val="none" w:sz="0" w:space="0" w:color="auto"/>
        <w:left w:val="none" w:sz="0" w:space="0" w:color="auto"/>
        <w:bottom w:val="none" w:sz="0" w:space="0" w:color="auto"/>
        <w:right w:val="none" w:sz="0" w:space="0" w:color="auto"/>
      </w:divBdr>
    </w:div>
    <w:div w:id="888035556">
      <w:bodyDiv w:val="1"/>
      <w:marLeft w:val="0"/>
      <w:marRight w:val="0"/>
      <w:marTop w:val="0"/>
      <w:marBottom w:val="0"/>
      <w:divBdr>
        <w:top w:val="none" w:sz="0" w:space="0" w:color="auto"/>
        <w:left w:val="none" w:sz="0" w:space="0" w:color="auto"/>
        <w:bottom w:val="none" w:sz="0" w:space="0" w:color="auto"/>
        <w:right w:val="none" w:sz="0" w:space="0" w:color="auto"/>
      </w:divBdr>
    </w:div>
    <w:div w:id="901255739">
      <w:bodyDiv w:val="1"/>
      <w:marLeft w:val="0"/>
      <w:marRight w:val="0"/>
      <w:marTop w:val="0"/>
      <w:marBottom w:val="0"/>
      <w:divBdr>
        <w:top w:val="none" w:sz="0" w:space="0" w:color="auto"/>
        <w:left w:val="none" w:sz="0" w:space="0" w:color="auto"/>
        <w:bottom w:val="none" w:sz="0" w:space="0" w:color="auto"/>
        <w:right w:val="none" w:sz="0" w:space="0" w:color="auto"/>
      </w:divBdr>
    </w:div>
    <w:div w:id="904872001">
      <w:bodyDiv w:val="1"/>
      <w:marLeft w:val="0"/>
      <w:marRight w:val="0"/>
      <w:marTop w:val="0"/>
      <w:marBottom w:val="0"/>
      <w:divBdr>
        <w:top w:val="none" w:sz="0" w:space="0" w:color="auto"/>
        <w:left w:val="none" w:sz="0" w:space="0" w:color="auto"/>
        <w:bottom w:val="none" w:sz="0" w:space="0" w:color="auto"/>
        <w:right w:val="none" w:sz="0" w:space="0" w:color="auto"/>
      </w:divBdr>
    </w:div>
    <w:div w:id="914557735">
      <w:bodyDiv w:val="1"/>
      <w:marLeft w:val="0"/>
      <w:marRight w:val="0"/>
      <w:marTop w:val="0"/>
      <w:marBottom w:val="0"/>
      <w:divBdr>
        <w:top w:val="none" w:sz="0" w:space="0" w:color="auto"/>
        <w:left w:val="none" w:sz="0" w:space="0" w:color="auto"/>
        <w:bottom w:val="none" w:sz="0" w:space="0" w:color="auto"/>
        <w:right w:val="none" w:sz="0" w:space="0" w:color="auto"/>
      </w:divBdr>
    </w:div>
    <w:div w:id="915016974">
      <w:bodyDiv w:val="1"/>
      <w:marLeft w:val="0"/>
      <w:marRight w:val="0"/>
      <w:marTop w:val="0"/>
      <w:marBottom w:val="0"/>
      <w:divBdr>
        <w:top w:val="none" w:sz="0" w:space="0" w:color="auto"/>
        <w:left w:val="none" w:sz="0" w:space="0" w:color="auto"/>
        <w:bottom w:val="none" w:sz="0" w:space="0" w:color="auto"/>
        <w:right w:val="none" w:sz="0" w:space="0" w:color="auto"/>
      </w:divBdr>
    </w:div>
    <w:div w:id="918558378">
      <w:bodyDiv w:val="1"/>
      <w:marLeft w:val="0"/>
      <w:marRight w:val="0"/>
      <w:marTop w:val="0"/>
      <w:marBottom w:val="0"/>
      <w:divBdr>
        <w:top w:val="none" w:sz="0" w:space="0" w:color="auto"/>
        <w:left w:val="none" w:sz="0" w:space="0" w:color="auto"/>
        <w:bottom w:val="none" w:sz="0" w:space="0" w:color="auto"/>
        <w:right w:val="none" w:sz="0" w:space="0" w:color="auto"/>
      </w:divBdr>
    </w:div>
    <w:div w:id="919561990">
      <w:bodyDiv w:val="1"/>
      <w:marLeft w:val="0"/>
      <w:marRight w:val="0"/>
      <w:marTop w:val="0"/>
      <w:marBottom w:val="0"/>
      <w:divBdr>
        <w:top w:val="none" w:sz="0" w:space="0" w:color="auto"/>
        <w:left w:val="none" w:sz="0" w:space="0" w:color="auto"/>
        <w:bottom w:val="none" w:sz="0" w:space="0" w:color="auto"/>
        <w:right w:val="none" w:sz="0" w:space="0" w:color="auto"/>
      </w:divBdr>
    </w:div>
    <w:div w:id="919754957">
      <w:bodyDiv w:val="1"/>
      <w:marLeft w:val="0"/>
      <w:marRight w:val="0"/>
      <w:marTop w:val="0"/>
      <w:marBottom w:val="0"/>
      <w:divBdr>
        <w:top w:val="none" w:sz="0" w:space="0" w:color="auto"/>
        <w:left w:val="none" w:sz="0" w:space="0" w:color="auto"/>
        <w:bottom w:val="none" w:sz="0" w:space="0" w:color="auto"/>
        <w:right w:val="none" w:sz="0" w:space="0" w:color="auto"/>
      </w:divBdr>
    </w:div>
    <w:div w:id="920794166">
      <w:bodyDiv w:val="1"/>
      <w:marLeft w:val="0"/>
      <w:marRight w:val="0"/>
      <w:marTop w:val="0"/>
      <w:marBottom w:val="0"/>
      <w:divBdr>
        <w:top w:val="none" w:sz="0" w:space="0" w:color="auto"/>
        <w:left w:val="none" w:sz="0" w:space="0" w:color="auto"/>
        <w:bottom w:val="none" w:sz="0" w:space="0" w:color="auto"/>
        <w:right w:val="none" w:sz="0" w:space="0" w:color="auto"/>
      </w:divBdr>
    </w:div>
    <w:div w:id="926033556">
      <w:bodyDiv w:val="1"/>
      <w:marLeft w:val="0"/>
      <w:marRight w:val="0"/>
      <w:marTop w:val="0"/>
      <w:marBottom w:val="0"/>
      <w:divBdr>
        <w:top w:val="none" w:sz="0" w:space="0" w:color="auto"/>
        <w:left w:val="none" w:sz="0" w:space="0" w:color="auto"/>
        <w:bottom w:val="none" w:sz="0" w:space="0" w:color="auto"/>
        <w:right w:val="none" w:sz="0" w:space="0" w:color="auto"/>
      </w:divBdr>
    </w:div>
    <w:div w:id="941574353">
      <w:bodyDiv w:val="1"/>
      <w:marLeft w:val="0"/>
      <w:marRight w:val="0"/>
      <w:marTop w:val="0"/>
      <w:marBottom w:val="0"/>
      <w:divBdr>
        <w:top w:val="none" w:sz="0" w:space="0" w:color="auto"/>
        <w:left w:val="none" w:sz="0" w:space="0" w:color="auto"/>
        <w:bottom w:val="none" w:sz="0" w:space="0" w:color="auto"/>
        <w:right w:val="none" w:sz="0" w:space="0" w:color="auto"/>
      </w:divBdr>
    </w:div>
    <w:div w:id="946810978">
      <w:bodyDiv w:val="1"/>
      <w:marLeft w:val="0"/>
      <w:marRight w:val="0"/>
      <w:marTop w:val="0"/>
      <w:marBottom w:val="0"/>
      <w:divBdr>
        <w:top w:val="none" w:sz="0" w:space="0" w:color="auto"/>
        <w:left w:val="none" w:sz="0" w:space="0" w:color="auto"/>
        <w:bottom w:val="none" w:sz="0" w:space="0" w:color="auto"/>
        <w:right w:val="none" w:sz="0" w:space="0" w:color="auto"/>
      </w:divBdr>
    </w:div>
    <w:div w:id="963271881">
      <w:bodyDiv w:val="1"/>
      <w:marLeft w:val="0"/>
      <w:marRight w:val="0"/>
      <w:marTop w:val="0"/>
      <w:marBottom w:val="0"/>
      <w:divBdr>
        <w:top w:val="none" w:sz="0" w:space="0" w:color="auto"/>
        <w:left w:val="none" w:sz="0" w:space="0" w:color="auto"/>
        <w:bottom w:val="none" w:sz="0" w:space="0" w:color="auto"/>
        <w:right w:val="none" w:sz="0" w:space="0" w:color="auto"/>
      </w:divBdr>
    </w:div>
    <w:div w:id="972369949">
      <w:bodyDiv w:val="1"/>
      <w:marLeft w:val="0"/>
      <w:marRight w:val="0"/>
      <w:marTop w:val="0"/>
      <w:marBottom w:val="0"/>
      <w:divBdr>
        <w:top w:val="none" w:sz="0" w:space="0" w:color="auto"/>
        <w:left w:val="none" w:sz="0" w:space="0" w:color="auto"/>
        <w:bottom w:val="none" w:sz="0" w:space="0" w:color="auto"/>
        <w:right w:val="none" w:sz="0" w:space="0" w:color="auto"/>
      </w:divBdr>
    </w:div>
    <w:div w:id="979382385">
      <w:bodyDiv w:val="1"/>
      <w:marLeft w:val="0"/>
      <w:marRight w:val="0"/>
      <w:marTop w:val="0"/>
      <w:marBottom w:val="0"/>
      <w:divBdr>
        <w:top w:val="none" w:sz="0" w:space="0" w:color="auto"/>
        <w:left w:val="none" w:sz="0" w:space="0" w:color="auto"/>
        <w:bottom w:val="none" w:sz="0" w:space="0" w:color="auto"/>
        <w:right w:val="none" w:sz="0" w:space="0" w:color="auto"/>
      </w:divBdr>
    </w:div>
    <w:div w:id="980622783">
      <w:bodyDiv w:val="1"/>
      <w:marLeft w:val="0"/>
      <w:marRight w:val="0"/>
      <w:marTop w:val="0"/>
      <w:marBottom w:val="0"/>
      <w:divBdr>
        <w:top w:val="none" w:sz="0" w:space="0" w:color="auto"/>
        <w:left w:val="none" w:sz="0" w:space="0" w:color="auto"/>
        <w:bottom w:val="none" w:sz="0" w:space="0" w:color="auto"/>
        <w:right w:val="none" w:sz="0" w:space="0" w:color="auto"/>
      </w:divBdr>
    </w:div>
    <w:div w:id="981467628">
      <w:bodyDiv w:val="1"/>
      <w:marLeft w:val="0"/>
      <w:marRight w:val="0"/>
      <w:marTop w:val="0"/>
      <w:marBottom w:val="0"/>
      <w:divBdr>
        <w:top w:val="none" w:sz="0" w:space="0" w:color="auto"/>
        <w:left w:val="none" w:sz="0" w:space="0" w:color="auto"/>
        <w:bottom w:val="none" w:sz="0" w:space="0" w:color="auto"/>
        <w:right w:val="none" w:sz="0" w:space="0" w:color="auto"/>
      </w:divBdr>
    </w:div>
    <w:div w:id="991911569">
      <w:bodyDiv w:val="1"/>
      <w:marLeft w:val="0"/>
      <w:marRight w:val="0"/>
      <w:marTop w:val="0"/>
      <w:marBottom w:val="0"/>
      <w:divBdr>
        <w:top w:val="none" w:sz="0" w:space="0" w:color="auto"/>
        <w:left w:val="none" w:sz="0" w:space="0" w:color="auto"/>
        <w:bottom w:val="none" w:sz="0" w:space="0" w:color="auto"/>
        <w:right w:val="none" w:sz="0" w:space="0" w:color="auto"/>
      </w:divBdr>
    </w:div>
    <w:div w:id="992103837">
      <w:bodyDiv w:val="1"/>
      <w:marLeft w:val="0"/>
      <w:marRight w:val="0"/>
      <w:marTop w:val="0"/>
      <w:marBottom w:val="0"/>
      <w:divBdr>
        <w:top w:val="none" w:sz="0" w:space="0" w:color="auto"/>
        <w:left w:val="none" w:sz="0" w:space="0" w:color="auto"/>
        <w:bottom w:val="none" w:sz="0" w:space="0" w:color="auto"/>
        <w:right w:val="none" w:sz="0" w:space="0" w:color="auto"/>
      </w:divBdr>
    </w:div>
    <w:div w:id="1001200802">
      <w:bodyDiv w:val="1"/>
      <w:marLeft w:val="0"/>
      <w:marRight w:val="0"/>
      <w:marTop w:val="0"/>
      <w:marBottom w:val="0"/>
      <w:divBdr>
        <w:top w:val="none" w:sz="0" w:space="0" w:color="auto"/>
        <w:left w:val="none" w:sz="0" w:space="0" w:color="auto"/>
        <w:bottom w:val="none" w:sz="0" w:space="0" w:color="auto"/>
        <w:right w:val="none" w:sz="0" w:space="0" w:color="auto"/>
      </w:divBdr>
    </w:div>
    <w:div w:id="1001391211">
      <w:bodyDiv w:val="1"/>
      <w:marLeft w:val="0"/>
      <w:marRight w:val="0"/>
      <w:marTop w:val="0"/>
      <w:marBottom w:val="0"/>
      <w:divBdr>
        <w:top w:val="none" w:sz="0" w:space="0" w:color="auto"/>
        <w:left w:val="none" w:sz="0" w:space="0" w:color="auto"/>
        <w:bottom w:val="none" w:sz="0" w:space="0" w:color="auto"/>
        <w:right w:val="none" w:sz="0" w:space="0" w:color="auto"/>
      </w:divBdr>
    </w:div>
    <w:div w:id="1001473303">
      <w:bodyDiv w:val="1"/>
      <w:marLeft w:val="0"/>
      <w:marRight w:val="0"/>
      <w:marTop w:val="0"/>
      <w:marBottom w:val="0"/>
      <w:divBdr>
        <w:top w:val="none" w:sz="0" w:space="0" w:color="auto"/>
        <w:left w:val="none" w:sz="0" w:space="0" w:color="auto"/>
        <w:bottom w:val="none" w:sz="0" w:space="0" w:color="auto"/>
        <w:right w:val="none" w:sz="0" w:space="0" w:color="auto"/>
      </w:divBdr>
    </w:div>
    <w:div w:id="1002468162">
      <w:bodyDiv w:val="1"/>
      <w:marLeft w:val="0"/>
      <w:marRight w:val="0"/>
      <w:marTop w:val="0"/>
      <w:marBottom w:val="0"/>
      <w:divBdr>
        <w:top w:val="none" w:sz="0" w:space="0" w:color="auto"/>
        <w:left w:val="none" w:sz="0" w:space="0" w:color="auto"/>
        <w:bottom w:val="none" w:sz="0" w:space="0" w:color="auto"/>
        <w:right w:val="none" w:sz="0" w:space="0" w:color="auto"/>
      </w:divBdr>
    </w:div>
    <w:div w:id="1012103477">
      <w:bodyDiv w:val="1"/>
      <w:marLeft w:val="0"/>
      <w:marRight w:val="0"/>
      <w:marTop w:val="0"/>
      <w:marBottom w:val="0"/>
      <w:divBdr>
        <w:top w:val="none" w:sz="0" w:space="0" w:color="auto"/>
        <w:left w:val="none" w:sz="0" w:space="0" w:color="auto"/>
        <w:bottom w:val="none" w:sz="0" w:space="0" w:color="auto"/>
        <w:right w:val="none" w:sz="0" w:space="0" w:color="auto"/>
      </w:divBdr>
    </w:div>
    <w:div w:id="1021080644">
      <w:bodyDiv w:val="1"/>
      <w:marLeft w:val="0"/>
      <w:marRight w:val="0"/>
      <w:marTop w:val="0"/>
      <w:marBottom w:val="0"/>
      <w:divBdr>
        <w:top w:val="none" w:sz="0" w:space="0" w:color="auto"/>
        <w:left w:val="none" w:sz="0" w:space="0" w:color="auto"/>
        <w:bottom w:val="none" w:sz="0" w:space="0" w:color="auto"/>
        <w:right w:val="none" w:sz="0" w:space="0" w:color="auto"/>
      </w:divBdr>
    </w:div>
    <w:div w:id="1022511334">
      <w:bodyDiv w:val="1"/>
      <w:marLeft w:val="0"/>
      <w:marRight w:val="0"/>
      <w:marTop w:val="0"/>
      <w:marBottom w:val="0"/>
      <w:divBdr>
        <w:top w:val="none" w:sz="0" w:space="0" w:color="auto"/>
        <w:left w:val="none" w:sz="0" w:space="0" w:color="auto"/>
        <w:bottom w:val="none" w:sz="0" w:space="0" w:color="auto"/>
        <w:right w:val="none" w:sz="0" w:space="0" w:color="auto"/>
      </w:divBdr>
    </w:div>
    <w:div w:id="1024940981">
      <w:bodyDiv w:val="1"/>
      <w:marLeft w:val="0"/>
      <w:marRight w:val="0"/>
      <w:marTop w:val="0"/>
      <w:marBottom w:val="0"/>
      <w:divBdr>
        <w:top w:val="none" w:sz="0" w:space="0" w:color="auto"/>
        <w:left w:val="none" w:sz="0" w:space="0" w:color="auto"/>
        <w:bottom w:val="none" w:sz="0" w:space="0" w:color="auto"/>
        <w:right w:val="none" w:sz="0" w:space="0" w:color="auto"/>
      </w:divBdr>
    </w:div>
    <w:div w:id="1028720356">
      <w:bodyDiv w:val="1"/>
      <w:marLeft w:val="0"/>
      <w:marRight w:val="0"/>
      <w:marTop w:val="0"/>
      <w:marBottom w:val="0"/>
      <w:divBdr>
        <w:top w:val="none" w:sz="0" w:space="0" w:color="auto"/>
        <w:left w:val="none" w:sz="0" w:space="0" w:color="auto"/>
        <w:bottom w:val="none" w:sz="0" w:space="0" w:color="auto"/>
        <w:right w:val="none" w:sz="0" w:space="0" w:color="auto"/>
      </w:divBdr>
    </w:div>
    <w:div w:id="1031733963">
      <w:bodyDiv w:val="1"/>
      <w:marLeft w:val="0"/>
      <w:marRight w:val="0"/>
      <w:marTop w:val="0"/>
      <w:marBottom w:val="0"/>
      <w:divBdr>
        <w:top w:val="none" w:sz="0" w:space="0" w:color="auto"/>
        <w:left w:val="none" w:sz="0" w:space="0" w:color="auto"/>
        <w:bottom w:val="none" w:sz="0" w:space="0" w:color="auto"/>
        <w:right w:val="none" w:sz="0" w:space="0" w:color="auto"/>
      </w:divBdr>
    </w:div>
    <w:div w:id="1033771918">
      <w:bodyDiv w:val="1"/>
      <w:marLeft w:val="0"/>
      <w:marRight w:val="0"/>
      <w:marTop w:val="0"/>
      <w:marBottom w:val="0"/>
      <w:divBdr>
        <w:top w:val="none" w:sz="0" w:space="0" w:color="auto"/>
        <w:left w:val="none" w:sz="0" w:space="0" w:color="auto"/>
        <w:bottom w:val="none" w:sz="0" w:space="0" w:color="auto"/>
        <w:right w:val="none" w:sz="0" w:space="0" w:color="auto"/>
      </w:divBdr>
    </w:div>
    <w:div w:id="1036738302">
      <w:bodyDiv w:val="1"/>
      <w:marLeft w:val="0"/>
      <w:marRight w:val="0"/>
      <w:marTop w:val="0"/>
      <w:marBottom w:val="0"/>
      <w:divBdr>
        <w:top w:val="none" w:sz="0" w:space="0" w:color="auto"/>
        <w:left w:val="none" w:sz="0" w:space="0" w:color="auto"/>
        <w:bottom w:val="none" w:sz="0" w:space="0" w:color="auto"/>
        <w:right w:val="none" w:sz="0" w:space="0" w:color="auto"/>
      </w:divBdr>
    </w:div>
    <w:div w:id="1038241614">
      <w:bodyDiv w:val="1"/>
      <w:marLeft w:val="0"/>
      <w:marRight w:val="0"/>
      <w:marTop w:val="0"/>
      <w:marBottom w:val="0"/>
      <w:divBdr>
        <w:top w:val="none" w:sz="0" w:space="0" w:color="auto"/>
        <w:left w:val="none" w:sz="0" w:space="0" w:color="auto"/>
        <w:bottom w:val="none" w:sz="0" w:space="0" w:color="auto"/>
        <w:right w:val="none" w:sz="0" w:space="0" w:color="auto"/>
      </w:divBdr>
    </w:div>
    <w:div w:id="1046873823">
      <w:bodyDiv w:val="1"/>
      <w:marLeft w:val="0"/>
      <w:marRight w:val="0"/>
      <w:marTop w:val="0"/>
      <w:marBottom w:val="0"/>
      <w:divBdr>
        <w:top w:val="none" w:sz="0" w:space="0" w:color="auto"/>
        <w:left w:val="none" w:sz="0" w:space="0" w:color="auto"/>
        <w:bottom w:val="none" w:sz="0" w:space="0" w:color="auto"/>
        <w:right w:val="none" w:sz="0" w:space="0" w:color="auto"/>
      </w:divBdr>
    </w:div>
    <w:div w:id="1049577127">
      <w:bodyDiv w:val="1"/>
      <w:marLeft w:val="0"/>
      <w:marRight w:val="0"/>
      <w:marTop w:val="0"/>
      <w:marBottom w:val="0"/>
      <w:divBdr>
        <w:top w:val="none" w:sz="0" w:space="0" w:color="auto"/>
        <w:left w:val="none" w:sz="0" w:space="0" w:color="auto"/>
        <w:bottom w:val="none" w:sz="0" w:space="0" w:color="auto"/>
        <w:right w:val="none" w:sz="0" w:space="0" w:color="auto"/>
      </w:divBdr>
    </w:div>
    <w:div w:id="1057313277">
      <w:bodyDiv w:val="1"/>
      <w:marLeft w:val="0"/>
      <w:marRight w:val="0"/>
      <w:marTop w:val="0"/>
      <w:marBottom w:val="0"/>
      <w:divBdr>
        <w:top w:val="none" w:sz="0" w:space="0" w:color="auto"/>
        <w:left w:val="none" w:sz="0" w:space="0" w:color="auto"/>
        <w:bottom w:val="none" w:sz="0" w:space="0" w:color="auto"/>
        <w:right w:val="none" w:sz="0" w:space="0" w:color="auto"/>
      </w:divBdr>
    </w:div>
    <w:div w:id="1064526100">
      <w:bodyDiv w:val="1"/>
      <w:marLeft w:val="0"/>
      <w:marRight w:val="0"/>
      <w:marTop w:val="0"/>
      <w:marBottom w:val="0"/>
      <w:divBdr>
        <w:top w:val="none" w:sz="0" w:space="0" w:color="auto"/>
        <w:left w:val="none" w:sz="0" w:space="0" w:color="auto"/>
        <w:bottom w:val="none" w:sz="0" w:space="0" w:color="auto"/>
        <w:right w:val="none" w:sz="0" w:space="0" w:color="auto"/>
      </w:divBdr>
    </w:div>
    <w:div w:id="1070691737">
      <w:bodyDiv w:val="1"/>
      <w:marLeft w:val="0"/>
      <w:marRight w:val="0"/>
      <w:marTop w:val="0"/>
      <w:marBottom w:val="0"/>
      <w:divBdr>
        <w:top w:val="none" w:sz="0" w:space="0" w:color="auto"/>
        <w:left w:val="none" w:sz="0" w:space="0" w:color="auto"/>
        <w:bottom w:val="none" w:sz="0" w:space="0" w:color="auto"/>
        <w:right w:val="none" w:sz="0" w:space="0" w:color="auto"/>
      </w:divBdr>
    </w:div>
    <w:div w:id="1074626339">
      <w:bodyDiv w:val="1"/>
      <w:marLeft w:val="0"/>
      <w:marRight w:val="0"/>
      <w:marTop w:val="0"/>
      <w:marBottom w:val="0"/>
      <w:divBdr>
        <w:top w:val="none" w:sz="0" w:space="0" w:color="auto"/>
        <w:left w:val="none" w:sz="0" w:space="0" w:color="auto"/>
        <w:bottom w:val="none" w:sz="0" w:space="0" w:color="auto"/>
        <w:right w:val="none" w:sz="0" w:space="0" w:color="auto"/>
      </w:divBdr>
    </w:div>
    <w:div w:id="1082724330">
      <w:bodyDiv w:val="1"/>
      <w:marLeft w:val="0"/>
      <w:marRight w:val="0"/>
      <w:marTop w:val="0"/>
      <w:marBottom w:val="0"/>
      <w:divBdr>
        <w:top w:val="none" w:sz="0" w:space="0" w:color="auto"/>
        <w:left w:val="none" w:sz="0" w:space="0" w:color="auto"/>
        <w:bottom w:val="none" w:sz="0" w:space="0" w:color="auto"/>
        <w:right w:val="none" w:sz="0" w:space="0" w:color="auto"/>
      </w:divBdr>
    </w:div>
    <w:div w:id="1085539208">
      <w:bodyDiv w:val="1"/>
      <w:marLeft w:val="0"/>
      <w:marRight w:val="0"/>
      <w:marTop w:val="0"/>
      <w:marBottom w:val="0"/>
      <w:divBdr>
        <w:top w:val="none" w:sz="0" w:space="0" w:color="auto"/>
        <w:left w:val="none" w:sz="0" w:space="0" w:color="auto"/>
        <w:bottom w:val="none" w:sz="0" w:space="0" w:color="auto"/>
        <w:right w:val="none" w:sz="0" w:space="0" w:color="auto"/>
      </w:divBdr>
    </w:div>
    <w:div w:id="1092892588">
      <w:bodyDiv w:val="1"/>
      <w:marLeft w:val="0"/>
      <w:marRight w:val="0"/>
      <w:marTop w:val="0"/>
      <w:marBottom w:val="0"/>
      <w:divBdr>
        <w:top w:val="none" w:sz="0" w:space="0" w:color="auto"/>
        <w:left w:val="none" w:sz="0" w:space="0" w:color="auto"/>
        <w:bottom w:val="none" w:sz="0" w:space="0" w:color="auto"/>
        <w:right w:val="none" w:sz="0" w:space="0" w:color="auto"/>
      </w:divBdr>
    </w:div>
    <w:div w:id="1094977588">
      <w:bodyDiv w:val="1"/>
      <w:marLeft w:val="0"/>
      <w:marRight w:val="0"/>
      <w:marTop w:val="0"/>
      <w:marBottom w:val="0"/>
      <w:divBdr>
        <w:top w:val="none" w:sz="0" w:space="0" w:color="auto"/>
        <w:left w:val="none" w:sz="0" w:space="0" w:color="auto"/>
        <w:bottom w:val="none" w:sz="0" w:space="0" w:color="auto"/>
        <w:right w:val="none" w:sz="0" w:space="0" w:color="auto"/>
      </w:divBdr>
    </w:div>
    <w:div w:id="1096629976">
      <w:bodyDiv w:val="1"/>
      <w:marLeft w:val="0"/>
      <w:marRight w:val="0"/>
      <w:marTop w:val="0"/>
      <w:marBottom w:val="0"/>
      <w:divBdr>
        <w:top w:val="none" w:sz="0" w:space="0" w:color="auto"/>
        <w:left w:val="none" w:sz="0" w:space="0" w:color="auto"/>
        <w:bottom w:val="none" w:sz="0" w:space="0" w:color="auto"/>
        <w:right w:val="none" w:sz="0" w:space="0" w:color="auto"/>
      </w:divBdr>
    </w:div>
    <w:div w:id="1107389194">
      <w:bodyDiv w:val="1"/>
      <w:marLeft w:val="0"/>
      <w:marRight w:val="0"/>
      <w:marTop w:val="0"/>
      <w:marBottom w:val="0"/>
      <w:divBdr>
        <w:top w:val="none" w:sz="0" w:space="0" w:color="auto"/>
        <w:left w:val="none" w:sz="0" w:space="0" w:color="auto"/>
        <w:bottom w:val="none" w:sz="0" w:space="0" w:color="auto"/>
        <w:right w:val="none" w:sz="0" w:space="0" w:color="auto"/>
      </w:divBdr>
    </w:div>
    <w:div w:id="1109735369">
      <w:bodyDiv w:val="1"/>
      <w:marLeft w:val="0"/>
      <w:marRight w:val="0"/>
      <w:marTop w:val="0"/>
      <w:marBottom w:val="0"/>
      <w:divBdr>
        <w:top w:val="none" w:sz="0" w:space="0" w:color="auto"/>
        <w:left w:val="none" w:sz="0" w:space="0" w:color="auto"/>
        <w:bottom w:val="none" w:sz="0" w:space="0" w:color="auto"/>
        <w:right w:val="none" w:sz="0" w:space="0" w:color="auto"/>
      </w:divBdr>
    </w:div>
    <w:div w:id="1114397079">
      <w:bodyDiv w:val="1"/>
      <w:marLeft w:val="0"/>
      <w:marRight w:val="0"/>
      <w:marTop w:val="0"/>
      <w:marBottom w:val="0"/>
      <w:divBdr>
        <w:top w:val="none" w:sz="0" w:space="0" w:color="auto"/>
        <w:left w:val="none" w:sz="0" w:space="0" w:color="auto"/>
        <w:bottom w:val="none" w:sz="0" w:space="0" w:color="auto"/>
        <w:right w:val="none" w:sz="0" w:space="0" w:color="auto"/>
      </w:divBdr>
    </w:div>
    <w:div w:id="1127547239">
      <w:bodyDiv w:val="1"/>
      <w:marLeft w:val="0"/>
      <w:marRight w:val="0"/>
      <w:marTop w:val="0"/>
      <w:marBottom w:val="0"/>
      <w:divBdr>
        <w:top w:val="none" w:sz="0" w:space="0" w:color="auto"/>
        <w:left w:val="none" w:sz="0" w:space="0" w:color="auto"/>
        <w:bottom w:val="none" w:sz="0" w:space="0" w:color="auto"/>
        <w:right w:val="none" w:sz="0" w:space="0" w:color="auto"/>
      </w:divBdr>
    </w:div>
    <w:div w:id="1173758596">
      <w:bodyDiv w:val="1"/>
      <w:marLeft w:val="0"/>
      <w:marRight w:val="0"/>
      <w:marTop w:val="0"/>
      <w:marBottom w:val="0"/>
      <w:divBdr>
        <w:top w:val="none" w:sz="0" w:space="0" w:color="auto"/>
        <w:left w:val="none" w:sz="0" w:space="0" w:color="auto"/>
        <w:bottom w:val="none" w:sz="0" w:space="0" w:color="auto"/>
        <w:right w:val="none" w:sz="0" w:space="0" w:color="auto"/>
      </w:divBdr>
    </w:div>
    <w:div w:id="1181625277">
      <w:bodyDiv w:val="1"/>
      <w:marLeft w:val="0"/>
      <w:marRight w:val="0"/>
      <w:marTop w:val="0"/>
      <w:marBottom w:val="0"/>
      <w:divBdr>
        <w:top w:val="none" w:sz="0" w:space="0" w:color="auto"/>
        <w:left w:val="none" w:sz="0" w:space="0" w:color="auto"/>
        <w:bottom w:val="none" w:sz="0" w:space="0" w:color="auto"/>
        <w:right w:val="none" w:sz="0" w:space="0" w:color="auto"/>
      </w:divBdr>
    </w:div>
    <w:div w:id="1185941398">
      <w:bodyDiv w:val="1"/>
      <w:marLeft w:val="0"/>
      <w:marRight w:val="0"/>
      <w:marTop w:val="0"/>
      <w:marBottom w:val="0"/>
      <w:divBdr>
        <w:top w:val="none" w:sz="0" w:space="0" w:color="auto"/>
        <w:left w:val="none" w:sz="0" w:space="0" w:color="auto"/>
        <w:bottom w:val="none" w:sz="0" w:space="0" w:color="auto"/>
        <w:right w:val="none" w:sz="0" w:space="0" w:color="auto"/>
      </w:divBdr>
    </w:div>
    <w:div w:id="1188636640">
      <w:bodyDiv w:val="1"/>
      <w:marLeft w:val="0"/>
      <w:marRight w:val="0"/>
      <w:marTop w:val="0"/>
      <w:marBottom w:val="0"/>
      <w:divBdr>
        <w:top w:val="none" w:sz="0" w:space="0" w:color="auto"/>
        <w:left w:val="none" w:sz="0" w:space="0" w:color="auto"/>
        <w:bottom w:val="none" w:sz="0" w:space="0" w:color="auto"/>
        <w:right w:val="none" w:sz="0" w:space="0" w:color="auto"/>
      </w:divBdr>
    </w:div>
    <w:div w:id="1188912195">
      <w:bodyDiv w:val="1"/>
      <w:marLeft w:val="0"/>
      <w:marRight w:val="0"/>
      <w:marTop w:val="0"/>
      <w:marBottom w:val="0"/>
      <w:divBdr>
        <w:top w:val="none" w:sz="0" w:space="0" w:color="auto"/>
        <w:left w:val="none" w:sz="0" w:space="0" w:color="auto"/>
        <w:bottom w:val="none" w:sz="0" w:space="0" w:color="auto"/>
        <w:right w:val="none" w:sz="0" w:space="0" w:color="auto"/>
      </w:divBdr>
    </w:div>
    <w:div w:id="1189759672">
      <w:bodyDiv w:val="1"/>
      <w:marLeft w:val="0"/>
      <w:marRight w:val="0"/>
      <w:marTop w:val="0"/>
      <w:marBottom w:val="0"/>
      <w:divBdr>
        <w:top w:val="none" w:sz="0" w:space="0" w:color="auto"/>
        <w:left w:val="none" w:sz="0" w:space="0" w:color="auto"/>
        <w:bottom w:val="none" w:sz="0" w:space="0" w:color="auto"/>
        <w:right w:val="none" w:sz="0" w:space="0" w:color="auto"/>
      </w:divBdr>
    </w:div>
    <w:div w:id="1189761254">
      <w:bodyDiv w:val="1"/>
      <w:marLeft w:val="0"/>
      <w:marRight w:val="0"/>
      <w:marTop w:val="0"/>
      <w:marBottom w:val="0"/>
      <w:divBdr>
        <w:top w:val="none" w:sz="0" w:space="0" w:color="auto"/>
        <w:left w:val="none" w:sz="0" w:space="0" w:color="auto"/>
        <w:bottom w:val="none" w:sz="0" w:space="0" w:color="auto"/>
        <w:right w:val="none" w:sz="0" w:space="0" w:color="auto"/>
      </w:divBdr>
    </w:div>
    <w:div w:id="1194267299">
      <w:bodyDiv w:val="1"/>
      <w:marLeft w:val="0"/>
      <w:marRight w:val="0"/>
      <w:marTop w:val="0"/>
      <w:marBottom w:val="0"/>
      <w:divBdr>
        <w:top w:val="none" w:sz="0" w:space="0" w:color="auto"/>
        <w:left w:val="none" w:sz="0" w:space="0" w:color="auto"/>
        <w:bottom w:val="none" w:sz="0" w:space="0" w:color="auto"/>
        <w:right w:val="none" w:sz="0" w:space="0" w:color="auto"/>
      </w:divBdr>
    </w:div>
    <w:div w:id="1196388801">
      <w:bodyDiv w:val="1"/>
      <w:marLeft w:val="0"/>
      <w:marRight w:val="0"/>
      <w:marTop w:val="0"/>
      <w:marBottom w:val="0"/>
      <w:divBdr>
        <w:top w:val="none" w:sz="0" w:space="0" w:color="auto"/>
        <w:left w:val="none" w:sz="0" w:space="0" w:color="auto"/>
        <w:bottom w:val="none" w:sz="0" w:space="0" w:color="auto"/>
        <w:right w:val="none" w:sz="0" w:space="0" w:color="auto"/>
      </w:divBdr>
    </w:div>
    <w:div w:id="1208953176">
      <w:bodyDiv w:val="1"/>
      <w:marLeft w:val="0"/>
      <w:marRight w:val="0"/>
      <w:marTop w:val="0"/>
      <w:marBottom w:val="0"/>
      <w:divBdr>
        <w:top w:val="none" w:sz="0" w:space="0" w:color="auto"/>
        <w:left w:val="none" w:sz="0" w:space="0" w:color="auto"/>
        <w:bottom w:val="none" w:sz="0" w:space="0" w:color="auto"/>
        <w:right w:val="none" w:sz="0" w:space="0" w:color="auto"/>
      </w:divBdr>
    </w:div>
    <w:div w:id="1210873622">
      <w:bodyDiv w:val="1"/>
      <w:marLeft w:val="0"/>
      <w:marRight w:val="0"/>
      <w:marTop w:val="0"/>
      <w:marBottom w:val="0"/>
      <w:divBdr>
        <w:top w:val="none" w:sz="0" w:space="0" w:color="auto"/>
        <w:left w:val="none" w:sz="0" w:space="0" w:color="auto"/>
        <w:bottom w:val="none" w:sz="0" w:space="0" w:color="auto"/>
        <w:right w:val="none" w:sz="0" w:space="0" w:color="auto"/>
      </w:divBdr>
    </w:div>
    <w:div w:id="1213228148">
      <w:bodyDiv w:val="1"/>
      <w:marLeft w:val="0"/>
      <w:marRight w:val="0"/>
      <w:marTop w:val="0"/>
      <w:marBottom w:val="0"/>
      <w:divBdr>
        <w:top w:val="none" w:sz="0" w:space="0" w:color="auto"/>
        <w:left w:val="none" w:sz="0" w:space="0" w:color="auto"/>
        <w:bottom w:val="none" w:sz="0" w:space="0" w:color="auto"/>
        <w:right w:val="none" w:sz="0" w:space="0" w:color="auto"/>
      </w:divBdr>
    </w:div>
    <w:div w:id="1218319768">
      <w:bodyDiv w:val="1"/>
      <w:marLeft w:val="0"/>
      <w:marRight w:val="0"/>
      <w:marTop w:val="0"/>
      <w:marBottom w:val="0"/>
      <w:divBdr>
        <w:top w:val="none" w:sz="0" w:space="0" w:color="auto"/>
        <w:left w:val="none" w:sz="0" w:space="0" w:color="auto"/>
        <w:bottom w:val="none" w:sz="0" w:space="0" w:color="auto"/>
        <w:right w:val="none" w:sz="0" w:space="0" w:color="auto"/>
      </w:divBdr>
    </w:div>
    <w:div w:id="1223905093">
      <w:bodyDiv w:val="1"/>
      <w:marLeft w:val="0"/>
      <w:marRight w:val="0"/>
      <w:marTop w:val="0"/>
      <w:marBottom w:val="0"/>
      <w:divBdr>
        <w:top w:val="none" w:sz="0" w:space="0" w:color="auto"/>
        <w:left w:val="none" w:sz="0" w:space="0" w:color="auto"/>
        <w:bottom w:val="none" w:sz="0" w:space="0" w:color="auto"/>
        <w:right w:val="none" w:sz="0" w:space="0" w:color="auto"/>
      </w:divBdr>
    </w:div>
    <w:div w:id="1224802508">
      <w:bodyDiv w:val="1"/>
      <w:marLeft w:val="0"/>
      <w:marRight w:val="0"/>
      <w:marTop w:val="0"/>
      <w:marBottom w:val="0"/>
      <w:divBdr>
        <w:top w:val="none" w:sz="0" w:space="0" w:color="auto"/>
        <w:left w:val="none" w:sz="0" w:space="0" w:color="auto"/>
        <w:bottom w:val="none" w:sz="0" w:space="0" w:color="auto"/>
        <w:right w:val="none" w:sz="0" w:space="0" w:color="auto"/>
      </w:divBdr>
    </w:div>
    <w:div w:id="1226527901">
      <w:bodyDiv w:val="1"/>
      <w:marLeft w:val="0"/>
      <w:marRight w:val="0"/>
      <w:marTop w:val="0"/>
      <w:marBottom w:val="0"/>
      <w:divBdr>
        <w:top w:val="none" w:sz="0" w:space="0" w:color="auto"/>
        <w:left w:val="none" w:sz="0" w:space="0" w:color="auto"/>
        <w:bottom w:val="none" w:sz="0" w:space="0" w:color="auto"/>
        <w:right w:val="none" w:sz="0" w:space="0" w:color="auto"/>
      </w:divBdr>
    </w:div>
    <w:div w:id="1236892306">
      <w:bodyDiv w:val="1"/>
      <w:marLeft w:val="0"/>
      <w:marRight w:val="0"/>
      <w:marTop w:val="0"/>
      <w:marBottom w:val="0"/>
      <w:divBdr>
        <w:top w:val="none" w:sz="0" w:space="0" w:color="auto"/>
        <w:left w:val="none" w:sz="0" w:space="0" w:color="auto"/>
        <w:bottom w:val="none" w:sz="0" w:space="0" w:color="auto"/>
        <w:right w:val="none" w:sz="0" w:space="0" w:color="auto"/>
      </w:divBdr>
    </w:div>
    <w:div w:id="1241064202">
      <w:bodyDiv w:val="1"/>
      <w:marLeft w:val="0"/>
      <w:marRight w:val="0"/>
      <w:marTop w:val="0"/>
      <w:marBottom w:val="0"/>
      <w:divBdr>
        <w:top w:val="none" w:sz="0" w:space="0" w:color="auto"/>
        <w:left w:val="none" w:sz="0" w:space="0" w:color="auto"/>
        <w:bottom w:val="none" w:sz="0" w:space="0" w:color="auto"/>
        <w:right w:val="none" w:sz="0" w:space="0" w:color="auto"/>
      </w:divBdr>
    </w:div>
    <w:div w:id="1242182408">
      <w:bodyDiv w:val="1"/>
      <w:marLeft w:val="0"/>
      <w:marRight w:val="0"/>
      <w:marTop w:val="0"/>
      <w:marBottom w:val="0"/>
      <w:divBdr>
        <w:top w:val="none" w:sz="0" w:space="0" w:color="auto"/>
        <w:left w:val="none" w:sz="0" w:space="0" w:color="auto"/>
        <w:bottom w:val="none" w:sz="0" w:space="0" w:color="auto"/>
        <w:right w:val="none" w:sz="0" w:space="0" w:color="auto"/>
      </w:divBdr>
    </w:div>
    <w:div w:id="1244147894">
      <w:bodyDiv w:val="1"/>
      <w:marLeft w:val="0"/>
      <w:marRight w:val="0"/>
      <w:marTop w:val="0"/>
      <w:marBottom w:val="0"/>
      <w:divBdr>
        <w:top w:val="none" w:sz="0" w:space="0" w:color="auto"/>
        <w:left w:val="none" w:sz="0" w:space="0" w:color="auto"/>
        <w:bottom w:val="none" w:sz="0" w:space="0" w:color="auto"/>
        <w:right w:val="none" w:sz="0" w:space="0" w:color="auto"/>
      </w:divBdr>
    </w:div>
    <w:div w:id="1245915322">
      <w:bodyDiv w:val="1"/>
      <w:marLeft w:val="0"/>
      <w:marRight w:val="0"/>
      <w:marTop w:val="0"/>
      <w:marBottom w:val="0"/>
      <w:divBdr>
        <w:top w:val="none" w:sz="0" w:space="0" w:color="auto"/>
        <w:left w:val="none" w:sz="0" w:space="0" w:color="auto"/>
        <w:bottom w:val="none" w:sz="0" w:space="0" w:color="auto"/>
        <w:right w:val="none" w:sz="0" w:space="0" w:color="auto"/>
      </w:divBdr>
    </w:div>
    <w:div w:id="1248421517">
      <w:bodyDiv w:val="1"/>
      <w:marLeft w:val="0"/>
      <w:marRight w:val="0"/>
      <w:marTop w:val="0"/>
      <w:marBottom w:val="0"/>
      <w:divBdr>
        <w:top w:val="none" w:sz="0" w:space="0" w:color="auto"/>
        <w:left w:val="none" w:sz="0" w:space="0" w:color="auto"/>
        <w:bottom w:val="none" w:sz="0" w:space="0" w:color="auto"/>
        <w:right w:val="none" w:sz="0" w:space="0" w:color="auto"/>
      </w:divBdr>
    </w:div>
    <w:div w:id="1255283023">
      <w:bodyDiv w:val="1"/>
      <w:marLeft w:val="0"/>
      <w:marRight w:val="0"/>
      <w:marTop w:val="0"/>
      <w:marBottom w:val="0"/>
      <w:divBdr>
        <w:top w:val="none" w:sz="0" w:space="0" w:color="auto"/>
        <w:left w:val="none" w:sz="0" w:space="0" w:color="auto"/>
        <w:bottom w:val="none" w:sz="0" w:space="0" w:color="auto"/>
        <w:right w:val="none" w:sz="0" w:space="0" w:color="auto"/>
      </w:divBdr>
    </w:div>
    <w:div w:id="1260212250">
      <w:bodyDiv w:val="1"/>
      <w:marLeft w:val="0"/>
      <w:marRight w:val="0"/>
      <w:marTop w:val="0"/>
      <w:marBottom w:val="0"/>
      <w:divBdr>
        <w:top w:val="none" w:sz="0" w:space="0" w:color="auto"/>
        <w:left w:val="none" w:sz="0" w:space="0" w:color="auto"/>
        <w:bottom w:val="none" w:sz="0" w:space="0" w:color="auto"/>
        <w:right w:val="none" w:sz="0" w:space="0" w:color="auto"/>
      </w:divBdr>
    </w:div>
    <w:div w:id="1273512174">
      <w:bodyDiv w:val="1"/>
      <w:marLeft w:val="0"/>
      <w:marRight w:val="0"/>
      <w:marTop w:val="0"/>
      <w:marBottom w:val="0"/>
      <w:divBdr>
        <w:top w:val="none" w:sz="0" w:space="0" w:color="auto"/>
        <w:left w:val="none" w:sz="0" w:space="0" w:color="auto"/>
        <w:bottom w:val="none" w:sz="0" w:space="0" w:color="auto"/>
        <w:right w:val="none" w:sz="0" w:space="0" w:color="auto"/>
      </w:divBdr>
    </w:div>
    <w:div w:id="1277367840">
      <w:bodyDiv w:val="1"/>
      <w:marLeft w:val="0"/>
      <w:marRight w:val="0"/>
      <w:marTop w:val="0"/>
      <w:marBottom w:val="0"/>
      <w:divBdr>
        <w:top w:val="none" w:sz="0" w:space="0" w:color="auto"/>
        <w:left w:val="none" w:sz="0" w:space="0" w:color="auto"/>
        <w:bottom w:val="none" w:sz="0" w:space="0" w:color="auto"/>
        <w:right w:val="none" w:sz="0" w:space="0" w:color="auto"/>
      </w:divBdr>
    </w:div>
    <w:div w:id="1281572645">
      <w:bodyDiv w:val="1"/>
      <w:marLeft w:val="0"/>
      <w:marRight w:val="0"/>
      <w:marTop w:val="0"/>
      <w:marBottom w:val="0"/>
      <w:divBdr>
        <w:top w:val="none" w:sz="0" w:space="0" w:color="auto"/>
        <w:left w:val="none" w:sz="0" w:space="0" w:color="auto"/>
        <w:bottom w:val="none" w:sz="0" w:space="0" w:color="auto"/>
        <w:right w:val="none" w:sz="0" w:space="0" w:color="auto"/>
      </w:divBdr>
    </w:div>
    <w:div w:id="1281914126">
      <w:bodyDiv w:val="1"/>
      <w:marLeft w:val="0"/>
      <w:marRight w:val="0"/>
      <w:marTop w:val="0"/>
      <w:marBottom w:val="0"/>
      <w:divBdr>
        <w:top w:val="none" w:sz="0" w:space="0" w:color="auto"/>
        <w:left w:val="none" w:sz="0" w:space="0" w:color="auto"/>
        <w:bottom w:val="none" w:sz="0" w:space="0" w:color="auto"/>
        <w:right w:val="none" w:sz="0" w:space="0" w:color="auto"/>
      </w:divBdr>
    </w:div>
    <w:div w:id="1300378088">
      <w:bodyDiv w:val="1"/>
      <w:marLeft w:val="0"/>
      <w:marRight w:val="0"/>
      <w:marTop w:val="0"/>
      <w:marBottom w:val="0"/>
      <w:divBdr>
        <w:top w:val="none" w:sz="0" w:space="0" w:color="auto"/>
        <w:left w:val="none" w:sz="0" w:space="0" w:color="auto"/>
        <w:bottom w:val="none" w:sz="0" w:space="0" w:color="auto"/>
        <w:right w:val="none" w:sz="0" w:space="0" w:color="auto"/>
      </w:divBdr>
    </w:div>
    <w:div w:id="1305693428">
      <w:bodyDiv w:val="1"/>
      <w:marLeft w:val="0"/>
      <w:marRight w:val="0"/>
      <w:marTop w:val="0"/>
      <w:marBottom w:val="0"/>
      <w:divBdr>
        <w:top w:val="none" w:sz="0" w:space="0" w:color="auto"/>
        <w:left w:val="none" w:sz="0" w:space="0" w:color="auto"/>
        <w:bottom w:val="none" w:sz="0" w:space="0" w:color="auto"/>
        <w:right w:val="none" w:sz="0" w:space="0" w:color="auto"/>
      </w:divBdr>
    </w:div>
    <w:div w:id="1314526439">
      <w:bodyDiv w:val="1"/>
      <w:marLeft w:val="0"/>
      <w:marRight w:val="0"/>
      <w:marTop w:val="0"/>
      <w:marBottom w:val="0"/>
      <w:divBdr>
        <w:top w:val="none" w:sz="0" w:space="0" w:color="auto"/>
        <w:left w:val="none" w:sz="0" w:space="0" w:color="auto"/>
        <w:bottom w:val="none" w:sz="0" w:space="0" w:color="auto"/>
        <w:right w:val="none" w:sz="0" w:space="0" w:color="auto"/>
      </w:divBdr>
    </w:div>
    <w:div w:id="1315723081">
      <w:bodyDiv w:val="1"/>
      <w:marLeft w:val="0"/>
      <w:marRight w:val="0"/>
      <w:marTop w:val="0"/>
      <w:marBottom w:val="0"/>
      <w:divBdr>
        <w:top w:val="none" w:sz="0" w:space="0" w:color="auto"/>
        <w:left w:val="none" w:sz="0" w:space="0" w:color="auto"/>
        <w:bottom w:val="none" w:sz="0" w:space="0" w:color="auto"/>
        <w:right w:val="none" w:sz="0" w:space="0" w:color="auto"/>
      </w:divBdr>
    </w:div>
    <w:div w:id="1319186117">
      <w:bodyDiv w:val="1"/>
      <w:marLeft w:val="0"/>
      <w:marRight w:val="0"/>
      <w:marTop w:val="0"/>
      <w:marBottom w:val="0"/>
      <w:divBdr>
        <w:top w:val="none" w:sz="0" w:space="0" w:color="auto"/>
        <w:left w:val="none" w:sz="0" w:space="0" w:color="auto"/>
        <w:bottom w:val="none" w:sz="0" w:space="0" w:color="auto"/>
        <w:right w:val="none" w:sz="0" w:space="0" w:color="auto"/>
      </w:divBdr>
    </w:div>
    <w:div w:id="1328824553">
      <w:bodyDiv w:val="1"/>
      <w:marLeft w:val="0"/>
      <w:marRight w:val="0"/>
      <w:marTop w:val="0"/>
      <w:marBottom w:val="0"/>
      <w:divBdr>
        <w:top w:val="none" w:sz="0" w:space="0" w:color="auto"/>
        <w:left w:val="none" w:sz="0" w:space="0" w:color="auto"/>
        <w:bottom w:val="none" w:sz="0" w:space="0" w:color="auto"/>
        <w:right w:val="none" w:sz="0" w:space="0" w:color="auto"/>
      </w:divBdr>
    </w:div>
    <w:div w:id="1331524814">
      <w:bodyDiv w:val="1"/>
      <w:marLeft w:val="0"/>
      <w:marRight w:val="0"/>
      <w:marTop w:val="0"/>
      <w:marBottom w:val="0"/>
      <w:divBdr>
        <w:top w:val="none" w:sz="0" w:space="0" w:color="auto"/>
        <w:left w:val="none" w:sz="0" w:space="0" w:color="auto"/>
        <w:bottom w:val="none" w:sz="0" w:space="0" w:color="auto"/>
        <w:right w:val="none" w:sz="0" w:space="0" w:color="auto"/>
      </w:divBdr>
    </w:div>
    <w:div w:id="1336152789">
      <w:bodyDiv w:val="1"/>
      <w:marLeft w:val="0"/>
      <w:marRight w:val="0"/>
      <w:marTop w:val="0"/>
      <w:marBottom w:val="0"/>
      <w:divBdr>
        <w:top w:val="none" w:sz="0" w:space="0" w:color="auto"/>
        <w:left w:val="none" w:sz="0" w:space="0" w:color="auto"/>
        <w:bottom w:val="none" w:sz="0" w:space="0" w:color="auto"/>
        <w:right w:val="none" w:sz="0" w:space="0" w:color="auto"/>
      </w:divBdr>
    </w:div>
    <w:div w:id="1339385997">
      <w:bodyDiv w:val="1"/>
      <w:marLeft w:val="0"/>
      <w:marRight w:val="0"/>
      <w:marTop w:val="0"/>
      <w:marBottom w:val="0"/>
      <w:divBdr>
        <w:top w:val="none" w:sz="0" w:space="0" w:color="auto"/>
        <w:left w:val="none" w:sz="0" w:space="0" w:color="auto"/>
        <w:bottom w:val="none" w:sz="0" w:space="0" w:color="auto"/>
        <w:right w:val="none" w:sz="0" w:space="0" w:color="auto"/>
      </w:divBdr>
    </w:div>
    <w:div w:id="1343121770">
      <w:bodyDiv w:val="1"/>
      <w:marLeft w:val="0"/>
      <w:marRight w:val="0"/>
      <w:marTop w:val="0"/>
      <w:marBottom w:val="0"/>
      <w:divBdr>
        <w:top w:val="none" w:sz="0" w:space="0" w:color="auto"/>
        <w:left w:val="none" w:sz="0" w:space="0" w:color="auto"/>
        <w:bottom w:val="none" w:sz="0" w:space="0" w:color="auto"/>
        <w:right w:val="none" w:sz="0" w:space="0" w:color="auto"/>
      </w:divBdr>
    </w:div>
    <w:div w:id="1346979589">
      <w:bodyDiv w:val="1"/>
      <w:marLeft w:val="0"/>
      <w:marRight w:val="0"/>
      <w:marTop w:val="0"/>
      <w:marBottom w:val="0"/>
      <w:divBdr>
        <w:top w:val="none" w:sz="0" w:space="0" w:color="auto"/>
        <w:left w:val="none" w:sz="0" w:space="0" w:color="auto"/>
        <w:bottom w:val="none" w:sz="0" w:space="0" w:color="auto"/>
        <w:right w:val="none" w:sz="0" w:space="0" w:color="auto"/>
      </w:divBdr>
    </w:div>
    <w:div w:id="1353796506">
      <w:bodyDiv w:val="1"/>
      <w:marLeft w:val="0"/>
      <w:marRight w:val="0"/>
      <w:marTop w:val="0"/>
      <w:marBottom w:val="0"/>
      <w:divBdr>
        <w:top w:val="none" w:sz="0" w:space="0" w:color="auto"/>
        <w:left w:val="none" w:sz="0" w:space="0" w:color="auto"/>
        <w:bottom w:val="none" w:sz="0" w:space="0" w:color="auto"/>
        <w:right w:val="none" w:sz="0" w:space="0" w:color="auto"/>
      </w:divBdr>
    </w:div>
    <w:div w:id="1354380234">
      <w:bodyDiv w:val="1"/>
      <w:marLeft w:val="0"/>
      <w:marRight w:val="0"/>
      <w:marTop w:val="0"/>
      <w:marBottom w:val="0"/>
      <w:divBdr>
        <w:top w:val="none" w:sz="0" w:space="0" w:color="auto"/>
        <w:left w:val="none" w:sz="0" w:space="0" w:color="auto"/>
        <w:bottom w:val="none" w:sz="0" w:space="0" w:color="auto"/>
        <w:right w:val="none" w:sz="0" w:space="0" w:color="auto"/>
      </w:divBdr>
    </w:div>
    <w:div w:id="1354696941">
      <w:bodyDiv w:val="1"/>
      <w:marLeft w:val="0"/>
      <w:marRight w:val="0"/>
      <w:marTop w:val="0"/>
      <w:marBottom w:val="0"/>
      <w:divBdr>
        <w:top w:val="none" w:sz="0" w:space="0" w:color="auto"/>
        <w:left w:val="none" w:sz="0" w:space="0" w:color="auto"/>
        <w:bottom w:val="none" w:sz="0" w:space="0" w:color="auto"/>
        <w:right w:val="none" w:sz="0" w:space="0" w:color="auto"/>
      </w:divBdr>
    </w:div>
    <w:div w:id="1364792822">
      <w:bodyDiv w:val="1"/>
      <w:marLeft w:val="0"/>
      <w:marRight w:val="0"/>
      <w:marTop w:val="0"/>
      <w:marBottom w:val="0"/>
      <w:divBdr>
        <w:top w:val="none" w:sz="0" w:space="0" w:color="auto"/>
        <w:left w:val="none" w:sz="0" w:space="0" w:color="auto"/>
        <w:bottom w:val="none" w:sz="0" w:space="0" w:color="auto"/>
        <w:right w:val="none" w:sz="0" w:space="0" w:color="auto"/>
      </w:divBdr>
    </w:div>
    <w:div w:id="1369451910">
      <w:bodyDiv w:val="1"/>
      <w:marLeft w:val="0"/>
      <w:marRight w:val="0"/>
      <w:marTop w:val="0"/>
      <w:marBottom w:val="0"/>
      <w:divBdr>
        <w:top w:val="none" w:sz="0" w:space="0" w:color="auto"/>
        <w:left w:val="none" w:sz="0" w:space="0" w:color="auto"/>
        <w:bottom w:val="none" w:sz="0" w:space="0" w:color="auto"/>
        <w:right w:val="none" w:sz="0" w:space="0" w:color="auto"/>
      </w:divBdr>
    </w:div>
    <w:div w:id="1374883156">
      <w:bodyDiv w:val="1"/>
      <w:marLeft w:val="0"/>
      <w:marRight w:val="0"/>
      <w:marTop w:val="0"/>
      <w:marBottom w:val="0"/>
      <w:divBdr>
        <w:top w:val="none" w:sz="0" w:space="0" w:color="auto"/>
        <w:left w:val="none" w:sz="0" w:space="0" w:color="auto"/>
        <w:bottom w:val="none" w:sz="0" w:space="0" w:color="auto"/>
        <w:right w:val="none" w:sz="0" w:space="0" w:color="auto"/>
      </w:divBdr>
    </w:div>
    <w:div w:id="1378357857">
      <w:bodyDiv w:val="1"/>
      <w:marLeft w:val="0"/>
      <w:marRight w:val="0"/>
      <w:marTop w:val="0"/>
      <w:marBottom w:val="0"/>
      <w:divBdr>
        <w:top w:val="none" w:sz="0" w:space="0" w:color="auto"/>
        <w:left w:val="none" w:sz="0" w:space="0" w:color="auto"/>
        <w:bottom w:val="none" w:sz="0" w:space="0" w:color="auto"/>
        <w:right w:val="none" w:sz="0" w:space="0" w:color="auto"/>
      </w:divBdr>
    </w:div>
    <w:div w:id="1384602285">
      <w:bodyDiv w:val="1"/>
      <w:marLeft w:val="0"/>
      <w:marRight w:val="0"/>
      <w:marTop w:val="0"/>
      <w:marBottom w:val="0"/>
      <w:divBdr>
        <w:top w:val="none" w:sz="0" w:space="0" w:color="auto"/>
        <w:left w:val="none" w:sz="0" w:space="0" w:color="auto"/>
        <w:bottom w:val="none" w:sz="0" w:space="0" w:color="auto"/>
        <w:right w:val="none" w:sz="0" w:space="0" w:color="auto"/>
      </w:divBdr>
    </w:div>
    <w:div w:id="1387487550">
      <w:bodyDiv w:val="1"/>
      <w:marLeft w:val="0"/>
      <w:marRight w:val="0"/>
      <w:marTop w:val="0"/>
      <w:marBottom w:val="0"/>
      <w:divBdr>
        <w:top w:val="none" w:sz="0" w:space="0" w:color="auto"/>
        <w:left w:val="none" w:sz="0" w:space="0" w:color="auto"/>
        <w:bottom w:val="none" w:sz="0" w:space="0" w:color="auto"/>
        <w:right w:val="none" w:sz="0" w:space="0" w:color="auto"/>
      </w:divBdr>
    </w:div>
    <w:div w:id="1390692895">
      <w:bodyDiv w:val="1"/>
      <w:marLeft w:val="0"/>
      <w:marRight w:val="0"/>
      <w:marTop w:val="0"/>
      <w:marBottom w:val="0"/>
      <w:divBdr>
        <w:top w:val="none" w:sz="0" w:space="0" w:color="auto"/>
        <w:left w:val="none" w:sz="0" w:space="0" w:color="auto"/>
        <w:bottom w:val="none" w:sz="0" w:space="0" w:color="auto"/>
        <w:right w:val="none" w:sz="0" w:space="0" w:color="auto"/>
      </w:divBdr>
    </w:div>
    <w:div w:id="1395818351">
      <w:bodyDiv w:val="1"/>
      <w:marLeft w:val="0"/>
      <w:marRight w:val="0"/>
      <w:marTop w:val="0"/>
      <w:marBottom w:val="0"/>
      <w:divBdr>
        <w:top w:val="none" w:sz="0" w:space="0" w:color="auto"/>
        <w:left w:val="none" w:sz="0" w:space="0" w:color="auto"/>
        <w:bottom w:val="none" w:sz="0" w:space="0" w:color="auto"/>
        <w:right w:val="none" w:sz="0" w:space="0" w:color="auto"/>
      </w:divBdr>
    </w:div>
    <w:div w:id="1407991517">
      <w:bodyDiv w:val="1"/>
      <w:marLeft w:val="0"/>
      <w:marRight w:val="0"/>
      <w:marTop w:val="0"/>
      <w:marBottom w:val="0"/>
      <w:divBdr>
        <w:top w:val="none" w:sz="0" w:space="0" w:color="auto"/>
        <w:left w:val="none" w:sz="0" w:space="0" w:color="auto"/>
        <w:bottom w:val="none" w:sz="0" w:space="0" w:color="auto"/>
        <w:right w:val="none" w:sz="0" w:space="0" w:color="auto"/>
      </w:divBdr>
    </w:div>
    <w:div w:id="1413548859">
      <w:bodyDiv w:val="1"/>
      <w:marLeft w:val="0"/>
      <w:marRight w:val="0"/>
      <w:marTop w:val="0"/>
      <w:marBottom w:val="0"/>
      <w:divBdr>
        <w:top w:val="none" w:sz="0" w:space="0" w:color="auto"/>
        <w:left w:val="none" w:sz="0" w:space="0" w:color="auto"/>
        <w:bottom w:val="none" w:sz="0" w:space="0" w:color="auto"/>
        <w:right w:val="none" w:sz="0" w:space="0" w:color="auto"/>
      </w:divBdr>
    </w:div>
    <w:div w:id="1418163841">
      <w:bodyDiv w:val="1"/>
      <w:marLeft w:val="0"/>
      <w:marRight w:val="0"/>
      <w:marTop w:val="0"/>
      <w:marBottom w:val="0"/>
      <w:divBdr>
        <w:top w:val="none" w:sz="0" w:space="0" w:color="auto"/>
        <w:left w:val="none" w:sz="0" w:space="0" w:color="auto"/>
        <w:bottom w:val="none" w:sz="0" w:space="0" w:color="auto"/>
        <w:right w:val="none" w:sz="0" w:space="0" w:color="auto"/>
      </w:divBdr>
    </w:div>
    <w:div w:id="1419250024">
      <w:bodyDiv w:val="1"/>
      <w:marLeft w:val="0"/>
      <w:marRight w:val="0"/>
      <w:marTop w:val="0"/>
      <w:marBottom w:val="0"/>
      <w:divBdr>
        <w:top w:val="none" w:sz="0" w:space="0" w:color="auto"/>
        <w:left w:val="none" w:sz="0" w:space="0" w:color="auto"/>
        <w:bottom w:val="none" w:sz="0" w:space="0" w:color="auto"/>
        <w:right w:val="none" w:sz="0" w:space="0" w:color="auto"/>
      </w:divBdr>
    </w:div>
    <w:div w:id="1445078994">
      <w:bodyDiv w:val="1"/>
      <w:marLeft w:val="0"/>
      <w:marRight w:val="0"/>
      <w:marTop w:val="0"/>
      <w:marBottom w:val="0"/>
      <w:divBdr>
        <w:top w:val="none" w:sz="0" w:space="0" w:color="auto"/>
        <w:left w:val="none" w:sz="0" w:space="0" w:color="auto"/>
        <w:bottom w:val="none" w:sz="0" w:space="0" w:color="auto"/>
        <w:right w:val="none" w:sz="0" w:space="0" w:color="auto"/>
      </w:divBdr>
    </w:div>
    <w:div w:id="1448429235">
      <w:bodyDiv w:val="1"/>
      <w:marLeft w:val="0"/>
      <w:marRight w:val="0"/>
      <w:marTop w:val="0"/>
      <w:marBottom w:val="0"/>
      <w:divBdr>
        <w:top w:val="none" w:sz="0" w:space="0" w:color="auto"/>
        <w:left w:val="none" w:sz="0" w:space="0" w:color="auto"/>
        <w:bottom w:val="none" w:sz="0" w:space="0" w:color="auto"/>
        <w:right w:val="none" w:sz="0" w:space="0" w:color="auto"/>
      </w:divBdr>
    </w:div>
    <w:div w:id="1457480332">
      <w:bodyDiv w:val="1"/>
      <w:marLeft w:val="0"/>
      <w:marRight w:val="0"/>
      <w:marTop w:val="0"/>
      <w:marBottom w:val="0"/>
      <w:divBdr>
        <w:top w:val="none" w:sz="0" w:space="0" w:color="auto"/>
        <w:left w:val="none" w:sz="0" w:space="0" w:color="auto"/>
        <w:bottom w:val="none" w:sz="0" w:space="0" w:color="auto"/>
        <w:right w:val="none" w:sz="0" w:space="0" w:color="auto"/>
      </w:divBdr>
    </w:div>
    <w:div w:id="1458989132">
      <w:bodyDiv w:val="1"/>
      <w:marLeft w:val="0"/>
      <w:marRight w:val="0"/>
      <w:marTop w:val="0"/>
      <w:marBottom w:val="0"/>
      <w:divBdr>
        <w:top w:val="none" w:sz="0" w:space="0" w:color="auto"/>
        <w:left w:val="none" w:sz="0" w:space="0" w:color="auto"/>
        <w:bottom w:val="none" w:sz="0" w:space="0" w:color="auto"/>
        <w:right w:val="none" w:sz="0" w:space="0" w:color="auto"/>
      </w:divBdr>
    </w:div>
    <w:div w:id="1459107847">
      <w:bodyDiv w:val="1"/>
      <w:marLeft w:val="0"/>
      <w:marRight w:val="0"/>
      <w:marTop w:val="0"/>
      <w:marBottom w:val="0"/>
      <w:divBdr>
        <w:top w:val="none" w:sz="0" w:space="0" w:color="auto"/>
        <w:left w:val="none" w:sz="0" w:space="0" w:color="auto"/>
        <w:bottom w:val="none" w:sz="0" w:space="0" w:color="auto"/>
        <w:right w:val="none" w:sz="0" w:space="0" w:color="auto"/>
      </w:divBdr>
    </w:div>
    <w:div w:id="1460489387">
      <w:bodyDiv w:val="1"/>
      <w:marLeft w:val="0"/>
      <w:marRight w:val="0"/>
      <w:marTop w:val="0"/>
      <w:marBottom w:val="0"/>
      <w:divBdr>
        <w:top w:val="none" w:sz="0" w:space="0" w:color="auto"/>
        <w:left w:val="none" w:sz="0" w:space="0" w:color="auto"/>
        <w:bottom w:val="none" w:sz="0" w:space="0" w:color="auto"/>
        <w:right w:val="none" w:sz="0" w:space="0" w:color="auto"/>
      </w:divBdr>
    </w:div>
    <w:div w:id="1465780755">
      <w:bodyDiv w:val="1"/>
      <w:marLeft w:val="0"/>
      <w:marRight w:val="0"/>
      <w:marTop w:val="0"/>
      <w:marBottom w:val="0"/>
      <w:divBdr>
        <w:top w:val="none" w:sz="0" w:space="0" w:color="auto"/>
        <w:left w:val="none" w:sz="0" w:space="0" w:color="auto"/>
        <w:bottom w:val="none" w:sz="0" w:space="0" w:color="auto"/>
        <w:right w:val="none" w:sz="0" w:space="0" w:color="auto"/>
      </w:divBdr>
    </w:div>
    <w:div w:id="1469321702">
      <w:bodyDiv w:val="1"/>
      <w:marLeft w:val="0"/>
      <w:marRight w:val="0"/>
      <w:marTop w:val="0"/>
      <w:marBottom w:val="0"/>
      <w:divBdr>
        <w:top w:val="none" w:sz="0" w:space="0" w:color="auto"/>
        <w:left w:val="none" w:sz="0" w:space="0" w:color="auto"/>
        <w:bottom w:val="none" w:sz="0" w:space="0" w:color="auto"/>
        <w:right w:val="none" w:sz="0" w:space="0" w:color="auto"/>
      </w:divBdr>
    </w:div>
    <w:div w:id="1470901940">
      <w:bodyDiv w:val="1"/>
      <w:marLeft w:val="0"/>
      <w:marRight w:val="0"/>
      <w:marTop w:val="0"/>
      <w:marBottom w:val="0"/>
      <w:divBdr>
        <w:top w:val="none" w:sz="0" w:space="0" w:color="auto"/>
        <w:left w:val="none" w:sz="0" w:space="0" w:color="auto"/>
        <w:bottom w:val="none" w:sz="0" w:space="0" w:color="auto"/>
        <w:right w:val="none" w:sz="0" w:space="0" w:color="auto"/>
      </w:divBdr>
    </w:div>
    <w:div w:id="1471289964">
      <w:bodyDiv w:val="1"/>
      <w:marLeft w:val="0"/>
      <w:marRight w:val="0"/>
      <w:marTop w:val="0"/>
      <w:marBottom w:val="0"/>
      <w:divBdr>
        <w:top w:val="none" w:sz="0" w:space="0" w:color="auto"/>
        <w:left w:val="none" w:sz="0" w:space="0" w:color="auto"/>
        <w:bottom w:val="none" w:sz="0" w:space="0" w:color="auto"/>
        <w:right w:val="none" w:sz="0" w:space="0" w:color="auto"/>
      </w:divBdr>
    </w:div>
    <w:div w:id="1471363420">
      <w:bodyDiv w:val="1"/>
      <w:marLeft w:val="0"/>
      <w:marRight w:val="0"/>
      <w:marTop w:val="0"/>
      <w:marBottom w:val="0"/>
      <w:divBdr>
        <w:top w:val="none" w:sz="0" w:space="0" w:color="auto"/>
        <w:left w:val="none" w:sz="0" w:space="0" w:color="auto"/>
        <w:bottom w:val="none" w:sz="0" w:space="0" w:color="auto"/>
        <w:right w:val="none" w:sz="0" w:space="0" w:color="auto"/>
      </w:divBdr>
    </w:div>
    <w:div w:id="1478492828">
      <w:bodyDiv w:val="1"/>
      <w:marLeft w:val="0"/>
      <w:marRight w:val="0"/>
      <w:marTop w:val="0"/>
      <w:marBottom w:val="0"/>
      <w:divBdr>
        <w:top w:val="none" w:sz="0" w:space="0" w:color="auto"/>
        <w:left w:val="none" w:sz="0" w:space="0" w:color="auto"/>
        <w:bottom w:val="none" w:sz="0" w:space="0" w:color="auto"/>
        <w:right w:val="none" w:sz="0" w:space="0" w:color="auto"/>
      </w:divBdr>
    </w:div>
    <w:div w:id="1481119186">
      <w:bodyDiv w:val="1"/>
      <w:marLeft w:val="0"/>
      <w:marRight w:val="0"/>
      <w:marTop w:val="0"/>
      <w:marBottom w:val="0"/>
      <w:divBdr>
        <w:top w:val="none" w:sz="0" w:space="0" w:color="auto"/>
        <w:left w:val="none" w:sz="0" w:space="0" w:color="auto"/>
        <w:bottom w:val="none" w:sz="0" w:space="0" w:color="auto"/>
        <w:right w:val="none" w:sz="0" w:space="0" w:color="auto"/>
      </w:divBdr>
    </w:div>
    <w:div w:id="1481188563">
      <w:bodyDiv w:val="1"/>
      <w:marLeft w:val="0"/>
      <w:marRight w:val="0"/>
      <w:marTop w:val="0"/>
      <w:marBottom w:val="0"/>
      <w:divBdr>
        <w:top w:val="none" w:sz="0" w:space="0" w:color="auto"/>
        <w:left w:val="none" w:sz="0" w:space="0" w:color="auto"/>
        <w:bottom w:val="none" w:sz="0" w:space="0" w:color="auto"/>
        <w:right w:val="none" w:sz="0" w:space="0" w:color="auto"/>
      </w:divBdr>
    </w:div>
    <w:div w:id="1504856001">
      <w:bodyDiv w:val="1"/>
      <w:marLeft w:val="0"/>
      <w:marRight w:val="0"/>
      <w:marTop w:val="0"/>
      <w:marBottom w:val="0"/>
      <w:divBdr>
        <w:top w:val="none" w:sz="0" w:space="0" w:color="auto"/>
        <w:left w:val="none" w:sz="0" w:space="0" w:color="auto"/>
        <w:bottom w:val="none" w:sz="0" w:space="0" w:color="auto"/>
        <w:right w:val="none" w:sz="0" w:space="0" w:color="auto"/>
      </w:divBdr>
    </w:div>
    <w:div w:id="1509053951">
      <w:bodyDiv w:val="1"/>
      <w:marLeft w:val="0"/>
      <w:marRight w:val="0"/>
      <w:marTop w:val="0"/>
      <w:marBottom w:val="0"/>
      <w:divBdr>
        <w:top w:val="none" w:sz="0" w:space="0" w:color="auto"/>
        <w:left w:val="none" w:sz="0" w:space="0" w:color="auto"/>
        <w:bottom w:val="none" w:sz="0" w:space="0" w:color="auto"/>
        <w:right w:val="none" w:sz="0" w:space="0" w:color="auto"/>
      </w:divBdr>
    </w:div>
    <w:div w:id="1511724016">
      <w:bodyDiv w:val="1"/>
      <w:marLeft w:val="0"/>
      <w:marRight w:val="0"/>
      <w:marTop w:val="0"/>
      <w:marBottom w:val="0"/>
      <w:divBdr>
        <w:top w:val="none" w:sz="0" w:space="0" w:color="auto"/>
        <w:left w:val="none" w:sz="0" w:space="0" w:color="auto"/>
        <w:bottom w:val="none" w:sz="0" w:space="0" w:color="auto"/>
        <w:right w:val="none" w:sz="0" w:space="0" w:color="auto"/>
      </w:divBdr>
    </w:div>
    <w:div w:id="1514294572">
      <w:bodyDiv w:val="1"/>
      <w:marLeft w:val="0"/>
      <w:marRight w:val="0"/>
      <w:marTop w:val="0"/>
      <w:marBottom w:val="0"/>
      <w:divBdr>
        <w:top w:val="none" w:sz="0" w:space="0" w:color="auto"/>
        <w:left w:val="none" w:sz="0" w:space="0" w:color="auto"/>
        <w:bottom w:val="none" w:sz="0" w:space="0" w:color="auto"/>
        <w:right w:val="none" w:sz="0" w:space="0" w:color="auto"/>
      </w:divBdr>
    </w:div>
    <w:div w:id="1519343475">
      <w:bodyDiv w:val="1"/>
      <w:marLeft w:val="0"/>
      <w:marRight w:val="0"/>
      <w:marTop w:val="0"/>
      <w:marBottom w:val="0"/>
      <w:divBdr>
        <w:top w:val="none" w:sz="0" w:space="0" w:color="auto"/>
        <w:left w:val="none" w:sz="0" w:space="0" w:color="auto"/>
        <w:bottom w:val="none" w:sz="0" w:space="0" w:color="auto"/>
        <w:right w:val="none" w:sz="0" w:space="0" w:color="auto"/>
      </w:divBdr>
    </w:div>
    <w:div w:id="1519928919">
      <w:bodyDiv w:val="1"/>
      <w:marLeft w:val="0"/>
      <w:marRight w:val="0"/>
      <w:marTop w:val="0"/>
      <w:marBottom w:val="0"/>
      <w:divBdr>
        <w:top w:val="none" w:sz="0" w:space="0" w:color="auto"/>
        <w:left w:val="none" w:sz="0" w:space="0" w:color="auto"/>
        <w:bottom w:val="none" w:sz="0" w:space="0" w:color="auto"/>
        <w:right w:val="none" w:sz="0" w:space="0" w:color="auto"/>
      </w:divBdr>
    </w:div>
    <w:div w:id="1528058020">
      <w:bodyDiv w:val="1"/>
      <w:marLeft w:val="0"/>
      <w:marRight w:val="0"/>
      <w:marTop w:val="0"/>
      <w:marBottom w:val="0"/>
      <w:divBdr>
        <w:top w:val="none" w:sz="0" w:space="0" w:color="auto"/>
        <w:left w:val="none" w:sz="0" w:space="0" w:color="auto"/>
        <w:bottom w:val="none" w:sz="0" w:space="0" w:color="auto"/>
        <w:right w:val="none" w:sz="0" w:space="0" w:color="auto"/>
      </w:divBdr>
    </w:div>
    <w:div w:id="1536887468">
      <w:bodyDiv w:val="1"/>
      <w:marLeft w:val="0"/>
      <w:marRight w:val="0"/>
      <w:marTop w:val="0"/>
      <w:marBottom w:val="0"/>
      <w:divBdr>
        <w:top w:val="none" w:sz="0" w:space="0" w:color="auto"/>
        <w:left w:val="none" w:sz="0" w:space="0" w:color="auto"/>
        <w:bottom w:val="none" w:sz="0" w:space="0" w:color="auto"/>
        <w:right w:val="none" w:sz="0" w:space="0" w:color="auto"/>
      </w:divBdr>
    </w:div>
    <w:div w:id="1543438935">
      <w:bodyDiv w:val="1"/>
      <w:marLeft w:val="0"/>
      <w:marRight w:val="0"/>
      <w:marTop w:val="0"/>
      <w:marBottom w:val="0"/>
      <w:divBdr>
        <w:top w:val="none" w:sz="0" w:space="0" w:color="auto"/>
        <w:left w:val="none" w:sz="0" w:space="0" w:color="auto"/>
        <w:bottom w:val="none" w:sz="0" w:space="0" w:color="auto"/>
        <w:right w:val="none" w:sz="0" w:space="0" w:color="auto"/>
      </w:divBdr>
    </w:div>
    <w:div w:id="1554386069">
      <w:bodyDiv w:val="1"/>
      <w:marLeft w:val="0"/>
      <w:marRight w:val="0"/>
      <w:marTop w:val="0"/>
      <w:marBottom w:val="0"/>
      <w:divBdr>
        <w:top w:val="none" w:sz="0" w:space="0" w:color="auto"/>
        <w:left w:val="none" w:sz="0" w:space="0" w:color="auto"/>
        <w:bottom w:val="none" w:sz="0" w:space="0" w:color="auto"/>
        <w:right w:val="none" w:sz="0" w:space="0" w:color="auto"/>
      </w:divBdr>
    </w:div>
    <w:div w:id="1570112223">
      <w:bodyDiv w:val="1"/>
      <w:marLeft w:val="0"/>
      <w:marRight w:val="0"/>
      <w:marTop w:val="0"/>
      <w:marBottom w:val="0"/>
      <w:divBdr>
        <w:top w:val="none" w:sz="0" w:space="0" w:color="auto"/>
        <w:left w:val="none" w:sz="0" w:space="0" w:color="auto"/>
        <w:bottom w:val="none" w:sz="0" w:space="0" w:color="auto"/>
        <w:right w:val="none" w:sz="0" w:space="0" w:color="auto"/>
      </w:divBdr>
    </w:div>
    <w:div w:id="1572617040">
      <w:bodyDiv w:val="1"/>
      <w:marLeft w:val="0"/>
      <w:marRight w:val="0"/>
      <w:marTop w:val="0"/>
      <w:marBottom w:val="0"/>
      <w:divBdr>
        <w:top w:val="none" w:sz="0" w:space="0" w:color="auto"/>
        <w:left w:val="none" w:sz="0" w:space="0" w:color="auto"/>
        <w:bottom w:val="none" w:sz="0" w:space="0" w:color="auto"/>
        <w:right w:val="none" w:sz="0" w:space="0" w:color="auto"/>
      </w:divBdr>
    </w:div>
    <w:div w:id="1579366413">
      <w:bodyDiv w:val="1"/>
      <w:marLeft w:val="0"/>
      <w:marRight w:val="0"/>
      <w:marTop w:val="0"/>
      <w:marBottom w:val="0"/>
      <w:divBdr>
        <w:top w:val="none" w:sz="0" w:space="0" w:color="auto"/>
        <w:left w:val="none" w:sz="0" w:space="0" w:color="auto"/>
        <w:bottom w:val="none" w:sz="0" w:space="0" w:color="auto"/>
        <w:right w:val="none" w:sz="0" w:space="0" w:color="auto"/>
      </w:divBdr>
    </w:div>
    <w:div w:id="1580359428">
      <w:bodyDiv w:val="1"/>
      <w:marLeft w:val="0"/>
      <w:marRight w:val="0"/>
      <w:marTop w:val="0"/>
      <w:marBottom w:val="0"/>
      <w:divBdr>
        <w:top w:val="none" w:sz="0" w:space="0" w:color="auto"/>
        <w:left w:val="none" w:sz="0" w:space="0" w:color="auto"/>
        <w:bottom w:val="none" w:sz="0" w:space="0" w:color="auto"/>
        <w:right w:val="none" w:sz="0" w:space="0" w:color="auto"/>
      </w:divBdr>
    </w:div>
    <w:div w:id="1584101966">
      <w:bodyDiv w:val="1"/>
      <w:marLeft w:val="0"/>
      <w:marRight w:val="0"/>
      <w:marTop w:val="0"/>
      <w:marBottom w:val="0"/>
      <w:divBdr>
        <w:top w:val="none" w:sz="0" w:space="0" w:color="auto"/>
        <w:left w:val="none" w:sz="0" w:space="0" w:color="auto"/>
        <w:bottom w:val="none" w:sz="0" w:space="0" w:color="auto"/>
        <w:right w:val="none" w:sz="0" w:space="0" w:color="auto"/>
      </w:divBdr>
    </w:div>
    <w:div w:id="1591160972">
      <w:bodyDiv w:val="1"/>
      <w:marLeft w:val="0"/>
      <w:marRight w:val="0"/>
      <w:marTop w:val="0"/>
      <w:marBottom w:val="0"/>
      <w:divBdr>
        <w:top w:val="none" w:sz="0" w:space="0" w:color="auto"/>
        <w:left w:val="none" w:sz="0" w:space="0" w:color="auto"/>
        <w:bottom w:val="none" w:sz="0" w:space="0" w:color="auto"/>
        <w:right w:val="none" w:sz="0" w:space="0" w:color="auto"/>
      </w:divBdr>
    </w:div>
    <w:div w:id="1596355212">
      <w:bodyDiv w:val="1"/>
      <w:marLeft w:val="0"/>
      <w:marRight w:val="0"/>
      <w:marTop w:val="0"/>
      <w:marBottom w:val="0"/>
      <w:divBdr>
        <w:top w:val="none" w:sz="0" w:space="0" w:color="auto"/>
        <w:left w:val="none" w:sz="0" w:space="0" w:color="auto"/>
        <w:bottom w:val="none" w:sz="0" w:space="0" w:color="auto"/>
        <w:right w:val="none" w:sz="0" w:space="0" w:color="auto"/>
      </w:divBdr>
    </w:div>
    <w:div w:id="1606185649">
      <w:bodyDiv w:val="1"/>
      <w:marLeft w:val="0"/>
      <w:marRight w:val="0"/>
      <w:marTop w:val="0"/>
      <w:marBottom w:val="0"/>
      <w:divBdr>
        <w:top w:val="none" w:sz="0" w:space="0" w:color="auto"/>
        <w:left w:val="none" w:sz="0" w:space="0" w:color="auto"/>
        <w:bottom w:val="none" w:sz="0" w:space="0" w:color="auto"/>
        <w:right w:val="none" w:sz="0" w:space="0" w:color="auto"/>
      </w:divBdr>
    </w:div>
    <w:div w:id="1608274227">
      <w:bodyDiv w:val="1"/>
      <w:marLeft w:val="0"/>
      <w:marRight w:val="0"/>
      <w:marTop w:val="0"/>
      <w:marBottom w:val="0"/>
      <w:divBdr>
        <w:top w:val="none" w:sz="0" w:space="0" w:color="auto"/>
        <w:left w:val="none" w:sz="0" w:space="0" w:color="auto"/>
        <w:bottom w:val="none" w:sz="0" w:space="0" w:color="auto"/>
        <w:right w:val="none" w:sz="0" w:space="0" w:color="auto"/>
      </w:divBdr>
    </w:div>
    <w:div w:id="1620185208">
      <w:bodyDiv w:val="1"/>
      <w:marLeft w:val="0"/>
      <w:marRight w:val="0"/>
      <w:marTop w:val="0"/>
      <w:marBottom w:val="0"/>
      <w:divBdr>
        <w:top w:val="none" w:sz="0" w:space="0" w:color="auto"/>
        <w:left w:val="none" w:sz="0" w:space="0" w:color="auto"/>
        <w:bottom w:val="none" w:sz="0" w:space="0" w:color="auto"/>
        <w:right w:val="none" w:sz="0" w:space="0" w:color="auto"/>
      </w:divBdr>
    </w:div>
    <w:div w:id="1621105905">
      <w:bodyDiv w:val="1"/>
      <w:marLeft w:val="0"/>
      <w:marRight w:val="0"/>
      <w:marTop w:val="0"/>
      <w:marBottom w:val="0"/>
      <w:divBdr>
        <w:top w:val="none" w:sz="0" w:space="0" w:color="auto"/>
        <w:left w:val="none" w:sz="0" w:space="0" w:color="auto"/>
        <w:bottom w:val="none" w:sz="0" w:space="0" w:color="auto"/>
        <w:right w:val="none" w:sz="0" w:space="0" w:color="auto"/>
      </w:divBdr>
    </w:div>
    <w:div w:id="1625229876">
      <w:bodyDiv w:val="1"/>
      <w:marLeft w:val="0"/>
      <w:marRight w:val="0"/>
      <w:marTop w:val="0"/>
      <w:marBottom w:val="0"/>
      <w:divBdr>
        <w:top w:val="none" w:sz="0" w:space="0" w:color="auto"/>
        <w:left w:val="none" w:sz="0" w:space="0" w:color="auto"/>
        <w:bottom w:val="none" w:sz="0" w:space="0" w:color="auto"/>
        <w:right w:val="none" w:sz="0" w:space="0" w:color="auto"/>
      </w:divBdr>
    </w:div>
    <w:div w:id="1635021387">
      <w:bodyDiv w:val="1"/>
      <w:marLeft w:val="0"/>
      <w:marRight w:val="0"/>
      <w:marTop w:val="0"/>
      <w:marBottom w:val="0"/>
      <w:divBdr>
        <w:top w:val="none" w:sz="0" w:space="0" w:color="auto"/>
        <w:left w:val="none" w:sz="0" w:space="0" w:color="auto"/>
        <w:bottom w:val="none" w:sz="0" w:space="0" w:color="auto"/>
        <w:right w:val="none" w:sz="0" w:space="0" w:color="auto"/>
      </w:divBdr>
    </w:div>
    <w:div w:id="1652707377">
      <w:bodyDiv w:val="1"/>
      <w:marLeft w:val="0"/>
      <w:marRight w:val="0"/>
      <w:marTop w:val="0"/>
      <w:marBottom w:val="0"/>
      <w:divBdr>
        <w:top w:val="none" w:sz="0" w:space="0" w:color="auto"/>
        <w:left w:val="none" w:sz="0" w:space="0" w:color="auto"/>
        <w:bottom w:val="none" w:sz="0" w:space="0" w:color="auto"/>
        <w:right w:val="none" w:sz="0" w:space="0" w:color="auto"/>
      </w:divBdr>
    </w:div>
    <w:div w:id="1655262007">
      <w:bodyDiv w:val="1"/>
      <w:marLeft w:val="0"/>
      <w:marRight w:val="0"/>
      <w:marTop w:val="0"/>
      <w:marBottom w:val="0"/>
      <w:divBdr>
        <w:top w:val="none" w:sz="0" w:space="0" w:color="auto"/>
        <w:left w:val="none" w:sz="0" w:space="0" w:color="auto"/>
        <w:bottom w:val="none" w:sz="0" w:space="0" w:color="auto"/>
        <w:right w:val="none" w:sz="0" w:space="0" w:color="auto"/>
      </w:divBdr>
    </w:div>
    <w:div w:id="1659111131">
      <w:bodyDiv w:val="1"/>
      <w:marLeft w:val="0"/>
      <w:marRight w:val="0"/>
      <w:marTop w:val="0"/>
      <w:marBottom w:val="0"/>
      <w:divBdr>
        <w:top w:val="none" w:sz="0" w:space="0" w:color="auto"/>
        <w:left w:val="none" w:sz="0" w:space="0" w:color="auto"/>
        <w:bottom w:val="none" w:sz="0" w:space="0" w:color="auto"/>
        <w:right w:val="none" w:sz="0" w:space="0" w:color="auto"/>
      </w:divBdr>
    </w:div>
    <w:div w:id="1676494137">
      <w:bodyDiv w:val="1"/>
      <w:marLeft w:val="0"/>
      <w:marRight w:val="0"/>
      <w:marTop w:val="0"/>
      <w:marBottom w:val="0"/>
      <w:divBdr>
        <w:top w:val="none" w:sz="0" w:space="0" w:color="auto"/>
        <w:left w:val="none" w:sz="0" w:space="0" w:color="auto"/>
        <w:bottom w:val="none" w:sz="0" w:space="0" w:color="auto"/>
        <w:right w:val="none" w:sz="0" w:space="0" w:color="auto"/>
      </w:divBdr>
    </w:div>
    <w:div w:id="1683042563">
      <w:bodyDiv w:val="1"/>
      <w:marLeft w:val="0"/>
      <w:marRight w:val="0"/>
      <w:marTop w:val="0"/>
      <w:marBottom w:val="0"/>
      <w:divBdr>
        <w:top w:val="none" w:sz="0" w:space="0" w:color="auto"/>
        <w:left w:val="none" w:sz="0" w:space="0" w:color="auto"/>
        <w:bottom w:val="none" w:sz="0" w:space="0" w:color="auto"/>
        <w:right w:val="none" w:sz="0" w:space="0" w:color="auto"/>
      </w:divBdr>
    </w:div>
    <w:div w:id="1696736376">
      <w:bodyDiv w:val="1"/>
      <w:marLeft w:val="0"/>
      <w:marRight w:val="0"/>
      <w:marTop w:val="0"/>
      <w:marBottom w:val="0"/>
      <w:divBdr>
        <w:top w:val="none" w:sz="0" w:space="0" w:color="auto"/>
        <w:left w:val="none" w:sz="0" w:space="0" w:color="auto"/>
        <w:bottom w:val="none" w:sz="0" w:space="0" w:color="auto"/>
        <w:right w:val="none" w:sz="0" w:space="0" w:color="auto"/>
      </w:divBdr>
    </w:div>
    <w:div w:id="1705324295">
      <w:bodyDiv w:val="1"/>
      <w:marLeft w:val="0"/>
      <w:marRight w:val="0"/>
      <w:marTop w:val="0"/>
      <w:marBottom w:val="0"/>
      <w:divBdr>
        <w:top w:val="none" w:sz="0" w:space="0" w:color="auto"/>
        <w:left w:val="none" w:sz="0" w:space="0" w:color="auto"/>
        <w:bottom w:val="none" w:sz="0" w:space="0" w:color="auto"/>
        <w:right w:val="none" w:sz="0" w:space="0" w:color="auto"/>
      </w:divBdr>
    </w:div>
    <w:div w:id="1710103373">
      <w:bodyDiv w:val="1"/>
      <w:marLeft w:val="0"/>
      <w:marRight w:val="0"/>
      <w:marTop w:val="0"/>
      <w:marBottom w:val="0"/>
      <w:divBdr>
        <w:top w:val="none" w:sz="0" w:space="0" w:color="auto"/>
        <w:left w:val="none" w:sz="0" w:space="0" w:color="auto"/>
        <w:bottom w:val="none" w:sz="0" w:space="0" w:color="auto"/>
        <w:right w:val="none" w:sz="0" w:space="0" w:color="auto"/>
      </w:divBdr>
    </w:div>
    <w:div w:id="1712457689">
      <w:bodyDiv w:val="1"/>
      <w:marLeft w:val="0"/>
      <w:marRight w:val="0"/>
      <w:marTop w:val="0"/>
      <w:marBottom w:val="0"/>
      <w:divBdr>
        <w:top w:val="none" w:sz="0" w:space="0" w:color="auto"/>
        <w:left w:val="none" w:sz="0" w:space="0" w:color="auto"/>
        <w:bottom w:val="none" w:sz="0" w:space="0" w:color="auto"/>
        <w:right w:val="none" w:sz="0" w:space="0" w:color="auto"/>
      </w:divBdr>
    </w:div>
    <w:div w:id="1713463022">
      <w:bodyDiv w:val="1"/>
      <w:marLeft w:val="0"/>
      <w:marRight w:val="0"/>
      <w:marTop w:val="0"/>
      <w:marBottom w:val="0"/>
      <w:divBdr>
        <w:top w:val="none" w:sz="0" w:space="0" w:color="auto"/>
        <w:left w:val="none" w:sz="0" w:space="0" w:color="auto"/>
        <w:bottom w:val="none" w:sz="0" w:space="0" w:color="auto"/>
        <w:right w:val="none" w:sz="0" w:space="0" w:color="auto"/>
      </w:divBdr>
    </w:div>
    <w:div w:id="1718776324">
      <w:bodyDiv w:val="1"/>
      <w:marLeft w:val="0"/>
      <w:marRight w:val="0"/>
      <w:marTop w:val="0"/>
      <w:marBottom w:val="0"/>
      <w:divBdr>
        <w:top w:val="none" w:sz="0" w:space="0" w:color="auto"/>
        <w:left w:val="none" w:sz="0" w:space="0" w:color="auto"/>
        <w:bottom w:val="none" w:sz="0" w:space="0" w:color="auto"/>
        <w:right w:val="none" w:sz="0" w:space="0" w:color="auto"/>
      </w:divBdr>
    </w:div>
    <w:div w:id="1720595574">
      <w:bodyDiv w:val="1"/>
      <w:marLeft w:val="0"/>
      <w:marRight w:val="0"/>
      <w:marTop w:val="0"/>
      <w:marBottom w:val="0"/>
      <w:divBdr>
        <w:top w:val="none" w:sz="0" w:space="0" w:color="auto"/>
        <w:left w:val="none" w:sz="0" w:space="0" w:color="auto"/>
        <w:bottom w:val="none" w:sz="0" w:space="0" w:color="auto"/>
        <w:right w:val="none" w:sz="0" w:space="0" w:color="auto"/>
      </w:divBdr>
    </w:div>
    <w:div w:id="1722170192">
      <w:bodyDiv w:val="1"/>
      <w:marLeft w:val="0"/>
      <w:marRight w:val="0"/>
      <w:marTop w:val="0"/>
      <w:marBottom w:val="0"/>
      <w:divBdr>
        <w:top w:val="none" w:sz="0" w:space="0" w:color="auto"/>
        <w:left w:val="none" w:sz="0" w:space="0" w:color="auto"/>
        <w:bottom w:val="none" w:sz="0" w:space="0" w:color="auto"/>
        <w:right w:val="none" w:sz="0" w:space="0" w:color="auto"/>
      </w:divBdr>
    </w:div>
    <w:div w:id="1725910939">
      <w:bodyDiv w:val="1"/>
      <w:marLeft w:val="0"/>
      <w:marRight w:val="0"/>
      <w:marTop w:val="0"/>
      <w:marBottom w:val="0"/>
      <w:divBdr>
        <w:top w:val="none" w:sz="0" w:space="0" w:color="auto"/>
        <w:left w:val="none" w:sz="0" w:space="0" w:color="auto"/>
        <w:bottom w:val="none" w:sz="0" w:space="0" w:color="auto"/>
        <w:right w:val="none" w:sz="0" w:space="0" w:color="auto"/>
      </w:divBdr>
    </w:div>
    <w:div w:id="1735615196">
      <w:bodyDiv w:val="1"/>
      <w:marLeft w:val="0"/>
      <w:marRight w:val="0"/>
      <w:marTop w:val="0"/>
      <w:marBottom w:val="0"/>
      <w:divBdr>
        <w:top w:val="none" w:sz="0" w:space="0" w:color="auto"/>
        <w:left w:val="none" w:sz="0" w:space="0" w:color="auto"/>
        <w:bottom w:val="none" w:sz="0" w:space="0" w:color="auto"/>
        <w:right w:val="none" w:sz="0" w:space="0" w:color="auto"/>
      </w:divBdr>
    </w:div>
    <w:div w:id="1738431805">
      <w:bodyDiv w:val="1"/>
      <w:marLeft w:val="0"/>
      <w:marRight w:val="0"/>
      <w:marTop w:val="0"/>
      <w:marBottom w:val="0"/>
      <w:divBdr>
        <w:top w:val="none" w:sz="0" w:space="0" w:color="auto"/>
        <w:left w:val="none" w:sz="0" w:space="0" w:color="auto"/>
        <w:bottom w:val="none" w:sz="0" w:space="0" w:color="auto"/>
        <w:right w:val="none" w:sz="0" w:space="0" w:color="auto"/>
      </w:divBdr>
    </w:div>
    <w:div w:id="1745376643">
      <w:bodyDiv w:val="1"/>
      <w:marLeft w:val="0"/>
      <w:marRight w:val="0"/>
      <w:marTop w:val="0"/>
      <w:marBottom w:val="0"/>
      <w:divBdr>
        <w:top w:val="none" w:sz="0" w:space="0" w:color="auto"/>
        <w:left w:val="none" w:sz="0" w:space="0" w:color="auto"/>
        <w:bottom w:val="none" w:sz="0" w:space="0" w:color="auto"/>
        <w:right w:val="none" w:sz="0" w:space="0" w:color="auto"/>
      </w:divBdr>
    </w:div>
    <w:div w:id="1755203916">
      <w:bodyDiv w:val="1"/>
      <w:marLeft w:val="0"/>
      <w:marRight w:val="0"/>
      <w:marTop w:val="0"/>
      <w:marBottom w:val="0"/>
      <w:divBdr>
        <w:top w:val="none" w:sz="0" w:space="0" w:color="auto"/>
        <w:left w:val="none" w:sz="0" w:space="0" w:color="auto"/>
        <w:bottom w:val="none" w:sz="0" w:space="0" w:color="auto"/>
        <w:right w:val="none" w:sz="0" w:space="0" w:color="auto"/>
      </w:divBdr>
    </w:div>
    <w:div w:id="1758359258">
      <w:bodyDiv w:val="1"/>
      <w:marLeft w:val="0"/>
      <w:marRight w:val="0"/>
      <w:marTop w:val="0"/>
      <w:marBottom w:val="0"/>
      <w:divBdr>
        <w:top w:val="none" w:sz="0" w:space="0" w:color="auto"/>
        <w:left w:val="none" w:sz="0" w:space="0" w:color="auto"/>
        <w:bottom w:val="none" w:sz="0" w:space="0" w:color="auto"/>
        <w:right w:val="none" w:sz="0" w:space="0" w:color="auto"/>
      </w:divBdr>
    </w:div>
    <w:div w:id="1758482298">
      <w:bodyDiv w:val="1"/>
      <w:marLeft w:val="0"/>
      <w:marRight w:val="0"/>
      <w:marTop w:val="0"/>
      <w:marBottom w:val="0"/>
      <w:divBdr>
        <w:top w:val="none" w:sz="0" w:space="0" w:color="auto"/>
        <w:left w:val="none" w:sz="0" w:space="0" w:color="auto"/>
        <w:bottom w:val="none" w:sz="0" w:space="0" w:color="auto"/>
        <w:right w:val="none" w:sz="0" w:space="0" w:color="auto"/>
      </w:divBdr>
    </w:div>
    <w:div w:id="1777168322">
      <w:bodyDiv w:val="1"/>
      <w:marLeft w:val="0"/>
      <w:marRight w:val="0"/>
      <w:marTop w:val="0"/>
      <w:marBottom w:val="0"/>
      <w:divBdr>
        <w:top w:val="none" w:sz="0" w:space="0" w:color="auto"/>
        <w:left w:val="none" w:sz="0" w:space="0" w:color="auto"/>
        <w:bottom w:val="none" w:sz="0" w:space="0" w:color="auto"/>
        <w:right w:val="none" w:sz="0" w:space="0" w:color="auto"/>
      </w:divBdr>
    </w:div>
    <w:div w:id="1777481598">
      <w:bodyDiv w:val="1"/>
      <w:marLeft w:val="0"/>
      <w:marRight w:val="0"/>
      <w:marTop w:val="0"/>
      <w:marBottom w:val="0"/>
      <w:divBdr>
        <w:top w:val="none" w:sz="0" w:space="0" w:color="auto"/>
        <w:left w:val="none" w:sz="0" w:space="0" w:color="auto"/>
        <w:bottom w:val="none" w:sz="0" w:space="0" w:color="auto"/>
        <w:right w:val="none" w:sz="0" w:space="0" w:color="auto"/>
      </w:divBdr>
    </w:div>
    <w:div w:id="1789277338">
      <w:bodyDiv w:val="1"/>
      <w:marLeft w:val="0"/>
      <w:marRight w:val="0"/>
      <w:marTop w:val="0"/>
      <w:marBottom w:val="0"/>
      <w:divBdr>
        <w:top w:val="none" w:sz="0" w:space="0" w:color="auto"/>
        <w:left w:val="none" w:sz="0" w:space="0" w:color="auto"/>
        <w:bottom w:val="none" w:sz="0" w:space="0" w:color="auto"/>
        <w:right w:val="none" w:sz="0" w:space="0" w:color="auto"/>
      </w:divBdr>
    </w:div>
    <w:div w:id="1802728378">
      <w:bodyDiv w:val="1"/>
      <w:marLeft w:val="0"/>
      <w:marRight w:val="0"/>
      <w:marTop w:val="0"/>
      <w:marBottom w:val="0"/>
      <w:divBdr>
        <w:top w:val="none" w:sz="0" w:space="0" w:color="auto"/>
        <w:left w:val="none" w:sz="0" w:space="0" w:color="auto"/>
        <w:bottom w:val="none" w:sz="0" w:space="0" w:color="auto"/>
        <w:right w:val="none" w:sz="0" w:space="0" w:color="auto"/>
      </w:divBdr>
    </w:div>
    <w:div w:id="1804230680">
      <w:bodyDiv w:val="1"/>
      <w:marLeft w:val="0"/>
      <w:marRight w:val="0"/>
      <w:marTop w:val="0"/>
      <w:marBottom w:val="0"/>
      <w:divBdr>
        <w:top w:val="none" w:sz="0" w:space="0" w:color="auto"/>
        <w:left w:val="none" w:sz="0" w:space="0" w:color="auto"/>
        <w:bottom w:val="none" w:sz="0" w:space="0" w:color="auto"/>
        <w:right w:val="none" w:sz="0" w:space="0" w:color="auto"/>
      </w:divBdr>
    </w:div>
    <w:div w:id="1804545672">
      <w:bodyDiv w:val="1"/>
      <w:marLeft w:val="0"/>
      <w:marRight w:val="0"/>
      <w:marTop w:val="0"/>
      <w:marBottom w:val="0"/>
      <w:divBdr>
        <w:top w:val="none" w:sz="0" w:space="0" w:color="auto"/>
        <w:left w:val="none" w:sz="0" w:space="0" w:color="auto"/>
        <w:bottom w:val="none" w:sz="0" w:space="0" w:color="auto"/>
        <w:right w:val="none" w:sz="0" w:space="0" w:color="auto"/>
      </w:divBdr>
    </w:div>
    <w:div w:id="1828206810">
      <w:bodyDiv w:val="1"/>
      <w:marLeft w:val="0"/>
      <w:marRight w:val="0"/>
      <w:marTop w:val="0"/>
      <w:marBottom w:val="0"/>
      <w:divBdr>
        <w:top w:val="none" w:sz="0" w:space="0" w:color="auto"/>
        <w:left w:val="none" w:sz="0" w:space="0" w:color="auto"/>
        <w:bottom w:val="none" w:sz="0" w:space="0" w:color="auto"/>
        <w:right w:val="none" w:sz="0" w:space="0" w:color="auto"/>
      </w:divBdr>
    </w:div>
    <w:div w:id="1834878208">
      <w:bodyDiv w:val="1"/>
      <w:marLeft w:val="0"/>
      <w:marRight w:val="0"/>
      <w:marTop w:val="0"/>
      <w:marBottom w:val="0"/>
      <w:divBdr>
        <w:top w:val="none" w:sz="0" w:space="0" w:color="auto"/>
        <w:left w:val="none" w:sz="0" w:space="0" w:color="auto"/>
        <w:bottom w:val="none" w:sz="0" w:space="0" w:color="auto"/>
        <w:right w:val="none" w:sz="0" w:space="0" w:color="auto"/>
      </w:divBdr>
    </w:div>
    <w:div w:id="1839955737">
      <w:bodyDiv w:val="1"/>
      <w:marLeft w:val="0"/>
      <w:marRight w:val="0"/>
      <w:marTop w:val="0"/>
      <w:marBottom w:val="0"/>
      <w:divBdr>
        <w:top w:val="none" w:sz="0" w:space="0" w:color="auto"/>
        <w:left w:val="none" w:sz="0" w:space="0" w:color="auto"/>
        <w:bottom w:val="none" w:sz="0" w:space="0" w:color="auto"/>
        <w:right w:val="none" w:sz="0" w:space="0" w:color="auto"/>
      </w:divBdr>
    </w:div>
    <w:div w:id="1841505706">
      <w:bodyDiv w:val="1"/>
      <w:marLeft w:val="0"/>
      <w:marRight w:val="0"/>
      <w:marTop w:val="0"/>
      <w:marBottom w:val="0"/>
      <w:divBdr>
        <w:top w:val="none" w:sz="0" w:space="0" w:color="auto"/>
        <w:left w:val="none" w:sz="0" w:space="0" w:color="auto"/>
        <w:bottom w:val="none" w:sz="0" w:space="0" w:color="auto"/>
        <w:right w:val="none" w:sz="0" w:space="0" w:color="auto"/>
      </w:divBdr>
    </w:div>
    <w:div w:id="1847288008">
      <w:bodyDiv w:val="1"/>
      <w:marLeft w:val="0"/>
      <w:marRight w:val="0"/>
      <w:marTop w:val="0"/>
      <w:marBottom w:val="0"/>
      <w:divBdr>
        <w:top w:val="none" w:sz="0" w:space="0" w:color="auto"/>
        <w:left w:val="none" w:sz="0" w:space="0" w:color="auto"/>
        <w:bottom w:val="none" w:sz="0" w:space="0" w:color="auto"/>
        <w:right w:val="none" w:sz="0" w:space="0" w:color="auto"/>
      </w:divBdr>
    </w:div>
    <w:div w:id="1848716551">
      <w:bodyDiv w:val="1"/>
      <w:marLeft w:val="0"/>
      <w:marRight w:val="0"/>
      <w:marTop w:val="0"/>
      <w:marBottom w:val="0"/>
      <w:divBdr>
        <w:top w:val="none" w:sz="0" w:space="0" w:color="auto"/>
        <w:left w:val="none" w:sz="0" w:space="0" w:color="auto"/>
        <w:bottom w:val="none" w:sz="0" w:space="0" w:color="auto"/>
        <w:right w:val="none" w:sz="0" w:space="0" w:color="auto"/>
      </w:divBdr>
    </w:div>
    <w:div w:id="1859660332">
      <w:bodyDiv w:val="1"/>
      <w:marLeft w:val="0"/>
      <w:marRight w:val="0"/>
      <w:marTop w:val="0"/>
      <w:marBottom w:val="0"/>
      <w:divBdr>
        <w:top w:val="none" w:sz="0" w:space="0" w:color="auto"/>
        <w:left w:val="none" w:sz="0" w:space="0" w:color="auto"/>
        <w:bottom w:val="none" w:sz="0" w:space="0" w:color="auto"/>
        <w:right w:val="none" w:sz="0" w:space="0" w:color="auto"/>
      </w:divBdr>
    </w:div>
    <w:div w:id="1865556056">
      <w:bodyDiv w:val="1"/>
      <w:marLeft w:val="0"/>
      <w:marRight w:val="0"/>
      <w:marTop w:val="0"/>
      <w:marBottom w:val="0"/>
      <w:divBdr>
        <w:top w:val="none" w:sz="0" w:space="0" w:color="auto"/>
        <w:left w:val="none" w:sz="0" w:space="0" w:color="auto"/>
        <w:bottom w:val="none" w:sz="0" w:space="0" w:color="auto"/>
        <w:right w:val="none" w:sz="0" w:space="0" w:color="auto"/>
      </w:divBdr>
    </w:div>
    <w:div w:id="1867870482">
      <w:bodyDiv w:val="1"/>
      <w:marLeft w:val="0"/>
      <w:marRight w:val="0"/>
      <w:marTop w:val="0"/>
      <w:marBottom w:val="0"/>
      <w:divBdr>
        <w:top w:val="none" w:sz="0" w:space="0" w:color="auto"/>
        <w:left w:val="none" w:sz="0" w:space="0" w:color="auto"/>
        <w:bottom w:val="none" w:sz="0" w:space="0" w:color="auto"/>
        <w:right w:val="none" w:sz="0" w:space="0" w:color="auto"/>
      </w:divBdr>
    </w:div>
    <w:div w:id="1873640600">
      <w:bodyDiv w:val="1"/>
      <w:marLeft w:val="0"/>
      <w:marRight w:val="0"/>
      <w:marTop w:val="0"/>
      <w:marBottom w:val="0"/>
      <w:divBdr>
        <w:top w:val="none" w:sz="0" w:space="0" w:color="auto"/>
        <w:left w:val="none" w:sz="0" w:space="0" w:color="auto"/>
        <w:bottom w:val="none" w:sz="0" w:space="0" w:color="auto"/>
        <w:right w:val="none" w:sz="0" w:space="0" w:color="auto"/>
      </w:divBdr>
    </w:div>
    <w:div w:id="1895891970">
      <w:bodyDiv w:val="1"/>
      <w:marLeft w:val="0"/>
      <w:marRight w:val="0"/>
      <w:marTop w:val="0"/>
      <w:marBottom w:val="0"/>
      <w:divBdr>
        <w:top w:val="none" w:sz="0" w:space="0" w:color="auto"/>
        <w:left w:val="none" w:sz="0" w:space="0" w:color="auto"/>
        <w:bottom w:val="none" w:sz="0" w:space="0" w:color="auto"/>
        <w:right w:val="none" w:sz="0" w:space="0" w:color="auto"/>
      </w:divBdr>
    </w:div>
    <w:div w:id="1897550116">
      <w:bodyDiv w:val="1"/>
      <w:marLeft w:val="0"/>
      <w:marRight w:val="0"/>
      <w:marTop w:val="0"/>
      <w:marBottom w:val="0"/>
      <w:divBdr>
        <w:top w:val="none" w:sz="0" w:space="0" w:color="auto"/>
        <w:left w:val="none" w:sz="0" w:space="0" w:color="auto"/>
        <w:bottom w:val="none" w:sz="0" w:space="0" w:color="auto"/>
        <w:right w:val="none" w:sz="0" w:space="0" w:color="auto"/>
      </w:divBdr>
    </w:div>
    <w:div w:id="1899974991">
      <w:bodyDiv w:val="1"/>
      <w:marLeft w:val="0"/>
      <w:marRight w:val="0"/>
      <w:marTop w:val="0"/>
      <w:marBottom w:val="0"/>
      <w:divBdr>
        <w:top w:val="none" w:sz="0" w:space="0" w:color="auto"/>
        <w:left w:val="none" w:sz="0" w:space="0" w:color="auto"/>
        <w:bottom w:val="none" w:sz="0" w:space="0" w:color="auto"/>
        <w:right w:val="none" w:sz="0" w:space="0" w:color="auto"/>
      </w:divBdr>
    </w:div>
    <w:div w:id="1909607793">
      <w:bodyDiv w:val="1"/>
      <w:marLeft w:val="0"/>
      <w:marRight w:val="0"/>
      <w:marTop w:val="0"/>
      <w:marBottom w:val="0"/>
      <w:divBdr>
        <w:top w:val="none" w:sz="0" w:space="0" w:color="auto"/>
        <w:left w:val="none" w:sz="0" w:space="0" w:color="auto"/>
        <w:bottom w:val="none" w:sz="0" w:space="0" w:color="auto"/>
        <w:right w:val="none" w:sz="0" w:space="0" w:color="auto"/>
      </w:divBdr>
    </w:div>
    <w:div w:id="1913659546">
      <w:bodyDiv w:val="1"/>
      <w:marLeft w:val="0"/>
      <w:marRight w:val="0"/>
      <w:marTop w:val="0"/>
      <w:marBottom w:val="0"/>
      <w:divBdr>
        <w:top w:val="none" w:sz="0" w:space="0" w:color="auto"/>
        <w:left w:val="none" w:sz="0" w:space="0" w:color="auto"/>
        <w:bottom w:val="none" w:sz="0" w:space="0" w:color="auto"/>
        <w:right w:val="none" w:sz="0" w:space="0" w:color="auto"/>
      </w:divBdr>
    </w:div>
    <w:div w:id="1916745726">
      <w:bodyDiv w:val="1"/>
      <w:marLeft w:val="0"/>
      <w:marRight w:val="0"/>
      <w:marTop w:val="0"/>
      <w:marBottom w:val="0"/>
      <w:divBdr>
        <w:top w:val="none" w:sz="0" w:space="0" w:color="auto"/>
        <w:left w:val="none" w:sz="0" w:space="0" w:color="auto"/>
        <w:bottom w:val="none" w:sz="0" w:space="0" w:color="auto"/>
        <w:right w:val="none" w:sz="0" w:space="0" w:color="auto"/>
      </w:divBdr>
    </w:div>
    <w:div w:id="1930500348">
      <w:bodyDiv w:val="1"/>
      <w:marLeft w:val="0"/>
      <w:marRight w:val="0"/>
      <w:marTop w:val="0"/>
      <w:marBottom w:val="0"/>
      <w:divBdr>
        <w:top w:val="none" w:sz="0" w:space="0" w:color="auto"/>
        <w:left w:val="none" w:sz="0" w:space="0" w:color="auto"/>
        <w:bottom w:val="none" w:sz="0" w:space="0" w:color="auto"/>
        <w:right w:val="none" w:sz="0" w:space="0" w:color="auto"/>
      </w:divBdr>
    </w:div>
    <w:div w:id="1933509490">
      <w:bodyDiv w:val="1"/>
      <w:marLeft w:val="0"/>
      <w:marRight w:val="0"/>
      <w:marTop w:val="0"/>
      <w:marBottom w:val="0"/>
      <w:divBdr>
        <w:top w:val="none" w:sz="0" w:space="0" w:color="auto"/>
        <w:left w:val="none" w:sz="0" w:space="0" w:color="auto"/>
        <w:bottom w:val="none" w:sz="0" w:space="0" w:color="auto"/>
        <w:right w:val="none" w:sz="0" w:space="0" w:color="auto"/>
      </w:divBdr>
    </w:div>
    <w:div w:id="1939215294">
      <w:bodyDiv w:val="1"/>
      <w:marLeft w:val="0"/>
      <w:marRight w:val="0"/>
      <w:marTop w:val="0"/>
      <w:marBottom w:val="0"/>
      <w:divBdr>
        <w:top w:val="none" w:sz="0" w:space="0" w:color="auto"/>
        <w:left w:val="none" w:sz="0" w:space="0" w:color="auto"/>
        <w:bottom w:val="none" w:sz="0" w:space="0" w:color="auto"/>
        <w:right w:val="none" w:sz="0" w:space="0" w:color="auto"/>
      </w:divBdr>
    </w:div>
    <w:div w:id="1943755748">
      <w:bodyDiv w:val="1"/>
      <w:marLeft w:val="0"/>
      <w:marRight w:val="0"/>
      <w:marTop w:val="0"/>
      <w:marBottom w:val="0"/>
      <w:divBdr>
        <w:top w:val="none" w:sz="0" w:space="0" w:color="auto"/>
        <w:left w:val="none" w:sz="0" w:space="0" w:color="auto"/>
        <w:bottom w:val="none" w:sz="0" w:space="0" w:color="auto"/>
        <w:right w:val="none" w:sz="0" w:space="0" w:color="auto"/>
      </w:divBdr>
    </w:div>
    <w:div w:id="1963416883">
      <w:bodyDiv w:val="1"/>
      <w:marLeft w:val="0"/>
      <w:marRight w:val="0"/>
      <w:marTop w:val="0"/>
      <w:marBottom w:val="0"/>
      <w:divBdr>
        <w:top w:val="none" w:sz="0" w:space="0" w:color="auto"/>
        <w:left w:val="none" w:sz="0" w:space="0" w:color="auto"/>
        <w:bottom w:val="none" w:sz="0" w:space="0" w:color="auto"/>
        <w:right w:val="none" w:sz="0" w:space="0" w:color="auto"/>
      </w:divBdr>
    </w:div>
    <w:div w:id="1969778927">
      <w:bodyDiv w:val="1"/>
      <w:marLeft w:val="0"/>
      <w:marRight w:val="0"/>
      <w:marTop w:val="0"/>
      <w:marBottom w:val="0"/>
      <w:divBdr>
        <w:top w:val="none" w:sz="0" w:space="0" w:color="auto"/>
        <w:left w:val="none" w:sz="0" w:space="0" w:color="auto"/>
        <w:bottom w:val="none" w:sz="0" w:space="0" w:color="auto"/>
        <w:right w:val="none" w:sz="0" w:space="0" w:color="auto"/>
      </w:divBdr>
    </w:div>
    <w:div w:id="1973171213">
      <w:bodyDiv w:val="1"/>
      <w:marLeft w:val="0"/>
      <w:marRight w:val="0"/>
      <w:marTop w:val="0"/>
      <w:marBottom w:val="0"/>
      <w:divBdr>
        <w:top w:val="none" w:sz="0" w:space="0" w:color="auto"/>
        <w:left w:val="none" w:sz="0" w:space="0" w:color="auto"/>
        <w:bottom w:val="none" w:sz="0" w:space="0" w:color="auto"/>
        <w:right w:val="none" w:sz="0" w:space="0" w:color="auto"/>
      </w:divBdr>
    </w:div>
    <w:div w:id="1981957242">
      <w:bodyDiv w:val="1"/>
      <w:marLeft w:val="0"/>
      <w:marRight w:val="0"/>
      <w:marTop w:val="0"/>
      <w:marBottom w:val="0"/>
      <w:divBdr>
        <w:top w:val="none" w:sz="0" w:space="0" w:color="auto"/>
        <w:left w:val="none" w:sz="0" w:space="0" w:color="auto"/>
        <w:bottom w:val="none" w:sz="0" w:space="0" w:color="auto"/>
        <w:right w:val="none" w:sz="0" w:space="0" w:color="auto"/>
      </w:divBdr>
    </w:div>
    <w:div w:id="1982035183">
      <w:bodyDiv w:val="1"/>
      <w:marLeft w:val="0"/>
      <w:marRight w:val="0"/>
      <w:marTop w:val="0"/>
      <w:marBottom w:val="0"/>
      <w:divBdr>
        <w:top w:val="none" w:sz="0" w:space="0" w:color="auto"/>
        <w:left w:val="none" w:sz="0" w:space="0" w:color="auto"/>
        <w:bottom w:val="none" w:sz="0" w:space="0" w:color="auto"/>
        <w:right w:val="none" w:sz="0" w:space="0" w:color="auto"/>
      </w:divBdr>
    </w:div>
    <w:div w:id="1985885461">
      <w:bodyDiv w:val="1"/>
      <w:marLeft w:val="0"/>
      <w:marRight w:val="0"/>
      <w:marTop w:val="0"/>
      <w:marBottom w:val="0"/>
      <w:divBdr>
        <w:top w:val="none" w:sz="0" w:space="0" w:color="auto"/>
        <w:left w:val="none" w:sz="0" w:space="0" w:color="auto"/>
        <w:bottom w:val="none" w:sz="0" w:space="0" w:color="auto"/>
        <w:right w:val="none" w:sz="0" w:space="0" w:color="auto"/>
      </w:divBdr>
    </w:div>
    <w:div w:id="1990591552">
      <w:bodyDiv w:val="1"/>
      <w:marLeft w:val="0"/>
      <w:marRight w:val="0"/>
      <w:marTop w:val="0"/>
      <w:marBottom w:val="0"/>
      <w:divBdr>
        <w:top w:val="none" w:sz="0" w:space="0" w:color="auto"/>
        <w:left w:val="none" w:sz="0" w:space="0" w:color="auto"/>
        <w:bottom w:val="none" w:sz="0" w:space="0" w:color="auto"/>
        <w:right w:val="none" w:sz="0" w:space="0" w:color="auto"/>
      </w:divBdr>
    </w:div>
    <w:div w:id="1991132325">
      <w:bodyDiv w:val="1"/>
      <w:marLeft w:val="0"/>
      <w:marRight w:val="0"/>
      <w:marTop w:val="0"/>
      <w:marBottom w:val="0"/>
      <w:divBdr>
        <w:top w:val="none" w:sz="0" w:space="0" w:color="auto"/>
        <w:left w:val="none" w:sz="0" w:space="0" w:color="auto"/>
        <w:bottom w:val="none" w:sz="0" w:space="0" w:color="auto"/>
        <w:right w:val="none" w:sz="0" w:space="0" w:color="auto"/>
      </w:divBdr>
    </w:div>
    <w:div w:id="2014214913">
      <w:bodyDiv w:val="1"/>
      <w:marLeft w:val="0"/>
      <w:marRight w:val="0"/>
      <w:marTop w:val="0"/>
      <w:marBottom w:val="0"/>
      <w:divBdr>
        <w:top w:val="none" w:sz="0" w:space="0" w:color="auto"/>
        <w:left w:val="none" w:sz="0" w:space="0" w:color="auto"/>
        <w:bottom w:val="none" w:sz="0" w:space="0" w:color="auto"/>
        <w:right w:val="none" w:sz="0" w:space="0" w:color="auto"/>
      </w:divBdr>
    </w:div>
    <w:div w:id="2016759718">
      <w:bodyDiv w:val="1"/>
      <w:marLeft w:val="0"/>
      <w:marRight w:val="0"/>
      <w:marTop w:val="0"/>
      <w:marBottom w:val="0"/>
      <w:divBdr>
        <w:top w:val="none" w:sz="0" w:space="0" w:color="auto"/>
        <w:left w:val="none" w:sz="0" w:space="0" w:color="auto"/>
        <w:bottom w:val="none" w:sz="0" w:space="0" w:color="auto"/>
        <w:right w:val="none" w:sz="0" w:space="0" w:color="auto"/>
      </w:divBdr>
    </w:div>
    <w:div w:id="2017419645">
      <w:bodyDiv w:val="1"/>
      <w:marLeft w:val="0"/>
      <w:marRight w:val="0"/>
      <w:marTop w:val="0"/>
      <w:marBottom w:val="0"/>
      <w:divBdr>
        <w:top w:val="none" w:sz="0" w:space="0" w:color="auto"/>
        <w:left w:val="none" w:sz="0" w:space="0" w:color="auto"/>
        <w:bottom w:val="none" w:sz="0" w:space="0" w:color="auto"/>
        <w:right w:val="none" w:sz="0" w:space="0" w:color="auto"/>
      </w:divBdr>
    </w:div>
    <w:div w:id="2022508925">
      <w:bodyDiv w:val="1"/>
      <w:marLeft w:val="0"/>
      <w:marRight w:val="0"/>
      <w:marTop w:val="0"/>
      <w:marBottom w:val="0"/>
      <w:divBdr>
        <w:top w:val="none" w:sz="0" w:space="0" w:color="auto"/>
        <w:left w:val="none" w:sz="0" w:space="0" w:color="auto"/>
        <w:bottom w:val="none" w:sz="0" w:space="0" w:color="auto"/>
        <w:right w:val="none" w:sz="0" w:space="0" w:color="auto"/>
      </w:divBdr>
    </w:div>
    <w:div w:id="2024478562">
      <w:bodyDiv w:val="1"/>
      <w:marLeft w:val="0"/>
      <w:marRight w:val="0"/>
      <w:marTop w:val="0"/>
      <w:marBottom w:val="0"/>
      <w:divBdr>
        <w:top w:val="none" w:sz="0" w:space="0" w:color="auto"/>
        <w:left w:val="none" w:sz="0" w:space="0" w:color="auto"/>
        <w:bottom w:val="none" w:sz="0" w:space="0" w:color="auto"/>
        <w:right w:val="none" w:sz="0" w:space="0" w:color="auto"/>
      </w:divBdr>
    </w:div>
    <w:div w:id="2025092649">
      <w:bodyDiv w:val="1"/>
      <w:marLeft w:val="0"/>
      <w:marRight w:val="0"/>
      <w:marTop w:val="0"/>
      <w:marBottom w:val="0"/>
      <w:divBdr>
        <w:top w:val="none" w:sz="0" w:space="0" w:color="auto"/>
        <w:left w:val="none" w:sz="0" w:space="0" w:color="auto"/>
        <w:bottom w:val="none" w:sz="0" w:space="0" w:color="auto"/>
        <w:right w:val="none" w:sz="0" w:space="0" w:color="auto"/>
      </w:divBdr>
    </w:div>
    <w:div w:id="2025553497">
      <w:bodyDiv w:val="1"/>
      <w:marLeft w:val="0"/>
      <w:marRight w:val="0"/>
      <w:marTop w:val="0"/>
      <w:marBottom w:val="0"/>
      <w:divBdr>
        <w:top w:val="none" w:sz="0" w:space="0" w:color="auto"/>
        <w:left w:val="none" w:sz="0" w:space="0" w:color="auto"/>
        <w:bottom w:val="none" w:sz="0" w:space="0" w:color="auto"/>
        <w:right w:val="none" w:sz="0" w:space="0" w:color="auto"/>
      </w:divBdr>
    </w:div>
    <w:div w:id="2031952774">
      <w:bodyDiv w:val="1"/>
      <w:marLeft w:val="0"/>
      <w:marRight w:val="0"/>
      <w:marTop w:val="0"/>
      <w:marBottom w:val="0"/>
      <w:divBdr>
        <w:top w:val="none" w:sz="0" w:space="0" w:color="auto"/>
        <w:left w:val="none" w:sz="0" w:space="0" w:color="auto"/>
        <w:bottom w:val="none" w:sz="0" w:space="0" w:color="auto"/>
        <w:right w:val="none" w:sz="0" w:space="0" w:color="auto"/>
      </w:divBdr>
    </w:div>
    <w:div w:id="2047831627">
      <w:bodyDiv w:val="1"/>
      <w:marLeft w:val="0"/>
      <w:marRight w:val="0"/>
      <w:marTop w:val="0"/>
      <w:marBottom w:val="0"/>
      <w:divBdr>
        <w:top w:val="none" w:sz="0" w:space="0" w:color="auto"/>
        <w:left w:val="none" w:sz="0" w:space="0" w:color="auto"/>
        <w:bottom w:val="none" w:sz="0" w:space="0" w:color="auto"/>
        <w:right w:val="none" w:sz="0" w:space="0" w:color="auto"/>
      </w:divBdr>
    </w:div>
    <w:div w:id="2048095326">
      <w:bodyDiv w:val="1"/>
      <w:marLeft w:val="0"/>
      <w:marRight w:val="0"/>
      <w:marTop w:val="0"/>
      <w:marBottom w:val="0"/>
      <w:divBdr>
        <w:top w:val="none" w:sz="0" w:space="0" w:color="auto"/>
        <w:left w:val="none" w:sz="0" w:space="0" w:color="auto"/>
        <w:bottom w:val="none" w:sz="0" w:space="0" w:color="auto"/>
        <w:right w:val="none" w:sz="0" w:space="0" w:color="auto"/>
      </w:divBdr>
    </w:div>
    <w:div w:id="2060006184">
      <w:bodyDiv w:val="1"/>
      <w:marLeft w:val="0"/>
      <w:marRight w:val="0"/>
      <w:marTop w:val="0"/>
      <w:marBottom w:val="0"/>
      <w:divBdr>
        <w:top w:val="none" w:sz="0" w:space="0" w:color="auto"/>
        <w:left w:val="none" w:sz="0" w:space="0" w:color="auto"/>
        <w:bottom w:val="none" w:sz="0" w:space="0" w:color="auto"/>
        <w:right w:val="none" w:sz="0" w:space="0" w:color="auto"/>
      </w:divBdr>
    </w:div>
    <w:div w:id="2067410979">
      <w:bodyDiv w:val="1"/>
      <w:marLeft w:val="0"/>
      <w:marRight w:val="0"/>
      <w:marTop w:val="0"/>
      <w:marBottom w:val="0"/>
      <w:divBdr>
        <w:top w:val="none" w:sz="0" w:space="0" w:color="auto"/>
        <w:left w:val="none" w:sz="0" w:space="0" w:color="auto"/>
        <w:bottom w:val="none" w:sz="0" w:space="0" w:color="auto"/>
        <w:right w:val="none" w:sz="0" w:space="0" w:color="auto"/>
      </w:divBdr>
    </w:div>
    <w:div w:id="2067753082">
      <w:bodyDiv w:val="1"/>
      <w:marLeft w:val="0"/>
      <w:marRight w:val="0"/>
      <w:marTop w:val="0"/>
      <w:marBottom w:val="0"/>
      <w:divBdr>
        <w:top w:val="none" w:sz="0" w:space="0" w:color="auto"/>
        <w:left w:val="none" w:sz="0" w:space="0" w:color="auto"/>
        <w:bottom w:val="none" w:sz="0" w:space="0" w:color="auto"/>
        <w:right w:val="none" w:sz="0" w:space="0" w:color="auto"/>
      </w:divBdr>
    </w:div>
    <w:div w:id="2068915178">
      <w:bodyDiv w:val="1"/>
      <w:marLeft w:val="0"/>
      <w:marRight w:val="0"/>
      <w:marTop w:val="0"/>
      <w:marBottom w:val="0"/>
      <w:divBdr>
        <w:top w:val="none" w:sz="0" w:space="0" w:color="auto"/>
        <w:left w:val="none" w:sz="0" w:space="0" w:color="auto"/>
        <w:bottom w:val="none" w:sz="0" w:space="0" w:color="auto"/>
        <w:right w:val="none" w:sz="0" w:space="0" w:color="auto"/>
      </w:divBdr>
    </w:div>
    <w:div w:id="2080132160">
      <w:bodyDiv w:val="1"/>
      <w:marLeft w:val="0"/>
      <w:marRight w:val="0"/>
      <w:marTop w:val="0"/>
      <w:marBottom w:val="0"/>
      <w:divBdr>
        <w:top w:val="none" w:sz="0" w:space="0" w:color="auto"/>
        <w:left w:val="none" w:sz="0" w:space="0" w:color="auto"/>
        <w:bottom w:val="none" w:sz="0" w:space="0" w:color="auto"/>
        <w:right w:val="none" w:sz="0" w:space="0" w:color="auto"/>
      </w:divBdr>
    </w:div>
    <w:div w:id="2102296207">
      <w:bodyDiv w:val="1"/>
      <w:marLeft w:val="0"/>
      <w:marRight w:val="0"/>
      <w:marTop w:val="0"/>
      <w:marBottom w:val="0"/>
      <w:divBdr>
        <w:top w:val="none" w:sz="0" w:space="0" w:color="auto"/>
        <w:left w:val="none" w:sz="0" w:space="0" w:color="auto"/>
        <w:bottom w:val="none" w:sz="0" w:space="0" w:color="auto"/>
        <w:right w:val="none" w:sz="0" w:space="0" w:color="auto"/>
      </w:divBdr>
    </w:div>
    <w:div w:id="2119525462">
      <w:bodyDiv w:val="1"/>
      <w:marLeft w:val="0"/>
      <w:marRight w:val="0"/>
      <w:marTop w:val="0"/>
      <w:marBottom w:val="0"/>
      <w:divBdr>
        <w:top w:val="none" w:sz="0" w:space="0" w:color="auto"/>
        <w:left w:val="none" w:sz="0" w:space="0" w:color="auto"/>
        <w:bottom w:val="none" w:sz="0" w:space="0" w:color="auto"/>
        <w:right w:val="none" w:sz="0" w:space="0" w:color="auto"/>
      </w:divBdr>
    </w:div>
    <w:div w:id="2124154977">
      <w:bodyDiv w:val="1"/>
      <w:marLeft w:val="0"/>
      <w:marRight w:val="0"/>
      <w:marTop w:val="0"/>
      <w:marBottom w:val="0"/>
      <w:divBdr>
        <w:top w:val="none" w:sz="0" w:space="0" w:color="auto"/>
        <w:left w:val="none" w:sz="0" w:space="0" w:color="auto"/>
        <w:bottom w:val="none" w:sz="0" w:space="0" w:color="auto"/>
        <w:right w:val="none" w:sz="0" w:space="0" w:color="auto"/>
      </w:divBdr>
    </w:div>
    <w:div w:id="2139100641">
      <w:bodyDiv w:val="1"/>
      <w:marLeft w:val="0"/>
      <w:marRight w:val="0"/>
      <w:marTop w:val="0"/>
      <w:marBottom w:val="0"/>
      <w:divBdr>
        <w:top w:val="none" w:sz="0" w:space="0" w:color="auto"/>
        <w:left w:val="none" w:sz="0" w:space="0" w:color="auto"/>
        <w:bottom w:val="none" w:sz="0" w:space="0" w:color="auto"/>
        <w:right w:val="none" w:sz="0" w:space="0" w:color="auto"/>
      </w:divBdr>
    </w:div>
    <w:div w:id="2145195153">
      <w:bodyDiv w:val="1"/>
      <w:marLeft w:val="0"/>
      <w:marRight w:val="0"/>
      <w:marTop w:val="0"/>
      <w:marBottom w:val="0"/>
      <w:divBdr>
        <w:top w:val="none" w:sz="0" w:space="0" w:color="auto"/>
        <w:left w:val="none" w:sz="0" w:space="0" w:color="auto"/>
        <w:bottom w:val="none" w:sz="0" w:space="0" w:color="auto"/>
        <w:right w:val="none" w:sz="0" w:space="0" w:color="auto"/>
      </w:divBdr>
    </w:div>
    <w:div w:id="21468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orisnik\IZVJE&#352;TAJI\2022%20GODINA\godi&#353;nji\GODI&#352;NJI%20OBR.PROR.2022.%20-%20pomo&#263;n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orisnik\IZVJE&#352;TAJI\2022%20GODINA\godi&#353;nji\GODI&#352;NJI%20OBR.PROR.2022.%20-%20pomo&#263;ni.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Korisnik\IZVJE&#352;TAJI\2022%20GODINA\godi&#353;nji\GODI&#352;NJI%20OBR.PROR.2022.%20-%20pomo&#263;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3564013840830448"/>
          <c:y val="0.28888951581926176"/>
          <c:w val="0.33044982698961939"/>
          <c:h val="0.42444536554983842"/>
        </c:manualLayout>
      </c:layout>
      <c:pieChart>
        <c:varyColors val="1"/>
        <c:ser>
          <c:idx val="0"/>
          <c:order val="0"/>
          <c:spPr>
            <a:ln w="12700">
              <a:solidFill>
                <a:srgbClr val="000000"/>
              </a:solidFill>
              <a:prstDash val="solid"/>
            </a:ln>
          </c:spPr>
          <c:explosion val="1"/>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1-ABD8-4F06-97B6-FC0DB1535921}"/>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3-ABD8-4F06-97B6-FC0DB1535921}"/>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ABD8-4F06-97B6-FC0DB1535921}"/>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ABD8-4F06-97B6-FC0DB1535921}"/>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9-ABD8-4F06-97B6-FC0DB1535921}"/>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B-ABD8-4F06-97B6-FC0DB1535921}"/>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D-ABD8-4F06-97B6-FC0DB1535921}"/>
              </c:ext>
            </c:extLst>
          </c:dPt>
          <c:dPt>
            <c:idx val="7"/>
            <c:bubble3D val="0"/>
            <c:extLst>
              <c:ext xmlns:c16="http://schemas.microsoft.com/office/drawing/2014/chart" uri="{C3380CC4-5D6E-409C-BE32-E72D297353CC}">
                <c16:uniqueId val="{0000000E-ABD8-4F06-97B6-FC0DB1535921}"/>
              </c:ext>
            </c:extLst>
          </c:dPt>
          <c:dLbls>
            <c:dLbl>
              <c:idx val="0"/>
              <c:layout>
                <c:manualLayout>
                  <c:x val="8.4174862757539923E-2"/>
                  <c:y val="-5.0539583714826378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BD8-4F06-97B6-FC0DB1535921}"/>
                </c:ext>
              </c:extLst>
            </c:dLbl>
            <c:dLbl>
              <c:idx val="1"/>
              <c:layout>
                <c:manualLayout>
                  <c:x val="6.5716016267197322E-2"/>
                  <c:y val="1.6464627968015625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BD8-4F06-97B6-FC0DB1535921}"/>
                </c:ext>
              </c:extLst>
            </c:dLbl>
            <c:dLbl>
              <c:idx val="2"/>
              <c:layout>
                <c:manualLayout>
                  <c:x val="-6.7660004037956814E-2"/>
                  <c:y val="4.512665567966781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BD8-4F06-97B6-FC0DB1535921}"/>
                </c:ext>
              </c:extLst>
            </c:dLbl>
            <c:dLbl>
              <c:idx val="3"/>
              <c:layout>
                <c:manualLayout>
                  <c:x val="-4.4014498187726535E-2"/>
                  <c:y val="9.6702069218091921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BD8-4F06-97B6-FC0DB1535921}"/>
                </c:ext>
              </c:extLst>
            </c:dLbl>
            <c:dLbl>
              <c:idx val="4"/>
              <c:layout>
                <c:manualLayout>
                  <c:x val="-6.7495601511349562E-2"/>
                  <c:y val="4.4855337850210585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BD8-4F06-97B6-FC0DB1535921}"/>
                </c:ext>
              </c:extLst>
            </c:dLbl>
            <c:dLbl>
              <c:idx val="5"/>
              <c:layout>
                <c:manualLayout>
                  <c:x val="2.508571044004115E-2"/>
                  <c:y val="-0.14322804126228408"/>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BD8-4F06-97B6-FC0DB1535921}"/>
                </c:ext>
              </c:extLst>
            </c:dLbl>
            <c:dLbl>
              <c:idx val="6"/>
              <c:layout>
                <c:manualLayout>
                  <c:x val="0.18577735475373261"/>
                  <c:y val="-9.9524201916620883E-2"/>
                </c:manualLayout>
              </c:layout>
              <c:numFmt formatCode="0.00%" sourceLinked="0"/>
              <c:spPr>
                <a:noFill/>
                <a:ln w="25400">
                  <a:noFill/>
                </a:ln>
              </c:spPr>
              <c:txPr>
                <a:bodyPr anchorCtr="0"/>
                <a:lstStyle/>
                <a:p>
                  <a:pPr algn="ctr" rtl="0">
                    <a:defRPr lang="en-US" sz="800" b="0" i="0" u="none" strike="noStrike" kern="1200"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ABD8-4F06-97B6-FC0DB1535921}"/>
                </c:ext>
              </c:extLst>
            </c:dLbl>
            <c:dLbl>
              <c:idx val="7"/>
              <c:layout>
                <c:manualLayout>
                  <c:x val="0.20688125522771192"/>
                  <c:y val="-8.5030824635292684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ABD8-4F06-97B6-FC0DB1535921}"/>
                </c:ext>
              </c:extLst>
            </c:dLbl>
            <c:numFmt formatCode="0.00%"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sr-Latn-RS"/>
              </a:p>
            </c:txPr>
            <c:showLegendKey val="0"/>
            <c:showVal val="0"/>
            <c:showCatName val="1"/>
            <c:showSerName val="0"/>
            <c:showPercent val="1"/>
            <c:showBubbleSize val="0"/>
            <c:showLeaderLines val="1"/>
            <c:extLst>
              <c:ext xmlns:c15="http://schemas.microsoft.com/office/drawing/2012/chart" uri="{CE6537A1-D6FC-4f65-9D91-7224C49458BB}"/>
            </c:extLst>
          </c:dLbls>
          <c:cat>
            <c:strRef>
              <c:f>'graf-prihodi'!$B$5:$B$11</c:f>
              <c:strCache>
                <c:ptCount val="7"/>
                <c:pt idx="0">
                  <c:v>Prihodi od poreza</c:v>
                </c:pt>
                <c:pt idx="1">
                  <c:v>Pomoći iz inozemstva i od subjekata
unutar općeg proračuna</c:v>
                </c:pt>
                <c:pt idx="2">
                  <c:v>Prihodi od imovine</c:v>
                </c:pt>
                <c:pt idx="3">
                  <c:v>Prihodi od upravnih i administrativnih 
pristojbi i pristojbi po posebnim propisima</c:v>
                </c:pt>
                <c:pt idx="4">
                  <c:v>Prihodi od prodaje, usluga i donacija</c:v>
                </c:pt>
                <c:pt idx="5">
                  <c:v>Kazne i upravne mjere i ostali prihodi</c:v>
                </c:pt>
                <c:pt idx="6">
                  <c:v>Prihodi od prodaje nefinancijske imovine</c:v>
                </c:pt>
              </c:strCache>
            </c:strRef>
          </c:cat>
          <c:val>
            <c:numRef>
              <c:f>'graf-prihodi'!$C$5:$C$11</c:f>
              <c:numCache>
                <c:formatCode>#,##0.00_ ;\-#,##0.00\ </c:formatCode>
                <c:ptCount val="7"/>
                <c:pt idx="0">
                  <c:v>50.31</c:v>
                </c:pt>
                <c:pt idx="1">
                  <c:v>9.73</c:v>
                </c:pt>
                <c:pt idx="2">
                  <c:v>3.99</c:v>
                </c:pt>
                <c:pt idx="3">
                  <c:v>24.57</c:v>
                </c:pt>
                <c:pt idx="4">
                  <c:v>0.75</c:v>
                </c:pt>
                <c:pt idx="5">
                  <c:v>0.11</c:v>
                </c:pt>
                <c:pt idx="6">
                  <c:v>10.54</c:v>
                </c:pt>
              </c:numCache>
            </c:numRef>
          </c:val>
          <c:extLst>
            <c:ext xmlns:c16="http://schemas.microsoft.com/office/drawing/2014/chart" uri="{C3380CC4-5D6E-409C-BE32-E72D297353CC}">
              <c16:uniqueId val="{0000000F-ABD8-4F06-97B6-FC0DB1535921}"/>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6350">
      <a:solidFill>
        <a:srgbClr val="000000"/>
      </a:solidFill>
      <a:prstDash val="solid"/>
    </a:ln>
  </c:spPr>
  <c:txPr>
    <a:bodyPr/>
    <a:lstStyle/>
    <a:p>
      <a:pPr>
        <a:defRPr sz="1550" b="0" i="0" u="none" strike="noStrike" baseline="0">
          <a:solidFill>
            <a:srgbClr val="000000"/>
          </a:solidFill>
          <a:latin typeface="Arial"/>
          <a:ea typeface="Arial"/>
          <a:cs typeface="Arial"/>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realizacija 2021</c:v>
          </c:tx>
          <c:invertIfNegative val="0"/>
          <c:cat>
            <c:strRef>
              <c:f>'graf-prihodi2'!$A$4:$A$11</c:f>
              <c:strCache>
                <c:ptCount val="8"/>
                <c:pt idx="0">
                  <c:v>Prihodi od poreza</c:v>
                </c:pt>
                <c:pt idx="1">
                  <c:v>Pomoći iz inoz. i od subjekata 
unutar općeg proračuna</c:v>
                </c:pt>
                <c:pt idx="2">
                  <c:v>Prihodi od imovine</c:v>
                </c:pt>
                <c:pt idx="3">
                  <c:v>Prihodi od upr.i admin.prist.i prist.po pos.prop.</c:v>
                </c:pt>
                <c:pt idx="4">
                  <c:v>Prihodi od prodaje proizv. roba, usl. i prih. od donacija</c:v>
                </c:pt>
                <c:pt idx="5">
                  <c:v>Kazne i upravne mjere i ostali prihodi</c:v>
                </c:pt>
                <c:pt idx="6">
                  <c:v>Prihodi od prodaje nefinancijske imovine</c:v>
                </c:pt>
                <c:pt idx="7">
                  <c:v>Primici od financijske imovine i zaduživanja</c:v>
                </c:pt>
              </c:strCache>
            </c:strRef>
          </c:cat>
          <c:val>
            <c:numRef>
              <c:f>'graf-prihodi2'!$B$4:$B$11</c:f>
              <c:numCache>
                <c:formatCode>#,##0</c:formatCode>
                <c:ptCount val="8"/>
                <c:pt idx="0">
                  <c:v>13338337.970000001</c:v>
                </c:pt>
                <c:pt idx="1">
                  <c:v>7513355.4299999997</c:v>
                </c:pt>
                <c:pt idx="2">
                  <c:v>1472416.63</c:v>
                </c:pt>
                <c:pt idx="3">
                  <c:v>9376231.75</c:v>
                </c:pt>
                <c:pt idx="4">
                  <c:v>428776.83</c:v>
                </c:pt>
                <c:pt idx="5">
                  <c:v>45574.09</c:v>
                </c:pt>
                <c:pt idx="6">
                  <c:v>4580232.1100000003</c:v>
                </c:pt>
                <c:pt idx="7">
                  <c:v>2514605.44</c:v>
                </c:pt>
              </c:numCache>
            </c:numRef>
          </c:val>
          <c:extLst>
            <c:ext xmlns:c16="http://schemas.microsoft.com/office/drawing/2014/chart" uri="{C3380CC4-5D6E-409C-BE32-E72D297353CC}">
              <c16:uniqueId val="{00000000-BB66-49BD-9D04-2F4E01D69A07}"/>
            </c:ext>
          </c:extLst>
        </c:ser>
        <c:ser>
          <c:idx val="1"/>
          <c:order val="1"/>
          <c:tx>
            <c:v>plan 2022</c:v>
          </c:tx>
          <c:invertIfNegative val="0"/>
          <c:cat>
            <c:strRef>
              <c:f>'graf-prihodi2'!$A$4:$A$11</c:f>
              <c:strCache>
                <c:ptCount val="8"/>
                <c:pt idx="0">
                  <c:v>Prihodi od poreza</c:v>
                </c:pt>
                <c:pt idx="1">
                  <c:v>Pomoći iz inoz. i od subjekata 
unutar općeg proračuna</c:v>
                </c:pt>
                <c:pt idx="2">
                  <c:v>Prihodi od imovine</c:v>
                </c:pt>
                <c:pt idx="3">
                  <c:v>Prihodi od upr.i admin.prist.i prist.po pos.prop.</c:v>
                </c:pt>
                <c:pt idx="4">
                  <c:v>Prihodi od prodaje proizv. roba, usl. i prih. od donacija</c:v>
                </c:pt>
                <c:pt idx="5">
                  <c:v>Kazne i upravne mjere i ostali prihodi</c:v>
                </c:pt>
                <c:pt idx="6">
                  <c:v>Prihodi od prodaje nefinancijske imovine</c:v>
                </c:pt>
                <c:pt idx="7">
                  <c:v>Primici od financijske imovine i zaduživanja</c:v>
                </c:pt>
              </c:strCache>
            </c:strRef>
          </c:cat>
          <c:val>
            <c:numRef>
              <c:f>'graf-prihodi2'!$C$4:$C$11</c:f>
              <c:numCache>
                <c:formatCode>#,##0</c:formatCode>
                <c:ptCount val="8"/>
                <c:pt idx="0">
                  <c:v>18216009.710000001</c:v>
                </c:pt>
                <c:pt idx="1">
                  <c:v>3273448.7</c:v>
                </c:pt>
                <c:pt idx="2">
                  <c:v>1565134</c:v>
                </c:pt>
                <c:pt idx="3">
                  <c:v>11104679.42</c:v>
                </c:pt>
                <c:pt idx="4">
                  <c:v>260784.36</c:v>
                </c:pt>
                <c:pt idx="5">
                  <c:v>55000</c:v>
                </c:pt>
                <c:pt idx="6">
                  <c:v>6100000</c:v>
                </c:pt>
                <c:pt idx="7">
                  <c:v>0</c:v>
                </c:pt>
              </c:numCache>
            </c:numRef>
          </c:val>
          <c:extLst>
            <c:ext xmlns:c16="http://schemas.microsoft.com/office/drawing/2014/chart" uri="{C3380CC4-5D6E-409C-BE32-E72D297353CC}">
              <c16:uniqueId val="{00000001-BB66-49BD-9D04-2F4E01D69A07}"/>
            </c:ext>
          </c:extLst>
        </c:ser>
        <c:ser>
          <c:idx val="2"/>
          <c:order val="2"/>
          <c:tx>
            <c:v>realizacija 2022</c:v>
          </c:tx>
          <c:invertIfNegative val="0"/>
          <c:cat>
            <c:strRef>
              <c:f>'graf-prihodi2'!$A$4:$A$11</c:f>
              <c:strCache>
                <c:ptCount val="8"/>
                <c:pt idx="0">
                  <c:v>Prihodi od poreza</c:v>
                </c:pt>
                <c:pt idx="1">
                  <c:v>Pomoći iz inoz. i od subjekata 
unutar općeg proračuna</c:v>
                </c:pt>
                <c:pt idx="2">
                  <c:v>Prihodi od imovine</c:v>
                </c:pt>
                <c:pt idx="3">
                  <c:v>Prihodi od upr.i admin.prist.i prist.po pos.prop.</c:v>
                </c:pt>
                <c:pt idx="4">
                  <c:v>Prihodi od prodaje proizv. roba, usl. i prih. od donacija</c:v>
                </c:pt>
                <c:pt idx="5">
                  <c:v>Kazne i upravne mjere i ostali prihodi</c:v>
                </c:pt>
                <c:pt idx="6">
                  <c:v>Prihodi od prodaje nefinancijske imovine</c:v>
                </c:pt>
                <c:pt idx="7">
                  <c:v>Primici od financijske imovine i zaduživanja</c:v>
                </c:pt>
              </c:strCache>
            </c:strRef>
          </c:cat>
          <c:val>
            <c:numRef>
              <c:f>'graf-prihodi2'!$D$4:$D$11</c:f>
              <c:numCache>
                <c:formatCode>#,##0</c:formatCode>
                <c:ptCount val="8"/>
                <c:pt idx="0">
                  <c:v>19074734.719999999</c:v>
                </c:pt>
                <c:pt idx="1">
                  <c:v>3688904.86</c:v>
                </c:pt>
                <c:pt idx="2">
                  <c:v>1514223.77</c:v>
                </c:pt>
                <c:pt idx="3">
                  <c:v>9314109.3800000008</c:v>
                </c:pt>
                <c:pt idx="4">
                  <c:v>284761.81</c:v>
                </c:pt>
                <c:pt idx="5">
                  <c:v>41731.5</c:v>
                </c:pt>
                <c:pt idx="6">
                  <c:v>3996473.16</c:v>
                </c:pt>
                <c:pt idx="7">
                  <c:v>0</c:v>
                </c:pt>
              </c:numCache>
            </c:numRef>
          </c:val>
          <c:extLst>
            <c:ext xmlns:c16="http://schemas.microsoft.com/office/drawing/2014/chart" uri="{C3380CC4-5D6E-409C-BE32-E72D297353CC}">
              <c16:uniqueId val="{00000002-BB66-49BD-9D04-2F4E01D69A07}"/>
            </c:ext>
          </c:extLst>
        </c:ser>
        <c:dLbls>
          <c:showLegendKey val="0"/>
          <c:showVal val="0"/>
          <c:showCatName val="0"/>
          <c:showSerName val="0"/>
          <c:showPercent val="0"/>
          <c:showBubbleSize val="0"/>
        </c:dLbls>
        <c:gapWidth val="150"/>
        <c:axId val="287213167"/>
        <c:axId val="1"/>
      </c:barChart>
      <c:catAx>
        <c:axId val="287213167"/>
        <c:scaling>
          <c:orientation val="minMax"/>
        </c:scaling>
        <c:delete val="0"/>
        <c:axPos val="b"/>
        <c:numFmt formatCode="General" sourceLinked="1"/>
        <c:majorTickMark val="out"/>
        <c:minorTickMark val="none"/>
        <c:tickLblPos val="nextTo"/>
        <c:txPr>
          <a:bodyPr rot="-2700000" vert="horz"/>
          <a:lstStyle/>
          <a:p>
            <a:pPr>
              <a:defRPr sz="700" b="0" i="0" u="none" strike="noStrike" baseline="0">
                <a:solidFill>
                  <a:srgbClr val="000000"/>
                </a:solidFill>
                <a:latin typeface="Calibri"/>
                <a:ea typeface="Calibri"/>
                <a:cs typeface="Calibri"/>
              </a:defRPr>
            </a:pPr>
            <a:endParaRPr lang="sr-Latn-RS"/>
          </a:p>
        </c:txPr>
        <c:crossAx val="1"/>
        <c:crosses val="autoZero"/>
        <c:auto val="0"/>
        <c:lblAlgn val="ctr"/>
        <c:lblOffset val="100"/>
        <c:noMultiLvlLbl val="0"/>
      </c:catAx>
      <c:valAx>
        <c:axId val="1"/>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r-Latn-RS"/>
          </a:p>
        </c:txPr>
        <c:crossAx val="287213167"/>
        <c:crosses val="autoZero"/>
        <c:crossBetween val="between"/>
      </c:valAx>
    </c:plotArea>
    <c:legend>
      <c:legendPos val="r"/>
      <c:layout>
        <c:manualLayout>
          <c:xMode val="edge"/>
          <c:yMode val="edge"/>
          <c:x val="0.85610226779206555"/>
          <c:y val="0.23355931405435307"/>
          <c:w val="0.11746690836307327"/>
          <c:h val="0.28773913350517288"/>
        </c:manualLayout>
      </c:layout>
      <c:overlay val="0"/>
      <c:txPr>
        <a:bodyPr/>
        <a:lstStyle/>
        <a:p>
          <a:pPr>
            <a:defRPr sz="775" b="0" i="0" u="none" strike="noStrike" baseline="0">
              <a:solidFill>
                <a:srgbClr val="000000"/>
              </a:solidFill>
              <a:latin typeface="Calibri"/>
              <a:ea typeface="Calibri"/>
              <a:cs typeface="Calibri"/>
            </a:defRPr>
          </a:pPr>
          <a:endParaRPr lang="sr-Latn-RS"/>
        </a:p>
      </c:txPr>
    </c:legend>
    <c:plotVisOnly val="1"/>
    <c:dispBlanksAs val="gap"/>
    <c:showDLblsOverMax val="0"/>
  </c:chart>
  <c:spPr>
    <a:ln>
      <a:solidFill>
        <a:schemeClr val="tx1"/>
      </a:solidFill>
    </a:ln>
  </c:spPr>
  <c:txPr>
    <a:bodyPr/>
    <a:lstStyle/>
    <a:p>
      <a:pPr>
        <a:defRPr sz="1000" b="0"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685519001148841"/>
          <c:y val="0.31887755102040816"/>
          <c:w val="0.28830673543301039"/>
          <c:h val="0.36479591836734693"/>
        </c:manualLayout>
      </c:layout>
      <c:pieChart>
        <c:varyColors val="1"/>
        <c:ser>
          <c:idx val="0"/>
          <c:order val="0"/>
          <c:spPr>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1-8C34-44F1-9C10-558E4C396765}"/>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3-8C34-44F1-9C10-558E4C396765}"/>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8C34-44F1-9C10-558E4C396765}"/>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8C34-44F1-9C10-558E4C396765}"/>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9-8C34-44F1-9C10-558E4C396765}"/>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B-8C34-44F1-9C10-558E4C396765}"/>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D-8C34-44F1-9C10-558E4C396765}"/>
              </c:ext>
            </c:extLst>
          </c:dPt>
          <c:dPt>
            <c:idx val="7"/>
            <c:bubble3D val="0"/>
            <c:extLst>
              <c:ext xmlns:c16="http://schemas.microsoft.com/office/drawing/2014/chart" uri="{C3380CC4-5D6E-409C-BE32-E72D297353CC}">
                <c16:uniqueId val="{0000000E-8C34-44F1-9C10-558E4C396765}"/>
              </c:ext>
            </c:extLst>
          </c:dPt>
          <c:dLbls>
            <c:dLbl>
              <c:idx val="0"/>
              <c:layout>
                <c:manualLayout>
                  <c:x val="7.7534866965158669E-2"/>
                  <c:y val="5.1821522309711252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C34-44F1-9C10-558E4C396765}"/>
                </c:ext>
              </c:extLst>
            </c:dLbl>
            <c:dLbl>
              <c:idx val="1"/>
              <c:layout>
                <c:manualLayout>
                  <c:x val="0.19409829653646235"/>
                  <c:y val="-3.9873728112753026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C34-44F1-9C10-558E4C396765}"/>
                </c:ext>
              </c:extLst>
            </c:dLbl>
            <c:dLbl>
              <c:idx val="2"/>
              <c:layout>
                <c:manualLayout>
                  <c:x val="0.20520940764757348"/>
                  <c:y val="0.14522043648653507"/>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C34-44F1-9C10-558E4C396765}"/>
                </c:ext>
              </c:extLst>
            </c:dLbl>
            <c:dLbl>
              <c:idx val="3"/>
              <c:layout>
                <c:manualLayout>
                  <c:x val="-5.6144511347846225E-2"/>
                  <c:y val="0.19256347751051667"/>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C34-44F1-9C10-558E4C396765}"/>
                </c:ext>
              </c:extLst>
            </c:dLbl>
            <c:dLbl>
              <c:idx val="4"/>
              <c:layout>
                <c:manualLayout>
                  <c:x val="-7.0522567032062194E-2"/>
                  <c:y val="9.6154460144536727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C34-44F1-9C10-558E4C396765}"/>
                </c:ext>
              </c:extLst>
            </c:dLbl>
            <c:dLbl>
              <c:idx val="5"/>
              <c:layout>
                <c:manualLayout>
                  <c:x val="-0.13211075086202459"/>
                  <c:y val="-4.0538453241290046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C34-44F1-9C10-558E4C396765}"/>
                </c:ext>
              </c:extLst>
            </c:dLbl>
            <c:dLbl>
              <c:idx val="6"/>
              <c:layout>
                <c:manualLayout>
                  <c:x val="-0.13254490247542586"/>
                  <c:y val="-0.15755567540358831"/>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C34-44F1-9C10-558E4C396765}"/>
                </c:ext>
              </c:extLst>
            </c:dLbl>
            <c:dLbl>
              <c:idx val="7"/>
              <c:layout>
                <c:manualLayout>
                  <c:x val="-3.7674849467345992E-2"/>
                  <c:y val="-0.11878215223097113"/>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8C34-44F1-9C10-558E4C396765}"/>
                </c:ext>
              </c:extLst>
            </c:dLbl>
            <c:dLbl>
              <c:idx val="8"/>
              <c:layout>
                <c:manualLayout>
                  <c:x val="7.5470536771138907E-2"/>
                  <c:y val="-8.1535972387013267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C34-44F1-9C10-558E4C396765}"/>
                </c:ext>
              </c:extLst>
            </c:dLbl>
            <c:dLbl>
              <c:idx val="9"/>
              <c:layout>
                <c:manualLayout>
                  <c:x val="0.19772500211667091"/>
                  <c:y val="-1.0792490224436247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8C34-44F1-9C10-558E4C396765}"/>
                </c:ext>
              </c:extLst>
            </c:dLbl>
            <c:numFmt formatCode="0%"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sr-Latn-RS"/>
              </a:p>
            </c:txPr>
            <c:showLegendKey val="0"/>
            <c:showVal val="0"/>
            <c:showCatName val="1"/>
            <c:showSerName val="0"/>
            <c:showPercent val="1"/>
            <c:showBubbleSize val="0"/>
            <c:showLeaderLines val="1"/>
            <c:extLst>
              <c:ext xmlns:c15="http://schemas.microsoft.com/office/drawing/2012/chart" uri="{CE6537A1-D6FC-4f65-9D91-7224C49458BB}"/>
            </c:extLst>
          </c:dLbls>
          <c:cat>
            <c:strRef>
              <c:f>'graf-rashodi'!$B$6:$B$14</c:f>
              <c:strCache>
                <c:ptCount val="9"/>
                <c:pt idx="0">
                  <c:v>Rashodi za zaposlene</c:v>
                </c:pt>
                <c:pt idx="1">
                  <c:v>Materijalni rashodi</c:v>
                </c:pt>
                <c:pt idx="2">
                  <c:v>Financijski rashodi</c:v>
                </c:pt>
                <c:pt idx="3">
                  <c:v>Subvencije</c:v>
                </c:pt>
                <c:pt idx="4">
                  <c:v>Pomoći dane u inozemstvo i unutar 
općeg proračuna</c:v>
                </c:pt>
                <c:pt idx="5">
                  <c:v>Naknade građanima i kućanstvima</c:v>
                </c:pt>
                <c:pt idx="6">
                  <c:v>Ostali rashodi </c:v>
                </c:pt>
                <c:pt idx="7">
                  <c:v>Rashodi za nabavu nefinancijske imovine</c:v>
                </c:pt>
                <c:pt idx="8">
                  <c:v>Izdaci za financijsku imovinu i otplate kredita</c:v>
                </c:pt>
              </c:strCache>
            </c:strRef>
          </c:cat>
          <c:val>
            <c:numRef>
              <c:f>'graf-rashodi'!$C$6:$C$14</c:f>
              <c:numCache>
                <c:formatCode>_-* #,##0.00\ _k_n_-;\-* #,##0.00\ _k_n_-;_-* "-"??\ _k_n_-;_-@_-</c:formatCode>
                <c:ptCount val="9"/>
                <c:pt idx="0">
                  <c:v>23.41</c:v>
                </c:pt>
                <c:pt idx="1">
                  <c:v>39.42</c:v>
                </c:pt>
                <c:pt idx="2">
                  <c:v>0.39</c:v>
                </c:pt>
                <c:pt idx="3">
                  <c:v>0.06</c:v>
                </c:pt>
                <c:pt idx="4">
                  <c:v>6.77</c:v>
                </c:pt>
                <c:pt idx="5">
                  <c:v>1.58</c:v>
                </c:pt>
                <c:pt idx="6">
                  <c:v>7.06</c:v>
                </c:pt>
                <c:pt idx="7">
                  <c:v>18.11</c:v>
                </c:pt>
                <c:pt idx="8">
                  <c:v>3.2</c:v>
                </c:pt>
              </c:numCache>
            </c:numRef>
          </c:val>
          <c:extLst>
            <c:ext xmlns:c16="http://schemas.microsoft.com/office/drawing/2014/chart" uri="{C3380CC4-5D6E-409C-BE32-E72D297353CC}">
              <c16:uniqueId val="{00000011-8C34-44F1-9C10-558E4C396765}"/>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realizacija 2021</c:v>
          </c:tx>
          <c:invertIfNegative val="0"/>
          <c:cat>
            <c:strRef>
              <c:f>'graf-rashodi 2'!$A$3:$A$11</c:f>
              <c:strCache>
                <c:ptCount val="9"/>
                <c:pt idx="0">
                  <c:v>Rashodi za zaposlene</c:v>
                </c:pt>
                <c:pt idx="1">
                  <c:v>Materijalni rashodi</c:v>
                </c:pt>
                <c:pt idx="2">
                  <c:v>Financijski rashodi</c:v>
                </c:pt>
                <c:pt idx="3">
                  <c:v>Subvencije</c:v>
                </c:pt>
                <c:pt idx="4">
                  <c:v>Pomoći dane u inoz.i unutar opće drž.</c:v>
                </c:pt>
                <c:pt idx="5">
                  <c:v>Naknade građanima i kućanstvima</c:v>
                </c:pt>
                <c:pt idx="6">
                  <c:v>Ostali rashodi</c:v>
                </c:pt>
                <c:pt idx="7">
                  <c:v>Rashodi za nabavu nefinancijske imovine</c:v>
                </c:pt>
                <c:pt idx="8">
                  <c:v>Izdaci za financijsku imovinu</c:v>
                </c:pt>
              </c:strCache>
            </c:strRef>
          </c:cat>
          <c:val>
            <c:numRef>
              <c:f>'graf-rashodi 2'!$B$3:$B$11</c:f>
              <c:numCache>
                <c:formatCode>#,##0_ ;\-#,##0\ </c:formatCode>
                <c:ptCount val="9"/>
                <c:pt idx="0">
                  <c:v>8468839.3200000003</c:v>
                </c:pt>
                <c:pt idx="1">
                  <c:v>11991376.4</c:v>
                </c:pt>
                <c:pt idx="2">
                  <c:v>140025.16</c:v>
                </c:pt>
                <c:pt idx="3">
                  <c:v>12762.05</c:v>
                </c:pt>
                <c:pt idx="4">
                  <c:v>3070657.72</c:v>
                </c:pt>
                <c:pt idx="5">
                  <c:v>567416.98</c:v>
                </c:pt>
                <c:pt idx="6">
                  <c:v>1924062.36</c:v>
                </c:pt>
                <c:pt idx="7">
                  <c:v>9739905.3900000006</c:v>
                </c:pt>
                <c:pt idx="8">
                  <c:v>2186397.02</c:v>
                </c:pt>
              </c:numCache>
            </c:numRef>
          </c:val>
          <c:extLst>
            <c:ext xmlns:c16="http://schemas.microsoft.com/office/drawing/2014/chart" uri="{C3380CC4-5D6E-409C-BE32-E72D297353CC}">
              <c16:uniqueId val="{00000000-1684-4427-A5C2-4FDC4D023932}"/>
            </c:ext>
          </c:extLst>
        </c:ser>
        <c:ser>
          <c:idx val="1"/>
          <c:order val="1"/>
          <c:tx>
            <c:v>plan 2022.</c:v>
          </c:tx>
          <c:invertIfNegative val="0"/>
          <c:cat>
            <c:strRef>
              <c:f>'graf-rashodi 2'!$A$3:$A$11</c:f>
              <c:strCache>
                <c:ptCount val="9"/>
                <c:pt idx="0">
                  <c:v>Rashodi za zaposlene</c:v>
                </c:pt>
                <c:pt idx="1">
                  <c:v>Materijalni rashodi</c:v>
                </c:pt>
                <c:pt idx="2">
                  <c:v>Financijski rashodi</c:v>
                </c:pt>
                <c:pt idx="3">
                  <c:v>Subvencije</c:v>
                </c:pt>
                <c:pt idx="4">
                  <c:v>Pomoći dane u inoz.i unutar opće drž.</c:v>
                </c:pt>
                <c:pt idx="5">
                  <c:v>Naknade građanima i kućanstvima</c:v>
                </c:pt>
                <c:pt idx="6">
                  <c:v>Ostali rashodi</c:v>
                </c:pt>
                <c:pt idx="7">
                  <c:v>Rashodi za nabavu nefinancijske imovine</c:v>
                </c:pt>
                <c:pt idx="8">
                  <c:v>Izdaci za financijsku imovinu</c:v>
                </c:pt>
              </c:strCache>
            </c:strRef>
          </c:cat>
          <c:val>
            <c:numRef>
              <c:f>'graf-rashodi 2'!$C$3:$C$11</c:f>
              <c:numCache>
                <c:formatCode>#,##0_ ;\-#,##0\ </c:formatCode>
                <c:ptCount val="9"/>
                <c:pt idx="0">
                  <c:v>9226956.2200000007</c:v>
                </c:pt>
                <c:pt idx="1">
                  <c:v>16022561.130000001</c:v>
                </c:pt>
                <c:pt idx="2">
                  <c:v>167350</c:v>
                </c:pt>
                <c:pt idx="3">
                  <c:v>530000</c:v>
                </c:pt>
                <c:pt idx="4">
                  <c:v>2673424.9500000002</c:v>
                </c:pt>
                <c:pt idx="5">
                  <c:v>781000</c:v>
                </c:pt>
                <c:pt idx="6">
                  <c:v>3216058.85</c:v>
                </c:pt>
                <c:pt idx="7">
                  <c:v>7299636.0999999996</c:v>
                </c:pt>
                <c:pt idx="8">
                  <c:v>1219000</c:v>
                </c:pt>
              </c:numCache>
            </c:numRef>
          </c:val>
          <c:extLst>
            <c:ext xmlns:c16="http://schemas.microsoft.com/office/drawing/2014/chart" uri="{C3380CC4-5D6E-409C-BE32-E72D297353CC}">
              <c16:uniqueId val="{00000001-1684-4427-A5C2-4FDC4D023932}"/>
            </c:ext>
          </c:extLst>
        </c:ser>
        <c:ser>
          <c:idx val="2"/>
          <c:order val="2"/>
          <c:tx>
            <c:v>realizacija 2022</c:v>
          </c:tx>
          <c:invertIfNegative val="0"/>
          <c:cat>
            <c:strRef>
              <c:f>'graf-rashodi 2'!$A$3:$A$11</c:f>
              <c:strCache>
                <c:ptCount val="9"/>
                <c:pt idx="0">
                  <c:v>Rashodi za zaposlene</c:v>
                </c:pt>
                <c:pt idx="1">
                  <c:v>Materijalni rashodi</c:v>
                </c:pt>
                <c:pt idx="2">
                  <c:v>Financijski rashodi</c:v>
                </c:pt>
                <c:pt idx="3">
                  <c:v>Subvencije</c:v>
                </c:pt>
                <c:pt idx="4">
                  <c:v>Pomoći dane u inoz.i unutar opće drž.</c:v>
                </c:pt>
                <c:pt idx="5">
                  <c:v>Naknade građanima i kućanstvima</c:v>
                </c:pt>
                <c:pt idx="6">
                  <c:v>Ostali rashodi</c:v>
                </c:pt>
                <c:pt idx="7">
                  <c:v>Rashodi za nabavu nefinancijske imovine</c:v>
                </c:pt>
                <c:pt idx="8">
                  <c:v>Izdaci za financijsku imovinu</c:v>
                </c:pt>
              </c:strCache>
            </c:strRef>
          </c:cat>
          <c:val>
            <c:numRef>
              <c:f>'graf-rashodi 2'!$D$3:$D$11</c:f>
              <c:numCache>
                <c:formatCode>#,##0_ ;\-#,##0\ </c:formatCode>
                <c:ptCount val="9"/>
                <c:pt idx="0">
                  <c:v>8937007.1600000001</c:v>
                </c:pt>
                <c:pt idx="1">
                  <c:v>15049798.369999999</c:v>
                </c:pt>
                <c:pt idx="2">
                  <c:v>149033.67000000001</c:v>
                </c:pt>
                <c:pt idx="3">
                  <c:v>23983.43</c:v>
                </c:pt>
                <c:pt idx="4">
                  <c:v>2586255.73</c:v>
                </c:pt>
                <c:pt idx="5">
                  <c:v>604251.06999999995</c:v>
                </c:pt>
                <c:pt idx="6">
                  <c:v>2696396.84</c:v>
                </c:pt>
                <c:pt idx="7">
                  <c:v>6915985.0300000003</c:v>
                </c:pt>
                <c:pt idx="8">
                  <c:v>1216116.8</c:v>
                </c:pt>
              </c:numCache>
            </c:numRef>
          </c:val>
          <c:extLst>
            <c:ext xmlns:c16="http://schemas.microsoft.com/office/drawing/2014/chart" uri="{C3380CC4-5D6E-409C-BE32-E72D297353CC}">
              <c16:uniqueId val="{00000002-1684-4427-A5C2-4FDC4D023932}"/>
            </c:ext>
          </c:extLst>
        </c:ser>
        <c:dLbls>
          <c:showLegendKey val="0"/>
          <c:showVal val="0"/>
          <c:showCatName val="0"/>
          <c:showSerName val="0"/>
          <c:showPercent val="0"/>
          <c:showBubbleSize val="0"/>
        </c:dLbls>
        <c:gapWidth val="150"/>
        <c:axId val="287204847"/>
        <c:axId val="1"/>
      </c:barChart>
      <c:catAx>
        <c:axId val="287204847"/>
        <c:scaling>
          <c:orientation val="minMax"/>
        </c:scaling>
        <c:delete val="0"/>
        <c:axPos val="b"/>
        <c:numFmt formatCode="General" sourceLinked="1"/>
        <c:majorTickMark val="out"/>
        <c:minorTickMark val="none"/>
        <c:tickLblPos val="nextTo"/>
        <c:txPr>
          <a:bodyPr rot="-2700000" vert="horz"/>
          <a:lstStyle/>
          <a:p>
            <a:pPr>
              <a:defRPr sz="700" b="0" i="0" u="none" strike="noStrike" baseline="0">
                <a:solidFill>
                  <a:srgbClr val="000000"/>
                </a:solidFill>
                <a:latin typeface="Calibri"/>
                <a:ea typeface="Calibri"/>
                <a:cs typeface="Calibri"/>
              </a:defRPr>
            </a:pPr>
            <a:endParaRPr lang="sr-Latn-RS"/>
          </a:p>
        </c:txPr>
        <c:crossAx val="1"/>
        <c:crosses val="autoZero"/>
        <c:auto val="1"/>
        <c:lblAlgn val="ctr"/>
        <c:lblOffset val="100"/>
        <c:noMultiLvlLbl val="0"/>
      </c:catAx>
      <c:valAx>
        <c:axId val="1"/>
        <c:scaling>
          <c:orientation val="minMax"/>
        </c:scaling>
        <c:delete val="0"/>
        <c:axPos val="l"/>
        <c:majorGridlines/>
        <c:numFmt formatCode="#,##0_ ;\-#,##0\ "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r-Latn-RS"/>
          </a:p>
        </c:txPr>
        <c:crossAx val="287204847"/>
        <c:crosses val="autoZero"/>
        <c:crossBetween val="between"/>
      </c:valAx>
    </c:plotArea>
    <c:legend>
      <c:legendPos val="r"/>
      <c:layout>
        <c:manualLayout>
          <c:xMode val="edge"/>
          <c:yMode val="edge"/>
          <c:x val="0.83347085478302851"/>
          <c:y val="0.31064476199734292"/>
          <c:w val="0.1154030476406277"/>
          <c:h val="0.36832092284760698"/>
        </c:manualLayout>
      </c:layout>
      <c:overlay val="0"/>
      <c:txPr>
        <a:bodyPr/>
        <a:lstStyle/>
        <a:p>
          <a:pPr>
            <a:defRPr sz="775" b="0" i="0" u="none" strike="noStrike" baseline="0">
              <a:solidFill>
                <a:srgbClr val="000000"/>
              </a:solidFill>
              <a:latin typeface="Calibri"/>
              <a:ea typeface="Calibri"/>
              <a:cs typeface="Calibri"/>
            </a:defRPr>
          </a:pPr>
          <a:endParaRPr lang="sr-Latn-R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78E8C-DEBE-4FFC-816E-BE10E270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97</Pages>
  <Words>40862</Words>
  <Characters>232919</Characters>
  <Application>Microsoft Office Word</Application>
  <DocSecurity>0</DocSecurity>
  <Lines>1940</Lines>
  <Paragraphs>546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vt:lpstr>
      <vt:lpstr>OBRAZLOŽENJE</vt:lpstr>
    </vt:vector>
  </TitlesOfParts>
  <Company/>
  <LinksUpToDate>false</LinksUpToDate>
  <CharactersWithSpaces>273235</CharactersWithSpaces>
  <SharedDoc>false</SharedDoc>
  <HLinks>
    <vt:vector size="132" baseType="variant">
      <vt:variant>
        <vt:i4>1966140</vt:i4>
      </vt:variant>
      <vt:variant>
        <vt:i4>128</vt:i4>
      </vt:variant>
      <vt:variant>
        <vt:i4>0</vt:i4>
      </vt:variant>
      <vt:variant>
        <vt:i4>5</vt:i4>
      </vt:variant>
      <vt:variant>
        <vt:lpwstr/>
      </vt:variant>
      <vt:variant>
        <vt:lpwstr>_Toc79578562</vt:lpwstr>
      </vt:variant>
      <vt:variant>
        <vt:i4>1900604</vt:i4>
      </vt:variant>
      <vt:variant>
        <vt:i4>122</vt:i4>
      </vt:variant>
      <vt:variant>
        <vt:i4>0</vt:i4>
      </vt:variant>
      <vt:variant>
        <vt:i4>5</vt:i4>
      </vt:variant>
      <vt:variant>
        <vt:lpwstr/>
      </vt:variant>
      <vt:variant>
        <vt:lpwstr>_Toc79578561</vt:lpwstr>
      </vt:variant>
      <vt:variant>
        <vt:i4>1835068</vt:i4>
      </vt:variant>
      <vt:variant>
        <vt:i4>116</vt:i4>
      </vt:variant>
      <vt:variant>
        <vt:i4>0</vt:i4>
      </vt:variant>
      <vt:variant>
        <vt:i4>5</vt:i4>
      </vt:variant>
      <vt:variant>
        <vt:lpwstr/>
      </vt:variant>
      <vt:variant>
        <vt:lpwstr>_Toc79578560</vt:lpwstr>
      </vt:variant>
      <vt:variant>
        <vt:i4>1376319</vt:i4>
      </vt:variant>
      <vt:variant>
        <vt:i4>110</vt:i4>
      </vt:variant>
      <vt:variant>
        <vt:i4>0</vt:i4>
      </vt:variant>
      <vt:variant>
        <vt:i4>5</vt:i4>
      </vt:variant>
      <vt:variant>
        <vt:lpwstr/>
      </vt:variant>
      <vt:variant>
        <vt:lpwstr>_Toc79578559</vt:lpwstr>
      </vt:variant>
      <vt:variant>
        <vt:i4>1310783</vt:i4>
      </vt:variant>
      <vt:variant>
        <vt:i4>104</vt:i4>
      </vt:variant>
      <vt:variant>
        <vt:i4>0</vt:i4>
      </vt:variant>
      <vt:variant>
        <vt:i4>5</vt:i4>
      </vt:variant>
      <vt:variant>
        <vt:lpwstr/>
      </vt:variant>
      <vt:variant>
        <vt:lpwstr>_Toc79578558</vt:lpwstr>
      </vt:variant>
      <vt:variant>
        <vt:i4>1769535</vt:i4>
      </vt:variant>
      <vt:variant>
        <vt:i4>98</vt:i4>
      </vt:variant>
      <vt:variant>
        <vt:i4>0</vt:i4>
      </vt:variant>
      <vt:variant>
        <vt:i4>5</vt:i4>
      </vt:variant>
      <vt:variant>
        <vt:lpwstr/>
      </vt:variant>
      <vt:variant>
        <vt:lpwstr>_Toc79578557</vt:lpwstr>
      </vt:variant>
      <vt:variant>
        <vt:i4>1703999</vt:i4>
      </vt:variant>
      <vt:variant>
        <vt:i4>92</vt:i4>
      </vt:variant>
      <vt:variant>
        <vt:i4>0</vt:i4>
      </vt:variant>
      <vt:variant>
        <vt:i4>5</vt:i4>
      </vt:variant>
      <vt:variant>
        <vt:lpwstr/>
      </vt:variant>
      <vt:variant>
        <vt:lpwstr>_Toc79578556</vt:lpwstr>
      </vt:variant>
      <vt:variant>
        <vt:i4>1638463</vt:i4>
      </vt:variant>
      <vt:variant>
        <vt:i4>86</vt:i4>
      </vt:variant>
      <vt:variant>
        <vt:i4>0</vt:i4>
      </vt:variant>
      <vt:variant>
        <vt:i4>5</vt:i4>
      </vt:variant>
      <vt:variant>
        <vt:lpwstr/>
      </vt:variant>
      <vt:variant>
        <vt:lpwstr>_Toc79578555</vt:lpwstr>
      </vt:variant>
      <vt:variant>
        <vt:i4>1572927</vt:i4>
      </vt:variant>
      <vt:variant>
        <vt:i4>80</vt:i4>
      </vt:variant>
      <vt:variant>
        <vt:i4>0</vt:i4>
      </vt:variant>
      <vt:variant>
        <vt:i4>5</vt:i4>
      </vt:variant>
      <vt:variant>
        <vt:lpwstr/>
      </vt:variant>
      <vt:variant>
        <vt:lpwstr>_Toc79578554</vt:lpwstr>
      </vt:variant>
      <vt:variant>
        <vt:i4>2031679</vt:i4>
      </vt:variant>
      <vt:variant>
        <vt:i4>74</vt:i4>
      </vt:variant>
      <vt:variant>
        <vt:i4>0</vt:i4>
      </vt:variant>
      <vt:variant>
        <vt:i4>5</vt:i4>
      </vt:variant>
      <vt:variant>
        <vt:lpwstr/>
      </vt:variant>
      <vt:variant>
        <vt:lpwstr>_Toc79578553</vt:lpwstr>
      </vt:variant>
      <vt:variant>
        <vt:i4>1966143</vt:i4>
      </vt:variant>
      <vt:variant>
        <vt:i4>68</vt:i4>
      </vt:variant>
      <vt:variant>
        <vt:i4>0</vt:i4>
      </vt:variant>
      <vt:variant>
        <vt:i4>5</vt:i4>
      </vt:variant>
      <vt:variant>
        <vt:lpwstr/>
      </vt:variant>
      <vt:variant>
        <vt:lpwstr>_Toc79578552</vt:lpwstr>
      </vt:variant>
      <vt:variant>
        <vt:i4>1900607</vt:i4>
      </vt:variant>
      <vt:variant>
        <vt:i4>62</vt:i4>
      </vt:variant>
      <vt:variant>
        <vt:i4>0</vt:i4>
      </vt:variant>
      <vt:variant>
        <vt:i4>5</vt:i4>
      </vt:variant>
      <vt:variant>
        <vt:lpwstr/>
      </vt:variant>
      <vt:variant>
        <vt:lpwstr>_Toc79578551</vt:lpwstr>
      </vt:variant>
      <vt:variant>
        <vt:i4>1835071</vt:i4>
      </vt:variant>
      <vt:variant>
        <vt:i4>56</vt:i4>
      </vt:variant>
      <vt:variant>
        <vt:i4>0</vt:i4>
      </vt:variant>
      <vt:variant>
        <vt:i4>5</vt:i4>
      </vt:variant>
      <vt:variant>
        <vt:lpwstr/>
      </vt:variant>
      <vt:variant>
        <vt:lpwstr>_Toc79578550</vt:lpwstr>
      </vt:variant>
      <vt:variant>
        <vt:i4>1376318</vt:i4>
      </vt:variant>
      <vt:variant>
        <vt:i4>50</vt:i4>
      </vt:variant>
      <vt:variant>
        <vt:i4>0</vt:i4>
      </vt:variant>
      <vt:variant>
        <vt:i4>5</vt:i4>
      </vt:variant>
      <vt:variant>
        <vt:lpwstr/>
      </vt:variant>
      <vt:variant>
        <vt:lpwstr>_Toc79578549</vt:lpwstr>
      </vt:variant>
      <vt:variant>
        <vt:i4>1310782</vt:i4>
      </vt:variant>
      <vt:variant>
        <vt:i4>44</vt:i4>
      </vt:variant>
      <vt:variant>
        <vt:i4>0</vt:i4>
      </vt:variant>
      <vt:variant>
        <vt:i4>5</vt:i4>
      </vt:variant>
      <vt:variant>
        <vt:lpwstr/>
      </vt:variant>
      <vt:variant>
        <vt:lpwstr>_Toc79578548</vt:lpwstr>
      </vt:variant>
      <vt:variant>
        <vt:i4>1769534</vt:i4>
      </vt:variant>
      <vt:variant>
        <vt:i4>38</vt:i4>
      </vt:variant>
      <vt:variant>
        <vt:i4>0</vt:i4>
      </vt:variant>
      <vt:variant>
        <vt:i4>5</vt:i4>
      </vt:variant>
      <vt:variant>
        <vt:lpwstr/>
      </vt:variant>
      <vt:variant>
        <vt:lpwstr>_Toc79578547</vt:lpwstr>
      </vt:variant>
      <vt:variant>
        <vt:i4>1703998</vt:i4>
      </vt:variant>
      <vt:variant>
        <vt:i4>32</vt:i4>
      </vt:variant>
      <vt:variant>
        <vt:i4>0</vt:i4>
      </vt:variant>
      <vt:variant>
        <vt:i4>5</vt:i4>
      </vt:variant>
      <vt:variant>
        <vt:lpwstr/>
      </vt:variant>
      <vt:variant>
        <vt:lpwstr>_Toc79578546</vt:lpwstr>
      </vt:variant>
      <vt:variant>
        <vt:i4>1638462</vt:i4>
      </vt:variant>
      <vt:variant>
        <vt:i4>26</vt:i4>
      </vt:variant>
      <vt:variant>
        <vt:i4>0</vt:i4>
      </vt:variant>
      <vt:variant>
        <vt:i4>5</vt:i4>
      </vt:variant>
      <vt:variant>
        <vt:lpwstr/>
      </vt:variant>
      <vt:variant>
        <vt:lpwstr>_Toc79578545</vt:lpwstr>
      </vt:variant>
      <vt:variant>
        <vt:i4>1572926</vt:i4>
      </vt:variant>
      <vt:variant>
        <vt:i4>20</vt:i4>
      </vt:variant>
      <vt:variant>
        <vt:i4>0</vt:i4>
      </vt:variant>
      <vt:variant>
        <vt:i4>5</vt:i4>
      </vt:variant>
      <vt:variant>
        <vt:lpwstr/>
      </vt:variant>
      <vt:variant>
        <vt:lpwstr>_Toc79578544</vt:lpwstr>
      </vt:variant>
      <vt:variant>
        <vt:i4>2031678</vt:i4>
      </vt:variant>
      <vt:variant>
        <vt:i4>14</vt:i4>
      </vt:variant>
      <vt:variant>
        <vt:i4>0</vt:i4>
      </vt:variant>
      <vt:variant>
        <vt:i4>5</vt:i4>
      </vt:variant>
      <vt:variant>
        <vt:lpwstr/>
      </vt:variant>
      <vt:variant>
        <vt:lpwstr>_Toc79578543</vt:lpwstr>
      </vt:variant>
      <vt:variant>
        <vt:i4>1966142</vt:i4>
      </vt:variant>
      <vt:variant>
        <vt:i4>8</vt:i4>
      </vt:variant>
      <vt:variant>
        <vt:i4>0</vt:i4>
      </vt:variant>
      <vt:variant>
        <vt:i4>5</vt:i4>
      </vt:variant>
      <vt:variant>
        <vt:lpwstr/>
      </vt:variant>
      <vt:variant>
        <vt:lpwstr>_Toc79578542</vt:lpwstr>
      </vt:variant>
      <vt:variant>
        <vt:i4>1900606</vt:i4>
      </vt:variant>
      <vt:variant>
        <vt:i4>2</vt:i4>
      </vt:variant>
      <vt:variant>
        <vt:i4>0</vt:i4>
      </vt:variant>
      <vt:variant>
        <vt:i4>5</vt:i4>
      </vt:variant>
      <vt:variant>
        <vt:lpwstr/>
      </vt:variant>
      <vt:variant>
        <vt:lpwstr>_Toc79578541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dc:title>
  <dc:subject/>
  <dc:creator>Loreta</dc:creator>
  <cp:keywords/>
  <cp:lastModifiedBy>Loreta Makovac</cp:lastModifiedBy>
  <cp:revision>6</cp:revision>
  <cp:lastPrinted>2023-06-01T07:08:00Z</cp:lastPrinted>
  <dcterms:created xsi:type="dcterms:W3CDTF">2023-06-01T06:43:00Z</dcterms:created>
  <dcterms:modified xsi:type="dcterms:W3CDTF">2023-06-01T11:16:00Z</dcterms:modified>
</cp:coreProperties>
</file>